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84639" w14:textId="77777777" w:rsidR="00B66866" w:rsidRPr="004A745A" w:rsidRDefault="00F151DE" w:rsidP="00F151DE">
      <w:pPr>
        <w:spacing w:before="0" w:after="0"/>
        <w:jc w:val="center"/>
        <w:rPr>
          <w:rFonts w:ascii="Arial" w:hAnsi="Arial" w:cs="Arial"/>
          <w:b/>
          <w:noProof/>
          <w:color w:val="000080"/>
          <w:sz w:val="36"/>
          <w:szCs w:val="36"/>
          <w:lang w:eastAsia="en-AU"/>
        </w:rPr>
      </w:pPr>
      <w:r w:rsidRPr="004A745A">
        <w:rPr>
          <w:rFonts w:ascii="Arial" w:hAnsi="Arial" w:cs="Arial"/>
          <w:b/>
          <w:noProof/>
          <w:color w:val="000080"/>
          <w:sz w:val="36"/>
          <w:szCs w:val="36"/>
          <w:lang w:eastAsia="en-AU"/>
        </w:rPr>
        <w:t xml:space="preserve">Medical Services Advisory Committee (MSAC) </w:t>
      </w:r>
    </w:p>
    <w:p w14:paraId="7269E8DF" w14:textId="6B459BA5" w:rsidR="00772829" w:rsidRPr="004A745A" w:rsidRDefault="00C065D7" w:rsidP="00CE30E3">
      <w:pPr>
        <w:spacing w:before="0" w:after="360"/>
        <w:jc w:val="center"/>
        <w:rPr>
          <w:rFonts w:ascii="Arial" w:hAnsi="Arial" w:cs="Arial"/>
          <w:b/>
          <w:noProof/>
          <w:color w:val="000080"/>
          <w:sz w:val="36"/>
          <w:szCs w:val="36"/>
          <w:lang w:eastAsia="en-AU"/>
        </w:rPr>
      </w:pPr>
      <w:r>
        <w:rPr>
          <w:rFonts w:ascii="Arial" w:hAnsi="Arial" w:cs="Arial"/>
          <w:b/>
          <w:noProof/>
          <w:color w:val="000080"/>
          <w:sz w:val="36"/>
          <w:szCs w:val="36"/>
          <w:lang w:eastAsia="en-AU"/>
        </w:rPr>
        <w:t>Public Summary Document</w:t>
      </w:r>
    </w:p>
    <w:p w14:paraId="7A128FDE" w14:textId="15E201B3" w:rsidR="00772829" w:rsidRPr="00CE28E3" w:rsidRDefault="00772829" w:rsidP="00772829">
      <w:pPr>
        <w:pStyle w:val="Subtitle"/>
      </w:pPr>
      <w:r w:rsidRPr="00CE28E3">
        <w:t xml:space="preserve">Application No. </w:t>
      </w:r>
      <w:r w:rsidR="004C4739" w:rsidRPr="00393A68">
        <w:t>1703</w:t>
      </w:r>
      <w:r w:rsidRPr="00393A68">
        <w:t xml:space="preserve"> – </w:t>
      </w:r>
      <w:r w:rsidR="00B54F8E">
        <w:t>Detection of measurable residual disease in patients with acute lymphoblastic leukaemia</w:t>
      </w:r>
    </w:p>
    <w:p w14:paraId="35263561" w14:textId="58C187A3" w:rsidR="00772829" w:rsidRPr="00CE28E3" w:rsidRDefault="00772829" w:rsidP="00772829">
      <w:pPr>
        <w:tabs>
          <w:tab w:val="left" w:pos="3686"/>
        </w:tabs>
        <w:spacing w:after="240"/>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00393A68">
        <w:rPr>
          <w:rFonts w:ascii="Arial" w:hAnsi="Arial" w:cs="Arial"/>
          <w:b/>
          <w:szCs w:val="24"/>
        </w:rPr>
        <w:t>Royal College of Pathologists of Australasia</w:t>
      </w:r>
    </w:p>
    <w:p w14:paraId="15DA9C4A" w14:textId="552E4E08" w:rsidR="009A3778" w:rsidRDefault="00772829" w:rsidP="68E36B25">
      <w:pPr>
        <w:tabs>
          <w:tab w:val="left" w:pos="3686"/>
        </w:tabs>
        <w:spacing w:after="360"/>
        <w:rPr>
          <w:rFonts w:ascii="Arial" w:hAnsi="Arial" w:cs="Arial"/>
          <w:b/>
          <w:bCs/>
          <w:highlight w:val="cyan"/>
        </w:rPr>
      </w:pPr>
      <w:r w:rsidRPr="68E36B25">
        <w:rPr>
          <w:rFonts w:ascii="Arial" w:hAnsi="Arial" w:cs="Arial"/>
          <w:b/>
          <w:bCs/>
        </w:rPr>
        <w:t xml:space="preserve">Date of </w:t>
      </w:r>
      <w:r w:rsidR="00C065D7" w:rsidRPr="68E36B25">
        <w:rPr>
          <w:rFonts w:ascii="Arial" w:hAnsi="Arial" w:cs="Arial"/>
          <w:b/>
          <w:bCs/>
        </w:rPr>
        <w:t>MSAC</w:t>
      </w:r>
      <w:r w:rsidRPr="68E36B25">
        <w:rPr>
          <w:rFonts w:ascii="Arial" w:hAnsi="Arial" w:cs="Arial"/>
          <w:b/>
          <w:bCs/>
        </w:rPr>
        <w:t xml:space="preserve"> consideration:</w:t>
      </w:r>
      <w:r>
        <w:tab/>
      </w:r>
      <w:r w:rsidR="00C065D7" w:rsidRPr="68E36B25">
        <w:rPr>
          <w:rFonts w:ascii="Arial" w:hAnsi="Arial" w:cs="Arial"/>
          <w:b/>
          <w:bCs/>
        </w:rPr>
        <w:t>30-31</w:t>
      </w:r>
      <w:r w:rsidR="00A26B81" w:rsidRPr="68E36B25">
        <w:rPr>
          <w:rFonts w:ascii="Arial" w:hAnsi="Arial" w:cs="Arial"/>
          <w:b/>
          <w:bCs/>
        </w:rPr>
        <w:t xml:space="preserve"> </w:t>
      </w:r>
      <w:r w:rsidR="00C065D7" w:rsidRPr="68E36B25">
        <w:rPr>
          <w:rFonts w:ascii="Arial" w:hAnsi="Arial" w:cs="Arial"/>
          <w:b/>
          <w:bCs/>
        </w:rPr>
        <w:t>March</w:t>
      </w:r>
      <w:r w:rsidR="00A26B81" w:rsidRPr="68E36B25">
        <w:rPr>
          <w:rFonts w:ascii="Arial" w:hAnsi="Arial" w:cs="Arial"/>
          <w:b/>
          <w:bCs/>
        </w:rPr>
        <w:t xml:space="preserve"> 2023</w:t>
      </w:r>
      <w:r w:rsidR="00F67A36" w:rsidRPr="68E36B25">
        <w:rPr>
          <w:rFonts w:ascii="Arial" w:hAnsi="Arial" w:cs="Arial"/>
          <w:b/>
          <w:bCs/>
        </w:rPr>
        <w:t xml:space="preserve"> </w:t>
      </w:r>
    </w:p>
    <w:p w14:paraId="48F9FFAD" w14:textId="77777777" w:rsidR="00C065D7" w:rsidRPr="000D5B30" w:rsidRDefault="00C065D7" w:rsidP="00C065D7">
      <w:pPr>
        <w:spacing w:after="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7EAA7262" w14:textId="6CB6B07B" w:rsidR="00772829" w:rsidRPr="00CE28E3" w:rsidRDefault="00C36633" w:rsidP="00A26B81">
      <w:pPr>
        <w:pStyle w:val="Heading2"/>
      </w:pPr>
      <w:bookmarkStart w:id="0" w:name="_Toc118798858"/>
      <w:bookmarkStart w:id="1" w:name="_Toc121906357"/>
      <w:r>
        <w:t>1.</w:t>
      </w:r>
      <w:r>
        <w:tab/>
      </w:r>
      <w:r w:rsidR="00772829" w:rsidRPr="00CE28E3">
        <w:t xml:space="preserve">Purpose </w:t>
      </w:r>
      <w:r w:rsidR="00772829" w:rsidRPr="00A26B81">
        <w:t>of</w:t>
      </w:r>
      <w:r w:rsidR="00772829" w:rsidRPr="00CE28E3">
        <w:t xml:space="preserve"> application</w:t>
      </w:r>
      <w:bookmarkEnd w:id="0"/>
      <w:bookmarkEnd w:id="1"/>
    </w:p>
    <w:p w14:paraId="6BF31FF2" w14:textId="6E379539" w:rsidR="00772829" w:rsidRPr="009A3778" w:rsidRDefault="00772829" w:rsidP="00772829">
      <w:pPr>
        <w:spacing w:after="240"/>
        <w:rPr>
          <w:iCs/>
        </w:rPr>
      </w:pPr>
      <w:bookmarkStart w:id="2" w:name="_Hlk69734469"/>
      <w:r w:rsidRPr="009A3778">
        <w:rPr>
          <w:iCs/>
        </w:rPr>
        <w:t xml:space="preserve">An application requesting </w:t>
      </w:r>
      <w:r w:rsidRPr="0030650B">
        <w:t xml:space="preserve">Medicare Benefits Schedule (MBS) listing </w:t>
      </w:r>
      <w:r w:rsidR="005D35F8">
        <w:rPr>
          <w:iCs/>
        </w:rPr>
        <w:t>of tests to detect measurable residual disease (MRD) in patients with acute lymphoblastic leukaemia (ALL)</w:t>
      </w:r>
      <w:r w:rsidRPr="009A3778">
        <w:rPr>
          <w:iCs/>
        </w:rPr>
        <w:t xml:space="preserve"> was received from the </w:t>
      </w:r>
      <w:r w:rsidR="005D35F8">
        <w:rPr>
          <w:iCs/>
        </w:rPr>
        <w:t>Royal College of Pathologists of Australasia</w:t>
      </w:r>
      <w:r w:rsidR="005D35F8" w:rsidRPr="009A3778">
        <w:rPr>
          <w:iCs/>
        </w:rPr>
        <w:t xml:space="preserve"> </w:t>
      </w:r>
      <w:r w:rsidR="005D35F8">
        <w:rPr>
          <w:iCs/>
        </w:rPr>
        <w:t>(RCPA)</w:t>
      </w:r>
      <w:r w:rsidRPr="009A3778">
        <w:rPr>
          <w:iCs/>
        </w:rPr>
        <w:t xml:space="preserve"> by the Department of Health</w:t>
      </w:r>
      <w:r w:rsidR="00D71DCB">
        <w:rPr>
          <w:iCs/>
        </w:rPr>
        <w:t xml:space="preserve"> and Aged Care</w:t>
      </w:r>
      <w:r w:rsidRPr="009A3778">
        <w:rPr>
          <w:iCs/>
        </w:rPr>
        <w:t>.</w:t>
      </w:r>
    </w:p>
    <w:p w14:paraId="306AE2A1" w14:textId="3142F576" w:rsidR="00C065D7" w:rsidRDefault="00C065D7" w:rsidP="00C065D7">
      <w:pPr>
        <w:pStyle w:val="Heading2"/>
      </w:pPr>
      <w:r>
        <w:t>2.</w:t>
      </w:r>
      <w:r>
        <w:tab/>
        <w:t>MSAC’s advice to the Minister</w:t>
      </w:r>
    </w:p>
    <w:p w14:paraId="11D2E5A3" w14:textId="7637A186" w:rsidR="00224EFB" w:rsidRPr="00224EFB" w:rsidRDefault="586B69C5" w:rsidP="00224EFB">
      <w:r>
        <w:t xml:space="preserve">After considering the strength of the available evidence in relation to comparative safety, clinical effectiveness, </w:t>
      </w:r>
      <w:proofErr w:type="gramStart"/>
      <w:r>
        <w:t>cost-effectiveness</w:t>
      </w:r>
      <w:proofErr w:type="gramEnd"/>
      <w:r>
        <w:t xml:space="preserve"> and total cost, MSAC supported the creation of new Medicare Benefits Schedule (MBS) items for the development and subsequent use of patient-specific quantitative molecular assays to detect measurable residual disease (MRD) in patients with acute lymphoblastic leukaemia (ALL). MSAC recalled it had already supported public funding of MRD testing using flow cytometry and next-generation sequencing (NGS) methods, and considered that testing using quantitative molecular methods is complementary to these methods. MSAC supported public funding of MRD testing using quantitative molecular methods because it recognised the clinical benefit of MRD testing, and accepted that MRD testing in patients with ALL had non-inferior safety and provided diagnostic, prognostic and/or predictive utility. MSAC also considered that MRD testing is the established standard of care in Australia for both paediatric and adult ALL patients, and public funding would improve equity of access to Pharmaceutical Benefits Scheme (PBS)-listed blinatumomab. MSAC advised MRD testing using quantitative molecular methods had acceptable cost-effectiveness and financial cost to the MBS. MSAC also considered that peripheral blood sample</w:t>
      </w:r>
      <w:r w:rsidR="009C5AF5">
        <w:t>s are acceptable for</w:t>
      </w:r>
      <w:r>
        <w:t xml:space="preserve"> </w:t>
      </w:r>
      <w:r w:rsidR="00F33399">
        <w:t xml:space="preserve">the </w:t>
      </w:r>
      <w:r>
        <w:t>develop</w:t>
      </w:r>
      <w:r w:rsidR="00F33399">
        <w:t>ment</w:t>
      </w:r>
      <w:r w:rsidR="009C5AF5">
        <w:t xml:space="preserve"> and </w:t>
      </w:r>
      <w:r>
        <w:t xml:space="preserve">use </w:t>
      </w:r>
      <w:r w:rsidR="00F33399">
        <w:t xml:space="preserve">of </w:t>
      </w:r>
      <w:r>
        <w:t xml:space="preserve">the quantitative molecular assay </w:t>
      </w:r>
      <w:r w:rsidR="00FE1D87">
        <w:t xml:space="preserve">in situations </w:t>
      </w:r>
      <w:r>
        <w:t xml:space="preserve">where a bone marrow sample is not </w:t>
      </w:r>
      <w:r w:rsidR="3C213B74">
        <w:t>obtain</w:t>
      </w:r>
      <w:r>
        <w:t>a</w:t>
      </w:r>
      <w:r w:rsidR="3C213B74">
        <w:t>ble</w:t>
      </w:r>
      <w:r>
        <w:t>.</w:t>
      </w:r>
      <w:r w:rsidR="00224EFB">
        <w:br w:type="page"/>
      </w:r>
    </w:p>
    <w:p w14:paraId="4DE75B49" w14:textId="5A4485EE" w:rsidR="00635AE2" w:rsidRDefault="00A922D7" w:rsidP="00EF551C">
      <w:pPr>
        <w:pStyle w:val="Caption"/>
        <w:rPr>
          <w:szCs w:val="24"/>
        </w:rPr>
      </w:pPr>
      <w:r>
        <w:lastRenderedPageBreak/>
        <w:t xml:space="preserve">Table </w:t>
      </w:r>
      <w:r>
        <w:fldChar w:fldCharType="begin"/>
      </w:r>
      <w:r>
        <w:instrText>SEQ Table \* ARABIC</w:instrText>
      </w:r>
      <w:r>
        <w:fldChar w:fldCharType="separate"/>
      </w:r>
      <w:r>
        <w:rPr>
          <w:noProof/>
        </w:rPr>
        <w:t>1</w:t>
      </w:r>
      <w:r>
        <w:fldChar w:fldCharType="end"/>
      </w:r>
      <w:r>
        <w:t xml:space="preserve"> MSAC’s supported MBS item descriptors</w:t>
      </w:r>
    </w:p>
    <w:tbl>
      <w:tblPr>
        <w:tblStyle w:val="TableGrid"/>
        <w:tblW w:w="9016" w:type="dxa"/>
        <w:tblLook w:val="04A0" w:firstRow="1" w:lastRow="0" w:firstColumn="1" w:lastColumn="0" w:noHBand="0" w:noVBand="1"/>
        <w:tblDescription w:val="Consumer summary of MSAC consideration"/>
      </w:tblPr>
      <w:tblGrid>
        <w:gridCol w:w="9016"/>
      </w:tblGrid>
      <w:tr w:rsidR="00B17C02" w:rsidRPr="006803F6" w14:paraId="324AF5A8" w14:textId="77777777" w:rsidTr="004D3912">
        <w:tc>
          <w:tcPr>
            <w:tcW w:w="9016" w:type="dxa"/>
          </w:tcPr>
          <w:p w14:paraId="14C3B031" w14:textId="6BF0B4B6" w:rsidR="00B17C02" w:rsidRPr="005F2296" w:rsidRDefault="00B17C02" w:rsidP="004D3912">
            <w:pPr>
              <w:rPr>
                <w:rFonts w:ascii="Arial Narrow" w:hAnsi="Arial Narrow"/>
                <w:b/>
                <w:bCs/>
                <w:sz w:val="20"/>
                <w:szCs w:val="20"/>
              </w:rPr>
            </w:pPr>
            <w:r w:rsidRPr="005F2296">
              <w:rPr>
                <w:rFonts w:ascii="Arial Narrow" w:hAnsi="Arial Narrow"/>
                <w:b/>
                <w:bCs/>
                <w:sz w:val="20"/>
                <w:szCs w:val="20"/>
              </w:rPr>
              <w:t>Category 6 – Pathology Services</w:t>
            </w:r>
            <w:r w:rsidR="005F2C3C">
              <w:rPr>
                <w:rFonts w:ascii="Arial Narrow" w:hAnsi="Arial Narrow"/>
                <w:b/>
                <w:bCs/>
                <w:sz w:val="20"/>
                <w:szCs w:val="20"/>
              </w:rPr>
              <w:t xml:space="preserve">                                                                                                       </w:t>
            </w:r>
            <w:r w:rsidR="003B16F7">
              <w:t xml:space="preserve"> </w:t>
            </w:r>
            <w:r w:rsidR="003B16F7" w:rsidRPr="003B16F7">
              <w:rPr>
                <w:rFonts w:ascii="Arial Narrow" w:hAnsi="Arial Narrow"/>
                <w:b/>
                <w:bCs/>
                <w:sz w:val="20"/>
                <w:szCs w:val="20"/>
              </w:rPr>
              <w:t>Group P7 Genetics</w:t>
            </w:r>
          </w:p>
        </w:tc>
      </w:tr>
      <w:tr w:rsidR="00B17C02" w:rsidRPr="006803F6" w14:paraId="1A52EBF8" w14:textId="77777777" w:rsidTr="004D3912">
        <w:tc>
          <w:tcPr>
            <w:tcW w:w="9016" w:type="dxa"/>
            <w:hideMark/>
          </w:tcPr>
          <w:p w14:paraId="00BF0E2B" w14:textId="77777777" w:rsidR="00B17C02" w:rsidRPr="005F2296" w:rsidRDefault="00B17C02" w:rsidP="004D3912">
            <w:pPr>
              <w:spacing w:after="160" w:line="259" w:lineRule="auto"/>
              <w:rPr>
                <w:rFonts w:ascii="Arial Narrow" w:hAnsi="Arial Narrow"/>
                <w:sz w:val="20"/>
                <w:szCs w:val="20"/>
              </w:rPr>
            </w:pPr>
            <w:r w:rsidRPr="005F2296">
              <w:rPr>
                <w:rFonts w:ascii="Arial Narrow" w:hAnsi="Arial Narrow"/>
                <w:b/>
                <w:bCs/>
                <w:sz w:val="20"/>
                <w:szCs w:val="20"/>
              </w:rPr>
              <w:t xml:space="preserve">MBS item CCCC </w:t>
            </w:r>
          </w:p>
          <w:p w14:paraId="3C8F3CD2" w14:textId="78BB9314" w:rsidR="00B17C02" w:rsidRPr="005F2296" w:rsidRDefault="00B17C02" w:rsidP="004D3912">
            <w:pPr>
              <w:spacing w:after="160" w:line="259" w:lineRule="auto"/>
              <w:rPr>
                <w:rFonts w:ascii="Arial Narrow" w:hAnsi="Arial Narrow"/>
                <w:sz w:val="20"/>
                <w:szCs w:val="20"/>
              </w:rPr>
            </w:pPr>
            <w:r w:rsidRPr="005F2296">
              <w:rPr>
                <w:rFonts w:ascii="Arial Narrow" w:hAnsi="Arial Narrow"/>
                <w:sz w:val="20"/>
                <w:szCs w:val="20"/>
              </w:rPr>
              <w:t>Development of a quantitative patient-specific molecular assay for measurable residual disease (MRD) based on the diagnostic bone marrow specimen (or a peripheral blood sample if bone marrow cannot be collected) from a patient diagnosed with acute lymphoblastic leukaemia (ALL) treated with combination chemotherapy or after salvage therapy, requested by a specialist or consultant physician practising as a haematologist or oncologist</w:t>
            </w:r>
            <w:r w:rsidR="009D1A74">
              <w:rPr>
                <w:rFonts w:ascii="Arial Narrow" w:hAnsi="Arial Narrow"/>
                <w:sz w:val="20"/>
                <w:szCs w:val="20"/>
              </w:rPr>
              <w:t>.</w:t>
            </w:r>
            <w:r w:rsidRPr="005F2296">
              <w:rPr>
                <w:rFonts w:ascii="Arial Narrow" w:hAnsi="Arial Narrow"/>
                <w:sz w:val="20"/>
                <w:szCs w:val="20"/>
              </w:rPr>
              <w:t xml:space="preserve"> </w:t>
            </w:r>
            <w:r w:rsidR="009D1A74">
              <w:rPr>
                <w:rFonts w:ascii="Arial Narrow" w:hAnsi="Arial Narrow"/>
                <w:sz w:val="20"/>
                <w:szCs w:val="20"/>
              </w:rPr>
              <w:t>Includes</w:t>
            </w:r>
            <w:r w:rsidR="0088635C">
              <w:rPr>
                <w:rFonts w:ascii="Arial Narrow" w:hAnsi="Arial Narrow"/>
                <w:sz w:val="20"/>
                <w:szCs w:val="20"/>
              </w:rPr>
              <w:t xml:space="preserve"> </w:t>
            </w:r>
            <w:r w:rsidRPr="005F2296">
              <w:rPr>
                <w:rFonts w:ascii="Arial Narrow" w:hAnsi="Arial Narrow"/>
                <w:sz w:val="20"/>
                <w:szCs w:val="20"/>
              </w:rPr>
              <w:t xml:space="preserve">use </w:t>
            </w:r>
            <w:r w:rsidR="009D1A74">
              <w:rPr>
                <w:rFonts w:ascii="Arial Narrow" w:hAnsi="Arial Narrow"/>
                <w:sz w:val="20"/>
                <w:szCs w:val="20"/>
              </w:rPr>
              <w:t>on</w:t>
            </w:r>
            <w:r w:rsidR="0088635C" w:rsidRPr="005F2296">
              <w:rPr>
                <w:rFonts w:ascii="Arial Narrow" w:hAnsi="Arial Narrow"/>
                <w:sz w:val="20"/>
                <w:szCs w:val="20"/>
              </w:rPr>
              <w:t xml:space="preserve"> </w:t>
            </w:r>
            <w:r w:rsidRPr="005F2296">
              <w:rPr>
                <w:rFonts w:ascii="Arial Narrow" w:hAnsi="Arial Narrow"/>
                <w:sz w:val="20"/>
                <w:szCs w:val="20"/>
              </w:rPr>
              <w:t>the first MRD specimen for one test described in item DDDD</w:t>
            </w:r>
            <w:r w:rsidR="00545182">
              <w:rPr>
                <w:rFonts w:ascii="Arial Narrow" w:hAnsi="Arial Narrow"/>
                <w:sz w:val="20"/>
                <w:szCs w:val="20"/>
              </w:rPr>
              <w:t>. N</w:t>
            </w:r>
            <w:r w:rsidR="00545182" w:rsidRPr="00545182">
              <w:rPr>
                <w:rFonts w:ascii="Arial Narrow" w:hAnsi="Arial Narrow"/>
                <w:sz w:val="20"/>
                <w:szCs w:val="20"/>
              </w:rPr>
              <w:t xml:space="preserve">ot </w:t>
            </w:r>
            <w:r w:rsidR="005813FE">
              <w:rPr>
                <w:rFonts w:ascii="Arial Narrow" w:hAnsi="Arial Narrow"/>
                <w:sz w:val="20"/>
                <w:szCs w:val="20"/>
              </w:rPr>
              <w:t xml:space="preserve">to be </w:t>
            </w:r>
            <w:r w:rsidR="00545182" w:rsidRPr="00545182">
              <w:rPr>
                <w:rFonts w:ascii="Arial Narrow" w:hAnsi="Arial Narrow"/>
                <w:sz w:val="20"/>
                <w:szCs w:val="20"/>
              </w:rPr>
              <w:t>performed in conjunction with a service to which</w:t>
            </w:r>
            <w:r w:rsidR="00545182">
              <w:rPr>
                <w:rFonts w:ascii="Arial Narrow" w:hAnsi="Arial Narrow"/>
                <w:sz w:val="20"/>
                <w:szCs w:val="20"/>
              </w:rPr>
              <w:t xml:space="preserve"> DDDD applies</w:t>
            </w:r>
            <w:r w:rsidRPr="005F2296">
              <w:rPr>
                <w:rFonts w:ascii="Arial Narrow" w:hAnsi="Arial Narrow"/>
                <w:sz w:val="20"/>
                <w:szCs w:val="20"/>
              </w:rPr>
              <w:t>.</w:t>
            </w:r>
          </w:p>
          <w:p w14:paraId="5E1D1CC7" w14:textId="77777777" w:rsidR="00B17C02" w:rsidRPr="005F2296" w:rsidRDefault="00B17C02" w:rsidP="004D3912">
            <w:pPr>
              <w:spacing w:after="160" w:line="259" w:lineRule="auto"/>
              <w:rPr>
                <w:rFonts w:ascii="Arial Narrow" w:hAnsi="Arial Narrow"/>
                <w:sz w:val="20"/>
                <w:szCs w:val="20"/>
              </w:rPr>
            </w:pPr>
            <w:r w:rsidRPr="005F2296">
              <w:rPr>
                <w:rFonts w:ascii="Arial Narrow" w:hAnsi="Arial Narrow"/>
                <w:sz w:val="20"/>
                <w:szCs w:val="20"/>
              </w:rPr>
              <w:t>Applicable not more than once per patient per episode of disease or per relapse.</w:t>
            </w:r>
          </w:p>
          <w:p w14:paraId="1DE5F774" w14:textId="77777777" w:rsidR="00B17C02" w:rsidRPr="005F2296" w:rsidRDefault="00B17C02" w:rsidP="004D3912">
            <w:pPr>
              <w:spacing w:after="160" w:line="259" w:lineRule="auto"/>
              <w:rPr>
                <w:rFonts w:ascii="Arial Narrow" w:hAnsi="Arial Narrow"/>
                <w:sz w:val="20"/>
                <w:szCs w:val="20"/>
              </w:rPr>
            </w:pPr>
            <w:r w:rsidRPr="005F2296">
              <w:rPr>
                <w:rFonts w:ascii="Arial Narrow" w:hAnsi="Arial Narrow"/>
                <w:sz w:val="20"/>
                <w:szCs w:val="20"/>
              </w:rPr>
              <w:t>Fee: $</w:t>
            </w:r>
            <w:proofErr w:type="gramStart"/>
            <w:r w:rsidRPr="005F2296">
              <w:rPr>
                <w:rFonts w:ascii="Arial Narrow" w:hAnsi="Arial Narrow"/>
                <w:sz w:val="20"/>
                <w:szCs w:val="20"/>
              </w:rPr>
              <w:t>3,000.00  Benefit</w:t>
            </w:r>
            <w:proofErr w:type="gramEnd"/>
            <w:r w:rsidRPr="005F2296">
              <w:rPr>
                <w:rFonts w:ascii="Arial Narrow" w:hAnsi="Arial Narrow"/>
                <w:sz w:val="20"/>
                <w:szCs w:val="20"/>
              </w:rPr>
              <w:t>: 75% = $2,250.00  85% = $2,906.80</w:t>
            </w:r>
          </w:p>
        </w:tc>
      </w:tr>
      <w:tr w:rsidR="00B17C02" w:rsidRPr="006803F6" w14:paraId="15F9031E" w14:textId="77777777" w:rsidTr="004D3912">
        <w:tc>
          <w:tcPr>
            <w:tcW w:w="9016" w:type="dxa"/>
            <w:hideMark/>
          </w:tcPr>
          <w:p w14:paraId="7A333FDD" w14:textId="77777777" w:rsidR="00B17C02" w:rsidRPr="005F2296" w:rsidRDefault="00B17C02" w:rsidP="004D3912">
            <w:pPr>
              <w:spacing w:after="160" w:line="259" w:lineRule="auto"/>
              <w:rPr>
                <w:rFonts w:ascii="Arial Narrow" w:hAnsi="Arial Narrow"/>
                <w:sz w:val="20"/>
                <w:szCs w:val="20"/>
              </w:rPr>
            </w:pPr>
            <w:r w:rsidRPr="005F2296">
              <w:rPr>
                <w:rFonts w:ascii="Arial Narrow" w:hAnsi="Arial Narrow"/>
                <w:b/>
                <w:bCs/>
                <w:sz w:val="20"/>
                <w:szCs w:val="20"/>
              </w:rPr>
              <w:t>MBS item DDDD</w:t>
            </w:r>
          </w:p>
          <w:p w14:paraId="1B25F906" w14:textId="0C3B843E" w:rsidR="00B17C02" w:rsidRPr="005F2296" w:rsidRDefault="00B17C02" w:rsidP="004D3912">
            <w:pPr>
              <w:spacing w:after="160" w:line="259" w:lineRule="auto"/>
              <w:rPr>
                <w:rFonts w:ascii="Arial Narrow" w:hAnsi="Arial Narrow"/>
                <w:sz w:val="20"/>
                <w:szCs w:val="20"/>
              </w:rPr>
            </w:pPr>
            <w:r w:rsidRPr="005F2296">
              <w:rPr>
                <w:rFonts w:ascii="Arial Narrow" w:hAnsi="Arial Narrow"/>
                <w:sz w:val="20"/>
                <w:szCs w:val="20"/>
              </w:rPr>
              <w:t xml:space="preserve">Measurable residual disease testing by a quantitative patient-specific molecular assay on bone marrow (or </w:t>
            </w:r>
            <w:r w:rsidR="007C6272">
              <w:rPr>
                <w:rFonts w:ascii="Arial Narrow" w:hAnsi="Arial Narrow"/>
                <w:sz w:val="20"/>
                <w:szCs w:val="20"/>
              </w:rPr>
              <w:t>in a patient with T-c</w:t>
            </w:r>
            <w:r w:rsidR="00CB6AA6">
              <w:rPr>
                <w:rFonts w:ascii="Arial Narrow" w:hAnsi="Arial Narrow"/>
                <w:sz w:val="20"/>
                <w:szCs w:val="20"/>
              </w:rPr>
              <w:t>e</w:t>
            </w:r>
            <w:r w:rsidR="007C6272">
              <w:rPr>
                <w:rFonts w:ascii="Arial Narrow" w:hAnsi="Arial Narrow"/>
                <w:sz w:val="20"/>
                <w:szCs w:val="20"/>
              </w:rPr>
              <w:t xml:space="preserve">ll acute lymphoblastic leukaemia (ALL), </w:t>
            </w:r>
            <w:r w:rsidRPr="005F2296">
              <w:rPr>
                <w:rFonts w:ascii="Arial Narrow" w:hAnsi="Arial Narrow"/>
                <w:sz w:val="20"/>
                <w:szCs w:val="20"/>
              </w:rPr>
              <w:t>a peripheral blood sample if bone marrow cannot be collected) from a patient diagnosed with acute lymphoblastic leukaemia (ALL) treated with combination chemotherapy or after salvage therapy, requested by a specialist or consultant physician practising as a haematologist or oncologist.</w:t>
            </w:r>
            <w:r w:rsidR="005813FE">
              <w:rPr>
                <w:rFonts w:ascii="Arial Narrow" w:hAnsi="Arial Narrow"/>
                <w:sz w:val="20"/>
                <w:szCs w:val="20"/>
              </w:rPr>
              <w:t xml:space="preserve"> N</w:t>
            </w:r>
            <w:r w:rsidR="005813FE" w:rsidRPr="00545182">
              <w:rPr>
                <w:rFonts w:ascii="Arial Narrow" w:hAnsi="Arial Narrow"/>
                <w:sz w:val="20"/>
                <w:szCs w:val="20"/>
              </w:rPr>
              <w:t xml:space="preserve">ot </w:t>
            </w:r>
            <w:r w:rsidR="005813FE">
              <w:rPr>
                <w:rFonts w:ascii="Arial Narrow" w:hAnsi="Arial Narrow"/>
                <w:sz w:val="20"/>
                <w:szCs w:val="20"/>
              </w:rPr>
              <w:t xml:space="preserve">to be </w:t>
            </w:r>
            <w:r w:rsidR="005813FE" w:rsidRPr="00545182">
              <w:rPr>
                <w:rFonts w:ascii="Arial Narrow" w:hAnsi="Arial Narrow"/>
                <w:sz w:val="20"/>
                <w:szCs w:val="20"/>
              </w:rPr>
              <w:t>performed in conjunction with a service to which</w:t>
            </w:r>
            <w:r w:rsidR="005813FE">
              <w:rPr>
                <w:rFonts w:ascii="Arial Narrow" w:hAnsi="Arial Narrow"/>
                <w:sz w:val="20"/>
                <w:szCs w:val="20"/>
              </w:rPr>
              <w:t xml:space="preserve"> CCCC applies</w:t>
            </w:r>
            <w:r w:rsidR="005813FE" w:rsidRPr="005F2296">
              <w:rPr>
                <w:rFonts w:ascii="Arial Narrow" w:hAnsi="Arial Narrow"/>
                <w:sz w:val="20"/>
                <w:szCs w:val="20"/>
              </w:rPr>
              <w:t>.</w:t>
            </w:r>
          </w:p>
          <w:p w14:paraId="1ACF18D9" w14:textId="77777777" w:rsidR="00B17C02" w:rsidRPr="005F2296" w:rsidRDefault="00B17C02" w:rsidP="004D3912">
            <w:pPr>
              <w:spacing w:after="160" w:line="259" w:lineRule="auto"/>
              <w:rPr>
                <w:rFonts w:ascii="Arial Narrow" w:hAnsi="Arial Narrow"/>
                <w:sz w:val="20"/>
                <w:szCs w:val="20"/>
              </w:rPr>
            </w:pPr>
            <w:r w:rsidRPr="005F2296">
              <w:rPr>
                <w:rFonts w:ascii="Arial Narrow" w:hAnsi="Arial Narrow"/>
                <w:sz w:val="20"/>
                <w:szCs w:val="20"/>
              </w:rPr>
              <w:t>Fee: $780.</w:t>
            </w:r>
            <w:proofErr w:type="gramStart"/>
            <w:r w:rsidRPr="005F2296">
              <w:rPr>
                <w:rFonts w:ascii="Arial Narrow" w:hAnsi="Arial Narrow"/>
                <w:sz w:val="20"/>
                <w:szCs w:val="20"/>
              </w:rPr>
              <w:t>00  Benefit</w:t>
            </w:r>
            <w:proofErr w:type="gramEnd"/>
            <w:r w:rsidRPr="005F2296">
              <w:rPr>
                <w:rFonts w:ascii="Arial Narrow" w:hAnsi="Arial Narrow"/>
                <w:sz w:val="20"/>
                <w:szCs w:val="20"/>
              </w:rPr>
              <w:t>: 75% = $585.00  $85% = $686.80</w:t>
            </w:r>
          </w:p>
        </w:tc>
      </w:tr>
      <w:tr w:rsidR="00B17C02" w:rsidRPr="006803F6" w14:paraId="54AE6075" w14:textId="77777777" w:rsidTr="004D3912">
        <w:tc>
          <w:tcPr>
            <w:tcW w:w="9016" w:type="dxa"/>
          </w:tcPr>
          <w:p w14:paraId="0CF957EA" w14:textId="77777777" w:rsidR="00B17C02" w:rsidRPr="005F2296" w:rsidRDefault="00B17C02" w:rsidP="004D3912">
            <w:pPr>
              <w:rPr>
                <w:rFonts w:ascii="Arial Narrow" w:hAnsi="Arial Narrow"/>
                <w:sz w:val="20"/>
                <w:szCs w:val="20"/>
              </w:rPr>
            </w:pPr>
            <w:r w:rsidRPr="005F2296">
              <w:rPr>
                <w:rFonts w:ascii="Arial Narrow" w:hAnsi="Arial Narrow"/>
                <w:sz w:val="20"/>
                <w:szCs w:val="20"/>
              </w:rPr>
              <w:t>Practice Note (CCCC, DDDD): The number of measurable residual disease (MRD) tests per patient, per episode of disease or per relapse is not expected to exceed 12, inclusive of a baseline assessment.</w:t>
            </w:r>
          </w:p>
        </w:tc>
      </w:tr>
    </w:tbl>
    <w:p w14:paraId="40B7480A" w14:textId="0F17606C" w:rsidR="00B17C02" w:rsidRDefault="00986547" w:rsidP="002551A5">
      <w:pPr>
        <w:spacing w:after="240"/>
        <w:rPr>
          <w:rFonts w:ascii="Arial Narrow" w:hAnsi="Arial Narrow"/>
          <w:sz w:val="18"/>
          <w:szCs w:val="18"/>
        </w:rPr>
      </w:pPr>
      <w:r w:rsidRPr="00F43C1C">
        <w:rPr>
          <w:rFonts w:ascii="Arial Narrow" w:hAnsi="Arial Narrow"/>
          <w:sz w:val="18"/>
          <w:szCs w:val="18"/>
        </w:rPr>
        <w:t>85% benefit reflects the 1 November 2022 Greatest Permissible Gap (GPG) of $93.20. All out-of-hospital Medicare services that have an MBS fee of $621.50 or more will attract a benefit that is greater than 85% of the MBS fee – being the schedule fee less the GPG amount. The GPG amount is indexed annually on 1 November in line with the Consumer Price Index (CPI) (June quarter).</w:t>
      </w:r>
    </w:p>
    <w:tbl>
      <w:tblPr>
        <w:tblStyle w:val="TableGrid"/>
        <w:tblW w:w="9016" w:type="dxa"/>
        <w:tblLook w:val="04A0" w:firstRow="1" w:lastRow="0" w:firstColumn="1" w:lastColumn="0" w:noHBand="0" w:noVBand="1"/>
      </w:tblPr>
      <w:tblGrid>
        <w:gridCol w:w="9016"/>
      </w:tblGrid>
      <w:tr w:rsidR="00B17C02" w:rsidRPr="00AF46D8" w14:paraId="66420BA8" w14:textId="77777777" w:rsidTr="61935C9D">
        <w:trPr>
          <w:tblHeader/>
        </w:trPr>
        <w:tc>
          <w:tcPr>
            <w:tcW w:w="9016" w:type="dxa"/>
          </w:tcPr>
          <w:p w14:paraId="525371D0" w14:textId="152AA4B3" w:rsidR="00B17C02" w:rsidRPr="00AF46D8" w:rsidRDefault="00B17C02" w:rsidP="005F2296">
            <w:pPr>
              <w:pStyle w:val="Heading3"/>
              <w:spacing w:before="120" w:after="120"/>
              <w:outlineLvl w:val="2"/>
              <w:rPr>
                <w:rFonts w:eastAsiaTheme="minorHAnsi" w:cstheme="minorBidi"/>
                <w:iCs/>
              </w:rPr>
            </w:pPr>
            <w:r w:rsidRPr="00AF46D8">
              <w:t>Consumer summary</w:t>
            </w:r>
            <w:r>
              <w:t xml:space="preserve"> </w:t>
            </w:r>
          </w:p>
        </w:tc>
      </w:tr>
      <w:tr w:rsidR="00B17C02" w:rsidRPr="00E15635" w14:paraId="42B59642" w14:textId="77777777" w:rsidTr="61935C9D">
        <w:tc>
          <w:tcPr>
            <w:tcW w:w="9016" w:type="dxa"/>
          </w:tcPr>
          <w:p w14:paraId="0EC616BC" w14:textId="4CCECE72" w:rsidR="00B17C02" w:rsidRDefault="00B17C02" w:rsidP="004D3912">
            <w:r w:rsidRPr="00806713">
              <w:t xml:space="preserve">This was an application from the Royal College of Pathologists </w:t>
            </w:r>
            <w:r w:rsidR="008F27E2">
              <w:t xml:space="preserve">of </w:t>
            </w:r>
            <w:r w:rsidRPr="00806713">
              <w:t>Australasia</w:t>
            </w:r>
            <w:r w:rsidR="008F27E2">
              <w:t xml:space="preserve"> (RCPA)</w:t>
            </w:r>
            <w:r w:rsidRPr="00806713">
              <w:t xml:space="preserve"> requesting Medicare Benefits Schedule (MBS) listing of measurable residual disease</w:t>
            </w:r>
            <w:r>
              <w:t xml:space="preserve"> </w:t>
            </w:r>
            <w:r w:rsidRPr="00806713">
              <w:t>testing in patients who have a type of blood cancer called acute lymphoblastic leukaemia or ALL.</w:t>
            </w:r>
          </w:p>
          <w:p w14:paraId="6062D095" w14:textId="5EE3BCEE" w:rsidR="00B17C02" w:rsidRPr="00806713" w:rsidRDefault="00B17C02" w:rsidP="004D3912">
            <w:r w:rsidRPr="00806713">
              <w:t>ALL</w:t>
            </w:r>
            <w:r>
              <w:t xml:space="preserve"> </w:t>
            </w:r>
            <w:r w:rsidR="00F947EA">
              <w:t xml:space="preserve">is </w:t>
            </w:r>
            <w:r w:rsidR="003A0421">
              <w:t xml:space="preserve">caused </w:t>
            </w:r>
            <w:r w:rsidRPr="00806713">
              <w:t>when a genetic variant</w:t>
            </w:r>
            <w:r w:rsidR="00BD506E">
              <w:t xml:space="preserve"> (genetic difference)</w:t>
            </w:r>
            <w:r w:rsidRPr="00806713">
              <w:t xml:space="preserve"> arises in a person’s white blood cells </w:t>
            </w:r>
            <w:r w:rsidR="00F947EA">
              <w:t xml:space="preserve">that </w:t>
            </w:r>
            <w:r w:rsidRPr="00806713">
              <w:t xml:space="preserve">makes the cells multiply more than they should. There are lots of different genetic variants that can do this, and the one that has arisen is often different from one patient to the next. Patients get treatment to try </w:t>
            </w:r>
            <w:r w:rsidR="000D6830">
              <w:t>and</w:t>
            </w:r>
            <w:r w:rsidR="000D6830" w:rsidRPr="00806713">
              <w:t xml:space="preserve"> </w:t>
            </w:r>
            <w:r w:rsidRPr="00806713">
              <w:t xml:space="preserve">kill the cancer cells, then to check how well </w:t>
            </w:r>
            <w:r w:rsidR="00246683">
              <w:t>it</w:t>
            </w:r>
            <w:r w:rsidR="00246683" w:rsidRPr="00806713">
              <w:t xml:space="preserve"> </w:t>
            </w:r>
            <w:r w:rsidRPr="00806713">
              <w:t>has worked</w:t>
            </w:r>
            <w:r w:rsidR="00400B4A">
              <w:t>.</w:t>
            </w:r>
            <w:r w:rsidRPr="00806713">
              <w:t xml:space="preserve"> </w:t>
            </w:r>
            <w:r w:rsidR="00400B4A">
              <w:t>T</w:t>
            </w:r>
            <w:r w:rsidRPr="00806713">
              <w:t>here are tests that either look for cells with the specific genetic variant that is causing the cancer</w:t>
            </w:r>
            <w:r w:rsidR="00524C43">
              <w:t xml:space="preserve"> in that patient</w:t>
            </w:r>
            <w:r w:rsidRPr="00806713">
              <w:t xml:space="preserve">, or look at a range of genetic variants that can cause ALL. These tests </w:t>
            </w:r>
            <w:r w:rsidR="00DD5110">
              <w:t xml:space="preserve">usually </w:t>
            </w:r>
            <w:r w:rsidRPr="00806713">
              <w:t>use a bone marrow sample because the bone marrow is where white blood cells are made.</w:t>
            </w:r>
          </w:p>
          <w:p w14:paraId="49E8DD5D" w14:textId="3FDEE6FC" w:rsidR="00B17C02" w:rsidRPr="00806713" w:rsidRDefault="00B17C02" w:rsidP="004D3912">
            <w:r w:rsidRPr="00806713">
              <w:t>When a patient has</w:t>
            </w:r>
            <w:r w:rsidR="00662B54">
              <w:t xml:space="preserve"> measurable residual disease</w:t>
            </w:r>
            <w:r w:rsidRPr="00806713">
              <w:t xml:space="preserve"> </w:t>
            </w:r>
            <w:r w:rsidR="00662B54">
              <w:t xml:space="preserve">(or </w:t>
            </w:r>
            <w:r w:rsidRPr="00806713">
              <w:t>MRD</w:t>
            </w:r>
            <w:r w:rsidR="00662B54">
              <w:t>)</w:t>
            </w:r>
            <w:r w:rsidRPr="00806713">
              <w:t>, this means they have a small number of cancer cells that cannot be seen with a microscope</w:t>
            </w:r>
            <w:r w:rsidR="00662B54">
              <w:t>,</w:t>
            </w:r>
            <w:r w:rsidRPr="00806713">
              <w:t xml:space="preserve"> but can be detected using genetic tests. Detecting measurable residual disease means a patient’s cancer is more likely to return (known as relapse), and patients and clinicians can use this information to change the patient’s treatment.</w:t>
            </w:r>
          </w:p>
          <w:p w14:paraId="05810E95" w14:textId="7A6C5307" w:rsidR="00B17C02" w:rsidRPr="00806713" w:rsidRDefault="00B17C02" w:rsidP="004D3912">
            <w:r w:rsidRPr="00806713">
              <w:t xml:space="preserve">There are several </w:t>
            </w:r>
            <w:r w:rsidR="00197E8E">
              <w:t xml:space="preserve">scientific </w:t>
            </w:r>
            <w:r w:rsidRPr="00806713">
              <w:t>methods that can be used to test for measurable residual disease</w:t>
            </w:r>
            <w:r w:rsidR="009F5D69">
              <w:t xml:space="preserve"> in a laboratory</w:t>
            </w:r>
            <w:r w:rsidRPr="00806713">
              <w:t>, including multiparametric flow cytometry (</w:t>
            </w:r>
            <w:proofErr w:type="spellStart"/>
            <w:r w:rsidRPr="00806713">
              <w:t>mpFC</w:t>
            </w:r>
            <w:proofErr w:type="spellEnd"/>
            <w:r w:rsidRPr="00806713">
              <w:t>)</w:t>
            </w:r>
            <w:r>
              <w:t>,</w:t>
            </w:r>
            <w:r w:rsidRPr="00806713">
              <w:t xml:space="preserve"> next-generation sequencing (NGS)</w:t>
            </w:r>
            <w:r>
              <w:t xml:space="preserve"> and </w:t>
            </w:r>
            <w:r w:rsidRPr="00E15635">
              <w:t>quantitative polymerase chain reaction (qPCR)</w:t>
            </w:r>
            <w:r w:rsidRPr="00806713">
              <w:t xml:space="preserve">. </w:t>
            </w:r>
            <w:r w:rsidR="00B33566">
              <w:t>Measuring MRD using qPCR requires the laboratory to develop a qPCR assay</w:t>
            </w:r>
            <w:r w:rsidR="00531459">
              <w:t xml:space="preserve"> (test)</w:t>
            </w:r>
            <w:r w:rsidR="00B33566">
              <w:t xml:space="preserve"> specifically for the genetic variant that is causing </w:t>
            </w:r>
            <w:r w:rsidR="00CA54AA">
              <w:t>each</w:t>
            </w:r>
            <w:r w:rsidR="00B33566">
              <w:t xml:space="preserve"> patient’s ALL</w:t>
            </w:r>
            <w:r w:rsidR="00CA54AA">
              <w:t xml:space="preserve">. </w:t>
            </w:r>
            <w:r w:rsidRPr="00806713">
              <w:t>Not all types of cancer-causing genetic variant</w:t>
            </w:r>
            <w:r>
              <w:t>s</w:t>
            </w:r>
            <w:r w:rsidRPr="00806713">
              <w:t xml:space="preserve"> can be detected </w:t>
            </w:r>
            <w:r w:rsidRPr="00806713">
              <w:lastRenderedPageBreak/>
              <w:t xml:space="preserve">using </w:t>
            </w:r>
            <w:r w:rsidR="009F404D">
              <w:t>every</w:t>
            </w:r>
            <w:r w:rsidR="009F404D" w:rsidRPr="00806713">
              <w:t xml:space="preserve"> </w:t>
            </w:r>
            <w:r w:rsidRPr="00806713">
              <w:t xml:space="preserve">testing method, so one MRD testing method will not work for all patients, and different MRD testing method options need to be available. </w:t>
            </w:r>
            <w:r w:rsidR="00F40976">
              <w:t xml:space="preserve">MSAC </w:t>
            </w:r>
            <w:r w:rsidR="005C7A22">
              <w:t xml:space="preserve">already </w:t>
            </w:r>
            <w:r w:rsidR="00FC22A6">
              <w:t xml:space="preserve">supported public funding of MRD testing using </w:t>
            </w:r>
            <w:proofErr w:type="spellStart"/>
            <w:r w:rsidR="00FC22A6">
              <w:t>mpFC</w:t>
            </w:r>
            <w:proofErr w:type="spellEnd"/>
            <w:r w:rsidR="00FC22A6">
              <w:t xml:space="preserve"> and NGS methods in November 2022, so the method </w:t>
            </w:r>
            <w:r w:rsidR="005C7A22">
              <w:t>left</w:t>
            </w:r>
            <w:r w:rsidR="00FC22A6">
              <w:t xml:space="preserve"> to be considered under t</w:t>
            </w:r>
            <w:r w:rsidRPr="00806713">
              <w:t xml:space="preserve">his application </w:t>
            </w:r>
            <w:r w:rsidR="00FC22A6">
              <w:t>was</w:t>
            </w:r>
            <w:r>
              <w:t xml:space="preserve"> </w:t>
            </w:r>
            <w:r w:rsidRPr="00E15635">
              <w:t>qPCR</w:t>
            </w:r>
            <w:r>
              <w:t>.</w:t>
            </w:r>
          </w:p>
          <w:p w14:paraId="43191CC8" w14:textId="2A84EE2C" w:rsidR="00B17C02" w:rsidRDefault="00B17C02" w:rsidP="004D3912">
            <w:r>
              <w:t xml:space="preserve">MSAC </w:t>
            </w:r>
            <w:r w:rsidR="00CE59D7">
              <w:t>p</w:t>
            </w:r>
            <w:r w:rsidR="00237D96">
              <w:t>reviously</w:t>
            </w:r>
            <w:r w:rsidR="006200D8">
              <w:t xml:space="preserve"> </w:t>
            </w:r>
            <w:r>
              <w:t>accepted that t</w:t>
            </w:r>
            <w:r w:rsidRPr="00806713">
              <w:t>esting for measurable residual disease is routine health</w:t>
            </w:r>
            <w:r>
              <w:t xml:space="preserve"> </w:t>
            </w:r>
            <w:r w:rsidRPr="00806713">
              <w:t>care in Australia for patients with ALL</w:t>
            </w:r>
            <w:r w:rsidR="00CF00EA">
              <w:t>, and</w:t>
            </w:r>
            <w:r w:rsidRPr="00806713">
              <w:t xml:space="preserve"> that measuring measurable residual disease results in better health outcomes for patients, including longer survival</w:t>
            </w:r>
            <w:r w:rsidR="00CF00EA">
              <w:t xml:space="preserve"> and access to</w:t>
            </w:r>
            <w:r w:rsidR="005C2EA1">
              <w:t xml:space="preserve"> the</w:t>
            </w:r>
            <w:r w:rsidRPr="00806713">
              <w:t xml:space="preserve"> Pharmaceutical Benefits Scheme (PBS)</w:t>
            </w:r>
            <w:r w:rsidR="00CF00EA">
              <w:t>-funded</w:t>
            </w:r>
            <w:r w:rsidRPr="00806713">
              <w:t xml:space="preserve"> </w:t>
            </w:r>
            <w:r w:rsidR="005C2EA1">
              <w:t xml:space="preserve">treatment </w:t>
            </w:r>
            <w:r w:rsidRPr="00806713">
              <w:t>blinatumomab.</w:t>
            </w:r>
            <w:r w:rsidR="00DF1F66">
              <w:t xml:space="preserve"> MRD testing is safe as it usually doesn’t require any extra bone marrow samples to be collected.</w:t>
            </w:r>
          </w:p>
          <w:p w14:paraId="3571F667" w14:textId="7B91838D" w:rsidR="00B17C02" w:rsidRDefault="00B17C02" w:rsidP="004D3912">
            <w:r>
              <w:t xml:space="preserve">MSAC considered that </w:t>
            </w:r>
            <w:r w:rsidR="008F461D">
              <w:t>MRD testing using qPCR was also better</w:t>
            </w:r>
            <w:r>
              <w:t xml:space="preserve"> than </w:t>
            </w:r>
            <w:r w:rsidR="008F461D">
              <w:t xml:space="preserve">only looking to see if there are cancer cells left </w:t>
            </w:r>
            <w:r>
              <w:t>using cell morphology</w:t>
            </w:r>
            <w:r w:rsidR="00232DF7">
              <w:t xml:space="preserve"> (looking under a microscope)</w:t>
            </w:r>
            <w:r>
              <w:t xml:space="preserve">. </w:t>
            </w:r>
            <w:r w:rsidR="008F461D">
              <w:t>MSAC</w:t>
            </w:r>
            <w:r w:rsidR="00EC67A3">
              <w:t xml:space="preserve"> advised it was important that multiple MRD testing methods be funded, because not all methods will work for all patients. MSAC </w:t>
            </w:r>
            <w:r w:rsidR="00DF1F66">
              <w:t xml:space="preserve">considered that MRD testing using qPCR methods was acceptably cost-effective, and that the financial cost to the MBS of MRD testing overall across all three methods would be acceptable. </w:t>
            </w:r>
            <w:r>
              <w:t xml:space="preserve">Therefore, </w:t>
            </w:r>
            <w:r w:rsidRPr="00806713">
              <w:t xml:space="preserve">MSAC </w:t>
            </w:r>
            <w:r w:rsidR="00DF1F66">
              <w:t xml:space="preserve">supported public funding of </w:t>
            </w:r>
            <w:r w:rsidRPr="00806713">
              <w:t xml:space="preserve">measurable residual disease testing </w:t>
            </w:r>
            <w:r>
              <w:t>using qPCR</w:t>
            </w:r>
            <w:r w:rsidRPr="00806713">
              <w:t xml:space="preserve"> </w:t>
            </w:r>
            <w:r w:rsidR="00EC67A3">
              <w:t>methods</w:t>
            </w:r>
            <w:r w:rsidRPr="00806713">
              <w:t>.</w:t>
            </w:r>
          </w:p>
          <w:p w14:paraId="2955F376" w14:textId="361424AE" w:rsidR="00DF1F66" w:rsidRPr="00806713" w:rsidRDefault="00DF1F66" w:rsidP="004D3912">
            <w:r>
              <w:t xml:space="preserve">While </w:t>
            </w:r>
            <w:r w:rsidR="0023328E">
              <w:t xml:space="preserve">MRD testing usually uses bone marrow samples, when a patient is first diagnosed with ALL there are also many cancerous white blood cells in their blood, so MSAC </w:t>
            </w:r>
            <w:r w:rsidR="007404B1">
              <w:t>advised</w:t>
            </w:r>
            <w:r w:rsidR="0023328E">
              <w:t xml:space="preserve"> </w:t>
            </w:r>
            <w:r w:rsidR="00A24ACF">
              <w:t xml:space="preserve">that blood samples could also be used to develop </w:t>
            </w:r>
            <w:r w:rsidR="0023328E">
              <w:t>the qPCR assay to detect that patient’s specific genetic variant</w:t>
            </w:r>
            <w:r w:rsidR="00A24ACF">
              <w:t>. Then later after treatment</w:t>
            </w:r>
            <w:r w:rsidR="00A46A7B">
              <w:t xml:space="preserve"> when MRD testing is being used</w:t>
            </w:r>
            <w:r w:rsidR="00920BE0">
              <w:t>,</w:t>
            </w:r>
            <w:r w:rsidR="00CA54AA">
              <w:t xml:space="preserve"> </w:t>
            </w:r>
            <w:r w:rsidR="005B3909">
              <w:t>there will be a small number of</w:t>
            </w:r>
            <w:r w:rsidR="00CA54AA">
              <w:t xml:space="preserve"> patients</w:t>
            </w:r>
            <w:r w:rsidR="005B3909">
              <w:t xml:space="preserve"> who</w:t>
            </w:r>
            <w:r w:rsidR="00A46A7B">
              <w:t xml:space="preserve"> will </w:t>
            </w:r>
            <w:r w:rsidR="005B3909">
              <w:t xml:space="preserve">not </w:t>
            </w:r>
            <w:r w:rsidR="00A46A7B">
              <w:t>be able to provide a bone marrow sample</w:t>
            </w:r>
            <w:r w:rsidR="005B3909">
              <w:t xml:space="preserve">. MSAC advised that </w:t>
            </w:r>
            <w:r w:rsidR="78BB8213">
              <w:t xml:space="preserve">in patients with a type of ALL called T-ALL and </w:t>
            </w:r>
            <w:r w:rsidR="005B3909">
              <w:t xml:space="preserve">where a bone marrow sample is not </w:t>
            </w:r>
            <w:r w:rsidR="72308EC1">
              <w:t>obtainable</w:t>
            </w:r>
            <w:r w:rsidR="00DD3CC6">
              <w:t xml:space="preserve">, a </w:t>
            </w:r>
            <w:r w:rsidR="005B3909">
              <w:t xml:space="preserve">blood sample could </w:t>
            </w:r>
            <w:r w:rsidR="005B3AA7">
              <w:t>also be used for MRD testing using qPCR methods.</w:t>
            </w:r>
          </w:p>
          <w:p w14:paraId="7006ADC6" w14:textId="13B5A359" w:rsidR="00B17C02" w:rsidRPr="00806713" w:rsidRDefault="00B17C02" w:rsidP="002551A5">
            <w:pPr>
              <w:pStyle w:val="Heading3"/>
              <w:spacing w:before="240" w:after="120"/>
              <w:outlineLvl w:val="2"/>
            </w:pPr>
            <w:r w:rsidRPr="00806713">
              <w:t xml:space="preserve">MSAC’s advice to the </w:t>
            </w:r>
            <w:proofErr w:type="gramStart"/>
            <w:r w:rsidRPr="00806713">
              <w:t>Commonwealth Minister</w:t>
            </w:r>
            <w:proofErr w:type="gramEnd"/>
            <w:r w:rsidRPr="00806713">
              <w:t xml:space="preserve"> for Health</w:t>
            </w:r>
            <w:r w:rsidR="00C23190">
              <w:t xml:space="preserve"> and Aged Care</w:t>
            </w:r>
          </w:p>
          <w:p w14:paraId="4B457566" w14:textId="106F58E2" w:rsidR="00B17C02" w:rsidRPr="00E15635" w:rsidRDefault="00B17C02" w:rsidP="004D3912">
            <w:pPr>
              <w:rPr>
                <w:highlight w:val="yellow"/>
              </w:rPr>
            </w:pPr>
            <w:r w:rsidRPr="00806713">
              <w:t xml:space="preserve">MSAC supported listing measurable residual disease </w:t>
            </w:r>
            <w:r w:rsidR="005B3AA7">
              <w:t xml:space="preserve">(MRD) </w:t>
            </w:r>
            <w:r w:rsidRPr="00806713">
              <w:t xml:space="preserve">testing </w:t>
            </w:r>
            <w:r w:rsidR="005B3AA7">
              <w:t xml:space="preserve">using qPCR </w:t>
            </w:r>
            <w:r w:rsidRPr="00806713">
              <w:t xml:space="preserve">on the MBS for patients with </w:t>
            </w:r>
            <w:r>
              <w:t>ALL</w:t>
            </w:r>
            <w:r w:rsidR="005B3AA7">
              <w:t>, including an item to develop the patient-specific assay</w:t>
            </w:r>
            <w:r w:rsidR="00CD1DBE">
              <w:t xml:space="preserve"> and use it the first time,</w:t>
            </w:r>
            <w:r w:rsidR="005B3AA7">
              <w:t xml:space="preserve"> and an item </w:t>
            </w:r>
            <w:r w:rsidR="00CD1DBE">
              <w:t>to subsequently use the developed MRD assay</w:t>
            </w:r>
            <w:r w:rsidRPr="00806713">
              <w:t xml:space="preserve">. MSAC considered </w:t>
            </w:r>
            <w:r w:rsidR="00CD1DBE">
              <w:t>MRD</w:t>
            </w:r>
            <w:r w:rsidRPr="00806713">
              <w:t xml:space="preserve"> testing </w:t>
            </w:r>
            <w:r w:rsidR="00CD1DBE">
              <w:t xml:space="preserve">using qPCR methods </w:t>
            </w:r>
            <w:r w:rsidRPr="00806713">
              <w:t xml:space="preserve">to be safe, effective, good value for money, and to have an acceptable </w:t>
            </w:r>
            <w:r w:rsidR="00CD1DBE">
              <w:t xml:space="preserve">total financial </w:t>
            </w:r>
            <w:r w:rsidRPr="00806713">
              <w:t>cost to the MBS</w:t>
            </w:r>
            <w:r>
              <w:t>.</w:t>
            </w:r>
          </w:p>
        </w:tc>
      </w:tr>
    </w:tbl>
    <w:p w14:paraId="5A5BB31C" w14:textId="6D5503CE" w:rsidR="00C065D7" w:rsidRDefault="00C065D7" w:rsidP="00C065D7">
      <w:pPr>
        <w:pStyle w:val="Heading2"/>
      </w:pPr>
      <w:r>
        <w:lastRenderedPageBreak/>
        <w:t>3.</w:t>
      </w:r>
      <w:r>
        <w:tab/>
        <w:t>Summary of consideration and rationale for MSAC’s advice</w:t>
      </w:r>
    </w:p>
    <w:p w14:paraId="2415C7BE" w14:textId="2FDB146D" w:rsidR="005F2296" w:rsidRDefault="005F2296" w:rsidP="005F2296">
      <w:bookmarkStart w:id="3" w:name="_Toc118798859"/>
      <w:bookmarkStart w:id="4" w:name="_Toc121906358"/>
      <w:bookmarkEnd w:id="2"/>
      <w:r w:rsidRPr="00516D4E">
        <w:t>MSAC</w:t>
      </w:r>
      <w:r>
        <w:t xml:space="preserve"> noted that this application from the Royal College of Pathologists </w:t>
      </w:r>
      <w:r w:rsidR="00CD1DBE">
        <w:t xml:space="preserve">of </w:t>
      </w:r>
      <w:r>
        <w:t xml:space="preserve">Australasia (RCPA) </w:t>
      </w:r>
      <w:r w:rsidR="00C90A21">
        <w:t xml:space="preserve">was </w:t>
      </w:r>
      <w:r w:rsidR="00CD1DBE">
        <w:t xml:space="preserve">initially </w:t>
      </w:r>
      <w:r>
        <w:t xml:space="preserve">for </w:t>
      </w:r>
      <w:r w:rsidRPr="00E15635">
        <w:t>MBS items for testing for MRD in patients with ALL</w:t>
      </w:r>
      <w:r w:rsidR="00CD1DBE">
        <w:t xml:space="preserve"> using</w:t>
      </w:r>
      <w:r>
        <w:t xml:space="preserve"> </w:t>
      </w:r>
      <w:r w:rsidRPr="00E15635">
        <w:t>multiparametric flow cytometry (</w:t>
      </w:r>
      <w:proofErr w:type="spellStart"/>
      <w:r w:rsidRPr="00E15635">
        <w:t>mpFC</w:t>
      </w:r>
      <w:proofErr w:type="spellEnd"/>
      <w:r w:rsidRPr="00E15635">
        <w:t>; item AAAA)</w:t>
      </w:r>
      <w:r>
        <w:t xml:space="preserve">, </w:t>
      </w:r>
      <w:r w:rsidRPr="00E15635">
        <w:t xml:space="preserve">NGS </w:t>
      </w:r>
      <w:r>
        <w:t>(</w:t>
      </w:r>
      <w:r w:rsidRPr="00E15635">
        <w:t>item BBBB), and</w:t>
      </w:r>
      <w:r>
        <w:t xml:space="preserve"> </w:t>
      </w:r>
      <w:r w:rsidRPr="00E15635">
        <w:t>the development and first use (item CCCC) and subsequent use (item DDDD) of a patient-specific quantitative polymerase chain reaction (qPCR) MRD assay</w:t>
      </w:r>
      <w:r>
        <w:t>.</w:t>
      </w:r>
      <w:r w:rsidR="002C717C">
        <w:t xml:space="preserve"> </w:t>
      </w:r>
      <w:r>
        <w:t xml:space="preserve">MSAC recalled </w:t>
      </w:r>
      <w:r w:rsidR="002C717C">
        <w:t xml:space="preserve">it had already </w:t>
      </w:r>
      <w:r>
        <w:t xml:space="preserve">supported </w:t>
      </w:r>
      <w:r w:rsidR="002C717C">
        <w:t>MRD testing using</w:t>
      </w:r>
      <w:r>
        <w:t xml:space="preserve"> </w:t>
      </w:r>
      <w:proofErr w:type="spellStart"/>
      <w:r>
        <w:t>mpFC</w:t>
      </w:r>
      <w:proofErr w:type="spellEnd"/>
      <w:r>
        <w:t xml:space="preserve"> and NGS</w:t>
      </w:r>
      <w:r w:rsidR="002C717C">
        <w:t xml:space="preserve"> methods</w:t>
      </w:r>
      <w:r>
        <w:t xml:space="preserve"> at its November 2022 meeting</w:t>
      </w:r>
      <w:r w:rsidR="002C717C">
        <w:t xml:space="preserve"> (MSAC application 1707)</w:t>
      </w:r>
      <w:r w:rsidR="000A0AB0">
        <w:rPr>
          <w:rStyle w:val="FootnoteReference"/>
        </w:rPr>
        <w:footnoteReference w:id="2"/>
      </w:r>
      <w:r>
        <w:t xml:space="preserve">. Therefore, </w:t>
      </w:r>
      <w:r w:rsidRPr="006C548A">
        <w:t>only MRD testing using qPCR</w:t>
      </w:r>
      <w:r w:rsidR="000A0AB0">
        <w:t xml:space="preserve"> methods,</w:t>
      </w:r>
      <w:r w:rsidRPr="006C548A">
        <w:t xml:space="preserve"> </w:t>
      </w:r>
      <w:proofErr w:type="gramStart"/>
      <w:r w:rsidRPr="006C548A">
        <w:t>i.e.</w:t>
      </w:r>
      <w:proofErr w:type="gramEnd"/>
      <w:r w:rsidRPr="006C548A">
        <w:t xml:space="preserve"> items CCCC and DDDD</w:t>
      </w:r>
      <w:r>
        <w:t xml:space="preserve">, </w:t>
      </w:r>
      <w:r w:rsidR="00110C19" w:rsidRPr="006C548A">
        <w:t>remain</w:t>
      </w:r>
      <w:r w:rsidR="00110C19">
        <w:t>ed</w:t>
      </w:r>
      <w:r w:rsidR="00110C19" w:rsidRPr="006C548A">
        <w:t xml:space="preserve"> </w:t>
      </w:r>
      <w:r w:rsidRPr="006C548A">
        <w:t xml:space="preserve">for MSAC’s consideration under </w:t>
      </w:r>
      <w:r>
        <w:t>A</w:t>
      </w:r>
      <w:r w:rsidRPr="006C548A">
        <w:t>pplication 1703</w:t>
      </w:r>
      <w:r>
        <w:t>.</w:t>
      </w:r>
    </w:p>
    <w:p w14:paraId="729C923F" w14:textId="4D01D0F1" w:rsidR="005F2296" w:rsidRDefault="005F2296" w:rsidP="005F2296">
      <w:r>
        <w:t xml:space="preserve">MSAC recalled that, for Application 1707, it </w:t>
      </w:r>
      <w:r w:rsidR="000A0AB0">
        <w:t xml:space="preserve">had </w:t>
      </w:r>
      <w:r>
        <w:t>already accepted that:</w:t>
      </w:r>
    </w:p>
    <w:p w14:paraId="7BA36D00" w14:textId="61F99E4E" w:rsidR="005F2296" w:rsidRPr="005F2296" w:rsidRDefault="005F2296" w:rsidP="009911BE">
      <w:pPr>
        <w:pStyle w:val="Bullet"/>
        <w:numPr>
          <w:ilvl w:val="0"/>
          <w:numId w:val="22"/>
        </w:numPr>
        <w:spacing w:before="0"/>
        <w:ind w:left="720"/>
        <w:rPr>
          <w:rFonts w:ascii="Franklin Gothic Book" w:hAnsi="Franklin Gothic Book"/>
        </w:rPr>
      </w:pPr>
      <w:r w:rsidRPr="005F2296">
        <w:rPr>
          <w:rFonts w:ascii="Franklin Gothic Book" w:hAnsi="Franklin Gothic Book"/>
        </w:rPr>
        <w:lastRenderedPageBreak/>
        <w:t xml:space="preserve">MRD testing in patients with ALL </w:t>
      </w:r>
      <w:r w:rsidR="005A160A" w:rsidRPr="005F2296">
        <w:rPr>
          <w:rFonts w:ascii="Franklin Gothic Book" w:hAnsi="Franklin Gothic Book"/>
        </w:rPr>
        <w:t>ha</w:t>
      </w:r>
      <w:r w:rsidR="005A160A">
        <w:rPr>
          <w:rFonts w:ascii="Franklin Gothic Book" w:hAnsi="Franklin Gothic Book"/>
        </w:rPr>
        <w:t>d</w:t>
      </w:r>
      <w:r w:rsidR="005A160A" w:rsidRPr="005F2296">
        <w:rPr>
          <w:rFonts w:ascii="Franklin Gothic Book" w:hAnsi="Franklin Gothic Book"/>
        </w:rPr>
        <w:t xml:space="preserve"> </w:t>
      </w:r>
      <w:r w:rsidRPr="005F2296">
        <w:rPr>
          <w:rFonts w:ascii="Franklin Gothic Book" w:hAnsi="Franklin Gothic Book"/>
        </w:rPr>
        <w:t xml:space="preserve">non-inferior safety; </w:t>
      </w:r>
      <w:r w:rsidR="005A160A" w:rsidRPr="005F2296">
        <w:rPr>
          <w:rFonts w:ascii="Franklin Gothic Book" w:hAnsi="Franklin Gothic Book"/>
        </w:rPr>
        <w:t>provide</w:t>
      </w:r>
      <w:r w:rsidR="005A160A">
        <w:rPr>
          <w:rFonts w:ascii="Franklin Gothic Book" w:hAnsi="Franklin Gothic Book"/>
        </w:rPr>
        <w:t>d</w:t>
      </w:r>
      <w:r w:rsidR="005A160A" w:rsidRPr="005F2296">
        <w:rPr>
          <w:rFonts w:ascii="Franklin Gothic Book" w:hAnsi="Franklin Gothic Book"/>
        </w:rPr>
        <w:t xml:space="preserve"> </w:t>
      </w:r>
      <w:r w:rsidRPr="005F2296">
        <w:rPr>
          <w:rFonts w:ascii="Franklin Gothic Book" w:hAnsi="Franklin Gothic Book"/>
        </w:rPr>
        <w:t xml:space="preserve">diagnostic, prognostic and/or predictive utility; and </w:t>
      </w:r>
      <w:r w:rsidR="00A32C48" w:rsidRPr="005F2296">
        <w:rPr>
          <w:rFonts w:ascii="Franklin Gothic Book" w:hAnsi="Franklin Gothic Book"/>
        </w:rPr>
        <w:t>ha</w:t>
      </w:r>
      <w:r w:rsidR="00A32C48">
        <w:rPr>
          <w:rFonts w:ascii="Franklin Gothic Book" w:hAnsi="Franklin Gothic Book"/>
        </w:rPr>
        <w:t>d</w:t>
      </w:r>
      <w:r w:rsidR="00A32C48" w:rsidRPr="005F2296">
        <w:rPr>
          <w:rFonts w:ascii="Franklin Gothic Book" w:hAnsi="Franklin Gothic Book"/>
        </w:rPr>
        <w:t xml:space="preserve"> </w:t>
      </w:r>
      <w:r w:rsidRPr="005F2296">
        <w:rPr>
          <w:rFonts w:ascii="Franklin Gothic Book" w:hAnsi="Franklin Gothic Book"/>
        </w:rPr>
        <w:t>acceptable cost-effectiveness</w:t>
      </w:r>
      <w:r w:rsidR="00CF60E1">
        <w:rPr>
          <w:rFonts w:ascii="Franklin Gothic Book" w:hAnsi="Franklin Gothic Book"/>
        </w:rPr>
        <w:t xml:space="preserve"> using </w:t>
      </w:r>
      <w:proofErr w:type="spellStart"/>
      <w:r w:rsidR="00CF60E1">
        <w:rPr>
          <w:rFonts w:ascii="Franklin Gothic Book" w:hAnsi="Franklin Gothic Book"/>
        </w:rPr>
        <w:t>mpFC</w:t>
      </w:r>
      <w:proofErr w:type="spellEnd"/>
      <w:r w:rsidR="00CF60E1">
        <w:rPr>
          <w:rFonts w:ascii="Franklin Gothic Book" w:hAnsi="Franklin Gothic Book"/>
        </w:rPr>
        <w:t xml:space="preserve"> and NGS methods.</w:t>
      </w:r>
    </w:p>
    <w:p w14:paraId="47998B6A" w14:textId="4D520BB8" w:rsidR="005F2296" w:rsidRPr="005F2296" w:rsidRDefault="005F2296" w:rsidP="009911BE">
      <w:pPr>
        <w:pStyle w:val="Bullet"/>
        <w:numPr>
          <w:ilvl w:val="0"/>
          <w:numId w:val="22"/>
        </w:numPr>
        <w:spacing w:before="0"/>
        <w:ind w:left="720"/>
        <w:rPr>
          <w:rFonts w:ascii="Franklin Gothic Book" w:hAnsi="Franklin Gothic Book"/>
        </w:rPr>
      </w:pPr>
      <w:r w:rsidRPr="005F2296">
        <w:rPr>
          <w:rFonts w:ascii="Franklin Gothic Book" w:hAnsi="Franklin Gothic Book"/>
        </w:rPr>
        <w:t xml:space="preserve">MRD testing </w:t>
      </w:r>
      <w:r w:rsidR="005A160A" w:rsidRPr="005F2296">
        <w:rPr>
          <w:rFonts w:ascii="Franklin Gothic Book" w:hAnsi="Franklin Gothic Book"/>
        </w:rPr>
        <w:t>represent</w:t>
      </w:r>
      <w:r w:rsidR="005A160A">
        <w:rPr>
          <w:rFonts w:ascii="Franklin Gothic Book" w:hAnsi="Franklin Gothic Book"/>
        </w:rPr>
        <w:t>ed</w:t>
      </w:r>
      <w:r w:rsidR="005A160A" w:rsidRPr="005F2296">
        <w:rPr>
          <w:rFonts w:ascii="Franklin Gothic Book" w:hAnsi="Franklin Gothic Book"/>
        </w:rPr>
        <w:t xml:space="preserve"> </w:t>
      </w:r>
      <w:r w:rsidRPr="005F2296">
        <w:rPr>
          <w:rFonts w:ascii="Franklin Gothic Book" w:hAnsi="Franklin Gothic Book"/>
        </w:rPr>
        <w:t xml:space="preserve">established standard of care for </w:t>
      </w:r>
      <w:r w:rsidR="00CF60E1">
        <w:rPr>
          <w:rFonts w:ascii="Franklin Gothic Book" w:hAnsi="Franklin Gothic Book"/>
        </w:rPr>
        <w:t xml:space="preserve">patients with </w:t>
      </w:r>
      <w:r w:rsidRPr="005F2296">
        <w:rPr>
          <w:rFonts w:ascii="Franklin Gothic Book" w:hAnsi="Franklin Gothic Book"/>
        </w:rPr>
        <w:t xml:space="preserve">ALL, and public funding </w:t>
      </w:r>
      <w:r w:rsidR="000A0AB0">
        <w:rPr>
          <w:rFonts w:ascii="Franklin Gothic Book" w:hAnsi="Franklin Gothic Book"/>
        </w:rPr>
        <w:t>would improve</w:t>
      </w:r>
      <w:r w:rsidRPr="005F2296">
        <w:rPr>
          <w:rFonts w:ascii="Franklin Gothic Book" w:hAnsi="Franklin Gothic Book"/>
        </w:rPr>
        <w:t xml:space="preserve"> inequity of access to PBS</w:t>
      </w:r>
      <w:r w:rsidR="000A0AB0">
        <w:rPr>
          <w:rFonts w:ascii="Franklin Gothic Book" w:hAnsi="Franklin Gothic Book"/>
        </w:rPr>
        <w:t>-</w:t>
      </w:r>
      <w:r w:rsidRPr="005F2296">
        <w:rPr>
          <w:rFonts w:ascii="Franklin Gothic Book" w:hAnsi="Franklin Gothic Book"/>
        </w:rPr>
        <w:t>listed blinatumomab</w:t>
      </w:r>
      <w:r w:rsidR="00CF60E1">
        <w:rPr>
          <w:rFonts w:ascii="Franklin Gothic Book" w:hAnsi="Franklin Gothic Book"/>
        </w:rPr>
        <w:t>.</w:t>
      </w:r>
    </w:p>
    <w:p w14:paraId="02BBFEB2" w14:textId="72706687" w:rsidR="005F2296" w:rsidRPr="005F2296" w:rsidRDefault="0013669C" w:rsidP="009911BE">
      <w:pPr>
        <w:pStyle w:val="Bullet"/>
        <w:numPr>
          <w:ilvl w:val="0"/>
          <w:numId w:val="22"/>
        </w:numPr>
        <w:spacing w:before="0"/>
        <w:ind w:left="720"/>
        <w:rPr>
          <w:rFonts w:ascii="Franklin Gothic Book" w:hAnsi="Franklin Gothic Book"/>
        </w:rPr>
      </w:pPr>
      <w:r>
        <w:rPr>
          <w:rFonts w:ascii="Franklin Gothic Book" w:hAnsi="Franklin Gothic Book"/>
        </w:rPr>
        <w:t>Having multiple</w:t>
      </w:r>
      <w:r w:rsidR="005F2296" w:rsidRPr="005F2296">
        <w:rPr>
          <w:rFonts w:ascii="Franklin Gothic Book" w:hAnsi="Franklin Gothic Book"/>
        </w:rPr>
        <w:t xml:space="preserve"> methods </w:t>
      </w:r>
      <w:r>
        <w:rPr>
          <w:rFonts w:ascii="Franklin Gothic Book" w:hAnsi="Franklin Gothic Book"/>
        </w:rPr>
        <w:t xml:space="preserve">of MRD testing available to patients is important as they are </w:t>
      </w:r>
      <w:r w:rsidR="005F2296" w:rsidRPr="005F2296">
        <w:rPr>
          <w:rFonts w:ascii="Franklin Gothic Book" w:hAnsi="Franklin Gothic Book"/>
        </w:rPr>
        <w:t xml:space="preserve">complementary; one method alone </w:t>
      </w:r>
      <w:r>
        <w:rPr>
          <w:rFonts w:ascii="Franklin Gothic Book" w:hAnsi="Franklin Gothic Book"/>
        </w:rPr>
        <w:t>will</w:t>
      </w:r>
      <w:r w:rsidR="00B333DD" w:rsidRPr="005F2296">
        <w:rPr>
          <w:rFonts w:ascii="Franklin Gothic Book" w:hAnsi="Franklin Gothic Book"/>
        </w:rPr>
        <w:t xml:space="preserve"> </w:t>
      </w:r>
      <w:r w:rsidR="005F2296" w:rsidRPr="005F2296">
        <w:rPr>
          <w:rFonts w:ascii="Franklin Gothic Book" w:hAnsi="Franklin Gothic Book"/>
        </w:rPr>
        <w:t xml:space="preserve">not detect the variant present in </w:t>
      </w:r>
      <w:r>
        <w:rPr>
          <w:rFonts w:ascii="Franklin Gothic Book" w:hAnsi="Franklin Gothic Book"/>
        </w:rPr>
        <w:t>every</w:t>
      </w:r>
      <w:r w:rsidRPr="005F2296">
        <w:rPr>
          <w:rFonts w:ascii="Franklin Gothic Book" w:hAnsi="Franklin Gothic Book"/>
        </w:rPr>
        <w:t xml:space="preserve"> </w:t>
      </w:r>
      <w:r w:rsidR="005F2296" w:rsidRPr="005F2296">
        <w:rPr>
          <w:rFonts w:ascii="Franklin Gothic Book" w:hAnsi="Franklin Gothic Book"/>
        </w:rPr>
        <w:t>patient</w:t>
      </w:r>
      <w:r w:rsidR="00CF60E1">
        <w:rPr>
          <w:rFonts w:ascii="Franklin Gothic Book" w:hAnsi="Franklin Gothic Book"/>
        </w:rPr>
        <w:t>.</w:t>
      </w:r>
    </w:p>
    <w:p w14:paraId="01269E34" w14:textId="51202E2C" w:rsidR="005F2296" w:rsidRPr="005F2296" w:rsidRDefault="0013669C" w:rsidP="009911BE">
      <w:pPr>
        <w:pStyle w:val="Bullet"/>
        <w:numPr>
          <w:ilvl w:val="0"/>
          <w:numId w:val="22"/>
        </w:numPr>
        <w:spacing w:before="0"/>
        <w:ind w:left="720"/>
        <w:rPr>
          <w:rFonts w:ascii="Franklin Gothic Book" w:hAnsi="Franklin Gothic Book"/>
        </w:rPr>
      </w:pPr>
      <w:r>
        <w:rPr>
          <w:rFonts w:ascii="Franklin Gothic Book" w:hAnsi="Franklin Gothic Book"/>
        </w:rPr>
        <w:t>R</w:t>
      </w:r>
      <w:r w:rsidR="005F2296" w:rsidRPr="005F2296">
        <w:rPr>
          <w:rFonts w:ascii="Franklin Gothic Book" w:hAnsi="Franklin Gothic Book"/>
        </w:rPr>
        <w:t>equest</w:t>
      </w:r>
      <w:r w:rsidR="00FD6CE8">
        <w:rPr>
          <w:rFonts w:ascii="Franklin Gothic Book" w:hAnsi="Franklin Gothic Book"/>
        </w:rPr>
        <w:t>ors</w:t>
      </w:r>
      <w:r w:rsidR="005F2296" w:rsidRPr="005F2296">
        <w:rPr>
          <w:rFonts w:ascii="Franklin Gothic Book" w:hAnsi="Franklin Gothic Book"/>
        </w:rPr>
        <w:t xml:space="preserve"> should be restricted to haematologists and oncologists</w:t>
      </w:r>
      <w:r w:rsidR="00D91852">
        <w:rPr>
          <w:rFonts w:ascii="Franklin Gothic Book" w:hAnsi="Franklin Gothic Book"/>
        </w:rPr>
        <w:t>.</w:t>
      </w:r>
    </w:p>
    <w:p w14:paraId="75D36C5C" w14:textId="3A527C85" w:rsidR="005F2296" w:rsidRPr="005F2296" w:rsidRDefault="00B30294" w:rsidP="009911BE">
      <w:pPr>
        <w:pStyle w:val="Bullet"/>
        <w:numPr>
          <w:ilvl w:val="0"/>
          <w:numId w:val="22"/>
        </w:numPr>
        <w:spacing w:before="0"/>
        <w:ind w:left="720"/>
        <w:rPr>
          <w:rFonts w:ascii="Franklin Gothic Book" w:hAnsi="Franklin Gothic Book"/>
        </w:rPr>
      </w:pPr>
      <w:r>
        <w:rPr>
          <w:rFonts w:ascii="Franklin Gothic Book" w:hAnsi="Franklin Gothic Book"/>
        </w:rPr>
        <w:t>T</w:t>
      </w:r>
      <w:r w:rsidR="005F2296" w:rsidRPr="005F2296">
        <w:rPr>
          <w:rFonts w:ascii="Franklin Gothic Book" w:hAnsi="Franklin Gothic Book"/>
        </w:rPr>
        <w:t xml:space="preserve">here </w:t>
      </w:r>
      <w:r w:rsidR="00197D5F">
        <w:rPr>
          <w:rFonts w:ascii="Franklin Gothic Book" w:hAnsi="Franklin Gothic Book"/>
        </w:rPr>
        <w:t>wa</w:t>
      </w:r>
      <w:r w:rsidR="00197D5F" w:rsidRPr="005F2296">
        <w:rPr>
          <w:rFonts w:ascii="Franklin Gothic Book" w:hAnsi="Franklin Gothic Book"/>
        </w:rPr>
        <w:t xml:space="preserve">s </w:t>
      </w:r>
      <w:r w:rsidR="005F2296" w:rsidRPr="005F2296">
        <w:rPr>
          <w:rFonts w:ascii="Franklin Gothic Book" w:hAnsi="Franklin Gothic Book"/>
        </w:rPr>
        <w:t>unlikely to be overuse of MRD testing or utilisation outside the intended population</w:t>
      </w:r>
      <w:r w:rsidR="00FD6CE8">
        <w:rPr>
          <w:rFonts w:ascii="Franklin Gothic Book" w:hAnsi="Franklin Gothic Book"/>
        </w:rPr>
        <w:t xml:space="preserve"> of patients with ALL.</w:t>
      </w:r>
    </w:p>
    <w:p w14:paraId="17A048D8" w14:textId="23F41E82" w:rsidR="005F2296" w:rsidRPr="005C0F7F" w:rsidRDefault="005F2296" w:rsidP="005F2296">
      <w:r>
        <w:t xml:space="preserve">MSAC noted </w:t>
      </w:r>
      <w:r w:rsidR="000B61B4">
        <w:t xml:space="preserve">consultation </w:t>
      </w:r>
      <w:r>
        <w:t xml:space="preserve">feedback </w:t>
      </w:r>
      <w:r w:rsidR="000F3B0B">
        <w:t xml:space="preserve">from the Leukaemia Foundation </w:t>
      </w:r>
      <w:r>
        <w:t>suggested that e</w:t>
      </w:r>
      <w:r w:rsidRPr="005C0F7F">
        <w:t xml:space="preserve">ligibility for the proposed services </w:t>
      </w:r>
      <w:r w:rsidR="00F3141A">
        <w:t>c</w:t>
      </w:r>
      <w:r w:rsidR="00F3141A" w:rsidRPr="005C0F7F">
        <w:t xml:space="preserve">ould </w:t>
      </w:r>
      <w:r w:rsidRPr="005C0F7F">
        <w:t>be extended to patients with acute myeloid leukaemia (AML</w:t>
      </w:r>
      <w:r>
        <w:t>)</w:t>
      </w:r>
      <w:r w:rsidR="00FD6CE8">
        <w:t>,</w:t>
      </w:r>
      <w:r>
        <w:t xml:space="preserve"> however MSAC considered that</w:t>
      </w:r>
      <w:r w:rsidR="00322AF8">
        <w:t xml:space="preserve"> </w:t>
      </w:r>
      <w:r w:rsidR="000B61B4">
        <w:t>the proposed</w:t>
      </w:r>
      <w:r>
        <w:t xml:space="preserve"> </w:t>
      </w:r>
      <w:r w:rsidR="00DB5EE4">
        <w:t>MRD testing</w:t>
      </w:r>
      <w:r w:rsidR="000B61B4">
        <w:t xml:space="preserve"> would not be able to detect the types of variants found</w:t>
      </w:r>
      <w:r w:rsidR="00DB5EE4">
        <w:t xml:space="preserve"> in patients with AML</w:t>
      </w:r>
      <w:r w:rsidR="000F3B0B">
        <w:t xml:space="preserve"> so advised that </w:t>
      </w:r>
      <w:r w:rsidR="006D405E">
        <w:t xml:space="preserve">including AML within this consideration </w:t>
      </w:r>
      <w:r w:rsidR="000F3B0B">
        <w:t>would not be appropriate</w:t>
      </w:r>
      <w:r>
        <w:t xml:space="preserve">. </w:t>
      </w:r>
      <w:r w:rsidR="00322AF8">
        <w:t xml:space="preserve">MSAC </w:t>
      </w:r>
      <w:r w:rsidR="6B234107">
        <w:t>noted that no</w:t>
      </w:r>
      <w:r w:rsidR="00322AF8">
        <w:t xml:space="preserve"> evidence for MRD testing in patients with AML </w:t>
      </w:r>
      <w:r w:rsidR="36001D1C">
        <w:t>or other haematological malignancies was considered in this application</w:t>
      </w:r>
      <w:r w:rsidR="00DA77AC">
        <w:t xml:space="preserve">, as the PICO defined </w:t>
      </w:r>
      <w:r w:rsidR="00BE725C">
        <w:t xml:space="preserve">the population </w:t>
      </w:r>
      <w:r w:rsidR="00DA77AC">
        <w:t>as patients with ALL only</w:t>
      </w:r>
      <w:r w:rsidR="36001D1C">
        <w:t xml:space="preserve">. </w:t>
      </w:r>
      <w:r w:rsidR="000D7D8F">
        <w:t>However, once</w:t>
      </w:r>
      <w:r w:rsidR="00E952CC">
        <w:t xml:space="preserve"> evidence </w:t>
      </w:r>
      <w:r w:rsidR="0059393A">
        <w:t xml:space="preserve">is </w:t>
      </w:r>
      <w:r w:rsidR="00E952CC">
        <w:t>available</w:t>
      </w:r>
      <w:r w:rsidR="5ABDDDD9">
        <w:t>,</w:t>
      </w:r>
      <w:r w:rsidR="00E952CC">
        <w:t xml:space="preserve"> an </w:t>
      </w:r>
      <w:r w:rsidR="00076A1C">
        <w:t xml:space="preserve">MSAC application could be lodged for </w:t>
      </w:r>
      <w:r w:rsidR="02ADB0AE">
        <w:t>other</w:t>
      </w:r>
      <w:r w:rsidR="08FD440E">
        <w:t xml:space="preserve"> population</w:t>
      </w:r>
      <w:r w:rsidR="26025766">
        <w:t>s</w:t>
      </w:r>
      <w:r w:rsidR="00076A1C">
        <w:t>.</w:t>
      </w:r>
    </w:p>
    <w:p w14:paraId="7B17548A" w14:textId="64FEAC6B" w:rsidR="005F2296" w:rsidDel="00825E78" w:rsidRDefault="005F2296" w:rsidP="005F2296">
      <w:r w:rsidDel="00825E78">
        <w:t>MSAC recalled that it advised that t</w:t>
      </w:r>
      <w:r w:rsidRPr="005C0F7F" w:rsidDel="00825E78">
        <w:t>he proposed maximum of 12 services per episode of disease is appropriate and should apply across all testing modalities</w:t>
      </w:r>
      <w:r w:rsidDel="00825E78">
        <w:t>, and that a</w:t>
      </w:r>
      <w:r w:rsidRPr="005C0F7F" w:rsidDel="00825E78">
        <w:t xml:space="preserve">n episode of disease may be difficult to define, and it should be made clear that cancer relapse is considered a new episode of disease. </w:t>
      </w:r>
      <w:r w:rsidDel="00825E78">
        <w:t xml:space="preserve">In November 2022, MSAC recommended that these </w:t>
      </w:r>
      <w:r w:rsidRPr="005C0F7F" w:rsidDel="00825E78">
        <w:t xml:space="preserve">details </w:t>
      </w:r>
      <w:r w:rsidDel="00825E78">
        <w:t xml:space="preserve">move from the </w:t>
      </w:r>
      <w:r w:rsidR="006D405E">
        <w:t xml:space="preserve">MBS </w:t>
      </w:r>
      <w:r w:rsidR="007D6B20">
        <w:t>i</w:t>
      </w:r>
      <w:r w:rsidR="006D405E">
        <w:t xml:space="preserve">tem </w:t>
      </w:r>
      <w:r w:rsidDel="00825E78">
        <w:t>d</w:t>
      </w:r>
      <w:r w:rsidRPr="005C0F7F" w:rsidDel="00825E78">
        <w:t>escriptor to a Practice Note</w:t>
      </w:r>
      <w:r w:rsidDel="00825E78">
        <w:t>.</w:t>
      </w:r>
    </w:p>
    <w:p w14:paraId="49133CAD" w14:textId="6ABD447A" w:rsidR="005F2296" w:rsidRDefault="005F2296" w:rsidP="005F2296">
      <w:r>
        <w:t>MSAC noted ESC</w:t>
      </w:r>
      <w:r w:rsidR="00331D7A">
        <w:t>’s</w:t>
      </w:r>
      <w:r>
        <w:t xml:space="preserve"> </w:t>
      </w:r>
      <w:r w:rsidR="00331D7A">
        <w:t>concerns around whether the methodology for the intervention had been defined inconsistently</w:t>
      </w:r>
      <w:r w:rsidR="0016468E">
        <w:t xml:space="preserve"> given it was variously presented as PCR, </w:t>
      </w:r>
      <w:proofErr w:type="gramStart"/>
      <w:r w:rsidR="0016468E">
        <w:t>qPCR</w:t>
      </w:r>
      <w:proofErr w:type="gramEnd"/>
      <w:r w:rsidR="0016468E">
        <w:t xml:space="preserve"> and ASO-qPCR in the DCAR</w:t>
      </w:r>
      <w:r w:rsidRPr="00DC4106">
        <w:t xml:space="preserve">, and </w:t>
      </w:r>
      <w:r w:rsidR="006F78F1">
        <w:t>quer</w:t>
      </w:r>
      <w:r w:rsidR="004E161C">
        <w:t>ied</w:t>
      </w:r>
      <w:r w:rsidR="006F78F1">
        <w:t xml:space="preserve"> </w:t>
      </w:r>
      <w:r w:rsidRPr="00DC4106">
        <w:t>whether the proposed MBS item was intended to be restricted to ASO-qPCR</w:t>
      </w:r>
      <w:r w:rsidR="006F78F1">
        <w:t xml:space="preserve"> given its proposed fee was based on the cost to conduct ASO-qPCR</w:t>
      </w:r>
      <w:r w:rsidRPr="00DC4106">
        <w:t>.</w:t>
      </w:r>
      <w:r>
        <w:t xml:space="preserve"> MSAC noted that </w:t>
      </w:r>
      <w:r w:rsidR="00027B56">
        <w:t xml:space="preserve">in </w:t>
      </w:r>
      <w:r>
        <w:t>the pre-MSAC response</w:t>
      </w:r>
      <w:r w:rsidR="00027B56">
        <w:t xml:space="preserve"> the applicant</w:t>
      </w:r>
      <w:r>
        <w:t xml:space="preserve"> clarified </w:t>
      </w:r>
      <w:r w:rsidR="00027B56">
        <w:t>that</w:t>
      </w:r>
      <w:r w:rsidRPr="00DC4106">
        <w:t xml:space="preserve"> </w:t>
      </w:r>
      <w:r w:rsidR="00A8018A">
        <w:t>it had not intended</w:t>
      </w:r>
      <w:r w:rsidRPr="00DC4106">
        <w:t xml:space="preserve"> to limit the MBS item to ASO-qPCR: any qPCR methodology would be appropriate </w:t>
      </w:r>
      <w:r>
        <w:t>(</w:t>
      </w:r>
      <w:r w:rsidRPr="00DC4106">
        <w:t>but not RT-PCR</w:t>
      </w:r>
      <w:r>
        <w:t>)</w:t>
      </w:r>
      <w:r w:rsidR="007D6B20">
        <w:t xml:space="preserve">. </w:t>
      </w:r>
      <w:proofErr w:type="gramStart"/>
      <w:r w:rsidR="007D6B20">
        <w:t>T</w:t>
      </w:r>
      <w:r w:rsidR="008B71B4">
        <w:t>herefore</w:t>
      </w:r>
      <w:proofErr w:type="gramEnd"/>
      <w:r w:rsidR="008B71B4">
        <w:t xml:space="preserve"> the applicant proposed the wording </w:t>
      </w:r>
      <w:r w:rsidR="008B71B4" w:rsidRPr="00DC4106">
        <w:t>‘quantitative patient-specific molecular assay’</w:t>
      </w:r>
      <w:r w:rsidRPr="00DC4106">
        <w:t>.</w:t>
      </w:r>
      <w:r w:rsidR="00A8018A">
        <w:t xml:space="preserve"> MSAC considered that the intervention was therefore MRD testing using qPCR methods</w:t>
      </w:r>
      <w:r w:rsidR="00AE7EE7">
        <w:t xml:space="preserve"> in general (including but not limited to ASO-qPCR)</w:t>
      </w:r>
      <w:r w:rsidR="00820957">
        <w:t xml:space="preserve">, and agreed the item descriptor should describe this </w:t>
      </w:r>
      <w:r w:rsidR="008B71B4">
        <w:t xml:space="preserve">method </w:t>
      </w:r>
      <w:r w:rsidR="00820957">
        <w:t xml:space="preserve">as </w:t>
      </w:r>
      <w:r w:rsidR="00BD4F37">
        <w:t xml:space="preserve">a </w:t>
      </w:r>
      <w:r w:rsidR="00820957">
        <w:t xml:space="preserve">“quantitative </w:t>
      </w:r>
      <w:r w:rsidR="00BD4F37">
        <w:t>patient-specific molecular assay”</w:t>
      </w:r>
      <w:r w:rsidR="00A8018A">
        <w:t>.</w:t>
      </w:r>
      <w:r w:rsidR="00BD4F37">
        <w:t xml:space="preserve"> MSAC considered that while typically MBS item descriptors are method-agnostic</w:t>
      </w:r>
      <w:r w:rsidR="00FE135C">
        <w:t>,</w:t>
      </w:r>
      <w:r w:rsidR="008B71B4">
        <w:t xml:space="preserve"> it was appropriate to state</w:t>
      </w:r>
      <w:r w:rsidR="00FE135C">
        <w:t xml:space="preserve"> the method in this case because there are multiple </w:t>
      </w:r>
      <w:r w:rsidR="008B71B4">
        <w:t xml:space="preserve">MRD testing </w:t>
      </w:r>
      <w:r w:rsidR="00FE135C">
        <w:t>methodology options available at different fees.</w:t>
      </w:r>
    </w:p>
    <w:p w14:paraId="570B55C7" w14:textId="0D920326" w:rsidR="008E5963" w:rsidRDefault="005F2296" w:rsidP="005F2296">
      <w:r>
        <w:t xml:space="preserve">MSAC also noted ESC </w:t>
      </w:r>
      <w:r w:rsidR="00FB2095">
        <w:t>had raised whether</w:t>
      </w:r>
      <w:r>
        <w:t xml:space="preserve"> peripheral blood </w:t>
      </w:r>
      <w:r w:rsidR="00FB2095">
        <w:t xml:space="preserve">samples could be </w:t>
      </w:r>
      <w:r w:rsidR="00E458AC">
        <w:t>an alternative sample type</w:t>
      </w:r>
      <w:r w:rsidR="00FB2095">
        <w:t xml:space="preserve"> both to develop </w:t>
      </w:r>
      <w:r>
        <w:t>the assay</w:t>
      </w:r>
      <w:r w:rsidR="00FB2095">
        <w:t xml:space="preserve"> and to subsequently use it</w:t>
      </w:r>
      <w:r w:rsidR="00EB0A93">
        <w:t>, because at diagnosis there are high levels of blasts in the blood, and for subsequent MRD testing not all patients are able to provide a bone marrow sample</w:t>
      </w:r>
      <w:r>
        <w:t xml:space="preserve">. MSAC </w:t>
      </w:r>
      <w:r w:rsidR="00FB2095">
        <w:t xml:space="preserve">noted the </w:t>
      </w:r>
      <w:r w:rsidR="00FB2095" w:rsidRPr="00EE6E25">
        <w:t>Haematology Society of Australia and New Zealand (HSANZ)</w:t>
      </w:r>
      <w:r w:rsidR="00FB2095">
        <w:t xml:space="preserve"> </w:t>
      </w:r>
      <w:r w:rsidR="004E6D27">
        <w:t xml:space="preserve">commented that the molecular abnormality is the same in both bone marrow and peripheral blood, and so </w:t>
      </w:r>
      <w:r w:rsidR="00FB2095">
        <w:t xml:space="preserve">agreed that </w:t>
      </w:r>
      <w:r w:rsidR="00EE13BE">
        <w:t xml:space="preserve">it would be appropriate to permit </w:t>
      </w:r>
      <w:r w:rsidR="006E5C1C">
        <w:t xml:space="preserve">a </w:t>
      </w:r>
      <w:r w:rsidR="00956942">
        <w:t>peripheral blood sample</w:t>
      </w:r>
      <w:r w:rsidR="006E5C1C">
        <w:t xml:space="preserve"> </w:t>
      </w:r>
      <w:r w:rsidR="00EE13BE">
        <w:t>to</w:t>
      </w:r>
      <w:r w:rsidR="006E5C1C">
        <w:t xml:space="preserve"> be used</w:t>
      </w:r>
      <w:r w:rsidR="004845FB">
        <w:t xml:space="preserve"> both for assay development and subsequent MRD testing</w:t>
      </w:r>
      <w:r w:rsidR="006E5C1C">
        <w:t xml:space="preserve"> where a bone marrow sample is not available</w:t>
      </w:r>
      <w:r w:rsidR="00446EDB">
        <w:t>, and that the literature support</w:t>
      </w:r>
      <w:r w:rsidR="000F3E72">
        <w:t>ed</w:t>
      </w:r>
      <w:r w:rsidR="00446EDB">
        <w:t xml:space="preserve"> this</w:t>
      </w:r>
      <w:r w:rsidR="00EE13BE">
        <w:t>.</w:t>
      </w:r>
      <w:r>
        <w:t xml:space="preserve"> </w:t>
      </w:r>
      <w:r w:rsidR="00EE13BE">
        <w:t xml:space="preserve">In </w:t>
      </w:r>
      <w:r>
        <w:t>the pre-MSAC response</w:t>
      </w:r>
      <w:r w:rsidR="003B17D5">
        <w:t>,</w:t>
      </w:r>
      <w:r>
        <w:t xml:space="preserve"> </w:t>
      </w:r>
      <w:r w:rsidR="003B17D5">
        <w:t>the applicant agree</w:t>
      </w:r>
      <w:r w:rsidR="000F3E72">
        <w:t>d</w:t>
      </w:r>
      <w:r w:rsidR="003B17D5">
        <w:t xml:space="preserve"> blood samples could be used for assay development, but </w:t>
      </w:r>
      <w:r w:rsidR="00B95F18">
        <w:t xml:space="preserve">for subsequent MRD testing </w:t>
      </w:r>
      <w:r w:rsidR="000F3E72">
        <w:t xml:space="preserve">commented that </w:t>
      </w:r>
      <w:r w:rsidR="00254559">
        <w:t xml:space="preserve">there </w:t>
      </w:r>
      <w:r w:rsidR="00BB0B80">
        <w:t>wa</w:t>
      </w:r>
      <w:r w:rsidR="00254559">
        <w:t>s poor concordance between blood and bone marrow for patients with B-ALL</w:t>
      </w:r>
      <w:r w:rsidR="00BB0B80">
        <w:t xml:space="preserve"> so blood samples should only be permitted for MRD testing in patients with T-ALL</w:t>
      </w:r>
      <w:r w:rsidR="00E458AC">
        <w:t xml:space="preserve">. MSAC </w:t>
      </w:r>
      <w:r w:rsidR="00EF1450">
        <w:t xml:space="preserve">considered that </w:t>
      </w:r>
      <w:r w:rsidR="00AE206F">
        <w:t xml:space="preserve">a bone marrow sample was preferred so </w:t>
      </w:r>
      <w:r w:rsidR="001B628D">
        <w:t>this sample type</w:t>
      </w:r>
      <w:r w:rsidR="00AE206F">
        <w:t xml:space="preserve"> should remain the default, </w:t>
      </w:r>
      <w:r w:rsidR="00C04886">
        <w:t>al</w:t>
      </w:r>
      <w:r w:rsidR="00AE206F">
        <w:t xml:space="preserve">though </w:t>
      </w:r>
      <w:r w:rsidR="00EF1450">
        <w:t xml:space="preserve">the use of peripheral blood </w:t>
      </w:r>
      <w:r w:rsidR="00B14419">
        <w:t xml:space="preserve">where a bone marrow sample </w:t>
      </w:r>
      <w:r w:rsidR="005E7607">
        <w:t>wa</w:t>
      </w:r>
      <w:r w:rsidR="00B14419">
        <w:t xml:space="preserve">s </w:t>
      </w:r>
      <w:r w:rsidR="00B14419">
        <w:lastRenderedPageBreak/>
        <w:t>unavailable</w:t>
      </w:r>
      <w:r>
        <w:t xml:space="preserve"> </w:t>
      </w:r>
      <w:r w:rsidR="00E83329">
        <w:t xml:space="preserve">was acceptable for qPCR assay development in all </w:t>
      </w:r>
      <w:proofErr w:type="spellStart"/>
      <w:r w:rsidR="00E83329">
        <w:t>ALL</w:t>
      </w:r>
      <w:proofErr w:type="spellEnd"/>
      <w:r w:rsidR="001B628D">
        <w:t xml:space="preserve"> </w:t>
      </w:r>
      <w:r w:rsidR="00E83329">
        <w:t xml:space="preserve">patients, </w:t>
      </w:r>
      <w:r w:rsidRPr="00CB6AA6">
        <w:t xml:space="preserve">and </w:t>
      </w:r>
      <w:r w:rsidR="00E83329">
        <w:t xml:space="preserve">for subsequent MRD testing </w:t>
      </w:r>
      <w:r w:rsidRPr="00CB6AA6">
        <w:t>in patients with T-ALL</w:t>
      </w:r>
      <w:r>
        <w:t xml:space="preserve">. </w:t>
      </w:r>
      <w:r w:rsidR="003E4592">
        <w:t xml:space="preserve">MSAC considered that </w:t>
      </w:r>
      <w:r w:rsidR="005D0047">
        <w:t xml:space="preserve">there was insufficient evidence for it to advise whether peripheral blood samples could also be </w:t>
      </w:r>
      <w:r w:rsidR="00725999">
        <w:t>used</w:t>
      </w:r>
      <w:r w:rsidR="005D0047">
        <w:t xml:space="preserve"> for MRD testing using </w:t>
      </w:r>
      <w:proofErr w:type="spellStart"/>
      <w:r w:rsidR="005D0047">
        <w:t>mpFC</w:t>
      </w:r>
      <w:proofErr w:type="spellEnd"/>
      <w:r w:rsidR="005D0047">
        <w:t xml:space="preserve"> or NGS methods</w:t>
      </w:r>
      <w:r w:rsidR="00C26947">
        <w:t xml:space="preserve">, and noted the </w:t>
      </w:r>
      <w:r w:rsidR="00B610A0">
        <w:t>d</w:t>
      </w:r>
      <w:r w:rsidR="00C26947">
        <w:t>epartment was planning to seek advice from the sector on this</w:t>
      </w:r>
      <w:r w:rsidR="005D0047">
        <w:t>.</w:t>
      </w:r>
    </w:p>
    <w:p w14:paraId="1032852F" w14:textId="4659BD07" w:rsidR="005F2296" w:rsidRDefault="005F2296" w:rsidP="005F2296">
      <w:r w:rsidRPr="00170AA4">
        <w:t xml:space="preserve">MSAC noted that in the pre-MSAC response, the </w:t>
      </w:r>
      <w:r w:rsidR="00C26947">
        <w:t>applicant</w:t>
      </w:r>
      <w:r w:rsidR="00C26947" w:rsidRPr="00170AA4">
        <w:t xml:space="preserve"> </w:t>
      </w:r>
      <w:r>
        <w:t>justified the</w:t>
      </w:r>
      <w:r w:rsidR="005E4A89">
        <w:t xml:space="preserve"> proposed</w:t>
      </w:r>
      <w:r>
        <w:t xml:space="preserve"> fee of $3,000 </w:t>
      </w:r>
      <w:r w:rsidRPr="00170AA4">
        <w:t xml:space="preserve">for item CCCC (development and first use of patient-specific </w:t>
      </w:r>
      <w:r w:rsidR="005E4A89">
        <w:t xml:space="preserve">qPCR </w:t>
      </w:r>
      <w:r w:rsidRPr="00170AA4">
        <w:t xml:space="preserve">assay) </w:t>
      </w:r>
      <w:r>
        <w:t xml:space="preserve">by providing </w:t>
      </w:r>
      <w:r w:rsidRPr="00170AA4">
        <w:t>details of the substantial workflow required to develop patient-specific assays</w:t>
      </w:r>
      <w:r>
        <w:t>.</w:t>
      </w:r>
      <w:r w:rsidR="005E4A89">
        <w:t xml:space="preserve"> MSAC considered the proposed fees for CCCC and DDDD were appropriate.</w:t>
      </w:r>
      <w:r w:rsidR="00085B3B">
        <w:t xml:space="preserve"> </w:t>
      </w:r>
    </w:p>
    <w:p w14:paraId="5C42902D" w14:textId="0F83C11C" w:rsidR="00825E78" w:rsidRDefault="00825E78" w:rsidP="00825E78">
      <w:r>
        <w:t xml:space="preserve">MSAC </w:t>
      </w:r>
      <w:r w:rsidR="00B447A4">
        <w:t>recalled that</w:t>
      </w:r>
      <w:r w:rsidR="00111BF1">
        <w:t xml:space="preserve"> under application 1707</w:t>
      </w:r>
      <w:r w:rsidR="00B447A4">
        <w:t xml:space="preserve">, it had supported moving the </w:t>
      </w:r>
      <w:r w:rsidR="00757932">
        <w:t>maximum of 12 MRD tests “per episode of disease or per relapse” from the item descriptor to a practice note</w:t>
      </w:r>
      <w:r w:rsidR="00111BF1">
        <w:t>. MSAC considered</w:t>
      </w:r>
      <w:r>
        <w:t xml:space="preserve"> that t</w:t>
      </w:r>
      <w:r w:rsidRPr="005C0F7F">
        <w:t>he proposed maximum of 12 services per episode of disease should apply across all testing modalities</w:t>
      </w:r>
      <w:r w:rsidR="00AA0538">
        <w:t>.</w:t>
      </w:r>
      <w:r>
        <w:t xml:space="preserve"> </w:t>
      </w:r>
      <w:r w:rsidR="00757932">
        <w:t xml:space="preserve">MSAC </w:t>
      </w:r>
      <w:r w:rsidR="00F749D4">
        <w:t xml:space="preserve">noted </w:t>
      </w:r>
      <w:r w:rsidR="00581481">
        <w:t xml:space="preserve">the practice note clarified </w:t>
      </w:r>
      <w:r w:rsidRPr="005C0F7F">
        <w:t xml:space="preserve">that relapse is </w:t>
      </w:r>
      <w:r w:rsidR="00581481">
        <w:t xml:space="preserve">also </w:t>
      </w:r>
      <w:r w:rsidRPr="005C0F7F">
        <w:t>considered a new episode of disease</w:t>
      </w:r>
      <w:r w:rsidR="00581481">
        <w:t xml:space="preserve">, </w:t>
      </w:r>
      <w:r w:rsidR="00F749D4">
        <w:t>and considered that was important to make clear that relapse was also considered to be an “episode of disease”, warranting up to a further 12 MRD tests</w:t>
      </w:r>
      <w:r w:rsidRPr="005C0F7F">
        <w:t>.</w:t>
      </w:r>
      <w:r w:rsidR="00BF4183">
        <w:t xml:space="preserve"> MSAC supported the practice note</w:t>
      </w:r>
      <w:r w:rsidR="00876290">
        <w:t xml:space="preserve"> for MRD testing using </w:t>
      </w:r>
      <w:proofErr w:type="spellStart"/>
      <w:r w:rsidR="00876290">
        <w:t>mpFC</w:t>
      </w:r>
      <w:proofErr w:type="spellEnd"/>
      <w:r w:rsidR="00876290">
        <w:t xml:space="preserve"> and NGS methods also applying to </w:t>
      </w:r>
      <w:r w:rsidR="00C76709">
        <w:t>items CCCC and DDDD for MRD testing using qPCR methods.</w:t>
      </w:r>
    </w:p>
    <w:p w14:paraId="7D2C0D27" w14:textId="54476488" w:rsidR="005F2296" w:rsidRDefault="005F2296" w:rsidP="005F2296">
      <w:r>
        <w:t>MSAC noted that the intervention and the comparator (</w:t>
      </w:r>
      <w:r w:rsidRPr="00854111">
        <w:t>morphological assessment ± cytogenetic analysis</w:t>
      </w:r>
      <w:r>
        <w:t>) both require</w:t>
      </w:r>
      <w:r w:rsidR="00E17882">
        <w:t>d</w:t>
      </w:r>
      <w:r>
        <w:t xml:space="preserve"> bone marrow sampling </w:t>
      </w:r>
      <w:r w:rsidR="00DC67C4">
        <w:t>so typically no additional clinical procedures are needed to allow MRD testing to take place</w:t>
      </w:r>
      <w:r w:rsidR="0043176F">
        <w:t xml:space="preserve">. </w:t>
      </w:r>
      <w:proofErr w:type="gramStart"/>
      <w:r w:rsidR="0043176F">
        <w:t>Consequent</w:t>
      </w:r>
      <w:r w:rsidR="00E00C05">
        <w:t>ly</w:t>
      </w:r>
      <w:proofErr w:type="gramEnd"/>
      <w:r w:rsidR="00E00C05">
        <w:t xml:space="preserve"> MSAC</w:t>
      </w:r>
      <w:r>
        <w:t xml:space="preserve"> considered it unlikely </w:t>
      </w:r>
      <w:r w:rsidR="00E00C05">
        <w:t>that</w:t>
      </w:r>
      <w:r>
        <w:t xml:space="preserve"> the qPCR assay introduce</w:t>
      </w:r>
      <w:r w:rsidR="00E00C05">
        <w:t>s</w:t>
      </w:r>
      <w:r>
        <w:t xml:space="preserve"> any additional safety concerns. MSAC noted that o</w:t>
      </w:r>
      <w:r w:rsidRPr="00C21257">
        <w:t>ne study showed that MRD-directed chemotherapy reduced infecti</w:t>
      </w:r>
      <w:r w:rsidR="00C7659A">
        <w:t>on-related</w:t>
      </w:r>
      <w:r w:rsidRPr="00C21257">
        <w:t xml:space="preserve"> morbidity in children with ALL compared to conventional chemotherapy</w:t>
      </w:r>
      <w:r>
        <w:t xml:space="preserve">, and considered that MRD </w:t>
      </w:r>
      <w:r w:rsidR="0080672C">
        <w:t>testing may have</w:t>
      </w:r>
      <w:r>
        <w:t xml:space="preserve"> superior safety.</w:t>
      </w:r>
    </w:p>
    <w:p w14:paraId="55F22F5C" w14:textId="527324DC" w:rsidR="00257A45" w:rsidRDefault="005F2296" w:rsidP="005F2296">
      <w:r>
        <w:t>MSAC agreed with ESC’s conclusions that “</w:t>
      </w:r>
      <w:r w:rsidRPr="008D7F1B">
        <w:t>the limited available evidence showed qPCR performed better than morphological assessment in detecting MRD, although was insufficient to determine whether NGS or qPCR was superior as it was comprised of studies with small sample sizes that reported variable concordance rates</w:t>
      </w:r>
      <w:r>
        <w:t>” and that “</w:t>
      </w:r>
      <w:r w:rsidRPr="008D7F1B">
        <w:t>the heterogeneity between studies made it difficult to conclude the most effective threshold of sensitivity for qPCR, although it showed that qPCR was more effective at higher thresholds of sensitivity of detection rather than lower when compared with morphological assessmen</w:t>
      </w:r>
      <w:r>
        <w:t xml:space="preserve">t”. </w:t>
      </w:r>
      <w:r w:rsidR="004722FB">
        <w:t>MSAC considered it was d</w:t>
      </w:r>
      <w:r w:rsidR="004722FB" w:rsidRPr="00B63B57">
        <w:t>ifficult to draw conclusions on concordance</w:t>
      </w:r>
      <w:r w:rsidR="004722FB">
        <w:t xml:space="preserve"> between </w:t>
      </w:r>
      <w:proofErr w:type="spellStart"/>
      <w:r w:rsidR="004722FB">
        <w:t>mpFC</w:t>
      </w:r>
      <w:proofErr w:type="spellEnd"/>
      <w:r w:rsidR="004722FB">
        <w:t>, qPCR and NGS methods</w:t>
      </w:r>
      <w:r w:rsidR="004722FB" w:rsidRPr="00B63B57">
        <w:t xml:space="preserve"> due to heterogeneity among studies.</w:t>
      </w:r>
      <w:r w:rsidR="004722FB">
        <w:t xml:space="preserve"> </w:t>
      </w:r>
      <w:r w:rsidR="00161856">
        <w:t xml:space="preserve">MSAC noted </w:t>
      </w:r>
      <w:r w:rsidR="000135E8">
        <w:t xml:space="preserve">that qPCR is the method of choice in international ALL trials registered in Europe. </w:t>
      </w:r>
      <w:r w:rsidR="001C31AF">
        <w:t xml:space="preserve">MSAC considered that </w:t>
      </w:r>
      <w:r w:rsidR="004722FB">
        <w:t>different</w:t>
      </w:r>
      <w:r w:rsidR="001C31AF">
        <w:t xml:space="preserve"> MRD testing methodologies were complementary, and that </w:t>
      </w:r>
      <w:r w:rsidR="001E4D50">
        <w:t>publicly funding</w:t>
      </w:r>
      <w:r w:rsidR="001C31AF">
        <w:t xml:space="preserve"> qPCR in addition to </w:t>
      </w:r>
      <w:proofErr w:type="spellStart"/>
      <w:r w:rsidR="001C31AF">
        <w:t>mpFC</w:t>
      </w:r>
      <w:proofErr w:type="spellEnd"/>
      <w:r w:rsidR="001C31AF">
        <w:t xml:space="preserve"> and NGS methods </w:t>
      </w:r>
      <w:r w:rsidR="001B29D0">
        <w:t xml:space="preserve">was important </w:t>
      </w:r>
      <w:r w:rsidR="00257A45">
        <w:t>for improving access to methods that may be required for some patients</w:t>
      </w:r>
      <w:r w:rsidR="00795D5E">
        <w:t>.</w:t>
      </w:r>
    </w:p>
    <w:p w14:paraId="3AC01774" w14:textId="73CC88DE" w:rsidR="005F2296" w:rsidRDefault="005F2296" w:rsidP="005F2296">
      <w:r>
        <w:t xml:space="preserve">MSAC considered that </w:t>
      </w:r>
      <w:r w:rsidR="00795D5E">
        <w:t xml:space="preserve">MRD testing overall was effective, because </w:t>
      </w:r>
      <w:r w:rsidRPr="008D7F1B">
        <w:t xml:space="preserve">MRD positivity directed more intense treatments compared to MRD negativity, resulting in improved </w:t>
      </w:r>
      <w:r w:rsidR="0058086B">
        <w:t xml:space="preserve">health </w:t>
      </w:r>
      <w:r w:rsidRPr="008D7F1B">
        <w:t>outcomes, greater survival benefits and lower likelihood of relapse.</w:t>
      </w:r>
      <w:r w:rsidR="00353C34">
        <w:t xml:space="preserve"> MRD positivity is also required to be able to access PBS-listed blinatumomab, so publicly funding MRD testing</w:t>
      </w:r>
      <w:r w:rsidR="00502345">
        <w:t xml:space="preserve"> will improve access to this </w:t>
      </w:r>
      <w:r w:rsidR="000E242B">
        <w:t>publicl</w:t>
      </w:r>
      <w:r w:rsidR="004E6DD7">
        <w:t>y funded</w:t>
      </w:r>
      <w:r w:rsidR="00502345">
        <w:t xml:space="preserve"> drug.</w:t>
      </w:r>
      <w:r w:rsidR="00CA275D">
        <w:t xml:space="preserve"> </w:t>
      </w:r>
      <w:r w:rsidR="001D33F2">
        <w:t xml:space="preserve">Overall, MSAC agreed that </w:t>
      </w:r>
      <w:r w:rsidR="001D33F2" w:rsidRPr="004D4C90">
        <w:t>MRD testing (</w:t>
      </w:r>
      <w:r w:rsidR="00623999">
        <w:t xml:space="preserve">using </w:t>
      </w:r>
      <w:proofErr w:type="spellStart"/>
      <w:r w:rsidR="001D33F2" w:rsidRPr="004D4C90">
        <w:t>mpFC</w:t>
      </w:r>
      <w:proofErr w:type="spellEnd"/>
      <w:r w:rsidR="00623999">
        <w:t>, qPCR</w:t>
      </w:r>
      <w:r w:rsidR="001D33F2" w:rsidRPr="004D4C90">
        <w:t xml:space="preserve"> or </w:t>
      </w:r>
      <w:r w:rsidR="00623999">
        <w:t>NGS</w:t>
      </w:r>
      <w:r w:rsidR="001D33F2" w:rsidRPr="004D4C90">
        <w:t xml:space="preserve"> methods) result</w:t>
      </w:r>
      <w:r w:rsidR="00623999">
        <w:t>ed</w:t>
      </w:r>
      <w:r w:rsidR="001D33F2" w:rsidRPr="004D4C90">
        <w:t xml:space="preserve"> in superior effectiveness </w:t>
      </w:r>
      <w:r w:rsidR="001D33F2">
        <w:t xml:space="preserve">and non-inferior safety </w:t>
      </w:r>
      <w:r w:rsidR="00623999">
        <w:t>compared</w:t>
      </w:r>
      <w:r w:rsidR="001D33F2">
        <w:t xml:space="preserve"> to the comparator (</w:t>
      </w:r>
      <w:r w:rsidR="001D33F2" w:rsidRPr="00EA2A16">
        <w:t>morphological assessment ± cytogenetic analysis</w:t>
      </w:r>
      <w:r w:rsidR="001D33F2">
        <w:t>).</w:t>
      </w:r>
    </w:p>
    <w:p w14:paraId="7650872B" w14:textId="61238C2B" w:rsidR="005F2296" w:rsidRDefault="005F2296" w:rsidP="005F2296">
      <w:r>
        <w:t>MSAC noted that the economic evaluation was a cost-utility analysis and a cost-effectiveness analysis</w:t>
      </w:r>
      <w:r w:rsidR="005D1538">
        <w:t xml:space="preserve"> of MRD testing against morphological assessment alone</w:t>
      </w:r>
      <w:r w:rsidR="00B10203">
        <w:t>, and the model included three test methods, up to four lines of treatment, and both paediatric and adult populations</w:t>
      </w:r>
      <w:r>
        <w:t xml:space="preserve">. MSAC noted that incremental cost-effectiveness ratios (ICERs) per quality-adjusted life year (QALY) </w:t>
      </w:r>
      <w:r w:rsidR="00253FC9">
        <w:t xml:space="preserve">were presented separately for each method and combined across all </w:t>
      </w:r>
      <w:r w:rsidR="009E2B20">
        <w:t xml:space="preserve">three </w:t>
      </w:r>
      <w:r w:rsidR="00253FC9">
        <w:t xml:space="preserve">methods, and that the ICERs for qPCR </w:t>
      </w:r>
      <w:r w:rsidR="009B5CB6">
        <w:t>alone</w:t>
      </w:r>
      <w:r w:rsidR="00253FC9">
        <w:t xml:space="preserve"> </w:t>
      </w:r>
      <w:r>
        <w:t>were $7,3</w:t>
      </w:r>
      <w:r w:rsidR="009B5CB6">
        <w:t>34</w:t>
      </w:r>
      <w:r>
        <w:t xml:space="preserve"> and $30,8</w:t>
      </w:r>
      <w:r w:rsidR="009B5CB6">
        <w:t>21</w:t>
      </w:r>
      <w:r>
        <w:t xml:space="preserve"> for adult and paediatric patients, respectively</w:t>
      </w:r>
      <w:r w:rsidR="009B5CB6">
        <w:t xml:space="preserve"> (including</w:t>
      </w:r>
      <w:r>
        <w:t xml:space="preserve"> post-ESC updates to include </w:t>
      </w:r>
      <w:r w:rsidRPr="00F27BF6">
        <w:t>a re-biopsy rate of 4%</w:t>
      </w:r>
      <w:r w:rsidR="009B5CB6">
        <w:t>)</w:t>
      </w:r>
      <w:r>
        <w:t xml:space="preserve">. MSAC noted that in the sensitivity </w:t>
      </w:r>
      <w:r>
        <w:lastRenderedPageBreak/>
        <w:t xml:space="preserve">analysis, the highest ICERs were $16,500/QALY </w:t>
      </w:r>
      <w:r w:rsidR="006C61D9">
        <w:t xml:space="preserve">for adults </w:t>
      </w:r>
      <w:r>
        <w:t xml:space="preserve">and about $45,000/QALY for </w:t>
      </w:r>
      <w:r w:rsidR="006C61D9">
        <w:t>the</w:t>
      </w:r>
      <w:r>
        <w:t xml:space="preserve"> paediatric population. </w:t>
      </w:r>
      <w:r w:rsidR="006C61D9">
        <w:t xml:space="preserve">MSAC noted that the ICER for </w:t>
      </w:r>
      <w:r w:rsidR="006C61D9" w:rsidDel="00D50E43">
        <w:t xml:space="preserve">all </w:t>
      </w:r>
      <w:r w:rsidR="006C61D9">
        <w:t>three MRD methods</w:t>
      </w:r>
      <w:r w:rsidR="008B71B4">
        <w:t xml:space="preserve"> combined</w:t>
      </w:r>
      <w:r w:rsidR="006C61D9">
        <w:t xml:space="preserve"> was </w:t>
      </w:r>
      <w:r w:rsidR="00B649A7">
        <w:t xml:space="preserve">a little </w:t>
      </w:r>
      <w:r w:rsidR="006C61D9">
        <w:t xml:space="preserve">higher than for qPCR alone, </w:t>
      </w:r>
      <w:r w:rsidR="00A81FA1">
        <w:t>al</w:t>
      </w:r>
      <w:r w:rsidR="006C61D9">
        <w:t>though considered that MRD testing overall was highly cost-effective.</w:t>
      </w:r>
      <w:r w:rsidR="002414A2" w:rsidRPr="002414A2">
        <w:t xml:space="preserve"> </w:t>
      </w:r>
      <w:r w:rsidR="002414A2">
        <w:t xml:space="preserve">MSAC noted that using the effective price of blinatumomab rather than the </w:t>
      </w:r>
      <w:r w:rsidR="008B71B4">
        <w:t>PBS-</w:t>
      </w:r>
      <w:r w:rsidR="002414A2">
        <w:t>listed price further improved the cost-effectiveness</w:t>
      </w:r>
      <w:r w:rsidR="008B71B4">
        <w:t xml:space="preserve"> of MRD testing</w:t>
      </w:r>
      <w:r w:rsidR="002414A2">
        <w:t>.</w:t>
      </w:r>
    </w:p>
    <w:p w14:paraId="43EE8F02" w14:textId="2659E444" w:rsidR="001474E3" w:rsidRDefault="00673972" w:rsidP="005F2296">
      <w:r>
        <w:t>MSAC noted that where</w:t>
      </w:r>
      <w:r w:rsidR="00951E44">
        <w:t>as</w:t>
      </w:r>
      <w:r>
        <w:t xml:space="preserve"> under application 1707 the estimated service volumes (and cost to the MBS) of MRD testing had been divided </w:t>
      </w:r>
      <w:r w:rsidR="00B649A7">
        <w:t>across</w:t>
      </w:r>
      <w:r>
        <w:t xml:space="preserve"> only two methods, with its support for qPCR under 1703 split</w:t>
      </w:r>
      <w:r w:rsidR="00B649A7">
        <w:t>ting the total service volume</w:t>
      </w:r>
      <w:r>
        <w:t xml:space="preserve"> across three methods was now appropriate. </w:t>
      </w:r>
      <w:r w:rsidR="00623999">
        <w:t xml:space="preserve">MSAC noted the Department-contracted assessment report (DCAR) had </w:t>
      </w:r>
      <w:r w:rsidR="002414A2">
        <w:t>estimated</w:t>
      </w:r>
      <w:r w:rsidR="00623999" w:rsidRPr="00B63B57">
        <w:t xml:space="preserve"> </w:t>
      </w:r>
      <w:proofErr w:type="spellStart"/>
      <w:r w:rsidR="00623999" w:rsidRPr="00B63B57">
        <w:t>mpFC</w:t>
      </w:r>
      <w:proofErr w:type="spellEnd"/>
      <w:r w:rsidR="00623999" w:rsidRPr="00B63B57">
        <w:t xml:space="preserve"> </w:t>
      </w:r>
      <w:r w:rsidR="00623999">
        <w:t xml:space="preserve">= </w:t>
      </w:r>
      <w:r w:rsidR="00623999" w:rsidRPr="00B63B57">
        <w:t>24%</w:t>
      </w:r>
      <w:r w:rsidR="00623999">
        <w:t xml:space="preserve">, </w:t>
      </w:r>
      <w:r w:rsidR="00623999" w:rsidRPr="00B63B57">
        <w:t>NGS</w:t>
      </w:r>
      <w:r w:rsidR="00623999">
        <w:t xml:space="preserve"> =</w:t>
      </w:r>
      <w:r w:rsidR="00623999" w:rsidRPr="00B63B57">
        <w:t xml:space="preserve"> 38% and qPCR </w:t>
      </w:r>
      <w:r w:rsidR="00623999">
        <w:t xml:space="preserve">= </w:t>
      </w:r>
      <w:r w:rsidR="00623999" w:rsidRPr="00B63B57">
        <w:t>38%.</w:t>
      </w:r>
      <w:r w:rsidR="00623999">
        <w:t xml:space="preserve"> MSAC considered th</w:t>
      </w:r>
      <w:r w:rsidR="000878C9">
        <w:t>at</w:t>
      </w:r>
      <w:r w:rsidR="00623999">
        <w:t xml:space="preserve"> </w:t>
      </w:r>
      <w:r w:rsidR="00AA0383">
        <w:t xml:space="preserve">whilst there </w:t>
      </w:r>
      <w:r w:rsidR="00D320C7">
        <w:t>wa</w:t>
      </w:r>
      <w:r w:rsidR="00AA0383">
        <w:t>s</w:t>
      </w:r>
      <w:r w:rsidR="00623999">
        <w:t xml:space="preserve"> </w:t>
      </w:r>
      <w:r w:rsidR="002F1E99">
        <w:t xml:space="preserve">little evidence </w:t>
      </w:r>
      <w:r w:rsidR="002414A2">
        <w:t>supporting</w:t>
      </w:r>
      <w:r w:rsidR="002F1E99">
        <w:t xml:space="preserve"> th</w:t>
      </w:r>
      <w:r w:rsidR="00AA0383">
        <w:t>ese</w:t>
      </w:r>
      <w:r w:rsidR="002414A2">
        <w:t xml:space="preserve"> estimate</w:t>
      </w:r>
      <w:r w:rsidR="00AA0383">
        <w:t>s</w:t>
      </w:r>
      <w:r w:rsidR="002F1E99">
        <w:t xml:space="preserve">, the estimated split </w:t>
      </w:r>
      <w:r w:rsidR="00923EB2">
        <w:t>across the three</w:t>
      </w:r>
      <w:r w:rsidR="000878C9">
        <w:t xml:space="preserve"> methods</w:t>
      </w:r>
      <w:r w:rsidR="00923EB2">
        <w:t xml:space="preserve"> </w:t>
      </w:r>
      <w:r w:rsidR="002F1E99">
        <w:t>was acceptable</w:t>
      </w:r>
      <w:r w:rsidR="00AA0383">
        <w:t xml:space="preserve"> for the current consideration</w:t>
      </w:r>
      <w:r w:rsidR="002F1E99">
        <w:t xml:space="preserve">. MSAC considered </w:t>
      </w:r>
      <w:r w:rsidR="000B7267">
        <w:t xml:space="preserve">data on </w:t>
      </w:r>
      <w:r w:rsidR="00623999">
        <w:t xml:space="preserve">the relative use </w:t>
      </w:r>
      <w:r w:rsidR="002F1E99">
        <w:t xml:space="preserve">of the MRD testing methods could be </w:t>
      </w:r>
      <w:r w:rsidR="001058C7">
        <w:t>examined through</w:t>
      </w:r>
      <w:r w:rsidR="000670CA">
        <w:t xml:space="preserve"> post-listing review</w:t>
      </w:r>
      <w:r w:rsidR="001058C7">
        <w:t xml:space="preserve">, and for this reason recommended a review of all three MRD testing items in </w:t>
      </w:r>
      <w:r w:rsidR="00BE569E">
        <w:t>the</w:t>
      </w:r>
      <w:r w:rsidR="001058C7">
        <w:t xml:space="preserve"> future</w:t>
      </w:r>
      <w:r w:rsidR="000670CA">
        <w:t xml:space="preserve"> that includes the relative usage of the three methods</w:t>
      </w:r>
      <w:r w:rsidR="00623999">
        <w:t>.</w:t>
      </w:r>
    </w:p>
    <w:p w14:paraId="62CE2017" w14:textId="0DBD6AA4" w:rsidR="005F2296" w:rsidRDefault="00B10BD3" w:rsidP="005F2296">
      <w:r>
        <w:t>MSAC noted</w:t>
      </w:r>
      <w:r w:rsidR="005F2296">
        <w:t xml:space="preserve"> </w:t>
      </w:r>
      <w:r>
        <w:t>the</w:t>
      </w:r>
      <w:r w:rsidR="005F2296">
        <w:t xml:space="preserve"> </w:t>
      </w:r>
      <w:r w:rsidR="006E7E3B">
        <w:t xml:space="preserve">annual </w:t>
      </w:r>
      <w:r w:rsidR="005F2296">
        <w:t xml:space="preserve">budget impact </w:t>
      </w:r>
      <w:r w:rsidR="006E7E3B">
        <w:t xml:space="preserve">of MRD testing </w:t>
      </w:r>
      <w:r w:rsidR="0009795D">
        <w:t xml:space="preserve">to the MBS </w:t>
      </w:r>
      <w:r w:rsidR="00BA7FD1">
        <w:t xml:space="preserve">(including revisions to incorporate ESC’s advice) </w:t>
      </w:r>
      <w:r w:rsidR="006E7E3B">
        <w:t>ranged from</w:t>
      </w:r>
      <w:r w:rsidR="005F2296">
        <w:t xml:space="preserve"> $2.4 million to $2.7 million</w:t>
      </w:r>
      <w:r w:rsidR="000D35DB">
        <w:t xml:space="preserve">. </w:t>
      </w:r>
      <w:r w:rsidR="0093717C">
        <w:t>MSAC noted that e</w:t>
      </w:r>
      <w:r w:rsidR="0093717C" w:rsidRPr="00F27BF6">
        <w:t xml:space="preserve">stimated utilisation </w:t>
      </w:r>
      <w:r w:rsidR="0093717C">
        <w:t>had been estimated in the DCAR to be a little</w:t>
      </w:r>
      <w:r w:rsidR="0093717C" w:rsidRPr="00F27BF6">
        <w:t xml:space="preserve"> lower than the estimates in </w:t>
      </w:r>
      <w:r w:rsidR="0093717C">
        <w:t xml:space="preserve">Application </w:t>
      </w:r>
      <w:r w:rsidR="0093717C" w:rsidRPr="00F27BF6">
        <w:t>1707</w:t>
      </w:r>
      <w:r w:rsidR="0093717C">
        <w:t xml:space="preserve">, but that </w:t>
      </w:r>
      <w:r w:rsidR="0093717C" w:rsidRPr="00F27BF6">
        <w:t>updates</w:t>
      </w:r>
      <w:r w:rsidR="0093717C">
        <w:t xml:space="preserve"> </w:t>
      </w:r>
      <w:r w:rsidR="007060EC">
        <w:t xml:space="preserve">to address ESC’s advice </w:t>
      </w:r>
      <w:r w:rsidR="0093717C">
        <w:t xml:space="preserve">(to add a re-biopsy rate of 4% and patients relapsing within the first two years) resulted in the total cost </w:t>
      </w:r>
      <w:r w:rsidR="007060EC">
        <w:t xml:space="preserve">of MRD testing </w:t>
      </w:r>
      <w:r w:rsidR="0093717C">
        <w:t xml:space="preserve">to the MBS now essentially aligning </w:t>
      </w:r>
      <w:r w:rsidR="007060EC">
        <w:t>across</w:t>
      </w:r>
      <w:r w:rsidR="0093717C">
        <w:t xml:space="preserve"> the two applications. </w:t>
      </w:r>
      <w:r w:rsidR="000D35DB">
        <w:t xml:space="preserve">MSAC advised the </w:t>
      </w:r>
      <w:r w:rsidR="0093717C">
        <w:t xml:space="preserve">financial </w:t>
      </w:r>
      <w:r w:rsidR="000D35DB">
        <w:t xml:space="preserve">cost </w:t>
      </w:r>
      <w:r w:rsidR="0009795D">
        <w:t xml:space="preserve">of MRD testing </w:t>
      </w:r>
      <w:r w:rsidR="00151C18">
        <w:t xml:space="preserve">to the MBS </w:t>
      </w:r>
      <w:r w:rsidR="000D35DB">
        <w:t>was acceptable</w:t>
      </w:r>
      <w:r w:rsidR="005F2296">
        <w:t>.</w:t>
      </w:r>
    </w:p>
    <w:p w14:paraId="18B20B98" w14:textId="7322C513" w:rsidR="005F2296" w:rsidRDefault="005F2296" w:rsidP="005F2296">
      <w:r>
        <w:t xml:space="preserve">MSAC noted that </w:t>
      </w:r>
      <w:r w:rsidR="00D21054">
        <w:t xml:space="preserve">ESC had considered it unclear whether an </w:t>
      </w:r>
      <w:r>
        <w:t xml:space="preserve">external quality </w:t>
      </w:r>
      <w:r w:rsidR="00AA1212">
        <w:t xml:space="preserve">assurance </w:t>
      </w:r>
      <w:r>
        <w:t>(</w:t>
      </w:r>
      <w:r w:rsidRPr="001C70F1">
        <w:t>EQA</w:t>
      </w:r>
      <w:r>
        <w:t>)</w:t>
      </w:r>
      <w:r w:rsidRPr="001C70F1">
        <w:t xml:space="preserve"> programme</w:t>
      </w:r>
      <w:r w:rsidR="00AA1212">
        <w:t xml:space="preserve"> was available internationally, and that in the pre-MSAC response the applicant had clarified that </w:t>
      </w:r>
      <w:r w:rsidR="00BB01FB">
        <w:t>one</w:t>
      </w:r>
      <w:r w:rsidR="00644788">
        <w:t xml:space="preserve"> </w:t>
      </w:r>
      <w:r w:rsidR="00CC4DDC">
        <w:t xml:space="preserve">international </w:t>
      </w:r>
      <w:r w:rsidR="00644788">
        <w:t xml:space="preserve">EQA </w:t>
      </w:r>
      <w:r w:rsidR="00BF15AC">
        <w:t>has been</w:t>
      </w:r>
      <w:r w:rsidR="00BB01FB">
        <w:t xml:space="preserve"> </w:t>
      </w:r>
      <w:r w:rsidRPr="001C70F1">
        <w:t xml:space="preserve">run by the </w:t>
      </w:r>
      <w:proofErr w:type="spellStart"/>
      <w:r w:rsidRPr="001C70F1">
        <w:t>EuroMRD</w:t>
      </w:r>
      <w:proofErr w:type="spellEnd"/>
      <w:r w:rsidRPr="001C70F1">
        <w:t xml:space="preserve"> network</w:t>
      </w:r>
      <w:r w:rsidR="00BF15AC">
        <w:t xml:space="preserve"> since 2001</w:t>
      </w:r>
      <w:r w:rsidRPr="001C70F1">
        <w:t xml:space="preserve">, which includes </w:t>
      </w:r>
      <w:r w:rsidR="00954E76">
        <w:t xml:space="preserve">at least </w:t>
      </w:r>
      <w:r w:rsidRPr="001C70F1">
        <w:t>one MRD PCR lab</w:t>
      </w:r>
      <w:r w:rsidR="001003EF">
        <w:t>oratory</w:t>
      </w:r>
      <w:r w:rsidRPr="001C70F1">
        <w:t xml:space="preserve"> in Australia.</w:t>
      </w:r>
    </w:p>
    <w:p w14:paraId="6710B69D" w14:textId="6FBDDC4B" w:rsidR="00772829" w:rsidRPr="00CE28E3" w:rsidRDefault="00C065D7" w:rsidP="002A18BE">
      <w:pPr>
        <w:pStyle w:val="Heading2"/>
      </w:pPr>
      <w:r>
        <w:t>4</w:t>
      </w:r>
      <w:r w:rsidR="00C36633">
        <w:t>.</w:t>
      </w:r>
      <w:r w:rsidR="00C36633">
        <w:tab/>
      </w:r>
      <w:r w:rsidR="00772829" w:rsidRPr="00CE28E3">
        <w:t>Background</w:t>
      </w:r>
      <w:bookmarkEnd w:id="3"/>
      <w:bookmarkEnd w:id="4"/>
    </w:p>
    <w:p w14:paraId="1AFC79DA" w14:textId="02464332" w:rsidR="00052410" w:rsidRDefault="00C62E0A" w:rsidP="005D35F8">
      <w:pPr>
        <w:rPr>
          <w:rFonts w:eastAsia="Times New Roman" w:cs="Arial"/>
          <w:snapToGrid w:val="0"/>
          <w:lang w:eastAsia="en-AU"/>
        </w:rPr>
      </w:pPr>
      <w:bookmarkStart w:id="5" w:name="_Hlk69734494"/>
      <w:r>
        <w:rPr>
          <w:rFonts w:eastAsia="Times New Roman" w:cs="Arial"/>
          <w:snapToGrid w:val="0"/>
          <w:lang w:eastAsia="en-AU"/>
        </w:rPr>
        <w:t>A</w:t>
      </w:r>
      <w:r w:rsidR="005D35F8" w:rsidRPr="2D42FF4F">
        <w:rPr>
          <w:rFonts w:eastAsia="Times New Roman" w:cs="Arial"/>
          <w:snapToGrid w:val="0"/>
          <w:lang w:eastAsia="en-AU"/>
        </w:rPr>
        <w:t xml:space="preserve">pplication 1707 </w:t>
      </w:r>
      <w:r>
        <w:rPr>
          <w:rFonts w:eastAsia="Times New Roman" w:cs="Arial"/>
          <w:snapToGrid w:val="0"/>
          <w:lang w:eastAsia="en-AU"/>
        </w:rPr>
        <w:t xml:space="preserve">also </w:t>
      </w:r>
      <w:r w:rsidR="00B1548C">
        <w:rPr>
          <w:rFonts w:eastAsia="Times New Roman" w:cs="Arial"/>
          <w:snapToGrid w:val="0"/>
          <w:lang w:eastAsia="en-AU"/>
        </w:rPr>
        <w:t xml:space="preserve">requested </w:t>
      </w:r>
      <w:r>
        <w:rPr>
          <w:rFonts w:eastAsia="Times New Roman" w:cs="Arial"/>
          <w:snapToGrid w:val="0"/>
          <w:lang w:eastAsia="en-AU"/>
        </w:rPr>
        <w:t>MBS funding for MRD testing, specifically using the</w:t>
      </w:r>
      <w:r w:rsidR="005D35F8" w:rsidRPr="2D42FF4F">
        <w:rPr>
          <w:rFonts w:eastAsia="Times New Roman" w:cs="Arial"/>
          <w:snapToGrid w:val="0"/>
          <w:lang w:eastAsia="en-AU"/>
        </w:rPr>
        <w:t xml:space="preserve"> </w:t>
      </w:r>
      <w:proofErr w:type="spellStart"/>
      <w:r w:rsidR="005D35F8" w:rsidRPr="2D42FF4F">
        <w:rPr>
          <w:rFonts w:eastAsia="Times New Roman" w:cs="Arial"/>
          <w:snapToGrid w:val="0"/>
          <w:lang w:eastAsia="en-AU"/>
        </w:rPr>
        <w:t>clonoSEQ</w:t>
      </w:r>
      <w:proofErr w:type="spellEnd"/>
      <w:r w:rsidRPr="00200DA8">
        <w:rPr>
          <w:iCs/>
          <w:vertAlign w:val="superscript"/>
        </w:rPr>
        <w:t>®</w:t>
      </w:r>
      <w:r w:rsidR="005D35F8" w:rsidRPr="2D42FF4F">
        <w:rPr>
          <w:rFonts w:eastAsia="Times New Roman" w:cs="Arial"/>
          <w:snapToGrid w:val="0"/>
          <w:lang w:eastAsia="en-AU"/>
        </w:rPr>
        <w:t xml:space="preserve"> and</w:t>
      </w:r>
      <w:r>
        <w:rPr>
          <w:rFonts w:eastAsia="Times New Roman" w:cs="Arial"/>
          <w:snapToGrid w:val="0"/>
          <w:lang w:eastAsia="en-AU"/>
        </w:rPr>
        <w:t>/or</w:t>
      </w:r>
      <w:r w:rsidR="005D35F8" w:rsidRPr="2D42FF4F">
        <w:rPr>
          <w:rFonts w:eastAsia="Times New Roman" w:cs="Arial"/>
          <w:snapToGrid w:val="0"/>
          <w:lang w:eastAsia="en-AU"/>
        </w:rPr>
        <w:t xml:space="preserve"> </w:t>
      </w:r>
      <w:proofErr w:type="spellStart"/>
      <w:r w:rsidR="005D35F8" w:rsidRPr="2D42FF4F">
        <w:rPr>
          <w:rFonts w:eastAsia="Times New Roman" w:cs="Arial"/>
          <w:snapToGrid w:val="0"/>
          <w:lang w:eastAsia="en-AU"/>
        </w:rPr>
        <w:t>mpFC</w:t>
      </w:r>
      <w:proofErr w:type="spellEnd"/>
      <w:r w:rsidR="005D35F8" w:rsidRPr="2D42FF4F">
        <w:rPr>
          <w:rFonts w:eastAsia="Times New Roman" w:cs="Arial"/>
          <w:snapToGrid w:val="0"/>
          <w:lang w:eastAsia="en-AU"/>
        </w:rPr>
        <w:t xml:space="preserve">. </w:t>
      </w:r>
      <w:r>
        <w:rPr>
          <w:rFonts w:eastAsia="Times New Roman" w:cs="Arial"/>
          <w:snapToGrid w:val="0"/>
          <w:lang w:eastAsia="en-AU"/>
        </w:rPr>
        <w:t>The PICOs for 1703 and 1707 were jointly considered by PASC in April 2022. Application 1707 was considered by ESC in October 2022 and MSAC in November 2022.</w:t>
      </w:r>
    </w:p>
    <w:p w14:paraId="235F483C" w14:textId="2A3821BB" w:rsidR="00532B6D" w:rsidRPr="003D239F" w:rsidRDefault="00532B6D" w:rsidP="00134DB5">
      <w:pPr>
        <w:spacing w:after="240"/>
        <w:rPr>
          <w:rFonts w:eastAsia="Times New Roman" w:cs="Arial"/>
          <w:snapToGrid w:val="0"/>
          <w:lang w:eastAsia="en-AU"/>
        </w:rPr>
      </w:pPr>
      <w:r>
        <w:t xml:space="preserve">The applicant </w:t>
      </w:r>
      <w:r w:rsidR="0077271E">
        <w:t>stated</w:t>
      </w:r>
      <w:r>
        <w:t xml:space="preserve"> that MRD testing is currently undertaken in addition to morphological assessment and/or cytogenetic analysis in inpatient and outpatient setting</w:t>
      </w:r>
      <w:r w:rsidR="0077271E">
        <w:t>s</w:t>
      </w:r>
      <w:r>
        <w:t xml:space="preserve"> using a range of techniques, and has been standard practice for children with ALL in Australia for over 10 years (MSAC application form 1703, RCPA 2022). However, the cost of MRD testing is currently borne by patients through out-of-pocket expenses, or hospitals and oncology departments through donated funds (RCPA comment, Ratified PICO 1703, pg. 17), and therefore issues surrounding equity of access to MRD testing through existing funding are apparent. With MBS funding, it is expected that within a short period of time bone marrow morphology would be completely replaced by other MRD testing methods for the purpose of identifying MRD in patients with ALL. </w:t>
      </w:r>
      <w:r w:rsidR="00886983">
        <w:t>B</w:t>
      </w:r>
      <w:r>
        <w:t>one marrow morphology and cytogenetic testing will still be performed in addition to MRD testing to establish baseline and comparative patient samples for testing.</w:t>
      </w:r>
    </w:p>
    <w:p w14:paraId="6F52500A" w14:textId="0B681DC8" w:rsidR="00772829" w:rsidRPr="00CE28E3" w:rsidRDefault="00C065D7" w:rsidP="002A18BE">
      <w:pPr>
        <w:pStyle w:val="Heading2"/>
      </w:pPr>
      <w:bookmarkStart w:id="6" w:name="_Toc118798860"/>
      <w:bookmarkStart w:id="7" w:name="_Toc121906359"/>
      <w:bookmarkEnd w:id="5"/>
      <w:r>
        <w:t>5</w:t>
      </w:r>
      <w:r w:rsidR="00C36633">
        <w:t>.</w:t>
      </w:r>
      <w:r w:rsidR="00C36633">
        <w:tab/>
      </w:r>
      <w:r w:rsidR="00772829" w:rsidRPr="00CE28E3">
        <w:t>Prerequisites to implementation of any funding advice</w:t>
      </w:r>
      <w:bookmarkEnd w:id="6"/>
      <w:bookmarkEnd w:id="7"/>
    </w:p>
    <w:p w14:paraId="35420ACD" w14:textId="02AC41DF" w:rsidR="00343EA0" w:rsidRPr="003D239F" w:rsidRDefault="00AE3E98" w:rsidP="00343EA0">
      <w:pPr>
        <w:rPr>
          <w:rFonts w:eastAsia="Times New Roman" w:cs="Arial"/>
          <w:snapToGrid w:val="0"/>
          <w:lang w:eastAsia="en-AU"/>
        </w:rPr>
      </w:pPr>
      <w:r w:rsidRPr="0082088E">
        <w:t>The National Pathology Accreditation Advisory Council (NPAAC)</w:t>
      </w:r>
      <w:r>
        <w:t xml:space="preserve"> advised that </w:t>
      </w:r>
      <w:r>
        <w:rPr>
          <w:rFonts w:eastAsia="Times New Roman" w:cs="Arial"/>
          <w:snapToGrid w:val="0"/>
          <w:lang w:eastAsia="en-AU"/>
        </w:rPr>
        <w:t>key i</w:t>
      </w:r>
      <w:r w:rsidR="00A704B2" w:rsidRPr="00A704B2">
        <w:rPr>
          <w:rFonts w:eastAsia="Times New Roman" w:cs="Arial"/>
          <w:snapToGrid w:val="0"/>
          <w:lang w:eastAsia="en-AU"/>
        </w:rPr>
        <w:t xml:space="preserve">mplementation </w:t>
      </w:r>
      <w:r>
        <w:rPr>
          <w:rFonts w:eastAsia="Times New Roman" w:cs="Arial"/>
          <w:snapToGrid w:val="0"/>
          <w:lang w:eastAsia="en-AU"/>
        </w:rPr>
        <w:t>issues are that the</w:t>
      </w:r>
      <w:r w:rsidRPr="00EB5AD2">
        <w:rPr>
          <w:rFonts w:eastAsia="Times New Roman" w:cs="Arial"/>
          <w:bCs/>
          <w:snapToGrid w:val="0"/>
          <w:lang w:val="en-US" w:eastAsia="en-AU"/>
        </w:rPr>
        <w:t xml:space="preserve"> selected assay </w:t>
      </w:r>
      <w:r>
        <w:rPr>
          <w:rFonts w:eastAsia="Times New Roman" w:cs="Arial"/>
          <w:bCs/>
          <w:snapToGrid w:val="0"/>
          <w:lang w:val="en-US" w:eastAsia="en-AU"/>
        </w:rPr>
        <w:t xml:space="preserve">will need to be validated </w:t>
      </w:r>
      <w:r w:rsidRPr="00EB5AD2">
        <w:rPr>
          <w:rFonts w:eastAsia="Times New Roman" w:cs="Arial"/>
          <w:bCs/>
          <w:snapToGrid w:val="0"/>
          <w:lang w:val="en-US" w:eastAsia="en-AU"/>
        </w:rPr>
        <w:t xml:space="preserve">to establish it meets the required sensitivity level according to NPAAC In House IVD Standard and overseen by </w:t>
      </w:r>
      <w:r w:rsidR="003165E4">
        <w:rPr>
          <w:rFonts w:eastAsia="Times New Roman" w:cs="Arial"/>
          <w:bCs/>
          <w:snapToGrid w:val="0"/>
          <w:lang w:val="en-US" w:eastAsia="en-AU"/>
        </w:rPr>
        <w:t xml:space="preserve">the Therapeutic </w:t>
      </w:r>
      <w:r w:rsidR="003165E4">
        <w:rPr>
          <w:rFonts w:eastAsia="Times New Roman" w:cs="Arial"/>
          <w:bCs/>
          <w:snapToGrid w:val="0"/>
          <w:lang w:val="en-US" w:eastAsia="en-AU"/>
        </w:rPr>
        <w:lastRenderedPageBreak/>
        <w:t>Goods Administration (</w:t>
      </w:r>
      <w:r w:rsidRPr="00EB5AD2">
        <w:rPr>
          <w:rFonts w:eastAsia="Times New Roman" w:cs="Arial"/>
          <w:bCs/>
          <w:snapToGrid w:val="0"/>
          <w:lang w:val="en-US" w:eastAsia="en-AU"/>
        </w:rPr>
        <w:t>TGA</w:t>
      </w:r>
      <w:r w:rsidR="003165E4">
        <w:rPr>
          <w:rFonts w:eastAsia="Times New Roman" w:cs="Arial"/>
          <w:bCs/>
          <w:snapToGrid w:val="0"/>
          <w:lang w:val="en-US" w:eastAsia="en-AU"/>
        </w:rPr>
        <w:t>)</w:t>
      </w:r>
      <w:r w:rsidRPr="00EB5AD2">
        <w:rPr>
          <w:rFonts w:eastAsia="Times New Roman" w:cs="Arial"/>
          <w:bCs/>
          <w:snapToGrid w:val="0"/>
          <w:lang w:val="en-US" w:eastAsia="en-AU"/>
        </w:rPr>
        <w:t xml:space="preserve"> and </w:t>
      </w:r>
      <w:r w:rsidR="000F2BE8">
        <w:rPr>
          <w:rFonts w:eastAsia="Times New Roman" w:cs="Arial"/>
          <w:bCs/>
          <w:snapToGrid w:val="0"/>
          <w:lang w:val="en-US" w:eastAsia="en-AU"/>
        </w:rPr>
        <w:t>the National Association of Testing Authorities (</w:t>
      </w:r>
      <w:r w:rsidRPr="00EB5AD2">
        <w:rPr>
          <w:rFonts w:eastAsia="Times New Roman" w:cs="Arial"/>
          <w:bCs/>
          <w:snapToGrid w:val="0"/>
          <w:lang w:val="en-US" w:eastAsia="en-AU"/>
        </w:rPr>
        <w:t>NATA</w:t>
      </w:r>
      <w:r w:rsidR="000F2BE8">
        <w:rPr>
          <w:rFonts w:eastAsia="Times New Roman" w:cs="Arial"/>
          <w:bCs/>
          <w:snapToGrid w:val="0"/>
          <w:lang w:val="en-US" w:eastAsia="en-AU"/>
        </w:rPr>
        <w:t>)</w:t>
      </w:r>
      <w:r>
        <w:rPr>
          <w:rFonts w:eastAsia="Times New Roman" w:cs="Arial"/>
          <w:bCs/>
          <w:snapToGrid w:val="0"/>
          <w:lang w:val="en-US" w:eastAsia="en-AU"/>
        </w:rPr>
        <w:t>, and the need for an EQA program, which may be available internationally.</w:t>
      </w:r>
    </w:p>
    <w:p w14:paraId="44C3B242" w14:textId="35191FF6" w:rsidR="00772829" w:rsidRPr="00CE28E3" w:rsidRDefault="00CE68D9" w:rsidP="002A18BE">
      <w:pPr>
        <w:pStyle w:val="Heading2"/>
      </w:pPr>
      <w:bookmarkStart w:id="8" w:name="_Toc118798861"/>
      <w:bookmarkStart w:id="9" w:name="_Toc121906360"/>
      <w:r>
        <w:t>6</w:t>
      </w:r>
      <w:r w:rsidR="00C36633">
        <w:t>.</w:t>
      </w:r>
      <w:r w:rsidR="00C36633">
        <w:tab/>
      </w:r>
      <w:r w:rsidR="00772829" w:rsidRPr="00CE28E3">
        <w:t>Proposal for public funding</w:t>
      </w:r>
      <w:bookmarkEnd w:id="8"/>
      <w:bookmarkEnd w:id="9"/>
    </w:p>
    <w:p w14:paraId="57F0C6B7" w14:textId="4AC48E4F" w:rsidR="0030650B" w:rsidRDefault="001F7BDB" w:rsidP="00DC4F64">
      <w:pPr>
        <w:pStyle w:val="Instructionaltext"/>
        <w:keepNext/>
        <w:tabs>
          <w:tab w:val="left" w:pos="2172"/>
        </w:tabs>
        <w:rPr>
          <w:color w:val="auto"/>
        </w:rPr>
      </w:pPr>
      <w:r w:rsidRPr="001F7BDB">
        <w:rPr>
          <w:color w:val="auto"/>
        </w:rPr>
        <w:t>The applicant propos</w:t>
      </w:r>
      <w:r w:rsidR="004D047A">
        <w:rPr>
          <w:color w:val="auto"/>
        </w:rPr>
        <w:t>ed</w:t>
      </w:r>
      <w:r w:rsidRPr="001F7BDB">
        <w:rPr>
          <w:color w:val="auto"/>
        </w:rPr>
        <w:t xml:space="preserve"> the intervention be publicly funded through the MBS.</w:t>
      </w:r>
    </w:p>
    <w:p w14:paraId="76097F02" w14:textId="057BEEE5" w:rsidR="001F7BDB" w:rsidRPr="002A02DC" w:rsidRDefault="001F7BDB" w:rsidP="00DC4F64">
      <w:pPr>
        <w:pStyle w:val="Instructionaltext"/>
        <w:keepNext/>
        <w:tabs>
          <w:tab w:val="left" w:pos="2172"/>
        </w:tabs>
        <w:rPr>
          <w:color w:val="auto"/>
        </w:rPr>
      </w:pPr>
      <w:r w:rsidRPr="0030650B">
        <w:rPr>
          <w:color w:val="auto"/>
        </w:rPr>
        <w:t xml:space="preserve">The proposed MBS item descriptors </w:t>
      </w:r>
      <w:r w:rsidRPr="002A02DC">
        <w:rPr>
          <w:color w:val="auto"/>
        </w:rPr>
        <w:t xml:space="preserve">as </w:t>
      </w:r>
      <w:r w:rsidR="00B154B5">
        <w:rPr>
          <w:color w:val="auto"/>
        </w:rPr>
        <w:t>advised</w:t>
      </w:r>
      <w:r w:rsidR="00B154B5" w:rsidRPr="002A02DC">
        <w:rPr>
          <w:color w:val="auto"/>
        </w:rPr>
        <w:t xml:space="preserve"> </w:t>
      </w:r>
      <w:r w:rsidRPr="002A02DC">
        <w:rPr>
          <w:color w:val="auto"/>
        </w:rPr>
        <w:t xml:space="preserve">by PASC </w:t>
      </w:r>
      <w:r w:rsidR="0030650B" w:rsidRPr="002A02DC">
        <w:rPr>
          <w:color w:val="auto"/>
        </w:rPr>
        <w:t>are</w:t>
      </w:r>
      <w:r w:rsidRPr="002A02DC">
        <w:rPr>
          <w:color w:val="auto"/>
        </w:rPr>
        <w:t xml:space="preserve"> presented in </w:t>
      </w:r>
      <w:r w:rsidR="0030650B" w:rsidRPr="002A02DC">
        <w:rPr>
          <w:color w:val="auto"/>
        </w:rPr>
        <w:fldChar w:fldCharType="begin"/>
      </w:r>
      <w:r w:rsidR="0030650B" w:rsidRPr="002A02DC">
        <w:rPr>
          <w:color w:val="auto"/>
        </w:rPr>
        <w:instrText xml:space="preserve"> REF _Ref118887500 \h </w:instrText>
      </w:r>
      <w:r w:rsidR="00BE242F">
        <w:rPr>
          <w:color w:val="auto"/>
        </w:rPr>
        <w:instrText xml:space="preserve"> \* MERGEFORMAT </w:instrText>
      </w:r>
      <w:r w:rsidR="0030650B" w:rsidRPr="002A02DC">
        <w:rPr>
          <w:color w:val="auto"/>
        </w:rPr>
      </w:r>
      <w:r w:rsidR="0030650B" w:rsidRPr="002A02DC">
        <w:rPr>
          <w:color w:val="auto"/>
        </w:rPr>
        <w:fldChar w:fldCharType="separate"/>
      </w:r>
      <w:r w:rsidR="0003093F" w:rsidRPr="0003093F">
        <w:rPr>
          <w:color w:val="auto"/>
        </w:rPr>
        <w:t>Table 2</w:t>
      </w:r>
      <w:r w:rsidR="0030650B" w:rsidRPr="002A02DC">
        <w:rPr>
          <w:color w:val="auto"/>
        </w:rPr>
        <w:fldChar w:fldCharType="end"/>
      </w:r>
      <w:r w:rsidR="0030650B" w:rsidRPr="002A02DC">
        <w:rPr>
          <w:color w:val="auto"/>
        </w:rPr>
        <w:t xml:space="preserve"> (</w:t>
      </w:r>
      <w:proofErr w:type="spellStart"/>
      <w:r w:rsidR="0030650B" w:rsidRPr="002A02DC">
        <w:rPr>
          <w:color w:val="auto"/>
        </w:rPr>
        <w:t>mpFC</w:t>
      </w:r>
      <w:proofErr w:type="spellEnd"/>
      <w:r w:rsidR="00B154B5">
        <w:rPr>
          <w:color w:val="auto"/>
        </w:rPr>
        <w:t xml:space="preserve"> AAAA</w:t>
      </w:r>
      <w:r w:rsidR="0003093F">
        <w:rPr>
          <w:color w:val="auto"/>
        </w:rPr>
        <w:t xml:space="preserve">, </w:t>
      </w:r>
      <w:r w:rsidR="00B154B5">
        <w:rPr>
          <w:color w:val="auto"/>
        </w:rPr>
        <w:t>generic NGS BBBB</w:t>
      </w:r>
      <w:r w:rsidR="0003093F">
        <w:rPr>
          <w:color w:val="auto"/>
        </w:rPr>
        <w:t xml:space="preserve">, </w:t>
      </w:r>
      <w:r w:rsidR="00B154B5">
        <w:rPr>
          <w:color w:val="auto"/>
        </w:rPr>
        <w:t xml:space="preserve">qPCR assay design and first use CCCC, </w:t>
      </w:r>
      <w:r w:rsidR="0003093F">
        <w:rPr>
          <w:color w:val="auto"/>
        </w:rPr>
        <w:t xml:space="preserve">and qPCR </w:t>
      </w:r>
      <w:r w:rsidR="004F24C4">
        <w:rPr>
          <w:color w:val="auto"/>
        </w:rPr>
        <w:t xml:space="preserve">assay </w:t>
      </w:r>
      <w:r w:rsidR="00B154B5">
        <w:rPr>
          <w:color w:val="auto"/>
        </w:rPr>
        <w:t>subsequent use DDDD</w:t>
      </w:r>
      <w:r w:rsidR="0030650B" w:rsidRPr="002A02DC">
        <w:rPr>
          <w:color w:val="auto"/>
        </w:rPr>
        <w:t>).</w:t>
      </w:r>
      <w:r w:rsidR="00722DE2">
        <w:rPr>
          <w:color w:val="auto"/>
        </w:rPr>
        <w:t xml:space="preserve"> </w:t>
      </w:r>
      <w:r w:rsidR="00EA4016">
        <w:rPr>
          <w:color w:val="auto"/>
        </w:rPr>
        <w:t>Note that the item descriptors as advised by PASC (in April 2022)</w:t>
      </w:r>
      <w:r w:rsidR="007105BB">
        <w:rPr>
          <w:color w:val="auto"/>
        </w:rPr>
        <w:t xml:space="preserve"> and assessed by the DCAR</w:t>
      </w:r>
      <w:r w:rsidR="00EA4016">
        <w:rPr>
          <w:color w:val="auto"/>
        </w:rPr>
        <w:t xml:space="preserve"> do not reflect MSAC’s subsequent support for MRD testing using </w:t>
      </w:r>
      <w:proofErr w:type="spellStart"/>
      <w:r w:rsidR="00EA4016">
        <w:rPr>
          <w:color w:val="auto"/>
        </w:rPr>
        <w:t>mpFC</w:t>
      </w:r>
      <w:proofErr w:type="spellEnd"/>
      <w:r w:rsidR="00EA4016">
        <w:rPr>
          <w:color w:val="auto"/>
        </w:rPr>
        <w:t xml:space="preserve"> and NGS methods (under application 1707 in November 2022).</w:t>
      </w:r>
    </w:p>
    <w:p w14:paraId="39392CFD" w14:textId="2E394ABD" w:rsidR="003328A9" w:rsidRPr="002A02DC" w:rsidRDefault="00310C3F" w:rsidP="002A02DC">
      <w:pPr>
        <w:pStyle w:val="Caption"/>
      </w:pPr>
      <w:bookmarkStart w:id="10" w:name="_Ref118887500"/>
      <w:bookmarkStart w:id="11" w:name="_Ref118903731"/>
      <w:bookmarkStart w:id="12" w:name="_Toc121921217"/>
      <w:r w:rsidRPr="002A02DC">
        <w:t>Table</w:t>
      </w:r>
      <w:r w:rsidR="004A4FDF" w:rsidRPr="002A02DC">
        <w:t> </w:t>
      </w:r>
      <w:r w:rsidRPr="002A02DC">
        <w:fldChar w:fldCharType="begin"/>
      </w:r>
      <w:r w:rsidRPr="002A02DC">
        <w:instrText>SEQ Table \* ARABIC</w:instrText>
      </w:r>
      <w:r w:rsidRPr="002A02DC">
        <w:fldChar w:fldCharType="separate"/>
      </w:r>
      <w:r w:rsidR="00A922D7">
        <w:rPr>
          <w:noProof/>
        </w:rPr>
        <w:t>2</w:t>
      </w:r>
      <w:r w:rsidRPr="002A02DC">
        <w:fldChar w:fldCharType="end"/>
      </w:r>
      <w:bookmarkEnd w:id="10"/>
      <w:r w:rsidR="003328A9" w:rsidRPr="002A02DC">
        <w:tab/>
      </w:r>
      <w:r w:rsidR="001F7BDB" w:rsidRPr="002A02DC">
        <w:t>MBS</w:t>
      </w:r>
      <w:r w:rsidR="00B26622" w:rsidRPr="002A02DC">
        <w:t xml:space="preserve"> item</w:t>
      </w:r>
      <w:r w:rsidR="001F7BDB" w:rsidRPr="002A02DC">
        <w:t xml:space="preserve"> </w:t>
      </w:r>
      <w:r w:rsidR="00B154B5">
        <w:t>proposed for</w:t>
      </w:r>
      <w:r w:rsidR="00B154B5" w:rsidRPr="002A02DC">
        <w:t xml:space="preserve"> MRD testing</w:t>
      </w:r>
      <w:bookmarkEnd w:id="11"/>
      <w:bookmarkEnd w:id="12"/>
    </w:p>
    <w:tbl>
      <w:tblPr>
        <w:tblStyle w:val="HTATabl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328A9" w:rsidRPr="00CE28E3" w14:paraId="7A70B700" w14:textId="77777777" w:rsidTr="00EB5AD2">
        <w:trPr>
          <w:cnfStyle w:val="100000000000" w:firstRow="1" w:lastRow="0" w:firstColumn="0" w:lastColumn="0" w:oddVBand="0" w:evenVBand="0" w:oddHBand="0" w:evenHBand="0" w:firstRowFirstColumn="0" w:firstRowLastColumn="0" w:lastRowFirstColumn="0" w:lastRowLastColumn="0"/>
          <w:trHeight w:val="351"/>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0000"/>
              <w:left w:val="single" w:sz="4" w:space="0" w:color="000000"/>
              <w:bottom w:val="single" w:sz="4" w:space="0" w:color="000000"/>
              <w:right w:val="single" w:sz="4" w:space="0" w:color="000000"/>
            </w:tcBorders>
            <w:hideMark/>
          </w:tcPr>
          <w:p w14:paraId="617FAF30" w14:textId="312E79ED" w:rsidR="003328A9" w:rsidRPr="00CE28E3" w:rsidRDefault="001F7BDB" w:rsidP="00824458">
            <w:pPr>
              <w:pStyle w:val="TableText"/>
              <w:rPr>
                <w:sz w:val="24"/>
              </w:rPr>
            </w:pPr>
            <w:r w:rsidRPr="00DE762F">
              <w:rPr>
                <w:szCs w:val="20"/>
              </w:rPr>
              <w:t xml:space="preserve">Category </w:t>
            </w:r>
            <w:r w:rsidRPr="00F561C1">
              <w:rPr>
                <w:szCs w:val="20"/>
              </w:rPr>
              <w:t xml:space="preserve">6 – </w:t>
            </w:r>
            <w:r>
              <w:rPr>
                <w:szCs w:val="20"/>
              </w:rPr>
              <w:t xml:space="preserve">Pathology services </w:t>
            </w:r>
            <w:r>
              <w:rPr>
                <w:szCs w:val="20"/>
              </w:rPr>
              <w:tab/>
              <w:t>Group P4 Immunology</w:t>
            </w:r>
          </w:p>
        </w:tc>
      </w:tr>
      <w:tr w:rsidR="003328A9" w:rsidRPr="00CE28E3" w14:paraId="05A9B76F" w14:textId="77777777" w:rsidTr="00EB5AD2">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0000"/>
              <w:left w:val="single" w:sz="4" w:space="0" w:color="000000"/>
              <w:bottom w:val="single" w:sz="4" w:space="0" w:color="000000"/>
              <w:right w:val="single" w:sz="4" w:space="0" w:color="000000"/>
            </w:tcBorders>
            <w:hideMark/>
          </w:tcPr>
          <w:p w14:paraId="26311630" w14:textId="77777777" w:rsidR="001F7BDB" w:rsidRPr="00DE762F" w:rsidRDefault="001F7BDB" w:rsidP="001F7BDB">
            <w:pPr>
              <w:spacing w:after="120"/>
              <w:rPr>
                <w:rFonts w:ascii="Arial Narrow" w:hAnsi="Arial Narrow"/>
                <w:sz w:val="20"/>
                <w:szCs w:val="20"/>
              </w:rPr>
            </w:pPr>
            <w:r w:rsidRPr="00DE762F">
              <w:rPr>
                <w:rFonts w:ascii="Arial Narrow" w:hAnsi="Arial Narrow"/>
                <w:sz w:val="20"/>
                <w:szCs w:val="20"/>
              </w:rPr>
              <w:t xml:space="preserve">MBS item </w:t>
            </w:r>
            <w:r>
              <w:rPr>
                <w:rFonts w:ascii="Arial Narrow" w:hAnsi="Arial Narrow"/>
                <w:sz w:val="20"/>
                <w:szCs w:val="20"/>
              </w:rPr>
              <w:t>AAAA</w:t>
            </w:r>
          </w:p>
          <w:p w14:paraId="442CE982" w14:textId="77777777" w:rsidR="001F7BDB" w:rsidRPr="00F561C1" w:rsidRDefault="001F7BDB" w:rsidP="001F7BDB">
            <w:pPr>
              <w:spacing w:after="120"/>
              <w:rPr>
                <w:rFonts w:ascii="Arial Narrow" w:hAnsi="Arial Narrow"/>
                <w:sz w:val="20"/>
                <w:szCs w:val="20"/>
              </w:rPr>
            </w:pPr>
            <w:r>
              <w:rPr>
                <w:rFonts w:ascii="Arial Narrow" w:hAnsi="Arial Narrow"/>
                <w:sz w:val="20"/>
                <w:szCs w:val="20"/>
              </w:rPr>
              <w:t>Measurable</w:t>
            </w:r>
            <w:r w:rsidRPr="00F561C1">
              <w:rPr>
                <w:rFonts w:ascii="Arial Narrow" w:hAnsi="Arial Narrow"/>
                <w:sz w:val="20"/>
                <w:szCs w:val="20"/>
              </w:rPr>
              <w:t xml:space="preserve"> residual disease testing by flow cytometry</w:t>
            </w:r>
            <w:r>
              <w:rPr>
                <w:rFonts w:ascii="Arial Narrow" w:hAnsi="Arial Narrow"/>
                <w:sz w:val="20"/>
                <w:szCs w:val="20"/>
              </w:rPr>
              <w:t xml:space="preserve"> performed on bone marrow from a</w:t>
            </w:r>
            <w:r w:rsidRPr="00F561C1">
              <w:rPr>
                <w:rFonts w:ascii="Arial Narrow" w:hAnsi="Arial Narrow"/>
                <w:sz w:val="20"/>
                <w:szCs w:val="20"/>
              </w:rPr>
              <w:t xml:space="preserve"> patient diagnosed with acute lymphoblastic leukaemia (ALL) treated with combination chemotherapy treatment or after salvage therapy</w:t>
            </w:r>
            <w:r>
              <w:rPr>
                <w:rFonts w:ascii="Arial Narrow" w:hAnsi="Arial Narrow"/>
                <w:sz w:val="20"/>
                <w:szCs w:val="20"/>
              </w:rPr>
              <w:t xml:space="preserve">, requested by a </w:t>
            </w:r>
            <w:r w:rsidRPr="001A295C">
              <w:rPr>
                <w:rFonts w:ascii="Arial Narrow" w:hAnsi="Arial Narrow"/>
                <w:sz w:val="20"/>
                <w:szCs w:val="20"/>
              </w:rPr>
              <w:t xml:space="preserve">specialist or consultant physician </w:t>
            </w:r>
            <w:r>
              <w:rPr>
                <w:rFonts w:ascii="Arial Narrow" w:hAnsi="Arial Narrow"/>
                <w:sz w:val="20"/>
                <w:szCs w:val="20"/>
              </w:rPr>
              <w:t>practising as a haematologist or oncologist.</w:t>
            </w:r>
          </w:p>
          <w:p w14:paraId="3EEC2DE6" w14:textId="2932735A" w:rsidR="003328A9" w:rsidRPr="001F7BDB" w:rsidRDefault="001F7BDB" w:rsidP="001F7BDB">
            <w:pPr>
              <w:spacing w:after="120"/>
              <w:rPr>
                <w:rFonts w:ascii="Arial Narrow" w:hAnsi="Arial Narrow"/>
                <w:sz w:val="20"/>
                <w:szCs w:val="20"/>
              </w:rPr>
            </w:pPr>
            <w:r>
              <w:rPr>
                <w:rFonts w:ascii="Arial Narrow" w:hAnsi="Arial Narrow"/>
                <w:sz w:val="20"/>
                <w:szCs w:val="20"/>
              </w:rPr>
              <w:t xml:space="preserve">Maximum of 12 per course of </w:t>
            </w:r>
            <w:r w:rsidRPr="005A018C">
              <w:rPr>
                <w:rFonts w:ascii="Arial Narrow" w:hAnsi="Arial Narrow"/>
                <w:sz w:val="20"/>
                <w:szCs w:val="20"/>
              </w:rPr>
              <w:t>disease for AAAA</w:t>
            </w:r>
            <w:r>
              <w:rPr>
                <w:rFonts w:ascii="Arial Narrow" w:hAnsi="Arial Narrow"/>
                <w:sz w:val="20"/>
                <w:szCs w:val="20"/>
              </w:rPr>
              <w:t>,</w:t>
            </w:r>
            <w:r w:rsidRPr="005A018C">
              <w:rPr>
                <w:rFonts w:ascii="Arial Narrow" w:hAnsi="Arial Narrow"/>
                <w:sz w:val="20"/>
                <w:szCs w:val="20"/>
              </w:rPr>
              <w:t xml:space="preserve"> BBBB</w:t>
            </w:r>
            <w:r>
              <w:rPr>
                <w:rFonts w:ascii="Arial Narrow" w:hAnsi="Arial Narrow"/>
                <w:sz w:val="20"/>
                <w:szCs w:val="20"/>
              </w:rPr>
              <w:t>, CCCC, DDDD, and EEEE</w:t>
            </w:r>
            <w:r w:rsidRPr="005A018C">
              <w:rPr>
                <w:rFonts w:ascii="Arial Narrow" w:hAnsi="Arial Narrow"/>
                <w:sz w:val="20"/>
                <w:szCs w:val="20"/>
              </w:rPr>
              <w:t xml:space="preserve"> combined</w:t>
            </w:r>
          </w:p>
        </w:tc>
      </w:tr>
      <w:tr w:rsidR="003328A9" w:rsidRPr="005D749D" w14:paraId="190EE027" w14:textId="77777777" w:rsidTr="00EB5AD2">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0000"/>
              <w:left w:val="single" w:sz="4" w:space="0" w:color="000000"/>
              <w:bottom w:val="single" w:sz="4" w:space="0" w:color="000000"/>
              <w:right w:val="single" w:sz="4" w:space="0" w:color="000000"/>
            </w:tcBorders>
            <w:vAlign w:val="center"/>
            <w:hideMark/>
          </w:tcPr>
          <w:p w14:paraId="5AEEDFDC" w14:textId="33C5822B" w:rsidR="003328A9" w:rsidRPr="005D749D" w:rsidRDefault="001F7BDB" w:rsidP="00170D5B">
            <w:pPr>
              <w:pStyle w:val="TableText"/>
              <w:rPr>
                <w:szCs w:val="20"/>
              </w:rPr>
            </w:pPr>
            <w:r w:rsidRPr="00DE762F">
              <w:rPr>
                <w:szCs w:val="20"/>
              </w:rPr>
              <w:t xml:space="preserve">Fee: </w:t>
            </w:r>
            <w:r>
              <w:rPr>
                <w:szCs w:val="20"/>
              </w:rPr>
              <w:t>$550.00 Benefit: 75% = $412.50 85% = $467.50</w:t>
            </w:r>
          </w:p>
        </w:tc>
      </w:tr>
      <w:tr w:rsidR="0003093F" w:rsidRPr="005771DC" w14:paraId="248EF77B" w14:textId="77777777" w:rsidTr="00EB5AD2">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0000"/>
              <w:left w:val="single" w:sz="4" w:space="0" w:color="000000"/>
              <w:bottom w:val="single" w:sz="4" w:space="0" w:color="000000"/>
              <w:right w:val="single" w:sz="4" w:space="0" w:color="000000"/>
            </w:tcBorders>
            <w:vAlign w:val="center"/>
            <w:hideMark/>
          </w:tcPr>
          <w:p w14:paraId="5D65C6F8" w14:textId="77777777" w:rsidR="0003093F" w:rsidRPr="00DE762F" w:rsidRDefault="0003093F" w:rsidP="0003093F">
            <w:pPr>
              <w:pStyle w:val="TableText"/>
              <w:rPr>
                <w:szCs w:val="20"/>
              </w:rPr>
            </w:pPr>
            <w:r w:rsidRPr="00DE762F">
              <w:rPr>
                <w:szCs w:val="20"/>
              </w:rPr>
              <w:t xml:space="preserve">Category </w:t>
            </w:r>
            <w:r w:rsidRPr="00F561C1">
              <w:rPr>
                <w:szCs w:val="20"/>
              </w:rPr>
              <w:t xml:space="preserve">6 – </w:t>
            </w:r>
            <w:r>
              <w:rPr>
                <w:szCs w:val="20"/>
              </w:rPr>
              <w:t xml:space="preserve">Pathology services </w:t>
            </w:r>
            <w:r>
              <w:rPr>
                <w:szCs w:val="20"/>
              </w:rPr>
              <w:tab/>
              <w:t>Group P7 Genetics</w:t>
            </w:r>
          </w:p>
        </w:tc>
      </w:tr>
      <w:tr w:rsidR="0003093F" w:rsidRPr="005771DC" w14:paraId="3C5ECA58" w14:textId="77777777" w:rsidTr="00EB5AD2">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0000"/>
              <w:left w:val="single" w:sz="4" w:space="0" w:color="000000"/>
              <w:bottom w:val="single" w:sz="4" w:space="0" w:color="000000"/>
              <w:right w:val="single" w:sz="4" w:space="0" w:color="000000"/>
            </w:tcBorders>
            <w:hideMark/>
          </w:tcPr>
          <w:p w14:paraId="1BB8E5EE" w14:textId="77777777" w:rsidR="0003093F" w:rsidRPr="00DE762F" w:rsidRDefault="0003093F" w:rsidP="0003093F">
            <w:pPr>
              <w:pStyle w:val="TableText"/>
              <w:rPr>
                <w:szCs w:val="20"/>
              </w:rPr>
            </w:pPr>
            <w:r w:rsidRPr="00DE762F">
              <w:rPr>
                <w:szCs w:val="20"/>
              </w:rPr>
              <w:t xml:space="preserve">MBS item </w:t>
            </w:r>
            <w:r>
              <w:rPr>
                <w:szCs w:val="20"/>
              </w:rPr>
              <w:t>BBBB</w:t>
            </w:r>
          </w:p>
          <w:p w14:paraId="1F599070" w14:textId="77777777" w:rsidR="0003093F" w:rsidRPr="00B109B7" w:rsidRDefault="0003093F" w:rsidP="0003093F">
            <w:pPr>
              <w:pStyle w:val="TableText"/>
              <w:rPr>
                <w:szCs w:val="20"/>
              </w:rPr>
            </w:pPr>
            <w:r>
              <w:rPr>
                <w:szCs w:val="20"/>
              </w:rPr>
              <w:t>Measurable</w:t>
            </w:r>
            <w:r w:rsidRPr="00B109B7">
              <w:rPr>
                <w:szCs w:val="20"/>
              </w:rPr>
              <w:t xml:space="preserve"> residual disease testing by a </w:t>
            </w:r>
            <w:r>
              <w:rPr>
                <w:szCs w:val="20"/>
              </w:rPr>
              <w:t xml:space="preserve">quantitative </w:t>
            </w:r>
            <w:r w:rsidRPr="00B109B7">
              <w:rPr>
                <w:szCs w:val="20"/>
              </w:rPr>
              <w:t xml:space="preserve">molecular methodology </w:t>
            </w:r>
            <w:r>
              <w:rPr>
                <w:szCs w:val="20"/>
              </w:rPr>
              <w:t>on bone marrow</w:t>
            </w:r>
            <w:r w:rsidRPr="00F561C1">
              <w:rPr>
                <w:szCs w:val="20"/>
              </w:rPr>
              <w:t xml:space="preserve"> </w:t>
            </w:r>
            <w:r>
              <w:rPr>
                <w:szCs w:val="20"/>
              </w:rPr>
              <w:t xml:space="preserve">from a patient </w:t>
            </w:r>
            <w:r w:rsidRPr="00B109B7">
              <w:rPr>
                <w:szCs w:val="20"/>
              </w:rPr>
              <w:t>diagnosed with acute lymphoblastic leukaemia (ALL) treated with combination chemotherapy or after salvage therapy</w:t>
            </w:r>
            <w:r>
              <w:rPr>
                <w:szCs w:val="20"/>
              </w:rPr>
              <w:t xml:space="preserve">, requested by a </w:t>
            </w:r>
            <w:r w:rsidRPr="001A295C">
              <w:rPr>
                <w:szCs w:val="20"/>
              </w:rPr>
              <w:t xml:space="preserve">specialist or consultant physician </w:t>
            </w:r>
            <w:r>
              <w:rPr>
                <w:szCs w:val="20"/>
              </w:rPr>
              <w:t>practising as a haematologist or oncologist other than a service to which item CCCC, DDDD or EEEE applies.</w:t>
            </w:r>
          </w:p>
          <w:p w14:paraId="4A06DC46" w14:textId="77777777" w:rsidR="0003093F" w:rsidRDefault="0003093F" w:rsidP="0003093F">
            <w:pPr>
              <w:pStyle w:val="TableText"/>
              <w:rPr>
                <w:szCs w:val="20"/>
              </w:rPr>
            </w:pPr>
            <w:r>
              <w:rPr>
                <w:szCs w:val="20"/>
              </w:rPr>
              <w:t xml:space="preserve">Maximum of 12 per course of </w:t>
            </w:r>
            <w:r w:rsidRPr="005A018C">
              <w:rPr>
                <w:szCs w:val="20"/>
              </w:rPr>
              <w:t>disease for AAAA</w:t>
            </w:r>
            <w:r>
              <w:rPr>
                <w:szCs w:val="20"/>
              </w:rPr>
              <w:t>,</w:t>
            </w:r>
            <w:r w:rsidRPr="005A018C">
              <w:rPr>
                <w:szCs w:val="20"/>
              </w:rPr>
              <w:t xml:space="preserve"> BBBB</w:t>
            </w:r>
            <w:r>
              <w:rPr>
                <w:szCs w:val="20"/>
              </w:rPr>
              <w:t>, CCCC, DDDD, and EEEE</w:t>
            </w:r>
            <w:r w:rsidRPr="005A018C">
              <w:rPr>
                <w:szCs w:val="20"/>
              </w:rPr>
              <w:t xml:space="preserve"> combined</w:t>
            </w:r>
          </w:p>
          <w:p w14:paraId="043D3D21" w14:textId="77777777" w:rsidR="0003093F" w:rsidRPr="00DE762F" w:rsidRDefault="0003093F" w:rsidP="0003093F">
            <w:pPr>
              <w:pStyle w:val="TableText"/>
              <w:rPr>
                <w:szCs w:val="20"/>
              </w:rPr>
            </w:pPr>
            <w:r>
              <w:rPr>
                <w:szCs w:val="20"/>
              </w:rPr>
              <w:t xml:space="preserve">Fee: </w:t>
            </w:r>
            <w:r w:rsidRPr="00B109B7">
              <w:rPr>
                <w:szCs w:val="20"/>
              </w:rPr>
              <w:t>$</w:t>
            </w:r>
            <w:proofErr w:type="gramStart"/>
            <w:r w:rsidRPr="00B109B7">
              <w:rPr>
                <w:szCs w:val="20"/>
              </w:rPr>
              <w:t>1</w:t>
            </w:r>
            <w:r>
              <w:rPr>
                <w:szCs w:val="20"/>
              </w:rPr>
              <w:t>,55</w:t>
            </w:r>
            <w:r w:rsidRPr="00B109B7">
              <w:rPr>
                <w:szCs w:val="20"/>
              </w:rPr>
              <w:t>0</w:t>
            </w:r>
            <w:r>
              <w:rPr>
                <w:szCs w:val="20"/>
              </w:rPr>
              <w:t>.00  Benefit</w:t>
            </w:r>
            <w:proofErr w:type="gramEnd"/>
            <w:r>
              <w:rPr>
                <w:szCs w:val="20"/>
              </w:rPr>
              <w:t>: 75% = $1,162.50  85% = $1,456.80*</w:t>
            </w:r>
          </w:p>
        </w:tc>
      </w:tr>
      <w:tr w:rsidR="0003093F" w:rsidRPr="005771DC" w14:paraId="3F33995F" w14:textId="77777777" w:rsidTr="00EB5AD2">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0000"/>
              <w:left w:val="single" w:sz="4" w:space="0" w:color="000000"/>
              <w:bottom w:val="single" w:sz="4" w:space="0" w:color="000000"/>
              <w:right w:val="single" w:sz="4" w:space="0" w:color="000000"/>
            </w:tcBorders>
            <w:hideMark/>
          </w:tcPr>
          <w:p w14:paraId="1B856405" w14:textId="77777777" w:rsidR="0003093F" w:rsidRDefault="0003093F" w:rsidP="0003093F">
            <w:pPr>
              <w:pStyle w:val="TableText"/>
              <w:rPr>
                <w:szCs w:val="20"/>
              </w:rPr>
            </w:pPr>
            <w:r>
              <w:rPr>
                <w:szCs w:val="20"/>
              </w:rPr>
              <w:t>MBS item CCCC</w:t>
            </w:r>
          </w:p>
          <w:p w14:paraId="675AC352" w14:textId="77777777" w:rsidR="0003093F" w:rsidRDefault="0003093F" w:rsidP="0003093F">
            <w:pPr>
              <w:pStyle w:val="TableText"/>
              <w:rPr>
                <w:szCs w:val="20"/>
              </w:rPr>
            </w:pPr>
            <w:r>
              <w:rPr>
                <w:szCs w:val="20"/>
              </w:rPr>
              <w:t xml:space="preserve">Development of a patient-specific quantitative assay for measurable residual disease (MRD) based on the diagnostic bone marrow specimen from a patient diagnosed with acute lymphoblastic leukaemia (ALL) </w:t>
            </w:r>
            <w:r w:rsidRPr="00B109B7">
              <w:rPr>
                <w:szCs w:val="20"/>
              </w:rPr>
              <w:t>treated with combination chemotherapy or after salvage therapy</w:t>
            </w:r>
            <w:r>
              <w:rPr>
                <w:szCs w:val="20"/>
              </w:rPr>
              <w:t xml:space="preserve">, requested by a </w:t>
            </w:r>
            <w:r w:rsidRPr="001A295C">
              <w:rPr>
                <w:szCs w:val="20"/>
              </w:rPr>
              <w:t xml:space="preserve">specialist or consultant physician </w:t>
            </w:r>
            <w:r>
              <w:rPr>
                <w:szCs w:val="20"/>
              </w:rPr>
              <w:t>practising as a haematologist or oncologist, and use on the first MRD specimen for one test described in item DDDD.</w:t>
            </w:r>
          </w:p>
          <w:p w14:paraId="200400C6" w14:textId="77777777" w:rsidR="0003093F" w:rsidRDefault="0003093F" w:rsidP="0003093F">
            <w:pPr>
              <w:pStyle w:val="TableText"/>
              <w:rPr>
                <w:szCs w:val="20"/>
              </w:rPr>
            </w:pPr>
            <w:r>
              <w:rPr>
                <w:szCs w:val="20"/>
              </w:rPr>
              <w:t>Applicable not more than once per patient per course of disease</w:t>
            </w:r>
          </w:p>
          <w:p w14:paraId="549E798E" w14:textId="77777777" w:rsidR="0003093F" w:rsidRDefault="0003093F" w:rsidP="0003093F">
            <w:pPr>
              <w:pStyle w:val="TableText"/>
              <w:rPr>
                <w:szCs w:val="20"/>
              </w:rPr>
            </w:pPr>
            <w:r>
              <w:rPr>
                <w:szCs w:val="20"/>
              </w:rPr>
              <w:t xml:space="preserve">Maximum of 12 per course of </w:t>
            </w:r>
            <w:r w:rsidRPr="005A018C">
              <w:rPr>
                <w:szCs w:val="20"/>
              </w:rPr>
              <w:t>disease for AAAA</w:t>
            </w:r>
            <w:r>
              <w:rPr>
                <w:szCs w:val="20"/>
              </w:rPr>
              <w:t>,</w:t>
            </w:r>
            <w:r w:rsidRPr="005A018C">
              <w:rPr>
                <w:szCs w:val="20"/>
              </w:rPr>
              <w:t xml:space="preserve"> BBBB</w:t>
            </w:r>
            <w:r>
              <w:rPr>
                <w:szCs w:val="20"/>
              </w:rPr>
              <w:t>, CCCC, DDDD, and EEEE</w:t>
            </w:r>
            <w:r w:rsidRPr="005A018C">
              <w:rPr>
                <w:szCs w:val="20"/>
              </w:rPr>
              <w:t xml:space="preserve"> combined</w:t>
            </w:r>
          </w:p>
          <w:p w14:paraId="5EAA1D51" w14:textId="77777777" w:rsidR="0003093F" w:rsidRPr="00DE762F" w:rsidRDefault="0003093F" w:rsidP="0003093F">
            <w:pPr>
              <w:pStyle w:val="TableText"/>
              <w:rPr>
                <w:szCs w:val="20"/>
              </w:rPr>
            </w:pPr>
            <w:r>
              <w:rPr>
                <w:szCs w:val="20"/>
              </w:rPr>
              <w:t>Fee: $</w:t>
            </w:r>
            <w:proofErr w:type="gramStart"/>
            <w:r>
              <w:rPr>
                <w:szCs w:val="20"/>
              </w:rPr>
              <w:t>3,000.00  Benefit</w:t>
            </w:r>
            <w:proofErr w:type="gramEnd"/>
            <w:r>
              <w:rPr>
                <w:szCs w:val="20"/>
              </w:rPr>
              <w:t>: 75% = $2,250.00  85% = $2,906.80</w:t>
            </w:r>
            <w:r w:rsidRPr="00190F01">
              <w:rPr>
                <w:szCs w:val="20"/>
              </w:rPr>
              <w:t>*</w:t>
            </w:r>
          </w:p>
        </w:tc>
      </w:tr>
      <w:tr w:rsidR="0003093F" w:rsidRPr="005771DC" w14:paraId="5ABDD740" w14:textId="77777777" w:rsidTr="00EB5AD2">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0000"/>
              <w:left w:val="single" w:sz="4" w:space="0" w:color="000000"/>
              <w:bottom w:val="single" w:sz="4" w:space="0" w:color="000000"/>
              <w:right w:val="single" w:sz="4" w:space="0" w:color="000000"/>
            </w:tcBorders>
            <w:hideMark/>
          </w:tcPr>
          <w:p w14:paraId="398FAF66" w14:textId="77777777" w:rsidR="0003093F" w:rsidRDefault="0003093F" w:rsidP="0003093F">
            <w:pPr>
              <w:pStyle w:val="TableText"/>
              <w:rPr>
                <w:szCs w:val="20"/>
              </w:rPr>
            </w:pPr>
            <w:r>
              <w:rPr>
                <w:szCs w:val="20"/>
              </w:rPr>
              <w:t>MBS item DDDD</w:t>
            </w:r>
          </w:p>
          <w:p w14:paraId="5848A662" w14:textId="77777777" w:rsidR="0003093F" w:rsidRPr="00B109B7" w:rsidRDefault="0003093F" w:rsidP="0003093F">
            <w:pPr>
              <w:pStyle w:val="TableText"/>
              <w:rPr>
                <w:szCs w:val="20"/>
              </w:rPr>
            </w:pPr>
            <w:r>
              <w:rPr>
                <w:szCs w:val="20"/>
              </w:rPr>
              <w:t>Measurable</w:t>
            </w:r>
            <w:r w:rsidRPr="00B109B7">
              <w:rPr>
                <w:szCs w:val="20"/>
              </w:rPr>
              <w:t xml:space="preserve"> residual disease testing by a </w:t>
            </w:r>
            <w:r>
              <w:rPr>
                <w:szCs w:val="20"/>
              </w:rPr>
              <w:t>quantitative patient-specific assay</w:t>
            </w:r>
            <w:r w:rsidRPr="00B109B7">
              <w:rPr>
                <w:szCs w:val="20"/>
              </w:rPr>
              <w:t xml:space="preserve"> </w:t>
            </w:r>
            <w:r>
              <w:rPr>
                <w:szCs w:val="20"/>
              </w:rPr>
              <w:t>on bone marrow</w:t>
            </w:r>
            <w:r w:rsidRPr="00F561C1">
              <w:rPr>
                <w:szCs w:val="20"/>
              </w:rPr>
              <w:t xml:space="preserve"> </w:t>
            </w:r>
            <w:r>
              <w:rPr>
                <w:szCs w:val="20"/>
              </w:rPr>
              <w:t xml:space="preserve">from a patient </w:t>
            </w:r>
            <w:r w:rsidRPr="00B109B7">
              <w:rPr>
                <w:szCs w:val="20"/>
              </w:rPr>
              <w:t>diagnosed with acute lymphoblastic leukaemia (ALL) treated with combination chemotherapy or after salvage therapy</w:t>
            </w:r>
            <w:r>
              <w:rPr>
                <w:szCs w:val="20"/>
              </w:rPr>
              <w:t xml:space="preserve">, requested by a </w:t>
            </w:r>
            <w:r w:rsidRPr="001A295C">
              <w:rPr>
                <w:szCs w:val="20"/>
              </w:rPr>
              <w:t xml:space="preserve">specialist or consultant physician </w:t>
            </w:r>
            <w:r>
              <w:rPr>
                <w:szCs w:val="20"/>
              </w:rPr>
              <w:t>practising as a haematologist or oncologist.</w:t>
            </w:r>
          </w:p>
          <w:p w14:paraId="7623DEA1" w14:textId="77777777" w:rsidR="0003093F" w:rsidRDefault="0003093F" w:rsidP="0003093F">
            <w:pPr>
              <w:pStyle w:val="TableText"/>
              <w:rPr>
                <w:szCs w:val="20"/>
              </w:rPr>
            </w:pPr>
            <w:r>
              <w:rPr>
                <w:szCs w:val="20"/>
              </w:rPr>
              <w:t xml:space="preserve">Maximum of 12 per course of </w:t>
            </w:r>
            <w:r w:rsidRPr="005A018C">
              <w:rPr>
                <w:szCs w:val="20"/>
              </w:rPr>
              <w:t>disease for AAAA</w:t>
            </w:r>
            <w:r>
              <w:rPr>
                <w:szCs w:val="20"/>
              </w:rPr>
              <w:t>,</w:t>
            </w:r>
            <w:r w:rsidRPr="005A018C">
              <w:rPr>
                <w:szCs w:val="20"/>
              </w:rPr>
              <w:t xml:space="preserve"> BBBB</w:t>
            </w:r>
            <w:r>
              <w:rPr>
                <w:szCs w:val="20"/>
              </w:rPr>
              <w:t>, CCCC, DDDD, and EEEE</w:t>
            </w:r>
            <w:r w:rsidRPr="005A018C">
              <w:rPr>
                <w:szCs w:val="20"/>
              </w:rPr>
              <w:t xml:space="preserve"> combined</w:t>
            </w:r>
          </w:p>
          <w:p w14:paraId="5920CF4E" w14:textId="77777777" w:rsidR="0003093F" w:rsidRPr="00DE762F" w:rsidRDefault="0003093F" w:rsidP="0003093F">
            <w:pPr>
              <w:pStyle w:val="TableText"/>
              <w:rPr>
                <w:szCs w:val="20"/>
              </w:rPr>
            </w:pPr>
            <w:r>
              <w:rPr>
                <w:szCs w:val="20"/>
              </w:rPr>
              <w:t>Fee: $780.</w:t>
            </w:r>
            <w:proofErr w:type="gramStart"/>
            <w:r>
              <w:rPr>
                <w:szCs w:val="20"/>
              </w:rPr>
              <w:t>00  Benefit</w:t>
            </w:r>
            <w:proofErr w:type="gramEnd"/>
            <w:r>
              <w:rPr>
                <w:szCs w:val="20"/>
              </w:rPr>
              <w:t>: 75% = $585.00  $85% = $686.80*</w:t>
            </w:r>
          </w:p>
        </w:tc>
      </w:tr>
    </w:tbl>
    <w:p w14:paraId="6D7FB2C6" w14:textId="1AE4C29D" w:rsidR="0003093F" w:rsidRDefault="0003093F" w:rsidP="0003093F">
      <w:pPr>
        <w:pStyle w:val="Tablenotes"/>
      </w:pPr>
      <w:r w:rsidRPr="00A76FBB">
        <w:t xml:space="preserve">* </w:t>
      </w:r>
      <w:r>
        <w:t>85% benefit reflects the 1 November 2022 Greatest Permissible Gap (GPG) of $93.20. All out-of-hospital Medicare services that have an MBS fee of $621.50 or more will attract a benefit that is greater than 85% of the MBS fee – being the schedule fee less the GPG amount. The GPG amount is indexed annually on 1 November in line with the Consumer Price Index (CPI) (June quarter).</w:t>
      </w:r>
    </w:p>
    <w:p w14:paraId="12015F0E" w14:textId="6404D650" w:rsidR="001F7BDB" w:rsidRPr="002D16A2" w:rsidRDefault="001F7BDB" w:rsidP="002D16A2">
      <w:pPr>
        <w:pStyle w:val="Tablenotes"/>
      </w:pPr>
      <w:r w:rsidRPr="002D16A2">
        <w:t xml:space="preserve">Source: </w:t>
      </w:r>
      <w:r w:rsidR="00080CBB" w:rsidRPr="002D16A2">
        <w:t>MS</w:t>
      </w:r>
      <w:r w:rsidRPr="002D16A2">
        <w:t>A</w:t>
      </w:r>
      <w:r w:rsidR="00080CBB" w:rsidRPr="002D16A2">
        <w:t>C a</w:t>
      </w:r>
      <w:r w:rsidRPr="002D16A2">
        <w:t xml:space="preserve">pplication 1703 and </w:t>
      </w:r>
      <w:r w:rsidR="008F3217" w:rsidRPr="002D16A2">
        <w:t xml:space="preserve">Ratified </w:t>
      </w:r>
      <w:r w:rsidRPr="002D16A2">
        <w:t>PICO</w:t>
      </w:r>
      <w:r w:rsidR="003B125D" w:rsidRPr="002D16A2">
        <w:t xml:space="preserve"> </w:t>
      </w:r>
      <w:r w:rsidR="008F3217" w:rsidRPr="002D16A2">
        <w:t>1703</w:t>
      </w:r>
    </w:p>
    <w:p w14:paraId="59A84C6A" w14:textId="18FCC1C3" w:rsidR="001F7BDB" w:rsidRPr="002D16A2" w:rsidRDefault="00D01DBC" w:rsidP="00EB5AD2">
      <w:pPr>
        <w:pStyle w:val="Tablenotes"/>
        <w:spacing w:after="240"/>
      </w:pPr>
      <w:r>
        <w:t xml:space="preserve">Abbreviations: </w:t>
      </w:r>
      <w:r w:rsidR="001F7BDB" w:rsidRPr="002D16A2">
        <w:t>ALL</w:t>
      </w:r>
      <w:r>
        <w:t xml:space="preserve">, </w:t>
      </w:r>
      <w:r w:rsidR="001F7BDB" w:rsidRPr="002D16A2">
        <w:t>acute lymphoblastic leukaemia</w:t>
      </w:r>
    </w:p>
    <w:p w14:paraId="181A3B4A" w14:textId="1A1AD84E" w:rsidR="0030650B" w:rsidRDefault="0030650B" w:rsidP="0030650B">
      <w:r>
        <w:lastRenderedPageBreak/>
        <w:t xml:space="preserve">The proposed MBS fee for MRD testing by </w:t>
      </w:r>
      <w:proofErr w:type="spellStart"/>
      <w:r>
        <w:t>mpFC</w:t>
      </w:r>
      <w:proofErr w:type="spellEnd"/>
      <w:r>
        <w:t xml:space="preserve"> is $550 </w:t>
      </w:r>
      <w:r w:rsidRPr="00E64D82">
        <w:t>(benefit: 75% = $</w:t>
      </w:r>
      <w:r>
        <w:t>412.50</w:t>
      </w:r>
      <w:r w:rsidRPr="00E64D82">
        <w:t>, 85% = $</w:t>
      </w:r>
      <w:r>
        <w:t>467.50</w:t>
      </w:r>
      <w:r w:rsidRPr="00E64D82">
        <w:t>)</w:t>
      </w:r>
      <w:r>
        <w:t xml:space="preserve">, which factors in the cost of cell processing and data capture, reagents used, scientific labour cost and instrument amortisation. </w:t>
      </w:r>
    </w:p>
    <w:p w14:paraId="1E86E341" w14:textId="352B8FC3" w:rsidR="001F7BDB" w:rsidRPr="002A02DC" w:rsidRDefault="0030650B" w:rsidP="00EB5AD2">
      <w:r>
        <w:t xml:space="preserve">MRD testing by </w:t>
      </w:r>
      <w:proofErr w:type="spellStart"/>
      <w:r>
        <w:t>mpFC</w:t>
      </w:r>
      <w:proofErr w:type="spellEnd"/>
      <w:r>
        <w:t xml:space="preserve"> is expected to take </w:t>
      </w:r>
      <w:r w:rsidR="00F07553">
        <w:t>two</w:t>
      </w:r>
      <w:r>
        <w:t xml:space="preserve"> days after sampling.</w:t>
      </w:r>
    </w:p>
    <w:p w14:paraId="3234B7AC" w14:textId="7C2AB391" w:rsidR="00A818C5" w:rsidRDefault="00A818C5" w:rsidP="00A818C5">
      <w:pPr>
        <w:spacing w:after="0"/>
        <w:rPr>
          <w:i/>
        </w:rPr>
      </w:pPr>
      <w:r>
        <w:t xml:space="preserve">The significant costs associated with developing a patient-specific </w:t>
      </w:r>
      <w:r w:rsidR="00B154B5">
        <w:t xml:space="preserve">qPCR </w:t>
      </w:r>
      <w:r>
        <w:t xml:space="preserve">assay drew concern regarding out-of-pocket costs </w:t>
      </w:r>
      <w:r w:rsidR="00F6775F">
        <w:t xml:space="preserve">potentially borne </w:t>
      </w:r>
      <w:r>
        <w:t xml:space="preserve">by patients. As such, PASC suggested three separate MBS items to describe molecular methods for the detection of MRD including </w:t>
      </w:r>
      <w:r w:rsidR="00F6775F">
        <w:t xml:space="preserve">generic </w:t>
      </w:r>
      <w:r>
        <w:t xml:space="preserve">NGS </w:t>
      </w:r>
      <w:r w:rsidR="00F6775F">
        <w:t xml:space="preserve">(BBBB) </w:t>
      </w:r>
      <w:r>
        <w:t xml:space="preserve">and initial </w:t>
      </w:r>
      <w:r w:rsidR="00F6775F">
        <w:t xml:space="preserve">(CCCC) </w:t>
      </w:r>
      <w:r>
        <w:t xml:space="preserve">and subsequent </w:t>
      </w:r>
      <w:r w:rsidR="00F6775F">
        <w:t xml:space="preserve">(DDDD) </w:t>
      </w:r>
      <w:r>
        <w:t xml:space="preserve">ASO-qPCR MBS items. </w:t>
      </w:r>
      <w:r w:rsidRPr="004D6079">
        <w:t xml:space="preserve">Both the RCPA </w:t>
      </w:r>
      <w:r w:rsidR="00F6775F">
        <w:t xml:space="preserve">(applicant for 1703) </w:t>
      </w:r>
      <w:r w:rsidRPr="004D6079">
        <w:t xml:space="preserve">and Adaptive Biotechnologies </w:t>
      </w:r>
      <w:r w:rsidR="00F6775F">
        <w:t xml:space="preserve">(applicant for 1707) commented that they </w:t>
      </w:r>
      <w:r w:rsidRPr="004D6079">
        <w:t xml:space="preserve">expect that if the proposed MBS items are listed with the </w:t>
      </w:r>
      <w:r w:rsidR="00F6775F">
        <w:t>proposed</w:t>
      </w:r>
      <w:r w:rsidR="00F6775F" w:rsidRPr="004D6079">
        <w:t xml:space="preserve"> </w:t>
      </w:r>
      <w:r w:rsidRPr="004D6079">
        <w:t>fees, there will be no out-of-pocket costs for patients.</w:t>
      </w:r>
    </w:p>
    <w:p w14:paraId="2B771CC0" w14:textId="3EA87BD3" w:rsidR="00A818C5" w:rsidRDefault="00F07553" w:rsidP="00A818C5">
      <w:pPr>
        <w:autoSpaceDE w:val="0"/>
        <w:autoSpaceDN w:val="0"/>
        <w:adjustRightInd w:val="0"/>
        <w:spacing w:line="23" w:lineRule="atLeast"/>
      </w:pPr>
      <w:r>
        <w:t>MS</w:t>
      </w:r>
      <w:r w:rsidR="00A818C5">
        <w:t>A</w:t>
      </w:r>
      <w:r>
        <w:t>C a</w:t>
      </w:r>
      <w:r w:rsidR="00A818C5">
        <w:t xml:space="preserve">pplication 1703 </w:t>
      </w:r>
      <w:r w:rsidR="00F6775F">
        <w:t xml:space="preserve">initially proposed </w:t>
      </w:r>
      <w:r w:rsidR="00A818C5">
        <w:t xml:space="preserve">that </w:t>
      </w:r>
      <w:r w:rsidR="00F6775F">
        <w:t xml:space="preserve">testing using any </w:t>
      </w:r>
      <w:r w:rsidR="00A818C5">
        <w:t>molecular method should have a fee of $1</w:t>
      </w:r>
      <w:r w:rsidR="00F6775F">
        <w:t>,</w:t>
      </w:r>
      <w:r w:rsidR="00A818C5">
        <w:t xml:space="preserve">150, which </w:t>
      </w:r>
      <w:r w:rsidR="00F6775F">
        <w:t>was a weighted estimate proposed on the bases that it wa</w:t>
      </w:r>
      <w:r w:rsidR="00A818C5">
        <w:t xml:space="preserve">s equivalent to what NGS was suggested to cost, lower than the suggested </w:t>
      </w:r>
      <w:r w:rsidR="00A818C5" w:rsidRPr="006B5B2E">
        <w:t>initial ASO-qPCR</w:t>
      </w:r>
      <w:r w:rsidR="00F6775F">
        <w:t xml:space="preserve"> cost</w:t>
      </w:r>
      <w:r w:rsidR="00A818C5">
        <w:t xml:space="preserve">, and higher than </w:t>
      </w:r>
      <w:r w:rsidR="00F6775F">
        <w:t xml:space="preserve">the cost of </w:t>
      </w:r>
      <w:r w:rsidR="00A818C5">
        <w:t xml:space="preserve">subsequent ASO-qPCR testing (after the patient-specific assay has been developed). </w:t>
      </w:r>
      <w:r w:rsidR="00F6775F">
        <w:t xml:space="preserve">Prior to </w:t>
      </w:r>
      <w:r w:rsidR="00A818C5">
        <w:t xml:space="preserve">PASC </w:t>
      </w:r>
      <w:r w:rsidR="00F6775F">
        <w:t>consideration, the applicant increased its proposed</w:t>
      </w:r>
      <w:r w:rsidR="00A818C5">
        <w:t xml:space="preserve"> </w:t>
      </w:r>
      <w:r w:rsidR="00A818C5" w:rsidRPr="004E0992">
        <w:t xml:space="preserve">fee </w:t>
      </w:r>
      <w:r w:rsidR="00F6775F">
        <w:t>for generic NGS testing to $1,550 to</w:t>
      </w:r>
      <w:r w:rsidR="00A818C5" w:rsidRPr="004E0992">
        <w:t xml:space="preserve"> reflect </w:t>
      </w:r>
      <w:r w:rsidR="00F6775F">
        <w:t>that</w:t>
      </w:r>
      <w:r w:rsidR="00A818C5" w:rsidRPr="004E0992">
        <w:t xml:space="preserve"> batching of samples </w:t>
      </w:r>
      <w:r w:rsidR="00DB0D53">
        <w:t>was unlikely to take place in</w:t>
      </w:r>
      <w:r w:rsidR="00A818C5" w:rsidRPr="004E0992">
        <w:t xml:space="preserve"> smaller laboratories.</w:t>
      </w:r>
    </w:p>
    <w:p w14:paraId="544A702F" w14:textId="37C4322A" w:rsidR="0030650B" w:rsidRDefault="00A818C5" w:rsidP="00F96FA9">
      <w:pPr>
        <w:spacing w:after="0"/>
      </w:pPr>
      <w:r>
        <w:t xml:space="preserve">Furthermore, the additional ASO-qPCR items include an item for </w:t>
      </w:r>
      <w:r w:rsidRPr="004D6079">
        <w:t xml:space="preserve">development of the patient specific assay for qPCR and the first test using this assay with a fee of $3,000.00 and </w:t>
      </w:r>
      <w:r>
        <w:t>a</w:t>
      </w:r>
      <w:r w:rsidRPr="004D6079">
        <w:t>n item for subsequent testing using the patient specific assay for qPCR with a fee of $780.00.</w:t>
      </w:r>
    </w:p>
    <w:p w14:paraId="34E0B08F" w14:textId="3AC8167A" w:rsidR="00772829" w:rsidRPr="00CE28E3" w:rsidRDefault="00CE68D9" w:rsidP="00BE242F">
      <w:pPr>
        <w:pStyle w:val="Heading2"/>
      </w:pPr>
      <w:bookmarkStart w:id="13" w:name="_Toc118798862"/>
      <w:bookmarkStart w:id="14" w:name="_Toc121906361"/>
      <w:r>
        <w:t>7</w:t>
      </w:r>
      <w:r w:rsidR="00C36633">
        <w:t>.</w:t>
      </w:r>
      <w:r w:rsidR="00C36633">
        <w:tab/>
      </w:r>
      <w:r w:rsidR="00772829" w:rsidRPr="00CE28E3">
        <w:t>Population</w:t>
      </w:r>
      <w:bookmarkEnd w:id="13"/>
      <w:bookmarkEnd w:id="14"/>
    </w:p>
    <w:p w14:paraId="1A5C67A4" w14:textId="39809FA9" w:rsidR="003B125D" w:rsidRDefault="003B125D" w:rsidP="00BE242F">
      <w:pPr>
        <w:keepNext/>
        <w:keepLines/>
      </w:pPr>
      <w:r>
        <w:t>One PICO set was defined in the PICO confirmation.</w:t>
      </w:r>
    </w:p>
    <w:p w14:paraId="5453E0DF" w14:textId="6C79F21A" w:rsidR="003B125D" w:rsidRDefault="003B125D" w:rsidP="00BE242F">
      <w:pPr>
        <w:keepNext/>
        <w:keepLines/>
        <w:rPr>
          <w:rFonts w:eastAsia="Times New Roman" w:cs="Arial"/>
          <w:snapToGrid w:val="0"/>
          <w:lang w:eastAsia="en-AU"/>
        </w:rPr>
      </w:pPr>
      <w:r w:rsidRPr="1076C341">
        <w:rPr>
          <w:rFonts w:eastAsia="Times New Roman" w:cs="Arial"/>
          <w:snapToGrid w:val="0"/>
          <w:lang w:eastAsia="en-AU"/>
        </w:rPr>
        <w:t>The target population for this application are patients diagnosed with acute lymphoblastic leukaemia (ALL</w:t>
      </w:r>
      <w:r w:rsidR="00564C95" w:rsidRPr="1076C341">
        <w:rPr>
          <w:rFonts w:eastAsia="Times New Roman" w:cs="Arial"/>
          <w:snapToGrid w:val="0"/>
          <w:lang w:eastAsia="en-AU"/>
        </w:rPr>
        <w:t>)</w:t>
      </w:r>
      <w:r w:rsidRPr="1076C341">
        <w:rPr>
          <w:rFonts w:eastAsia="Times New Roman" w:cs="Arial"/>
          <w:snapToGrid w:val="0"/>
          <w:lang w:eastAsia="en-AU"/>
        </w:rPr>
        <w:t xml:space="preserve"> </w:t>
      </w:r>
      <w:r w:rsidR="003F0AB3">
        <w:rPr>
          <w:rFonts w:eastAsia="Times New Roman" w:cs="Arial"/>
          <w:snapToGrid w:val="0"/>
          <w:lang w:eastAsia="en-AU"/>
        </w:rPr>
        <w:t>being monitored f</w:t>
      </w:r>
      <w:r w:rsidRPr="1076C341">
        <w:rPr>
          <w:rFonts w:eastAsia="Times New Roman" w:cs="Arial"/>
          <w:snapToGrid w:val="0"/>
          <w:lang w:eastAsia="en-AU"/>
        </w:rPr>
        <w:t xml:space="preserve">or </w:t>
      </w:r>
      <w:r w:rsidR="003F0AB3">
        <w:rPr>
          <w:rFonts w:eastAsia="Times New Roman" w:cs="Arial"/>
          <w:snapToGrid w:val="0"/>
          <w:lang w:eastAsia="en-AU"/>
        </w:rPr>
        <w:t>response to treatment or suspected ALL</w:t>
      </w:r>
      <w:r w:rsidRPr="1076C341">
        <w:rPr>
          <w:rFonts w:eastAsia="Times New Roman" w:cs="Arial"/>
          <w:snapToGrid w:val="0"/>
          <w:lang w:eastAsia="en-AU"/>
        </w:rPr>
        <w:t xml:space="preserve"> </w:t>
      </w:r>
      <w:r w:rsidRPr="136B337C">
        <w:rPr>
          <w:rFonts w:eastAsia="Times New Roman" w:cs="Arial"/>
          <w:lang w:eastAsia="en-AU"/>
        </w:rPr>
        <w:t>relapse</w:t>
      </w:r>
      <w:r w:rsidRPr="6D6C2000">
        <w:rPr>
          <w:rFonts w:eastAsia="Times New Roman" w:cs="Arial"/>
          <w:lang w:eastAsia="en-AU"/>
        </w:rPr>
        <w:t>.</w:t>
      </w:r>
      <w:r w:rsidR="003F0AB3">
        <w:rPr>
          <w:rFonts w:eastAsia="Times New Roman" w:cs="Arial"/>
          <w:lang w:eastAsia="en-AU"/>
        </w:rPr>
        <w:t xml:space="preserve"> The World Health Organization (WHO) has classified ALL into B-cell ALL (B-ALL) with genetic abnormalities, B-cell ALL not otherwise specified, and T-cell ALL (T-ALL).</w:t>
      </w:r>
    </w:p>
    <w:p w14:paraId="0DD26FD1" w14:textId="6C9ABCC3" w:rsidR="003B125D" w:rsidRDefault="6BB07E95" w:rsidP="003B125D">
      <w:r>
        <w:t xml:space="preserve">MRD testing is currently undertaken in addition to morphological assessment and/or cytogenetic analysis. MRD testing </w:t>
      </w:r>
      <w:r w:rsidR="00F735F9">
        <w:t>is expected to be conducted in addition to</w:t>
      </w:r>
      <w:r>
        <w:t xml:space="preserve"> bone marrow morphology </w:t>
      </w:r>
      <w:r w:rsidR="00F735F9">
        <w:t>and/or cytogenetic testing</w:t>
      </w:r>
      <w:r>
        <w:t>.</w:t>
      </w:r>
    </w:p>
    <w:p w14:paraId="5D1863F0" w14:textId="294598E0" w:rsidR="003B125D" w:rsidRPr="003D239F" w:rsidRDefault="003B125D" w:rsidP="003B125D">
      <w:r>
        <w:t>F</w:t>
      </w:r>
      <w:r w:rsidRPr="003D239F">
        <w:t xml:space="preserve">low cytometry </w:t>
      </w:r>
      <w:r>
        <w:t xml:space="preserve">and molecular </w:t>
      </w:r>
      <w:r w:rsidRPr="003D239F">
        <w:t>methods for MRD detection are considered complementary as many individuals may be followed with both methodologies</w:t>
      </w:r>
      <w:r>
        <w:t>,</w:t>
      </w:r>
      <w:r w:rsidRPr="003D239F">
        <w:t xml:space="preserve"> but </w:t>
      </w:r>
      <w:r>
        <w:t>in some</w:t>
      </w:r>
      <w:r w:rsidRPr="003D239F">
        <w:t xml:space="preserve"> ALL cases only one of these methods is able to identify </w:t>
      </w:r>
      <w:r w:rsidR="00F735F9">
        <w:t xml:space="preserve">the patient’s dominant </w:t>
      </w:r>
      <w:proofErr w:type="spellStart"/>
      <w:r w:rsidR="00F735F9">
        <w:t>leukaemic</w:t>
      </w:r>
      <w:proofErr w:type="spellEnd"/>
      <w:r w:rsidR="00F735F9">
        <w:t xml:space="preserve"> clone</w:t>
      </w:r>
      <w:r w:rsidRPr="003D239F">
        <w:t xml:space="preserve">. </w:t>
      </w:r>
      <w:r w:rsidR="00F735F9">
        <w:t xml:space="preserve">Once a marker has been identified using one method, then patients are likely to continue to have their MRD tested using that method, though some patients may switch </w:t>
      </w:r>
      <w:proofErr w:type="gramStart"/>
      <w:r w:rsidR="00F735F9">
        <w:t>during the course of</w:t>
      </w:r>
      <w:proofErr w:type="gramEnd"/>
      <w:r w:rsidR="00F735F9">
        <w:t xml:space="preserve"> their disease. The applicant expects that</w:t>
      </w:r>
      <w:r w:rsidRPr="003D239F">
        <w:t xml:space="preserve"> most patients would have MRD monitored by one or </w:t>
      </w:r>
      <w:proofErr w:type="gramStart"/>
      <w:r w:rsidRPr="003D239F">
        <w:t xml:space="preserve">both </w:t>
      </w:r>
      <w:r w:rsidR="00F735F9">
        <w:t>of the proposed</w:t>
      </w:r>
      <w:proofErr w:type="gramEnd"/>
      <w:r w:rsidR="00F735F9" w:rsidRPr="003D239F">
        <w:t xml:space="preserve"> </w:t>
      </w:r>
      <w:r w:rsidRPr="003D239F">
        <w:t>methods.</w:t>
      </w:r>
    </w:p>
    <w:p w14:paraId="66BDFCC1" w14:textId="5F5DC433" w:rsidR="00772829" w:rsidRPr="00CE28E3" w:rsidRDefault="00CE68D9" w:rsidP="002A18BE">
      <w:pPr>
        <w:pStyle w:val="Heading2"/>
      </w:pPr>
      <w:bookmarkStart w:id="15" w:name="_Toc118798863"/>
      <w:bookmarkStart w:id="16" w:name="_Toc121906362"/>
      <w:r>
        <w:t>8</w:t>
      </w:r>
      <w:r w:rsidR="00C36633">
        <w:t>.</w:t>
      </w:r>
      <w:r w:rsidR="00C36633">
        <w:tab/>
      </w:r>
      <w:r w:rsidR="00772829" w:rsidRPr="00CE28E3">
        <w:t>Comparator</w:t>
      </w:r>
      <w:bookmarkEnd w:id="15"/>
      <w:bookmarkEnd w:id="16"/>
    </w:p>
    <w:p w14:paraId="74CFEBC5" w14:textId="3BE75C0A" w:rsidR="003B125D" w:rsidRDefault="003B125D" w:rsidP="00E76AE0">
      <w:pPr>
        <w:pStyle w:val="Instructionaltext"/>
        <w:rPr>
          <w:color w:val="auto"/>
        </w:rPr>
      </w:pPr>
      <w:r w:rsidRPr="003B125D">
        <w:rPr>
          <w:color w:val="auto"/>
        </w:rPr>
        <w:t xml:space="preserve">In the absence of MRD testing, patients with ALL are diagnosed with relapse via bone marrow morphology, </w:t>
      </w:r>
      <w:r w:rsidR="00F735F9">
        <w:rPr>
          <w:color w:val="auto"/>
        </w:rPr>
        <w:t xml:space="preserve">with or without cytogenetic analysis, </w:t>
      </w:r>
      <w:r w:rsidRPr="003B125D">
        <w:rPr>
          <w:color w:val="auto"/>
        </w:rPr>
        <w:t>which is nominated as the comparator (Ratified PICO</w:t>
      </w:r>
      <w:r w:rsidR="00F07553">
        <w:rPr>
          <w:color w:val="auto"/>
        </w:rPr>
        <w:t xml:space="preserve"> </w:t>
      </w:r>
      <w:r w:rsidR="00F07553" w:rsidRPr="003B125D">
        <w:rPr>
          <w:color w:val="auto"/>
        </w:rPr>
        <w:t>1703</w:t>
      </w:r>
      <w:r w:rsidRPr="003B125D">
        <w:rPr>
          <w:color w:val="auto"/>
        </w:rPr>
        <w:t xml:space="preserve">). </w:t>
      </w:r>
      <w:r w:rsidR="00883999">
        <w:rPr>
          <w:color w:val="auto"/>
        </w:rPr>
        <w:t>P</w:t>
      </w:r>
      <w:r w:rsidRPr="003B125D">
        <w:rPr>
          <w:color w:val="auto"/>
        </w:rPr>
        <w:t>atients undergo bone marrow extractions after each subsequent treatment phase to provide evidence of treatment response.</w:t>
      </w:r>
      <w:r w:rsidR="00883999">
        <w:rPr>
          <w:color w:val="auto"/>
        </w:rPr>
        <w:t xml:space="preserve"> Bone marrow morphological testing can detect </w:t>
      </w:r>
      <w:r w:rsidR="00883999">
        <w:rPr>
          <w:color w:val="auto"/>
        </w:rPr>
        <w:lastRenderedPageBreak/>
        <w:t xml:space="preserve">morphological relapse but not MRD, because MRD is defined as being sub-microscopic. Cytogenetic testing includes methods such as fluorescence in situ </w:t>
      </w:r>
      <w:r w:rsidR="008F36DA">
        <w:rPr>
          <w:color w:val="auto"/>
        </w:rPr>
        <w:t>hybridisation</w:t>
      </w:r>
      <w:r w:rsidR="00883999">
        <w:rPr>
          <w:color w:val="auto"/>
        </w:rPr>
        <w:t xml:space="preserve"> (FISH).</w:t>
      </w:r>
    </w:p>
    <w:p w14:paraId="66F192A9" w14:textId="65157CD9" w:rsidR="00326D9B" w:rsidRDefault="00326D9B" w:rsidP="00326D9B">
      <w:r w:rsidRPr="00451FB7">
        <w:t>The MBS items relevant to morphological assessment and cytogenetic analysis are descr</w:t>
      </w:r>
      <w:r>
        <w:t xml:space="preserve">ibed in </w:t>
      </w:r>
      <w:r>
        <w:fldChar w:fldCharType="begin"/>
      </w:r>
      <w:r>
        <w:instrText xml:space="preserve"> REF _Ref118889078 \h </w:instrText>
      </w:r>
      <w:r>
        <w:fldChar w:fldCharType="separate"/>
      </w:r>
      <w:r w:rsidR="0003093F">
        <w:t xml:space="preserve">Table </w:t>
      </w:r>
      <w:r w:rsidR="0003093F">
        <w:rPr>
          <w:noProof/>
        </w:rPr>
        <w:t>3</w:t>
      </w:r>
      <w:r>
        <w:fldChar w:fldCharType="end"/>
      </w:r>
      <w:r w:rsidRPr="00451FB7">
        <w:t xml:space="preserve">. Note that the below items are nonspecific to ALL; thus, MBS statistics are unable to provide data on the number of services performed per year </w:t>
      </w:r>
      <w:r w:rsidR="00883999">
        <w:t xml:space="preserve">specifically </w:t>
      </w:r>
      <w:r w:rsidRPr="00451FB7">
        <w:t xml:space="preserve">for </w:t>
      </w:r>
      <w:r w:rsidR="00883999">
        <w:t xml:space="preserve">patients with </w:t>
      </w:r>
      <w:r w:rsidRPr="00451FB7">
        <w:t>ALL.</w:t>
      </w:r>
    </w:p>
    <w:p w14:paraId="59901CD2" w14:textId="741A8819" w:rsidR="00326D9B" w:rsidRDefault="00326D9B" w:rsidP="00326D9B">
      <w:pPr>
        <w:pStyle w:val="Caption"/>
      </w:pPr>
      <w:bookmarkStart w:id="17" w:name="_Ref118889078"/>
      <w:bookmarkStart w:id="18" w:name="_Toc121921219"/>
      <w:r>
        <w:t xml:space="preserve">Table </w:t>
      </w:r>
      <w:r>
        <w:fldChar w:fldCharType="begin"/>
      </w:r>
      <w:r>
        <w:instrText>SEQ Table \* ARABIC</w:instrText>
      </w:r>
      <w:r>
        <w:fldChar w:fldCharType="separate"/>
      </w:r>
      <w:r w:rsidR="00A922D7">
        <w:rPr>
          <w:noProof/>
        </w:rPr>
        <w:t>3</w:t>
      </w:r>
      <w:r>
        <w:fldChar w:fldCharType="end"/>
      </w:r>
      <w:bookmarkEnd w:id="17"/>
      <w:r w:rsidR="005D0F06">
        <w:tab/>
      </w:r>
      <w:r w:rsidRPr="00636854">
        <w:t>MBS items for morphological assessment and cytogenetic analysis</w:t>
      </w:r>
      <w:bookmarkEnd w:id="18"/>
    </w:p>
    <w:tbl>
      <w:tblPr>
        <w:tblStyle w:val="TableGrid"/>
        <w:tblW w:w="0" w:type="auto"/>
        <w:tblLook w:val="04A0" w:firstRow="1" w:lastRow="0" w:firstColumn="1" w:lastColumn="0" w:noHBand="0" w:noVBand="1"/>
      </w:tblPr>
      <w:tblGrid>
        <w:gridCol w:w="9016"/>
      </w:tblGrid>
      <w:tr w:rsidR="00326D9B" w14:paraId="4DBB85CB" w14:textId="77777777" w:rsidTr="00326D9B">
        <w:trPr>
          <w:trHeight w:val="353"/>
        </w:trPr>
        <w:tc>
          <w:tcPr>
            <w:tcW w:w="9016" w:type="dxa"/>
          </w:tcPr>
          <w:p w14:paraId="101D43B7" w14:textId="77777777" w:rsidR="00326D9B" w:rsidRDefault="00326D9B" w:rsidP="00326D9B">
            <w:pPr>
              <w:pStyle w:val="TableHeading"/>
            </w:pPr>
            <w:r>
              <w:t>MBS items relevant to comparator for Application 1703</w:t>
            </w:r>
          </w:p>
        </w:tc>
      </w:tr>
      <w:tr w:rsidR="00326D9B" w14:paraId="74C392C7" w14:textId="77777777" w:rsidTr="00326D9B">
        <w:trPr>
          <w:trHeight w:val="1066"/>
        </w:trPr>
        <w:tc>
          <w:tcPr>
            <w:tcW w:w="9016" w:type="dxa"/>
          </w:tcPr>
          <w:p w14:paraId="2E088D12" w14:textId="77777777" w:rsidR="00326D9B" w:rsidRPr="002D38C9" w:rsidRDefault="00326D9B" w:rsidP="00326D9B">
            <w:pPr>
              <w:pStyle w:val="TableText"/>
            </w:pPr>
            <w:r>
              <w:t>MBS item</w:t>
            </w:r>
            <w:r w:rsidRPr="002D38C9">
              <w:t xml:space="preserve"> 65087</w:t>
            </w:r>
          </w:p>
          <w:p w14:paraId="1918BA97" w14:textId="77777777" w:rsidR="00326D9B" w:rsidRPr="00832562" w:rsidRDefault="00326D9B" w:rsidP="00326D9B">
            <w:pPr>
              <w:pStyle w:val="TableText"/>
            </w:pPr>
            <w:r w:rsidRPr="00832562">
              <w:t>Bone marrow - examination of aspirated material (including clot sections where necessary), including (if performed):</w:t>
            </w:r>
            <w:r>
              <w:t xml:space="preserve"> </w:t>
            </w:r>
            <w:r w:rsidRPr="00832562">
              <w:t>any test described in item 65060, 65066 or 65070</w:t>
            </w:r>
          </w:p>
          <w:p w14:paraId="64BAFE88" w14:textId="77777777" w:rsidR="00326D9B" w:rsidRDefault="00326D9B" w:rsidP="00326D9B">
            <w:pPr>
              <w:pStyle w:val="TableText"/>
            </w:pPr>
            <w:r w:rsidRPr="00832562">
              <w:t>Fee: $83.10 Benefit: 75% = $62.35 85% = $70.65</w:t>
            </w:r>
          </w:p>
        </w:tc>
      </w:tr>
      <w:tr w:rsidR="00326D9B" w14:paraId="5B56087A" w14:textId="77777777" w:rsidTr="00326D9B">
        <w:trPr>
          <w:trHeight w:val="1259"/>
        </w:trPr>
        <w:tc>
          <w:tcPr>
            <w:tcW w:w="9016" w:type="dxa"/>
          </w:tcPr>
          <w:p w14:paraId="0DE2C14D" w14:textId="77777777" w:rsidR="00326D9B" w:rsidRPr="0063630D" w:rsidRDefault="00326D9B" w:rsidP="00326D9B">
            <w:pPr>
              <w:pStyle w:val="TableText"/>
            </w:pPr>
            <w:r>
              <w:t xml:space="preserve">MBS item </w:t>
            </w:r>
            <w:r w:rsidRPr="0063630D">
              <w:t>73290</w:t>
            </w:r>
          </w:p>
          <w:p w14:paraId="4F1E54C1" w14:textId="77777777" w:rsidR="00326D9B" w:rsidRPr="0063630D" w:rsidRDefault="00326D9B" w:rsidP="00326D9B">
            <w:pPr>
              <w:pStyle w:val="TableText"/>
            </w:pPr>
            <w:r w:rsidRPr="0063630D">
              <w:t>The study of the whole of each chromosome by cytogenetic or other techniques, performed on blood or bone marrow, in the diagnosis and monitoring</w:t>
            </w:r>
            <w:r>
              <w:t xml:space="preserve"> </w:t>
            </w:r>
            <w:r w:rsidRPr="0063630D">
              <w:t>of haematological malignancy (including a service in items 73287 or 73289, if performed). - 1 or more tests.</w:t>
            </w:r>
          </w:p>
          <w:p w14:paraId="59A64947" w14:textId="77777777" w:rsidR="00326D9B" w:rsidRPr="002D38C9" w:rsidRDefault="00326D9B" w:rsidP="00326D9B">
            <w:pPr>
              <w:pStyle w:val="TableText"/>
            </w:pPr>
            <w:r w:rsidRPr="0063630D">
              <w:t>Fee: $394.55 Benefit: 75% = $295.95 85% = $335.40</w:t>
            </w:r>
          </w:p>
        </w:tc>
      </w:tr>
      <w:tr w:rsidR="00326D9B" w14:paraId="65FB20B0" w14:textId="77777777" w:rsidTr="00326D9B">
        <w:trPr>
          <w:trHeight w:val="2244"/>
        </w:trPr>
        <w:tc>
          <w:tcPr>
            <w:tcW w:w="9016" w:type="dxa"/>
          </w:tcPr>
          <w:p w14:paraId="0E900870" w14:textId="77777777" w:rsidR="00326D9B" w:rsidRPr="00DA69C7" w:rsidRDefault="00326D9B" w:rsidP="00326D9B">
            <w:pPr>
              <w:pStyle w:val="TableText"/>
            </w:pPr>
            <w:r w:rsidRPr="00DA69C7">
              <w:t>MBS item 73314</w:t>
            </w:r>
          </w:p>
          <w:p w14:paraId="46A07B8A" w14:textId="77777777" w:rsidR="00326D9B" w:rsidRPr="00DA69C7" w:rsidRDefault="00326D9B" w:rsidP="00326D9B">
            <w:pPr>
              <w:pStyle w:val="TableText"/>
            </w:pPr>
            <w:r w:rsidRPr="00DA69C7">
              <w:t>Characterisation of gene rearrangement or the identification of mutations within a known gene rearrangement, in the diagnosis and monitoring of patients with laboratory evidence of:</w:t>
            </w:r>
          </w:p>
          <w:p w14:paraId="15B04895" w14:textId="77777777" w:rsidR="00326D9B" w:rsidRPr="00DA69C7" w:rsidRDefault="00326D9B" w:rsidP="00326D9B">
            <w:pPr>
              <w:pStyle w:val="TableText"/>
            </w:pPr>
            <w:r w:rsidRPr="00DA69C7">
              <w:t>(a)    acute myeloid leukaemia; or</w:t>
            </w:r>
          </w:p>
          <w:p w14:paraId="26DD41BD" w14:textId="77777777" w:rsidR="00326D9B" w:rsidRPr="00DA69C7" w:rsidRDefault="00326D9B" w:rsidP="00326D9B">
            <w:pPr>
              <w:pStyle w:val="TableText"/>
            </w:pPr>
            <w:r w:rsidRPr="00DA69C7">
              <w:t>(b)    acute promyelocytic leukaemia; or</w:t>
            </w:r>
          </w:p>
          <w:p w14:paraId="112FBFB0" w14:textId="77777777" w:rsidR="00326D9B" w:rsidRPr="00DA69C7" w:rsidRDefault="00326D9B" w:rsidP="00326D9B">
            <w:pPr>
              <w:pStyle w:val="TableText"/>
            </w:pPr>
            <w:r w:rsidRPr="00DA69C7">
              <w:t>(c)    acute lymphoid leukaemia; or</w:t>
            </w:r>
          </w:p>
          <w:p w14:paraId="6FD9761C" w14:textId="77777777" w:rsidR="00326D9B" w:rsidRPr="00DA69C7" w:rsidRDefault="00326D9B" w:rsidP="00326D9B">
            <w:pPr>
              <w:pStyle w:val="TableText"/>
            </w:pPr>
            <w:r w:rsidRPr="00DA69C7">
              <w:t xml:space="preserve">(d)    chronic myeloid </w:t>
            </w:r>
            <w:proofErr w:type="gramStart"/>
            <w:r w:rsidRPr="00DA69C7">
              <w:t>leukaemia;</w:t>
            </w:r>
            <w:proofErr w:type="gramEnd"/>
          </w:p>
          <w:p w14:paraId="049512B3" w14:textId="77777777" w:rsidR="00326D9B" w:rsidRPr="00DA69C7" w:rsidRDefault="00326D9B" w:rsidP="00326D9B">
            <w:pPr>
              <w:pStyle w:val="TableText"/>
            </w:pPr>
            <w:r w:rsidRPr="00DA69C7">
              <w:t>Fee: $230.95 Benefit: 75% = $173.25 85% = $196.35</w:t>
            </w:r>
          </w:p>
        </w:tc>
      </w:tr>
      <w:tr w:rsidR="00326D9B" w14:paraId="2425D61D" w14:textId="77777777" w:rsidTr="00326D9B">
        <w:trPr>
          <w:trHeight w:val="1241"/>
        </w:trPr>
        <w:tc>
          <w:tcPr>
            <w:tcW w:w="9016" w:type="dxa"/>
            <w:tcBorders>
              <w:bottom w:val="single" w:sz="4" w:space="0" w:color="auto"/>
            </w:tcBorders>
          </w:tcPr>
          <w:p w14:paraId="6E21DA99" w14:textId="77777777" w:rsidR="00326D9B" w:rsidRPr="00DA69C7" w:rsidRDefault="00326D9B" w:rsidP="00326D9B">
            <w:pPr>
              <w:pStyle w:val="TableText"/>
            </w:pPr>
            <w:r w:rsidRPr="00DA69C7">
              <w:t>MBS item 73315</w:t>
            </w:r>
          </w:p>
          <w:p w14:paraId="23CC178B" w14:textId="77777777" w:rsidR="00326D9B" w:rsidRPr="00DA69C7" w:rsidRDefault="00326D9B" w:rsidP="00326D9B">
            <w:pPr>
              <w:pStyle w:val="TableText"/>
            </w:pPr>
            <w:r w:rsidRPr="00DA69C7">
              <w:t>A test described in item 73314, if rendered by a receiving APP - 1 or more tests</w:t>
            </w:r>
          </w:p>
          <w:p w14:paraId="67B001FD" w14:textId="77777777" w:rsidR="00326D9B" w:rsidRPr="00DA69C7" w:rsidRDefault="00326D9B" w:rsidP="00326D9B">
            <w:pPr>
              <w:pStyle w:val="TableText"/>
            </w:pPr>
            <w:r w:rsidRPr="00DA69C7">
              <w:t>(Item is subject to rule 18)</w:t>
            </w:r>
          </w:p>
          <w:p w14:paraId="66494696" w14:textId="77777777" w:rsidR="00326D9B" w:rsidRPr="00DA69C7" w:rsidRDefault="00326D9B" w:rsidP="00326D9B">
            <w:pPr>
              <w:pStyle w:val="TableText"/>
            </w:pPr>
            <w:r w:rsidRPr="00DA69C7">
              <w:t>Fee: $230.95 Benefit: 75% = $173.25 85% = $196.35</w:t>
            </w:r>
          </w:p>
        </w:tc>
      </w:tr>
      <w:tr w:rsidR="00326D9B" w14:paraId="76FB15BF" w14:textId="77777777" w:rsidTr="00326D9B">
        <w:trPr>
          <w:trHeight w:val="276"/>
        </w:trPr>
        <w:tc>
          <w:tcPr>
            <w:tcW w:w="9016" w:type="dxa"/>
          </w:tcPr>
          <w:p w14:paraId="5A93E668" w14:textId="77777777" w:rsidR="00326D9B" w:rsidRPr="002D38C9" w:rsidRDefault="00326D9B" w:rsidP="00326D9B">
            <w:pPr>
              <w:pStyle w:val="TableHeading"/>
            </w:pPr>
            <w:r w:rsidRPr="000F1853">
              <w:t xml:space="preserve">MBS item numbers </w:t>
            </w:r>
            <w:r>
              <w:t>used for services performed</w:t>
            </w:r>
            <w:r w:rsidRPr="000F1853">
              <w:t xml:space="preserve"> to obtain the bone marrow </w:t>
            </w:r>
            <w:r>
              <w:t>sample</w:t>
            </w:r>
            <w:r w:rsidRPr="000F1853">
              <w:t xml:space="preserve"> </w:t>
            </w:r>
          </w:p>
        </w:tc>
      </w:tr>
      <w:tr w:rsidR="00326D9B" w14:paraId="00F73B54" w14:textId="77777777" w:rsidTr="00326D9B">
        <w:trPr>
          <w:trHeight w:val="823"/>
        </w:trPr>
        <w:tc>
          <w:tcPr>
            <w:tcW w:w="9016" w:type="dxa"/>
          </w:tcPr>
          <w:p w14:paraId="197E24CB" w14:textId="77777777" w:rsidR="00326D9B" w:rsidRPr="000F1853" w:rsidRDefault="00326D9B" w:rsidP="00326D9B">
            <w:pPr>
              <w:pStyle w:val="TableText"/>
            </w:pPr>
            <w:r w:rsidRPr="000F1853">
              <w:t>MBS item number 20440</w:t>
            </w:r>
          </w:p>
          <w:p w14:paraId="17564283" w14:textId="77777777" w:rsidR="00326D9B" w:rsidRPr="003A0AC2" w:rsidRDefault="00326D9B" w:rsidP="00326D9B">
            <w:pPr>
              <w:pStyle w:val="TableText"/>
            </w:pPr>
            <w:r w:rsidRPr="003A0AC2">
              <w:t>INITIATION OF MANAGEMENT OF ANAESTHESIA for percutaneous bone marrow biopsy of the sternum</w:t>
            </w:r>
            <w:r>
              <w:t xml:space="preserve"> (4 basic units)</w:t>
            </w:r>
          </w:p>
          <w:p w14:paraId="634248FF" w14:textId="77777777" w:rsidR="00326D9B" w:rsidRPr="000F1853" w:rsidRDefault="00326D9B" w:rsidP="00326D9B">
            <w:pPr>
              <w:pStyle w:val="TableText"/>
            </w:pPr>
            <w:r w:rsidRPr="003A0AC2">
              <w:t>Fee: $82.40 Benefit: 75% = $61.80 85% = $70.05</w:t>
            </w:r>
          </w:p>
        </w:tc>
      </w:tr>
      <w:tr w:rsidR="00326D9B" w14:paraId="1BBBB479" w14:textId="77777777" w:rsidTr="00326D9B">
        <w:trPr>
          <w:trHeight w:val="1028"/>
        </w:trPr>
        <w:tc>
          <w:tcPr>
            <w:tcW w:w="9016" w:type="dxa"/>
          </w:tcPr>
          <w:p w14:paraId="27ABAD14" w14:textId="77777777" w:rsidR="00326D9B" w:rsidRPr="000F1853" w:rsidRDefault="00326D9B" w:rsidP="00326D9B">
            <w:pPr>
              <w:pStyle w:val="TableText"/>
            </w:pPr>
            <w:r w:rsidRPr="000F1853">
              <w:t>MBS item number 21112</w:t>
            </w:r>
          </w:p>
          <w:p w14:paraId="001BAE83" w14:textId="77777777" w:rsidR="00326D9B" w:rsidRPr="0043770C" w:rsidRDefault="00326D9B" w:rsidP="00326D9B">
            <w:pPr>
              <w:pStyle w:val="TableText"/>
            </w:pPr>
            <w:r w:rsidRPr="0043770C">
              <w:t>INITIATION OF MANAGEMENT OF ANAESTHESIA for percutaneous bone marrow biopsy of the anterior iliac crest</w:t>
            </w:r>
            <w:r>
              <w:t xml:space="preserve"> (4 basic units)</w:t>
            </w:r>
          </w:p>
          <w:p w14:paraId="41029931" w14:textId="77777777" w:rsidR="00326D9B" w:rsidRPr="000F1853" w:rsidRDefault="00326D9B" w:rsidP="00326D9B">
            <w:pPr>
              <w:pStyle w:val="TableText"/>
            </w:pPr>
            <w:r w:rsidRPr="0043770C">
              <w:t>Fee: $82.40 Benefit: 75% = $61.80 85% = $70.05</w:t>
            </w:r>
          </w:p>
        </w:tc>
      </w:tr>
      <w:tr w:rsidR="00326D9B" w14:paraId="48477270" w14:textId="77777777" w:rsidTr="00326D9B">
        <w:trPr>
          <w:trHeight w:val="1055"/>
        </w:trPr>
        <w:tc>
          <w:tcPr>
            <w:tcW w:w="9016" w:type="dxa"/>
          </w:tcPr>
          <w:p w14:paraId="0B0750F7" w14:textId="77777777" w:rsidR="00326D9B" w:rsidRPr="000F1853" w:rsidRDefault="00326D9B" w:rsidP="00326D9B">
            <w:pPr>
              <w:pStyle w:val="TableText"/>
            </w:pPr>
            <w:r w:rsidRPr="000F1853">
              <w:t>MBS item number 21114</w:t>
            </w:r>
          </w:p>
          <w:p w14:paraId="32B9C064" w14:textId="77777777" w:rsidR="00326D9B" w:rsidRPr="00143B8A" w:rsidRDefault="00326D9B" w:rsidP="00326D9B">
            <w:pPr>
              <w:pStyle w:val="TableText"/>
            </w:pPr>
            <w:r w:rsidRPr="00143B8A">
              <w:t>INITIATION OF MANAGEMENT OF ANAESTHESIA for percutaneous bone marrow biopsy of the posterior iliac crest</w:t>
            </w:r>
            <w:r>
              <w:t xml:space="preserve"> (5 basic units)</w:t>
            </w:r>
          </w:p>
          <w:p w14:paraId="1B1679B2" w14:textId="77777777" w:rsidR="00326D9B" w:rsidRPr="000F1853" w:rsidRDefault="00326D9B" w:rsidP="00326D9B">
            <w:pPr>
              <w:pStyle w:val="TableText"/>
            </w:pPr>
            <w:r w:rsidRPr="00143B8A">
              <w:t>Fee: $103.00 Benefit: 75% = $77.25 85% = $87.55</w:t>
            </w:r>
          </w:p>
        </w:tc>
      </w:tr>
      <w:tr w:rsidR="00326D9B" w14:paraId="0BFB3E5F" w14:textId="77777777" w:rsidTr="00326D9B">
        <w:trPr>
          <w:trHeight w:val="893"/>
        </w:trPr>
        <w:tc>
          <w:tcPr>
            <w:tcW w:w="9016" w:type="dxa"/>
          </w:tcPr>
          <w:p w14:paraId="77FE052E" w14:textId="77777777" w:rsidR="00326D9B" w:rsidRPr="000F1853" w:rsidRDefault="00326D9B" w:rsidP="00326D9B">
            <w:pPr>
              <w:pStyle w:val="TableText"/>
            </w:pPr>
            <w:r w:rsidRPr="000F1853">
              <w:t>MBS item number 21116</w:t>
            </w:r>
          </w:p>
          <w:p w14:paraId="6719B563" w14:textId="77777777" w:rsidR="00326D9B" w:rsidRPr="00EA7E3A" w:rsidRDefault="00326D9B" w:rsidP="00326D9B">
            <w:pPr>
              <w:pStyle w:val="TableText"/>
            </w:pPr>
            <w:r w:rsidRPr="00EA7E3A">
              <w:t>INITIATION OF MANAGEMENT OF ANAESTHESIA for percutaneous bone marrow harvesting from the pelvis</w:t>
            </w:r>
            <w:r>
              <w:t xml:space="preserve"> (6 basic units)</w:t>
            </w:r>
          </w:p>
          <w:p w14:paraId="60508495" w14:textId="77777777" w:rsidR="00326D9B" w:rsidRPr="000F1853" w:rsidRDefault="00326D9B" w:rsidP="00326D9B">
            <w:pPr>
              <w:pStyle w:val="TableText"/>
            </w:pPr>
            <w:r w:rsidRPr="00EA7E3A">
              <w:t>Fee: $123.60 Benefit: 75% = $92.70 85% = $105.10</w:t>
            </w:r>
          </w:p>
        </w:tc>
      </w:tr>
      <w:tr w:rsidR="00326D9B" w14:paraId="4601624B" w14:textId="77777777" w:rsidTr="00326D9B">
        <w:trPr>
          <w:trHeight w:val="1342"/>
        </w:trPr>
        <w:tc>
          <w:tcPr>
            <w:tcW w:w="9016" w:type="dxa"/>
          </w:tcPr>
          <w:p w14:paraId="409467C0" w14:textId="77777777" w:rsidR="00326D9B" w:rsidRDefault="00326D9B" w:rsidP="00326D9B">
            <w:pPr>
              <w:pStyle w:val="TableText"/>
            </w:pPr>
            <w:r>
              <w:lastRenderedPageBreak/>
              <w:t xml:space="preserve">MBS item number </w:t>
            </w:r>
            <w:r w:rsidRPr="00745FE4">
              <w:t>30081</w:t>
            </w:r>
          </w:p>
          <w:p w14:paraId="185D1528" w14:textId="77777777" w:rsidR="00326D9B" w:rsidRPr="00745FE4" w:rsidRDefault="00326D9B" w:rsidP="00326D9B">
            <w:r w:rsidRPr="00745FE4">
              <w:rPr>
                <w:rFonts w:ascii="Arial Narrow" w:hAnsi="Arial Narrow"/>
                <w:sz w:val="20"/>
              </w:rPr>
              <w:t>DIAGNOSTIC BIOPSY OF BONE MARROW by trephine using open approach, where the biopsy specimen is sent for pathological examination</w:t>
            </w:r>
            <w:r>
              <w:rPr>
                <w:rFonts w:ascii="Arial Narrow" w:hAnsi="Arial Narrow"/>
                <w:sz w:val="20"/>
              </w:rPr>
              <w:br/>
            </w:r>
            <w:r w:rsidRPr="00745FE4">
              <w:rPr>
                <w:rFonts w:ascii="Arial Narrow" w:hAnsi="Arial Narrow"/>
                <w:sz w:val="20"/>
              </w:rPr>
              <w:t>(</w:t>
            </w:r>
            <w:proofErr w:type="spellStart"/>
            <w:r w:rsidRPr="00745FE4">
              <w:rPr>
                <w:rFonts w:ascii="Arial Narrow" w:hAnsi="Arial Narrow"/>
                <w:sz w:val="20"/>
              </w:rPr>
              <w:t>Anaes</w:t>
            </w:r>
            <w:proofErr w:type="spellEnd"/>
            <w:r w:rsidRPr="00745FE4">
              <w:rPr>
                <w:rFonts w:ascii="Arial Narrow" w:hAnsi="Arial Narrow"/>
                <w:sz w:val="20"/>
              </w:rPr>
              <w:t>.)</w:t>
            </w:r>
            <w:r>
              <w:rPr>
                <w:rFonts w:ascii="Arial Narrow" w:hAnsi="Arial Narrow"/>
                <w:sz w:val="20"/>
              </w:rPr>
              <w:br/>
            </w:r>
            <w:r w:rsidRPr="00745FE4">
              <w:rPr>
                <w:rFonts w:ascii="Arial Narrow" w:hAnsi="Arial Narrow"/>
                <w:sz w:val="20"/>
              </w:rPr>
              <w:t>Fee: $114.30 Benefit: 75% = $85.75 85% = $97.20</w:t>
            </w:r>
          </w:p>
        </w:tc>
      </w:tr>
      <w:tr w:rsidR="00326D9B" w14:paraId="446496C5" w14:textId="77777777" w:rsidTr="00326D9B">
        <w:trPr>
          <w:trHeight w:val="1055"/>
        </w:trPr>
        <w:tc>
          <w:tcPr>
            <w:tcW w:w="9016" w:type="dxa"/>
          </w:tcPr>
          <w:p w14:paraId="3E24AB04" w14:textId="77777777" w:rsidR="00326D9B" w:rsidRDefault="00326D9B" w:rsidP="00326D9B">
            <w:pPr>
              <w:pStyle w:val="TableText"/>
            </w:pPr>
            <w:r>
              <w:t>MBS item number 30084</w:t>
            </w:r>
          </w:p>
          <w:p w14:paraId="1FC19524" w14:textId="77777777" w:rsidR="00326D9B" w:rsidRDefault="00326D9B" w:rsidP="00326D9B">
            <w:pPr>
              <w:pStyle w:val="TableText"/>
            </w:pPr>
            <w:r w:rsidRPr="00EE1539">
              <w:t>DIAGNOSTIC BIOPSY OF BONE MARROW by trephine using percutaneous approach where the biopsy is sent for pathological examination</w:t>
            </w:r>
          </w:p>
          <w:p w14:paraId="60835400" w14:textId="77777777" w:rsidR="00326D9B" w:rsidRPr="00EE1539" w:rsidRDefault="00326D9B" w:rsidP="00326D9B">
            <w:pPr>
              <w:pStyle w:val="TableText"/>
            </w:pPr>
            <w:r w:rsidRPr="00EE1539">
              <w:t>(</w:t>
            </w:r>
            <w:proofErr w:type="spellStart"/>
            <w:r w:rsidRPr="00EE1539">
              <w:t>Anaes</w:t>
            </w:r>
            <w:proofErr w:type="spellEnd"/>
            <w:r w:rsidRPr="00EE1539">
              <w:t>.)</w:t>
            </w:r>
          </w:p>
          <w:p w14:paraId="293A809C" w14:textId="77777777" w:rsidR="00326D9B" w:rsidRPr="00EE1539" w:rsidRDefault="00326D9B" w:rsidP="00326D9B">
            <w:pPr>
              <w:pStyle w:val="TableText"/>
            </w:pPr>
            <w:r w:rsidRPr="00EE1539">
              <w:t>Fee: $61.20 Benefit: 75% = $45.90 85% = $52.05</w:t>
            </w:r>
          </w:p>
        </w:tc>
      </w:tr>
      <w:tr w:rsidR="00326D9B" w14:paraId="491429E9" w14:textId="77777777" w:rsidTr="00326D9B">
        <w:trPr>
          <w:trHeight w:val="1055"/>
        </w:trPr>
        <w:tc>
          <w:tcPr>
            <w:tcW w:w="9016" w:type="dxa"/>
          </w:tcPr>
          <w:p w14:paraId="61F8E2F3" w14:textId="77777777" w:rsidR="00326D9B" w:rsidRDefault="00326D9B" w:rsidP="00326D9B">
            <w:pPr>
              <w:pStyle w:val="TableText"/>
            </w:pPr>
            <w:r>
              <w:t>MBS item number 30087</w:t>
            </w:r>
          </w:p>
          <w:p w14:paraId="242766E3" w14:textId="77777777" w:rsidR="00326D9B" w:rsidRDefault="00326D9B" w:rsidP="00326D9B">
            <w:pPr>
              <w:pStyle w:val="TableText"/>
            </w:pPr>
            <w:r w:rsidRPr="00EE1539">
              <w:t>DIAGNOSTIC BIOPSY OF BONE MARROW by aspiration or PUNCH BIOPSY OF SYNOVIAL MEMBRANE, where the biopsy is sent for pathological examination</w:t>
            </w:r>
          </w:p>
          <w:p w14:paraId="16A2C771" w14:textId="77777777" w:rsidR="00326D9B" w:rsidRDefault="00326D9B" w:rsidP="00326D9B">
            <w:pPr>
              <w:pStyle w:val="TableText"/>
            </w:pPr>
            <w:r>
              <w:t>(</w:t>
            </w:r>
            <w:proofErr w:type="spellStart"/>
            <w:r>
              <w:t>Anaes</w:t>
            </w:r>
            <w:proofErr w:type="spellEnd"/>
            <w:r>
              <w:t>.)</w:t>
            </w:r>
          </w:p>
          <w:p w14:paraId="7DC9FDA2" w14:textId="77777777" w:rsidR="00326D9B" w:rsidRDefault="00326D9B" w:rsidP="00326D9B">
            <w:pPr>
              <w:pStyle w:val="TableText"/>
            </w:pPr>
            <w:r>
              <w:t>Fee: $30.60 Benefit: 75% = $22.95 85% = $26.05</w:t>
            </w:r>
          </w:p>
        </w:tc>
      </w:tr>
    </w:tbl>
    <w:p w14:paraId="5170FDBC" w14:textId="6435F390" w:rsidR="00883999" w:rsidRPr="00883999" w:rsidRDefault="00883999" w:rsidP="002D16A2">
      <w:pPr>
        <w:pStyle w:val="Tablenotes"/>
      </w:pPr>
      <w:bookmarkStart w:id="19" w:name="_Toc118798864"/>
      <w:r w:rsidRPr="00883999">
        <w:t>Source: Ratified PICO 1703</w:t>
      </w:r>
    </w:p>
    <w:p w14:paraId="47BC3A84" w14:textId="56CC6131" w:rsidR="00772829" w:rsidRPr="00CE28E3" w:rsidRDefault="00CE68D9" w:rsidP="002A18BE">
      <w:pPr>
        <w:pStyle w:val="Heading2"/>
      </w:pPr>
      <w:bookmarkStart w:id="20" w:name="_Toc121906363"/>
      <w:r>
        <w:t>9</w:t>
      </w:r>
      <w:r w:rsidR="00C36633">
        <w:t>.</w:t>
      </w:r>
      <w:r w:rsidR="00C36633">
        <w:tab/>
      </w:r>
      <w:r w:rsidR="00772829" w:rsidRPr="00CE28E3">
        <w:t xml:space="preserve">Summary of public consultation </w:t>
      </w:r>
      <w:r w:rsidR="0052575D">
        <w:t>input</w:t>
      </w:r>
      <w:bookmarkEnd w:id="19"/>
      <w:bookmarkEnd w:id="20"/>
    </w:p>
    <w:p w14:paraId="35E156E6" w14:textId="4DC60C70" w:rsidR="00C91737" w:rsidRDefault="00C91737" w:rsidP="00C91737">
      <w:r w:rsidRPr="000C4977">
        <w:t xml:space="preserve">Consultation input was received from </w:t>
      </w:r>
      <w:r w:rsidRPr="00601DD7">
        <w:t xml:space="preserve">six </w:t>
      </w:r>
      <w:r>
        <w:t>(</w:t>
      </w:r>
      <w:r w:rsidRPr="00601DD7">
        <w:t>6</w:t>
      </w:r>
      <w:r>
        <w:t>)</w:t>
      </w:r>
      <w:r w:rsidRPr="00601DD7">
        <w:t xml:space="preserve"> professional organisations, one (1) consumer organisation and </w:t>
      </w:r>
      <w:r>
        <w:t>two</w:t>
      </w:r>
      <w:r w:rsidRPr="00601DD7">
        <w:t xml:space="preserve"> (</w:t>
      </w:r>
      <w:r>
        <w:t>2</w:t>
      </w:r>
      <w:r w:rsidRPr="00601DD7">
        <w:t>) health professional</w:t>
      </w:r>
      <w:r>
        <w:t>s</w:t>
      </w:r>
      <w:r w:rsidRPr="00601DD7">
        <w:t xml:space="preserve">. </w:t>
      </w:r>
      <w:r w:rsidRPr="001E3392">
        <w:t>The organisations</w:t>
      </w:r>
      <w:r>
        <w:t xml:space="preserve"> </w:t>
      </w:r>
      <w:r w:rsidR="00B03A3E">
        <w:t>that</w:t>
      </w:r>
      <w:r w:rsidRPr="001E3392">
        <w:t xml:space="preserve"> submitted inpu</w:t>
      </w:r>
      <w:r>
        <w:t>t on application 1703 were</w:t>
      </w:r>
      <w:r w:rsidRPr="001E3392">
        <w:t>:</w:t>
      </w:r>
    </w:p>
    <w:p w14:paraId="20CF94DE" w14:textId="77777777" w:rsidR="00C91737" w:rsidRDefault="00C91737" w:rsidP="009911BE">
      <w:pPr>
        <w:pStyle w:val="ListParagraph"/>
        <w:numPr>
          <w:ilvl w:val="0"/>
          <w:numId w:val="16"/>
        </w:numPr>
        <w:spacing w:before="0" w:after="0" w:line="240" w:lineRule="auto"/>
      </w:pPr>
      <w:r>
        <w:t xml:space="preserve">Australian and New Zealand Children’s Haematology and Oncology Group (ANZCHOG) </w:t>
      </w:r>
    </w:p>
    <w:p w14:paraId="568EBDEC" w14:textId="77777777" w:rsidR="00C91737" w:rsidRPr="00B03A3E" w:rsidRDefault="00C91737" w:rsidP="009911BE">
      <w:pPr>
        <w:pStyle w:val="ListParagraph"/>
        <w:numPr>
          <w:ilvl w:val="0"/>
          <w:numId w:val="16"/>
        </w:numPr>
        <w:spacing w:before="0" w:after="0" w:line="240" w:lineRule="auto"/>
      </w:pPr>
      <w:r w:rsidRPr="00B03A3E">
        <w:t>Australian Leukaemia and Lymphoma Group (ALLG)</w:t>
      </w:r>
    </w:p>
    <w:p w14:paraId="3D18E632" w14:textId="77777777" w:rsidR="00C91737" w:rsidRPr="00A45445" w:rsidRDefault="00C91737" w:rsidP="009911BE">
      <w:pPr>
        <w:pStyle w:val="ListParagraph"/>
        <w:numPr>
          <w:ilvl w:val="0"/>
          <w:numId w:val="16"/>
        </w:numPr>
        <w:spacing w:before="0" w:after="0" w:line="240" w:lineRule="auto"/>
      </w:pPr>
      <w:r>
        <w:t>Australian Pathology (AP)</w:t>
      </w:r>
    </w:p>
    <w:p w14:paraId="7F43CF5F" w14:textId="225F01C9" w:rsidR="00C91737" w:rsidRPr="00B03A3E" w:rsidRDefault="00C91737" w:rsidP="009911BE">
      <w:pPr>
        <w:pStyle w:val="ListParagraph"/>
        <w:numPr>
          <w:ilvl w:val="0"/>
          <w:numId w:val="16"/>
        </w:numPr>
        <w:spacing w:before="0" w:after="0" w:line="240" w:lineRule="auto"/>
      </w:pPr>
      <w:r w:rsidRPr="00B03A3E">
        <w:t xml:space="preserve">Department of Haematology, Prince </w:t>
      </w:r>
      <w:r w:rsidR="00B03A3E">
        <w:t xml:space="preserve">of </w:t>
      </w:r>
      <w:r w:rsidRPr="00B03A3E">
        <w:t xml:space="preserve">Wales </w:t>
      </w:r>
      <w:r w:rsidR="00B03A3E">
        <w:t>Hospital</w:t>
      </w:r>
    </w:p>
    <w:p w14:paraId="67776D17" w14:textId="77777777" w:rsidR="00C91737" w:rsidRPr="00A45445" w:rsidRDefault="00C91737" w:rsidP="009911BE">
      <w:pPr>
        <w:pStyle w:val="ListParagraph"/>
        <w:numPr>
          <w:ilvl w:val="0"/>
          <w:numId w:val="16"/>
        </w:numPr>
        <w:spacing w:before="0" w:after="0" w:line="240" w:lineRule="auto"/>
      </w:pPr>
      <w:r w:rsidRPr="00541013">
        <w:t>Haematology Society of Australia and New Zealand</w:t>
      </w:r>
      <w:r>
        <w:t xml:space="preserve"> (HSANZ)</w:t>
      </w:r>
    </w:p>
    <w:p w14:paraId="6BA0F5AD" w14:textId="77777777" w:rsidR="00C91737" w:rsidRDefault="00C91737" w:rsidP="009911BE">
      <w:pPr>
        <w:pStyle w:val="ListParagraph"/>
        <w:numPr>
          <w:ilvl w:val="0"/>
          <w:numId w:val="16"/>
        </w:numPr>
        <w:spacing w:before="0" w:after="0" w:line="240" w:lineRule="auto"/>
      </w:pPr>
      <w:r>
        <w:t>Leukaemia Foundation (LF)</w:t>
      </w:r>
    </w:p>
    <w:p w14:paraId="5F2F6B3A" w14:textId="6EA33802" w:rsidR="00C91737" w:rsidRDefault="00C91737" w:rsidP="009911BE">
      <w:pPr>
        <w:pStyle w:val="ListParagraph"/>
        <w:numPr>
          <w:ilvl w:val="0"/>
          <w:numId w:val="16"/>
        </w:numPr>
        <w:spacing w:before="240" w:after="0" w:line="240" w:lineRule="auto"/>
        <w:ind w:left="714" w:hanging="357"/>
      </w:pPr>
      <w:proofErr w:type="spellStart"/>
      <w:r>
        <w:t>PathWest</w:t>
      </w:r>
      <w:proofErr w:type="spellEnd"/>
      <w:r w:rsidRPr="00765769">
        <w:t xml:space="preserve"> Laboratory Medicine WA</w:t>
      </w:r>
      <w:r>
        <w:t xml:space="preserve"> (</w:t>
      </w:r>
      <w:proofErr w:type="spellStart"/>
      <w:r>
        <w:t>PathWest</w:t>
      </w:r>
      <w:proofErr w:type="spellEnd"/>
      <w:r>
        <w:t>)</w:t>
      </w:r>
    </w:p>
    <w:p w14:paraId="393171ED" w14:textId="4973CB08" w:rsidR="00C91737" w:rsidRDefault="00C91737" w:rsidP="009C79CD">
      <w:pPr>
        <w:spacing w:before="240"/>
      </w:pPr>
      <w:r>
        <w:t xml:space="preserve">The consultation feedback </w:t>
      </w:r>
      <w:r w:rsidRPr="00015C9B">
        <w:rPr>
          <w:color w:val="000000" w:themeColor="text1"/>
        </w:rPr>
        <w:t xml:space="preserve">received was </w:t>
      </w:r>
      <w:r>
        <w:rPr>
          <w:color w:val="000000" w:themeColor="text1"/>
        </w:rPr>
        <w:t xml:space="preserve">broadly </w:t>
      </w:r>
      <w:r w:rsidRPr="00015C9B">
        <w:rPr>
          <w:color w:val="000000" w:themeColor="text1"/>
        </w:rPr>
        <w:t xml:space="preserve">supportive of public funding </w:t>
      </w:r>
      <w:r>
        <w:t xml:space="preserve">for MSAC application 1703. </w:t>
      </w:r>
      <w:r w:rsidR="00B03A3E">
        <w:t>Feedback comments included</w:t>
      </w:r>
      <w:r w:rsidRPr="001B6657">
        <w:t xml:space="preserve"> that MRD testing by flow cytometric and/or molecular methodology for patients with ALL is </w:t>
      </w:r>
      <w:r>
        <w:t xml:space="preserve">the current </w:t>
      </w:r>
      <w:r w:rsidRPr="001B6657">
        <w:t>standard of care</w:t>
      </w:r>
      <w:r>
        <w:t xml:space="preserve"> for risk stratification and to guide prognosis and treatment.</w:t>
      </w:r>
      <w:r w:rsidR="00B03A3E" w:rsidRPr="00B03A3E">
        <w:t xml:space="preserve"> </w:t>
      </w:r>
      <w:r w:rsidR="00B03A3E">
        <w:t>Feedback also commented that public funding would ensure equity of access for patients.</w:t>
      </w:r>
    </w:p>
    <w:p w14:paraId="38EC737B" w14:textId="7A40CBBE" w:rsidR="00C91737" w:rsidRDefault="00C91737" w:rsidP="00C91737">
      <w:r>
        <w:t xml:space="preserve">The main benefits of public funding </w:t>
      </w:r>
      <w:r w:rsidR="00B03A3E">
        <w:t>stated</w:t>
      </w:r>
      <w:r>
        <w:t xml:space="preserve"> in the consultation feedback included: </w:t>
      </w:r>
    </w:p>
    <w:p w14:paraId="6216FC1D" w14:textId="77777777" w:rsidR="00C91737" w:rsidRDefault="00C91737" w:rsidP="009911BE">
      <w:pPr>
        <w:pStyle w:val="ListParagraph"/>
        <w:numPr>
          <w:ilvl w:val="0"/>
          <w:numId w:val="15"/>
        </w:numPr>
        <w:spacing w:before="0"/>
      </w:pPr>
      <w:r>
        <w:t>b</w:t>
      </w:r>
      <w:r w:rsidRPr="00A45445">
        <w:t xml:space="preserve">enefits to the individual and their family through more accurate prognostication and tailored treatment, avoiding treatment toxicity in those that do not require therapy and limiting risk of relapse in </w:t>
      </w:r>
      <w:r>
        <w:t>treated patients</w:t>
      </w:r>
    </w:p>
    <w:p w14:paraId="26D2DAD9" w14:textId="22D53010" w:rsidR="00C91737" w:rsidRDefault="00C91737" w:rsidP="009911BE">
      <w:pPr>
        <w:pStyle w:val="ListParagraph"/>
        <w:numPr>
          <w:ilvl w:val="0"/>
          <w:numId w:val="15"/>
        </w:numPr>
        <w:spacing w:before="0"/>
      </w:pPr>
      <w:r>
        <w:t>encouraging</w:t>
      </w:r>
      <w:r w:rsidRPr="00B12BBA">
        <w:t xml:space="preserve"> local testing </w:t>
      </w:r>
      <w:r>
        <w:t xml:space="preserve">capability </w:t>
      </w:r>
      <w:r w:rsidRPr="00B12BBA">
        <w:t>and facilitat</w:t>
      </w:r>
      <w:r w:rsidR="00B03A3E">
        <w:t>ing</w:t>
      </w:r>
      <w:r w:rsidRPr="00B12BBA">
        <w:t xml:space="preserve"> access to MRD testing for all patients/specialists</w:t>
      </w:r>
    </w:p>
    <w:p w14:paraId="02228968" w14:textId="77777777" w:rsidR="00C91737" w:rsidRDefault="00C91737" w:rsidP="009911BE">
      <w:pPr>
        <w:pStyle w:val="ListParagraph"/>
        <w:numPr>
          <w:ilvl w:val="0"/>
          <w:numId w:val="15"/>
        </w:numPr>
        <w:spacing w:before="0"/>
      </w:pPr>
      <w:r>
        <w:t>avoidance of costly allogeneic stem cell transplants, which are also associated with substantial cost to the patient</w:t>
      </w:r>
    </w:p>
    <w:p w14:paraId="01FE14B4" w14:textId="77777777" w:rsidR="00C91737" w:rsidRDefault="00C91737" w:rsidP="009911BE">
      <w:pPr>
        <w:pStyle w:val="ListParagraph"/>
        <w:numPr>
          <w:ilvl w:val="0"/>
          <w:numId w:val="15"/>
        </w:numPr>
        <w:spacing w:before="0"/>
      </w:pPr>
      <w:r>
        <w:t>equitable access for patients.</w:t>
      </w:r>
    </w:p>
    <w:p w14:paraId="0B6D0088" w14:textId="67A188FD" w:rsidR="00C91737" w:rsidRDefault="00C91737" w:rsidP="00C91737">
      <w:pPr>
        <w:spacing w:after="0"/>
      </w:pPr>
      <w:r>
        <w:t xml:space="preserve">The main disadvantages of public funding </w:t>
      </w:r>
      <w:r w:rsidR="00B03A3E">
        <w:t>stated</w:t>
      </w:r>
      <w:r>
        <w:t xml:space="preserve"> in the consultation feedback included:</w:t>
      </w:r>
    </w:p>
    <w:p w14:paraId="6FBA2249" w14:textId="77777777" w:rsidR="00C91737" w:rsidRDefault="00C91737" w:rsidP="009911BE">
      <w:pPr>
        <w:pStyle w:val="ListParagraph"/>
        <w:numPr>
          <w:ilvl w:val="0"/>
          <w:numId w:val="15"/>
        </w:numPr>
        <w:spacing w:before="0"/>
      </w:pPr>
      <w:r>
        <w:t>additional bone marrow biopsies may still be required in select patients, with associated side effects</w:t>
      </w:r>
    </w:p>
    <w:p w14:paraId="6625DBDE" w14:textId="250FCCD7" w:rsidR="00AD3AAC" w:rsidRDefault="00C91737" w:rsidP="009911BE">
      <w:pPr>
        <w:pStyle w:val="ListParagraph"/>
        <w:numPr>
          <w:ilvl w:val="0"/>
          <w:numId w:val="15"/>
        </w:numPr>
        <w:spacing w:before="0"/>
      </w:pPr>
      <w:r>
        <w:t>travel associated with accessing the MRD testing for patients and families.</w:t>
      </w:r>
    </w:p>
    <w:p w14:paraId="25FF2EFB" w14:textId="490870E1" w:rsidR="00AD3AAC" w:rsidRDefault="634652F2" w:rsidP="00AD3AAC">
      <w:pPr>
        <w:spacing w:before="0"/>
      </w:pPr>
      <w:r>
        <w:lastRenderedPageBreak/>
        <w:t xml:space="preserve">The department also sought further advice from HSANZ </w:t>
      </w:r>
      <w:r w:rsidR="4C855124">
        <w:t>at ESC’s request, regarding the potential use of peripheral blood samples in MRD testing.</w:t>
      </w:r>
      <w:r w:rsidR="67E62DB8">
        <w:t xml:space="preserve"> HSANZ commented that</w:t>
      </w:r>
      <w:r w:rsidR="4CA51756" w:rsidRPr="38900984">
        <w:rPr>
          <w:rFonts w:asciiTheme="minorHAnsi" w:hAnsiTheme="minorHAnsi"/>
        </w:rPr>
        <w:t xml:space="preserve"> t</w:t>
      </w:r>
      <w:r w:rsidR="4CA51756">
        <w:t>he molecular abnormality is the same in bone marrow and peripheral blood, and so it agreed with ESC that peripheral blood samples could also be used for MRD testing</w:t>
      </w:r>
      <w:r w:rsidR="576F5827">
        <w:t xml:space="preserve"> where a bone marrow sample is un</w:t>
      </w:r>
      <w:r w:rsidR="072F6D63">
        <w:t>obtainable</w:t>
      </w:r>
      <w:r w:rsidR="4CA51756">
        <w:t>.</w:t>
      </w:r>
      <w:r w:rsidR="745487EB">
        <w:t xml:space="preserve"> HSANZ added that studies have been published showing that peripheral blood is an appropriate and equivalent substitute for bone marrow.</w:t>
      </w:r>
    </w:p>
    <w:p w14:paraId="03C7A1F1" w14:textId="619408F4" w:rsidR="00772829" w:rsidRPr="00CE28E3" w:rsidRDefault="00CE68D9" w:rsidP="002A18BE">
      <w:pPr>
        <w:pStyle w:val="Heading2"/>
      </w:pPr>
      <w:bookmarkStart w:id="21" w:name="_Toc118798865"/>
      <w:bookmarkStart w:id="22" w:name="_Toc121906368"/>
      <w:r>
        <w:t>10</w:t>
      </w:r>
      <w:r w:rsidR="00C36633">
        <w:t>.</w:t>
      </w:r>
      <w:r w:rsidR="00C36633">
        <w:tab/>
      </w:r>
      <w:r w:rsidR="00772829" w:rsidRPr="00CE28E3">
        <w:t>Characteristics of the evidence base</w:t>
      </w:r>
      <w:bookmarkEnd w:id="21"/>
      <w:bookmarkEnd w:id="22"/>
    </w:p>
    <w:p w14:paraId="36B53B57" w14:textId="66C0E587" w:rsidR="00956ACE" w:rsidRDefault="00BE470E" w:rsidP="00894CED">
      <w:bookmarkStart w:id="23" w:name="_Hlk68276301"/>
      <w:r>
        <w:t xml:space="preserve">Key features of the evidence base are summarised in </w:t>
      </w:r>
      <w:r>
        <w:fldChar w:fldCharType="begin"/>
      </w:r>
      <w:r>
        <w:instrText xml:space="preserve"> REF _Ref69725659 \h </w:instrText>
      </w:r>
      <w:r>
        <w:fldChar w:fldCharType="separate"/>
      </w:r>
      <w:r w:rsidR="0003093F" w:rsidRPr="00CE28E3">
        <w:t>Table</w:t>
      </w:r>
      <w:r w:rsidR="0003093F">
        <w:t> </w:t>
      </w:r>
      <w:r w:rsidR="0003093F">
        <w:rPr>
          <w:noProof/>
        </w:rPr>
        <w:t>4</w:t>
      </w:r>
      <w:r>
        <w:fldChar w:fldCharType="end"/>
      </w:r>
      <w:r>
        <w:t>.</w:t>
      </w:r>
    </w:p>
    <w:p w14:paraId="57C7A555" w14:textId="7CCD03AF" w:rsidR="00B14B95" w:rsidRPr="00CE28E3" w:rsidRDefault="00B14B95" w:rsidP="00B14B95">
      <w:pPr>
        <w:pStyle w:val="Caption"/>
        <w:rPr>
          <w:sz w:val="16"/>
          <w:szCs w:val="16"/>
        </w:rPr>
      </w:pPr>
      <w:bookmarkStart w:id="24" w:name="_Ref69725659"/>
      <w:bookmarkStart w:id="25" w:name="_Ref119488836"/>
      <w:bookmarkStart w:id="26" w:name="_Toc121921220"/>
      <w:r w:rsidRPr="00CE28E3">
        <w:t>Table</w:t>
      </w:r>
      <w:r>
        <w:t> </w:t>
      </w:r>
      <w:r>
        <w:fldChar w:fldCharType="begin"/>
      </w:r>
      <w:r>
        <w:instrText>SEQ Table \* ARABIC</w:instrText>
      </w:r>
      <w:r>
        <w:fldChar w:fldCharType="separate"/>
      </w:r>
      <w:r w:rsidR="00A922D7">
        <w:rPr>
          <w:noProof/>
        </w:rPr>
        <w:t>4</w:t>
      </w:r>
      <w:r>
        <w:fldChar w:fldCharType="end"/>
      </w:r>
      <w:bookmarkEnd w:id="24"/>
      <w:r w:rsidRPr="00CE28E3">
        <w:tab/>
        <w:t>Key features of the included evidence</w:t>
      </w:r>
      <w:bookmarkEnd w:id="25"/>
      <w:bookmarkEnd w:id="26"/>
    </w:p>
    <w:tbl>
      <w:tblPr>
        <w:tblStyle w:val="HTATable"/>
        <w:tblW w:w="5000" w:type="pct"/>
        <w:tblLook w:val="04A0" w:firstRow="1" w:lastRow="0" w:firstColumn="1" w:lastColumn="0" w:noHBand="0" w:noVBand="1"/>
      </w:tblPr>
      <w:tblGrid>
        <w:gridCol w:w="1816"/>
        <w:gridCol w:w="3325"/>
        <w:gridCol w:w="1938"/>
        <w:gridCol w:w="1937"/>
      </w:tblGrid>
      <w:tr w:rsidR="00B14B95" w:rsidRPr="00CE28E3" w14:paraId="0880E855"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07" w:type="pct"/>
            <w:vAlign w:val="bottom"/>
          </w:tcPr>
          <w:p w14:paraId="211EA1CC" w14:textId="77777777" w:rsidR="00B14B95" w:rsidRPr="00CE28E3" w:rsidRDefault="00B14B95">
            <w:pPr>
              <w:pStyle w:val="TableText"/>
              <w:keepNext/>
              <w:rPr>
                <w:b w:val="0"/>
              </w:rPr>
            </w:pPr>
            <w:bookmarkStart w:id="27" w:name="ColumnTitle_Table4"/>
            <w:bookmarkStart w:id="28" w:name="_Hlk68276288"/>
            <w:bookmarkEnd w:id="27"/>
            <w:r>
              <w:t>Criterion</w:t>
            </w:r>
          </w:p>
        </w:tc>
        <w:tc>
          <w:tcPr>
            <w:tcW w:w="1844" w:type="pct"/>
            <w:vAlign w:val="bottom"/>
            <w:hideMark/>
          </w:tcPr>
          <w:p w14:paraId="2F31C283" w14:textId="77777777" w:rsidR="00B14B95" w:rsidRPr="00CE28E3" w:rsidRDefault="00B14B95">
            <w:pPr>
              <w:pStyle w:val="TableText"/>
              <w:keepNext/>
              <w:cnfStyle w:val="100000000000" w:firstRow="1" w:lastRow="0" w:firstColumn="0" w:lastColumn="0" w:oddVBand="0" w:evenVBand="0" w:oddHBand="0" w:evenHBand="0" w:firstRowFirstColumn="0" w:firstRowLastColumn="0" w:lastRowFirstColumn="0" w:lastRowLastColumn="0"/>
              <w:rPr>
                <w:b w:val="0"/>
              </w:rPr>
            </w:pPr>
            <w:r w:rsidRPr="00CE28E3">
              <w:t>Type of evidence supplied</w:t>
            </w:r>
          </w:p>
        </w:tc>
        <w:tc>
          <w:tcPr>
            <w:tcW w:w="1075" w:type="pct"/>
            <w:vAlign w:val="bottom"/>
            <w:hideMark/>
          </w:tcPr>
          <w:p w14:paraId="22FFE64C" w14:textId="77777777" w:rsidR="00B14B95" w:rsidRPr="00CE28E3" w:rsidRDefault="00B14B95">
            <w:pPr>
              <w:pStyle w:val="TableText"/>
              <w:keepNext/>
              <w:cnfStyle w:val="100000000000" w:firstRow="1" w:lastRow="0" w:firstColumn="0" w:lastColumn="0" w:oddVBand="0" w:evenVBand="0" w:oddHBand="0" w:evenHBand="0" w:firstRowFirstColumn="0" w:firstRowLastColumn="0" w:lastRowFirstColumn="0" w:lastRowLastColumn="0"/>
              <w:rPr>
                <w:b w:val="0"/>
              </w:rPr>
            </w:pPr>
            <w:r w:rsidRPr="00CE28E3">
              <w:t>Extent of evidence supplied</w:t>
            </w:r>
          </w:p>
        </w:tc>
        <w:tc>
          <w:tcPr>
            <w:tcW w:w="1074" w:type="pct"/>
            <w:vAlign w:val="bottom"/>
            <w:hideMark/>
          </w:tcPr>
          <w:p w14:paraId="4E32A8C2" w14:textId="77777777" w:rsidR="00B14B95" w:rsidRPr="00CE28E3" w:rsidRDefault="00B14B95">
            <w:pPr>
              <w:pStyle w:val="TableText"/>
              <w:keepNext/>
              <w:cnfStyle w:val="100000000000" w:firstRow="1" w:lastRow="0" w:firstColumn="0" w:lastColumn="0" w:oddVBand="0" w:evenVBand="0" w:oddHBand="0" w:evenHBand="0" w:firstRowFirstColumn="0" w:firstRowLastColumn="0" w:lastRowFirstColumn="0" w:lastRowLastColumn="0"/>
              <w:rPr>
                <w:b w:val="0"/>
              </w:rPr>
            </w:pPr>
            <w:r w:rsidRPr="00CE28E3">
              <w:t>Overall risk of bias in evidence base</w:t>
            </w:r>
          </w:p>
        </w:tc>
      </w:tr>
      <w:tr w:rsidR="00B14B95" w:rsidRPr="00CE28E3" w14:paraId="504DCEF6" w14:textId="77777777">
        <w:tc>
          <w:tcPr>
            <w:cnfStyle w:val="001000000000" w:firstRow="0" w:lastRow="0" w:firstColumn="1" w:lastColumn="0" w:oddVBand="0" w:evenVBand="0" w:oddHBand="0" w:evenHBand="0" w:firstRowFirstColumn="0" w:firstRowLastColumn="0" w:lastRowFirstColumn="0" w:lastRowLastColumn="0"/>
            <w:tcW w:w="1007" w:type="pct"/>
            <w:tcBorders>
              <w:top w:val="single" w:sz="4" w:space="0" w:color="auto"/>
              <w:left w:val="single" w:sz="4" w:space="0" w:color="auto"/>
              <w:bottom w:val="single" w:sz="4" w:space="0" w:color="auto"/>
              <w:right w:val="single" w:sz="4" w:space="0" w:color="auto"/>
            </w:tcBorders>
            <w:hideMark/>
          </w:tcPr>
          <w:p w14:paraId="545DADCA" w14:textId="431140C0" w:rsidR="00B14B95" w:rsidRPr="00E0470D" w:rsidRDefault="00B14B95">
            <w:pPr>
              <w:pStyle w:val="TableText"/>
              <w:keepNext/>
            </w:pPr>
            <w:r w:rsidRPr="00E0470D">
              <w:t>Accuracy and performance of the test (cross-sectional accuracy)</w:t>
            </w:r>
          </w:p>
        </w:tc>
        <w:tc>
          <w:tcPr>
            <w:tcW w:w="1844" w:type="pct"/>
            <w:tcBorders>
              <w:top w:val="single" w:sz="4" w:space="0" w:color="auto"/>
              <w:left w:val="single" w:sz="4" w:space="0" w:color="auto"/>
              <w:bottom w:val="single" w:sz="4" w:space="0" w:color="auto"/>
              <w:right w:val="single" w:sz="4" w:space="0" w:color="auto"/>
            </w:tcBorders>
            <w:hideMark/>
          </w:tcPr>
          <w:p w14:paraId="28E0FEF8" w14:textId="21C3D844" w:rsidR="00B14B95" w:rsidRPr="00E0470D" w:rsidRDefault="00477439">
            <w:pPr>
              <w:pStyle w:val="TableText"/>
              <w:keepNext/>
              <w:cnfStyle w:val="000000000000" w:firstRow="0" w:lastRow="0" w:firstColumn="0" w:lastColumn="0" w:oddVBand="0" w:evenVBand="0" w:oddHBand="0" w:evenHBand="0" w:firstRowFirstColumn="0" w:firstRowLastColumn="0" w:lastRowFirstColumn="0" w:lastRowLastColumn="0"/>
            </w:pPr>
            <w:r w:rsidRPr="008B13C3">
              <w:t xml:space="preserve">35 </w:t>
            </w:r>
            <w:r w:rsidR="00C72519" w:rsidRPr="008B13C3">
              <w:t xml:space="preserve">cohort </w:t>
            </w:r>
            <w:r w:rsidRPr="008B13C3">
              <w:t>studies</w:t>
            </w:r>
          </w:p>
        </w:tc>
        <w:tc>
          <w:tcPr>
            <w:tcW w:w="1075" w:type="pct"/>
            <w:tcBorders>
              <w:top w:val="single" w:sz="4" w:space="0" w:color="auto"/>
              <w:left w:val="single" w:sz="4" w:space="0" w:color="auto"/>
              <w:bottom w:val="single" w:sz="4" w:space="0" w:color="auto"/>
              <w:right w:val="single" w:sz="4" w:space="0" w:color="auto"/>
            </w:tcBorders>
            <w:hideMark/>
          </w:tcPr>
          <w:p w14:paraId="5AA228BD" w14:textId="09678414" w:rsidR="00B14B95" w:rsidRPr="00E0470D" w:rsidRDefault="00AC05EB" w:rsidP="00D81DDC">
            <w:pPr>
              <w:pStyle w:val="TableText"/>
              <w:keepNext/>
              <w:tabs>
                <w:tab w:val="left" w:pos="406"/>
              </w:tabs>
              <w:ind w:left="346" w:hanging="346"/>
              <w:cnfStyle w:val="000000000000" w:firstRow="0" w:lastRow="0" w:firstColumn="0" w:lastColumn="0" w:oddVBand="0" w:evenVBand="0" w:oddHBand="0" w:evenHBand="0" w:firstRowFirstColumn="0" w:firstRowLastColumn="0" w:lastRowFirstColumn="0" w:lastRowLastColumn="0"/>
            </w:pPr>
            <w:sdt>
              <w:sdtPr>
                <w:rPr>
                  <w:lang w:val="en-US"/>
                </w:rPr>
                <w:id w:val="1454910707"/>
                <w14:checkbox>
                  <w14:checked w14:val="1"/>
                  <w14:checkedState w14:val="2612" w14:font="MS Gothic"/>
                  <w14:uncheckedState w14:val="2610" w14:font="MS Gothic"/>
                </w14:checkbox>
              </w:sdtPr>
              <w:sdtEndPr/>
              <w:sdtContent>
                <w:r w:rsidR="00053699" w:rsidRPr="00E0470D">
                  <w:rPr>
                    <w:rFonts w:ascii="MS Gothic" w:eastAsia="MS Gothic" w:hAnsi="MS Gothic" w:hint="eastAsia"/>
                    <w:lang w:val="en-US"/>
                  </w:rPr>
                  <w:t>☒</w:t>
                </w:r>
              </w:sdtContent>
            </w:sdt>
            <w:r w:rsidR="00B14B95" w:rsidRPr="00E0470D">
              <w:tab/>
              <w:t>k=</w:t>
            </w:r>
            <w:r w:rsidR="00A16181" w:rsidRPr="00E0470D">
              <w:t>35</w:t>
            </w:r>
            <w:r w:rsidR="00E24089">
              <w:br/>
            </w:r>
            <w:r w:rsidR="00B14B95" w:rsidRPr="00E0470D">
              <w:t>n=</w:t>
            </w:r>
            <w:r w:rsidR="001A48B8" w:rsidRPr="00E0470D">
              <w:t>16</w:t>
            </w:r>
            <w:r w:rsidR="00053699" w:rsidRPr="00E0470D">
              <w:t>,</w:t>
            </w:r>
            <w:r w:rsidR="001A48B8" w:rsidRPr="00E0470D">
              <w:t>233patients, 10</w:t>
            </w:r>
            <w:r w:rsidR="00053699" w:rsidRPr="00E0470D">
              <w:t>,</w:t>
            </w:r>
            <w:r w:rsidR="001A48B8" w:rsidRPr="00E0470D">
              <w:t>475 samples</w:t>
            </w:r>
            <w:r w:rsidR="00D40DEC" w:rsidRPr="00E0470D">
              <w:t>*</w:t>
            </w:r>
          </w:p>
        </w:tc>
        <w:tc>
          <w:tcPr>
            <w:tcW w:w="1074" w:type="pct"/>
            <w:tcBorders>
              <w:top w:val="single" w:sz="4" w:space="0" w:color="auto"/>
              <w:left w:val="single" w:sz="4" w:space="0" w:color="auto"/>
              <w:bottom w:val="single" w:sz="4" w:space="0" w:color="auto"/>
              <w:right w:val="single" w:sz="4" w:space="0" w:color="auto"/>
            </w:tcBorders>
            <w:hideMark/>
          </w:tcPr>
          <w:p w14:paraId="1A01C0CA" w14:textId="6CB722B5" w:rsidR="00B14B95" w:rsidRPr="00E0470D" w:rsidRDefault="00A16181">
            <w:pPr>
              <w:pStyle w:val="TableText"/>
              <w:keepNext/>
              <w:cnfStyle w:val="000000000000" w:firstRow="0" w:lastRow="0" w:firstColumn="0" w:lastColumn="0" w:oddVBand="0" w:evenVBand="0" w:oddHBand="0" w:evenHBand="0" w:firstRowFirstColumn="0" w:firstRowLastColumn="0" w:lastRowFirstColumn="0" w:lastRowLastColumn="0"/>
            </w:pPr>
            <w:r w:rsidRPr="008B13C3">
              <w:t xml:space="preserve">14 studies at high risk of bias, 2 studies at low risk, and 19 studies with unclear risk of bias; </w:t>
            </w:r>
            <w:r w:rsidR="008E0BC7" w:rsidRPr="008B13C3">
              <w:t>19 studies with high concern of applicability</w:t>
            </w:r>
            <w:r w:rsidRPr="008B13C3">
              <w:t>, 11 studies with low concern of applicability and 5 studies with unclear concern.</w:t>
            </w:r>
          </w:p>
        </w:tc>
      </w:tr>
      <w:tr w:rsidR="00B14B95" w:rsidRPr="00CE28E3" w14:paraId="3870C214" w14:textId="77777777">
        <w:tc>
          <w:tcPr>
            <w:cnfStyle w:val="001000000000" w:firstRow="0" w:lastRow="0" w:firstColumn="1" w:lastColumn="0" w:oddVBand="0" w:evenVBand="0" w:oddHBand="0" w:evenHBand="0" w:firstRowFirstColumn="0" w:firstRowLastColumn="0" w:lastRowFirstColumn="0" w:lastRowLastColumn="0"/>
            <w:tcW w:w="1007" w:type="pct"/>
            <w:tcBorders>
              <w:top w:val="single" w:sz="4" w:space="0" w:color="auto"/>
              <w:left w:val="single" w:sz="4" w:space="0" w:color="auto"/>
              <w:bottom w:val="single" w:sz="4" w:space="0" w:color="auto"/>
              <w:right w:val="single" w:sz="4" w:space="0" w:color="auto"/>
            </w:tcBorders>
            <w:hideMark/>
          </w:tcPr>
          <w:p w14:paraId="54099B71" w14:textId="77777777" w:rsidR="00B14B95" w:rsidRPr="00E0470D" w:rsidRDefault="00B14B95">
            <w:pPr>
              <w:pStyle w:val="TableText"/>
              <w:keepNext/>
            </w:pPr>
            <w:r w:rsidRPr="00E0470D">
              <w:t>Prognostic evidence (longitudinal accuracy)</w:t>
            </w:r>
          </w:p>
        </w:tc>
        <w:tc>
          <w:tcPr>
            <w:tcW w:w="1844" w:type="pct"/>
            <w:tcBorders>
              <w:top w:val="single" w:sz="4" w:space="0" w:color="auto"/>
              <w:left w:val="single" w:sz="4" w:space="0" w:color="auto"/>
              <w:bottom w:val="single" w:sz="4" w:space="0" w:color="auto"/>
              <w:right w:val="single" w:sz="4" w:space="0" w:color="auto"/>
            </w:tcBorders>
            <w:hideMark/>
          </w:tcPr>
          <w:p w14:paraId="0F9D235B" w14:textId="1669CBF4" w:rsidR="00B14B95" w:rsidRPr="00E0470D" w:rsidRDefault="00BE470E">
            <w:pPr>
              <w:pStyle w:val="TableText"/>
              <w:keepNext/>
              <w:cnfStyle w:val="000000000000" w:firstRow="0" w:lastRow="0" w:firstColumn="0" w:lastColumn="0" w:oddVBand="0" w:evenVBand="0" w:oddHBand="0" w:evenHBand="0" w:firstRowFirstColumn="0" w:firstRowLastColumn="0" w:lastRowFirstColumn="0" w:lastRowLastColumn="0"/>
            </w:pPr>
            <w:r w:rsidRPr="00E0470D">
              <w:t>Overview of systematic reviews</w:t>
            </w:r>
          </w:p>
        </w:tc>
        <w:tc>
          <w:tcPr>
            <w:tcW w:w="1075" w:type="pct"/>
            <w:tcBorders>
              <w:top w:val="single" w:sz="4" w:space="0" w:color="auto"/>
              <w:left w:val="single" w:sz="4" w:space="0" w:color="auto"/>
              <w:bottom w:val="single" w:sz="4" w:space="0" w:color="auto"/>
              <w:right w:val="single" w:sz="4" w:space="0" w:color="auto"/>
            </w:tcBorders>
            <w:hideMark/>
          </w:tcPr>
          <w:p w14:paraId="1A6223B7" w14:textId="44F35760" w:rsidR="00B14B95" w:rsidRPr="00D81DDC" w:rsidRDefault="00AC05EB" w:rsidP="00D81DDC">
            <w:pPr>
              <w:pStyle w:val="TableText"/>
              <w:keepNext/>
              <w:tabs>
                <w:tab w:val="left" w:pos="406"/>
              </w:tabs>
              <w:ind w:left="346" w:hanging="346"/>
              <w:cnfStyle w:val="000000000000" w:firstRow="0" w:lastRow="0" w:firstColumn="0" w:lastColumn="0" w:oddVBand="0" w:evenVBand="0" w:oddHBand="0" w:evenHBand="0" w:firstRowFirstColumn="0" w:firstRowLastColumn="0" w:lastRowFirstColumn="0" w:lastRowLastColumn="0"/>
              <w:rPr>
                <w:lang w:val="en-US"/>
              </w:rPr>
            </w:pPr>
            <w:sdt>
              <w:sdtPr>
                <w:rPr>
                  <w:lang w:val="en-US"/>
                </w:rPr>
                <w:id w:val="-1456874868"/>
                <w14:checkbox>
                  <w14:checked w14:val="1"/>
                  <w14:checkedState w14:val="2612" w14:font="MS Gothic"/>
                  <w14:uncheckedState w14:val="2610" w14:font="MS Gothic"/>
                </w14:checkbox>
              </w:sdtPr>
              <w:sdtEndPr/>
              <w:sdtContent>
                <w:r w:rsidR="00080CBB" w:rsidRPr="00D81DDC">
                  <w:rPr>
                    <w:rFonts w:ascii="Segoe UI Symbol" w:hAnsi="Segoe UI Symbol" w:cs="Segoe UI Symbol"/>
                    <w:lang w:val="en-US"/>
                  </w:rPr>
                  <w:t>☒</w:t>
                </w:r>
              </w:sdtContent>
            </w:sdt>
            <w:r w:rsidR="00B14B95" w:rsidRPr="00D81DDC">
              <w:rPr>
                <w:lang w:val="en-US"/>
              </w:rPr>
              <w:tab/>
              <w:t>k=</w:t>
            </w:r>
            <w:r w:rsidR="00BE470E" w:rsidRPr="00D81DDC">
              <w:rPr>
                <w:lang w:val="en-US"/>
              </w:rPr>
              <w:t>5</w:t>
            </w:r>
            <w:r w:rsidR="00B14B95" w:rsidRPr="00D81DDC">
              <w:rPr>
                <w:lang w:val="en-US"/>
              </w:rPr>
              <w:tab/>
            </w:r>
            <w:r w:rsidR="00E24089">
              <w:rPr>
                <w:lang w:val="en-US"/>
              </w:rPr>
              <w:br/>
            </w:r>
            <w:r w:rsidR="00B14B95" w:rsidRPr="00D81DDC">
              <w:rPr>
                <w:lang w:val="en-US"/>
              </w:rPr>
              <w:t>n=</w:t>
            </w:r>
            <w:r w:rsidR="00BE470E" w:rsidRPr="00D81DDC">
              <w:rPr>
                <w:lang w:val="en-US"/>
              </w:rPr>
              <w:t>NA</w:t>
            </w:r>
          </w:p>
        </w:tc>
        <w:tc>
          <w:tcPr>
            <w:tcW w:w="1074" w:type="pct"/>
            <w:tcBorders>
              <w:top w:val="single" w:sz="4" w:space="0" w:color="auto"/>
              <w:left w:val="single" w:sz="4" w:space="0" w:color="auto"/>
              <w:bottom w:val="single" w:sz="4" w:space="0" w:color="auto"/>
              <w:right w:val="single" w:sz="4" w:space="0" w:color="auto"/>
            </w:tcBorders>
            <w:hideMark/>
          </w:tcPr>
          <w:p w14:paraId="4200EC29" w14:textId="378B0997" w:rsidR="00B14B95" w:rsidRPr="00E0470D" w:rsidRDefault="00080CBB">
            <w:pPr>
              <w:pStyle w:val="TableText"/>
              <w:keepNext/>
              <w:cnfStyle w:val="000000000000" w:firstRow="0" w:lastRow="0" w:firstColumn="0" w:lastColumn="0" w:oddVBand="0" w:evenVBand="0" w:oddHBand="0" w:evenHBand="0" w:firstRowFirstColumn="0" w:firstRowLastColumn="0" w:lastRowFirstColumn="0" w:lastRowLastColumn="0"/>
            </w:pPr>
            <w:r w:rsidRPr="00E0470D">
              <w:t>Low confidence</w:t>
            </w:r>
          </w:p>
        </w:tc>
      </w:tr>
      <w:tr w:rsidR="00B14B95" w:rsidRPr="00CE28E3" w14:paraId="45C881F5" w14:textId="77777777">
        <w:tc>
          <w:tcPr>
            <w:cnfStyle w:val="001000000000" w:firstRow="0" w:lastRow="0" w:firstColumn="1" w:lastColumn="0" w:oddVBand="0" w:evenVBand="0" w:oddHBand="0" w:evenHBand="0" w:firstRowFirstColumn="0" w:firstRowLastColumn="0" w:lastRowFirstColumn="0" w:lastRowLastColumn="0"/>
            <w:tcW w:w="1007" w:type="pct"/>
            <w:tcBorders>
              <w:top w:val="single" w:sz="4" w:space="0" w:color="auto"/>
              <w:left w:val="single" w:sz="4" w:space="0" w:color="auto"/>
              <w:bottom w:val="single" w:sz="4" w:space="0" w:color="auto"/>
              <w:right w:val="single" w:sz="4" w:space="0" w:color="auto"/>
            </w:tcBorders>
            <w:hideMark/>
          </w:tcPr>
          <w:p w14:paraId="58D2434B" w14:textId="17F8190E" w:rsidR="00B14B95" w:rsidRPr="00E0470D" w:rsidRDefault="00987A19">
            <w:pPr>
              <w:pStyle w:val="TableText"/>
              <w:keepNext/>
            </w:pPr>
            <w:r w:rsidRPr="008156FB">
              <w:t>MRD-guided treatment/management</w:t>
            </w:r>
            <w:r>
              <w:t xml:space="preserve"> (</w:t>
            </w:r>
            <w:r w:rsidR="00B14B95" w:rsidRPr="00E0470D">
              <w:t>Change in patient management</w:t>
            </w:r>
            <w:r>
              <w:t>)</w:t>
            </w:r>
            <w:r w:rsidR="00B14B95" w:rsidRPr="00E0470D">
              <w:t xml:space="preserve"> </w:t>
            </w:r>
          </w:p>
        </w:tc>
        <w:tc>
          <w:tcPr>
            <w:tcW w:w="1844" w:type="pct"/>
            <w:tcBorders>
              <w:top w:val="single" w:sz="4" w:space="0" w:color="auto"/>
              <w:left w:val="single" w:sz="4" w:space="0" w:color="auto"/>
              <w:bottom w:val="single" w:sz="4" w:space="0" w:color="auto"/>
              <w:right w:val="single" w:sz="4" w:space="0" w:color="auto"/>
            </w:tcBorders>
            <w:hideMark/>
          </w:tcPr>
          <w:p w14:paraId="156C7FC5" w14:textId="3368A6A9" w:rsidR="00B14B95" w:rsidRPr="00E0470D" w:rsidRDefault="00C2699E">
            <w:pPr>
              <w:pStyle w:val="TableText"/>
              <w:keepNext/>
              <w:cnfStyle w:val="000000000000" w:firstRow="0" w:lastRow="0" w:firstColumn="0" w:lastColumn="0" w:oddVBand="0" w:evenVBand="0" w:oddHBand="0" w:evenHBand="0" w:firstRowFirstColumn="0" w:firstRowLastColumn="0" w:lastRowFirstColumn="0" w:lastRowLastColumn="0"/>
            </w:pPr>
            <w:r w:rsidRPr="00E0470D">
              <w:t>Linked evidence: 1 RCT, 12 cohort studies</w:t>
            </w:r>
          </w:p>
        </w:tc>
        <w:tc>
          <w:tcPr>
            <w:tcW w:w="1075" w:type="pct"/>
            <w:tcBorders>
              <w:top w:val="single" w:sz="4" w:space="0" w:color="auto"/>
              <w:left w:val="single" w:sz="4" w:space="0" w:color="auto"/>
              <w:bottom w:val="single" w:sz="4" w:space="0" w:color="auto"/>
              <w:right w:val="single" w:sz="4" w:space="0" w:color="auto"/>
            </w:tcBorders>
            <w:hideMark/>
          </w:tcPr>
          <w:p w14:paraId="7E6E7524" w14:textId="49536912" w:rsidR="00B14B95" w:rsidRPr="00E0470D" w:rsidRDefault="00AC05EB" w:rsidP="00D81DDC">
            <w:pPr>
              <w:pStyle w:val="TableText"/>
              <w:keepNext/>
              <w:tabs>
                <w:tab w:val="left" w:pos="406"/>
              </w:tabs>
              <w:ind w:left="346" w:hanging="346"/>
              <w:cnfStyle w:val="000000000000" w:firstRow="0" w:lastRow="0" w:firstColumn="0" w:lastColumn="0" w:oddVBand="0" w:evenVBand="0" w:oddHBand="0" w:evenHBand="0" w:firstRowFirstColumn="0" w:firstRowLastColumn="0" w:lastRowFirstColumn="0" w:lastRowLastColumn="0"/>
            </w:pPr>
            <w:sdt>
              <w:sdtPr>
                <w:rPr>
                  <w:lang w:val="en-US"/>
                </w:rPr>
                <w:id w:val="-1943214893"/>
                <w14:checkbox>
                  <w14:checked w14:val="1"/>
                  <w14:checkedState w14:val="2612" w14:font="MS Gothic"/>
                  <w14:uncheckedState w14:val="2610" w14:font="MS Gothic"/>
                </w14:checkbox>
              </w:sdtPr>
              <w:sdtEndPr/>
              <w:sdtContent>
                <w:r w:rsidR="00786183" w:rsidRPr="00E24089">
                  <w:rPr>
                    <w:rFonts w:ascii="Segoe UI Symbol" w:hAnsi="Segoe UI Symbol" w:cs="Segoe UI Symbol"/>
                    <w:lang w:val="en-US"/>
                  </w:rPr>
                  <w:t>☒</w:t>
                </w:r>
              </w:sdtContent>
            </w:sdt>
            <w:r w:rsidR="00B14B95" w:rsidRPr="00D81DDC">
              <w:rPr>
                <w:lang w:val="en-US"/>
              </w:rPr>
              <w:tab/>
              <w:t>k=</w:t>
            </w:r>
            <w:r w:rsidR="00C2699E" w:rsidRPr="00D81DDC">
              <w:rPr>
                <w:lang w:val="en-US"/>
              </w:rPr>
              <w:t>13</w:t>
            </w:r>
            <w:r w:rsidR="00B14B95" w:rsidRPr="00D81DDC">
              <w:rPr>
                <w:lang w:val="en-US"/>
              </w:rPr>
              <w:tab/>
            </w:r>
            <w:r w:rsidR="00E24089">
              <w:rPr>
                <w:lang w:val="en-US"/>
              </w:rPr>
              <w:br/>
            </w:r>
            <w:r w:rsidR="00B14B95" w:rsidRPr="00D81DDC">
              <w:rPr>
                <w:lang w:val="en-US"/>
              </w:rPr>
              <w:t>n=</w:t>
            </w:r>
            <w:r w:rsidR="00F8550F" w:rsidRPr="00D81DDC">
              <w:rPr>
                <w:lang w:val="en-US"/>
              </w:rPr>
              <w:t>9,773</w:t>
            </w:r>
          </w:p>
        </w:tc>
        <w:tc>
          <w:tcPr>
            <w:tcW w:w="1074" w:type="pct"/>
            <w:tcBorders>
              <w:top w:val="single" w:sz="4" w:space="0" w:color="auto"/>
              <w:left w:val="single" w:sz="4" w:space="0" w:color="auto"/>
              <w:bottom w:val="single" w:sz="4" w:space="0" w:color="auto"/>
              <w:right w:val="single" w:sz="4" w:space="0" w:color="auto"/>
            </w:tcBorders>
            <w:hideMark/>
          </w:tcPr>
          <w:p w14:paraId="6E90D857" w14:textId="0044D60D" w:rsidR="00B14B95" w:rsidRPr="00E0470D" w:rsidRDefault="002F6966">
            <w:pPr>
              <w:pStyle w:val="TableText"/>
              <w:keepNext/>
              <w:cnfStyle w:val="000000000000" w:firstRow="0" w:lastRow="0" w:firstColumn="0" w:lastColumn="0" w:oddVBand="0" w:evenVBand="0" w:oddHBand="0" w:evenHBand="0" w:firstRowFirstColumn="0" w:firstRowLastColumn="0" w:lastRowFirstColumn="0" w:lastRowLastColumn="0"/>
            </w:pPr>
            <w:r w:rsidRPr="00E0470D">
              <w:t xml:space="preserve">Linked: 1 RCT low risk of bias, </w:t>
            </w:r>
            <w:r w:rsidR="00C50793" w:rsidRPr="00E0470D">
              <w:t>9</w:t>
            </w:r>
            <w:r w:rsidRPr="00E0470D">
              <w:t xml:space="preserve"> of </w:t>
            </w:r>
            <w:r w:rsidR="00C50793" w:rsidRPr="00E0470D">
              <w:t>12</w:t>
            </w:r>
            <w:r w:rsidRPr="00E0470D">
              <w:t xml:space="preserve"> </w:t>
            </w:r>
            <w:r w:rsidR="00D87D69">
              <w:t xml:space="preserve">cohort studies </w:t>
            </w:r>
            <w:r w:rsidRPr="00E0470D">
              <w:t xml:space="preserve">poor/fair quality. </w:t>
            </w:r>
          </w:p>
        </w:tc>
      </w:tr>
      <w:tr w:rsidR="00B14B95" w:rsidRPr="00CE28E3" w14:paraId="0900686C" w14:textId="77777777">
        <w:tc>
          <w:tcPr>
            <w:cnfStyle w:val="001000000000" w:firstRow="0" w:lastRow="0" w:firstColumn="1" w:lastColumn="0" w:oddVBand="0" w:evenVBand="0" w:oddHBand="0" w:evenHBand="0" w:firstRowFirstColumn="0" w:firstRowLastColumn="0" w:lastRowFirstColumn="0" w:lastRowLastColumn="0"/>
            <w:tcW w:w="1007" w:type="pct"/>
            <w:tcBorders>
              <w:top w:val="single" w:sz="4" w:space="0" w:color="auto"/>
              <w:left w:val="single" w:sz="4" w:space="0" w:color="auto"/>
              <w:bottom w:val="nil"/>
              <w:right w:val="single" w:sz="4" w:space="0" w:color="auto"/>
            </w:tcBorders>
            <w:hideMark/>
          </w:tcPr>
          <w:p w14:paraId="382E73B0" w14:textId="6E7158B3" w:rsidR="008E6702" w:rsidRPr="008E6702" w:rsidRDefault="00B14B95" w:rsidP="00941203">
            <w:pPr>
              <w:pStyle w:val="TableText"/>
              <w:keepNext/>
            </w:pPr>
            <w:r w:rsidRPr="00E0470D">
              <w:t>Health outcomes</w:t>
            </w:r>
          </w:p>
        </w:tc>
        <w:tc>
          <w:tcPr>
            <w:tcW w:w="1844" w:type="pct"/>
            <w:tcBorders>
              <w:top w:val="single" w:sz="4" w:space="0" w:color="auto"/>
              <w:left w:val="single" w:sz="4" w:space="0" w:color="auto"/>
              <w:bottom w:val="nil"/>
              <w:right w:val="single" w:sz="4" w:space="0" w:color="auto"/>
            </w:tcBorders>
          </w:tcPr>
          <w:p w14:paraId="64A359ED" w14:textId="6BD45822" w:rsidR="00B14B95" w:rsidRPr="00E0470D" w:rsidRDefault="00064FB4">
            <w:pPr>
              <w:pStyle w:val="TableText"/>
              <w:keepNext/>
              <w:cnfStyle w:val="000000000000" w:firstRow="0" w:lastRow="0" w:firstColumn="0" w:lastColumn="0" w:oddVBand="0" w:evenVBand="0" w:oddHBand="0" w:evenHBand="0" w:firstRowFirstColumn="0" w:firstRowLastColumn="0" w:lastRowFirstColumn="0" w:lastRowLastColumn="0"/>
            </w:pPr>
            <w:r w:rsidRPr="00E0470D">
              <w:t>Direct</w:t>
            </w:r>
            <w:r w:rsidR="007B5205" w:rsidRPr="00E0470D">
              <w:t xml:space="preserve"> evidence: 1 RCT, 4 cohort studies</w:t>
            </w:r>
          </w:p>
          <w:p w14:paraId="665CBC76" w14:textId="77777777" w:rsidR="00CA7ED6" w:rsidRPr="00E0470D" w:rsidRDefault="00CA7ED6">
            <w:pPr>
              <w:pStyle w:val="TableText"/>
              <w:keepNext/>
              <w:cnfStyle w:val="000000000000" w:firstRow="0" w:lastRow="0" w:firstColumn="0" w:lastColumn="0" w:oddVBand="0" w:evenVBand="0" w:oddHBand="0" w:evenHBand="0" w:firstRowFirstColumn="0" w:firstRowLastColumn="0" w:lastRowFirstColumn="0" w:lastRowLastColumn="0"/>
            </w:pPr>
          </w:p>
          <w:p w14:paraId="1A8EACF3" w14:textId="77777777" w:rsidR="00CA7ED6" w:rsidRPr="00E0470D" w:rsidRDefault="00CA7ED6">
            <w:pPr>
              <w:pStyle w:val="TableText"/>
              <w:keepNext/>
              <w:cnfStyle w:val="000000000000" w:firstRow="0" w:lastRow="0" w:firstColumn="0" w:lastColumn="0" w:oddVBand="0" w:evenVBand="0" w:oddHBand="0" w:evenHBand="0" w:firstRowFirstColumn="0" w:firstRowLastColumn="0" w:lastRowFirstColumn="0" w:lastRowLastColumn="0"/>
            </w:pPr>
          </w:p>
          <w:p w14:paraId="3CBA541D" w14:textId="15BD18B5" w:rsidR="00CA7ED6" w:rsidRPr="00E0470D" w:rsidRDefault="00CA7ED6">
            <w:pPr>
              <w:pStyle w:val="TableText"/>
              <w:keepNext/>
              <w:cnfStyle w:val="000000000000" w:firstRow="0" w:lastRow="0" w:firstColumn="0" w:lastColumn="0" w:oddVBand="0" w:evenVBand="0" w:oddHBand="0" w:evenHBand="0" w:firstRowFirstColumn="0" w:firstRowLastColumn="0" w:lastRowFirstColumn="0" w:lastRowLastColumn="0"/>
            </w:pPr>
            <w:r w:rsidRPr="00E0470D">
              <w:t xml:space="preserve">Linked evidence: </w:t>
            </w:r>
            <w:r w:rsidR="00C2699E" w:rsidRPr="00E0470D">
              <w:t>24</w:t>
            </w:r>
            <w:r w:rsidRPr="00E0470D">
              <w:t xml:space="preserve"> cohort studies</w:t>
            </w:r>
            <w:r w:rsidR="005C0A39">
              <w:t>**</w:t>
            </w:r>
          </w:p>
          <w:p w14:paraId="6918FF0D" w14:textId="5DB325B4" w:rsidR="00CA7ED6" w:rsidRPr="00E0470D" w:rsidRDefault="00CA7ED6">
            <w:pPr>
              <w:pStyle w:val="TableText"/>
              <w:keepNext/>
              <w:cnfStyle w:val="000000000000" w:firstRow="0" w:lastRow="0" w:firstColumn="0" w:lastColumn="0" w:oddVBand="0" w:evenVBand="0" w:oddHBand="0" w:evenHBand="0" w:firstRowFirstColumn="0" w:firstRowLastColumn="0" w:lastRowFirstColumn="0" w:lastRowLastColumn="0"/>
            </w:pPr>
          </w:p>
        </w:tc>
        <w:tc>
          <w:tcPr>
            <w:tcW w:w="1075" w:type="pct"/>
            <w:tcBorders>
              <w:top w:val="single" w:sz="4" w:space="0" w:color="auto"/>
              <w:left w:val="single" w:sz="4" w:space="0" w:color="auto"/>
              <w:bottom w:val="nil"/>
              <w:right w:val="single" w:sz="4" w:space="0" w:color="auto"/>
            </w:tcBorders>
          </w:tcPr>
          <w:p w14:paraId="7EFD86F0" w14:textId="7B10D081" w:rsidR="00B14B95" w:rsidRPr="00D81DDC" w:rsidRDefault="00AC05EB" w:rsidP="00D81DDC">
            <w:pPr>
              <w:pStyle w:val="TableText"/>
              <w:keepNext/>
              <w:tabs>
                <w:tab w:val="left" w:pos="406"/>
              </w:tabs>
              <w:ind w:left="346" w:hanging="346"/>
              <w:cnfStyle w:val="000000000000" w:firstRow="0" w:lastRow="0" w:firstColumn="0" w:lastColumn="0" w:oddVBand="0" w:evenVBand="0" w:oddHBand="0" w:evenHBand="0" w:firstRowFirstColumn="0" w:firstRowLastColumn="0" w:lastRowFirstColumn="0" w:lastRowLastColumn="0"/>
              <w:rPr>
                <w:lang w:val="en-US"/>
              </w:rPr>
            </w:pPr>
            <w:sdt>
              <w:sdtPr>
                <w:rPr>
                  <w:lang w:val="en-US"/>
                </w:rPr>
                <w:id w:val="-605892943"/>
                <w14:checkbox>
                  <w14:checked w14:val="1"/>
                  <w14:checkedState w14:val="2612" w14:font="MS Gothic"/>
                  <w14:uncheckedState w14:val="2610" w14:font="MS Gothic"/>
                </w14:checkbox>
              </w:sdtPr>
              <w:sdtEndPr/>
              <w:sdtContent>
                <w:r w:rsidR="007B5205" w:rsidRPr="00E24089">
                  <w:rPr>
                    <w:rFonts w:ascii="Segoe UI Symbol" w:hAnsi="Segoe UI Symbol" w:cs="Segoe UI Symbol"/>
                    <w:lang w:val="en-US"/>
                  </w:rPr>
                  <w:t>☒</w:t>
                </w:r>
              </w:sdtContent>
            </w:sdt>
            <w:r w:rsidR="00B14B95" w:rsidRPr="00D81DDC">
              <w:rPr>
                <w:lang w:val="en-US"/>
              </w:rPr>
              <w:tab/>
              <w:t>k=</w:t>
            </w:r>
            <w:r w:rsidR="007B5205" w:rsidRPr="00D81DDC">
              <w:rPr>
                <w:lang w:val="en-US"/>
              </w:rPr>
              <w:t>5 (direct)</w:t>
            </w:r>
            <w:r w:rsidR="00B14B95" w:rsidRPr="00D81DDC">
              <w:rPr>
                <w:lang w:val="en-US"/>
              </w:rPr>
              <w:tab/>
            </w:r>
            <w:r w:rsidR="00E24089">
              <w:rPr>
                <w:lang w:val="en-US"/>
              </w:rPr>
              <w:br/>
            </w:r>
            <w:r w:rsidR="00B14B95" w:rsidRPr="00D81DDC">
              <w:rPr>
                <w:lang w:val="en-US"/>
              </w:rPr>
              <w:t>n=</w:t>
            </w:r>
            <w:r w:rsidR="00CA41F5" w:rsidRPr="00D81DDC">
              <w:rPr>
                <w:lang w:val="en-US"/>
              </w:rPr>
              <w:t xml:space="preserve"> 2,243 (direct)</w:t>
            </w:r>
          </w:p>
          <w:p w14:paraId="2FB1DBCB" w14:textId="0151965F" w:rsidR="00CA7ED6" w:rsidRPr="00D81DDC" w:rsidRDefault="00AC05EB" w:rsidP="00D81DDC">
            <w:pPr>
              <w:pStyle w:val="TableText"/>
              <w:keepNext/>
              <w:tabs>
                <w:tab w:val="left" w:pos="406"/>
              </w:tabs>
              <w:ind w:left="346" w:hanging="346"/>
              <w:cnfStyle w:val="000000000000" w:firstRow="0" w:lastRow="0" w:firstColumn="0" w:lastColumn="0" w:oddVBand="0" w:evenVBand="0" w:oddHBand="0" w:evenHBand="0" w:firstRowFirstColumn="0" w:firstRowLastColumn="0" w:lastRowFirstColumn="0" w:lastRowLastColumn="0"/>
              <w:rPr>
                <w:lang w:val="en-US"/>
              </w:rPr>
            </w:pPr>
            <w:sdt>
              <w:sdtPr>
                <w:rPr>
                  <w:lang w:val="en-US"/>
                </w:rPr>
                <w:id w:val="-1914462249"/>
                <w14:checkbox>
                  <w14:checked w14:val="1"/>
                  <w14:checkedState w14:val="2612" w14:font="MS Gothic"/>
                  <w14:uncheckedState w14:val="2610" w14:font="MS Gothic"/>
                </w14:checkbox>
              </w:sdtPr>
              <w:sdtEndPr/>
              <w:sdtContent>
                <w:r w:rsidR="00CA7ED6" w:rsidRPr="00E24089">
                  <w:rPr>
                    <w:rFonts w:ascii="Segoe UI Symbol" w:hAnsi="Segoe UI Symbol" w:cs="Segoe UI Symbol"/>
                    <w:lang w:val="en-US"/>
                  </w:rPr>
                  <w:t>☒</w:t>
                </w:r>
              </w:sdtContent>
            </w:sdt>
            <w:r w:rsidR="00CA7ED6" w:rsidRPr="00D81DDC">
              <w:rPr>
                <w:lang w:val="en-US"/>
              </w:rPr>
              <w:tab/>
              <w:t>k=</w:t>
            </w:r>
            <w:r w:rsidR="00C2699E" w:rsidRPr="00D81DDC">
              <w:rPr>
                <w:lang w:val="en-US"/>
              </w:rPr>
              <w:t>24</w:t>
            </w:r>
            <w:r w:rsidR="00CA7ED6" w:rsidRPr="00D81DDC">
              <w:rPr>
                <w:lang w:val="en-US"/>
              </w:rPr>
              <w:t xml:space="preserve"> (linked)</w:t>
            </w:r>
            <w:r w:rsidR="00CA7ED6" w:rsidRPr="00D81DDC">
              <w:rPr>
                <w:lang w:val="en-US"/>
              </w:rPr>
              <w:tab/>
            </w:r>
            <w:r w:rsidR="00E24089">
              <w:rPr>
                <w:lang w:val="en-US"/>
              </w:rPr>
              <w:br/>
            </w:r>
            <w:r w:rsidR="00CA7ED6" w:rsidRPr="00D81DDC">
              <w:rPr>
                <w:lang w:val="en-US"/>
              </w:rPr>
              <w:t>n=</w:t>
            </w:r>
            <w:r w:rsidR="00E22F5C" w:rsidRPr="00D81DDC">
              <w:rPr>
                <w:lang w:val="en-US"/>
              </w:rPr>
              <w:t xml:space="preserve"> 7,</w:t>
            </w:r>
            <w:r w:rsidR="00F8550F" w:rsidRPr="00D81DDC">
              <w:rPr>
                <w:lang w:val="en-US"/>
              </w:rPr>
              <w:t>971</w:t>
            </w:r>
            <w:r w:rsidR="00CA7ED6" w:rsidRPr="00D81DDC">
              <w:rPr>
                <w:lang w:val="en-US"/>
              </w:rPr>
              <w:t xml:space="preserve"> (linked)</w:t>
            </w:r>
          </w:p>
          <w:p w14:paraId="5F2E90A2" w14:textId="77777777" w:rsidR="00B14B95" w:rsidRPr="00E0470D" w:rsidRDefault="00B14B95">
            <w:pPr>
              <w:pStyle w:val="TableText"/>
              <w:keepNext/>
              <w:cnfStyle w:val="000000000000" w:firstRow="0" w:lastRow="0" w:firstColumn="0" w:lastColumn="0" w:oddVBand="0" w:evenVBand="0" w:oddHBand="0" w:evenHBand="0" w:firstRowFirstColumn="0" w:firstRowLastColumn="0" w:lastRowFirstColumn="0" w:lastRowLastColumn="0"/>
            </w:pPr>
          </w:p>
        </w:tc>
        <w:tc>
          <w:tcPr>
            <w:tcW w:w="1074" w:type="pct"/>
            <w:tcBorders>
              <w:top w:val="single" w:sz="4" w:space="0" w:color="auto"/>
              <w:left w:val="single" w:sz="4" w:space="0" w:color="auto"/>
              <w:bottom w:val="nil"/>
              <w:right w:val="single" w:sz="4" w:space="0" w:color="auto"/>
            </w:tcBorders>
            <w:hideMark/>
          </w:tcPr>
          <w:p w14:paraId="026B30EA" w14:textId="370CAD90" w:rsidR="00B14B95" w:rsidRPr="00E0470D" w:rsidRDefault="007B5205">
            <w:pPr>
              <w:pStyle w:val="TableText"/>
              <w:keepNext/>
              <w:cnfStyle w:val="000000000000" w:firstRow="0" w:lastRow="0" w:firstColumn="0" w:lastColumn="0" w:oddVBand="0" w:evenVBand="0" w:oddHBand="0" w:evenHBand="0" w:firstRowFirstColumn="0" w:firstRowLastColumn="0" w:lastRowFirstColumn="0" w:lastRowLastColumn="0"/>
            </w:pPr>
            <w:r w:rsidRPr="00E0470D">
              <w:t>Direct: Serious concern</w:t>
            </w:r>
          </w:p>
          <w:p w14:paraId="6C639C9F" w14:textId="77777777" w:rsidR="00C040FF" w:rsidRPr="00E0470D" w:rsidRDefault="00C040FF">
            <w:pPr>
              <w:pStyle w:val="TableText"/>
              <w:keepNext/>
              <w:cnfStyle w:val="000000000000" w:firstRow="0" w:lastRow="0" w:firstColumn="0" w:lastColumn="0" w:oddVBand="0" w:evenVBand="0" w:oddHBand="0" w:evenHBand="0" w:firstRowFirstColumn="0" w:firstRowLastColumn="0" w:lastRowFirstColumn="0" w:lastRowLastColumn="0"/>
            </w:pPr>
          </w:p>
          <w:p w14:paraId="186F82FA" w14:textId="3E5F03F8" w:rsidR="00C040FF" w:rsidRPr="00E0470D" w:rsidRDefault="00C040FF">
            <w:pPr>
              <w:pStyle w:val="TableText"/>
              <w:keepNext/>
              <w:cnfStyle w:val="000000000000" w:firstRow="0" w:lastRow="0" w:firstColumn="0" w:lastColumn="0" w:oddVBand="0" w:evenVBand="0" w:oddHBand="0" w:evenHBand="0" w:firstRowFirstColumn="0" w:firstRowLastColumn="0" w:lastRowFirstColumn="0" w:lastRowLastColumn="0"/>
            </w:pPr>
            <w:r w:rsidRPr="00E0470D">
              <w:t xml:space="preserve">Linked: </w:t>
            </w:r>
            <w:r w:rsidR="00B87A89" w:rsidRPr="00E0470D">
              <w:t>11</w:t>
            </w:r>
            <w:r w:rsidR="00CF279F" w:rsidRPr="00E0470D">
              <w:t xml:space="preserve"> of </w:t>
            </w:r>
            <w:r w:rsidR="002F6966" w:rsidRPr="00E0470D">
              <w:t>24</w:t>
            </w:r>
            <w:r w:rsidR="00CF279F" w:rsidRPr="00E0470D">
              <w:t xml:space="preserve"> poor</w:t>
            </w:r>
            <w:r w:rsidR="003C3A74" w:rsidRPr="00E0470D">
              <w:t>/fair quality.</w:t>
            </w:r>
          </w:p>
        </w:tc>
      </w:tr>
      <w:tr w:rsidR="00B14B95" w:rsidRPr="00CE28E3" w14:paraId="7B4BDC29" w14:textId="77777777">
        <w:tc>
          <w:tcPr>
            <w:cnfStyle w:val="001000000000" w:firstRow="0" w:lastRow="0" w:firstColumn="1" w:lastColumn="0" w:oddVBand="0" w:evenVBand="0" w:oddHBand="0" w:evenHBand="0" w:firstRowFirstColumn="0" w:firstRowLastColumn="0" w:lastRowFirstColumn="0" w:lastRowLastColumn="0"/>
            <w:tcW w:w="1007" w:type="pct"/>
            <w:tcBorders>
              <w:top w:val="nil"/>
              <w:left w:val="single" w:sz="4" w:space="0" w:color="auto"/>
              <w:bottom w:val="nil"/>
              <w:right w:val="single" w:sz="4" w:space="0" w:color="auto"/>
            </w:tcBorders>
          </w:tcPr>
          <w:p w14:paraId="6FB2A22A" w14:textId="77777777" w:rsidR="00B14B95" w:rsidRPr="00F934B7" w:rsidRDefault="00B14B95">
            <w:pPr>
              <w:pStyle w:val="TableText"/>
              <w:keepNext/>
            </w:pPr>
            <w:r w:rsidRPr="00F934B7">
              <w:t xml:space="preserve">Predictive effect (treatment effect variation) </w:t>
            </w:r>
          </w:p>
        </w:tc>
        <w:tc>
          <w:tcPr>
            <w:tcW w:w="1844" w:type="pct"/>
            <w:tcBorders>
              <w:top w:val="nil"/>
              <w:left w:val="single" w:sz="4" w:space="0" w:color="auto"/>
              <w:bottom w:val="nil"/>
              <w:right w:val="single" w:sz="4" w:space="0" w:color="auto"/>
            </w:tcBorders>
          </w:tcPr>
          <w:p w14:paraId="33042889" w14:textId="65B36CF5" w:rsidR="00B14B95" w:rsidRPr="00F934B7" w:rsidRDefault="00163E5F">
            <w:pPr>
              <w:pStyle w:val="TableText"/>
              <w:keepNext/>
              <w:cnfStyle w:val="000000000000" w:firstRow="0" w:lastRow="0" w:firstColumn="0" w:lastColumn="0" w:oddVBand="0" w:evenVBand="0" w:oddHBand="0" w:evenHBand="0" w:firstRowFirstColumn="0" w:firstRowLastColumn="0" w:lastRowFirstColumn="0" w:lastRowLastColumn="0"/>
            </w:pPr>
            <w:r w:rsidRPr="003322C5">
              <w:t>NA</w:t>
            </w:r>
          </w:p>
        </w:tc>
        <w:tc>
          <w:tcPr>
            <w:tcW w:w="1075" w:type="pct"/>
            <w:tcBorders>
              <w:top w:val="nil"/>
              <w:left w:val="single" w:sz="4" w:space="0" w:color="auto"/>
              <w:bottom w:val="nil"/>
              <w:right w:val="single" w:sz="4" w:space="0" w:color="auto"/>
            </w:tcBorders>
          </w:tcPr>
          <w:p w14:paraId="5E0F0A0A" w14:textId="77777777" w:rsidR="00B14B95" w:rsidRPr="00F934B7" w:rsidRDefault="00B14B95" w:rsidP="00805676">
            <w:pPr>
              <w:pStyle w:val="TableText"/>
              <w:keepNext/>
              <w:cnfStyle w:val="000000000000" w:firstRow="0" w:lastRow="0" w:firstColumn="0" w:lastColumn="0" w:oddVBand="0" w:evenVBand="0" w:oddHBand="0" w:evenHBand="0" w:firstRowFirstColumn="0" w:firstRowLastColumn="0" w:lastRowFirstColumn="0" w:lastRowLastColumn="0"/>
            </w:pPr>
          </w:p>
        </w:tc>
        <w:tc>
          <w:tcPr>
            <w:tcW w:w="1074" w:type="pct"/>
            <w:tcBorders>
              <w:top w:val="nil"/>
              <w:left w:val="single" w:sz="4" w:space="0" w:color="auto"/>
              <w:bottom w:val="nil"/>
              <w:right w:val="single" w:sz="4" w:space="0" w:color="auto"/>
            </w:tcBorders>
          </w:tcPr>
          <w:p w14:paraId="0200FF39" w14:textId="1D77498C" w:rsidR="00B14B95" w:rsidRPr="00F934B7" w:rsidRDefault="00B14B95">
            <w:pPr>
              <w:pStyle w:val="TableText"/>
              <w:keepNext/>
              <w:cnfStyle w:val="000000000000" w:firstRow="0" w:lastRow="0" w:firstColumn="0" w:lastColumn="0" w:oddVBand="0" w:evenVBand="0" w:oddHBand="0" w:evenHBand="0" w:firstRowFirstColumn="0" w:firstRowLastColumn="0" w:lastRowFirstColumn="0" w:lastRowLastColumn="0"/>
            </w:pPr>
          </w:p>
        </w:tc>
      </w:tr>
      <w:tr w:rsidR="00B14B95" w:rsidRPr="00CE28E3" w14:paraId="3AAC9D1C" w14:textId="77777777">
        <w:tc>
          <w:tcPr>
            <w:cnfStyle w:val="001000000000" w:firstRow="0" w:lastRow="0" w:firstColumn="1" w:lastColumn="0" w:oddVBand="0" w:evenVBand="0" w:oddHBand="0" w:evenHBand="0" w:firstRowFirstColumn="0" w:firstRowLastColumn="0" w:lastRowFirstColumn="0" w:lastRowLastColumn="0"/>
            <w:tcW w:w="1007" w:type="pct"/>
            <w:tcBorders>
              <w:top w:val="single" w:sz="4" w:space="0" w:color="auto"/>
              <w:left w:val="single" w:sz="4" w:space="0" w:color="auto"/>
              <w:bottom w:val="single" w:sz="4" w:space="0" w:color="auto"/>
              <w:right w:val="single" w:sz="4" w:space="0" w:color="auto"/>
            </w:tcBorders>
            <w:hideMark/>
          </w:tcPr>
          <w:p w14:paraId="284A026A" w14:textId="77777777" w:rsidR="00B14B95" w:rsidRPr="00F934B7" w:rsidRDefault="00B14B95">
            <w:pPr>
              <w:pStyle w:val="TableText"/>
              <w:keepNext/>
            </w:pPr>
            <w:r w:rsidRPr="00F934B7">
              <w:t>Other</w:t>
            </w:r>
          </w:p>
        </w:tc>
        <w:tc>
          <w:tcPr>
            <w:tcW w:w="1844" w:type="pct"/>
            <w:tcBorders>
              <w:top w:val="single" w:sz="4" w:space="0" w:color="auto"/>
              <w:left w:val="single" w:sz="4" w:space="0" w:color="auto"/>
              <w:bottom w:val="single" w:sz="4" w:space="0" w:color="auto"/>
              <w:right w:val="single" w:sz="4" w:space="0" w:color="auto"/>
            </w:tcBorders>
          </w:tcPr>
          <w:p w14:paraId="3A4B6E1B" w14:textId="48DFFAFA" w:rsidR="00B14B95" w:rsidRPr="00F934B7" w:rsidRDefault="00163E5F">
            <w:pPr>
              <w:pStyle w:val="TableText"/>
              <w:keepNext/>
              <w:cnfStyle w:val="000000000000" w:firstRow="0" w:lastRow="0" w:firstColumn="0" w:lastColumn="0" w:oddVBand="0" w:evenVBand="0" w:oddHBand="0" w:evenHBand="0" w:firstRowFirstColumn="0" w:firstRowLastColumn="0" w:lastRowFirstColumn="0" w:lastRowLastColumn="0"/>
            </w:pPr>
            <w:r w:rsidRPr="00F934B7">
              <w:t>NA</w:t>
            </w:r>
          </w:p>
        </w:tc>
        <w:tc>
          <w:tcPr>
            <w:tcW w:w="1075" w:type="pct"/>
            <w:tcBorders>
              <w:top w:val="single" w:sz="4" w:space="0" w:color="auto"/>
              <w:left w:val="single" w:sz="4" w:space="0" w:color="auto"/>
              <w:bottom w:val="single" w:sz="4" w:space="0" w:color="auto"/>
              <w:right w:val="single" w:sz="4" w:space="0" w:color="auto"/>
            </w:tcBorders>
            <w:hideMark/>
          </w:tcPr>
          <w:p w14:paraId="7ACBD43A" w14:textId="086AABC8" w:rsidR="00B14B95" w:rsidRPr="00F934B7" w:rsidRDefault="00B14B95">
            <w:pPr>
              <w:pStyle w:val="TableText"/>
              <w:keepNext/>
              <w:cnfStyle w:val="000000000000" w:firstRow="0" w:lastRow="0" w:firstColumn="0" w:lastColumn="0" w:oddVBand="0" w:evenVBand="0" w:oddHBand="0" w:evenHBand="0" w:firstRowFirstColumn="0" w:firstRowLastColumn="0" w:lastRowFirstColumn="0" w:lastRowLastColumn="0"/>
            </w:pPr>
          </w:p>
        </w:tc>
        <w:tc>
          <w:tcPr>
            <w:tcW w:w="1074" w:type="pct"/>
            <w:tcBorders>
              <w:top w:val="single" w:sz="4" w:space="0" w:color="auto"/>
              <w:left w:val="single" w:sz="4" w:space="0" w:color="auto"/>
              <w:bottom w:val="single" w:sz="4" w:space="0" w:color="auto"/>
              <w:right w:val="single" w:sz="4" w:space="0" w:color="auto"/>
            </w:tcBorders>
          </w:tcPr>
          <w:p w14:paraId="7899ADC7" w14:textId="77777777" w:rsidR="00B14B95" w:rsidRPr="00F934B7" w:rsidRDefault="00B14B95">
            <w:pPr>
              <w:pStyle w:val="TableText"/>
              <w:keepNext/>
              <w:cnfStyle w:val="000000000000" w:firstRow="0" w:lastRow="0" w:firstColumn="0" w:lastColumn="0" w:oddVBand="0" w:evenVBand="0" w:oddHBand="0" w:evenHBand="0" w:firstRowFirstColumn="0" w:firstRowLastColumn="0" w:lastRowFirstColumn="0" w:lastRowLastColumn="0"/>
            </w:pPr>
          </w:p>
        </w:tc>
      </w:tr>
    </w:tbl>
    <w:p w14:paraId="1848A250" w14:textId="44004418" w:rsidR="006C7C02" w:rsidRPr="002D16A2" w:rsidRDefault="00B14B95" w:rsidP="002D16A2">
      <w:pPr>
        <w:pStyle w:val="Tablenotes"/>
      </w:pPr>
      <w:r w:rsidRPr="002D16A2">
        <w:t>k</w:t>
      </w:r>
      <w:r w:rsidR="003073D5" w:rsidRPr="002D16A2">
        <w:t xml:space="preserve"> </w:t>
      </w:r>
      <w:r w:rsidRPr="002D16A2">
        <w:t>=</w:t>
      </w:r>
      <w:r w:rsidR="003073D5" w:rsidRPr="002D16A2">
        <w:t xml:space="preserve"> </w:t>
      </w:r>
      <w:r w:rsidRPr="002D16A2">
        <w:t>number of studies, n</w:t>
      </w:r>
      <w:r w:rsidR="003073D5" w:rsidRPr="002D16A2">
        <w:t xml:space="preserve"> </w:t>
      </w:r>
      <w:r w:rsidRPr="002D16A2">
        <w:t>=</w:t>
      </w:r>
      <w:r w:rsidR="003073D5" w:rsidRPr="002D16A2">
        <w:t xml:space="preserve"> </w:t>
      </w:r>
      <w:r w:rsidRPr="002D16A2">
        <w:t>number of patients</w:t>
      </w:r>
      <w:r w:rsidR="003073D5" w:rsidRPr="002D16A2">
        <w:t>; NA = not applicable</w:t>
      </w:r>
      <w:r w:rsidR="00D40DEC" w:rsidRPr="002D16A2">
        <w:br/>
      </w:r>
      <w:r w:rsidR="00053699" w:rsidRPr="002D16A2">
        <w:t>*</w:t>
      </w:r>
      <w:r w:rsidR="00E461E9" w:rsidRPr="002D16A2">
        <w:t>Samples included in the c</w:t>
      </w:r>
      <w:r w:rsidR="00D40DEC" w:rsidRPr="002D16A2">
        <w:t xml:space="preserve">oncordance studies </w:t>
      </w:r>
      <w:r w:rsidR="00E461E9" w:rsidRPr="002D16A2">
        <w:t xml:space="preserve">were variable. </w:t>
      </w:r>
      <w:r w:rsidR="0016573E" w:rsidRPr="002D16A2">
        <w:t>Some studies reported data for patients, while others reported concordance based on MRD status of bone marrow samples</w:t>
      </w:r>
      <w:r w:rsidR="006B4795" w:rsidRPr="002D16A2">
        <w:t xml:space="preserve"> without </w:t>
      </w:r>
      <w:r w:rsidR="00F53C9A" w:rsidRPr="002D16A2">
        <w:t>describing number of patients,</w:t>
      </w:r>
      <w:r w:rsidR="00E461E9" w:rsidRPr="002D16A2">
        <w:t xml:space="preserve"> </w:t>
      </w:r>
      <w:r w:rsidR="0016573E" w:rsidRPr="002D16A2">
        <w:t>where a single patient could contribute more than one bone marrow sample.</w:t>
      </w:r>
      <w:r w:rsidR="00E24089" w:rsidRPr="002D16A2">
        <w:br/>
      </w:r>
      <w:r w:rsidR="005C0A39" w:rsidRPr="002D16A2">
        <w:t>**</w:t>
      </w:r>
      <w:r w:rsidR="001A1E04" w:rsidRPr="002D16A2">
        <w:t xml:space="preserve">Linked evidence for health outcomes </w:t>
      </w:r>
      <w:r w:rsidR="00A1594C" w:rsidRPr="002D16A2">
        <w:t xml:space="preserve">included 1 RCT and 36 cohort studies as per </w:t>
      </w:r>
      <w:r w:rsidR="002A4982" w:rsidRPr="002D16A2">
        <w:fldChar w:fldCharType="begin"/>
      </w:r>
      <w:r w:rsidR="002A4982" w:rsidRPr="002D16A2">
        <w:instrText xml:space="preserve"> REF _Ref118903742 \h </w:instrText>
      </w:r>
      <w:r w:rsidR="002E62D9" w:rsidRPr="002D16A2">
        <w:instrText xml:space="preserve"> \* MERGEFORMAT </w:instrText>
      </w:r>
      <w:r w:rsidR="002A4982" w:rsidRPr="002D16A2">
        <w:fldChar w:fldCharType="separate"/>
      </w:r>
      <w:r w:rsidR="0003093F">
        <w:rPr>
          <w:b/>
          <w:bCs/>
          <w:lang w:val="en-US"/>
        </w:rPr>
        <w:t>Error! Reference source not found.</w:t>
      </w:r>
      <w:r w:rsidR="002A4982" w:rsidRPr="002D16A2">
        <w:fldChar w:fldCharType="end"/>
      </w:r>
      <w:r w:rsidR="00C25BAC" w:rsidRPr="002D16A2">
        <w:t>. The 37 studies included</w:t>
      </w:r>
      <w:r w:rsidR="005A7200" w:rsidRPr="002D16A2">
        <w:t xml:space="preserve"> 24 cohort studies</w:t>
      </w:r>
      <w:r w:rsidR="00633BDA" w:rsidRPr="002D16A2">
        <w:t xml:space="preserve"> reporting health outcomes and 13 studies (1 RCT and 12 cohort) reporting MRD</w:t>
      </w:r>
      <w:r w:rsidR="009739C1" w:rsidRPr="002D16A2">
        <w:t>-</w:t>
      </w:r>
      <w:r w:rsidR="00633BDA" w:rsidRPr="002D16A2">
        <w:t>directed</w:t>
      </w:r>
      <w:r w:rsidR="002E62D9" w:rsidRPr="002D16A2">
        <w:t xml:space="preserve"> treatment versus no MRD</w:t>
      </w:r>
      <w:r w:rsidR="009739C1" w:rsidRPr="002D16A2">
        <w:t>-</w:t>
      </w:r>
      <w:r w:rsidR="002E62D9" w:rsidRPr="002D16A2">
        <w:t>directed treatment.</w:t>
      </w:r>
      <w:bookmarkEnd w:id="28"/>
    </w:p>
    <w:p w14:paraId="3B9FC2AD" w14:textId="389BAC2D" w:rsidR="00772829" w:rsidRPr="00CE28E3" w:rsidRDefault="00CE68D9" w:rsidP="002A18BE">
      <w:pPr>
        <w:pStyle w:val="Heading2"/>
      </w:pPr>
      <w:bookmarkStart w:id="29" w:name="_Toc118798866"/>
      <w:bookmarkStart w:id="30" w:name="_Toc121906369"/>
      <w:bookmarkEnd w:id="23"/>
      <w:r>
        <w:t>11</w:t>
      </w:r>
      <w:r w:rsidR="00C36633">
        <w:t>.</w:t>
      </w:r>
      <w:r w:rsidR="00C36633">
        <w:tab/>
      </w:r>
      <w:r w:rsidR="00772829" w:rsidRPr="00CE28E3">
        <w:t>Comparative safety</w:t>
      </w:r>
      <w:bookmarkEnd w:id="29"/>
      <w:bookmarkEnd w:id="30"/>
    </w:p>
    <w:p w14:paraId="291A0183" w14:textId="44F4F92A" w:rsidR="00937D67" w:rsidRDefault="000C7062" w:rsidP="00937D67">
      <w:bookmarkStart w:id="31" w:name="_Toc118798867"/>
      <w:r>
        <w:t xml:space="preserve">Specific evidence comparing the safety of MRD testing compared to morphological assessment ± cytogenetic analysis was not identified in the systematic literature search. </w:t>
      </w:r>
      <w:r w:rsidR="00773ACA">
        <w:t xml:space="preserve">The application proposed MRD testing to be performed </w:t>
      </w:r>
      <w:r w:rsidR="00937D67">
        <w:t xml:space="preserve">on a bone marrow sample. A bone marrow sample also </w:t>
      </w:r>
      <w:r w:rsidR="00937D67">
        <w:lastRenderedPageBreak/>
        <w:t>needs to be acquired for the comparator test, morphological assessment ± cytogenetic analysis for assessing morphological remission. It is therefore expected that the proposed test does not present additional safety concerns for patients with ALL.</w:t>
      </w:r>
    </w:p>
    <w:p w14:paraId="61E2909A" w14:textId="1136646B" w:rsidR="00937D67" w:rsidRDefault="00773ACA" w:rsidP="00937D67">
      <w:r>
        <w:t>O</w:t>
      </w:r>
      <w:r w:rsidR="00937D67">
        <w:t xml:space="preserve">ne study compared the impact of MRD-directed chemotherapy to </w:t>
      </w:r>
      <w:r>
        <w:t xml:space="preserve">conventional chemotherapy </w:t>
      </w:r>
      <w:r w:rsidR="00937D67">
        <w:t>on infecti</w:t>
      </w:r>
      <w:r w:rsidR="00C7659A">
        <w:t>on-related</w:t>
      </w:r>
      <w:r w:rsidR="00937D67">
        <w:t xml:space="preserve"> morbidity in children with ALL</w:t>
      </w:r>
      <w:r w:rsidR="00A1412C">
        <w:rPr>
          <w:rStyle w:val="FootnoteReference"/>
        </w:rPr>
        <w:footnoteReference w:id="3"/>
      </w:r>
      <w:r w:rsidR="00937D67">
        <w:t xml:space="preserve">. </w:t>
      </w:r>
      <w:r>
        <w:t xml:space="preserve">Individuals </w:t>
      </w:r>
      <w:r w:rsidR="00937D67">
        <w:t xml:space="preserve">who were </w:t>
      </w:r>
      <w:proofErr w:type="gramStart"/>
      <w:r w:rsidR="00937D67">
        <w:t>MRD(</w:t>
      </w:r>
      <w:proofErr w:type="gramEnd"/>
      <w:r w:rsidR="00937D67">
        <w:t xml:space="preserve">-) after </w:t>
      </w:r>
      <w:r>
        <w:t xml:space="preserve">an </w:t>
      </w:r>
      <w:r w:rsidR="00937D67">
        <w:t xml:space="preserve">induction and high-dose methotrexate phase were considered standard risk and received reduced intensification </w:t>
      </w:r>
      <w:r>
        <w:t>/</w:t>
      </w:r>
      <w:r w:rsidR="00937D67">
        <w:t xml:space="preserve">maintenance chemotherapy, </w:t>
      </w:r>
      <w:r>
        <w:t xml:space="preserve">compared to those </w:t>
      </w:r>
      <w:r w:rsidR="00937D67">
        <w:t xml:space="preserve">MRD(+) </w:t>
      </w:r>
      <w:r>
        <w:t xml:space="preserve">individuals who </w:t>
      </w:r>
      <w:r w:rsidR="00937D67">
        <w:t>were considered medium risk an</w:t>
      </w:r>
      <w:r w:rsidR="38D60352">
        <w:t>d</w:t>
      </w:r>
      <w:r w:rsidR="00937D67">
        <w:t xml:space="preserve"> received </w:t>
      </w:r>
      <w:r>
        <w:t xml:space="preserve">conventional </w:t>
      </w:r>
      <w:r w:rsidR="00937D67">
        <w:t>intensive intensification</w:t>
      </w:r>
      <w:r>
        <w:t>/</w:t>
      </w:r>
      <w:r w:rsidR="00937D67">
        <w:t>maintenance chemotherapy.</w:t>
      </w:r>
      <w:r w:rsidR="00342F5D">
        <w:t xml:space="preserve"> </w:t>
      </w:r>
      <w:r w:rsidR="00937D67">
        <w:t xml:space="preserve">The results of the study are summarised in </w:t>
      </w:r>
      <w:r w:rsidR="00580B2F">
        <w:fldChar w:fldCharType="begin"/>
      </w:r>
      <w:r w:rsidR="00580B2F">
        <w:instrText xml:space="preserve"> REF _Ref118884261 \h </w:instrText>
      </w:r>
      <w:r w:rsidR="00580B2F">
        <w:fldChar w:fldCharType="separate"/>
      </w:r>
      <w:r w:rsidR="0003093F" w:rsidRPr="00CE28E3">
        <w:t>Table</w:t>
      </w:r>
      <w:r w:rsidR="0003093F">
        <w:t> </w:t>
      </w:r>
      <w:r w:rsidR="0003093F">
        <w:rPr>
          <w:noProof/>
        </w:rPr>
        <w:t>5</w:t>
      </w:r>
      <w:r w:rsidR="00580B2F">
        <w:fldChar w:fldCharType="end"/>
      </w:r>
      <w:r w:rsidR="00937D67">
        <w:t>. Patients treated with reduced treatment protocol experienced less infectio</w:t>
      </w:r>
      <w:r w:rsidR="00C7659A">
        <w:t xml:space="preserve">n-related </w:t>
      </w:r>
      <w:r w:rsidR="00937D67">
        <w:t xml:space="preserve">morbidity than patients </w:t>
      </w:r>
      <w:r>
        <w:t xml:space="preserve">who received </w:t>
      </w:r>
      <w:r w:rsidR="00937D67">
        <w:t>conventional (intensified) treatment</w:t>
      </w:r>
      <w:r w:rsidR="00292D60">
        <w:t>,</w:t>
      </w:r>
      <w:r w:rsidR="00580B2F">
        <w:t xml:space="preserve"> </w:t>
      </w:r>
      <w:r>
        <w:t>fewer</w:t>
      </w:r>
      <w:r w:rsidR="00580B2F">
        <w:t xml:space="preserve"> outpatient episodes of fever and of shorter duration, lower proportion of febrile episodes resulting in hospitalisation and </w:t>
      </w:r>
      <w:r w:rsidR="000C7062">
        <w:t>intensive care unit</w:t>
      </w:r>
      <w:r w:rsidR="00580B2F">
        <w:t xml:space="preserve"> admission, less chemotherapy interruptions, </w:t>
      </w:r>
      <w:r>
        <w:t xml:space="preserve">fewer </w:t>
      </w:r>
      <w:r w:rsidR="00580B2F">
        <w:t xml:space="preserve">intravenous antibiotic courses and shorter hospital stays. </w:t>
      </w:r>
      <w:r w:rsidR="00937D67">
        <w:t>One patient in the medium-risk group died of an infection; no infection-related deaths were reported in the standard-risk group.</w:t>
      </w:r>
    </w:p>
    <w:p w14:paraId="4BD261AD" w14:textId="54F8652C" w:rsidR="00937D67" w:rsidRPr="00CE28E3" w:rsidRDefault="00937D67" w:rsidP="00BE242F">
      <w:pPr>
        <w:pStyle w:val="Caption"/>
        <w:ind w:left="1440" w:hanging="1440"/>
        <w:rPr>
          <w:rFonts w:cs="Arial"/>
          <w:snapToGrid w:val="0"/>
          <w:szCs w:val="16"/>
        </w:rPr>
      </w:pPr>
      <w:bookmarkStart w:id="32" w:name="_Ref118884261"/>
      <w:bookmarkStart w:id="33" w:name="_Toc121921221"/>
      <w:r w:rsidRPr="00CE28E3">
        <w:t>Table</w:t>
      </w:r>
      <w:r>
        <w:t> </w:t>
      </w:r>
      <w:r>
        <w:fldChar w:fldCharType="begin"/>
      </w:r>
      <w:r>
        <w:instrText>SEQ Table \* ARABIC</w:instrText>
      </w:r>
      <w:r>
        <w:fldChar w:fldCharType="separate"/>
      </w:r>
      <w:r w:rsidR="00A922D7">
        <w:rPr>
          <w:noProof/>
        </w:rPr>
        <w:t>5</w:t>
      </w:r>
      <w:r>
        <w:fldChar w:fldCharType="end"/>
      </w:r>
      <w:bookmarkEnd w:id="32"/>
      <w:r w:rsidRPr="00CE28E3">
        <w:tab/>
      </w:r>
      <w:r w:rsidRPr="00CE28E3">
        <w:rPr>
          <w:rFonts w:cs="Arial"/>
          <w:snapToGrid w:val="0"/>
          <w:szCs w:val="16"/>
        </w:rPr>
        <w:t xml:space="preserve">Results of </w:t>
      </w:r>
      <w:r>
        <w:rPr>
          <w:rFonts w:cs="Arial"/>
          <w:snapToGrid w:val="0"/>
          <w:szCs w:val="16"/>
        </w:rPr>
        <w:t>safety</w:t>
      </w:r>
      <w:r w:rsidRPr="00CE28E3">
        <w:rPr>
          <w:rFonts w:cs="Arial"/>
          <w:snapToGrid w:val="0"/>
          <w:szCs w:val="16"/>
        </w:rPr>
        <w:t xml:space="preserve"> </w:t>
      </w:r>
      <w:r>
        <w:rPr>
          <w:rFonts w:cs="Arial"/>
          <w:snapToGrid w:val="0"/>
          <w:szCs w:val="16"/>
        </w:rPr>
        <w:t xml:space="preserve">of MRD-directed chemotherapy versus conventional chemotherapy in children with ALL </w:t>
      </w:r>
      <w:r w:rsidR="005C7A5A">
        <w:fldChar w:fldCharType="begin"/>
      </w:r>
      <w:r w:rsidR="005C7A5A">
        <w:instrText xml:space="preserve"> ADDIN EN.CITE &lt;EndNote&gt;&lt;Cite AuthorYear="1"&gt;&lt;Author&gt;van Tilburg&lt;/Author&gt;&lt;Year&gt;2011&lt;/Year&gt;&lt;RecNum&gt;350&lt;/RecNum&gt;&lt;DisplayText&gt;van Tilburg et al. (2011)&lt;/DisplayText&gt;&lt;record&gt;&lt;rec-number&gt;350&lt;/rec-number&gt;&lt;foreign-keys&gt;&lt;key app="EN" db-id="095wrfpz6de5sxe9zptpvwvox2zev2fs0p9z" timestamp="1667369593"&gt;350&lt;/key&gt;&lt;/foreign-keys&gt;&lt;ref-type name="Journal Article"&gt;17&lt;/ref-type&gt;&lt;contributors&gt;&lt;authors&gt;&lt;author&gt;van Tilburg, C. M.&lt;/author&gt;&lt;author&gt;Sanders, E. A.&lt;/author&gt;&lt;author&gt;Nibbelke, E. E.&lt;/author&gt;&lt;author&gt;Pieters, R.&lt;/author&gt;&lt;author&gt;Revesz, T.&lt;/author&gt;&lt;author&gt;Westers, P.&lt;/author&gt;&lt;author&gt;Wolfs, T. F.&lt;/author&gt;&lt;author&gt;Bierings, M. B.&lt;/author&gt;&lt;/authors&gt;&lt;/contributors&gt;&lt;titles&gt;&lt;title&gt;Impact of reduced chemotherapy treatment for good risk childhood acute lymphoblastic leukaemia on infectious morbidity&lt;/title&gt;&lt;secondary-title&gt;British journal of haematology&lt;/secondary-title&gt;&lt;/titles&gt;&lt;periodical&gt;&lt;full-title&gt;British journal of haematology&lt;/full-title&gt;&lt;/periodical&gt;&lt;pages&gt;433-40&lt;/pages&gt;&lt;volume&gt;152&lt;/volume&gt;&lt;number&gt;4&lt;/number&gt;&lt;dates&gt;&lt;year&gt;2011&lt;/year&gt;&lt;/dates&gt;&lt;accession-num&gt;21223250&lt;/accession-num&gt;&lt;urls&gt;&lt;related-urls&gt;&lt;url&gt;https://ezproxy.library.usyd.edu.au/login?url=http://ovidsp.ovid.com/ovidweb.cgi?T=JS&amp;amp;CSC=Y&amp;amp;NEWS=N&amp;amp;PAGE=fulltext&amp;amp;D=med8&amp;amp;AN=21223250&lt;/url&gt;&lt;url&gt;https://onlinelibrary.wiley.com/doi/pdfdirect/10.1111/j.1365-2141.2010.08463.x?download=true&lt;/url&gt;&lt;/related-urls&gt;&lt;/urls&gt;&lt;electronic-resource-</w:instrText>
      </w:r>
      <w:r w:rsidR="005C7A5A">
        <w:lastRenderedPageBreak/>
        <w:instrText>num&gt;https://dx.doi.org/10.1111/j.1365-2141.2010.08463.x&lt;/electronic-resource-num&gt;&lt;/record&gt;&lt;/Cite&gt;&lt;/EndNote&gt;</w:instrText>
      </w:r>
      <w:r w:rsidR="005C7A5A">
        <w:fldChar w:fldCharType="separate"/>
      </w:r>
      <w:r w:rsidR="005C7A5A">
        <w:rPr>
          <w:noProof/>
        </w:rPr>
        <w:t>van Tilburg et al. (2011)</w:t>
      </w:r>
      <w:bookmarkEnd w:id="33"/>
      <w:r w:rsidR="005C7A5A">
        <w:fldChar w:fldCharType="end"/>
      </w:r>
    </w:p>
    <w:tbl>
      <w:tblPr>
        <w:tblStyle w:val="HTATable"/>
        <w:tblW w:w="5000" w:type="pct"/>
        <w:tblCellMar>
          <w:left w:w="28" w:type="dxa"/>
          <w:right w:w="28" w:type="dxa"/>
        </w:tblCellMar>
        <w:tblLook w:val="04A0" w:firstRow="1" w:lastRow="0" w:firstColumn="1" w:lastColumn="0" w:noHBand="0" w:noVBand="1"/>
      </w:tblPr>
      <w:tblGrid>
        <w:gridCol w:w="2191"/>
        <w:gridCol w:w="2867"/>
        <w:gridCol w:w="2750"/>
        <w:gridCol w:w="1208"/>
      </w:tblGrid>
      <w:tr w:rsidR="00937D67" w:rsidRPr="006465F3" w14:paraId="4C48BC0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15" w:type="pct"/>
            <w:shd w:val="clear" w:color="auto" w:fill="auto"/>
          </w:tcPr>
          <w:p w14:paraId="60F9FBBE" w14:textId="77777777" w:rsidR="00937D67" w:rsidRPr="006465F3" w:rsidRDefault="00937D67">
            <w:pPr>
              <w:pStyle w:val="TableHeading"/>
              <w:rPr>
                <w:snapToGrid w:val="0"/>
              </w:rPr>
            </w:pPr>
            <w:r>
              <w:rPr>
                <w:snapToGrid w:val="0"/>
              </w:rPr>
              <w:t>Outcome measure</w:t>
            </w:r>
          </w:p>
        </w:tc>
        <w:tc>
          <w:tcPr>
            <w:tcW w:w="1590" w:type="pct"/>
            <w:shd w:val="clear" w:color="auto" w:fill="auto"/>
          </w:tcPr>
          <w:p w14:paraId="713B9651" w14:textId="184C3899" w:rsidR="00937D67" w:rsidRPr="006465F3" w:rsidRDefault="00937D67">
            <w:pPr>
              <w:pStyle w:val="TableHeading"/>
              <w:cnfStyle w:val="100000000000" w:firstRow="1" w:lastRow="0" w:firstColumn="0" w:lastColumn="0" w:oddVBand="0" w:evenVBand="0" w:oddHBand="0" w:evenHBand="0" w:firstRowFirstColumn="0" w:firstRowLastColumn="0" w:lastRowFirstColumn="0" w:lastRowLastColumn="0"/>
              <w:rPr>
                <w:snapToGrid w:val="0"/>
              </w:rPr>
            </w:pPr>
            <w:r>
              <w:rPr>
                <w:snapToGrid w:val="0"/>
              </w:rPr>
              <w:t>MRD-directed treatment reduction (standard</w:t>
            </w:r>
            <w:r w:rsidR="002C4A79">
              <w:rPr>
                <w:snapToGrid w:val="0"/>
              </w:rPr>
              <w:t>-</w:t>
            </w:r>
            <w:r>
              <w:rPr>
                <w:snapToGrid w:val="0"/>
              </w:rPr>
              <w:t>risk patients)</w:t>
            </w:r>
          </w:p>
          <w:p w14:paraId="160289A7" w14:textId="77777777" w:rsidR="00937D67" w:rsidRPr="006465F3" w:rsidRDefault="00937D67">
            <w:pPr>
              <w:pStyle w:val="TableHeading"/>
              <w:cnfStyle w:val="100000000000" w:firstRow="1" w:lastRow="0" w:firstColumn="0" w:lastColumn="0" w:oddVBand="0" w:evenVBand="0" w:oddHBand="0" w:evenHBand="0" w:firstRowFirstColumn="0" w:firstRowLastColumn="0" w:lastRowFirstColumn="0" w:lastRowLastColumn="0"/>
              <w:rPr>
                <w:snapToGrid w:val="0"/>
              </w:rPr>
            </w:pPr>
            <w:r w:rsidRPr="006465F3">
              <w:rPr>
                <w:snapToGrid w:val="0"/>
              </w:rPr>
              <w:t xml:space="preserve">n with event/N </w:t>
            </w:r>
          </w:p>
        </w:tc>
        <w:tc>
          <w:tcPr>
            <w:tcW w:w="1525" w:type="pct"/>
            <w:shd w:val="clear" w:color="auto" w:fill="auto"/>
          </w:tcPr>
          <w:p w14:paraId="7A67989E" w14:textId="3F23FE61" w:rsidR="00937D67" w:rsidRPr="006465F3" w:rsidRDefault="00937D67">
            <w:pPr>
              <w:pStyle w:val="TableHeading"/>
              <w:cnfStyle w:val="100000000000" w:firstRow="1" w:lastRow="0" w:firstColumn="0" w:lastColumn="0" w:oddVBand="0" w:evenVBand="0" w:oddHBand="0" w:evenHBand="0" w:firstRowFirstColumn="0" w:firstRowLastColumn="0" w:lastRowFirstColumn="0" w:lastRowLastColumn="0"/>
              <w:rPr>
                <w:snapToGrid w:val="0"/>
              </w:rPr>
            </w:pPr>
            <w:r w:rsidRPr="006465F3">
              <w:rPr>
                <w:snapToGrid w:val="0"/>
              </w:rPr>
              <w:t>C</w:t>
            </w:r>
            <w:r>
              <w:rPr>
                <w:snapToGrid w:val="0"/>
              </w:rPr>
              <w:t>onventional chemotherapy (medium</w:t>
            </w:r>
            <w:r w:rsidR="002C4A79">
              <w:rPr>
                <w:snapToGrid w:val="0"/>
              </w:rPr>
              <w:t>-</w:t>
            </w:r>
            <w:r>
              <w:rPr>
                <w:snapToGrid w:val="0"/>
              </w:rPr>
              <w:t>risk patients)</w:t>
            </w:r>
          </w:p>
          <w:p w14:paraId="7356D424" w14:textId="77777777" w:rsidR="00937D67" w:rsidRPr="006465F3" w:rsidRDefault="00937D67">
            <w:pPr>
              <w:pStyle w:val="TableHeading"/>
              <w:cnfStyle w:val="100000000000" w:firstRow="1" w:lastRow="0" w:firstColumn="0" w:lastColumn="0" w:oddVBand="0" w:evenVBand="0" w:oddHBand="0" w:evenHBand="0" w:firstRowFirstColumn="0" w:firstRowLastColumn="0" w:lastRowFirstColumn="0" w:lastRowLastColumn="0"/>
              <w:rPr>
                <w:snapToGrid w:val="0"/>
              </w:rPr>
            </w:pPr>
            <w:r w:rsidRPr="006465F3">
              <w:rPr>
                <w:snapToGrid w:val="0"/>
              </w:rPr>
              <w:t>n with event/N</w:t>
            </w:r>
          </w:p>
        </w:tc>
        <w:tc>
          <w:tcPr>
            <w:tcW w:w="670" w:type="pct"/>
            <w:shd w:val="clear" w:color="auto" w:fill="auto"/>
          </w:tcPr>
          <w:p w14:paraId="651554E6" w14:textId="77777777" w:rsidR="00937D67" w:rsidRPr="006465F3" w:rsidRDefault="00937D67">
            <w:pPr>
              <w:pStyle w:val="TableHeading"/>
              <w:cnfStyle w:val="100000000000" w:firstRow="1" w:lastRow="0" w:firstColumn="0" w:lastColumn="0" w:oddVBand="0" w:evenVBand="0" w:oddHBand="0" w:evenHBand="0" w:firstRowFirstColumn="0" w:firstRowLastColumn="0" w:lastRowFirstColumn="0" w:lastRowLastColumn="0"/>
              <w:rPr>
                <w:snapToGrid w:val="0"/>
              </w:rPr>
            </w:pPr>
            <w:r w:rsidRPr="006465F3">
              <w:rPr>
                <w:snapToGrid w:val="0"/>
              </w:rPr>
              <w:t>Relative difference</w:t>
            </w:r>
          </w:p>
          <w:p w14:paraId="7E66E413" w14:textId="77777777" w:rsidR="00937D67" w:rsidRPr="006465F3" w:rsidRDefault="00937D67">
            <w:pPr>
              <w:pStyle w:val="TableHeading"/>
              <w:cnfStyle w:val="100000000000" w:firstRow="1" w:lastRow="0" w:firstColumn="0" w:lastColumn="0" w:oddVBand="0" w:evenVBand="0" w:oddHBand="0" w:evenHBand="0" w:firstRowFirstColumn="0" w:firstRowLastColumn="0" w:lastRowFirstColumn="0" w:lastRowLastColumn="0"/>
              <w:rPr>
                <w:snapToGrid w:val="0"/>
              </w:rPr>
            </w:pPr>
            <w:r>
              <w:rPr>
                <w:snapToGrid w:val="0"/>
              </w:rPr>
              <w:t>p-value</w:t>
            </w:r>
          </w:p>
        </w:tc>
      </w:tr>
      <w:tr w:rsidR="00937D67" w:rsidRPr="006465F3" w14:paraId="392AA1A1" w14:textId="77777777">
        <w:tc>
          <w:tcPr>
            <w:cnfStyle w:val="001000000000" w:firstRow="0" w:lastRow="0" w:firstColumn="1" w:lastColumn="0" w:oddVBand="0" w:evenVBand="0" w:oddHBand="0" w:evenHBand="0" w:firstRowFirstColumn="0" w:firstRowLastColumn="0" w:lastRowFirstColumn="0" w:lastRowLastColumn="0"/>
            <w:tcW w:w="1215" w:type="pct"/>
            <w:shd w:val="clear" w:color="auto" w:fill="auto"/>
            <w:vAlign w:val="center"/>
          </w:tcPr>
          <w:p w14:paraId="1D61BCE6" w14:textId="77777777" w:rsidR="00937D67" w:rsidRPr="006465F3" w:rsidRDefault="00937D67">
            <w:pPr>
              <w:pStyle w:val="TableText"/>
              <w:keepNext/>
              <w:rPr>
                <w:snapToGrid w:val="0"/>
              </w:rPr>
            </w:pPr>
            <w:r>
              <w:rPr>
                <w:snapToGrid w:val="0"/>
              </w:rPr>
              <w:t>Outpatient episodes of fever</w:t>
            </w:r>
          </w:p>
        </w:tc>
        <w:tc>
          <w:tcPr>
            <w:tcW w:w="1590" w:type="pct"/>
            <w:shd w:val="clear" w:color="auto" w:fill="auto"/>
            <w:vAlign w:val="center"/>
          </w:tcPr>
          <w:p w14:paraId="4998760E" w14:textId="77777777" w:rsidR="00937D67" w:rsidRDefault="00937D67">
            <w:pPr>
              <w:pStyle w:val="TableText"/>
              <w:keepNext/>
              <w:ind w:left="111" w:right="117"/>
              <w:cnfStyle w:val="000000000000" w:firstRow="0" w:lastRow="0" w:firstColumn="0" w:lastColumn="0" w:oddVBand="0" w:evenVBand="0" w:oddHBand="0" w:evenHBand="0" w:firstRowFirstColumn="0" w:firstRowLastColumn="0" w:lastRowFirstColumn="0" w:lastRowLastColumn="0"/>
              <w:rPr>
                <w:snapToGrid w:val="0"/>
              </w:rPr>
            </w:pPr>
            <w:r>
              <w:rPr>
                <w:snapToGrid w:val="0"/>
              </w:rPr>
              <w:t>88/31*</w:t>
            </w:r>
          </w:p>
          <w:p w14:paraId="78F5E142" w14:textId="77777777" w:rsidR="00937D67" w:rsidRPr="006465F3" w:rsidRDefault="00937D67">
            <w:pPr>
              <w:pStyle w:val="TableText"/>
              <w:keepNext/>
              <w:ind w:left="111" w:right="117"/>
              <w:cnfStyle w:val="000000000000" w:firstRow="0" w:lastRow="0" w:firstColumn="0" w:lastColumn="0" w:oddVBand="0" w:evenVBand="0" w:oddHBand="0" w:evenHBand="0" w:firstRowFirstColumn="0" w:firstRowLastColumn="0" w:lastRowFirstColumn="0" w:lastRowLastColumn="0"/>
              <w:rPr>
                <w:snapToGrid w:val="0"/>
              </w:rPr>
            </w:pPr>
            <w:r>
              <w:rPr>
                <w:snapToGrid w:val="0"/>
              </w:rPr>
              <w:t>Median 1</w:t>
            </w:r>
          </w:p>
        </w:tc>
        <w:tc>
          <w:tcPr>
            <w:tcW w:w="1525" w:type="pct"/>
            <w:shd w:val="clear" w:color="auto" w:fill="auto"/>
            <w:vAlign w:val="center"/>
          </w:tcPr>
          <w:p w14:paraId="0BCF8994" w14:textId="77777777" w:rsidR="00937D67" w:rsidRDefault="00937D67">
            <w:pPr>
              <w:pStyle w:val="TableText"/>
              <w:keepNext/>
              <w:ind w:left="77" w:right="117"/>
              <w:cnfStyle w:val="000000000000" w:firstRow="0" w:lastRow="0" w:firstColumn="0" w:lastColumn="0" w:oddVBand="0" w:evenVBand="0" w:oddHBand="0" w:evenHBand="0" w:firstRowFirstColumn="0" w:firstRowLastColumn="0" w:lastRowFirstColumn="0" w:lastRowLastColumn="0"/>
              <w:rPr>
                <w:snapToGrid w:val="0"/>
              </w:rPr>
            </w:pPr>
            <w:r>
              <w:rPr>
                <w:snapToGrid w:val="0"/>
              </w:rPr>
              <w:t>360/72*</w:t>
            </w:r>
          </w:p>
          <w:p w14:paraId="33DDBC1F" w14:textId="77777777" w:rsidR="00937D67" w:rsidRPr="006465F3" w:rsidRDefault="00937D67">
            <w:pPr>
              <w:pStyle w:val="TableText"/>
              <w:keepNext/>
              <w:ind w:left="77" w:right="117"/>
              <w:cnfStyle w:val="000000000000" w:firstRow="0" w:lastRow="0" w:firstColumn="0" w:lastColumn="0" w:oddVBand="0" w:evenVBand="0" w:oddHBand="0" w:evenHBand="0" w:firstRowFirstColumn="0" w:firstRowLastColumn="0" w:lastRowFirstColumn="0" w:lastRowLastColumn="0"/>
              <w:rPr>
                <w:snapToGrid w:val="0"/>
              </w:rPr>
            </w:pPr>
            <w:r>
              <w:rPr>
                <w:snapToGrid w:val="0"/>
              </w:rPr>
              <w:t>Median 4</w:t>
            </w:r>
          </w:p>
        </w:tc>
        <w:tc>
          <w:tcPr>
            <w:tcW w:w="670" w:type="pct"/>
            <w:shd w:val="clear" w:color="auto" w:fill="auto"/>
            <w:vAlign w:val="center"/>
          </w:tcPr>
          <w:p w14:paraId="5C86C46E" w14:textId="77777777" w:rsidR="00937D67" w:rsidRPr="006465F3" w:rsidRDefault="00937D67">
            <w:pPr>
              <w:pStyle w:val="TableText"/>
              <w:keepNext/>
              <w:ind w:right="117"/>
              <w:cnfStyle w:val="000000000000" w:firstRow="0" w:lastRow="0" w:firstColumn="0" w:lastColumn="0" w:oddVBand="0" w:evenVBand="0" w:oddHBand="0" w:evenHBand="0" w:firstRowFirstColumn="0" w:firstRowLastColumn="0" w:lastRowFirstColumn="0" w:lastRowLastColumn="0"/>
              <w:rPr>
                <w:snapToGrid w:val="0"/>
              </w:rPr>
            </w:pPr>
            <w:r>
              <w:rPr>
                <w:snapToGrid w:val="0"/>
              </w:rPr>
              <w:t>p=0.002</w:t>
            </w:r>
          </w:p>
        </w:tc>
      </w:tr>
      <w:tr w:rsidR="00937D67" w:rsidRPr="006465F3" w14:paraId="2C52EFDB" w14:textId="77777777">
        <w:tc>
          <w:tcPr>
            <w:cnfStyle w:val="001000000000" w:firstRow="0" w:lastRow="0" w:firstColumn="1" w:lastColumn="0" w:oddVBand="0" w:evenVBand="0" w:oddHBand="0" w:evenHBand="0" w:firstRowFirstColumn="0" w:firstRowLastColumn="0" w:lastRowFirstColumn="0" w:lastRowLastColumn="0"/>
            <w:tcW w:w="1215" w:type="pct"/>
            <w:shd w:val="clear" w:color="auto" w:fill="auto"/>
            <w:vAlign w:val="center"/>
          </w:tcPr>
          <w:p w14:paraId="33876605" w14:textId="77777777" w:rsidR="00937D67" w:rsidRDefault="00937D67">
            <w:pPr>
              <w:pStyle w:val="TableText"/>
              <w:keepNext/>
              <w:rPr>
                <w:snapToGrid w:val="0"/>
              </w:rPr>
            </w:pPr>
            <w:r>
              <w:rPr>
                <w:snapToGrid w:val="0"/>
              </w:rPr>
              <w:t>Proportion of febrile episodes resulting in hospitalisation</w:t>
            </w:r>
          </w:p>
        </w:tc>
        <w:tc>
          <w:tcPr>
            <w:tcW w:w="1590" w:type="pct"/>
            <w:shd w:val="clear" w:color="auto" w:fill="auto"/>
            <w:vAlign w:val="center"/>
          </w:tcPr>
          <w:p w14:paraId="6C61A10F" w14:textId="77777777" w:rsidR="00937D67" w:rsidRDefault="00937D67">
            <w:pPr>
              <w:pStyle w:val="TableText"/>
              <w:keepNext/>
              <w:ind w:left="111" w:right="117"/>
              <w:cnfStyle w:val="000000000000" w:firstRow="0" w:lastRow="0" w:firstColumn="0" w:lastColumn="0" w:oddVBand="0" w:evenVBand="0" w:oddHBand="0" w:evenHBand="0" w:firstRowFirstColumn="0" w:firstRowLastColumn="0" w:lastRowFirstColumn="0" w:lastRowLastColumn="0"/>
              <w:rPr>
                <w:snapToGrid w:val="0"/>
              </w:rPr>
            </w:pPr>
            <w:r>
              <w:rPr>
                <w:snapToGrid w:val="0"/>
              </w:rPr>
              <w:t>10%</w:t>
            </w:r>
          </w:p>
        </w:tc>
        <w:tc>
          <w:tcPr>
            <w:tcW w:w="1525" w:type="pct"/>
            <w:shd w:val="clear" w:color="auto" w:fill="auto"/>
            <w:vAlign w:val="center"/>
          </w:tcPr>
          <w:p w14:paraId="786CB515" w14:textId="77777777" w:rsidR="00937D67" w:rsidRDefault="00937D67">
            <w:pPr>
              <w:pStyle w:val="TableText"/>
              <w:keepNext/>
              <w:ind w:left="77" w:right="117"/>
              <w:cnfStyle w:val="000000000000" w:firstRow="0" w:lastRow="0" w:firstColumn="0" w:lastColumn="0" w:oddVBand="0" w:evenVBand="0" w:oddHBand="0" w:evenHBand="0" w:firstRowFirstColumn="0" w:firstRowLastColumn="0" w:lastRowFirstColumn="0" w:lastRowLastColumn="0"/>
              <w:rPr>
                <w:snapToGrid w:val="0"/>
              </w:rPr>
            </w:pPr>
            <w:r>
              <w:rPr>
                <w:snapToGrid w:val="0"/>
              </w:rPr>
              <w:t>35%</w:t>
            </w:r>
          </w:p>
        </w:tc>
        <w:tc>
          <w:tcPr>
            <w:tcW w:w="670" w:type="pct"/>
            <w:shd w:val="clear" w:color="auto" w:fill="auto"/>
            <w:vAlign w:val="center"/>
          </w:tcPr>
          <w:p w14:paraId="7D6BD18C" w14:textId="77777777" w:rsidR="00937D67" w:rsidRDefault="00937D67">
            <w:pPr>
              <w:pStyle w:val="TableText"/>
              <w:keepNext/>
              <w:ind w:right="117"/>
              <w:cnfStyle w:val="000000000000" w:firstRow="0" w:lastRow="0" w:firstColumn="0" w:lastColumn="0" w:oddVBand="0" w:evenVBand="0" w:oddHBand="0" w:evenHBand="0" w:firstRowFirstColumn="0" w:firstRowLastColumn="0" w:lastRowFirstColumn="0" w:lastRowLastColumn="0"/>
              <w:rPr>
                <w:snapToGrid w:val="0"/>
              </w:rPr>
            </w:pPr>
            <w:r>
              <w:rPr>
                <w:snapToGrid w:val="0"/>
              </w:rPr>
              <w:t>p&lt;0.001</w:t>
            </w:r>
          </w:p>
        </w:tc>
      </w:tr>
      <w:tr w:rsidR="00937D67" w:rsidRPr="006465F3" w14:paraId="23CD26E1" w14:textId="77777777">
        <w:tc>
          <w:tcPr>
            <w:cnfStyle w:val="001000000000" w:firstRow="0" w:lastRow="0" w:firstColumn="1" w:lastColumn="0" w:oddVBand="0" w:evenVBand="0" w:oddHBand="0" w:evenHBand="0" w:firstRowFirstColumn="0" w:firstRowLastColumn="0" w:lastRowFirstColumn="0" w:lastRowLastColumn="0"/>
            <w:tcW w:w="1215" w:type="pct"/>
            <w:shd w:val="clear" w:color="auto" w:fill="auto"/>
            <w:vAlign w:val="center"/>
          </w:tcPr>
          <w:p w14:paraId="04C8721D" w14:textId="77777777" w:rsidR="00937D67" w:rsidRDefault="00937D67">
            <w:pPr>
              <w:pStyle w:val="TableText"/>
              <w:keepNext/>
              <w:rPr>
                <w:snapToGrid w:val="0"/>
              </w:rPr>
            </w:pPr>
            <w:r>
              <w:rPr>
                <w:snapToGrid w:val="0"/>
              </w:rPr>
              <w:t>Hospital admission for fever</w:t>
            </w:r>
          </w:p>
        </w:tc>
        <w:tc>
          <w:tcPr>
            <w:tcW w:w="1590" w:type="pct"/>
            <w:shd w:val="clear" w:color="auto" w:fill="auto"/>
            <w:vAlign w:val="center"/>
          </w:tcPr>
          <w:p w14:paraId="18CE75F0" w14:textId="77777777" w:rsidR="00937D67" w:rsidRDefault="00937D67">
            <w:pPr>
              <w:pStyle w:val="TableText"/>
              <w:keepNext/>
              <w:ind w:left="111" w:right="117"/>
              <w:cnfStyle w:val="000000000000" w:firstRow="0" w:lastRow="0" w:firstColumn="0" w:lastColumn="0" w:oddVBand="0" w:evenVBand="0" w:oddHBand="0" w:evenHBand="0" w:firstRowFirstColumn="0" w:firstRowLastColumn="0" w:lastRowFirstColumn="0" w:lastRowLastColumn="0"/>
              <w:rPr>
                <w:snapToGrid w:val="0"/>
              </w:rPr>
            </w:pPr>
            <w:r>
              <w:rPr>
                <w:snapToGrid w:val="0"/>
              </w:rPr>
              <w:t>20/54*</w:t>
            </w:r>
          </w:p>
          <w:p w14:paraId="438F42E4" w14:textId="77777777" w:rsidR="00937D67" w:rsidRDefault="00937D67">
            <w:pPr>
              <w:pStyle w:val="TableText"/>
              <w:keepNext/>
              <w:ind w:left="111" w:right="117"/>
              <w:cnfStyle w:val="000000000000" w:firstRow="0" w:lastRow="0" w:firstColumn="0" w:lastColumn="0" w:oddVBand="0" w:evenVBand="0" w:oddHBand="0" w:evenHBand="0" w:firstRowFirstColumn="0" w:firstRowLastColumn="0" w:lastRowFirstColumn="0" w:lastRowLastColumn="0"/>
              <w:rPr>
                <w:snapToGrid w:val="0"/>
              </w:rPr>
            </w:pPr>
            <w:r>
              <w:rPr>
                <w:snapToGrid w:val="0"/>
              </w:rPr>
              <w:t>Median 0</w:t>
            </w:r>
          </w:p>
        </w:tc>
        <w:tc>
          <w:tcPr>
            <w:tcW w:w="1525" w:type="pct"/>
            <w:shd w:val="clear" w:color="auto" w:fill="auto"/>
            <w:vAlign w:val="center"/>
          </w:tcPr>
          <w:p w14:paraId="6A060256" w14:textId="77777777" w:rsidR="00937D67" w:rsidRDefault="00937D67">
            <w:pPr>
              <w:pStyle w:val="TableText"/>
              <w:keepNext/>
              <w:ind w:left="77" w:right="117"/>
              <w:cnfStyle w:val="000000000000" w:firstRow="0" w:lastRow="0" w:firstColumn="0" w:lastColumn="0" w:oddVBand="0" w:evenVBand="0" w:oddHBand="0" w:evenHBand="0" w:firstRowFirstColumn="0" w:firstRowLastColumn="0" w:lastRowFirstColumn="0" w:lastRowLastColumn="0"/>
              <w:rPr>
                <w:snapToGrid w:val="0"/>
              </w:rPr>
            </w:pPr>
            <w:r>
              <w:rPr>
                <w:snapToGrid w:val="0"/>
              </w:rPr>
              <w:t>272/117*</w:t>
            </w:r>
          </w:p>
          <w:p w14:paraId="03949176" w14:textId="77777777" w:rsidR="00937D67" w:rsidRDefault="00937D67">
            <w:pPr>
              <w:pStyle w:val="TableText"/>
              <w:keepNext/>
              <w:ind w:left="77" w:right="117"/>
              <w:cnfStyle w:val="000000000000" w:firstRow="0" w:lastRow="0" w:firstColumn="0" w:lastColumn="0" w:oddVBand="0" w:evenVBand="0" w:oddHBand="0" w:evenHBand="0" w:firstRowFirstColumn="0" w:firstRowLastColumn="0" w:lastRowFirstColumn="0" w:lastRowLastColumn="0"/>
              <w:rPr>
                <w:snapToGrid w:val="0"/>
              </w:rPr>
            </w:pPr>
            <w:r>
              <w:rPr>
                <w:snapToGrid w:val="0"/>
              </w:rPr>
              <w:t>Median 2</w:t>
            </w:r>
          </w:p>
        </w:tc>
        <w:tc>
          <w:tcPr>
            <w:tcW w:w="670" w:type="pct"/>
            <w:shd w:val="clear" w:color="auto" w:fill="auto"/>
            <w:vAlign w:val="center"/>
          </w:tcPr>
          <w:p w14:paraId="759D04C6" w14:textId="77777777" w:rsidR="00937D67" w:rsidRDefault="00937D67">
            <w:pPr>
              <w:pStyle w:val="TableText"/>
              <w:keepNext/>
              <w:ind w:right="117"/>
              <w:cnfStyle w:val="000000000000" w:firstRow="0" w:lastRow="0" w:firstColumn="0" w:lastColumn="0" w:oddVBand="0" w:evenVBand="0" w:oddHBand="0" w:evenHBand="0" w:firstRowFirstColumn="0" w:firstRowLastColumn="0" w:lastRowFirstColumn="0" w:lastRowLastColumn="0"/>
              <w:rPr>
                <w:snapToGrid w:val="0"/>
              </w:rPr>
            </w:pPr>
            <w:r>
              <w:rPr>
                <w:snapToGrid w:val="0"/>
              </w:rPr>
              <w:t>p&lt;0.001</w:t>
            </w:r>
          </w:p>
        </w:tc>
      </w:tr>
      <w:tr w:rsidR="00937D67" w:rsidRPr="006465F3" w14:paraId="54D58D14" w14:textId="77777777">
        <w:tc>
          <w:tcPr>
            <w:cnfStyle w:val="001000000000" w:firstRow="0" w:lastRow="0" w:firstColumn="1" w:lastColumn="0" w:oddVBand="0" w:evenVBand="0" w:oddHBand="0" w:evenHBand="0" w:firstRowFirstColumn="0" w:firstRowLastColumn="0" w:lastRowFirstColumn="0" w:lastRowLastColumn="0"/>
            <w:tcW w:w="1215" w:type="pct"/>
            <w:shd w:val="clear" w:color="auto" w:fill="auto"/>
            <w:vAlign w:val="center"/>
          </w:tcPr>
          <w:p w14:paraId="10593E76" w14:textId="77777777" w:rsidR="00937D67" w:rsidRDefault="00937D67">
            <w:pPr>
              <w:pStyle w:val="TableText"/>
              <w:keepNext/>
              <w:rPr>
                <w:snapToGrid w:val="0"/>
              </w:rPr>
            </w:pPr>
            <w:r>
              <w:rPr>
                <w:snapToGrid w:val="0"/>
              </w:rPr>
              <w:t>Length of hospitalisation for fever</w:t>
            </w:r>
          </w:p>
        </w:tc>
        <w:tc>
          <w:tcPr>
            <w:tcW w:w="1590" w:type="pct"/>
            <w:shd w:val="clear" w:color="auto" w:fill="auto"/>
            <w:vAlign w:val="center"/>
          </w:tcPr>
          <w:p w14:paraId="4ABDFB99" w14:textId="77777777" w:rsidR="00937D67" w:rsidRDefault="00937D67">
            <w:pPr>
              <w:pStyle w:val="TableText"/>
              <w:keepNext/>
              <w:ind w:left="111" w:right="117"/>
              <w:cnfStyle w:val="000000000000" w:firstRow="0" w:lastRow="0" w:firstColumn="0" w:lastColumn="0" w:oddVBand="0" w:evenVBand="0" w:oddHBand="0" w:evenHBand="0" w:firstRowFirstColumn="0" w:firstRowLastColumn="0" w:lastRowFirstColumn="0" w:lastRowLastColumn="0"/>
              <w:rPr>
                <w:snapToGrid w:val="0"/>
              </w:rPr>
            </w:pPr>
            <w:r>
              <w:rPr>
                <w:snapToGrid w:val="0"/>
              </w:rPr>
              <w:t>Median 0 days</w:t>
            </w:r>
          </w:p>
          <w:p w14:paraId="756A0867" w14:textId="77777777" w:rsidR="00937D67" w:rsidRDefault="00937D67">
            <w:pPr>
              <w:pStyle w:val="TableText"/>
              <w:keepNext/>
              <w:ind w:left="111" w:right="117"/>
              <w:cnfStyle w:val="000000000000" w:firstRow="0" w:lastRow="0" w:firstColumn="0" w:lastColumn="0" w:oddVBand="0" w:evenVBand="0" w:oddHBand="0" w:evenHBand="0" w:firstRowFirstColumn="0" w:firstRowLastColumn="0" w:lastRowFirstColumn="0" w:lastRowLastColumn="0"/>
              <w:rPr>
                <w:snapToGrid w:val="0"/>
              </w:rPr>
            </w:pPr>
            <w:r>
              <w:rPr>
                <w:snapToGrid w:val="0"/>
              </w:rPr>
              <w:t>Range 0-14 days</w:t>
            </w:r>
          </w:p>
        </w:tc>
        <w:tc>
          <w:tcPr>
            <w:tcW w:w="1525" w:type="pct"/>
            <w:shd w:val="clear" w:color="auto" w:fill="auto"/>
            <w:vAlign w:val="center"/>
          </w:tcPr>
          <w:p w14:paraId="7FD13FDD" w14:textId="77777777" w:rsidR="00937D67" w:rsidRDefault="00937D67">
            <w:pPr>
              <w:pStyle w:val="TableText"/>
              <w:keepNext/>
              <w:ind w:left="77" w:right="117"/>
              <w:cnfStyle w:val="000000000000" w:firstRow="0" w:lastRow="0" w:firstColumn="0" w:lastColumn="0" w:oddVBand="0" w:evenVBand="0" w:oddHBand="0" w:evenHBand="0" w:firstRowFirstColumn="0" w:firstRowLastColumn="0" w:lastRowFirstColumn="0" w:lastRowLastColumn="0"/>
              <w:rPr>
                <w:snapToGrid w:val="0"/>
              </w:rPr>
            </w:pPr>
            <w:r>
              <w:rPr>
                <w:snapToGrid w:val="0"/>
              </w:rPr>
              <w:t>Median 10 days</w:t>
            </w:r>
          </w:p>
          <w:p w14:paraId="198C0995" w14:textId="73D46477" w:rsidR="00937D67" w:rsidRDefault="00937D67">
            <w:pPr>
              <w:pStyle w:val="TableText"/>
              <w:keepNext/>
              <w:ind w:left="77" w:right="117"/>
              <w:cnfStyle w:val="000000000000" w:firstRow="0" w:lastRow="0" w:firstColumn="0" w:lastColumn="0" w:oddVBand="0" w:evenVBand="0" w:oddHBand="0" w:evenHBand="0" w:firstRowFirstColumn="0" w:firstRowLastColumn="0" w:lastRowFirstColumn="0" w:lastRowLastColumn="0"/>
              <w:rPr>
                <w:snapToGrid w:val="0"/>
              </w:rPr>
            </w:pPr>
            <w:r>
              <w:rPr>
                <w:snapToGrid w:val="0"/>
              </w:rPr>
              <w:t>Range 0-225</w:t>
            </w:r>
            <w:r w:rsidR="0075584C">
              <w:rPr>
                <w:snapToGrid w:val="0"/>
              </w:rPr>
              <w:t xml:space="preserve"> days</w:t>
            </w:r>
          </w:p>
        </w:tc>
        <w:tc>
          <w:tcPr>
            <w:tcW w:w="670" w:type="pct"/>
            <w:shd w:val="clear" w:color="auto" w:fill="auto"/>
            <w:vAlign w:val="center"/>
          </w:tcPr>
          <w:p w14:paraId="2C585C31" w14:textId="77777777" w:rsidR="00937D67" w:rsidRDefault="00937D67">
            <w:pPr>
              <w:pStyle w:val="TableText"/>
              <w:keepNext/>
              <w:ind w:right="117"/>
              <w:cnfStyle w:val="000000000000" w:firstRow="0" w:lastRow="0" w:firstColumn="0" w:lastColumn="0" w:oddVBand="0" w:evenVBand="0" w:oddHBand="0" w:evenHBand="0" w:firstRowFirstColumn="0" w:firstRowLastColumn="0" w:lastRowFirstColumn="0" w:lastRowLastColumn="0"/>
              <w:rPr>
                <w:snapToGrid w:val="0"/>
              </w:rPr>
            </w:pPr>
            <w:r>
              <w:rPr>
                <w:snapToGrid w:val="0"/>
              </w:rPr>
              <w:t>p&lt;0.001</w:t>
            </w:r>
          </w:p>
        </w:tc>
      </w:tr>
      <w:tr w:rsidR="00937D67" w:rsidRPr="006465F3" w14:paraId="049386DC" w14:textId="77777777">
        <w:tc>
          <w:tcPr>
            <w:cnfStyle w:val="001000000000" w:firstRow="0" w:lastRow="0" w:firstColumn="1" w:lastColumn="0" w:oddVBand="0" w:evenVBand="0" w:oddHBand="0" w:evenHBand="0" w:firstRowFirstColumn="0" w:firstRowLastColumn="0" w:lastRowFirstColumn="0" w:lastRowLastColumn="0"/>
            <w:tcW w:w="1215" w:type="pct"/>
            <w:shd w:val="clear" w:color="auto" w:fill="auto"/>
            <w:vAlign w:val="center"/>
          </w:tcPr>
          <w:p w14:paraId="1F922AD5" w14:textId="77777777" w:rsidR="00937D67" w:rsidRDefault="00937D67">
            <w:pPr>
              <w:pStyle w:val="TableText"/>
              <w:keepNext/>
              <w:rPr>
                <w:snapToGrid w:val="0"/>
              </w:rPr>
            </w:pPr>
            <w:r>
              <w:rPr>
                <w:snapToGrid w:val="0"/>
              </w:rPr>
              <w:t>Duration of fever</w:t>
            </w:r>
          </w:p>
        </w:tc>
        <w:tc>
          <w:tcPr>
            <w:tcW w:w="1590" w:type="pct"/>
            <w:shd w:val="clear" w:color="auto" w:fill="auto"/>
            <w:vAlign w:val="center"/>
          </w:tcPr>
          <w:p w14:paraId="4581FCCE" w14:textId="77777777" w:rsidR="00937D67" w:rsidRDefault="00937D67">
            <w:pPr>
              <w:pStyle w:val="TableText"/>
              <w:keepNext/>
              <w:ind w:left="111" w:right="117"/>
              <w:cnfStyle w:val="000000000000" w:firstRow="0" w:lastRow="0" w:firstColumn="0" w:lastColumn="0" w:oddVBand="0" w:evenVBand="0" w:oddHBand="0" w:evenHBand="0" w:firstRowFirstColumn="0" w:firstRowLastColumn="0" w:lastRowFirstColumn="0" w:lastRowLastColumn="0"/>
              <w:rPr>
                <w:snapToGrid w:val="0"/>
              </w:rPr>
            </w:pPr>
            <w:r>
              <w:rPr>
                <w:snapToGrid w:val="0"/>
              </w:rPr>
              <w:t>Median 0 days</w:t>
            </w:r>
          </w:p>
          <w:p w14:paraId="26CC32FE" w14:textId="77777777" w:rsidR="00937D67" w:rsidRDefault="00937D67">
            <w:pPr>
              <w:pStyle w:val="TableText"/>
              <w:keepNext/>
              <w:ind w:left="111" w:right="117"/>
              <w:cnfStyle w:val="000000000000" w:firstRow="0" w:lastRow="0" w:firstColumn="0" w:lastColumn="0" w:oddVBand="0" w:evenVBand="0" w:oddHBand="0" w:evenHBand="0" w:firstRowFirstColumn="0" w:firstRowLastColumn="0" w:lastRowFirstColumn="0" w:lastRowLastColumn="0"/>
              <w:rPr>
                <w:snapToGrid w:val="0"/>
              </w:rPr>
            </w:pPr>
            <w:r>
              <w:rPr>
                <w:snapToGrid w:val="0"/>
              </w:rPr>
              <w:t>Range 0-9 days</w:t>
            </w:r>
          </w:p>
        </w:tc>
        <w:tc>
          <w:tcPr>
            <w:tcW w:w="1525" w:type="pct"/>
            <w:shd w:val="clear" w:color="auto" w:fill="auto"/>
            <w:vAlign w:val="center"/>
          </w:tcPr>
          <w:p w14:paraId="02CD110B" w14:textId="77777777" w:rsidR="00937D67" w:rsidRDefault="00937D67">
            <w:pPr>
              <w:pStyle w:val="TableText"/>
              <w:keepNext/>
              <w:ind w:left="111" w:right="117"/>
              <w:cnfStyle w:val="000000000000" w:firstRow="0" w:lastRow="0" w:firstColumn="0" w:lastColumn="0" w:oddVBand="0" w:evenVBand="0" w:oddHBand="0" w:evenHBand="0" w:firstRowFirstColumn="0" w:firstRowLastColumn="0" w:lastRowFirstColumn="0" w:lastRowLastColumn="0"/>
              <w:rPr>
                <w:snapToGrid w:val="0"/>
              </w:rPr>
            </w:pPr>
            <w:r>
              <w:rPr>
                <w:snapToGrid w:val="0"/>
              </w:rPr>
              <w:t>Median 2 days</w:t>
            </w:r>
          </w:p>
          <w:p w14:paraId="10139383" w14:textId="77777777" w:rsidR="00937D67" w:rsidRDefault="00937D67">
            <w:pPr>
              <w:pStyle w:val="TableText"/>
              <w:keepNext/>
              <w:ind w:left="77" w:right="117"/>
              <w:cnfStyle w:val="000000000000" w:firstRow="0" w:lastRow="0" w:firstColumn="0" w:lastColumn="0" w:oddVBand="0" w:evenVBand="0" w:oddHBand="0" w:evenHBand="0" w:firstRowFirstColumn="0" w:firstRowLastColumn="0" w:lastRowFirstColumn="0" w:lastRowLastColumn="0"/>
              <w:rPr>
                <w:snapToGrid w:val="0"/>
              </w:rPr>
            </w:pPr>
            <w:r>
              <w:rPr>
                <w:snapToGrid w:val="0"/>
              </w:rPr>
              <w:t>Range 0-38 days</w:t>
            </w:r>
          </w:p>
        </w:tc>
        <w:tc>
          <w:tcPr>
            <w:tcW w:w="670" w:type="pct"/>
            <w:shd w:val="clear" w:color="auto" w:fill="auto"/>
            <w:vAlign w:val="center"/>
          </w:tcPr>
          <w:p w14:paraId="5A0ECB21" w14:textId="77777777" w:rsidR="00937D67" w:rsidRDefault="00937D67">
            <w:pPr>
              <w:pStyle w:val="TableText"/>
              <w:keepNext/>
              <w:ind w:right="117"/>
              <w:cnfStyle w:val="000000000000" w:firstRow="0" w:lastRow="0" w:firstColumn="0" w:lastColumn="0" w:oddVBand="0" w:evenVBand="0" w:oddHBand="0" w:evenHBand="0" w:firstRowFirstColumn="0" w:firstRowLastColumn="0" w:lastRowFirstColumn="0" w:lastRowLastColumn="0"/>
              <w:rPr>
                <w:snapToGrid w:val="0"/>
              </w:rPr>
            </w:pPr>
            <w:r>
              <w:rPr>
                <w:snapToGrid w:val="0"/>
              </w:rPr>
              <w:t>p&lt;0.001</w:t>
            </w:r>
          </w:p>
        </w:tc>
      </w:tr>
    </w:tbl>
    <w:p w14:paraId="2AA95F8B" w14:textId="77777777" w:rsidR="00937D67" w:rsidRPr="002D16A2" w:rsidRDefault="00937D67" w:rsidP="002D16A2">
      <w:pPr>
        <w:pStyle w:val="Tablenotes"/>
      </w:pPr>
      <w:r w:rsidRPr="002D16A2">
        <w:t>*</w:t>
      </w:r>
      <w:proofErr w:type="gramStart"/>
      <w:r w:rsidRPr="002D16A2">
        <w:t>more</w:t>
      </w:r>
      <w:proofErr w:type="gramEnd"/>
      <w:r w:rsidRPr="002D16A2">
        <w:t xml:space="preserve"> than one event may have been experienced by each patient</w:t>
      </w:r>
    </w:p>
    <w:p w14:paraId="3EC3251F" w14:textId="529BCA1C" w:rsidR="00937D67" w:rsidRPr="002D16A2" w:rsidRDefault="00D01DBC" w:rsidP="002D16A2">
      <w:pPr>
        <w:pStyle w:val="Tablenotes"/>
      </w:pPr>
      <w:r>
        <w:t xml:space="preserve">Abbreviations: </w:t>
      </w:r>
      <w:r w:rsidR="00937D67" w:rsidRPr="002D16A2">
        <w:t>MRD</w:t>
      </w:r>
      <w:r>
        <w:t>,</w:t>
      </w:r>
      <w:r w:rsidR="003073D5" w:rsidRPr="002D16A2">
        <w:t xml:space="preserve"> </w:t>
      </w:r>
      <w:r w:rsidR="00937D67" w:rsidRPr="002D16A2">
        <w:t>measurable residual disease</w:t>
      </w:r>
    </w:p>
    <w:p w14:paraId="3717AA01" w14:textId="27CFB1AF" w:rsidR="00772829" w:rsidRPr="00CE28E3" w:rsidRDefault="00C36633" w:rsidP="002A18BE">
      <w:pPr>
        <w:pStyle w:val="Heading2"/>
      </w:pPr>
      <w:bookmarkStart w:id="34" w:name="_Toc121906370"/>
      <w:r>
        <w:t>1</w:t>
      </w:r>
      <w:r w:rsidR="00CE68D9">
        <w:t>2</w:t>
      </w:r>
      <w:r>
        <w:t>.</w:t>
      </w:r>
      <w:r>
        <w:tab/>
      </w:r>
      <w:r w:rsidR="00772829" w:rsidRPr="00CE28E3">
        <w:t>Comparative effectiveness</w:t>
      </w:r>
      <w:bookmarkEnd w:id="31"/>
      <w:bookmarkEnd w:id="34"/>
    </w:p>
    <w:p w14:paraId="40017093" w14:textId="4365B86B" w:rsidR="002B773C" w:rsidRPr="00752761" w:rsidRDefault="002B773C" w:rsidP="002B773C">
      <w:r w:rsidRPr="00FB7FCB">
        <w:t>Please note for studies reporting PCR</w:t>
      </w:r>
      <w:r>
        <w:t xml:space="preserve">, </w:t>
      </w:r>
      <w:r w:rsidRPr="00410A28">
        <w:t xml:space="preserve">PCR </w:t>
      </w:r>
      <w:r>
        <w:t xml:space="preserve">was reported </w:t>
      </w:r>
      <w:r w:rsidRPr="00410A28">
        <w:t>as follows, real time quantit</w:t>
      </w:r>
      <w:r w:rsidRPr="00FB7FCB">
        <w:t xml:space="preserve">ative polymerase chain reaction and quantitative polymerase chain reaction are reported as qPCR, allele-specific oligonucleotide real time quantitative polymerase chain reaction </w:t>
      </w:r>
      <w:r>
        <w:t xml:space="preserve">is </w:t>
      </w:r>
      <w:r w:rsidRPr="00FB7FCB">
        <w:t>reported as ASO-q</w:t>
      </w:r>
      <w:r w:rsidRPr="00FB7FCB">
        <w:rPr>
          <w:bCs/>
        </w:rPr>
        <w:t>PCR</w:t>
      </w:r>
      <w:r w:rsidR="000B7EC7">
        <w:rPr>
          <w:bCs/>
        </w:rPr>
        <w:t xml:space="preserve">, and reverse transcriptase quantitative </w:t>
      </w:r>
      <w:r w:rsidR="000B7EC7" w:rsidRPr="00FB7FCB">
        <w:t>polymerase chain reaction</w:t>
      </w:r>
      <w:r w:rsidR="000B7EC7" w:rsidRPr="00FB7FCB">
        <w:rPr>
          <w:bCs/>
        </w:rPr>
        <w:t xml:space="preserve"> </w:t>
      </w:r>
      <w:r w:rsidR="000B7EC7">
        <w:rPr>
          <w:bCs/>
        </w:rPr>
        <w:t>as RT-</w:t>
      </w:r>
      <w:r w:rsidR="000B7EC7">
        <w:t>qPCR</w:t>
      </w:r>
      <w:r w:rsidR="000B7EC7">
        <w:rPr>
          <w:bCs/>
        </w:rPr>
        <w:t>.</w:t>
      </w:r>
      <w:r w:rsidRPr="00FB7FCB">
        <w:rPr>
          <w:bCs/>
        </w:rPr>
        <w:t xml:space="preserve"> Further, </w:t>
      </w:r>
      <w:r w:rsidRPr="00410A28">
        <w:t>some studies did not report the type of PCR.</w:t>
      </w:r>
      <w:r w:rsidRPr="00752761">
        <w:t xml:space="preserve">  </w:t>
      </w:r>
    </w:p>
    <w:p w14:paraId="285284BC" w14:textId="4490E7A2" w:rsidR="00EA1E19" w:rsidRPr="00EA1E19" w:rsidRDefault="002B773C" w:rsidP="00EA1E19">
      <w:pPr>
        <w:spacing w:after="0"/>
      </w:pPr>
      <w:r>
        <w:t xml:space="preserve">For studies comparing bone marrow morphology a threshold of </w:t>
      </w:r>
      <w:r w:rsidRPr="004337AF">
        <w:t>&lt;5% was used.</w:t>
      </w:r>
      <w:bookmarkStart w:id="35" w:name="_Toc121906371"/>
      <w:r w:rsidR="00EA1E19">
        <w:br w:type="page"/>
      </w:r>
    </w:p>
    <w:p w14:paraId="5906C141" w14:textId="59EE5C29" w:rsidR="000E5603" w:rsidRPr="00082928" w:rsidRDefault="000E5603" w:rsidP="00082928">
      <w:pPr>
        <w:pStyle w:val="Heading3"/>
      </w:pPr>
      <w:r w:rsidRPr="00082928">
        <w:lastRenderedPageBreak/>
        <w:t>Direct from test to health outcome evidence</w:t>
      </w:r>
      <w:bookmarkEnd w:id="35"/>
    </w:p>
    <w:p w14:paraId="7330B7F9" w14:textId="0D8A31EA" w:rsidR="000E5603" w:rsidRPr="000E5603" w:rsidRDefault="000E5603" w:rsidP="000E5603">
      <w:pPr>
        <w:rPr>
          <w:lang w:eastAsia="en-AU"/>
        </w:rPr>
      </w:pPr>
      <w:r w:rsidRPr="000E5603">
        <w:rPr>
          <w:lang w:eastAsia="en-AU"/>
        </w:rPr>
        <w:t>Direct test to health outcome evidence was reported in five studies</w:t>
      </w:r>
      <w:r w:rsidR="00714C9C">
        <w:rPr>
          <w:lang w:eastAsia="en-AU"/>
        </w:rPr>
        <w:t>:</w:t>
      </w:r>
    </w:p>
    <w:p w14:paraId="2F0EB1BC" w14:textId="0E4B57A5" w:rsidR="000E5603" w:rsidRPr="000E5603" w:rsidRDefault="000E5603" w:rsidP="009911BE">
      <w:pPr>
        <w:pStyle w:val="ListParagraph"/>
        <w:numPr>
          <w:ilvl w:val="0"/>
          <w:numId w:val="13"/>
        </w:numPr>
        <w:rPr>
          <w:lang w:eastAsia="en-AU"/>
        </w:rPr>
      </w:pPr>
      <w:r w:rsidRPr="000E5603">
        <w:rPr>
          <w:lang w:eastAsia="en-AU"/>
        </w:rPr>
        <w:t>One study (UKALL2003) was a two</w:t>
      </w:r>
      <w:r w:rsidR="00F414ED">
        <w:rPr>
          <w:lang w:eastAsia="en-AU"/>
        </w:rPr>
        <w:t>-</w:t>
      </w:r>
      <w:r w:rsidRPr="000E5603">
        <w:rPr>
          <w:lang w:eastAsia="en-AU"/>
        </w:rPr>
        <w:t>in</w:t>
      </w:r>
      <w:r w:rsidR="00F414ED">
        <w:rPr>
          <w:lang w:eastAsia="en-AU"/>
        </w:rPr>
        <w:t>-</w:t>
      </w:r>
      <w:r w:rsidRPr="000E5603">
        <w:rPr>
          <w:lang w:eastAsia="en-AU"/>
        </w:rPr>
        <w:t xml:space="preserve">one </w:t>
      </w:r>
      <w:r w:rsidR="002B773C">
        <w:rPr>
          <w:lang w:eastAsia="en-AU"/>
        </w:rPr>
        <w:t>randomised controlled trial (</w:t>
      </w:r>
      <w:r w:rsidR="002B773C" w:rsidRPr="000E5603">
        <w:rPr>
          <w:lang w:eastAsia="en-AU"/>
        </w:rPr>
        <w:t>RCT</w:t>
      </w:r>
      <w:r w:rsidR="002B773C">
        <w:rPr>
          <w:lang w:eastAsia="en-AU"/>
        </w:rPr>
        <w:t>)</w:t>
      </w:r>
      <w:r w:rsidRPr="000E5603">
        <w:rPr>
          <w:lang w:eastAsia="en-AU"/>
        </w:rPr>
        <w:t xml:space="preserve"> where patients were randomised to different treatments based on MRD stratification (low</w:t>
      </w:r>
      <w:r>
        <w:rPr>
          <w:lang w:eastAsia="en-AU"/>
        </w:rPr>
        <w:t>-</w:t>
      </w:r>
      <w:r w:rsidRPr="000E5603">
        <w:rPr>
          <w:lang w:eastAsia="en-AU"/>
        </w:rPr>
        <w:t>risk or high-risk groups)</w:t>
      </w:r>
      <w:r w:rsidR="00687E61">
        <w:rPr>
          <w:lang w:eastAsia="en-AU"/>
        </w:rPr>
        <w:fldChar w:fldCharType="begin">
          <w:fldData xml:space="preserve">PEVuZE5vdGU+PENpdGU+PEF1dGhvcj5Nb29ybWFuPC9BdXRob3I+PFllYXI+MjAyMjwvWWVhcj48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</w:fldData>
        </w:fldChar>
      </w:r>
      <w:r w:rsidR="00687E61">
        <w:rPr>
          <w:lang w:eastAsia="en-AU"/>
        </w:rPr>
        <w:instrText xml:space="preserve"> ADDIN EN.CITE </w:instrText>
      </w:r>
      <w:r w:rsidR="00687E61">
        <w:rPr>
          <w:lang w:eastAsia="en-AU"/>
        </w:rPr>
        <w:fldChar w:fldCharType="begin">
          <w:fldData xml:space="preserve">PEVuZE5vdGU+PENpdGU+PEF1dGhvcj5Nb29ybWFuPC9BdXRob3I+PFllYXI+MjAyMjwvWWVhcj48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</w:fldData>
        </w:fldChar>
      </w:r>
      <w:r w:rsidR="00687E61">
        <w:rPr>
          <w:lang w:eastAsia="en-AU"/>
        </w:rPr>
        <w:instrText xml:space="preserve"> ADDIN EN.CITE.DATA </w:instrText>
      </w:r>
      <w:r w:rsidR="00687E61">
        <w:rPr>
          <w:lang w:eastAsia="en-AU"/>
        </w:rPr>
      </w:r>
      <w:r w:rsidR="00687E61">
        <w:rPr>
          <w:lang w:eastAsia="en-AU"/>
        </w:rPr>
        <w:fldChar w:fldCharType="end"/>
      </w:r>
      <w:r w:rsidR="00687E61">
        <w:rPr>
          <w:lang w:eastAsia="en-AU"/>
        </w:rPr>
      </w:r>
      <w:r w:rsidR="00687E61">
        <w:rPr>
          <w:lang w:eastAsia="en-AU"/>
        </w:rPr>
        <w:fldChar w:fldCharType="separate"/>
      </w:r>
      <w:r w:rsidR="00FB101D">
        <w:rPr>
          <w:rStyle w:val="FootnoteReference"/>
          <w:noProof/>
          <w:lang w:eastAsia="en-AU"/>
        </w:rPr>
        <w:footnoteReference w:id="4"/>
      </w:r>
      <w:r w:rsidR="00EB5AD2" w:rsidRPr="00EB5AD2">
        <w:rPr>
          <w:noProof/>
          <w:vertAlign w:val="superscript"/>
          <w:lang w:eastAsia="en-AU"/>
        </w:rPr>
        <w:t>,</w:t>
      </w:r>
      <w:r w:rsidR="00D57761">
        <w:rPr>
          <w:rStyle w:val="FootnoteReference"/>
          <w:noProof/>
          <w:lang w:eastAsia="en-AU"/>
        </w:rPr>
        <w:footnoteReference w:id="5"/>
      </w:r>
      <w:r w:rsidR="00EB5AD2" w:rsidRPr="00EB5AD2">
        <w:rPr>
          <w:noProof/>
          <w:vertAlign w:val="superscript"/>
          <w:lang w:eastAsia="en-AU"/>
        </w:rPr>
        <w:t>,</w:t>
      </w:r>
      <w:r w:rsidR="00D57761">
        <w:rPr>
          <w:rStyle w:val="FootnoteReference"/>
          <w:noProof/>
          <w:lang w:eastAsia="en-AU"/>
        </w:rPr>
        <w:footnoteReference w:id="6"/>
      </w:r>
      <w:r w:rsidR="00687E61">
        <w:rPr>
          <w:lang w:eastAsia="en-AU"/>
        </w:rPr>
        <w:fldChar w:fldCharType="end"/>
      </w:r>
      <w:r w:rsidRPr="000E5603">
        <w:rPr>
          <w:lang w:eastAsia="en-AU"/>
        </w:rPr>
        <w:t xml:space="preserve">. Aim of the study was to test tailoring of treatment intensity based on MRD </w:t>
      </w:r>
      <w:r w:rsidR="002B773C">
        <w:rPr>
          <w:lang w:eastAsia="en-AU"/>
        </w:rPr>
        <w:t xml:space="preserve">status </w:t>
      </w:r>
      <w:r w:rsidRPr="000E5603">
        <w:rPr>
          <w:lang w:eastAsia="en-AU"/>
        </w:rPr>
        <w:t>in clinically standard and intermediate risk patients. Event-free survival (EFS), overall survival (OS) and relapse were reported at 5-year and 10-year follow-up.</w:t>
      </w:r>
    </w:p>
    <w:p w14:paraId="61C550E3" w14:textId="2D59BD83" w:rsidR="000E5603" w:rsidRPr="000E5603" w:rsidRDefault="002B773C" w:rsidP="009911BE">
      <w:pPr>
        <w:pStyle w:val="ListParagraph"/>
        <w:numPr>
          <w:ilvl w:val="0"/>
          <w:numId w:val="13"/>
        </w:numPr>
        <w:rPr>
          <w:lang w:eastAsia="en-AU"/>
        </w:rPr>
      </w:pPr>
      <w:r>
        <w:rPr>
          <w:lang w:eastAsia="en-AU"/>
        </w:rPr>
        <w:t>Three</w:t>
      </w:r>
      <w:r w:rsidRPr="000E5603">
        <w:rPr>
          <w:lang w:eastAsia="en-AU"/>
        </w:rPr>
        <w:t xml:space="preserve"> </w:t>
      </w:r>
      <w:r w:rsidR="000E5603" w:rsidRPr="000E5603">
        <w:rPr>
          <w:lang w:eastAsia="en-AU"/>
        </w:rPr>
        <w:t xml:space="preserve">cohort studies were included </w:t>
      </w:r>
      <w:r>
        <w:rPr>
          <w:lang w:eastAsia="en-AU"/>
        </w:rPr>
        <w:t>all</w:t>
      </w:r>
      <w:r w:rsidR="000E5603" w:rsidRPr="000E5603">
        <w:rPr>
          <w:lang w:eastAsia="en-AU"/>
        </w:rPr>
        <w:t xml:space="preserve"> in paediatric and young adult population</w:t>
      </w:r>
      <w:r w:rsidR="00687E61">
        <w:rPr>
          <w:lang w:eastAsia="en-AU"/>
        </w:rPr>
        <w:fldChar w:fldCharType="begin">
          <w:fldData xml:space="preserve">PEVuZE5vdGU+PENpdGU+PEF1dGhvcj5FY2tlcnQ8L0F1dGhvcj48WWVhcj4yMDEzPC9ZZWFyPjxS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</w:fldData>
        </w:fldChar>
      </w:r>
      <w:r w:rsidR="00687E61">
        <w:rPr>
          <w:lang w:eastAsia="en-AU"/>
        </w:rPr>
        <w:instrText xml:space="preserve"> ADDIN EN.CITE </w:instrText>
      </w:r>
      <w:r w:rsidR="00687E61">
        <w:rPr>
          <w:lang w:eastAsia="en-AU"/>
        </w:rPr>
        <w:fldChar w:fldCharType="begin">
          <w:fldData xml:space="preserve">PEVuZE5vdGU+PENpdGU+PEF1dGhvcj5FY2tlcnQ8L0F1dGhvcj48WWVhcj4yMDEzPC9ZZWFyPjxS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</w:fldData>
        </w:fldChar>
      </w:r>
      <w:r w:rsidR="00687E61">
        <w:rPr>
          <w:lang w:eastAsia="en-AU"/>
        </w:rPr>
        <w:instrText xml:space="preserve"> ADDIN EN.CITE.DATA </w:instrText>
      </w:r>
      <w:r w:rsidR="00687E61">
        <w:rPr>
          <w:lang w:eastAsia="en-AU"/>
        </w:rPr>
      </w:r>
      <w:r w:rsidR="00687E61">
        <w:rPr>
          <w:lang w:eastAsia="en-AU"/>
        </w:rPr>
        <w:fldChar w:fldCharType="end"/>
      </w:r>
      <w:r w:rsidR="00687E61">
        <w:rPr>
          <w:lang w:eastAsia="en-AU"/>
        </w:rPr>
      </w:r>
      <w:r w:rsidR="00687E61">
        <w:rPr>
          <w:lang w:eastAsia="en-AU"/>
        </w:rPr>
        <w:fldChar w:fldCharType="separate"/>
      </w:r>
      <w:r w:rsidR="005A38FF">
        <w:rPr>
          <w:rStyle w:val="FootnoteReference"/>
          <w:noProof/>
          <w:lang w:eastAsia="en-AU"/>
        </w:rPr>
        <w:footnoteReference w:id="7"/>
      </w:r>
      <w:r w:rsidR="00EB5AD2" w:rsidRPr="00EB5AD2">
        <w:rPr>
          <w:vertAlign w:val="superscript"/>
          <w:lang w:eastAsia="en-AU"/>
        </w:rPr>
        <w:t>,</w:t>
      </w:r>
      <w:r w:rsidR="005A38FF">
        <w:rPr>
          <w:rStyle w:val="FootnoteReference"/>
          <w:noProof/>
          <w:lang w:eastAsia="en-AU"/>
        </w:rPr>
        <w:footnoteReference w:id="8"/>
      </w:r>
      <w:r w:rsidR="00687E61">
        <w:rPr>
          <w:lang w:eastAsia="en-AU"/>
        </w:rPr>
        <w:fldChar w:fldCharType="end"/>
      </w:r>
      <w:r w:rsidR="00EB5AD2" w:rsidRPr="00EB5AD2">
        <w:rPr>
          <w:vertAlign w:val="superscript"/>
          <w:lang w:eastAsia="en-AU"/>
        </w:rPr>
        <w:t>,</w:t>
      </w:r>
      <w:r w:rsidR="00EB5AD2">
        <w:rPr>
          <w:rStyle w:val="FootnoteReference"/>
        </w:rPr>
        <w:footnoteReference w:id="9"/>
      </w:r>
      <w:r w:rsidR="000E5603" w:rsidRPr="000E5603">
        <w:rPr>
          <w:lang w:eastAsia="en-AU"/>
        </w:rPr>
        <w:t xml:space="preserve">. </w:t>
      </w:r>
      <w:r>
        <w:rPr>
          <w:lang w:eastAsia="en-AU"/>
        </w:rPr>
        <w:t>The c</w:t>
      </w:r>
      <w:r w:rsidR="000E5603" w:rsidRPr="000E5603">
        <w:rPr>
          <w:lang w:eastAsia="en-AU"/>
        </w:rPr>
        <w:t xml:space="preserve">ohort studies aimed to determine if treatment changes based on MRD </w:t>
      </w:r>
      <w:r>
        <w:rPr>
          <w:lang w:eastAsia="en-AU"/>
        </w:rPr>
        <w:t xml:space="preserve">status </w:t>
      </w:r>
      <w:r w:rsidR="000E5603" w:rsidRPr="000E5603">
        <w:rPr>
          <w:lang w:eastAsia="en-AU"/>
        </w:rPr>
        <w:t>improve</w:t>
      </w:r>
      <w:r>
        <w:rPr>
          <w:lang w:eastAsia="en-AU"/>
        </w:rPr>
        <w:t>d</w:t>
      </w:r>
      <w:r w:rsidR="000E5603" w:rsidRPr="000E5603">
        <w:rPr>
          <w:lang w:eastAsia="en-AU"/>
        </w:rPr>
        <w:t xml:space="preserve"> health outcomes compared with historical controls that </w:t>
      </w:r>
      <w:r w:rsidR="00773ACA">
        <w:rPr>
          <w:lang w:eastAsia="en-AU"/>
        </w:rPr>
        <w:t>received treatment independent of the MRD status</w:t>
      </w:r>
      <w:r w:rsidR="00773ACA" w:rsidRPr="000E5603">
        <w:rPr>
          <w:lang w:eastAsia="en-AU"/>
        </w:rPr>
        <w:t xml:space="preserve">. </w:t>
      </w:r>
      <w:r w:rsidR="000E5603" w:rsidRPr="000E5603">
        <w:rPr>
          <w:lang w:eastAsia="en-AU"/>
        </w:rPr>
        <w:t>Outcomes reported included EFS, OS, relapse-free survival (RFS),</w:t>
      </w:r>
      <w:r>
        <w:rPr>
          <w:lang w:eastAsia="en-AU"/>
        </w:rPr>
        <w:t xml:space="preserve"> and</w:t>
      </w:r>
      <w:r w:rsidR="000E5603" w:rsidRPr="000E5603">
        <w:rPr>
          <w:lang w:eastAsia="en-AU"/>
        </w:rPr>
        <w:t xml:space="preserve"> cumulative incidence of relapse (</w:t>
      </w:r>
      <w:r w:rsidRPr="000E5603">
        <w:rPr>
          <w:lang w:eastAsia="en-AU"/>
        </w:rPr>
        <w:t>CI</w:t>
      </w:r>
      <w:r>
        <w:rPr>
          <w:lang w:eastAsia="en-AU"/>
        </w:rPr>
        <w:t>R</w:t>
      </w:r>
      <w:r w:rsidR="000E5603" w:rsidRPr="000E5603">
        <w:rPr>
          <w:lang w:eastAsia="en-AU"/>
        </w:rPr>
        <w:t>).</w:t>
      </w:r>
    </w:p>
    <w:p w14:paraId="69BCFB44" w14:textId="1EC62D06" w:rsidR="000E5603" w:rsidRPr="008036A3" w:rsidRDefault="000E5603" w:rsidP="00082928">
      <w:pPr>
        <w:pStyle w:val="Heading4"/>
        <w:rPr>
          <w:lang w:eastAsia="en-AU"/>
        </w:rPr>
      </w:pPr>
      <w:r w:rsidRPr="008036A3">
        <w:rPr>
          <w:lang w:eastAsia="en-AU"/>
        </w:rPr>
        <w:t>Paediatric and young adult population results</w:t>
      </w:r>
    </w:p>
    <w:p w14:paraId="120041A3" w14:textId="275C5B8C" w:rsidR="000E5603" w:rsidRPr="000E5603" w:rsidRDefault="000E5603" w:rsidP="009911BE">
      <w:pPr>
        <w:pStyle w:val="ListParagraph"/>
        <w:numPr>
          <w:ilvl w:val="0"/>
          <w:numId w:val="13"/>
        </w:numPr>
        <w:rPr>
          <w:lang w:eastAsia="en-AU"/>
        </w:rPr>
      </w:pPr>
      <w:r w:rsidRPr="000E5603">
        <w:rPr>
          <w:lang w:eastAsia="en-AU"/>
        </w:rPr>
        <w:t xml:space="preserve">Two </w:t>
      </w:r>
      <w:r w:rsidR="000E741C">
        <w:rPr>
          <w:lang w:eastAsia="en-AU"/>
        </w:rPr>
        <w:t>cohort</w:t>
      </w:r>
      <w:r w:rsidR="000E741C" w:rsidRPr="000E5603">
        <w:rPr>
          <w:lang w:eastAsia="en-AU"/>
        </w:rPr>
        <w:t xml:space="preserve"> </w:t>
      </w:r>
      <w:r w:rsidRPr="000E5603">
        <w:rPr>
          <w:lang w:eastAsia="en-AU"/>
        </w:rPr>
        <w:t>studies reported improved EFS in groups that had treatment amended according to the MRD stratification compared with standard of care</w:t>
      </w:r>
      <w:r w:rsidR="00F7333D">
        <w:rPr>
          <w:lang w:eastAsia="en-AU"/>
        </w:rPr>
        <w:t xml:space="preserve"> </w:t>
      </w:r>
      <w:r w:rsidR="00687E61">
        <w:rPr>
          <w:lang w:eastAsia="en-AU"/>
        </w:rPr>
        <w:fldChar w:fldCharType="begin">
          <w:fldData xml:space="preserve">PEVuZE5vdGU+PENpdGU+PEF1dGhvcj5FY2tlcnQ8L0F1dGhvcj48WWVhcj4yMDEzPC9ZZWFyPjxS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</w:fldData>
        </w:fldChar>
      </w:r>
      <w:r w:rsidR="00687E61">
        <w:rPr>
          <w:lang w:eastAsia="en-AU"/>
        </w:rPr>
        <w:instrText xml:space="preserve"> ADDIN EN.CITE </w:instrText>
      </w:r>
      <w:r w:rsidR="00687E61">
        <w:rPr>
          <w:lang w:eastAsia="en-AU"/>
        </w:rPr>
        <w:fldChar w:fldCharType="begin">
          <w:fldData xml:space="preserve">PEVuZE5vdGU+PENpdGU+PEF1dGhvcj5FY2tlcnQ8L0F1dGhvcj48WWVhcj4yMDEzPC9ZZWFyPjxS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</w:fldData>
        </w:fldChar>
      </w:r>
      <w:r w:rsidR="00687E61">
        <w:rPr>
          <w:lang w:eastAsia="en-AU"/>
        </w:rPr>
        <w:instrText xml:space="preserve"> ADDIN EN.CITE.DATA </w:instrText>
      </w:r>
      <w:r w:rsidR="00687E61">
        <w:rPr>
          <w:lang w:eastAsia="en-AU"/>
        </w:rPr>
      </w:r>
      <w:r w:rsidR="00687E61">
        <w:rPr>
          <w:lang w:eastAsia="en-AU"/>
        </w:rPr>
        <w:fldChar w:fldCharType="end"/>
      </w:r>
      <w:r w:rsidR="00687E61">
        <w:rPr>
          <w:lang w:eastAsia="en-AU"/>
        </w:rPr>
      </w:r>
      <w:r w:rsidR="00687E61">
        <w:rPr>
          <w:lang w:eastAsia="en-AU"/>
        </w:rPr>
        <w:fldChar w:fldCharType="separate"/>
      </w:r>
      <w:r w:rsidR="00687E61">
        <w:rPr>
          <w:noProof/>
          <w:lang w:eastAsia="en-AU"/>
        </w:rPr>
        <w:t>(Eckert et al., 2013b; Pieters et al., 2016)</w:t>
      </w:r>
      <w:r w:rsidR="00687E61">
        <w:rPr>
          <w:lang w:eastAsia="en-AU"/>
        </w:rPr>
        <w:fldChar w:fldCharType="end"/>
      </w:r>
      <w:r w:rsidR="00F7333D">
        <w:rPr>
          <w:lang w:eastAsia="en-AU"/>
        </w:rPr>
        <w:t xml:space="preserve">. </w:t>
      </w:r>
      <w:r w:rsidRPr="000E5603">
        <w:rPr>
          <w:lang w:eastAsia="en-AU"/>
        </w:rPr>
        <w:t xml:space="preserve">In </w:t>
      </w:r>
      <w:r w:rsidR="002B773C">
        <w:rPr>
          <w:lang w:eastAsia="en-AU"/>
        </w:rPr>
        <w:t xml:space="preserve">the </w:t>
      </w:r>
      <w:r w:rsidRPr="000E5603">
        <w:rPr>
          <w:lang w:eastAsia="en-AU"/>
        </w:rPr>
        <w:t>UKAL</w:t>
      </w:r>
      <w:r w:rsidR="002B773C">
        <w:rPr>
          <w:lang w:eastAsia="en-AU"/>
        </w:rPr>
        <w:t>L</w:t>
      </w:r>
      <w:r w:rsidRPr="000E5603">
        <w:rPr>
          <w:lang w:eastAsia="en-AU"/>
        </w:rPr>
        <w:t xml:space="preserve">2003 study, there were no differences in EFS between the standard and reduced treatment groups in </w:t>
      </w:r>
      <w:r w:rsidR="002B773C">
        <w:rPr>
          <w:lang w:eastAsia="en-AU"/>
        </w:rPr>
        <w:t xml:space="preserve">the </w:t>
      </w:r>
      <w:r w:rsidRPr="000E5603">
        <w:rPr>
          <w:lang w:eastAsia="en-AU"/>
        </w:rPr>
        <w:t xml:space="preserve">MRD low risk population and in </w:t>
      </w:r>
      <w:r w:rsidR="002B773C">
        <w:rPr>
          <w:lang w:eastAsia="en-AU"/>
        </w:rPr>
        <w:t xml:space="preserve">the </w:t>
      </w:r>
      <w:r w:rsidRPr="000E5603">
        <w:rPr>
          <w:lang w:eastAsia="en-AU"/>
        </w:rPr>
        <w:t>MRD high risk population</w:t>
      </w:r>
      <w:r w:rsidR="0093046F">
        <w:rPr>
          <w:lang w:eastAsia="en-AU"/>
        </w:rPr>
        <w:t>,</w:t>
      </w:r>
      <w:r w:rsidRPr="000E5603">
        <w:rPr>
          <w:lang w:eastAsia="en-AU"/>
        </w:rPr>
        <w:t xml:space="preserve"> 5-year EFS improved when treatment was augmented (</w:t>
      </w:r>
      <w:r w:rsidR="00746F36">
        <w:rPr>
          <w:lang w:eastAsia="en-AU"/>
        </w:rPr>
        <w:t xml:space="preserve">hazard ratio, </w:t>
      </w:r>
      <w:r w:rsidRPr="000E5603">
        <w:rPr>
          <w:lang w:eastAsia="en-AU"/>
        </w:rPr>
        <w:t xml:space="preserve">HR 0.61, 95% </w:t>
      </w:r>
      <w:r w:rsidR="00746F36">
        <w:rPr>
          <w:lang w:eastAsia="en-AU"/>
        </w:rPr>
        <w:t xml:space="preserve">confidence interval, </w:t>
      </w:r>
      <w:r w:rsidRPr="000E5603">
        <w:rPr>
          <w:lang w:eastAsia="en-AU"/>
        </w:rPr>
        <w:t>CI 0.39–0.98).</w:t>
      </w:r>
    </w:p>
    <w:p w14:paraId="2EE2CD34" w14:textId="2F39AF2C" w:rsidR="000E5603" w:rsidRPr="000E5603" w:rsidRDefault="000E5603" w:rsidP="009911BE">
      <w:pPr>
        <w:pStyle w:val="ListParagraph"/>
        <w:numPr>
          <w:ilvl w:val="0"/>
          <w:numId w:val="13"/>
        </w:numPr>
        <w:rPr>
          <w:lang w:eastAsia="en-AU"/>
        </w:rPr>
      </w:pPr>
      <w:r w:rsidRPr="000E5603">
        <w:rPr>
          <w:lang w:eastAsia="en-AU"/>
        </w:rPr>
        <w:t xml:space="preserve">OS results were </w:t>
      </w:r>
      <w:proofErr w:type="gramStart"/>
      <w:r w:rsidRPr="000E5603">
        <w:rPr>
          <w:lang w:eastAsia="en-AU"/>
        </w:rPr>
        <w:t>similar to</w:t>
      </w:r>
      <w:proofErr w:type="gramEnd"/>
      <w:r w:rsidRPr="000E5603">
        <w:rPr>
          <w:lang w:eastAsia="en-AU"/>
        </w:rPr>
        <w:t xml:space="preserve"> the EFS </w:t>
      </w:r>
      <w:r w:rsidR="002B773C">
        <w:rPr>
          <w:lang w:eastAsia="en-AU"/>
        </w:rPr>
        <w:t xml:space="preserve">results </w:t>
      </w:r>
      <w:r w:rsidRPr="000E5603">
        <w:rPr>
          <w:lang w:eastAsia="en-AU"/>
        </w:rPr>
        <w:t xml:space="preserve">in two retrospective reports. In </w:t>
      </w:r>
      <w:r w:rsidR="002B773C">
        <w:rPr>
          <w:lang w:eastAsia="en-AU"/>
        </w:rPr>
        <w:t xml:space="preserve">the </w:t>
      </w:r>
      <w:r w:rsidRPr="000E5603">
        <w:rPr>
          <w:lang w:eastAsia="en-AU"/>
        </w:rPr>
        <w:t xml:space="preserve">UKALL2003 study there were no significant differences </w:t>
      </w:r>
      <w:r w:rsidR="002B773C">
        <w:rPr>
          <w:lang w:eastAsia="en-AU"/>
        </w:rPr>
        <w:t xml:space="preserve">in OS </w:t>
      </w:r>
      <w:r w:rsidRPr="000E5603">
        <w:rPr>
          <w:lang w:eastAsia="en-AU"/>
        </w:rPr>
        <w:t>between standard and intervention treatments in either MRD</w:t>
      </w:r>
      <w:r w:rsidR="0040567F">
        <w:rPr>
          <w:lang w:eastAsia="en-AU"/>
        </w:rPr>
        <w:t>-</w:t>
      </w:r>
      <w:r w:rsidRPr="000E5603">
        <w:rPr>
          <w:lang w:eastAsia="en-AU"/>
        </w:rPr>
        <w:t>low</w:t>
      </w:r>
      <w:r w:rsidR="0040567F">
        <w:rPr>
          <w:lang w:eastAsia="en-AU"/>
        </w:rPr>
        <w:t>-</w:t>
      </w:r>
      <w:r w:rsidRPr="000E5603">
        <w:rPr>
          <w:lang w:eastAsia="en-AU"/>
        </w:rPr>
        <w:t>risk or MRD</w:t>
      </w:r>
      <w:r w:rsidR="0040567F">
        <w:rPr>
          <w:lang w:eastAsia="en-AU"/>
        </w:rPr>
        <w:t>-</w:t>
      </w:r>
      <w:r w:rsidRPr="000E5603">
        <w:rPr>
          <w:lang w:eastAsia="en-AU"/>
        </w:rPr>
        <w:t>high</w:t>
      </w:r>
      <w:r w:rsidR="0040567F">
        <w:rPr>
          <w:lang w:eastAsia="en-AU"/>
        </w:rPr>
        <w:t>-</w:t>
      </w:r>
      <w:r w:rsidRPr="000E5603">
        <w:rPr>
          <w:lang w:eastAsia="en-AU"/>
        </w:rPr>
        <w:t>risk populations.</w:t>
      </w:r>
    </w:p>
    <w:p w14:paraId="4DE70634" w14:textId="22987645" w:rsidR="000E5603" w:rsidRPr="000E5603" w:rsidRDefault="000E5603" w:rsidP="009911BE">
      <w:pPr>
        <w:pStyle w:val="ListParagraph"/>
        <w:numPr>
          <w:ilvl w:val="0"/>
          <w:numId w:val="13"/>
        </w:numPr>
        <w:rPr>
          <w:lang w:eastAsia="en-AU"/>
        </w:rPr>
      </w:pPr>
      <w:r w:rsidRPr="000E5603">
        <w:rPr>
          <w:lang w:eastAsia="en-AU"/>
        </w:rPr>
        <w:t>Two retrospective studies reported reduced CID in groups that received treatment guided by MRD levels</w:t>
      </w:r>
      <w:r w:rsidR="004C6B93">
        <w:rPr>
          <w:lang w:eastAsia="en-AU"/>
        </w:rPr>
        <w:t xml:space="preserve"> </w:t>
      </w:r>
      <w:r w:rsidR="00687E61">
        <w:rPr>
          <w:lang w:eastAsia="en-AU"/>
        </w:rPr>
        <w:fldChar w:fldCharType="begin">
          <w:fldData xml:space="preserve">PEVuZE5vdGU+PENpdGU+PEF1dGhvcj5FY2tlcnQ8L0F1dGhvcj48WWVhcj4yMDEzPC9ZZWFyPjxS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</w:fldData>
        </w:fldChar>
      </w:r>
      <w:r w:rsidR="00687E61">
        <w:rPr>
          <w:lang w:eastAsia="en-AU"/>
        </w:rPr>
        <w:instrText xml:space="preserve"> ADDIN EN.CITE </w:instrText>
      </w:r>
      <w:r w:rsidR="00687E61">
        <w:rPr>
          <w:lang w:eastAsia="en-AU"/>
        </w:rPr>
        <w:fldChar w:fldCharType="begin">
          <w:fldData xml:space="preserve">PEVuZE5vdGU+PENpdGU+PEF1dGhvcj5FY2tlcnQ8L0F1dGhvcj48WWVhcj4yMDEzPC9ZZWFyPjxS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</w:fldData>
        </w:fldChar>
      </w:r>
      <w:r w:rsidR="00687E61">
        <w:rPr>
          <w:lang w:eastAsia="en-AU"/>
        </w:rPr>
        <w:instrText xml:space="preserve"> ADDIN EN.CITE.DATA </w:instrText>
      </w:r>
      <w:r w:rsidR="00687E61">
        <w:rPr>
          <w:lang w:eastAsia="en-AU"/>
        </w:rPr>
      </w:r>
      <w:r w:rsidR="00687E61">
        <w:rPr>
          <w:lang w:eastAsia="en-AU"/>
        </w:rPr>
        <w:fldChar w:fldCharType="end"/>
      </w:r>
      <w:r w:rsidR="00687E61">
        <w:rPr>
          <w:lang w:eastAsia="en-AU"/>
        </w:rPr>
      </w:r>
      <w:r w:rsidR="00687E61">
        <w:rPr>
          <w:lang w:eastAsia="en-AU"/>
        </w:rPr>
        <w:fldChar w:fldCharType="separate"/>
      </w:r>
      <w:r w:rsidR="00687E61">
        <w:rPr>
          <w:noProof/>
          <w:lang w:eastAsia="en-AU"/>
        </w:rPr>
        <w:t>(Eckert et al., 2013b; Pieters et al., 2016)</w:t>
      </w:r>
      <w:r w:rsidR="00687E61">
        <w:rPr>
          <w:lang w:eastAsia="en-AU"/>
        </w:rPr>
        <w:fldChar w:fldCharType="end"/>
      </w:r>
      <w:r w:rsidRPr="000E5603">
        <w:rPr>
          <w:lang w:eastAsia="en-AU"/>
        </w:rPr>
        <w:t xml:space="preserve">. In </w:t>
      </w:r>
      <w:r w:rsidR="002B773C">
        <w:rPr>
          <w:lang w:eastAsia="en-AU"/>
        </w:rPr>
        <w:t xml:space="preserve">the </w:t>
      </w:r>
      <w:r w:rsidRPr="000E5603">
        <w:rPr>
          <w:lang w:eastAsia="en-AU"/>
        </w:rPr>
        <w:t xml:space="preserve">UKALL2003 study, lower rates of relapse (5-year and 10-year follow-up) were observed in </w:t>
      </w:r>
      <w:r w:rsidR="002B773C">
        <w:rPr>
          <w:lang w:eastAsia="en-AU"/>
        </w:rPr>
        <w:t xml:space="preserve">the </w:t>
      </w:r>
      <w:r w:rsidRPr="000E5603">
        <w:rPr>
          <w:lang w:eastAsia="en-AU"/>
        </w:rPr>
        <w:t>MRD high</w:t>
      </w:r>
      <w:r w:rsidR="0040567F">
        <w:rPr>
          <w:lang w:eastAsia="en-AU"/>
        </w:rPr>
        <w:t>-</w:t>
      </w:r>
      <w:r w:rsidRPr="000E5603">
        <w:rPr>
          <w:lang w:eastAsia="en-AU"/>
        </w:rPr>
        <w:t>risk population that received augmented treatment compared with standard treatment.</w:t>
      </w:r>
    </w:p>
    <w:p w14:paraId="32E5C937" w14:textId="12A3D19B" w:rsidR="000E5603" w:rsidRDefault="000E5603" w:rsidP="00082928">
      <w:pPr>
        <w:pStyle w:val="Heading4"/>
        <w:rPr>
          <w:lang w:eastAsia="en-AU"/>
        </w:rPr>
      </w:pPr>
      <w:r w:rsidRPr="008036A3">
        <w:rPr>
          <w:lang w:eastAsia="en-AU"/>
        </w:rPr>
        <w:t>Adult population results</w:t>
      </w:r>
    </w:p>
    <w:p w14:paraId="31ACD611" w14:textId="0BE4370A" w:rsidR="002B773C" w:rsidRPr="002B773C" w:rsidRDefault="002B773C" w:rsidP="009911BE">
      <w:pPr>
        <w:pStyle w:val="ListParagraph"/>
        <w:numPr>
          <w:ilvl w:val="0"/>
          <w:numId w:val="13"/>
        </w:numPr>
        <w:rPr>
          <w:lang w:eastAsia="en-AU"/>
        </w:rPr>
      </w:pPr>
      <w:r>
        <w:rPr>
          <w:lang w:eastAsia="en-AU"/>
        </w:rPr>
        <w:t>No direct evidence studies were identified in the adult population.</w:t>
      </w:r>
    </w:p>
    <w:p w14:paraId="7DB3E738" w14:textId="1E2689E0" w:rsidR="006E4A7E" w:rsidRPr="00082928" w:rsidRDefault="006E4A7E" w:rsidP="00082928">
      <w:pPr>
        <w:pStyle w:val="Heading3"/>
        <w:rPr>
          <w:rStyle w:val="Emphasis"/>
          <w:i w:val="0"/>
          <w:iCs w:val="0"/>
        </w:rPr>
      </w:pPr>
      <w:bookmarkStart w:id="36" w:name="_Toc121906372"/>
      <w:r w:rsidRPr="00082928">
        <w:rPr>
          <w:rStyle w:val="Emphasis"/>
          <w:i w:val="0"/>
          <w:iCs w:val="0"/>
        </w:rPr>
        <w:lastRenderedPageBreak/>
        <w:t>Linked evidence of test accuracy</w:t>
      </w:r>
      <w:bookmarkEnd w:id="36"/>
    </w:p>
    <w:p w14:paraId="3506DC00" w14:textId="3DD5179B" w:rsidR="007F65D3" w:rsidRPr="008036A3" w:rsidRDefault="007F65D3" w:rsidP="00082928">
      <w:pPr>
        <w:pStyle w:val="Heading4"/>
        <w:rPr>
          <w:lang w:eastAsia="en-AU"/>
        </w:rPr>
      </w:pPr>
      <w:r>
        <w:rPr>
          <w:lang w:eastAsia="en-AU"/>
        </w:rPr>
        <w:t>Cross-sectional accuracy</w:t>
      </w:r>
    </w:p>
    <w:p w14:paraId="131CB659" w14:textId="4DFE03BE" w:rsidR="00684818" w:rsidRDefault="00684818" w:rsidP="00684818">
      <w:r>
        <w:t xml:space="preserve">The systematic review identified 35 studies that reported concordance between </w:t>
      </w:r>
      <w:r w:rsidR="002414E1">
        <w:t xml:space="preserve">morphological analysis and </w:t>
      </w:r>
      <w:r>
        <w:t>MRD testing technologies</w:t>
      </w:r>
      <w:r w:rsidR="002414E1">
        <w:t xml:space="preserve">: </w:t>
      </w:r>
      <w:proofErr w:type="spellStart"/>
      <w:r>
        <w:t>mpFC</w:t>
      </w:r>
      <w:proofErr w:type="spellEnd"/>
      <w:r>
        <w:t xml:space="preserve"> compared with bone marrow morphology, </w:t>
      </w:r>
      <w:r w:rsidR="002414E1">
        <w:t>q</w:t>
      </w:r>
      <w:r>
        <w:t xml:space="preserve">PCR compared with bone marrow morphology, </w:t>
      </w:r>
      <w:r w:rsidR="002414E1">
        <w:t>q</w:t>
      </w:r>
      <w:r>
        <w:t xml:space="preserve">PCR compared with </w:t>
      </w:r>
      <w:proofErr w:type="spellStart"/>
      <w:r>
        <w:t>mpFC</w:t>
      </w:r>
      <w:proofErr w:type="spellEnd"/>
      <w:r>
        <w:t xml:space="preserve">, NGS compared with </w:t>
      </w:r>
      <w:proofErr w:type="spellStart"/>
      <w:r>
        <w:t>mpFC</w:t>
      </w:r>
      <w:proofErr w:type="spellEnd"/>
      <w:r>
        <w:t xml:space="preserve">, and NGS compared with </w:t>
      </w:r>
      <w:r w:rsidR="002414E1">
        <w:t>q</w:t>
      </w:r>
      <w:r>
        <w:t>PCR.</w:t>
      </w:r>
    </w:p>
    <w:p w14:paraId="4F8C3538" w14:textId="6F6A6ECB" w:rsidR="00684818" w:rsidRDefault="00684818" w:rsidP="00684818">
      <w:r>
        <w:t xml:space="preserve">Overall, </w:t>
      </w:r>
      <w:proofErr w:type="spellStart"/>
      <w:r>
        <w:t>mpFC</w:t>
      </w:r>
      <w:proofErr w:type="spellEnd"/>
      <w:r>
        <w:t xml:space="preserve"> and </w:t>
      </w:r>
      <w:r w:rsidR="002414E1">
        <w:t>q</w:t>
      </w:r>
      <w:r>
        <w:t>PCR both performed better than bone marrow morphology in detecting MRD in ALL patients</w:t>
      </w:r>
      <w:r w:rsidR="002414E1">
        <w:t xml:space="preserve">, </w:t>
      </w:r>
      <w:proofErr w:type="gramStart"/>
      <w:r w:rsidR="002414E1">
        <w:t>i.e.</w:t>
      </w:r>
      <w:proofErr w:type="gramEnd"/>
      <w:r w:rsidR="002414E1">
        <w:t xml:space="preserve"> detected more MRD positive cases than bone marrow morphology</w:t>
      </w:r>
      <w:r>
        <w:t xml:space="preserve">. However, the evidence suggests that </w:t>
      </w:r>
      <w:proofErr w:type="spellStart"/>
      <w:r>
        <w:t>mpFC</w:t>
      </w:r>
      <w:proofErr w:type="spellEnd"/>
      <w:r>
        <w:t xml:space="preserve"> and </w:t>
      </w:r>
      <w:r w:rsidR="00F55BC0">
        <w:t>q</w:t>
      </w:r>
      <w:r>
        <w:t xml:space="preserve">PCR may be used as complementary MRD technologies in early days and later after therapy. From the available evidence NGS performed better than </w:t>
      </w:r>
      <w:proofErr w:type="spellStart"/>
      <w:r>
        <w:t>mpFC</w:t>
      </w:r>
      <w:proofErr w:type="spellEnd"/>
      <w:r>
        <w:t xml:space="preserve">, but evidence was conflicting on performance of NGS against </w:t>
      </w:r>
      <w:r w:rsidR="00F55BC0">
        <w:t>q</w:t>
      </w:r>
      <w:r>
        <w:t xml:space="preserve">PCR. These results have implications for health outcomes of ALL patients. Knowing that MRD positivity can predict risk of relapse and poor health outcomes, </w:t>
      </w:r>
      <w:r w:rsidR="002414E1">
        <w:t>ascertaining</w:t>
      </w:r>
      <w:r>
        <w:t xml:space="preserve"> the status of MRD early in the treatment cycle using a sensitive technique such as NGS, </w:t>
      </w:r>
      <w:r w:rsidR="00F55BC0">
        <w:t>q</w:t>
      </w:r>
      <w:r>
        <w:t xml:space="preserve">PCR or </w:t>
      </w:r>
      <w:proofErr w:type="spellStart"/>
      <w:r>
        <w:t>mpFC</w:t>
      </w:r>
      <w:proofErr w:type="spellEnd"/>
      <w:r>
        <w:t xml:space="preserve"> can guide treatment and prevent morbidity and mortality.</w:t>
      </w:r>
    </w:p>
    <w:p w14:paraId="50E28AB9" w14:textId="0AE7814E" w:rsidR="00684818" w:rsidRPr="00FE1F4A" w:rsidRDefault="00684818" w:rsidP="00684818">
      <w:r w:rsidRPr="00FE1F4A">
        <w:t xml:space="preserve">Studies comparing </w:t>
      </w:r>
      <w:proofErr w:type="spellStart"/>
      <w:r w:rsidRPr="00FE1F4A">
        <w:t>mpFC</w:t>
      </w:r>
      <w:proofErr w:type="spellEnd"/>
      <w:r w:rsidRPr="00FE1F4A">
        <w:t xml:space="preserve"> with bone marrow morphology reported an average </w:t>
      </w:r>
      <w:r w:rsidR="002414E1">
        <w:t>positive percent agreement (</w:t>
      </w:r>
      <w:r w:rsidRPr="00FE1F4A">
        <w:t>PPA</w:t>
      </w:r>
      <w:r w:rsidR="002414E1">
        <w:t>)</w:t>
      </w:r>
      <w:r w:rsidRPr="00FE1F4A">
        <w:t xml:space="preserve"> of 92%, </w:t>
      </w:r>
      <w:r w:rsidR="002414E1">
        <w:t>negative percent agreement (</w:t>
      </w:r>
      <w:r w:rsidRPr="00FE1F4A">
        <w:t>NPA</w:t>
      </w:r>
      <w:r w:rsidR="002414E1">
        <w:t>)</w:t>
      </w:r>
      <w:r w:rsidRPr="00FE1F4A">
        <w:t xml:space="preserve"> of 59%, and concordance of 62.5%. The evidence suggested that </w:t>
      </w:r>
      <w:proofErr w:type="spellStart"/>
      <w:r w:rsidRPr="00FE1F4A">
        <w:t>mpFC</w:t>
      </w:r>
      <w:proofErr w:type="spellEnd"/>
      <w:r w:rsidRPr="00FE1F4A">
        <w:t xml:space="preserve"> identified </w:t>
      </w:r>
      <w:r w:rsidR="002414E1">
        <w:t>MRD positive</w:t>
      </w:r>
      <w:r w:rsidR="002414E1" w:rsidRPr="00FE1F4A">
        <w:t xml:space="preserve"> </w:t>
      </w:r>
      <w:r w:rsidRPr="00FE1F4A">
        <w:t xml:space="preserve">cases </w:t>
      </w:r>
      <w:r w:rsidR="002414E1">
        <w:t>that</w:t>
      </w:r>
      <w:r w:rsidR="002414E1" w:rsidRPr="00FE1F4A">
        <w:t xml:space="preserve"> </w:t>
      </w:r>
      <w:r w:rsidRPr="00FE1F4A">
        <w:t xml:space="preserve">bone marrow morphological assessment found to be negative. With low concordance rates, </w:t>
      </w:r>
      <w:proofErr w:type="spellStart"/>
      <w:r w:rsidRPr="00FE1F4A">
        <w:t>mpFC</w:t>
      </w:r>
      <w:proofErr w:type="spellEnd"/>
      <w:r w:rsidRPr="00FE1F4A">
        <w:t xml:space="preserve"> may be superior to bone marrow morphology in detecting MRD. However, it may be difficult to conclude the precise timing of measurement and sensitivity threshold of </w:t>
      </w:r>
      <w:proofErr w:type="spellStart"/>
      <w:r w:rsidRPr="00FE1F4A">
        <w:t>mpFC</w:t>
      </w:r>
      <w:proofErr w:type="spellEnd"/>
      <w:r w:rsidRPr="00FE1F4A">
        <w:t xml:space="preserve"> that is the most effective.</w:t>
      </w:r>
      <w:r w:rsidR="002414E1">
        <w:t xml:space="preserve"> The main text presents the concordance between various MRD technologies for the different sensitivity thresholds.</w:t>
      </w:r>
    </w:p>
    <w:p w14:paraId="1DF0ABD5" w14:textId="747C83BE" w:rsidR="00684818" w:rsidRPr="00FE1F4A" w:rsidRDefault="00684818" w:rsidP="00684818">
      <w:r w:rsidRPr="00FE1F4A">
        <w:t xml:space="preserve">Studies comparing </w:t>
      </w:r>
      <w:r w:rsidR="00F55BC0">
        <w:t>q</w:t>
      </w:r>
      <w:r w:rsidRPr="00FE1F4A">
        <w:t xml:space="preserve">PCR with bone marrow morphology reported an average PPA of 88%, NPA of 45%, and concordance of 58%. The evidence suggested that </w:t>
      </w:r>
      <w:r w:rsidR="00F55BC0">
        <w:t>q</w:t>
      </w:r>
      <w:r w:rsidRPr="00FE1F4A">
        <w:t xml:space="preserve">PCR identified </w:t>
      </w:r>
      <w:r w:rsidR="002414E1">
        <w:t>MRD positive</w:t>
      </w:r>
      <w:r w:rsidRPr="00FE1F4A">
        <w:t xml:space="preserve"> cases </w:t>
      </w:r>
      <w:r w:rsidR="002414E1">
        <w:t>that</w:t>
      </w:r>
      <w:r w:rsidR="002414E1" w:rsidRPr="00FE1F4A">
        <w:t xml:space="preserve"> </w:t>
      </w:r>
      <w:r w:rsidRPr="00FE1F4A">
        <w:t xml:space="preserve">bone marrow morphological assessment found to be negative, at MRD detection thresholds that were higher than those of morphology. The low NPA and low concordance rates suggest that </w:t>
      </w:r>
      <w:r w:rsidR="00F55BC0">
        <w:t>q</w:t>
      </w:r>
      <w:r w:rsidRPr="00FE1F4A">
        <w:t>PCR may be superior to bone marrow morphology in detecting MRD at higher sensitivity thresholds.</w:t>
      </w:r>
    </w:p>
    <w:p w14:paraId="7909FBF0" w14:textId="412EABE3" w:rsidR="00A0335E" w:rsidRDefault="00684818" w:rsidP="00A0335E">
      <w:r w:rsidRPr="00FE1F4A">
        <w:t xml:space="preserve">Studies comparing </w:t>
      </w:r>
      <w:proofErr w:type="spellStart"/>
      <w:r w:rsidRPr="00FE1F4A">
        <w:t>mpFC</w:t>
      </w:r>
      <w:proofErr w:type="spellEnd"/>
      <w:r w:rsidRPr="00FE1F4A">
        <w:t xml:space="preserve"> with </w:t>
      </w:r>
      <w:r w:rsidR="00F55BC0">
        <w:t>q</w:t>
      </w:r>
      <w:r w:rsidRPr="00FE1F4A">
        <w:t>PCR comprised most of the evidence on concordance. The studies reported an average PPA of 8</w:t>
      </w:r>
      <w:r>
        <w:t>7</w:t>
      </w:r>
      <w:r w:rsidRPr="00FE1F4A">
        <w:t xml:space="preserve">%, NPA of </w:t>
      </w:r>
      <w:r>
        <w:t>77</w:t>
      </w:r>
      <w:r w:rsidRPr="00FE1F4A">
        <w:t xml:space="preserve">%, and concordance of </w:t>
      </w:r>
      <w:r>
        <w:t>84</w:t>
      </w:r>
      <w:r w:rsidRPr="00FE1F4A">
        <w:t>%</w:t>
      </w:r>
      <w:r>
        <w:t>—</w:t>
      </w:r>
      <w:r w:rsidRPr="00FE1F4A">
        <w:t xml:space="preserve"> </w:t>
      </w:r>
      <w:r>
        <w:t xml:space="preserve">these high rates persisted at all sensitivity thresholds, on day 15 and later in therapy cycle. Further, the concordance was higher in </w:t>
      </w:r>
      <w:r w:rsidR="00A0335E" w:rsidRPr="00A02D59">
        <w:t xml:space="preserve">patients with </w:t>
      </w:r>
      <w:r>
        <w:t xml:space="preserve">B-ALL than T-ALL. </w:t>
      </w:r>
    </w:p>
    <w:p w14:paraId="7EC39901" w14:textId="769D5075" w:rsidR="00A0335E" w:rsidRDefault="00A0335E" w:rsidP="00A0335E">
      <w:r>
        <w:t xml:space="preserve">Because of higher overall concordance and high PPA between </w:t>
      </w:r>
      <w:r w:rsidR="00F55BC0">
        <w:t>q</w:t>
      </w:r>
      <w:r>
        <w:t>PCR (</w:t>
      </w:r>
      <w:r w:rsidR="00F55BC0">
        <w:t xml:space="preserve">real-time </w:t>
      </w:r>
      <w:r>
        <w:t xml:space="preserve">PCR or RT-qPCR or ASO-qPCR) and </w:t>
      </w:r>
      <w:proofErr w:type="spellStart"/>
      <w:r w:rsidR="002E574C">
        <w:t>mpFC</w:t>
      </w:r>
      <w:proofErr w:type="spellEnd"/>
      <w:r w:rsidR="002E574C">
        <w:t>,</w:t>
      </w:r>
      <w:r>
        <w:t xml:space="preserve"> along with a relatively lower NPA, the two technologies may be complementary to each other in MRD detection, with a </w:t>
      </w:r>
      <w:r w:rsidR="00F55BC0">
        <w:t>q</w:t>
      </w:r>
      <w:r>
        <w:t xml:space="preserve">PCR technique (qPCR or RT-qPCR or ASO-qPCR) better able to exclude MRD negatives than an </w:t>
      </w:r>
      <w:proofErr w:type="spellStart"/>
      <w:r>
        <w:t>mpFC</w:t>
      </w:r>
      <w:proofErr w:type="spellEnd"/>
      <w:r>
        <w:t xml:space="preserve">. These results were specifically observed on day 15 or end of induction and late in the therapy cycle (for example after </w:t>
      </w:r>
      <w:r w:rsidRPr="00A02D59">
        <w:t xml:space="preserve">haematopoietic stem cell transplant (HSCT) </w:t>
      </w:r>
      <w:r>
        <w:t>or day 106), at a higher sensitivity threshold for MRD detection, in patients with B-ALL.</w:t>
      </w:r>
    </w:p>
    <w:p w14:paraId="619BAEBE" w14:textId="2E708619" w:rsidR="00684818" w:rsidRDefault="00684818" w:rsidP="00684818">
      <w:r>
        <w:t xml:space="preserve">Studies comparing NGS and </w:t>
      </w:r>
      <w:proofErr w:type="spellStart"/>
      <w:r>
        <w:t>mpFC</w:t>
      </w:r>
      <w:proofErr w:type="spellEnd"/>
      <w:r>
        <w:t xml:space="preserve"> reported an average PPA of 99%, NPA of 62% and concordance of 63%. The low concordance and high PPA, especially at higher MRD detection sensitivity thresholds of NGS, compared with </w:t>
      </w:r>
      <w:proofErr w:type="spellStart"/>
      <w:r>
        <w:t>mpFC</w:t>
      </w:r>
      <w:proofErr w:type="spellEnd"/>
      <w:r>
        <w:t>,</w:t>
      </w:r>
      <w:r w:rsidRPr="00211C06">
        <w:t xml:space="preserve"> </w:t>
      </w:r>
      <w:r w:rsidR="00A0335E">
        <w:t xml:space="preserve">suggests that NGS may be superior to </w:t>
      </w:r>
      <w:proofErr w:type="spellStart"/>
      <w:r w:rsidR="00A0335E">
        <w:t>mpFC</w:t>
      </w:r>
      <w:proofErr w:type="spellEnd"/>
      <w:r w:rsidR="00A0335E">
        <w:t xml:space="preserve"> in detecting MRD at higher sensitivity thresholds.</w:t>
      </w:r>
      <w:r>
        <w:t xml:space="preserve">, </w:t>
      </w:r>
    </w:p>
    <w:p w14:paraId="2C8B9BE5" w14:textId="35C19713" w:rsidR="00684818" w:rsidRPr="001A6C5A" w:rsidRDefault="00684818" w:rsidP="00684818">
      <w:r>
        <w:lastRenderedPageBreak/>
        <w:t xml:space="preserve">Studies comparing NGS and </w:t>
      </w:r>
      <w:r w:rsidR="00F55BC0">
        <w:t>q</w:t>
      </w:r>
      <w:r>
        <w:t xml:space="preserve">PCR reported an average PPA of 79%, NPA of 78% and concordance of 71%. Overall, the evidence was not conclusive on whether NGS performs better or worse than </w:t>
      </w:r>
      <w:r w:rsidR="00F55BC0">
        <w:t>q</w:t>
      </w:r>
      <w:r>
        <w:t xml:space="preserve">PCR in detecting MRD. More robust evidence is required to conclude if NGS performs better or worse than </w:t>
      </w:r>
      <w:r w:rsidR="00F55BC0">
        <w:t>q</w:t>
      </w:r>
      <w:r>
        <w:t>PCR in detecting MRD.</w:t>
      </w:r>
    </w:p>
    <w:p w14:paraId="1B7F7E58" w14:textId="126583A7" w:rsidR="00FB37E1" w:rsidRPr="008036A3" w:rsidRDefault="00FB37E1" w:rsidP="00082928">
      <w:pPr>
        <w:pStyle w:val="Heading4"/>
        <w:rPr>
          <w:lang w:eastAsia="en-AU"/>
        </w:rPr>
      </w:pPr>
      <w:r>
        <w:rPr>
          <w:lang w:eastAsia="en-AU"/>
        </w:rPr>
        <w:t>Prognostic accuracy</w:t>
      </w:r>
    </w:p>
    <w:p w14:paraId="4A65DC0D" w14:textId="2DD53517" w:rsidR="00FB37E1" w:rsidRPr="00B15978" w:rsidRDefault="00D6769A" w:rsidP="00FB37E1">
      <w:r>
        <w:t>The assessment of prognostic accuracy of MRD testing was approached as an overview of systematic reviews</w:t>
      </w:r>
      <w:r w:rsidR="001D2E13">
        <w:t>.</w:t>
      </w:r>
      <w:r>
        <w:t xml:space="preserve"> </w:t>
      </w:r>
      <w:r w:rsidR="00FB37E1">
        <w:t xml:space="preserve">Due to the heterogeneity in populations, MRD detection techniques, detection thresholds and timepoints, evidence from the five included systematic reviews was only </w:t>
      </w:r>
      <w:r w:rsidR="00A0335E">
        <w:t xml:space="preserve">synthesised </w:t>
      </w:r>
      <w:r w:rsidR="00FB37E1">
        <w:t>qualitatively.</w:t>
      </w:r>
    </w:p>
    <w:p w14:paraId="21273433" w14:textId="1D4EA1C3" w:rsidR="001D2E13" w:rsidRPr="00B15978" w:rsidRDefault="001D2E13" w:rsidP="00FB37E1">
      <w:r>
        <w:t>Five systematic reviews were identified</w:t>
      </w:r>
      <w:r w:rsidR="00A20A3C">
        <w:t>:</w:t>
      </w:r>
      <w:r w:rsidR="00E302F0">
        <w:t xml:space="preserve"> one </w:t>
      </w:r>
      <w:r w:rsidR="00BE73C4">
        <w:t xml:space="preserve">for children and young adults, </w:t>
      </w:r>
      <w:r w:rsidR="00A20A3C">
        <w:t>one</w:t>
      </w:r>
      <w:r w:rsidR="00BE73C4">
        <w:t xml:space="preserve"> for adult population and </w:t>
      </w:r>
      <w:r w:rsidR="00A20A3C">
        <w:t>three</w:t>
      </w:r>
      <w:r w:rsidR="00BE73C4">
        <w:t xml:space="preserve"> for mixed paediatric and adult populations. Two of the reviews focused specifically on the prognostic </w:t>
      </w:r>
      <w:r w:rsidR="00DE418A">
        <w:t>effect</w:t>
      </w:r>
      <w:r w:rsidR="00BE73C4">
        <w:t xml:space="preserve"> of </w:t>
      </w:r>
      <w:r w:rsidR="0098283D">
        <w:t>pre-</w:t>
      </w:r>
      <w:r w:rsidR="00A0335E">
        <w:t xml:space="preserve">HSCT </w:t>
      </w:r>
      <w:r w:rsidR="00BE73C4">
        <w:t xml:space="preserve">MRD testing </w:t>
      </w:r>
      <w:r w:rsidR="0098283D">
        <w:t>on health outcomes after</w:t>
      </w:r>
      <w:r w:rsidR="004F7DAF">
        <w:t xml:space="preserve"> </w:t>
      </w:r>
      <w:r w:rsidR="00A0335E">
        <w:t>HSCT</w:t>
      </w:r>
      <w:r w:rsidR="0098283D">
        <w:t>.</w:t>
      </w:r>
    </w:p>
    <w:p w14:paraId="40B7C813" w14:textId="3D39B9C2" w:rsidR="00FB37E1" w:rsidRPr="00B15978" w:rsidRDefault="00FB37E1" w:rsidP="00FB37E1">
      <w:r>
        <w:t xml:space="preserve">All five identified systematic reviews reported that MRD assessment had an independent prognostic value, and MRD </w:t>
      </w:r>
      <w:r w:rsidR="00A0335E">
        <w:t xml:space="preserve">positive patients </w:t>
      </w:r>
      <w:r>
        <w:t>had worse health outcomes than patients without MRD, even when measured in different populations (children and adults, B-</w:t>
      </w:r>
      <w:proofErr w:type="gramStart"/>
      <w:r>
        <w:t>cell</w:t>
      </w:r>
      <w:proofErr w:type="gramEnd"/>
      <w:r>
        <w:t xml:space="preserve"> and T-cell ALL, </w:t>
      </w:r>
      <w:r w:rsidRPr="002C38F1">
        <w:rPr>
          <w:i/>
        </w:rPr>
        <w:t>de novo</w:t>
      </w:r>
      <w:r>
        <w:t xml:space="preserve"> and relapsed/refractory disease), across different timepoints and regardless of treatment administered.</w:t>
      </w:r>
    </w:p>
    <w:p w14:paraId="273E3F34" w14:textId="3AC9EB2D" w:rsidR="00684818" w:rsidRPr="008036A3" w:rsidRDefault="00684818" w:rsidP="00082928">
      <w:pPr>
        <w:pStyle w:val="Heading4"/>
        <w:rPr>
          <w:lang w:eastAsia="en-AU"/>
        </w:rPr>
      </w:pPr>
      <w:r>
        <w:rPr>
          <w:lang w:eastAsia="en-AU"/>
        </w:rPr>
        <w:t>Predictive accuracy</w:t>
      </w:r>
    </w:p>
    <w:p w14:paraId="3465C939" w14:textId="36C937B1" w:rsidR="006E4A7E" w:rsidRPr="00082928" w:rsidRDefault="006E4A7E" w:rsidP="00082928">
      <w:pPr>
        <w:pStyle w:val="Heading3"/>
        <w:rPr>
          <w:rStyle w:val="Emphasis"/>
          <w:i w:val="0"/>
          <w:iCs w:val="0"/>
        </w:rPr>
      </w:pPr>
      <w:bookmarkStart w:id="37" w:name="_Toc121906373"/>
      <w:r w:rsidRPr="00082928">
        <w:rPr>
          <w:rStyle w:val="Emphasis"/>
          <w:i w:val="0"/>
          <w:iCs w:val="0"/>
        </w:rPr>
        <w:t>Linked evidence of change of management</w:t>
      </w:r>
      <w:bookmarkEnd w:id="37"/>
    </w:p>
    <w:p w14:paraId="430069A4" w14:textId="1F8A99EF" w:rsidR="00C464B5" w:rsidRDefault="00C464B5" w:rsidP="00C464B5">
      <w:r>
        <w:t xml:space="preserve">The role of MRD testing in ALL clinical practice guidelines </w:t>
      </w:r>
      <w:r w:rsidR="00A0335E">
        <w:t xml:space="preserve">for patients with ALL </w:t>
      </w:r>
      <w:r>
        <w:t>is well established (</w:t>
      </w:r>
      <w:r>
        <w:rPr>
          <w:rFonts w:eastAsia="Times New Roman" w:cs="Arial"/>
          <w:snapToGrid w:val="0"/>
        </w:rPr>
        <w:t xml:space="preserve">e.g., NCCN </w:t>
      </w:r>
      <w:r w:rsidR="00654C1E">
        <w:rPr>
          <w:rFonts w:eastAsia="Times New Roman" w:cs="Arial"/>
          <w:snapToGrid w:val="0"/>
        </w:rPr>
        <w:t>Guidelines for ALL</w:t>
      </w:r>
      <w:r w:rsidR="00EB5AD2">
        <w:rPr>
          <w:rStyle w:val="FootnoteReference"/>
          <w:rFonts w:eastAsia="Times New Roman" w:cs="Arial"/>
          <w:snapToGrid w:val="0"/>
        </w:rPr>
        <w:footnoteReference w:id="10"/>
      </w:r>
      <w:r>
        <w:rPr>
          <w:rFonts w:eastAsia="Times New Roman" w:cs="Arial"/>
          <w:snapToGrid w:val="0"/>
        </w:rPr>
        <w:t>, ESMO guidelines for ALL</w:t>
      </w:r>
      <w:r w:rsidR="005C7A5A">
        <w:rPr>
          <w:rFonts w:eastAsia="Times New Roman" w:cs="Arial"/>
          <w:snapToGrid w:val="0"/>
        </w:rPr>
        <w:fldChar w:fldCharType="begin"/>
      </w:r>
      <w:r w:rsidR="005C7A5A">
        <w:rPr>
          <w:rFonts w:eastAsia="Times New Roman" w:cs="Arial"/>
          <w:snapToGrid w:val="0"/>
        </w:rPr>
        <w:instrText xml:space="preserve"> ADDIN EN.CITE &lt;EndNote&gt;&lt;Cite&gt;&lt;Author&gt;Hoelzer&lt;/Author&gt;&lt;Year&gt;2016&lt;/Year&gt;&lt;RecNum&gt;434&lt;/RecNum&gt;&lt;DisplayText&gt;(Hoelzer et al., 2016)&lt;/DisplayText&gt;&lt;record&gt;&lt;rec-number&gt;434&lt;/rec-number&gt;&lt;foreign-keys&gt;&lt;key app="EN" db-id="095wrfpz6de5sxe9zptpvwvox2zev2fs0p9z" timestamp="1667971206"&gt;434&lt;/key&gt;&lt;/foreign-keys&gt;&lt;ref-type name="Journal Article"&gt;17&lt;/ref-type&gt;&lt;contributors&gt;&lt;authors&gt;&lt;author&gt;Hoelzer, D.&lt;/author&gt;&lt;author&gt;Bassan, R.&lt;/author&gt;&lt;author&gt;Dombret, H.&lt;/author&gt;&lt;author&gt;Fielding, A.&lt;/author&gt;&lt;author&gt;Ribera, J. M.&lt;/author&gt;&lt;author&gt;Buske, C.&lt;/author&gt;&lt;/authors&gt;&lt;/contributors&gt;&lt;auth-address&gt;ONKOLOGIKUM Frankfurt am Museumsufer, Frankfurt, Germany.&amp;#xD;Hematology Unit, Ospedale dell&amp;apos;Angelo e Ospedale SS. Giovanni e Paolo, Mestre-Venezia, Italy.&amp;#xD;Institut Universitaire d&amp;apos;Hematologie Hopital St Louis, Paris, France.&amp;#xD;Cancer Institute, University College London, London, UK.&amp;#xD;Department of Clinical Hematology, ICO-Hospital Germans Trias i Pujol, Jose Carreras Research Institute, Universitat Autonoma de Barcelona, Barcelona, Spain.&amp;#xD;CCC Ulm, Institut für Experimentelle Tumorforschung, Universitätsklinikum Ulm, Ulm, Germany.&lt;/auth-address&gt;&lt;titles&gt;&lt;title&gt;Acute lymphoblastic leukaemia in adult patients: ESMO Clinical Practice Guidelines for diagnosis, treatment and follow-up&lt;/title&gt;&lt;secondary-title&gt;Ann Oncol&lt;/secondary-title&gt;&lt;/titles&gt;&lt;periodical&gt;&lt;full-title&gt;Ann Oncol&lt;/full-title&gt;&lt;/periodical&gt;&lt;pages&gt;v69-v82&lt;/pages&gt;&lt;volume&gt;27&lt;/volume&gt;&lt;number&gt;suppl 5&lt;/number&gt;&lt;edition&gt;2016/04/09&lt;/edition&gt;&lt;dates&gt;&lt;year&gt;2016&lt;/year&gt;&lt;pub-dates&gt;&lt;date&gt;Sep&lt;/date&gt;&lt;/pub-dates&gt;&lt;/dates&gt;&lt;isbn&gt;0923-7534&lt;/isbn&gt;&lt;accession-</w:instrText>
      </w:r>
      <w:r w:rsidR="005C7A5A">
        <w:rPr>
          <w:rFonts w:eastAsia="Times New Roman" w:cs="Arial"/>
          <w:snapToGrid w:val="0"/>
        </w:rPr>
        <w:lastRenderedPageBreak/>
        <w:instrText>num&gt;27056999&lt;/accession-num&gt;&lt;urls&gt;&lt;/urls&gt;&lt;electronic-resource-num&gt;10.1093/annonc/mdw025&lt;/electronic-resource-num&gt;&lt;remote-database-provider&gt;NLM&lt;/remote-database-provider&gt;&lt;language&gt;eng&lt;/language&gt;&lt;/record&gt;&lt;/Cite&gt;&lt;/EndNote&gt;</w:instrText>
      </w:r>
      <w:r w:rsidR="005C7A5A">
        <w:rPr>
          <w:rFonts w:eastAsia="Times New Roman" w:cs="Arial"/>
          <w:snapToGrid w:val="0"/>
        </w:rPr>
        <w:fldChar w:fldCharType="separate"/>
      </w:r>
      <w:r w:rsidR="005A38FF">
        <w:rPr>
          <w:rStyle w:val="FootnoteReference"/>
          <w:rFonts w:eastAsia="Times New Roman" w:cs="Arial"/>
          <w:snapToGrid w:val="0"/>
        </w:rPr>
        <w:footnoteReference w:id="11"/>
      </w:r>
      <w:r w:rsidR="005C7A5A">
        <w:rPr>
          <w:rFonts w:eastAsia="Times New Roman" w:cs="Arial"/>
          <w:snapToGrid w:val="0"/>
        </w:rPr>
        <w:fldChar w:fldCharType="end"/>
      </w:r>
      <w:r>
        <w:rPr>
          <w:rFonts w:eastAsia="Times New Roman" w:cs="Arial"/>
          <w:snapToGrid w:val="0"/>
        </w:rPr>
        <w:t xml:space="preserve">, </w:t>
      </w:r>
      <w:proofErr w:type="spellStart"/>
      <w:r>
        <w:rPr>
          <w:rFonts w:eastAsia="Times New Roman" w:cs="Arial"/>
          <w:snapToGrid w:val="0"/>
        </w:rPr>
        <w:t>EuroMRD</w:t>
      </w:r>
      <w:proofErr w:type="spellEnd"/>
      <w:r w:rsidR="008862D5">
        <w:rPr>
          <w:rStyle w:val="FootnoteReference"/>
          <w:rFonts w:eastAsia="Times New Roman" w:cs="Arial"/>
          <w:snapToGrid w:val="0"/>
        </w:rPr>
        <w:footnoteReference w:id="12"/>
      </w:r>
      <w:r w:rsidR="00EB5AD2">
        <w:rPr>
          <w:rFonts w:eastAsia="Times New Roman" w:cs="Arial"/>
          <w:snapToGrid w:val="0"/>
        </w:rPr>
        <w:t>)</w:t>
      </w:r>
      <w:r w:rsidR="005C7A5A">
        <w:rPr>
          <w:rFonts w:eastAsia="Times New Roman" w:cs="Arial"/>
          <w:snapToGrid w:val="0"/>
        </w:rPr>
        <w:fldChar w:fldCharType="begin">
          <w:fldData xml:space="preserve">PEVuZE5vdGU+PENpdGU+PEF1dGhvcj52YW4gZGVyIFZlbGRlbjwvQXV0aG9yPjxZZWFyPjIwMDc8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</w:fldData>
        </w:fldChar>
      </w:r>
      <w:r w:rsidR="005C7A5A">
        <w:rPr>
          <w:rFonts w:eastAsia="Times New Roman" w:cs="Arial"/>
          <w:snapToGrid w:val="0"/>
        </w:rPr>
        <w:instrText xml:space="preserve"> ADDIN EN.CITE </w:instrText>
      </w:r>
      <w:r w:rsidR="005C7A5A">
        <w:rPr>
          <w:rFonts w:eastAsia="Times New Roman" w:cs="Arial"/>
          <w:snapToGrid w:val="0"/>
        </w:rPr>
        <w:fldChar w:fldCharType="begin">
          <w:fldData xml:space="preserve">PEVuZE5vdGU+PENpdGU+PEF1dGhvcj52YW4gZGVyIFZlbGRlbjwvQXV0aG9yPjxZZWFyPjIwMDc8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</w:fldData>
        </w:fldChar>
      </w:r>
      <w:r w:rsidR="005C7A5A">
        <w:rPr>
          <w:rFonts w:eastAsia="Times New Roman" w:cs="Arial"/>
          <w:snapToGrid w:val="0"/>
        </w:rPr>
        <w:instrText xml:space="preserve"> ADDIN EN.CITE.DATA </w:instrText>
      </w:r>
      <w:r w:rsidR="005C7A5A">
        <w:rPr>
          <w:rFonts w:eastAsia="Times New Roman" w:cs="Arial"/>
          <w:snapToGrid w:val="0"/>
        </w:rPr>
      </w:r>
      <w:r w:rsidR="005C7A5A">
        <w:rPr>
          <w:rFonts w:eastAsia="Times New Roman" w:cs="Arial"/>
          <w:snapToGrid w:val="0"/>
        </w:rPr>
        <w:fldChar w:fldCharType="end"/>
      </w:r>
      <w:r w:rsidR="005C7A5A">
        <w:rPr>
          <w:rFonts w:eastAsia="Times New Roman" w:cs="Arial"/>
          <w:snapToGrid w:val="0"/>
        </w:rPr>
      </w:r>
      <w:r w:rsidR="005C7A5A">
        <w:rPr>
          <w:rFonts w:eastAsia="Times New Roman" w:cs="Arial"/>
          <w:snapToGrid w:val="0"/>
        </w:rPr>
        <w:fldChar w:fldCharType="end"/>
      </w:r>
      <w:r>
        <w:rPr>
          <w:rFonts w:eastAsia="Times New Roman" w:cs="Arial"/>
          <w:snapToGrid w:val="0"/>
        </w:rPr>
        <w:t>. Studies that used MRD assessment to direct treatment (less intensive treatment regimens for patients who achieve MRD negativity to decrease toxicity without compromising survival</w:t>
      </w:r>
      <w:r w:rsidR="00BB1FB7">
        <w:rPr>
          <w:rFonts w:eastAsia="Times New Roman" w:cs="Arial"/>
          <w:snapToGrid w:val="0"/>
        </w:rPr>
        <w:t>,</w:t>
      </w:r>
      <w:r>
        <w:rPr>
          <w:rFonts w:eastAsia="Times New Roman" w:cs="Arial"/>
          <w:snapToGrid w:val="0"/>
        </w:rPr>
        <w:t xml:space="preserve"> and treatment intensification for patients who are </w:t>
      </w:r>
      <w:proofErr w:type="gramStart"/>
      <w:r>
        <w:rPr>
          <w:rFonts w:eastAsia="Times New Roman" w:cs="Arial"/>
          <w:snapToGrid w:val="0"/>
        </w:rPr>
        <w:t>MRD(</w:t>
      </w:r>
      <w:proofErr w:type="gramEnd"/>
      <w:r>
        <w:rPr>
          <w:rFonts w:eastAsia="Times New Roman" w:cs="Arial"/>
          <w:snapToGrid w:val="0"/>
        </w:rPr>
        <w:t>+) to improve their survival</w:t>
      </w:r>
      <w:r w:rsidR="00BB1FB7">
        <w:rPr>
          <w:rFonts w:eastAsia="Times New Roman" w:cs="Arial"/>
          <w:snapToGrid w:val="0"/>
        </w:rPr>
        <w:t>)</w:t>
      </w:r>
      <w:r>
        <w:rPr>
          <w:rFonts w:eastAsia="Times New Roman" w:cs="Arial"/>
          <w:snapToGrid w:val="0"/>
        </w:rPr>
        <w:t xml:space="preserve"> are discussed in Direct from test to health outcomes evidence and in Linked evidence of health outcomes.</w:t>
      </w:r>
    </w:p>
    <w:p w14:paraId="6903DF18" w14:textId="37DB45AE" w:rsidR="006E4A7E" w:rsidRPr="00082928" w:rsidRDefault="006E4A7E" w:rsidP="00082928">
      <w:pPr>
        <w:pStyle w:val="Heading3"/>
        <w:rPr>
          <w:rStyle w:val="Emphasis"/>
          <w:i w:val="0"/>
          <w:iCs w:val="0"/>
        </w:rPr>
      </w:pPr>
      <w:bookmarkStart w:id="38" w:name="_Toc121906374"/>
      <w:r w:rsidRPr="00082928">
        <w:rPr>
          <w:rStyle w:val="Emphasis"/>
          <w:i w:val="0"/>
          <w:iCs w:val="0"/>
        </w:rPr>
        <w:t>Linked evidence of health outcomes</w:t>
      </w:r>
      <w:bookmarkEnd w:id="38"/>
    </w:p>
    <w:p w14:paraId="35CE1D19" w14:textId="4AB1DAF6" w:rsidR="009F5477" w:rsidRDefault="00714C9C" w:rsidP="009F5477">
      <w:pPr>
        <w:rPr>
          <w:lang w:eastAsia="en-AU"/>
        </w:rPr>
      </w:pPr>
      <w:r>
        <w:rPr>
          <w:lang w:eastAsia="en-AU"/>
        </w:rPr>
        <w:t>Thirty-seven</w:t>
      </w:r>
      <w:r w:rsidR="009F5477" w:rsidRPr="009F5477">
        <w:rPr>
          <w:lang w:eastAsia="en-AU"/>
        </w:rPr>
        <w:t xml:space="preserve"> studies met the inclusion criteria for assessing evidence </w:t>
      </w:r>
      <w:r w:rsidR="00BB1FB7">
        <w:rPr>
          <w:lang w:eastAsia="en-AU"/>
        </w:rPr>
        <w:t>of changes in</w:t>
      </w:r>
      <w:r w:rsidR="00BB1FB7" w:rsidRPr="009F5477">
        <w:rPr>
          <w:lang w:eastAsia="en-AU"/>
        </w:rPr>
        <w:t xml:space="preserve"> </w:t>
      </w:r>
      <w:r w:rsidR="009F5477" w:rsidRPr="009F5477">
        <w:rPr>
          <w:lang w:eastAsia="en-AU"/>
        </w:rPr>
        <w:t>health outcomes resulting from changes in management (e.g</w:t>
      </w:r>
      <w:r w:rsidR="003D7B6E" w:rsidRPr="009F5477">
        <w:rPr>
          <w:lang w:eastAsia="en-AU"/>
        </w:rPr>
        <w:t>.,</w:t>
      </w:r>
      <w:r w:rsidR="009F5477" w:rsidRPr="009F5477">
        <w:rPr>
          <w:lang w:eastAsia="en-AU"/>
        </w:rPr>
        <w:t xml:space="preserve"> survival, rate of remission) and changes in treatment strategies based on MRD testing</w:t>
      </w:r>
      <w:r w:rsidR="00BB1FB7">
        <w:rPr>
          <w:lang w:eastAsia="en-AU"/>
        </w:rPr>
        <w:t xml:space="preserve"> compared</w:t>
      </w:r>
      <w:r w:rsidR="009F5477" w:rsidRPr="009F5477">
        <w:rPr>
          <w:lang w:eastAsia="en-AU"/>
        </w:rPr>
        <w:t xml:space="preserve"> with </w:t>
      </w:r>
      <w:r w:rsidR="00BB1FB7">
        <w:rPr>
          <w:lang w:eastAsia="en-AU"/>
        </w:rPr>
        <w:t>no MRD testing</w:t>
      </w:r>
      <w:r w:rsidR="009F5477" w:rsidRPr="009F5477">
        <w:rPr>
          <w:lang w:eastAsia="en-AU"/>
        </w:rPr>
        <w:t>.</w:t>
      </w:r>
    </w:p>
    <w:p w14:paraId="1B8C7416" w14:textId="2DF0F9BC" w:rsidR="00BB1FB7" w:rsidRPr="009F5477" w:rsidRDefault="00BB1FB7" w:rsidP="00BB1FB7">
      <w:pPr>
        <w:rPr>
          <w:lang w:eastAsia="en-AU"/>
        </w:rPr>
      </w:pPr>
      <w:r>
        <w:t xml:space="preserve">Within the identified studies the description of the comparative arm to MRD testing was mixed some studies explicitly stated morphological assessment while others alluded to this comparison. As morphological assessment is a part of NCCN risk assessment </w:t>
      </w:r>
      <w:r w:rsidR="008862D5">
        <w:rPr>
          <w:rStyle w:val="FootnoteReference"/>
        </w:rPr>
        <w:footnoteReference w:id="13"/>
      </w:r>
      <w:r>
        <w:t xml:space="preserve"> any study that reported NCCN risk stratification and reported a no MRD testing arm was assumed to have completed morphological assessment.</w:t>
      </w:r>
    </w:p>
    <w:p w14:paraId="3F3F193B" w14:textId="58ACF6B5" w:rsidR="009F5477" w:rsidRPr="009F5477" w:rsidRDefault="00714C9C" w:rsidP="009911BE">
      <w:pPr>
        <w:pStyle w:val="ListParagraph"/>
        <w:numPr>
          <w:ilvl w:val="0"/>
          <w:numId w:val="13"/>
        </w:numPr>
        <w:rPr>
          <w:lang w:eastAsia="en-AU"/>
        </w:rPr>
      </w:pPr>
      <w:r>
        <w:rPr>
          <w:lang w:eastAsia="en-AU"/>
        </w:rPr>
        <w:t>Five studies</w:t>
      </w:r>
      <w:r w:rsidR="009F5477" w:rsidRPr="009F5477">
        <w:rPr>
          <w:lang w:eastAsia="en-AU"/>
        </w:rPr>
        <w:t xml:space="preserve"> compared (</w:t>
      </w:r>
      <w:proofErr w:type="spellStart"/>
      <w:r w:rsidR="009F5477" w:rsidRPr="009F5477">
        <w:rPr>
          <w:lang w:eastAsia="en-AU"/>
        </w:rPr>
        <w:t>mpFC</w:t>
      </w:r>
      <w:proofErr w:type="spellEnd"/>
      <w:r w:rsidR="009F5477" w:rsidRPr="009F5477">
        <w:rPr>
          <w:lang w:eastAsia="en-AU"/>
        </w:rPr>
        <w:t xml:space="preserve">) versus </w:t>
      </w:r>
      <w:r w:rsidR="00B654CF">
        <w:rPr>
          <w:lang w:eastAsia="en-AU"/>
        </w:rPr>
        <w:t>q</w:t>
      </w:r>
      <w:r w:rsidR="009F5477" w:rsidRPr="009F5477">
        <w:rPr>
          <w:lang w:eastAsia="en-AU"/>
        </w:rPr>
        <w:t>PCR testing</w:t>
      </w:r>
    </w:p>
    <w:p w14:paraId="72B7BB68" w14:textId="18970A38" w:rsidR="009F5477" w:rsidRPr="009F5477" w:rsidRDefault="00714C9C" w:rsidP="009911BE">
      <w:pPr>
        <w:pStyle w:val="ListParagraph"/>
        <w:numPr>
          <w:ilvl w:val="0"/>
          <w:numId w:val="13"/>
        </w:numPr>
        <w:rPr>
          <w:lang w:eastAsia="en-AU"/>
        </w:rPr>
      </w:pPr>
      <w:r>
        <w:rPr>
          <w:lang w:eastAsia="en-AU"/>
        </w:rPr>
        <w:t>Fourteen studies</w:t>
      </w:r>
      <w:r w:rsidR="009F5477" w:rsidRPr="009F5477">
        <w:rPr>
          <w:lang w:eastAsia="en-AU"/>
        </w:rPr>
        <w:t xml:space="preserve"> compared morphological assessment versus </w:t>
      </w:r>
      <w:proofErr w:type="spellStart"/>
      <w:r w:rsidR="009F5477" w:rsidRPr="009F5477">
        <w:rPr>
          <w:lang w:eastAsia="en-AU"/>
        </w:rPr>
        <w:t>mpFC</w:t>
      </w:r>
      <w:proofErr w:type="spellEnd"/>
      <w:r w:rsidR="009F5477" w:rsidRPr="009F5477">
        <w:rPr>
          <w:lang w:eastAsia="en-AU"/>
        </w:rPr>
        <w:t xml:space="preserve"> or </w:t>
      </w:r>
      <w:r w:rsidR="00B654CF">
        <w:rPr>
          <w:lang w:eastAsia="en-AU"/>
        </w:rPr>
        <w:t>q</w:t>
      </w:r>
      <w:r w:rsidR="009F5477" w:rsidRPr="009F5477">
        <w:rPr>
          <w:lang w:eastAsia="en-AU"/>
        </w:rPr>
        <w:t>PCR testing</w:t>
      </w:r>
    </w:p>
    <w:p w14:paraId="0D9D6FDB" w14:textId="5D615FB1" w:rsidR="009F5477" w:rsidRPr="009F5477" w:rsidRDefault="00714C9C" w:rsidP="009911BE">
      <w:pPr>
        <w:pStyle w:val="ListParagraph"/>
        <w:numPr>
          <w:ilvl w:val="0"/>
          <w:numId w:val="13"/>
        </w:numPr>
        <w:rPr>
          <w:lang w:eastAsia="en-AU"/>
        </w:rPr>
      </w:pPr>
      <w:r>
        <w:rPr>
          <w:lang w:eastAsia="en-AU"/>
        </w:rPr>
        <w:t>Four studies</w:t>
      </w:r>
      <w:r w:rsidR="009F5477" w:rsidRPr="009F5477">
        <w:rPr>
          <w:lang w:eastAsia="en-AU"/>
        </w:rPr>
        <w:t xml:space="preserve"> compared NGS versus </w:t>
      </w:r>
      <w:proofErr w:type="spellStart"/>
      <w:r w:rsidR="009F5477" w:rsidRPr="009F5477">
        <w:rPr>
          <w:lang w:eastAsia="en-AU"/>
        </w:rPr>
        <w:t>mpFC</w:t>
      </w:r>
      <w:proofErr w:type="spellEnd"/>
      <w:r w:rsidR="00DD4CDB">
        <w:rPr>
          <w:lang w:eastAsia="en-AU"/>
        </w:rPr>
        <w:t xml:space="preserve"> or </w:t>
      </w:r>
      <w:r w:rsidR="00143763">
        <w:rPr>
          <w:lang w:eastAsia="en-AU"/>
        </w:rPr>
        <w:t>RT</w:t>
      </w:r>
      <w:r w:rsidR="006C7C02">
        <w:rPr>
          <w:lang w:eastAsia="en-AU"/>
        </w:rPr>
        <w:t>-</w:t>
      </w:r>
      <w:r w:rsidR="00DD4CDB">
        <w:rPr>
          <w:lang w:eastAsia="en-AU"/>
        </w:rPr>
        <w:t>q</w:t>
      </w:r>
      <w:r w:rsidR="00DD4CDB" w:rsidRPr="009F5477">
        <w:rPr>
          <w:lang w:eastAsia="en-AU"/>
        </w:rPr>
        <w:t>PCR testing</w:t>
      </w:r>
      <w:r w:rsidR="00DD4CDB" w:rsidRPr="009F5477" w:rsidDel="00BB1FB7">
        <w:rPr>
          <w:lang w:eastAsia="en-AU"/>
        </w:rPr>
        <w:t xml:space="preserve"> </w:t>
      </w:r>
    </w:p>
    <w:p w14:paraId="6BD8EDC3" w14:textId="68C61043" w:rsidR="009F5477" w:rsidRPr="009F5477" w:rsidRDefault="00714C9C" w:rsidP="009911BE">
      <w:pPr>
        <w:pStyle w:val="ListParagraph"/>
        <w:numPr>
          <w:ilvl w:val="0"/>
          <w:numId w:val="13"/>
        </w:numPr>
        <w:rPr>
          <w:lang w:eastAsia="en-AU"/>
        </w:rPr>
      </w:pPr>
      <w:r>
        <w:rPr>
          <w:lang w:eastAsia="en-AU"/>
        </w:rPr>
        <w:t>Thirteen studies</w:t>
      </w:r>
      <w:r w:rsidRPr="009F5477">
        <w:rPr>
          <w:lang w:eastAsia="en-AU"/>
        </w:rPr>
        <w:t xml:space="preserve"> </w:t>
      </w:r>
      <w:r w:rsidR="00BB1FB7" w:rsidRPr="009F5477">
        <w:rPr>
          <w:lang w:eastAsia="en-AU"/>
        </w:rPr>
        <w:t>report</w:t>
      </w:r>
      <w:r w:rsidR="00BB1FB7">
        <w:rPr>
          <w:lang w:eastAsia="en-AU"/>
        </w:rPr>
        <w:t>ed</w:t>
      </w:r>
      <w:r w:rsidR="00BB1FB7" w:rsidRPr="009F5477">
        <w:rPr>
          <w:lang w:eastAsia="en-AU"/>
        </w:rPr>
        <w:t xml:space="preserve"> </w:t>
      </w:r>
      <w:r w:rsidR="009F5477" w:rsidRPr="009F5477">
        <w:rPr>
          <w:lang w:eastAsia="en-AU"/>
        </w:rPr>
        <w:t>changes in treatment strategies based on MRD testing</w:t>
      </w:r>
    </w:p>
    <w:p w14:paraId="7C263D6F" w14:textId="1444F19D" w:rsidR="009F5477" w:rsidRPr="009F5477" w:rsidRDefault="00714C9C" w:rsidP="009911BE">
      <w:pPr>
        <w:pStyle w:val="ListParagraph"/>
        <w:numPr>
          <w:ilvl w:val="0"/>
          <w:numId w:val="13"/>
        </w:numPr>
        <w:rPr>
          <w:lang w:eastAsia="en-AU"/>
        </w:rPr>
      </w:pPr>
      <w:r>
        <w:rPr>
          <w:lang w:eastAsia="en-AU"/>
        </w:rPr>
        <w:t>One study</w:t>
      </w:r>
      <w:r w:rsidR="009F5477" w:rsidRPr="009F5477">
        <w:rPr>
          <w:lang w:eastAsia="en-AU"/>
        </w:rPr>
        <w:t xml:space="preserve"> reported different testing thresholds for </w:t>
      </w:r>
      <w:proofErr w:type="spellStart"/>
      <w:r w:rsidR="009F5477" w:rsidRPr="009F5477">
        <w:rPr>
          <w:lang w:eastAsia="en-AU"/>
        </w:rPr>
        <w:t>mpFC</w:t>
      </w:r>
      <w:proofErr w:type="spellEnd"/>
      <w:r w:rsidR="009F5477" w:rsidRPr="009F5477">
        <w:rPr>
          <w:lang w:eastAsia="en-AU"/>
        </w:rPr>
        <w:t>.</w:t>
      </w:r>
    </w:p>
    <w:p w14:paraId="620FC53B" w14:textId="31E01C9B" w:rsidR="009F5477" w:rsidRPr="009F5477" w:rsidRDefault="009F5477" w:rsidP="009F5477">
      <w:pPr>
        <w:rPr>
          <w:lang w:eastAsia="en-AU"/>
        </w:rPr>
      </w:pPr>
      <w:r w:rsidRPr="001F1A0D">
        <w:rPr>
          <w:lang w:eastAsia="en-AU"/>
        </w:rPr>
        <w:t>Articles included 1</w:t>
      </w:r>
      <w:r w:rsidR="00CB5958" w:rsidRPr="001F1A0D">
        <w:rPr>
          <w:lang w:eastAsia="en-AU"/>
        </w:rPr>
        <w:t>8</w:t>
      </w:r>
      <w:r w:rsidRPr="001F1A0D">
        <w:rPr>
          <w:lang w:eastAsia="en-AU"/>
        </w:rPr>
        <w:t xml:space="preserve"> paediatric, </w:t>
      </w:r>
      <w:r w:rsidR="00F6292E" w:rsidRPr="001F1A0D">
        <w:rPr>
          <w:lang w:eastAsia="en-AU"/>
        </w:rPr>
        <w:t>five</w:t>
      </w:r>
      <w:r w:rsidRPr="001F1A0D">
        <w:rPr>
          <w:lang w:eastAsia="en-AU"/>
        </w:rPr>
        <w:t xml:space="preserve"> paediatric and adults,</w:t>
      </w:r>
      <w:r w:rsidR="00C4490C">
        <w:rPr>
          <w:lang w:eastAsia="en-AU"/>
        </w:rPr>
        <w:t xml:space="preserve"> </w:t>
      </w:r>
      <w:r w:rsidRPr="001F1A0D">
        <w:rPr>
          <w:lang w:eastAsia="en-AU"/>
        </w:rPr>
        <w:t>and 1</w:t>
      </w:r>
      <w:r w:rsidR="006E171C" w:rsidRPr="001F1A0D">
        <w:rPr>
          <w:lang w:eastAsia="en-AU"/>
        </w:rPr>
        <w:t>4</w:t>
      </w:r>
      <w:r w:rsidRPr="001F1A0D">
        <w:rPr>
          <w:lang w:eastAsia="en-AU"/>
        </w:rPr>
        <w:t xml:space="preserve"> adult population</w:t>
      </w:r>
      <w:r w:rsidR="00F6292E" w:rsidRPr="001F1A0D">
        <w:rPr>
          <w:lang w:eastAsia="en-AU"/>
        </w:rPr>
        <w:t xml:space="preserve"> studie</w:t>
      </w:r>
      <w:r w:rsidRPr="001F1A0D">
        <w:rPr>
          <w:lang w:eastAsia="en-AU"/>
        </w:rPr>
        <w:t>s.</w:t>
      </w:r>
    </w:p>
    <w:p w14:paraId="4B1F25ED" w14:textId="41B5428E" w:rsidR="009F5477" w:rsidRPr="009F5477" w:rsidRDefault="009F5477" w:rsidP="009F5477">
      <w:pPr>
        <w:rPr>
          <w:lang w:eastAsia="en-AU"/>
        </w:rPr>
      </w:pPr>
      <w:r w:rsidRPr="009F5477">
        <w:rPr>
          <w:lang w:eastAsia="en-AU"/>
        </w:rPr>
        <w:t xml:space="preserve">Health outcomes, including </w:t>
      </w:r>
      <w:r w:rsidR="00187D1C">
        <w:rPr>
          <w:lang w:eastAsia="en-AU"/>
        </w:rPr>
        <w:t>E</w:t>
      </w:r>
      <w:r w:rsidRPr="009F5477">
        <w:rPr>
          <w:lang w:eastAsia="en-AU"/>
        </w:rPr>
        <w:t>FS</w:t>
      </w:r>
      <w:r w:rsidR="00433921">
        <w:rPr>
          <w:lang w:eastAsia="en-AU"/>
        </w:rPr>
        <w:t xml:space="preserve"> and OS</w:t>
      </w:r>
      <w:r w:rsidRPr="009F5477">
        <w:rPr>
          <w:lang w:eastAsia="en-AU"/>
        </w:rPr>
        <w:t xml:space="preserve">, were more favourable for </w:t>
      </w:r>
      <w:r w:rsidR="00B654CF">
        <w:rPr>
          <w:lang w:eastAsia="en-AU"/>
        </w:rPr>
        <w:t>q</w:t>
      </w:r>
      <w:r w:rsidRPr="009F5477">
        <w:rPr>
          <w:lang w:eastAsia="en-AU"/>
        </w:rPr>
        <w:t>PCR</w:t>
      </w:r>
      <w:r w:rsidR="00C4490C">
        <w:rPr>
          <w:lang w:eastAsia="en-AU"/>
        </w:rPr>
        <w:t xml:space="preserve"> </w:t>
      </w:r>
      <w:r w:rsidRPr="009F5477">
        <w:rPr>
          <w:lang w:eastAsia="en-AU"/>
        </w:rPr>
        <w:t>versus</w:t>
      </w:r>
      <w:r w:rsidR="00C4490C">
        <w:rPr>
          <w:lang w:eastAsia="en-AU"/>
        </w:rPr>
        <w:t xml:space="preserve"> </w:t>
      </w:r>
      <w:proofErr w:type="spellStart"/>
      <w:r w:rsidRPr="009F5477">
        <w:rPr>
          <w:lang w:eastAsia="en-AU"/>
        </w:rPr>
        <w:t>mpFC</w:t>
      </w:r>
      <w:proofErr w:type="spellEnd"/>
      <w:r w:rsidR="00C4490C">
        <w:rPr>
          <w:lang w:eastAsia="en-AU"/>
        </w:rPr>
        <w:t xml:space="preserve"> </w:t>
      </w:r>
      <w:r w:rsidRPr="009F5477">
        <w:rPr>
          <w:lang w:eastAsia="en-AU"/>
        </w:rPr>
        <w:t xml:space="preserve">testing at similar </w:t>
      </w:r>
      <w:r w:rsidR="000B7EC7">
        <w:rPr>
          <w:lang w:eastAsia="en-AU"/>
        </w:rPr>
        <w:t xml:space="preserve">MRD </w:t>
      </w:r>
      <w:r w:rsidRPr="009F5477">
        <w:rPr>
          <w:lang w:eastAsia="en-AU"/>
        </w:rPr>
        <w:t xml:space="preserve">testing </w:t>
      </w:r>
      <w:r w:rsidR="000B7EC7">
        <w:rPr>
          <w:lang w:eastAsia="en-AU"/>
        </w:rPr>
        <w:t xml:space="preserve">detection </w:t>
      </w:r>
      <w:r w:rsidRPr="009F5477">
        <w:rPr>
          <w:lang w:eastAsia="en-AU"/>
        </w:rPr>
        <w:t>thresholds (e.g</w:t>
      </w:r>
      <w:r w:rsidR="00894CED" w:rsidRPr="009F5477">
        <w:rPr>
          <w:lang w:eastAsia="en-AU"/>
        </w:rPr>
        <w:t>.,</w:t>
      </w:r>
      <w:r w:rsidRPr="009F5477">
        <w:rPr>
          <w:lang w:eastAsia="en-AU"/>
        </w:rPr>
        <w:t xml:space="preserve"> 10</w:t>
      </w:r>
      <w:r w:rsidRPr="009F5477">
        <w:rPr>
          <w:vertAlign w:val="superscript"/>
          <w:lang w:eastAsia="en-AU"/>
        </w:rPr>
        <w:t>-3</w:t>
      </w:r>
      <w:r w:rsidRPr="009F5477">
        <w:rPr>
          <w:lang w:eastAsia="en-AU"/>
        </w:rPr>
        <w:t>, 10</w:t>
      </w:r>
      <w:r w:rsidRPr="009F5477">
        <w:rPr>
          <w:vertAlign w:val="superscript"/>
          <w:lang w:eastAsia="en-AU"/>
        </w:rPr>
        <w:t>-4</w:t>
      </w:r>
      <w:r w:rsidRPr="009F5477">
        <w:rPr>
          <w:lang w:eastAsia="en-AU"/>
        </w:rPr>
        <w:t>).</w:t>
      </w:r>
      <w:r w:rsidR="00C4490C">
        <w:rPr>
          <w:lang w:eastAsia="en-AU"/>
        </w:rPr>
        <w:t xml:space="preserve"> Additionally, w</w:t>
      </w:r>
      <w:r w:rsidRPr="009F5477">
        <w:rPr>
          <w:lang w:eastAsia="en-AU"/>
        </w:rPr>
        <w:t>hen MRD positivity was detected later in the treatment pathway, for example, in week 11 versus day 26</w:t>
      </w:r>
      <w:r w:rsidR="00533EB5">
        <w:rPr>
          <w:lang w:eastAsia="en-AU"/>
        </w:rPr>
        <w:t>,</w:t>
      </w:r>
      <w:r w:rsidRPr="009F5477">
        <w:rPr>
          <w:lang w:eastAsia="en-AU"/>
        </w:rPr>
        <w:t xml:space="preserve"> event free and overall survival outcomes were worse.</w:t>
      </w:r>
    </w:p>
    <w:p w14:paraId="04FEC619" w14:textId="205F4FAB" w:rsidR="009F5477" w:rsidRPr="009F5477" w:rsidRDefault="009F5477" w:rsidP="009F5477">
      <w:pPr>
        <w:rPr>
          <w:lang w:eastAsia="en-AU"/>
        </w:rPr>
      </w:pPr>
      <w:r w:rsidRPr="009F5477">
        <w:rPr>
          <w:lang w:eastAsia="en-AU"/>
        </w:rPr>
        <w:t>Studies grouping patients as standard/low risk or with low MRD versus high risk or with high MRD individuals found those in higher risk groups had significantly worse survival outcomes.</w:t>
      </w:r>
    </w:p>
    <w:p w14:paraId="0D8A54D8" w14:textId="148C19A0" w:rsidR="00C4490C" w:rsidRDefault="00C4490C" w:rsidP="00433921">
      <w:pPr>
        <w:spacing w:before="0"/>
      </w:pPr>
      <w:r>
        <w:t>Health outcomes including EFS, were more favourable for qPCR/</w:t>
      </w:r>
      <w:proofErr w:type="spellStart"/>
      <w:r>
        <w:t>mpFC</w:t>
      </w:r>
      <w:proofErr w:type="spellEnd"/>
      <w:r>
        <w:t xml:space="preserve"> testing at similar </w:t>
      </w:r>
      <w:r w:rsidR="006C7C02">
        <w:t xml:space="preserve">MRD </w:t>
      </w:r>
      <w:r>
        <w:t xml:space="preserve">testing </w:t>
      </w:r>
      <w:r w:rsidR="006C7C02">
        <w:t xml:space="preserve">detection </w:t>
      </w:r>
      <w:r w:rsidRPr="000B7EC7">
        <w:t>thresholds (</w:t>
      </w:r>
      <w:proofErr w:type="gramStart"/>
      <w:r w:rsidRPr="000B7EC7">
        <w:t>e.g.</w:t>
      </w:r>
      <w:proofErr w:type="gramEnd"/>
      <w:r w:rsidRPr="000B7EC7">
        <w:t xml:space="preserve"> 10</w:t>
      </w:r>
      <w:r w:rsidRPr="000B7EC7">
        <w:rPr>
          <w:vertAlign w:val="superscript"/>
        </w:rPr>
        <w:t>-3</w:t>
      </w:r>
      <w:r w:rsidRPr="000B7EC7">
        <w:t>, 10</w:t>
      </w:r>
      <w:r w:rsidRPr="000B7EC7">
        <w:rPr>
          <w:vertAlign w:val="superscript"/>
        </w:rPr>
        <w:t>-4</w:t>
      </w:r>
      <w:r w:rsidRPr="000B7EC7">
        <w:t>) compared to bone marrow morphology alone.</w:t>
      </w:r>
    </w:p>
    <w:p w14:paraId="5D3684AB" w14:textId="3CBC95E5" w:rsidR="00433921" w:rsidRPr="004A4BA0" w:rsidRDefault="00C4490C" w:rsidP="00433921">
      <w:pPr>
        <w:spacing w:before="0"/>
        <w:rPr>
          <w:b/>
          <w:bCs/>
        </w:rPr>
      </w:pPr>
      <w:r w:rsidRPr="000B7EC7">
        <w:t xml:space="preserve">Health outcomes including relapse rates for </w:t>
      </w:r>
      <w:proofErr w:type="gramStart"/>
      <w:r w:rsidRPr="000B7EC7">
        <w:t>MRD(</w:t>
      </w:r>
      <w:proofErr w:type="gramEnd"/>
      <w:r w:rsidRPr="000B7EC7">
        <w:t xml:space="preserve">-) patients, were more favourable for NGS versus </w:t>
      </w:r>
      <w:proofErr w:type="spellStart"/>
      <w:r w:rsidRPr="000B7EC7">
        <w:t>mpFC</w:t>
      </w:r>
      <w:proofErr w:type="spellEnd"/>
      <w:r w:rsidRPr="000B7EC7">
        <w:t xml:space="preserve">, however, noting that the NGS </w:t>
      </w:r>
      <w:r w:rsidR="000B7EC7">
        <w:t xml:space="preserve">testing detection </w:t>
      </w:r>
      <w:r w:rsidRPr="000B7EC7">
        <w:t>thresholds were &lt;10</w:t>
      </w:r>
      <w:r w:rsidRPr="000B7EC7">
        <w:rPr>
          <w:vertAlign w:val="superscript"/>
        </w:rPr>
        <w:t>-6</w:t>
      </w:r>
      <w:r w:rsidRPr="000B7EC7">
        <w:t xml:space="preserve"> (more </w:t>
      </w:r>
      <w:r w:rsidRPr="000B7EC7">
        <w:lastRenderedPageBreak/>
        <w:t xml:space="preserve">sensitive) compared to </w:t>
      </w:r>
      <w:proofErr w:type="spellStart"/>
      <w:r w:rsidRPr="000B7EC7">
        <w:t>mpFC</w:t>
      </w:r>
      <w:proofErr w:type="spellEnd"/>
      <w:r w:rsidRPr="000B7EC7">
        <w:t xml:space="preserve"> </w:t>
      </w:r>
      <w:r w:rsidR="000B7EC7">
        <w:t xml:space="preserve">detection </w:t>
      </w:r>
      <w:r w:rsidRPr="000B7EC7">
        <w:t>thresholds of 10</w:t>
      </w:r>
      <w:r w:rsidRPr="000B7EC7">
        <w:rPr>
          <w:vertAlign w:val="superscript"/>
        </w:rPr>
        <w:t xml:space="preserve">-4 </w:t>
      </w:r>
      <w:r w:rsidRPr="000B7EC7">
        <w:t xml:space="preserve">(less sensitive) </w:t>
      </w:r>
      <w:r w:rsidR="008862D5">
        <w:rPr>
          <w:rStyle w:val="FootnoteReference"/>
          <w:rFonts w:cs="Arial"/>
          <w:snapToGrid w:val="0"/>
        </w:rPr>
        <w:footnoteReference w:id="14"/>
      </w:r>
      <w:r w:rsidR="00433921" w:rsidRPr="000B7EC7">
        <w:t xml:space="preserve">Health outcomes including risk of relapse rates and OS, were more favourable for </w:t>
      </w:r>
      <w:proofErr w:type="spellStart"/>
      <w:r w:rsidR="00433921" w:rsidRPr="000B7EC7">
        <w:t>mpFC</w:t>
      </w:r>
      <w:proofErr w:type="spellEnd"/>
      <w:r w:rsidR="00433921" w:rsidRPr="000B7EC7">
        <w:t xml:space="preserve"> or </w:t>
      </w:r>
      <w:r w:rsidR="009E322E" w:rsidRPr="000B7EC7">
        <w:t>RT-</w:t>
      </w:r>
      <w:r w:rsidR="00433921" w:rsidRPr="000B7EC7">
        <w:t>qPCR</w:t>
      </w:r>
      <w:r w:rsidR="000B7EC7" w:rsidRPr="000B7EC7">
        <w:t xml:space="preserve"> v</w:t>
      </w:r>
      <w:r w:rsidR="00433921" w:rsidRPr="000B7EC7">
        <w:t>ersus NGS, when testing thresholds were comparative at 10</w:t>
      </w:r>
      <w:r w:rsidR="00433921" w:rsidRPr="000B7EC7">
        <w:rPr>
          <w:vertAlign w:val="superscript"/>
        </w:rPr>
        <w:t>-4</w:t>
      </w:r>
      <w:r w:rsidR="00433921" w:rsidRPr="000B7EC7">
        <w:t>.</w:t>
      </w:r>
    </w:p>
    <w:p w14:paraId="1882039B" w14:textId="16BC99F5" w:rsidR="001B4EAF" w:rsidRDefault="001B4EAF" w:rsidP="001B4EAF">
      <w:pPr>
        <w:spacing w:before="0"/>
        <w:rPr>
          <w:rFonts w:cs="Arial"/>
          <w:snapToGrid w:val="0"/>
        </w:rPr>
      </w:pPr>
      <w:r>
        <w:rPr>
          <w:rFonts w:cs="Arial"/>
          <w:snapToGrid w:val="0"/>
        </w:rPr>
        <w:t xml:space="preserve">Overall, MRD positivity directed more intense treatments compared to MRD negativity, resulting in </w:t>
      </w:r>
      <w:r w:rsidR="002A2501">
        <w:rPr>
          <w:rFonts w:cs="Arial"/>
          <w:snapToGrid w:val="0"/>
        </w:rPr>
        <w:t>improved</w:t>
      </w:r>
      <w:r w:rsidR="009E322E">
        <w:rPr>
          <w:rFonts w:cs="Arial"/>
          <w:snapToGrid w:val="0"/>
        </w:rPr>
        <w:t xml:space="preserve"> </w:t>
      </w:r>
      <w:r>
        <w:rPr>
          <w:rFonts w:cs="Arial"/>
          <w:snapToGrid w:val="0"/>
        </w:rPr>
        <w:t>outcomes, greater survival benefits and lower likelihood of relapse.</w:t>
      </w:r>
    </w:p>
    <w:p w14:paraId="4F01C995" w14:textId="26692349" w:rsidR="00642185" w:rsidRDefault="00772829" w:rsidP="00642185">
      <w:r w:rsidRPr="00223664">
        <w:rPr>
          <w:b/>
          <w:bCs/>
        </w:rPr>
        <w:t>Clinical claim</w:t>
      </w:r>
    </w:p>
    <w:p w14:paraId="1A259FD1" w14:textId="77777777" w:rsidR="00805676" w:rsidRPr="00CE28E3" w:rsidRDefault="00805676" w:rsidP="00805676">
      <w:r w:rsidRPr="00CE28E3">
        <w:t>The use of</w:t>
      </w:r>
      <w:r>
        <w:t xml:space="preserve"> MRD testing (</w:t>
      </w:r>
      <w:proofErr w:type="spellStart"/>
      <w:r>
        <w:t>mpFC</w:t>
      </w:r>
      <w:proofErr w:type="spellEnd"/>
      <w:r>
        <w:t xml:space="preserve"> or molecular methods) with morphological assessment ± cytogenetic analysis</w:t>
      </w:r>
      <w:r w:rsidRPr="00CE28E3">
        <w:t xml:space="preserve"> </w:t>
      </w:r>
      <w:r w:rsidRPr="00363E6E">
        <w:t>results in superior effectiveness compared with morphological assessment ± cytogenetic analysis alone.</w:t>
      </w:r>
    </w:p>
    <w:p w14:paraId="5C9FFA24" w14:textId="086160FD" w:rsidR="00805676" w:rsidRPr="003251C2" w:rsidRDefault="00805676" w:rsidP="00805676">
      <w:r w:rsidRPr="00CE28E3">
        <w:t xml:space="preserve">The use of </w:t>
      </w:r>
      <w:r>
        <w:t>MRD testing (</w:t>
      </w:r>
      <w:proofErr w:type="spellStart"/>
      <w:r>
        <w:t>mpFC</w:t>
      </w:r>
      <w:proofErr w:type="spellEnd"/>
      <w:r>
        <w:t xml:space="preserve"> or molecular methods) with morphological assessment ± cytogenetic analysis</w:t>
      </w:r>
      <w:r w:rsidRPr="00CE28E3">
        <w:t xml:space="preserve"> results in </w:t>
      </w:r>
      <w:r w:rsidRPr="00363E6E">
        <w:t>non</w:t>
      </w:r>
      <w:r>
        <w:t>-</w:t>
      </w:r>
      <w:r w:rsidRPr="00363E6E">
        <w:t>inferior</w:t>
      </w:r>
      <w:r w:rsidRPr="00CE28E3">
        <w:t xml:space="preserve"> safety compared with</w:t>
      </w:r>
      <w:r>
        <w:t xml:space="preserve"> </w:t>
      </w:r>
      <w:r w:rsidRPr="00363E6E">
        <w:t>morphological assessment ± cytogenetic analysis alone.</w:t>
      </w:r>
    </w:p>
    <w:p w14:paraId="0D09C9E4" w14:textId="687B7B3C" w:rsidR="00772829" w:rsidRPr="00CE28E3" w:rsidRDefault="00C36633" w:rsidP="002A18BE">
      <w:pPr>
        <w:pStyle w:val="Heading2"/>
      </w:pPr>
      <w:bookmarkStart w:id="39" w:name="_Toc118798868"/>
      <w:bookmarkStart w:id="40" w:name="_Toc121906375"/>
      <w:r>
        <w:t>1</w:t>
      </w:r>
      <w:r w:rsidR="00CE68D9">
        <w:t>3</w:t>
      </w:r>
      <w:r>
        <w:t>.</w:t>
      </w:r>
      <w:r>
        <w:tab/>
      </w:r>
      <w:r w:rsidR="00772829" w:rsidRPr="00CE28E3">
        <w:t>Economic evaluation</w:t>
      </w:r>
      <w:bookmarkEnd w:id="39"/>
      <w:bookmarkEnd w:id="40"/>
    </w:p>
    <w:p w14:paraId="099355BD" w14:textId="0C1A1D70" w:rsidR="00D324A7" w:rsidRPr="0047254E" w:rsidRDefault="00D324A7" w:rsidP="00D324A7">
      <w:r>
        <w:t>The economic model assessed MRD testing compared with morphological assessment only by indirectly comparing the survival functions, and hazard rates (i</w:t>
      </w:r>
      <w:r w:rsidR="008618F5">
        <w:t>.</w:t>
      </w:r>
      <w:r>
        <w:t>e</w:t>
      </w:r>
      <w:r w:rsidR="008618F5">
        <w:t>.,</w:t>
      </w:r>
      <w:r>
        <w:t xml:space="preserve"> proportional hazards modelling) of EFS/RFS and OS outcomes based on respective tests and treatments. Up to four lines of treatment were modelled, along with three tests (</w:t>
      </w:r>
      <w:proofErr w:type="spellStart"/>
      <w:r>
        <w:t>mpFC</w:t>
      </w:r>
      <w:proofErr w:type="spellEnd"/>
      <w:r>
        <w:t xml:space="preserve">, NGS, </w:t>
      </w:r>
      <w:r w:rsidR="00BB1FB7">
        <w:t>q</w:t>
      </w:r>
      <w:r>
        <w:t xml:space="preserve">PCR) in both the adult and paediatric populations. The time horizon of the model was 30 years, chosen </w:t>
      </w:r>
      <w:r w:rsidR="00BB1FB7">
        <w:t xml:space="preserve">as this is likely to capture important difference in costs and outcomes, and has been previously accepted in </w:t>
      </w:r>
      <w:r>
        <w:t>PBAC submissions for ALL treatment</w:t>
      </w:r>
      <w:r w:rsidR="00BB1FB7">
        <w:t xml:space="preserve"> (Blinatumomab PBAC PSD, July 2018, July 2019)</w:t>
      </w:r>
      <w:r>
        <w:t xml:space="preserve">. A summary of the economic evaluation is shown in </w:t>
      </w:r>
      <w:r w:rsidR="003C5721">
        <w:fldChar w:fldCharType="begin"/>
      </w:r>
      <w:r w:rsidR="003C5721">
        <w:instrText xml:space="preserve"> REF _Ref118901810 \h </w:instrText>
      </w:r>
      <w:r w:rsidR="003C5721">
        <w:fldChar w:fldCharType="separate"/>
      </w:r>
      <w:r w:rsidR="0003093F" w:rsidRPr="00CE28E3">
        <w:t>Table</w:t>
      </w:r>
      <w:r w:rsidR="0003093F">
        <w:t> </w:t>
      </w:r>
      <w:r w:rsidR="0003093F">
        <w:rPr>
          <w:noProof/>
        </w:rPr>
        <w:t>6</w:t>
      </w:r>
      <w:r w:rsidR="003C5721">
        <w:fldChar w:fldCharType="end"/>
      </w:r>
      <w:r>
        <w:t>.</w:t>
      </w:r>
    </w:p>
    <w:p w14:paraId="7832FEBA" w14:textId="03AEB5A7" w:rsidR="00D324A7" w:rsidRDefault="00D324A7" w:rsidP="00D324A7">
      <w:pPr>
        <w:pStyle w:val="Caption"/>
        <w:tabs>
          <w:tab w:val="left" w:pos="1134"/>
        </w:tabs>
        <w:ind w:left="1134" w:hanging="1134"/>
      </w:pPr>
      <w:bookmarkStart w:id="41" w:name="_Ref69725820"/>
      <w:bookmarkStart w:id="42" w:name="_Ref118901810"/>
      <w:bookmarkStart w:id="43" w:name="_Ref118695360"/>
      <w:bookmarkStart w:id="44" w:name="_Toc121921222"/>
      <w:r w:rsidRPr="00CE28E3">
        <w:lastRenderedPageBreak/>
        <w:t>Table</w:t>
      </w:r>
      <w:r>
        <w:t> </w:t>
      </w:r>
      <w:bookmarkEnd w:id="41"/>
      <w:r w:rsidR="00C107C3" w:rsidRPr="00CE28E3">
        <w:rPr>
          <w:noProof/>
        </w:rPr>
        <w:fldChar w:fldCharType="begin"/>
      </w:r>
      <w:r w:rsidR="00C107C3" w:rsidRPr="00CE28E3">
        <w:rPr>
          <w:noProof/>
        </w:rPr>
        <w:instrText xml:space="preserve"> SEQ Table \* ARABIC </w:instrText>
      </w:r>
      <w:r w:rsidR="00C107C3" w:rsidRPr="00CE28E3">
        <w:rPr>
          <w:noProof/>
        </w:rPr>
        <w:fldChar w:fldCharType="separate"/>
      </w:r>
      <w:r w:rsidR="00A922D7">
        <w:rPr>
          <w:noProof/>
        </w:rPr>
        <w:t>6</w:t>
      </w:r>
      <w:r w:rsidR="00C107C3" w:rsidRPr="00CE28E3">
        <w:rPr>
          <w:noProof/>
        </w:rPr>
        <w:fldChar w:fldCharType="end"/>
      </w:r>
      <w:bookmarkEnd w:id="42"/>
      <w:r w:rsidRPr="00CE28E3">
        <w:tab/>
        <w:t>Summary of the economic evaluation</w:t>
      </w:r>
      <w:bookmarkEnd w:id="43"/>
      <w:bookmarkEnd w:id="44"/>
    </w:p>
    <w:tbl>
      <w:tblPr>
        <w:tblStyle w:val="TableGrid1"/>
        <w:tblW w:w="0" w:type="auto"/>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547"/>
        <w:gridCol w:w="6379"/>
      </w:tblGrid>
      <w:tr w:rsidR="00D324A7" w:rsidRPr="00CE28E3" w14:paraId="3F06C5BC" w14:textId="77777777" w:rsidTr="00EB5AD2">
        <w:trPr>
          <w:cnfStyle w:val="100000000000" w:firstRow="1" w:lastRow="0" w:firstColumn="0" w:lastColumn="0" w:oddVBand="0" w:evenVBand="0" w:oddHBand="0" w:evenHBand="0" w:firstRowFirstColumn="0" w:firstRowLastColumn="0" w:lastRowFirstColumn="0" w:lastRowLastColumn="0"/>
          <w:tblHeader/>
        </w:trPr>
        <w:tc>
          <w:tcPr>
            <w:tcW w:w="2547" w:type="dxa"/>
          </w:tcPr>
          <w:p w14:paraId="4537DC4B" w14:textId="77777777" w:rsidR="00D324A7" w:rsidRPr="000449D1" w:rsidRDefault="00D324A7">
            <w:pPr>
              <w:pStyle w:val="TableHeading"/>
              <w:rPr>
                <w:rFonts w:cs="Courier New"/>
              </w:rPr>
            </w:pPr>
            <w:r w:rsidRPr="000449D1">
              <w:rPr>
                <w:rFonts w:cs="Courier New"/>
              </w:rPr>
              <w:t>Component</w:t>
            </w:r>
          </w:p>
        </w:tc>
        <w:tc>
          <w:tcPr>
            <w:tcW w:w="6379" w:type="dxa"/>
          </w:tcPr>
          <w:p w14:paraId="0B0AF933" w14:textId="77777777" w:rsidR="00D324A7" w:rsidRPr="000449D1" w:rsidRDefault="00D324A7">
            <w:pPr>
              <w:pStyle w:val="TableHeading"/>
              <w:rPr>
                <w:rFonts w:cs="Courier New"/>
              </w:rPr>
            </w:pPr>
            <w:r w:rsidRPr="000449D1">
              <w:rPr>
                <w:rFonts w:cs="Courier New"/>
              </w:rPr>
              <w:t>Description</w:t>
            </w:r>
          </w:p>
        </w:tc>
      </w:tr>
      <w:tr w:rsidR="00D324A7" w:rsidRPr="000449D1" w14:paraId="2560A0F5" w14:textId="77777777" w:rsidTr="00EB5AD2">
        <w:tc>
          <w:tcPr>
            <w:tcW w:w="2547" w:type="dxa"/>
          </w:tcPr>
          <w:p w14:paraId="01DC9D95" w14:textId="77777777" w:rsidR="00D324A7" w:rsidRPr="000449D1" w:rsidRDefault="00D324A7">
            <w:pPr>
              <w:pStyle w:val="TableText"/>
              <w:keepNext/>
              <w:rPr>
                <w:rFonts w:cs="Courier New"/>
              </w:rPr>
            </w:pPr>
            <w:r w:rsidRPr="000449D1">
              <w:rPr>
                <w:rFonts w:cs="Courier New"/>
              </w:rPr>
              <w:t>Perspective</w:t>
            </w:r>
          </w:p>
        </w:tc>
        <w:tc>
          <w:tcPr>
            <w:tcW w:w="6379" w:type="dxa"/>
          </w:tcPr>
          <w:p w14:paraId="07962045" w14:textId="77777777" w:rsidR="00D324A7" w:rsidRPr="000449D1" w:rsidRDefault="00D324A7">
            <w:pPr>
              <w:pStyle w:val="TableText"/>
              <w:keepNext/>
              <w:rPr>
                <w:rFonts w:cs="Courier New"/>
              </w:rPr>
            </w:pPr>
            <w:r w:rsidRPr="000449D1">
              <w:rPr>
                <w:rFonts w:cs="Courier New"/>
              </w:rPr>
              <w:t>Health care system perspective</w:t>
            </w:r>
          </w:p>
        </w:tc>
      </w:tr>
      <w:tr w:rsidR="00D324A7" w:rsidRPr="000449D1" w14:paraId="59E6BD1D" w14:textId="77777777" w:rsidTr="00EB5AD2">
        <w:trPr>
          <w:tblHeader/>
        </w:trPr>
        <w:tc>
          <w:tcPr>
            <w:tcW w:w="2547" w:type="dxa"/>
          </w:tcPr>
          <w:p w14:paraId="070B8FB8" w14:textId="77777777" w:rsidR="00D324A7" w:rsidRPr="000449D1" w:rsidRDefault="00D324A7">
            <w:pPr>
              <w:pStyle w:val="TableText"/>
              <w:keepNext/>
              <w:rPr>
                <w:rFonts w:cs="Courier New"/>
              </w:rPr>
            </w:pPr>
            <w:r w:rsidRPr="000449D1">
              <w:rPr>
                <w:rFonts w:cs="Courier New"/>
              </w:rPr>
              <w:t>Population</w:t>
            </w:r>
          </w:p>
        </w:tc>
        <w:tc>
          <w:tcPr>
            <w:tcW w:w="6379" w:type="dxa"/>
          </w:tcPr>
          <w:p w14:paraId="61953D54" w14:textId="2F1B36FA" w:rsidR="00D324A7" w:rsidRPr="00657822" w:rsidRDefault="00BB1FB7">
            <w:pPr>
              <w:pStyle w:val="TableText"/>
              <w:keepNext/>
              <w:rPr>
                <w:rFonts w:cs="Courier New"/>
              </w:rPr>
            </w:pPr>
            <w:r>
              <w:rPr>
                <w:rFonts w:cs="Courier New"/>
              </w:rPr>
              <w:t xml:space="preserve">Patients with </w:t>
            </w:r>
            <w:r w:rsidR="00D324A7" w:rsidRPr="00657822">
              <w:rPr>
                <w:rFonts w:cs="Courier New"/>
              </w:rPr>
              <w:t xml:space="preserve">Acute Lymphoblastic Leukemia </w:t>
            </w:r>
            <w:r>
              <w:rPr>
                <w:rFonts w:cs="Courier New"/>
              </w:rPr>
              <w:t>(ALL)</w:t>
            </w:r>
          </w:p>
          <w:p w14:paraId="355E998B" w14:textId="77777777" w:rsidR="00D324A7" w:rsidRPr="00657822" w:rsidRDefault="00D324A7" w:rsidP="009911BE">
            <w:pPr>
              <w:pStyle w:val="TableText"/>
              <w:keepNext/>
              <w:numPr>
                <w:ilvl w:val="0"/>
                <w:numId w:val="14"/>
              </w:numPr>
              <w:rPr>
                <w:rFonts w:cs="Courier New"/>
              </w:rPr>
            </w:pPr>
            <w:r w:rsidRPr="00657822">
              <w:rPr>
                <w:rFonts w:cs="Courier New"/>
              </w:rPr>
              <w:t>Adult</w:t>
            </w:r>
          </w:p>
          <w:p w14:paraId="09353960" w14:textId="4218DB8E" w:rsidR="00D324A7" w:rsidRPr="00C44904" w:rsidRDefault="00D324A7" w:rsidP="009911BE">
            <w:pPr>
              <w:pStyle w:val="TableText"/>
              <w:keepNext/>
              <w:numPr>
                <w:ilvl w:val="0"/>
                <w:numId w:val="14"/>
              </w:numPr>
              <w:rPr>
                <w:rFonts w:cs="Courier New"/>
              </w:rPr>
            </w:pPr>
            <w:r w:rsidRPr="00657822">
              <w:rPr>
                <w:rFonts w:cs="Courier New"/>
              </w:rPr>
              <w:t>Paediatric</w:t>
            </w:r>
          </w:p>
        </w:tc>
      </w:tr>
      <w:tr w:rsidR="00D324A7" w:rsidRPr="000449D1" w14:paraId="4717FDD5" w14:textId="77777777" w:rsidTr="00EB5AD2">
        <w:tc>
          <w:tcPr>
            <w:tcW w:w="2547" w:type="dxa"/>
          </w:tcPr>
          <w:p w14:paraId="03F1E5F1" w14:textId="77777777" w:rsidR="00D324A7" w:rsidRPr="000449D1" w:rsidRDefault="00D324A7">
            <w:pPr>
              <w:pStyle w:val="TableText"/>
              <w:keepNext/>
              <w:rPr>
                <w:rFonts w:cs="Courier New"/>
              </w:rPr>
            </w:pPr>
            <w:r w:rsidRPr="000449D1">
              <w:rPr>
                <w:rFonts w:cs="Courier New"/>
              </w:rPr>
              <w:t>Prior testing</w:t>
            </w:r>
          </w:p>
        </w:tc>
        <w:tc>
          <w:tcPr>
            <w:tcW w:w="6379" w:type="dxa"/>
          </w:tcPr>
          <w:p w14:paraId="720F114F" w14:textId="77777777" w:rsidR="00D324A7" w:rsidRPr="000449D1" w:rsidRDefault="00D324A7">
            <w:pPr>
              <w:pStyle w:val="TableText"/>
              <w:keepNext/>
              <w:rPr>
                <w:rFonts w:cs="Courier New"/>
              </w:rPr>
            </w:pPr>
            <w:r>
              <w:rPr>
                <w:rFonts w:cs="Courier New"/>
              </w:rPr>
              <w:t>(Morphology and Full Blood Count)</w:t>
            </w:r>
          </w:p>
        </w:tc>
      </w:tr>
      <w:tr w:rsidR="00BB1FB7" w:rsidRPr="000449D1" w14:paraId="6CC0FB20" w14:textId="77777777" w:rsidTr="00EB5AD2">
        <w:tc>
          <w:tcPr>
            <w:tcW w:w="2547" w:type="dxa"/>
          </w:tcPr>
          <w:p w14:paraId="589B1F7F" w14:textId="672AFCCC" w:rsidR="00BB1FB7" w:rsidRPr="000449D1" w:rsidRDefault="00BB1FB7" w:rsidP="00BB1FB7">
            <w:pPr>
              <w:pStyle w:val="TableText"/>
              <w:keepNext/>
              <w:rPr>
                <w:rFonts w:cs="Courier New"/>
              </w:rPr>
            </w:pPr>
            <w:r>
              <w:rPr>
                <w:rFonts w:cs="Courier New"/>
              </w:rPr>
              <w:t>Intervention(s)</w:t>
            </w:r>
          </w:p>
        </w:tc>
        <w:tc>
          <w:tcPr>
            <w:tcW w:w="6379" w:type="dxa"/>
          </w:tcPr>
          <w:p w14:paraId="2D123209" w14:textId="77777777" w:rsidR="00BB1FB7" w:rsidRDefault="00BB1FB7" w:rsidP="00BB1FB7">
            <w:pPr>
              <w:pStyle w:val="TableText"/>
              <w:keepNext/>
              <w:rPr>
                <w:rFonts w:cs="Courier New"/>
              </w:rPr>
            </w:pPr>
            <w:r>
              <w:rPr>
                <w:rFonts w:cs="Courier New"/>
              </w:rPr>
              <w:t>Measurement of MRD using:</w:t>
            </w:r>
          </w:p>
          <w:p w14:paraId="2E165983" w14:textId="06F4B285" w:rsidR="00BB1FB7" w:rsidRDefault="00BB1FB7" w:rsidP="009911BE">
            <w:pPr>
              <w:pStyle w:val="TableText"/>
              <w:keepNext/>
              <w:numPr>
                <w:ilvl w:val="0"/>
                <w:numId w:val="21"/>
              </w:numPr>
              <w:rPr>
                <w:rFonts w:cs="Courier New"/>
              </w:rPr>
            </w:pPr>
            <w:r>
              <w:rPr>
                <w:rFonts w:cs="Courier New"/>
              </w:rPr>
              <w:t>Multi-parametric flow cytometry (</w:t>
            </w:r>
            <w:proofErr w:type="spellStart"/>
            <w:r>
              <w:rPr>
                <w:rFonts w:cs="Courier New"/>
              </w:rPr>
              <w:t>mpFC</w:t>
            </w:r>
            <w:proofErr w:type="spellEnd"/>
            <w:r>
              <w:rPr>
                <w:rFonts w:cs="Courier New"/>
              </w:rPr>
              <w:t>)</w:t>
            </w:r>
          </w:p>
          <w:p w14:paraId="2A74D30E" w14:textId="60542157" w:rsidR="00BB1FB7" w:rsidRDefault="007A710C" w:rsidP="009911BE">
            <w:pPr>
              <w:pStyle w:val="TableText"/>
              <w:keepNext/>
              <w:numPr>
                <w:ilvl w:val="0"/>
                <w:numId w:val="21"/>
              </w:numPr>
              <w:rPr>
                <w:rFonts w:cs="Courier New"/>
              </w:rPr>
            </w:pPr>
            <w:r>
              <w:rPr>
                <w:rFonts w:cs="Courier New"/>
              </w:rPr>
              <w:t>Polymerase chain reaction</w:t>
            </w:r>
            <w:r w:rsidR="00BB1FB7">
              <w:rPr>
                <w:rFonts w:cs="Courier New"/>
              </w:rPr>
              <w:t xml:space="preserve"> (PCR)</w:t>
            </w:r>
          </w:p>
          <w:p w14:paraId="5214384E" w14:textId="5ED1791B" w:rsidR="00BB1FB7" w:rsidRDefault="00BB1FB7" w:rsidP="009911BE">
            <w:pPr>
              <w:pStyle w:val="TableText"/>
              <w:keepNext/>
              <w:numPr>
                <w:ilvl w:val="0"/>
                <w:numId w:val="21"/>
              </w:numPr>
              <w:rPr>
                <w:rFonts w:cs="Courier New"/>
              </w:rPr>
            </w:pPr>
            <w:r>
              <w:rPr>
                <w:rFonts w:cs="Courier New"/>
              </w:rPr>
              <w:t>Next-generation sequencing (NGS)</w:t>
            </w:r>
          </w:p>
        </w:tc>
      </w:tr>
      <w:tr w:rsidR="00D324A7" w:rsidRPr="000449D1" w14:paraId="597E3A9E" w14:textId="77777777" w:rsidTr="00EB5AD2">
        <w:tc>
          <w:tcPr>
            <w:tcW w:w="2547" w:type="dxa"/>
          </w:tcPr>
          <w:p w14:paraId="7E71B136" w14:textId="77777777" w:rsidR="00D324A7" w:rsidRPr="000449D1" w:rsidRDefault="00D324A7">
            <w:pPr>
              <w:pStyle w:val="TableText"/>
              <w:keepNext/>
              <w:rPr>
                <w:rFonts w:cs="Courier New"/>
              </w:rPr>
            </w:pPr>
            <w:r w:rsidRPr="000449D1">
              <w:rPr>
                <w:rFonts w:cs="Courier New"/>
              </w:rPr>
              <w:t>Comparator</w:t>
            </w:r>
          </w:p>
        </w:tc>
        <w:tc>
          <w:tcPr>
            <w:tcW w:w="6379" w:type="dxa"/>
          </w:tcPr>
          <w:p w14:paraId="6AA866D7" w14:textId="1FC34BD2" w:rsidR="00D324A7" w:rsidRPr="000449D1" w:rsidRDefault="00BB1FB7">
            <w:pPr>
              <w:pStyle w:val="TableText"/>
              <w:keepNext/>
              <w:rPr>
                <w:rFonts w:cs="Courier New"/>
              </w:rPr>
            </w:pPr>
            <w:r>
              <w:rPr>
                <w:rFonts w:cs="Courier New"/>
              </w:rPr>
              <w:t>Bone marrow m</w:t>
            </w:r>
            <w:r w:rsidR="00D324A7">
              <w:rPr>
                <w:rFonts w:cs="Courier New"/>
              </w:rPr>
              <w:t>orphology (+/- cytogenetics)</w:t>
            </w:r>
          </w:p>
        </w:tc>
      </w:tr>
      <w:tr w:rsidR="00D324A7" w:rsidRPr="000449D1" w14:paraId="4E1240A1" w14:textId="77777777" w:rsidTr="00EB5AD2">
        <w:tc>
          <w:tcPr>
            <w:tcW w:w="2547" w:type="dxa"/>
          </w:tcPr>
          <w:p w14:paraId="5A9BAA8B" w14:textId="77777777" w:rsidR="00D324A7" w:rsidRPr="000449D1" w:rsidRDefault="00D324A7">
            <w:pPr>
              <w:pStyle w:val="TableText"/>
              <w:keepNext/>
              <w:rPr>
                <w:rFonts w:cs="Courier New"/>
              </w:rPr>
            </w:pPr>
            <w:r w:rsidRPr="000449D1">
              <w:rPr>
                <w:rFonts w:cs="Courier New"/>
              </w:rPr>
              <w:t>Type(s) of analysis</w:t>
            </w:r>
          </w:p>
        </w:tc>
        <w:tc>
          <w:tcPr>
            <w:tcW w:w="6379" w:type="dxa"/>
          </w:tcPr>
          <w:p w14:paraId="20EA8CF6" w14:textId="77777777" w:rsidR="00D324A7" w:rsidRDefault="00D324A7">
            <w:pPr>
              <w:pStyle w:val="TableText"/>
              <w:keepNext/>
              <w:rPr>
                <w:rFonts w:cs="Courier New"/>
              </w:rPr>
            </w:pPr>
            <w:r>
              <w:rPr>
                <w:rFonts w:cs="Courier New"/>
              </w:rPr>
              <w:t>Cost-Utility Analysis</w:t>
            </w:r>
          </w:p>
          <w:p w14:paraId="612E7383" w14:textId="77777777" w:rsidR="00D324A7" w:rsidRPr="000449D1" w:rsidRDefault="00D324A7">
            <w:pPr>
              <w:pStyle w:val="TableText"/>
              <w:keepNext/>
              <w:rPr>
                <w:rFonts w:cs="Courier New"/>
              </w:rPr>
            </w:pPr>
            <w:r>
              <w:rPr>
                <w:rFonts w:cs="Courier New"/>
              </w:rPr>
              <w:t>Cost-Effectiveness Analysis</w:t>
            </w:r>
          </w:p>
        </w:tc>
      </w:tr>
      <w:tr w:rsidR="00D324A7" w:rsidRPr="000449D1" w14:paraId="6BA29BA5" w14:textId="77777777" w:rsidTr="00EB5AD2">
        <w:tc>
          <w:tcPr>
            <w:tcW w:w="2547" w:type="dxa"/>
          </w:tcPr>
          <w:p w14:paraId="2D464ABD" w14:textId="77777777" w:rsidR="00D324A7" w:rsidRPr="000449D1" w:rsidRDefault="00D324A7">
            <w:pPr>
              <w:pStyle w:val="TableText"/>
              <w:keepNext/>
              <w:rPr>
                <w:rFonts w:cs="Courier New"/>
              </w:rPr>
            </w:pPr>
            <w:r w:rsidRPr="000449D1">
              <w:rPr>
                <w:rFonts w:cs="Courier New"/>
              </w:rPr>
              <w:t>Outcomes</w:t>
            </w:r>
          </w:p>
        </w:tc>
        <w:tc>
          <w:tcPr>
            <w:tcW w:w="6379" w:type="dxa"/>
          </w:tcPr>
          <w:p w14:paraId="7CADFDDD" w14:textId="77777777" w:rsidR="00D324A7" w:rsidRDefault="00D324A7">
            <w:pPr>
              <w:pStyle w:val="TableText"/>
              <w:keepNext/>
              <w:rPr>
                <w:rFonts w:cs="Courier New"/>
              </w:rPr>
            </w:pPr>
            <w:r>
              <w:rPr>
                <w:rFonts w:cs="Courier New"/>
              </w:rPr>
              <w:t>L</w:t>
            </w:r>
            <w:r w:rsidRPr="000449D1">
              <w:rPr>
                <w:rFonts w:cs="Courier New"/>
              </w:rPr>
              <w:t>ife-years gained</w:t>
            </w:r>
          </w:p>
          <w:p w14:paraId="39F0F2E2" w14:textId="22408A9D" w:rsidR="00D324A7" w:rsidRPr="000449D1" w:rsidRDefault="00D324A7">
            <w:pPr>
              <w:pStyle w:val="TableText"/>
              <w:keepNext/>
              <w:rPr>
                <w:rFonts w:cs="Courier New"/>
              </w:rPr>
            </w:pPr>
            <w:r>
              <w:rPr>
                <w:rFonts w:cs="Courier New"/>
              </w:rPr>
              <w:t>Q</w:t>
            </w:r>
            <w:r w:rsidRPr="000449D1">
              <w:rPr>
                <w:rFonts w:cs="Courier New"/>
              </w:rPr>
              <w:t>uality-adjusted life years</w:t>
            </w:r>
            <w:r w:rsidR="00BB1FB7">
              <w:rPr>
                <w:rFonts w:cs="Courier New"/>
              </w:rPr>
              <w:t xml:space="preserve"> gained</w:t>
            </w:r>
          </w:p>
        </w:tc>
      </w:tr>
      <w:tr w:rsidR="00D324A7" w:rsidRPr="000449D1" w14:paraId="2F7D1C04" w14:textId="77777777" w:rsidTr="00EB5AD2">
        <w:tc>
          <w:tcPr>
            <w:tcW w:w="2547" w:type="dxa"/>
          </w:tcPr>
          <w:p w14:paraId="5839F716" w14:textId="77777777" w:rsidR="00D324A7" w:rsidRPr="000449D1" w:rsidRDefault="00D324A7">
            <w:pPr>
              <w:pStyle w:val="TableText"/>
              <w:keepNext/>
              <w:rPr>
                <w:rFonts w:cs="Courier New"/>
              </w:rPr>
            </w:pPr>
            <w:r w:rsidRPr="000449D1">
              <w:rPr>
                <w:rFonts w:cs="Courier New"/>
              </w:rPr>
              <w:t>Time horizon</w:t>
            </w:r>
          </w:p>
        </w:tc>
        <w:tc>
          <w:tcPr>
            <w:tcW w:w="6379" w:type="dxa"/>
          </w:tcPr>
          <w:p w14:paraId="42C8E16E" w14:textId="77777777" w:rsidR="00D324A7" w:rsidRPr="000449D1" w:rsidRDefault="00D324A7">
            <w:pPr>
              <w:pStyle w:val="TableText"/>
              <w:keepNext/>
              <w:rPr>
                <w:rFonts w:cs="Courier New"/>
              </w:rPr>
            </w:pPr>
            <w:r>
              <w:rPr>
                <w:rFonts w:cs="Courier New"/>
              </w:rPr>
              <w:t>30 years</w:t>
            </w:r>
          </w:p>
        </w:tc>
      </w:tr>
      <w:tr w:rsidR="00D324A7" w:rsidRPr="000449D1" w14:paraId="5F689D85" w14:textId="77777777" w:rsidTr="00EB5AD2">
        <w:tc>
          <w:tcPr>
            <w:tcW w:w="2547" w:type="dxa"/>
          </w:tcPr>
          <w:p w14:paraId="6DA8A43C" w14:textId="77777777" w:rsidR="00D324A7" w:rsidRPr="000449D1" w:rsidRDefault="00D324A7">
            <w:pPr>
              <w:pStyle w:val="TableText"/>
              <w:keepNext/>
              <w:rPr>
                <w:rFonts w:cs="Courier New"/>
              </w:rPr>
            </w:pPr>
            <w:r w:rsidRPr="000449D1">
              <w:rPr>
                <w:rFonts w:cs="Courier New"/>
              </w:rPr>
              <w:t>Computational method</w:t>
            </w:r>
          </w:p>
        </w:tc>
        <w:tc>
          <w:tcPr>
            <w:tcW w:w="6379" w:type="dxa"/>
          </w:tcPr>
          <w:p w14:paraId="79B18961" w14:textId="77777777" w:rsidR="00D324A7" w:rsidRDefault="00D324A7">
            <w:pPr>
              <w:pStyle w:val="TableText"/>
              <w:keepNext/>
              <w:rPr>
                <w:rFonts w:cs="Courier New"/>
              </w:rPr>
            </w:pPr>
            <w:r>
              <w:rPr>
                <w:rFonts w:cs="Courier New"/>
              </w:rPr>
              <w:t>P</w:t>
            </w:r>
            <w:r w:rsidRPr="000449D1">
              <w:rPr>
                <w:rFonts w:cs="Courier New"/>
              </w:rPr>
              <w:t>artitioned survival analysis</w:t>
            </w:r>
          </w:p>
          <w:p w14:paraId="2AF04A8C" w14:textId="21125BEA" w:rsidR="00D324A7" w:rsidRPr="000449D1" w:rsidRDefault="00D324A7">
            <w:pPr>
              <w:pStyle w:val="TableText"/>
              <w:keepNext/>
              <w:rPr>
                <w:rFonts w:cs="Courier New"/>
              </w:rPr>
            </w:pPr>
            <w:r>
              <w:rPr>
                <w:rFonts w:cs="Courier New"/>
              </w:rPr>
              <w:t xml:space="preserve">Proportional </w:t>
            </w:r>
            <w:r w:rsidR="00BB1FB7">
              <w:rPr>
                <w:rFonts w:cs="Courier New"/>
              </w:rPr>
              <w:t>h</w:t>
            </w:r>
            <w:r>
              <w:rPr>
                <w:rFonts w:cs="Courier New"/>
              </w:rPr>
              <w:t>azards modelling</w:t>
            </w:r>
          </w:p>
        </w:tc>
      </w:tr>
      <w:tr w:rsidR="00D324A7" w:rsidRPr="000449D1" w14:paraId="275460F8" w14:textId="77777777" w:rsidTr="00EB5AD2">
        <w:tc>
          <w:tcPr>
            <w:tcW w:w="2547" w:type="dxa"/>
          </w:tcPr>
          <w:p w14:paraId="4B6FEE27" w14:textId="77777777" w:rsidR="00D324A7" w:rsidRPr="000449D1" w:rsidRDefault="00D324A7">
            <w:pPr>
              <w:pStyle w:val="TableText"/>
              <w:keepNext/>
              <w:rPr>
                <w:rFonts w:cs="Courier New"/>
              </w:rPr>
            </w:pPr>
            <w:r w:rsidRPr="000449D1">
              <w:rPr>
                <w:rFonts w:cs="Courier New"/>
              </w:rPr>
              <w:t>Generation of the base case</w:t>
            </w:r>
          </w:p>
        </w:tc>
        <w:tc>
          <w:tcPr>
            <w:tcW w:w="6379" w:type="dxa"/>
          </w:tcPr>
          <w:p w14:paraId="20102B28" w14:textId="77777777" w:rsidR="00D324A7" w:rsidRPr="000449D1" w:rsidRDefault="00D324A7">
            <w:pPr>
              <w:pStyle w:val="TableText"/>
              <w:keepNext/>
              <w:rPr>
                <w:rFonts w:cs="Courier New"/>
              </w:rPr>
            </w:pPr>
            <w:r>
              <w:rPr>
                <w:rFonts w:cs="Courier New"/>
              </w:rPr>
              <w:t>Modelled</w:t>
            </w:r>
          </w:p>
        </w:tc>
      </w:tr>
      <w:tr w:rsidR="00D324A7" w:rsidRPr="000449D1" w14:paraId="3E06975B" w14:textId="77777777" w:rsidTr="00EB5AD2">
        <w:tc>
          <w:tcPr>
            <w:tcW w:w="2547" w:type="dxa"/>
          </w:tcPr>
          <w:p w14:paraId="6B18CFDA" w14:textId="77777777" w:rsidR="00D324A7" w:rsidRPr="000449D1" w:rsidRDefault="00D324A7">
            <w:pPr>
              <w:pStyle w:val="TableText"/>
              <w:keepNext/>
              <w:rPr>
                <w:rFonts w:cs="Courier New"/>
              </w:rPr>
            </w:pPr>
            <w:r w:rsidRPr="000449D1">
              <w:rPr>
                <w:rFonts w:cs="Courier New"/>
              </w:rPr>
              <w:t>Health states</w:t>
            </w:r>
          </w:p>
        </w:tc>
        <w:tc>
          <w:tcPr>
            <w:tcW w:w="6379" w:type="dxa"/>
          </w:tcPr>
          <w:p w14:paraId="31EABC28" w14:textId="77777777" w:rsidR="00D324A7" w:rsidRDefault="00D324A7">
            <w:pPr>
              <w:pStyle w:val="TableText"/>
              <w:keepNext/>
              <w:rPr>
                <w:rFonts w:cs="Courier New"/>
              </w:rPr>
            </w:pPr>
            <w:r>
              <w:rPr>
                <w:rFonts w:cs="Courier New"/>
              </w:rPr>
              <w:t>Newly Diagnosed ALL</w:t>
            </w:r>
          </w:p>
          <w:p w14:paraId="15411BFB" w14:textId="77777777" w:rsidR="00D324A7" w:rsidRDefault="00D324A7">
            <w:pPr>
              <w:pStyle w:val="TableText"/>
              <w:keepNext/>
              <w:rPr>
                <w:rFonts w:cs="Courier New"/>
              </w:rPr>
            </w:pPr>
            <w:r>
              <w:rPr>
                <w:rFonts w:cs="Courier New"/>
              </w:rPr>
              <w:t>Chemotherapy Tx (SR/HR)</w:t>
            </w:r>
          </w:p>
          <w:p w14:paraId="7DDB30AA" w14:textId="77777777" w:rsidR="00D324A7" w:rsidRPr="00E969D9" w:rsidRDefault="00D324A7">
            <w:pPr>
              <w:pStyle w:val="TableText"/>
              <w:keepNext/>
              <w:rPr>
                <w:rFonts w:cs="Courier New"/>
                <w:lang w:val="de-CH"/>
              </w:rPr>
            </w:pPr>
            <w:r w:rsidRPr="00E969D9">
              <w:rPr>
                <w:rFonts w:cs="Courier New"/>
                <w:lang w:val="de-CH"/>
              </w:rPr>
              <w:t>1L Blinatumomab</w:t>
            </w:r>
          </w:p>
          <w:p w14:paraId="5CE6EAB5" w14:textId="77777777" w:rsidR="00D324A7" w:rsidRPr="00E969D9" w:rsidRDefault="00D324A7">
            <w:pPr>
              <w:pStyle w:val="TableText"/>
              <w:keepNext/>
              <w:rPr>
                <w:rFonts w:cs="Courier New"/>
                <w:lang w:val="de-CH"/>
              </w:rPr>
            </w:pPr>
            <w:r w:rsidRPr="00E969D9">
              <w:rPr>
                <w:rFonts w:cs="Courier New"/>
                <w:lang w:val="de-CH"/>
              </w:rPr>
              <w:t>1L HSCT</w:t>
            </w:r>
          </w:p>
          <w:p w14:paraId="21C712D3" w14:textId="328FC59E" w:rsidR="00D324A7" w:rsidRPr="00E969D9" w:rsidRDefault="00D324A7">
            <w:pPr>
              <w:pStyle w:val="TableText"/>
              <w:keepNext/>
              <w:rPr>
                <w:rFonts w:cs="Courier New"/>
                <w:lang w:val="de-CH"/>
              </w:rPr>
            </w:pPr>
            <w:r w:rsidRPr="00E969D9">
              <w:rPr>
                <w:rFonts w:cs="Courier New"/>
                <w:lang w:val="de-CH"/>
              </w:rPr>
              <w:t>2L</w:t>
            </w:r>
            <w:r w:rsidR="00C31A58">
              <w:rPr>
                <w:rFonts w:cs="Courier New"/>
                <w:lang w:val="de-CH"/>
              </w:rPr>
              <w:t xml:space="preserve"> </w:t>
            </w:r>
            <w:r w:rsidRPr="00E969D9">
              <w:rPr>
                <w:rFonts w:cs="Courier New"/>
                <w:lang w:val="de-CH"/>
              </w:rPr>
              <w:t>CAR-T</w:t>
            </w:r>
          </w:p>
          <w:p w14:paraId="6D29DFCC" w14:textId="77777777" w:rsidR="00D324A7" w:rsidRDefault="00D324A7">
            <w:pPr>
              <w:pStyle w:val="TableText"/>
              <w:keepNext/>
              <w:rPr>
                <w:rFonts w:cs="Courier New"/>
              </w:rPr>
            </w:pPr>
            <w:r>
              <w:rPr>
                <w:rFonts w:cs="Courier New"/>
              </w:rPr>
              <w:t>2L HSCT</w:t>
            </w:r>
          </w:p>
          <w:p w14:paraId="7A7B8952" w14:textId="77777777" w:rsidR="00D324A7" w:rsidRDefault="00D324A7">
            <w:pPr>
              <w:pStyle w:val="TableText"/>
              <w:keepNext/>
              <w:rPr>
                <w:rFonts w:cs="Courier New"/>
              </w:rPr>
            </w:pPr>
            <w:r>
              <w:rPr>
                <w:rFonts w:cs="Courier New"/>
              </w:rPr>
              <w:t>2L Blinatumomab</w:t>
            </w:r>
          </w:p>
          <w:p w14:paraId="70500480" w14:textId="77777777" w:rsidR="00D324A7" w:rsidRDefault="00D324A7">
            <w:pPr>
              <w:pStyle w:val="TableText"/>
              <w:keepNext/>
              <w:rPr>
                <w:rFonts w:cs="Courier New"/>
              </w:rPr>
            </w:pPr>
            <w:r>
              <w:rPr>
                <w:rFonts w:cs="Courier New"/>
              </w:rPr>
              <w:t>3L CAR-T</w:t>
            </w:r>
          </w:p>
          <w:p w14:paraId="48C98A20" w14:textId="77777777" w:rsidR="00D324A7" w:rsidRDefault="00D324A7">
            <w:pPr>
              <w:pStyle w:val="TableText"/>
              <w:keepNext/>
              <w:rPr>
                <w:rFonts w:cs="Courier New"/>
              </w:rPr>
            </w:pPr>
            <w:r>
              <w:rPr>
                <w:rFonts w:cs="Courier New"/>
              </w:rPr>
              <w:t>3L HSCT</w:t>
            </w:r>
          </w:p>
          <w:p w14:paraId="76C4CF8E" w14:textId="77777777" w:rsidR="00D324A7" w:rsidRDefault="00D324A7">
            <w:pPr>
              <w:pStyle w:val="TableText"/>
              <w:keepNext/>
              <w:rPr>
                <w:rFonts w:cs="Courier New"/>
              </w:rPr>
            </w:pPr>
            <w:r>
              <w:rPr>
                <w:rFonts w:cs="Courier New"/>
              </w:rPr>
              <w:t>4L CAR-T</w:t>
            </w:r>
          </w:p>
          <w:p w14:paraId="775B63EF" w14:textId="77777777" w:rsidR="00D324A7" w:rsidRDefault="00D324A7">
            <w:pPr>
              <w:pStyle w:val="TableText"/>
              <w:keepNext/>
              <w:rPr>
                <w:rFonts w:cs="Courier New"/>
              </w:rPr>
            </w:pPr>
            <w:r>
              <w:rPr>
                <w:rFonts w:cs="Courier New"/>
              </w:rPr>
              <w:t>4L HSCT</w:t>
            </w:r>
          </w:p>
          <w:p w14:paraId="0815B0A7" w14:textId="77777777" w:rsidR="00D324A7" w:rsidRDefault="00D324A7">
            <w:pPr>
              <w:pStyle w:val="TableText"/>
              <w:keepNext/>
              <w:rPr>
                <w:rFonts w:cs="Courier New"/>
              </w:rPr>
            </w:pPr>
            <w:r>
              <w:rPr>
                <w:rFonts w:cs="Courier New"/>
              </w:rPr>
              <w:t>Relapsed</w:t>
            </w:r>
          </w:p>
          <w:p w14:paraId="4326AEA4" w14:textId="77777777" w:rsidR="00D324A7" w:rsidRPr="000449D1" w:rsidRDefault="00D324A7">
            <w:pPr>
              <w:pStyle w:val="TableText"/>
              <w:keepNext/>
              <w:rPr>
                <w:rFonts w:cs="Courier New"/>
              </w:rPr>
            </w:pPr>
            <w:r>
              <w:rPr>
                <w:rFonts w:cs="Courier New"/>
              </w:rPr>
              <w:t>Dead</w:t>
            </w:r>
          </w:p>
        </w:tc>
      </w:tr>
      <w:tr w:rsidR="00D324A7" w:rsidRPr="000449D1" w14:paraId="5E2C940B" w14:textId="77777777" w:rsidTr="00EB5AD2">
        <w:tc>
          <w:tcPr>
            <w:tcW w:w="2547" w:type="dxa"/>
          </w:tcPr>
          <w:p w14:paraId="1DE9465E" w14:textId="77777777" w:rsidR="00D324A7" w:rsidRPr="000449D1" w:rsidRDefault="00D324A7">
            <w:pPr>
              <w:pStyle w:val="TableText"/>
              <w:keepNext/>
              <w:rPr>
                <w:rFonts w:cs="Courier New"/>
              </w:rPr>
            </w:pPr>
            <w:r w:rsidRPr="000449D1">
              <w:rPr>
                <w:rFonts w:cs="Courier New"/>
              </w:rPr>
              <w:t>Cycle length</w:t>
            </w:r>
          </w:p>
        </w:tc>
        <w:tc>
          <w:tcPr>
            <w:tcW w:w="6379" w:type="dxa"/>
          </w:tcPr>
          <w:p w14:paraId="193D427E" w14:textId="77777777" w:rsidR="00D324A7" w:rsidRPr="000449D1" w:rsidRDefault="00D324A7">
            <w:pPr>
              <w:pStyle w:val="TableText"/>
              <w:keepNext/>
              <w:rPr>
                <w:rFonts w:cs="Courier New"/>
              </w:rPr>
            </w:pPr>
            <w:r>
              <w:rPr>
                <w:rFonts w:cs="Courier New"/>
              </w:rPr>
              <w:t>1 month</w:t>
            </w:r>
          </w:p>
        </w:tc>
      </w:tr>
      <w:tr w:rsidR="00D324A7" w:rsidRPr="000449D1" w14:paraId="61CA14E6" w14:textId="77777777" w:rsidTr="00EB5AD2">
        <w:tc>
          <w:tcPr>
            <w:tcW w:w="2547" w:type="dxa"/>
          </w:tcPr>
          <w:p w14:paraId="6F3853A4" w14:textId="77777777" w:rsidR="00D324A7" w:rsidRPr="000449D1" w:rsidRDefault="00D324A7">
            <w:pPr>
              <w:pStyle w:val="TableText"/>
              <w:keepNext/>
              <w:rPr>
                <w:rFonts w:cs="Courier New"/>
              </w:rPr>
            </w:pPr>
            <w:r w:rsidRPr="000449D1">
              <w:rPr>
                <w:rFonts w:cs="Courier New"/>
              </w:rPr>
              <w:t>Transition probabilities</w:t>
            </w:r>
          </w:p>
        </w:tc>
        <w:tc>
          <w:tcPr>
            <w:tcW w:w="6379" w:type="dxa"/>
          </w:tcPr>
          <w:p w14:paraId="5EEDBF20" w14:textId="1DC077A6" w:rsidR="00D324A7" w:rsidRPr="002824FE" w:rsidRDefault="00D324A7">
            <w:pPr>
              <w:pStyle w:val="TableText"/>
              <w:keepNext/>
              <w:rPr>
                <w:rFonts w:cs="Courier New"/>
                <w:color w:val="258221"/>
              </w:rPr>
            </w:pPr>
            <w:r w:rsidRPr="002824FE">
              <w:rPr>
                <w:rFonts w:cs="Courier New"/>
              </w:rPr>
              <w:t>Transition Probabilities were sourced from studies either reporting Kaplan Meier data for EFS/RFS or OS or Hazard Ratios and were transformed into time</w:t>
            </w:r>
            <w:r w:rsidR="00C31A58">
              <w:rPr>
                <w:rFonts w:cs="Courier New"/>
              </w:rPr>
              <w:t>-</w:t>
            </w:r>
            <w:r w:rsidR="00C31A58" w:rsidRPr="002824FE">
              <w:rPr>
                <w:rFonts w:cs="Courier New"/>
              </w:rPr>
              <w:t>depend</w:t>
            </w:r>
            <w:r w:rsidR="00C31A58">
              <w:rPr>
                <w:rFonts w:cs="Courier New"/>
              </w:rPr>
              <w:t>e</w:t>
            </w:r>
            <w:r w:rsidR="00C31A58" w:rsidRPr="002824FE">
              <w:rPr>
                <w:rFonts w:cs="Courier New"/>
              </w:rPr>
              <w:t xml:space="preserve">nt </w:t>
            </w:r>
            <w:r w:rsidRPr="002824FE">
              <w:rPr>
                <w:rFonts w:cs="Courier New"/>
              </w:rPr>
              <w:t xml:space="preserve">transitions probabilities through </w:t>
            </w:r>
            <w:r w:rsidR="00C31A58">
              <w:rPr>
                <w:rFonts w:cs="Courier New"/>
              </w:rPr>
              <w:t>p</w:t>
            </w:r>
            <w:r w:rsidRPr="002824FE">
              <w:rPr>
                <w:rFonts w:cs="Courier New"/>
              </w:rPr>
              <w:t>roportion</w:t>
            </w:r>
            <w:r w:rsidR="00C31A58">
              <w:rPr>
                <w:rFonts w:cs="Courier New"/>
              </w:rPr>
              <w:t>al</w:t>
            </w:r>
            <w:r w:rsidRPr="002824FE">
              <w:rPr>
                <w:rFonts w:cs="Courier New"/>
              </w:rPr>
              <w:t xml:space="preserve"> </w:t>
            </w:r>
            <w:r w:rsidR="00BB1FB7">
              <w:rPr>
                <w:rFonts w:cs="Courier New"/>
              </w:rPr>
              <w:t>h</w:t>
            </w:r>
            <w:r w:rsidRPr="002824FE">
              <w:rPr>
                <w:rFonts w:cs="Courier New"/>
              </w:rPr>
              <w:t>azards modelling. These transformations were discussed in further detail below</w:t>
            </w:r>
            <w:r w:rsidRPr="003D42C4">
              <w:rPr>
                <w:rFonts w:cs="Courier New"/>
              </w:rPr>
              <w:t>.</w:t>
            </w:r>
          </w:p>
        </w:tc>
      </w:tr>
      <w:tr w:rsidR="00D324A7" w:rsidRPr="000449D1" w14:paraId="474D5F95" w14:textId="77777777" w:rsidTr="00EB5AD2">
        <w:tc>
          <w:tcPr>
            <w:tcW w:w="2547" w:type="dxa"/>
          </w:tcPr>
          <w:p w14:paraId="2090B970" w14:textId="77777777" w:rsidR="00D324A7" w:rsidRPr="000449D1" w:rsidRDefault="00D324A7">
            <w:pPr>
              <w:pStyle w:val="TableText"/>
              <w:keepNext/>
              <w:rPr>
                <w:rFonts w:cs="Courier New"/>
              </w:rPr>
            </w:pPr>
            <w:r w:rsidRPr="000449D1">
              <w:rPr>
                <w:rFonts w:cs="Courier New"/>
              </w:rPr>
              <w:t>Discount rate</w:t>
            </w:r>
          </w:p>
        </w:tc>
        <w:tc>
          <w:tcPr>
            <w:tcW w:w="6379" w:type="dxa"/>
          </w:tcPr>
          <w:p w14:paraId="6B26B728" w14:textId="77777777" w:rsidR="00D324A7" w:rsidRPr="000449D1" w:rsidRDefault="00D324A7">
            <w:pPr>
              <w:pStyle w:val="TableText"/>
              <w:keepNext/>
              <w:rPr>
                <w:rFonts w:cs="Courier New"/>
              </w:rPr>
            </w:pPr>
            <w:r>
              <w:rPr>
                <w:rFonts w:cs="Courier New"/>
              </w:rPr>
              <w:t>5% costs and benefits</w:t>
            </w:r>
          </w:p>
        </w:tc>
      </w:tr>
      <w:tr w:rsidR="00D324A7" w:rsidRPr="000449D1" w14:paraId="4542F970" w14:textId="77777777" w:rsidTr="00EB5AD2">
        <w:tc>
          <w:tcPr>
            <w:tcW w:w="2547" w:type="dxa"/>
          </w:tcPr>
          <w:p w14:paraId="7E58C040" w14:textId="77777777" w:rsidR="00D324A7" w:rsidRPr="000449D1" w:rsidRDefault="00D324A7">
            <w:pPr>
              <w:pStyle w:val="TableText"/>
              <w:keepNext/>
              <w:rPr>
                <w:rFonts w:cs="Courier New"/>
              </w:rPr>
            </w:pPr>
            <w:r w:rsidRPr="000449D1">
              <w:rPr>
                <w:rFonts w:cs="Courier New"/>
              </w:rPr>
              <w:t>Software</w:t>
            </w:r>
          </w:p>
        </w:tc>
        <w:tc>
          <w:tcPr>
            <w:tcW w:w="6379" w:type="dxa"/>
          </w:tcPr>
          <w:p w14:paraId="2DD45162" w14:textId="77777777" w:rsidR="00D324A7" w:rsidRPr="000449D1" w:rsidRDefault="00D324A7">
            <w:pPr>
              <w:pStyle w:val="TableText"/>
              <w:keepNext/>
              <w:rPr>
                <w:rFonts w:cs="Courier New"/>
              </w:rPr>
            </w:pPr>
            <w:r>
              <w:rPr>
                <w:rFonts w:cs="Courier New"/>
              </w:rPr>
              <w:t>Microsoft Excel</w:t>
            </w:r>
          </w:p>
        </w:tc>
      </w:tr>
    </w:tbl>
    <w:p w14:paraId="3568198D" w14:textId="3DA579A0" w:rsidR="00D324A7" w:rsidRPr="002D16A2" w:rsidRDefault="00D01DBC" w:rsidP="002D16A2">
      <w:pPr>
        <w:pStyle w:val="Tablenotes"/>
      </w:pPr>
      <w:bookmarkStart w:id="45" w:name="Title_Table5"/>
      <w:bookmarkEnd w:id="45"/>
      <w:r>
        <w:t xml:space="preserve">Abbreviations: </w:t>
      </w:r>
      <w:r w:rsidR="00D324A7" w:rsidRPr="002D16A2">
        <w:t xml:space="preserve">ALL, acute lymphoblastic leukaemia; CAR-T, Chimeric antigen receptor T-cell; EFS, event free survival; HSCT, haematopoietic stem cell transplantation; HR, high risk; </w:t>
      </w:r>
      <w:proofErr w:type="spellStart"/>
      <w:r w:rsidR="00BB1FB7" w:rsidRPr="002D16A2">
        <w:t>mpFC</w:t>
      </w:r>
      <w:proofErr w:type="spellEnd"/>
      <w:r w:rsidR="00BB1FB7" w:rsidRPr="002D16A2">
        <w:t xml:space="preserve">, multiparametric flow cytometry; MRD, measurable residual disease; NGS, next-generation sequencing; </w:t>
      </w:r>
      <w:r w:rsidR="00D324A7" w:rsidRPr="002D16A2">
        <w:t xml:space="preserve">OS, overall survival; </w:t>
      </w:r>
      <w:r w:rsidR="00BB1FB7" w:rsidRPr="002D16A2">
        <w:t xml:space="preserve">qPCR, quantitative polymerase chain reaction; </w:t>
      </w:r>
      <w:r w:rsidR="00D324A7" w:rsidRPr="002D16A2">
        <w:t>RFS, relapsed free survival; SR, standard risk; Tx, Treatment</w:t>
      </w:r>
    </w:p>
    <w:p w14:paraId="5F9C794C" w14:textId="7C306A2D" w:rsidR="00CC1FAA" w:rsidRDefault="00D324A7" w:rsidP="00CC1FAA">
      <w:pPr>
        <w:pStyle w:val="Guidelinescross-ref"/>
        <w:keepNext/>
        <w:rPr>
          <w:b w:val="0"/>
          <w:color w:val="auto"/>
          <w:sz w:val="22"/>
        </w:rPr>
      </w:pPr>
      <w:r w:rsidRPr="00F05CEA">
        <w:rPr>
          <w:b w:val="0"/>
          <w:color w:val="auto"/>
          <w:sz w:val="22"/>
        </w:rPr>
        <w:t xml:space="preserve">The economic analysis </w:t>
      </w:r>
      <w:r>
        <w:rPr>
          <w:b w:val="0"/>
          <w:color w:val="auto"/>
          <w:sz w:val="22"/>
        </w:rPr>
        <w:t>adopted a stepped approach w</w:t>
      </w:r>
      <w:r w:rsidR="00ED0DC8">
        <w:rPr>
          <w:b w:val="0"/>
          <w:color w:val="auto"/>
          <w:sz w:val="22"/>
        </w:rPr>
        <w:t>h</w:t>
      </w:r>
      <w:r>
        <w:rPr>
          <w:b w:val="0"/>
          <w:color w:val="auto"/>
          <w:sz w:val="22"/>
        </w:rPr>
        <w:t xml:space="preserve">ere the first step assessed the cost-effectiveness of each test, based on cost per LYs gained after 5 years. The second step quantified the cost per LYs gained compared with morphology only after 30 years, and the third step assessed the cost utility (cost per QALY gained) of each test after 30 years. These results </w:t>
      </w:r>
      <w:r>
        <w:rPr>
          <w:b w:val="0"/>
          <w:color w:val="auto"/>
          <w:sz w:val="22"/>
        </w:rPr>
        <w:lastRenderedPageBreak/>
        <w:t xml:space="preserve">are shown </w:t>
      </w:r>
      <w:r w:rsidR="009D172B">
        <w:rPr>
          <w:b w:val="0"/>
          <w:color w:val="auto"/>
          <w:sz w:val="22"/>
        </w:rPr>
        <w:t xml:space="preserve">for qPCR </w:t>
      </w:r>
      <w:r>
        <w:rPr>
          <w:b w:val="0"/>
          <w:color w:val="auto"/>
          <w:sz w:val="22"/>
        </w:rPr>
        <w:t>in</w:t>
      </w:r>
      <w:r w:rsidR="00A35129">
        <w:rPr>
          <w:b w:val="0"/>
          <w:color w:val="auto"/>
          <w:sz w:val="22"/>
        </w:rPr>
        <w:t xml:space="preserve"> </w:t>
      </w:r>
      <w:r w:rsidR="0058332A">
        <w:rPr>
          <w:b w:val="0"/>
          <w:color w:val="auto"/>
          <w:sz w:val="22"/>
        </w:rPr>
        <w:fldChar w:fldCharType="begin"/>
      </w:r>
      <w:r w:rsidR="0058332A">
        <w:rPr>
          <w:b w:val="0"/>
          <w:color w:val="auto"/>
          <w:sz w:val="22"/>
        </w:rPr>
        <w:instrText xml:space="preserve"> REF _Ref118923687  \* MERGEFORMAT </w:instrText>
      </w:r>
      <w:r w:rsidR="0058332A">
        <w:rPr>
          <w:b w:val="0"/>
          <w:color w:val="auto"/>
          <w:sz w:val="22"/>
        </w:rPr>
        <w:fldChar w:fldCharType="separate"/>
      </w:r>
      <w:r w:rsidR="0003093F" w:rsidRPr="0003093F">
        <w:rPr>
          <w:b w:val="0"/>
          <w:color w:val="auto"/>
          <w:sz w:val="22"/>
        </w:rPr>
        <w:t>Table 7</w:t>
      </w:r>
      <w:r w:rsidR="0058332A">
        <w:rPr>
          <w:b w:val="0"/>
          <w:color w:val="auto"/>
          <w:sz w:val="22"/>
        </w:rPr>
        <w:fldChar w:fldCharType="end"/>
      </w:r>
      <w:r w:rsidR="00A35129">
        <w:rPr>
          <w:b w:val="0"/>
          <w:color w:val="auto"/>
          <w:sz w:val="22"/>
        </w:rPr>
        <w:t xml:space="preserve">, and the overall results </w:t>
      </w:r>
      <w:r w:rsidR="009D172B">
        <w:rPr>
          <w:b w:val="0"/>
          <w:color w:val="auto"/>
          <w:sz w:val="22"/>
        </w:rPr>
        <w:t xml:space="preserve">for all three methods are </w:t>
      </w:r>
      <w:r w:rsidR="00A35129">
        <w:rPr>
          <w:b w:val="0"/>
          <w:color w:val="auto"/>
          <w:sz w:val="22"/>
        </w:rPr>
        <w:t xml:space="preserve">shown in </w:t>
      </w:r>
      <w:r w:rsidR="00A35129">
        <w:rPr>
          <w:b w:val="0"/>
          <w:color w:val="auto"/>
          <w:sz w:val="22"/>
        </w:rPr>
        <w:fldChar w:fldCharType="begin"/>
      </w:r>
      <w:r w:rsidR="00A35129">
        <w:rPr>
          <w:b w:val="0"/>
          <w:color w:val="auto"/>
          <w:sz w:val="22"/>
        </w:rPr>
        <w:instrText xml:space="preserve"> REF _Ref69725870 \h  \* MERGEFORMAT </w:instrText>
      </w:r>
      <w:r w:rsidR="00A35129">
        <w:rPr>
          <w:b w:val="0"/>
          <w:color w:val="auto"/>
          <w:sz w:val="22"/>
        </w:rPr>
      </w:r>
      <w:r w:rsidR="00A35129">
        <w:rPr>
          <w:b w:val="0"/>
          <w:color w:val="auto"/>
          <w:sz w:val="22"/>
        </w:rPr>
        <w:fldChar w:fldCharType="separate"/>
      </w:r>
      <w:r w:rsidR="0003093F" w:rsidRPr="0003093F">
        <w:rPr>
          <w:b w:val="0"/>
          <w:color w:val="auto"/>
          <w:sz w:val="22"/>
        </w:rPr>
        <w:t>Table 8</w:t>
      </w:r>
      <w:r w:rsidR="00A35129">
        <w:rPr>
          <w:b w:val="0"/>
          <w:color w:val="auto"/>
          <w:sz w:val="22"/>
        </w:rPr>
        <w:fldChar w:fldCharType="end"/>
      </w:r>
      <w:r w:rsidR="00A35129">
        <w:rPr>
          <w:b w:val="0"/>
          <w:color w:val="auto"/>
          <w:sz w:val="22"/>
        </w:rPr>
        <w:t>.</w:t>
      </w:r>
      <w:r w:rsidR="0058332A">
        <w:rPr>
          <w:b w:val="0"/>
          <w:color w:val="auto"/>
          <w:sz w:val="22"/>
        </w:rPr>
        <w:t xml:space="preserve"> </w:t>
      </w:r>
      <w:r w:rsidR="0058332A" w:rsidRPr="00EB5AD2">
        <w:rPr>
          <w:b w:val="0"/>
          <w:color w:val="auto"/>
          <w:sz w:val="22"/>
        </w:rPr>
        <w:t xml:space="preserve">Post-ESC updated analyses </w:t>
      </w:r>
      <w:r w:rsidR="004F24C4">
        <w:rPr>
          <w:b w:val="0"/>
          <w:color w:val="auto"/>
          <w:sz w:val="22"/>
        </w:rPr>
        <w:t>adding</w:t>
      </w:r>
      <w:r w:rsidR="0058332A" w:rsidRPr="00EB5AD2">
        <w:rPr>
          <w:b w:val="0"/>
          <w:color w:val="auto"/>
          <w:sz w:val="22"/>
        </w:rPr>
        <w:t xml:space="preserve"> patients relapsing in year 1 and year 2 and a re-biopsy rate of 4% in line with ESC’s requests are shown in blue italicised font.</w:t>
      </w:r>
    </w:p>
    <w:p w14:paraId="2284792A" w14:textId="231B6EF5" w:rsidR="009D172B" w:rsidRDefault="009D172B" w:rsidP="009D172B">
      <w:pPr>
        <w:pStyle w:val="Caption"/>
      </w:pPr>
      <w:bookmarkStart w:id="46" w:name="_Ref118578258"/>
      <w:bookmarkStart w:id="47" w:name="_Ref118923687"/>
      <w:bookmarkStart w:id="48" w:name="_Toc121921269"/>
      <w:r>
        <w:t xml:space="preserve">Table </w:t>
      </w:r>
      <w:bookmarkEnd w:id="46"/>
      <w:r>
        <w:fldChar w:fldCharType="begin"/>
      </w:r>
      <w:r>
        <w:instrText>SEQ Table \* ARABIC</w:instrText>
      </w:r>
      <w:r>
        <w:fldChar w:fldCharType="separate"/>
      </w:r>
      <w:r w:rsidR="00A922D7">
        <w:rPr>
          <w:noProof/>
        </w:rPr>
        <w:t>7</w:t>
      </w:r>
      <w:r>
        <w:fldChar w:fldCharType="end"/>
      </w:r>
      <w:bookmarkEnd w:id="47"/>
      <w:r>
        <w:tab/>
      </w:r>
      <w:r>
        <w:tab/>
        <w:t xml:space="preserve">Stepped presentation of results from the economic analysis </w:t>
      </w:r>
      <w:bookmarkEnd w:id="48"/>
      <w:r w:rsidR="004F24C4">
        <w:t>(</w:t>
      </w:r>
      <w:r>
        <w:t>qPCR</w:t>
      </w:r>
      <w:r w:rsidR="004F24C4">
        <w:t xml:space="preserve"> only)</w:t>
      </w:r>
    </w:p>
    <w:tbl>
      <w:tblPr>
        <w:tblStyle w:val="HTATable"/>
        <w:tblW w:w="0" w:type="auto"/>
        <w:tblLook w:val="04A0" w:firstRow="1" w:lastRow="0" w:firstColumn="1" w:lastColumn="0" w:noHBand="0" w:noVBand="1"/>
        <w:tblCaption w:val="Stepped presentation of results from the economic analysis: paediatric population"/>
        <w:tblDescription w:val="Stepped presentation of results from the economic analysis: paediatric population"/>
      </w:tblPr>
      <w:tblGrid>
        <w:gridCol w:w="1502"/>
        <w:gridCol w:w="1502"/>
        <w:gridCol w:w="960"/>
        <w:gridCol w:w="284"/>
        <w:gridCol w:w="259"/>
        <w:gridCol w:w="1503"/>
        <w:gridCol w:w="1503"/>
        <w:gridCol w:w="1503"/>
      </w:tblGrid>
      <w:tr w:rsidR="009D172B" w14:paraId="3EFC93FB" w14:textId="77777777" w:rsidTr="004D391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502" w:type="dxa"/>
          </w:tcPr>
          <w:p w14:paraId="4F28FEF9" w14:textId="77777777" w:rsidR="009D172B" w:rsidRPr="00B441DF" w:rsidRDefault="009D172B" w:rsidP="004D3912">
            <w:pPr>
              <w:pStyle w:val="TableHeading0"/>
              <w:rPr>
                <w:b/>
              </w:rPr>
            </w:pPr>
          </w:p>
        </w:tc>
        <w:tc>
          <w:tcPr>
            <w:tcW w:w="1502" w:type="dxa"/>
          </w:tcPr>
          <w:p w14:paraId="72CA7191" w14:textId="77777777" w:rsidR="009D172B" w:rsidRPr="00B441DF" w:rsidRDefault="009D172B" w:rsidP="004D3912">
            <w:pPr>
              <w:pStyle w:val="TableHeading0"/>
              <w:cnfStyle w:val="100000000000" w:firstRow="1" w:lastRow="0" w:firstColumn="0" w:lastColumn="0" w:oddVBand="0" w:evenVBand="0" w:oddHBand="0" w:evenHBand="0" w:firstRowFirstColumn="0" w:firstRowLastColumn="0" w:lastRowFirstColumn="0" w:lastRowLastColumn="0"/>
              <w:rPr>
                <w:b/>
              </w:rPr>
            </w:pPr>
            <w:r w:rsidRPr="00B441DF">
              <w:rPr>
                <w:b/>
              </w:rPr>
              <w:t>Cost</w:t>
            </w:r>
          </w:p>
        </w:tc>
        <w:tc>
          <w:tcPr>
            <w:tcW w:w="1503" w:type="dxa"/>
            <w:gridSpan w:val="3"/>
          </w:tcPr>
          <w:p w14:paraId="5B73C315" w14:textId="77777777" w:rsidR="009D172B" w:rsidRPr="00B441DF" w:rsidRDefault="009D172B" w:rsidP="004D3912">
            <w:pPr>
              <w:pStyle w:val="TableHeading0"/>
              <w:cnfStyle w:val="100000000000" w:firstRow="1" w:lastRow="0" w:firstColumn="0" w:lastColumn="0" w:oddVBand="0" w:evenVBand="0" w:oddHBand="0" w:evenHBand="0" w:firstRowFirstColumn="0" w:firstRowLastColumn="0" w:lastRowFirstColumn="0" w:lastRowLastColumn="0"/>
              <w:rPr>
                <w:b/>
              </w:rPr>
            </w:pPr>
            <w:r w:rsidRPr="00B441DF">
              <w:rPr>
                <w:b/>
              </w:rPr>
              <w:t>Incremental cost</w:t>
            </w:r>
          </w:p>
        </w:tc>
        <w:tc>
          <w:tcPr>
            <w:tcW w:w="1503" w:type="dxa"/>
          </w:tcPr>
          <w:p w14:paraId="030FDCC4" w14:textId="77777777" w:rsidR="009D172B" w:rsidRPr="00B441DF" w:rsidRDefault="009D172B" w:rsidP="004D3912">
            <w:pPr>
              <w:pStyle w:val="TableHeading0"/>
              <w:cnfStyle w:val="100000000000" w:firstRow="1" w:lastRow="0" w:firstColumn="0" w:lastColumn="0" w:oddVBand="0" w:evenVBand="0" w:oddHBand="0" w:evenHBand="0" w:firstRowFirstColumn="0" w:firstRowLastColumn="0" w:lastRowFirstColumn="0" w:lastRowLastColumn="0"/>
              <w:rPr>
                <w:b/>
              </w:rPr>
            </w:pPr>
            <w:r w:rsidRPr="00B441DF">
              <w:rPr>
                <w:b/>
              </w:rPr>
              <w:t>Effectiveness</w:t>
            </w:r>
          </w:p>
        </w:tc>
        <w:tc>
          <w:tcPr>
            <w:tcW w:w="1503" w:type="dxa"/>
          </w:tcPr>
          <w:p w14:paraId="12950068" w14:textId="77777777" w:rsidR="009D172B" w:rsidRPr="00B441DF" w:rsidRDefault="009D172B" w:rsidP="004D3912">
            <w:pPr>
              <w:pStyle w:val="TableHeading0"/>
              <w:cnfStyle w:val="100000000000" w:firstRow="1" w:lastRow="0" w:firstColumn="0" w:lastColumn="0" w:oddVBand="0" w:evenVBand="0" w:oddHBand="0" w:evenHBand="0" w:firstRowFirstColumn="0" w:firstRowLastColumn="0" w:lastRowFirstColumn="0" w:lastRowLastColumn="0"/>
              <w:rPr>
                <w:b/>
              </w:rPr>
            </w:pPr>
            <w:r w:rsidRPr="00B441DF">
              <w:rPr>
                <w:b/>
              </w:rPr>
              <w:t>Incremental effectiveness</w:t>
            </w:r>
          </w:p>
        </w:tc>
        <w:tc>
          <w:tcPr>
            <w:tcW w:w="1503" w:type="dxa"/>
          </w:tcPr>
          <w:p w14:paraId="793D47E8" w14:textId="77777777" w:rsidR="009D172B" w:rsidRPr="00B441DF" w:rsidRDefault="009D172B" w:rsidP="004D3912">
            <w:pPr>
              <w:pStyle w:val="TableHeading0"/>
              <w:cnfStyle w:val="100000000000" w:firstRow="1" w:lastRow="0" w:firstColumn="0" w:lastColumn="0" w:oddVBand="0" w:evenVBand="0" w:oddHBand="0" w:evenHBand="0" w:firstRowFirstColumn="0" w:firstRowLastColumn="0" w:lastRowFirstColumn="0" w:lastRowLastColumn="0"/>
              <w:rPr>
                <w:b/>
              </w:rPr>
            </w:pPr>
            <w:r w:rsidRPr="00B441DF">
              <w:rPr>
                <w:b/>
              </w:rPr>
              <w:t>ICER</w:t>
            </w:r>
          </w:p>
        </w:tc>
      </w:tr>
      <w:tr w:rsidR="009D172B" w:rsidRPr="009D172B" w14:paraId="2EF22CDC" w14:textId="77777777" w:rsidTr="004D3912">
        <w:trPr>
          <w:cantSplit/>
        </w:trPr>
        <w:tc>
          <w:tcPr>
            <w:cnfStyle w:val="001000000000" w:firstRow="0" w:lastRow="0" w:firstColumn="1" w:lastColumn="0" w:oddVBand="0" w:evenVBand="0" w:oddHBand="0" w:evenHBand="0" w:firstRowFirstColumn="0" w:firstRowLastColumn="0" w:lastRowFirstColumn="0" w:lastRowLastColumn="0"/>
            <w:tcW w:w="3964" w:type="dxa"/>
            <w:gridSpan w:val="3"/>
            <w:tcBorders>
              <w:right w:val="nil"/>
            </w:tcBorders>
            <w:shd w:val="clear" w:color="auto" w:fill="BFBFBF" w:themeFill="background1" w:themeFillShade="BF"/>
          </w:tcPr>
          <w:p w14:paraId="7AC5D208" w14:textId="0F78B918" w:rsidR="009D172B" w:rsidRPr="00EB5AD2" w:rsidRDefault="009D172B" w:rsidP="004D3912">
            <w:pPr>
              <w:pStyle w:val="Tabletext0"/>
              <w:rPr>
                <w:b/>
                <w:bCs/>
              </w:rPr>
            </w:pPr>
            <w:r w:rsidRPr="00EB5AD2">
              <w:rPr>
                <w:b/>
                <w:bCs/>
              </w:rPr>
              <w:t>Adult</w:t>
            </w:r>
            <w:r w:rsidR="001E3A1D">
              <w:rPr>
                <w:b/>
                <w:bCs/>
              </w:rPr>
              <w:t>: qPCR</w:t>
            </w:r>
          </w:p>
        </w:tc>
        <w:tc>
          <w:tcPr>
            <w:tcW w:w="284" w:type="dxa"/>
            <w:tcBorders>
              <w:left w:val="nil"/>
              <w:right w:val="nil"/>
            </w:tcBorders>
            <w:shd w:val="clear" w:color="auto" w:fill="BFBFBF" w:themeFill="background1" w:themeFillShade="BF"/>
          </w:tcPr>
          <w:p w14:paraId="1217728C" w14:textId="77777777" w:rsidR="009D172B" w:rsidRPr="00EB5AD2" w:rsidRDefault="009D172B" w:rsidP="004D3912">
            <w:pPr>
              <w:pStyle w:val="Tabletext0"/>
              <w:cnfStyle w:val="000000000000" w:firstRow="0" w:lastRow="0" w:firstColumn="0" w:lastColumn="0" w:oddVBand="0" w:evenVBand="0" w:oddHBand="0" w:evenHBand="0" w:firstRowFirstColumn="0" w:firstRowLastColumn="0" w:lastRowFirstColumn="0" w:lastRowLastColumn="0"/>
              <w:rPr>
                <w:b/>
                <w:bCs/>
              </w:rPr>
            </w:pPr>
          </w:p>
        </w:tc>
        <w:tc>
          <w:tcPr>
            <w:tcW w:w="259" w:type="dxa"/>
            <w:tcBorders>
              <w:left w:val="nil"/>
              <w:right w:val="nil"/>
            </w:tcBorders>
            <w:shd w:val="clear" w:color="auto" w:fill="BFBFBF" w:themeFill="background1" w:themeFillShade="BF"/>
          </w:tcPr>
          <w:p w14:paraId="28921F3B" w14:textId="77777777" w:rsidR="009D172B" w:rsidRPr="00EB5AD2" w:rsidRDefault="009D172B" w:rsidP="004D3912">
            <w:pPr>
              <w:pStyle w:val="Tabletext0"/>
              <w:cnfStyle w:val="000000000000" w:firstRow="0" w:lastRow="0" w:firstColumn="0" w:lastColumn="0" w:oddVBand="0" w:evenVBand="0" w:oddHBand="0" w:evenHBand="0" w:firstRowFirstColumn="0" w:firstRowLastColumn="0" w:lastRowFirstColumn="0" w:lastRowLastColumn="0"/>
              <w:rPr>
                <w:b/>
                <w:bCs/>
              </w:rPr>
            </w:pPr>
          </w:p>
        </w:tc>
        <w:tc>
          <w:tcPr>
            <w:tcW w:w="1503" w:type="dxa"/>
            <w:tcBorders>
              <w:left w:val="nil"/>
              <w:right w:val="nil"/>
            </w:tcBorders>
            <w:shd w:val="clear" w:color="auto" w:fill="BFBFBF" w:themeFill="background1" w:themeFillShade="BF"/>
          </w:tcPr>
          <w:p w14:paraId="08C4E105" w14:textId="77777777" w:rsidR="009D172B" w:rsidRPr="00EB5AD2" w:rsidRDefault="009D172B" w:rsidP="004D3912">
            <w:pPr>
              <w:pStyle w:val="Tabletext0"/>
              <w:cnfStyle w:val="000000000000" w:firstRow="0" w:lastRow="0" w:firstColumn="0" w:lastColumn="0" w:oddVBand="0" w:evenVBand="0" w:oddHBand="0" w:evenHBand="0" w:firstRowFirstColumn="0" w:firstRowLastColumn="0" w:lastRowFirstColumn="0" w:lastRowLastColumn="0"/>
              <w:rPr>
                <w:b/>
                <w:bCs/>
              </w:rPr>
            </w:pPr>
          </w:p>
        </w:tc>
        <w:tc>
          <w:tcPr>
            <w:tcW w:w="1503" w:type="dxa"/>
            <w:tcBorders>
              <w:left w:val="nil"/>
              <w:bottom w:val="single" w:sz="4" w:space="0" w:color="auto"/>
              <w:right w:val="nil"/>
            </w:tcBorders>
            <w:shd w:val="clear" w:color="auto" w:fill="BFBFBF" w:themeFill="background1" w:themeFillShade="BF"/>
          </w:tcPr>
          <w:p w14:paraId="03F93458" w14:textId="77777777" w:rsidR="009D172B" w:rsidRPr="00EB5AD2" w:rsidRDefault="009D172B" w:rsidP="004D3912">
            <w:pPr>
              <w:pStyle w:val="Tabletext0"/>
              <w:cnfStyle w:val="000000000000" w:firstRow="0" w:lastRow="0" w:firstColumn="0" w:lastColumn="0" w:oddVBand="0" w:evenVBand="0" w:oddHBand="0" w:evenHBand="0" w:firstRowFirstColumn="0" w:firstRowLastColumn="0" w:lastRowFirstColumn="0" w:lastRowLastColumn="0"/>
              <w:rPr>
                <w:b/>
                <w:bCs/>
              </w:rPr>
            </w:pPr>
          </w:p>
        </w:tc>
        <w:tc>
          <w:tcPr>
            <w:tcW w:w="1503" w:type="dxa"/>
            <w:tcBorders>
              <w:left w:val="nil"/>
              <w:bottom w:val="single" w:sz="4" w:space="0" w:color="auto"/>
            </w:tcBorders>
            <w:shd w:val="clear" w:color="auto" w:fill="BFBFBF" w:themeFill="background1" w:themeFillShade="BF"/>
          </w:tcPr>
          <w:p w14:paraId="0A59B7F0" w14:textId="77777777" w:rsidR="009D172B" w:rsidRPr="00EB5AD2" w:rsidRDefault="009D172B" w:rsidP="004D3912">
            <w:pPr>
              <w:pStyle w:val="Tabletext0"/>
              <w:cnfStyle w:val="000000000000" w:firstRow="0" w:lastRow="0" w:firstColumn="0" w:lastColumn="0" w:oddVBand="0" w:evenVBand="0" w:oddHBand="0" w:evenHBand="0" w:firstRowFirstColumn="0" w:firstRowLastColumn="0" w:lastRowFirstColumn="0" w:lastRowLastColumn="0"/>
              <w:rPr>
                <w:b/>
                <w:bCs/>
              </w:rPr>
            </w:pPr>
          </w:p>
        </w:tc>
      </w:tr>
      <w:tr w:rsidR="009D172B" w14:paraId="6BD14AE8" w14:textId="77777777" w:rsidTr="004D3912">
        <w:trPr>
          <w:cantSplit/>
        </w:trPr>
        <w:tc>
          <w:tcPr>
            <w:cnfStyle w:val="001000000000" w:firstRow="0" w:lastRow="0" w:firstColumn="1" w:lastColumn="0" w:oddVBand="0" w:evenVBand="0" w:oddHBand="0" w:evenHBand="0" w:firstRowFirstColumn="0" w:firstRowLastColumn="0" w:lastRowFirstColumn="0" w:lastRowLastColumn="0"/>
            <w:tcW w:w="9016" w:type="dxa"/>
            <w:gridSpan w:val="8"/>
            <w:tcBorders>
              <w:top w:val="single" w:sz="4" w:space="0" w:color="auto"/>
            </w:tcBorders>
          </w:tcPr>
          <w:p w14:paraId="226084BF" w14:textId="77777777" w:rsidR="009D172B" w:rsidRDefault="009D172B" w:rsidP="004D3912">
            <w:pPr>
              <w:pStyle w:val="Tabletext0"/>
              <w:keepNext/>
              <w:keepLines/>
            </w:pPr>
            <w:r>
              <w:t xml:space="preserve">Step 1 (cost per LY gained- </w:t>
            </w:r>
            <w:proofErr w:type="gramStart"/>
            <w:r>
              <w:t>5 year</w:t>
            </w:r>
            <w:proofErr w:type="gramEnd"/>
            <w:r>
              <w:t xml:space="preserve"> time horizon)</w:t>
            </w:r>
          </w:p>
        </w:tc>
      </w:tr>
      <w:tr w:rsidR="009D172B" w14:paraId="76604ADC" w14:textId="77777777" w:rsidTr="004D3912">
        <w:trPr>
          <w:cantSplit/>
        </w:trPr>
        <w:tc>
          <w:tcPr>
            <w:cnfStyle w:val="001000000000" w:firstRow="0" w:lastRow="0" w:firstColumn="1" w:lastColumn="0" w:oddVBand="0" w:evenVBand="0" w:oddHBand="0" w:evenHBand="0" w:firstRowFirstColumn="0" w:firstRowLastColumn="0" w:lastRowFirstColumn="0" w:lastRowLastColumn="0"/>
            <w:tcW w:w="1502" w:type="dxa"/>
          </w:tcPr>
          <w:p w14:paraId="573396F9" w14:textId="77777777" w:rsidR="009D172B" w:rsidRDefault="009D172B" w:rsidP="004D3912">
            <w:pPr>
              <w:pStyle w:val="Tabletext0"/>
              <w:keepNext/>
              <w:keepLines/>
            </w:pPr>
            <w:r>
              <w:t>MRD</w:t>
            </w:r>
          </w:p>
        </w:tc>
        <w:tc>
          <w:tcPr>
            <w:tcW w:w="1502" w:type="dxa"/>
            <w:vAlign w:val="center"/>
          </w:tcPr>
          <w:p w14:paraId="7133AF7D" w14:textId="77777777" w:rsidR="009D172B" w:rsidRDefault="009D172B" w:rsidP="004D3912">
            <w:pPr>
              <w:pStyle w:val="Tabletext0"/>
              <w:keepNext/>
              <w:keepLines/>
              <w:jc w:val="center"/>
              <w:cnfStyle w:val="000000000000" w:firstRow="0" w:lastRow="0" w:firstColumn="0" w:lastColumn="0" w:oddVBand="0" w:evenVBand="0" w:oddHBand="0" w:evenHBand="0" w:firstRowFirstColumn="0" w:firstRowLastColumn="0" w:lastRowFirstColumn="0" w:lastRowLastColumn="0"/>
            </w:pPr>
            <w:r>
              <w:rPr>
                <w:rFonts w:cs="Calibri"/>
                <w:color w:val="000000"/>
              </w:rPr>
              <w:t>$341,058</w:t>
            </w:r>
          </w:p>
        </w:tc>
        <w:tc>
          <w:tcPr>
            <w:tcW w:w="1503" w:type="dxa"/>
            <w:gridSpan w:val="3"/>
            <w:tcBorders>
              <w:top w:val="nil"/>
              <w:bottom w:val="nil"/>
            </w:tcBorders>
            <w:vAlign w:val="center"/>
          </w:tcPr>
          <w:p w14:paraId="66E030DD" w14:textId="77777777" w:rsidR="009D172B" w:rsidRDefault="009D172B" w:rsidP="004D3912">
            <w:pPr>
              <w:pStyle w:val="Tabletext0"/>
              <w:keepNext/>
              <w:keepLines/>
              <w:jc w:val="center"/>
              <w:cnfStyle w:val="000000000000" w:firstRow="0" w:lastRow="0" w:firstColumn="0" w:lastColumn="0" w:oddVBand="0" w:evenVBand="0" w:oddHBand="0" w:evenHBand="0" w:firstRowFirstColumn="0" w:firstRowLastColumn="0" w:lastRowFirstColumn="0" w:lastRowLastColumn="0"/>
            </w:pPr>
            <w:r>
              <w:rPr>
                <w:rFonts w:cs="Calibri"/>
                <w:color w:val="000000"/>
              </w:rPr>
              <w:t>-$25,343</w:t>
            </w:r>
          </w:p>
        </w:tc>
        <w:tc>
          <w:tcPr>
            <w:tcW w:w="1503" w:type="dxa"/>
            <w:vAlign w:val="center"/>
          </w:tcPr>
          <w:p w14:paraId="41BF8233" w14:textId="77777777" w:rsidR="009D172B" w:rsidRDefault="009D172B" w:rsidP="004D3912">
            <w:pPr>
              <w:pStyle w:val="Tabletext0"/>
              <w:keepNext/>
              <w:keepLines/>
              <w:jc w:val="center"/>
              <w:cnfStyle w:val="000000000000" w:firstRow="0" w:lastRow="0" w:firstColumn="0" w:lastColumn="0" w:oddVBand="0" w:evenVBand="0" w:oddHBand="0" w:evenHBand="0" w:firstRowFirstColumn="0" w:firstRowLastColumn="0" w:lastRowFirstColumn="0" w:lastRowLastColumn="0"/>
            </w:pPr>
            <w:r>
              <w:rPr>
                <w:rFonts w:cs="Calibri"/>
                <w:color w:val="000000"/>
              </w:rPr>
              <w:t>4.22</w:t>
            </w:r>
          </w:p>
        </w:tc>
        <w:tc>
          <w:tcPr>
            <w:tcW w:w="1503" w:type="dxa"/>
            <w:tcBorders>
              <w:top w:val="nil"/>
              <w:bottom w:val="nil"/>
            </w:tcBorders>
            <w:vAlign w:val="center"/>
          </w:tcPr>
          <w:p w14:paraId="6AF2B84A" w14:textId="77777777" w:rsidR="009D172B" w:rsidRDefault="009D172B" w:rsidP="004D3912">
            <w:pPr>
              <w:pStyle w:val="Tabletext0"/>
              <w:keepNext/>
              <w:keepLines/>
              <w:jc w:val="center"/>
              <w:cnfStyle w:val="000000000000" w:firstRow="0" w:lastRow="0" w:firstColumn="0" w:lastColumn="0" w:oddVBand="0" w:evenVBand="0" w:oddHBand="0" w:evenHBand="0" w:firstRowFirstColumn="0" w:firstRowLastColumn="0" w:lastRowFirstColumn="0" w:lastRowLastColumn="0"/>
            </w:pPr>
            <w:r>
              <w:rPr>
                <w:rFonts w:cs="Calibri"/>
                <w:color w:val="000000"/>
              </w:rPr>
              <w:t>0.84</w:t>
            </w:r>
          </w:p>
        </w:tc>
        <w:tc>
          <w:tcPr>
            <w:tcW w:w="1503" w:type="dxa"/>
            <w:tcBorders>
              <w:top w:val="nil"/>
              <w:bottom w:val="nil"/>
            </w:tcBorders>
            <w:vAlign w:val="center"/>
          </w:tcPr>
          <w:p w14:paraId="7C94DFF2" w14:textId="77777777" w:rsidR="009D172B" w:rsidRDefault="009D172B" w:rsidP="004D3912">
            <w:pPr>
              <w:pStyle w:val="Tabletext0"/>
              <w:keepNext/>
              <w:keepLines/>
              <w:jc w:val="center"/>
              <w:cnfStyle w:val="000000000000" w:firstRow="0" w:lastRow="0" w:firstColumn="0" w:lastColumn="0" w:oddVBand="0" w:evenVBand="0" w:oddHBand="0" w:evenHBand="0" w:firstRowFirstColumn="0" w:firstRowLastColumn="0" w:lastRowFirstColumn="0" w:lastRowLastColumn="0"/>
            </w:pPr>
            <w:r>
              <w:rPr>
                <w:rFonts w:cs="Calibri"/>
                <w:color w:val="000000"/>
              </w:rPr>
              <w:t>Dominant</w:t>
            </w:r>
          </w:p>
        </w:tc>
      </w:tr>
      <w:tr w:rsidR="009D172B" w14:paraId="7D99836F" w14:textId="77777777" w:rsidTr="004D3912">
        <w:trPr>
          <w:cantSplit/>
        </w:trPr>
        <w:tc>
          <w:tcPr>
            <w:cnfStyle w:val="001000000000" w:firstRow="0" w:lastRow="0" w:firstColumn="1" w:lastColumn="0" w:oddVBand="0" w:evenVBand="0" w:oddHBand="0" w:evenHBand="0" w:firstRowFirstColumn="0" w:firstRowLastColumn="0" w:lastRowFirstColumn="0" w:lastRowLastColumn="0"/>
            <w:tcW w:w="1502" w:type="dxa"/>
          </w:tcPr>
          <w:p w14:paraId="6724D52D" w14:textId="77777777" w:rsidR="009D172B" w:rsidRDefault="009D172B" w:rsidP="004D3912">
            <w:pPr>
              <w:pStyle w:val="Tabletext0"/>
              <w:keepNext/>
              <w:keepLines/>
            </w:pPr>
            <w:r>
              <w:t>No MRD</w:t>
            </w:r>
          </w:p>
        </w:tc>
        <w:tc>
          <w:tcPr>
            <w:tcW w:w="1502" w:type="dxa"/>
            <w:vAlign w:val="center"/>
          </w:tcPr>
          <w:p w14:paraId="0B1317E9" w14:textId="77777777" w:rsidR="009D172B" w:rsidRDefault="009D172B" w:rsidP="004D3912">
            <w:pPr>
              <w:pStyle w:val="Tabletext0"/>
              <w:keepNext/>
              <w:keepLines/>
              <w:jc w:val="center"/>
              <w:cnfStyle w:val="000000000000" w:firstRow="0" w:lastRow="0" w:firstColumn="0" w:lastColumn="0" w:oddVBand="0" w:evenVBand="0" w:oddHBand="0" w:evenHBand="0" w:firstRowFirstColumn="0" w:firstRowLastColumn="0" w:lastRowFirstColumn="0" w:lastRowLastColumn="0"/>
            </w:pPr>
            <w:r>
              <w:rPr>
                <w:rFonts w:cs="Calibri"/>
                <w:color w:val="000000"/>
              </w:rPr>
              <w:t>$366,401</w:t>
            </w:r>
          </w:p>
        </w:tc>
        <w:tc>
          <w:tcPr>
            <w:tcW w:w="1503" w:type="dxa"/>
            <w:gridSpan w:val="3"/>
            <w:tcBorders>
              <w:top w:val="nil"/>
              <w:bottom w:val="nil"/>
            </w:tcBorders>
            <w:vAlign w:val="center"/>
          </w:tcPr>
          <w:p w14:paraId="76890315" w14:textId="77777777" w:rsidR="009D172B" w:rsidRDefault="009D172B" w:rsidP="004D3912">
            <w:pPr>
              <w:pStyle w:val="Tabletext0"/>
              <w:keepNext/>
              <w:keepLines/>
              <w:jc w:val="center"/>
              <w:cnfStyle w:val="000000000000" w:firstRow="0" w:lastRow="0" w:firstColumn="0" w:lastColumn="0" w:oddVBand="0" w:evenVBand="0" w:oddHBand="0" w:evenHBand="0" w:firstRowFirstColumn="0" w:firstRowLastColumn="0" w:lastRowFirstColumn="0" w:lastRowLastColumn="0"/>
            </w:pPr>
            <w:r>
              <w:rPr>
                <w:rFonts w:cs="Calibri"/>
                <w:color w:val="000000"/>
              </w:rPr>
              <w:t> </w:t>
            </w:r>
          </w:p>
        </w:tc>
        <w:tc>
          <w:tcPr>
            <w:tcW w:w="1503" w:type="dxa"/>
            <w:vAlign w:val="center"/>
          </w:tcPr>
          <w:p w14:paraId="01483ABD" w14:textId="77777777" w:rsidR="009D172B" w:rsidRDefault="009D172B" w:rsidP="004D3912">
            <w:pPr>
              <w:pStyle w:val="Tabletext0"/>
              <w:keepNext/>
              <w:keepLines/>
              <w:jc w:val="center"/>
              <w:cnfStyle w:val="000000000000" w:firstRow="0" w:lastRow="0" w:firstColumn="0" w:lastColumn="0" w:oddVBand="0" w:evenVBand="0" w:oddHBand="0" w:evenHBand="0" w:firstRowFirstColumn="0" w:firstRowLastColumn="0" w:lastRowFirstColumn="0" w:lastRowLastColumn="0"/>
            </w:pPr>
            <w:r>
              <w:rPr>
                <w:rFonts w:cs="Calibri"/>
                <w:color w:val="000000"/>
              </w:rPr>
              <w:t>3.38</w:t>
            </w:r>
          </w:p>
        </w:tc>
        <w:tc>
          <w:tcPr>
            <w:tcW w:w="1503" w:type="dxa"/>
            <w:tcBorders>
              <w:top w:val="nil"/>
              <w:bottom w:val="nil"/>
            </w:tcBorders>
            <w:vAlign w:val="center"/>
          </w:tcPr>
          <w:p w14:paraId="4B020CBF" w14:textId="77777777" w:rsidR="009D172B" w:rsidRDefault="009D172B" w:rsidP="004D3912">
            <w:pPr>
              <w:pStyle w:val="Tabletext0"/>
              <w:keepNext/>
              <w:keepLines/>
              <w:jc w:val="center"/>
              <w:cnfStyle w:val="000000000000" w:firstRow="0" w:lastRow="0" w:firstColumn="0" w:lastColumn="0" w:oddVBand="0" w:evenVBand="0" w:oddHBand="0" w:evenHBand="0" w:firstRowFirstColumn="0" w:firstRowLastColumn="0" w:lastRowFirstColumn="0" w:lastRowLastColumn="0"/>
            </w:pPr>
            <w:r>
              <w:rPr>
                <w:rFonts w:cs="Calibri"/>
                <w:color w:val="000000"/>
              </w:rPr>
              <w:t> </w:t>
            </w:r>
          </w:p>
        </w:tc>
        <w:tc>
          <w:tcPr>
            <w:tcW w:w="1503" w:type="dxa"/>
            <w:tcBorders>
              <w:top w:val="nil"/>
              <w:bottom w:val="nil"/>
            </w:tcBorders>
            <w:vAlign w:val="center"/>
          </w:tcPr>
          <w:p w14:paraId="28AFDC0C" w14:textId="77777777" w:rsidR="009D172B" w:rsidRDefault="009D172B" w:rsidP="004D3912">
            <w:pPr>
              <w:pStyle w:val="Tabletext0"/>
              <w:keepNext/>
              <w:keepLines/>
              <w:jc w:val="center"/>
              <w:cnfStyle w:val="000000000000" w:firstRow="0" w:lastRow="0" w:firstColumn="0" w:lastColumn="0" w:oddVBand="0" w:evenVBand="0" w:oddHBand="0" w:evenHBand="0" w:firstRowFirstColumn="0" w:firstRowLastColumn="0" w:lastRowFirstColumn="0" w:lastRowLastColumn="0"/>
            </w:pPr>
            <w:r>
              <w:rPr>
                <w:rFonts w:cs="Calibri"/>
                <w:color w:val="000000"/>
              </w:rPr>
              <w:t>-$30,267</w:t>
            </w:r>
          </w:p>
        </w:tc>
      </w:tr>
      <w:tr w:rsidR="009D172B" w14:paraId="0B358189" w14:textId="77777777" w:rsidTr="004D3912">
        <w:trPr>
          <w:cantSplit/>
        </w:trPr>
        <w:tc>
          <w:tcPr>
            <w:cnfStyle w:val="001000000000" w:firstRow="0" w:lastRow="0" w:firstColumn="1" w:lastColumn="0" w:oddVBand="0" w:evenVBand="0" w:oddHBand="0" w:evenHBand="0" w:firstRowFirstColumn="0" w:firstRowLastColumn="0" w:lastRowFirstColumn="0" w:lastRowLastColumn="0"/>
            <w:tcW w:w="9016" w:type="dxa"/>
            <w:gridSpan w:val="8"/>
          </w:tcPr>
          <w:p w14:paraId="055439AE" w14:textId="77777777" w:rsidR="009D172B" w:rsidRDefault="009D172B" w:rsidP="004D3912">
            <w:pPr>
              <w:pStyle w:val="Tabletext0"/>
            </w:pPr>
            <w:r>
              <w:t xml:space="preserve">Step 2 (cost per LY gained- </w:t>
            </w:r>
            <w:proofErr w:type="gramStart"/>
            <w:r>
              <w:t>30 year</w:t>
            </w:r>
            <w:proofErr w:type="gramEnd"/>
            <w:r>
              <w:t xml:space="preserve"> time horizon)</w:t>
            </w:r>
          </w:p>
        </w:tc>
      </w:tr>
      <w:tr w:rsidR="009D172B" w14:paraId="33DDF341" w14:textId="77777777" w:rsidTr="004D3912">
        <w:trPr>
          <w:cantSplit/>
        </w:trPr>
        <w:tc>
          <w:tcPr>
            <w:cnfStyle w:val="001000000000" w:firstRow="0" w:lastRow="0" w:firstColumn="1" w:lastColumn="0" w:oddVBand="0" w:evenVBand="0" w:oddHBand="0" w:evenHBand="0" w:firstRowFirstColumn="0" w:firstRowLastColumn="0" w:lastRowFirstColumn="0" w:lastRowLastColumn="0"/>
            <w:tcW w:w="1502" w:type="dxa"/>
          </w:tcPr>
          <w:p w14:paraId="1EB71686" w14:textId="77777777" w:rsidR="009D172B" w:rsidRDefault="009D172B" w:rsidP="004D3912">
            <w:pPr>
              <w:pStyle w:val="Tabletext0"/>
            </w:pPr>
            <w:r>
              <w:t>MRD</w:t>
            </w:r>
          </w:p>
        </w:tc>
        <w:tc>
          <w:tcPr>
            <w:tcW w:w="1502" w:type="dxa"/>
            <w:vAlign w:val="center"/>
          </w:tcPr>
          <w:p w14:paraId="70E7DD88"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$418,846</w:t>
            </w:r>
          </w:p>
        </w:tc>
        <w:tc>
          <w:tcPr>
            <w:tcW w:w="1503" w:type="dxa"/>
            <w:gridSpan w:val="3"/>
            <w:tcBorders>
              <w:top w:val="nil"/>
              <w:bottom w:val="nil"/>
            </w:tcBorders>
            <w:vAlign w:val="center"/>
          </w:tcPr>
          <w:p w14:paraId="0A2A95DB"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$31,274</w:t>
            </w:r>
          </w:p>
        </w:tc>
        <w:tc>
          <w:tcPr>
            <w:tcW w:w="1503" w:type="dxa"/>
            <w:vAlign w:val="center"/>
          </w:tcPr>
          <w:p w14:paraId="1EC3B852"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9.76</w:t>
            </w:r>
          </w:p>
        </w:tc>
        <w:tc>
          <w:tcPr>
            <w:tcW w:w="1503" w:type="dxa"/>
            <w:tcBorders>
              <w:top w:val="nil"/>
              <w:bottom w:val="nil"/>
            </w:tcBorders>
            <w:vAlign w:val="center"/>
          </w:tcPr>
          <w:p w14:paraId="5582D963"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3.80</w:t>
            </w:r>
          </w:p>
        </w:tc>
        <w:tc>
          <w:tcPr>
            <w:tcW w:w="1503" w:type="dxa"/>
            <w:tcBorders>
              <w:top w:val="nil"/>
              <w:bottom w:val="nil"/>
            </w:tcBorders>
            <w:vAlign w:val="center"/>
          </w:tcPr>
          <w:p w14:paraId="17DA7C44"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$8,220</w:t>
            </w:r>
          </w:p>
        </w:tc>
      </w:tr>
      <w:tr w:rsidR="009D172B" w14:paraId="12C5C508" w14:textId="77777777" w:rsidTr="004D3912">
        <w:trPr>
          <w:cantSplit/>
        </w:trPr>
        <w:tc>
          <w:tcPr>
            <w:cnfStyle w:val="001000000000" w:firstRow="0" w:lastRow="0" w:firstColumn="1" w:lastColumn="0" w:oddVBand="0" w:evenVBand="0" w:oddHBand="0" w:evenHBand="0" w:firstRowFirstColumn="0" w:firstRowLastColumn="0" w:lastRowFirstColumn="0" w:lastRowLastColumn="0"/>
            <w:tcW w:w="1502" w:type="dxa"/>
          </w:tcPr>
          <w:p w14:paraId="64C9C114" w14:textId="77777777" w:rsidR="009D172B" w:rsidRDefault="009D172B" w:rsidP="004D3912">
            <w:pPr>
              <w:pStyle w:val="Tabletext0"/>
            </w:pPr>
            <w:r>
              <w:t>No MRD</w:t>
            </w:r>
          </w:p>
        </w:tc>
        <w:tc>
          <w:tcPr>
            <w:tcW w:w="1502" w:type="dxa"/>
            <w:vAlign w:val="center"/>
          </w:tcPr>
          <w:p w14:paraId="2B010C83"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$387,572</w:t>
            </w:r>
          </w:p>
        </w:tc>
        <w:tc>
          <w:tcPr>
            <w:tcW w:w="1503" w:type="dxa"/>
            <w:gridSpan w:val="3"/>
            <w:tcBorders>
              <w:top w:val="nil"/>
              <w:bottom w:val="nil"/>
            </w:tcBorders>
            <w:vAlign w:val="center"/>
          </w:tcPr>
          <w:p w14:paraId="6249B4CF"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 </w:t>
            </w:r>
          </w:p>
        </w:tc>
        <w:tc>
          <w:tcPr>
            <w:tcW w:w="1503" w:type="dxa"/>
            <w:vAlign w:val="center"/>
          </w:tcPr>
          <w:p w14:paraId="40AA6462"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5.95</w:t>
            </w:r>
          </w:p>
        </w:tc>
        <w:tc>
          <w:tcPr>
            <w:tcW w:w="1503" w:type="dxa"/>
            <w:tcBorders>
              <w:top w:val="nil"/>
              <w:bottom w:val="nil"/>
            </w:tcBorders>
            <w:vAlign w:val="center"/>
          </w:tcPr>
          <w:p w14:paraId="63D9CEC1"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 </w:t>
            </w:r>
          </w:p>
        </w:tc>
        <w:tc>
          <w:tcPr>
            <w:tcW w:w="1503" w:type="dxa"/>
            <w:tcBorders>
              <w:top w:val="nil"/>
              <w:bottom w:val="nil"/>
            </w:tcBorders>
            <w:vAlign w:val="center"/>
          </w:tcPr>
          <w:p w14:paraId="35DDA312"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 </w:t>
            </w:r>
          </w:p>
        </w:tc>
      </w:tr>
      <w:tr w:rsidR="009D172B" w14:paraId="38C5AAA1" w14:textId="77777777" w:rsidTr="004D3912">
        <w:trPr>
          <w:cantSplit/>
        </w:trPr>
        <w:tc>
          <w:tcPr>
            <w:cnfStyle w:val="001000000000" w:firstRow="0" w:lastRow="0" w:firstColumn="1" w:lastColumn="0" w:oddVBand="0" w:evenVBand="0" w:oddHBand="0" w:evenHBand="0" w:firstRowFirstColumn="0" w:firstRowLastColumn="0" w:lastRowFirstColumn="0" w:lastRowLastColumn="0"/>
            <w:tcW w:w="9016" w:type="dxa"/>
            <w:gridSpan w:val="8"/>
          </w:tcPr>
          <w:p w14:paraId="48246F11" w14:textId="5BDBBC14" w:rsidR="009D172B" w:rsidRDefault="009D172B" w:rsidP="004D3912">
            <w:pPr>
              <w:pStyle w:val="Tabletext0"/>
            </w:pPr>
            <w:r>
              <w:t xml:space="preserve">Step 3 (cost per QALY gained- </w:t>
            </w:r>
            <w:proofErr w:type="gramStart"/>
            <w:r>
              <w:t>30 year</w:t>
            </w:r>
            <w:proofErr w:type="gramEnd"/>
            <w:r>
              <w:t xml:space="preserve"> time horizon)</w:t>
            </w:r>
          </w:p>
        </w:tc>
      </w:tr>
      <w:tr w:rsidR="009D172B" w14:paraId="607EE57F" w14:textId="77777777" w:rsidTr="004D3912">
        <w:trPr>
          <w:cantSplit/>
        </w:trPr>
        <w:tc>
          <w:tcPr>
            <w:cnfStyle w:val="001000000000" w:firstRow="0" w:lastRow="0" w:firstColumn="1" w:lastColumn="0" w:oddVBand="0" w:evenVBand="0" w:oddHBand="0" w:evenHBand="0" w:firstRowFirstColumn="0" w:firstRowLastColumn="0" w:lastRowFirstColumn="0" w:lastRowLastColumn="0"/>
            <w:tcW w:w="1502" w:type="dxa"/>
          </w:tcPr>
          <w:p w14:paraId="122FB8F5" w14:textId="77777777" w:rsidR="009D172B" w:rsidRDefault="009D172B" w:rsidP="004D3912">
            <w:pPr>
              <w:pStyle w:val="Tabletext0"/>
            </w:pPr>
            <w:r>
              <w:t>MRD</w:t>
            </w:r>
          </w:p>
        </w:tc>
        <w:tc>
          <w:tcPr>
            <w:tcW w:w="1502" w:type="dxa"/>
            <w:vAlign w:val="center"/>
          </w:tcPr>
          <w:p w14:paraId="4BD75A02"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$418,846</w:t>
            </w:r>
          </w:p>
        </w:tc>
        <w:tc>
          <w:tcPr>
            <w:tcW w:w="1503" w:type="dxa"/>
            <w:gridSpan w:val="3"/>
            <w:tcBorders>
              <w:top w:val="nil"/>
              <w:bottom w:val="nil"/>
            </w:tcBorders>
            <w:vAlign w:val="center"/>
          </w:tcPr>
          <w:p w14:paraId="1FA4D1C0"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$31,274</w:t>
            </w:r>
          </w:p>
        </w:tc>
        <w:tc>
          <w:tcPr>
            <w:tcW w:w="1503" w:type="dxa"/>
            <w:vAlign w:val="center"/>
          </w:tcPr>
          <w:p w14:paraId="110F701F"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7.36</w:t>
            </w:r>
          </w:p>
        </w:tc>
        <w:tc>
          <w:tcPr>
            <w:tcW w:w="1503" w:type="dxa"/>
            <w:tcBorders>
              <w:top w:val="nil"/>
              <w:bottom w:val="nil"/>
            </w:tcBorders>
            <w:vAlign w:val="center"/>
          </w:tcPr>
          <w:p w14:paraId="184CFFAD"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4.27</w:t>
            </w:r>
          </w:p>
        </w:tc>
        <w:tc>
          <w:tcPr>
            <w:tcW w:w="1503" w:type="dxa"/>
            <w:tcBorders>
              <w:top w:val="nil"/>
              <w:bottom w:val="nil"/>
            </w:tcBorders>
            <w:vAlign w:val="center"/>
          </w:tcPr>
          <w:p w14:paraId="5CF93BFB"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$7,318</w:t>
            </w:r>
          </w:p>
        </w:tc>
      </w:tr>
      <w:tr w:rsidR="009D172B" w14:paraId="2499D69C" w14:textId="77777777" w:rsidTr="004D3912">
        <w:trPr>
          <w:cantSplit/>
        </w:trPr>
        <w:tc>
          <w:tcPr>
            <w:cnfStyle w:val="001000000000" w:firstRow="0" w:lastRow="0" w:firstColumn="1" w:lastColumn="0" w:oddVBand="0" w:evenVBand="0" w:oddHBand="0" w:evenHBand="0" w:firstRowFirstColumn="0" w:firstRowLastColumn="0" w:lastRowFirstColumn="0" w:lastRowLastColumn="0"/>
            <w:tcW w:w="1502" w:type="dxa"/>
          </w:tcPr>
          <w:p w14:paraId="7F3726C1" w14:textId="77777777" w:rsidR="009D172B" w:rsidRDefault="009D172B" w:rsidP="004D3912">
            <w:pPr>
              <w:pStyle w:val="Tabletext0"/>
            </w:pPr>
            <w:r>
              <w:t>No MRD</w:t>
            </w:r>
          </w:p>
        </w:tc>
        <w:tc>
          <w:tcPr>
            <w:tcW w:w="1502" w:type="dxa"/>
            <w:vAlign w:val="center"/>
          </w:tcPr>
          <w:p w14:paraId="01D6B05B"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$387,572</w:t>
            </w:r>
          </w:p>
        </w:tc>
        <w:tc>
          <w:tcPr>
            <w:tcW w:w="1503" w:type="dxa"/>
            <w:gridSpan w:val="3"/>
            <w:tcBorders>
              <w:top w:val="nil"/>
              <w:bottom w:val="nil"/>
            </w:tcBorders>
            <w:vAlign w:val="center"/>
          </w:tcPr>
          <w:p w14:paraId="24383873"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 </w:t>
            </w:r>
          </w:p>
        </w:tc>
        <w:tc>
          <w:tcPr>
            <w:tcW w:w="1503" w:type="dxa"/>
            <w:vAlign w:val="center"/>
          </w:tcPr>
          <w:p w14:paraId="1BDA5FC2"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3.08</w:t>
            </w:r>
          </w:p>
        </w:tc>
        <w:tc>
          <w:tcPr>
            <w:tcW w:w="1503" w:type="dxa"/>
            <w:tcBorders>
              <w:top w:val="nil"/>
              <w:bottom w:val="nil"/>
            </w:tcBorders>
            <w:vAlign w:val="center"/>
          </w:tcPr>
          <w:p w14:paraId="23986700"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 </w:t>
            </w:r>
          </w:p>
        </w:tc>
        <w:tc>
          <w:tcPr>
            <w:tcW w:w="1503" w:type="dxa"/>
            <w:tcBorders>
              <w:top w:val="nil"/>
              <w:bottom w:val="nil"/>
            </w:tcBorders>
            <w:vAlign w:val="center"/>
          </w:tcPr>
          <w:p w14:paraId="28B43674"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 </w:t>
            </w:r>
          </w:p>
        </w:tc>
      </w:tr>
      <w:tr w:rsidR="009D172B" w14:paraId="6BFE18FF" w14:textId="77777777" w:rsidTr="004D3912">
        <w:trPr>
          <w:cantSplit/>
        </w:trPr>
        <w:tc>
          <w:tcPr>
            <w:cnfStyle w:val="001000000000" w:firstRow="0" w:lastRow="0" w:firstColumn="1" w:lastColumn="0" w:oddVBand="0" w:evenVBand="0" w:oddHBand="0" w:evenHBand="0" w:firstRowFirstColumn="0" w:firstRowLastColumn="0" w:lastRowFirstColumn="0" w:lastRowLastColumn="0"/>
            <w:tcW w:w="3964" w:type="dxa"/>
            <w:gridSpan w:val="3"/>
            <w:tcBorders>
              <w:right w:val="nil"/>
            </w:tcBorders>
            <w:shd w:val="clear" w:color="auto" w:fill="BFBFBF" w:themeFill="background1" w:themeFillShade="BF"/>
          </w:tcPr>
          <w:p w14:paraId="66CECBC2" w14:textId="2FF642D5" w:rsidR="009D172B" w:rsidRPr="004F35B2" w:rsidRDefault="009D172B" w:rsidP="004D3912">
            <w:pPr>
              <w:pStyle w:val="Tabletext0"/>
              <w:rPr>
                <w:b/>
                <w:bCs/>
              </w:rPr>
            </w:pPr>
            <w:r w:rsidRPr="004F35B2">
              <w:rPr>
                <w:b/>
                <w:bCs/>
              </w:rPr>
              <w:t>Paediatric</w:t>
            </w:r>
            <w:r w:rsidR="001E3A1D">
              <w:rPr>
                <w:b/>
                <w:bCs/>
              </w:rPr>
              <w:t>: qPCR</w:t>
            </w:r>
          </w:p>
        </w:tc>
        <w:tc>
          <w:tcPr>
            <w:tcW w:w="284" w:type="dxa"/>
            <w:tcBorders>
              <w:left w:val="nil"/>
              <w:right w:val="nil"/>
            </w:tcBorders>
            <w:shd w:val="clear" w:color="auto" w:fill="BFBFBF" w:themeFill="background1" w:themeFillShade="BF"/>
          </w:tcPr>
          <w:p w14:paraId="266BBA87" w14:textId="77777777" w:rsidR="009D172B" w:rsidRDefault="009D172B" w:rsidP="004D3912">
            <w:pPr>
              <w:pStyle w:val="Tabletext0"/>
              <w:cnfStyle w:val="000000000000" w:firstRow="0" w:lastRow="0" w:firstColumn="0" w:lastColumn="0" w:oddVBand="0" w:evenVBand="0" w:oddHBand="0" w:evenHBand="0" w:firstRowFirstColumn="0" w:firstRowLastColumn="0" w:lastRowFirstColumn="0" w:lastRowLastColumn="0"/>
            </w:pPr>
          </w:p>
        </w:tc>
        <w:tc>
          <w:tcPr>
            <w:tcW w:w="259" w:type="dxa"/>
            <w:tcBorders>
              <w:left w:val="nil"/>
              <w:right w:val="nil"/>
            </w:tcBorders>
            <w:shd w:val="clear" w:color="auto" w:fill="BFBFBF" w:themeFill="background1" w:themeFillShade="BF"/>
          </w:tcPr>
          <w:p w14:paraId="0DDF99D9" w14:textId="77777777" w:rsidR="009D172B" w:rsidRDefault="009D172B" w:rsidP="004D3912">
            <w:pPr>
              <w:pStyle w:val="Tabletext0"/>
              <w:cnfStyle w:val="000000000000" w:firstRow="0" w:lastRow="0" w:firstColumn="0" w:lastColumn="0" w:oddVBand="0" w:evenVBand="0" w:oddHBand="0" w:evenHBand="0" w:firstRowFirstColumn="0" w:firstRowLastColumn="0" w:lastRowFirstColumn="0" w:lastRowLastColumn="0"/>
            </w:pPr>
          </w:p>
        </w:tc>
        <w:tc>
          <w:tcPr>
            <w:tcW w:w="1503" w:type="dxa"/>
            <w:tcBorders>
              <w:left w:val="nil"/>
              <w:right w:val="nil"/>
            </w:tcBorders>
            <w:shd w:val="clear" w:color="auto" w:fill="BFBFBF" w:themeFill="background1" w:themeFillShade="BF"/>
          </w:tcPr>
          <w:p w14:paraId="561DD446" w14:textId="77777777" w:rsidR="009D172B" w:rsidRDefault="009D172B" w:rsidP="004D3912">
            <w:pPr>
              <w:pStyle w:val="Tabletext0"/>
              <w:cnfStyle w:val="000000000000" w:firstRow="0" w:lastRow="0" w:firstColumn="0" w:lastColumn="0" w:oddVBand="0" w:evenVBand="0" w:oddHBand="0" w:evenHBand="0" w:firstRowFirstColumn="0" w:firstRowLastColumn="0" w:lastRowFirstColumn="0" w:lastRowLastColumn="0"/>
            </w:pPr>
          </w:p>
        </w:tc>
        <w:tc>
          <w:tcPr>
            <w:tcW w:w="1503" w:type="dxa"/>
            <w:tcBorders>
              <w:left w:val="nil"/>
              <w:bottom w:val="single" w:sz="4" w:space="0" w:color="auto"/>
              <w:right w:val="nil"/>
            </w:tcBorders>
            <w:shd w:val="clear" w:color="auto" w:fill="BFBFBF" w:themeFill="background1" w:themeFillShade="BF"/>
          </w:tcPr>
          <w:p w14:paraId="51657558" w14:textId="77777777" w:rsidR="009D172B" w:rsidRDefault="009D172B" w:rsidP="004D3912">
            <w:pPr>
              <w:pStyle w:val="Tabletext0"/>
              <w:cnfStyle w:val="000000000000" w:firstRow="0" w:lastRow="0" w:firstColumn="0" w:lastColumn="0" w:oddVBand="0" w:evenVBand="0" w:oddHBand="0" w:evenHBand="0" w:firstRowFirstColumn="0" w:firstRowLastColumn="0" w:lastRowFirstColumn="0" w:lastRowLastColumn="0"/>
            </w:pPr>
          </w:p>
        </w:tc>
        <w:tc>
          <w:tcPr>
            <w:tcW w:w="1503" w:type="dxa"/>
            <w:tcBorders>
              <w:left w:val="nil"/>
              <w:bottom w:val="single" w:sz="4" w:space="0" w:color="auto"/>
            </w:tcBorders>
            <w:shd w:val="clear" w:color="auto" w:fill="BFBFBF" w:themeFill="background1" w:themeFillShade="BF"/>
          </w:tcPr>
          <w:p w14:paraId="3C538ABC" w14:textId="77777777" w:rsidR="009D172B" w:rsidRDefault="009D172B" w:rsidP="004D3912">
            <w:pPr>
              <w:pStyle w:val="Tabletext0"/>
              <w:cnfStyle w:val="000000000000" w:firstRow="0" w:lastRow="0" w:firstColumn="0" w:lastColumn="0" w:oddVBand="0" w:evenVBand="0" w:oddHBand="0" w:evenHBand="0" w:firstRowFirstColumn="0" w:firstRowLastColumn="0" w:lastRowFirstColumn="0" w:lastRowLastColumn="0"/>
            </w:pPr>
          </w:p>
        </w:tc>
      </w:tr>
      <w:tr w:rsidR="009D172B" w14:paraId="6D851439" w14:textId="77777777" w:rsidTr="004D3912">
        <w:trPr>
          <w:cantSplit/>
        </w:trPr>
        <w:tc>
          <w:tcPr>
            <w:cnfStyle w:val="001000000000" w:firstRow="0" w:lastRow="0" w:firstColumn="1" w:lastColumn="0" w:oddVBand="0" w:evenVBand="0" w:oddHBand="0" w:evenHBand="0" w:firstRowFirstColumn="0" w:firstRowLastColumn="0" w:lastRowFirstColumn="0" w:lastRowLastColumn="0"/>
            <w:tcW w:w="9016" w:type="dxa"/>
            <w:gridSpan w:val="8"/>
            <w:tcBorders>
              <w:top w:val="single" w:sz="4" w:space="0" w:color="auto"/>
            </w:tcBorders>
          </w:tcPr>
          <w:p w14:paraId="3F20EF32" w14:textId="77777777" w:rsidR="009D172B" w:rsidRDefault="009D172B" w:rsidP="004D3912">
            <w:pPr>
              <w:pStyle w:val="Tabletext0"/>
            </w:pPr>
            <w:r>
              <w:t xml:space="preserve">Step 1 (cost per LY gained- </w:t>
            </w:r>
            <w:proofErr w:type="gramStart"/>
            <w:r>
              <w:t>5 year</w:t>
            </w:r>
            <w:proofErr w:type="gramEnd"/>
            <w:r>
              <w:t xml:space="preserve"> time horizon)</w:t>
            </w:r>
          </w:p>
        </w:tc>
      </w:tr>
      <w:tr w:rsidR="009D172B" w14:paraId="05D130AE" w14:textId="77777777" w:rsidTr="004D3912">
        <w:trPr>
          <w:cantSplit/>
        </w:trPr>
        <w:tc>
          <w:tcPr>
            <w:cnfStyle w:val="001000000000" w:firstRow="0" w:lastRow="0" w:firstColumn="1" w:lastColumn="0" w:oddVBand="0" w:evenVBand="0" w:oddHBand="0" w:evenHBand="0" w:firstRowFirstColumn="0" w:firstRowLastColumn="0" w:lastRowFirstColumn="0" w:lastRowLastColumn="0"/>
            <w:tcW w:w="1502" w:type="dxa"/>
          </w:tcPr>
          <w:p w14:paraId="2565BE5A" w14:textId="77777777" w:rsidR="009D172B" w:rsidRDefault="009D172B" w:rsidP="004D3912">
            <w:pPr>
              <w:pStyle w:val="Tabletext0"/>
            </w:pPr>
            <w:r>
              <w:t>MRD</w:t>
            </w:r>
          </w:p>
        </w:tc>
        <w:tc>
          <w:tcPr>
            <w:tcW w:w="1502" w:type="dxa"/>
            <w:vAlign w:val="center"/>
          </w:tcPr>
          <w:p w14:paraId="4B444F0C"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$368,572</w:t>
            </w:r>
          </w:p>
        </w:tc>
        <w:tc>
          <w:tcPr>
            <w:tcW w:w="1503" w:type="dxa"/>
            <w:gridSpan w:val="3"/>
            <w:tcBorders>
              <w:top w:val="nil"/>
              <w:bottom w:val="nil"/>
            </w:tcBorders>
            <w:vAlign w:val="center"/>
          </w:tcPr>
          <w:p w14:paraId="16995CB9"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$24,680</w:t>
            </w:r>
          </w:p>
        </w:tc>
        <w:tc>
          <w:tcPr>
            <w:tcW w:w="1503" w:type="dxa"/>
            <w:vAlign w:val="center"/>
          </w:tcPr>
          <w:p w14:paraId="1486E520"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4.02</w:t>
            </w:r>
          </w:p>
        </w:tc>
        <w:tc>
          <w:tcPr>
            <w:tcW w:w="1503" w:type="dxa"/>
            <w:tcBorders>
              <w:top w:val="nil"/>
              <w:bottom w:val="nil"/>
            </w:tcBorders>
            <w:vAlign w:val="center"/>
          </w:tcPr>
          <w:p w14:paraId="1610ADC8"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0.61</w:t>
            </w:r>
          </w:p>
        </w:tc>
        <w:tc>
          <w:tcPr>
            <w:tcW w:w="1503" w:type="dxa"/>
            <w:tcBorders>
              <w:top w:val="nil"/>
              <w:bottom w:val="nil"/>
            </w:tcBorders>
            <w:vAlign w:val="center"/>
          </w:tcPr>
          <w:p w14:paraId="18E78B21"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$40,562</w:t>
            </w:r>
          </w:p>
        </w:tc>
      </w:tr>
      <w:tr w:rsidR="009D172B" w14:paraId="73D3FEA1" w14:textId="77777777" w:rsidTr="004D3912">
        <w:trPr>
          <w:cantSplit/>
        </w:trPr>
        <w:tc>
          <w:tcPr>
            <w:cnfStyle w:val="001000000000" w:firstRow="0" w:lastRow="0" w:firstColumn="1" w:lastColumn="0" w:oddVBand="0" w:evenVBand="0" w:oddHBand="0" w:evenHBand="0" w:firstRowFirstColumn="0" w:firstRowLastColumn="0" w:lastRowFirstColumn="0" w:lastRowLastColumn="0"/>
            <w:tcW w:w="1502" w:type="dxa"/>
          </w:tcPr>
          <w:p w14:paraId="454545D2" w14:textId="77777777" w:rsidR="009D172B" w:rsidRDefault="009D172B" w:rsidP="004D3912">
            <w:pPr>
              <w:pStyle w:val="Tabletext0"/>
            </w:pPr>
            <w:r>
              <w:t>No MRD</w:t>
            </w:r>
          </w:p>
        </w:tc>
        <w:tc>
          <w:tcPr>
            <w:tcW w:w="1502" w:type="dxa"/>
            <w:vAlign w:val="center"/>
          </w:tcPr>
          <w:p w14:paraId="0D94757D"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$343,892</w:t>
            </w:r>
          </w:p>
        </w:tc>
        <w:tc>
          <w:tcPr>
            <w:tcW w:w="1503" w:type="dxa"/>
            <w:gridSpan w:val="3"/>
            <w:tcBorders>
              <w:top w:val="nil"/>
              <w:bottom w:val="nil"/>
            </w:tcBorders>
            <w:vAlign w:val="center"/>
          </w:tcPr>
          <w:p w14:paraId="136BFAFA"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 </w:t>
            </w:r>
          </w:p>
        </w:tc>
        <w:tc>
          <w:tcPr>
            <w:tcW w:w="1503" w:type="dxa"/>
            <w:vAlign w:val="center"/>
          </w:tcPr>
          <w:p w14:paraId="308815FF"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3.41</w:t>
            </w:r>
          </w:p>
        </w:tc>
        <w:tc>
          <w:tcPr>
            <w:tcW w:w="1503" w:type="dxa"/>
            <w:tcBorders>
              <w:top w:val="nil"/>
              <w:bottom w:val="nil"/>
            </w:tcBorders>
            <w:vAlign w:val="center"/>
          </w:tcPr>
          <w:p w14:paraId="6FC0B4EB"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 </w:t>
            </w:r>
          </w:p>
        </w:tc>
        <w:tc>
          <w:tcPr>
            <w:tcW w:w="1503" w:type="dxa"/>
            <w:tcBorders>
              <w:top w:val="nil"/>
              <w:bottom w:val="nil"/>
            </w:tcBorders>
            <w:vAlign w:val="center"/>
          </w:tcPr>
          <w:p w14:paraId="4EE9A10B"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 </w:t>
            </w:r>
          </w:p>
        </w:tc>
      </w:tr>
      <w:tr w:rsidR="009D172B" w14:paraId="7133FC6C" w14:textId="77777777" w:rsidTr="004D3912">
        <w:trPr>
          <w:cantSplit/>
        </w:trPr>
        <w:tc>
          <w:tcPr>
            <w:cnfStyle w:val="001000000000" w:firstRow="0" w:lastRow="0" w:firstColumn="1" w:lastColumn="0" w:oddVBand="0" w:evenVBand="0" w:oddHBand="0" w:evenHBand="0" w:firstRowFirstColumn="0" w:firstRowLastColumn="0" w:lastRowFirstColumn="0" w:lastRowLastColumn="0"/>
            <w:tcW w:w="9016" w:type="dxa"/>
            <w:gridSpan w:val="8"/>
          </w:tcPr>
          <w:p w14:paraId="26DC6C50" w14:textId="77777777" w:rsidR="009D172B" w:rsidRDefault="009D172B" w:rsidP="004D3912">
            <w:pPr>
              <w:pStyle w:val="Tabletext0"/>
            </w:pPr>
            <w:r>
              <w:t xml:space="preserve">Step 2 (cost per LY gained- </w:t>
            </w:r>
            <w:proofErr w:type="gramStart"/>
            <w:r>
              <w:t>30 year</w:t>
            </w:r>
            <w:proofErr w:type="gramEnd"/>
            <w:r>
              <w:t xml:space="preserve"> time horizon)</w:t>
            </w:r>
          </w:p>
        </w:tc>
      </w:tr>
      <w:tr w:rsidR="009D172B" w14:paraId="4899BB9B" w14:textId="77777777" w:rsidTr="004D3912">
        <w:trPr>
          <w:cantSplit/>
        </w:trPr>
        <w:tc>
          <w:tcPr>
            <w:cnfStyle w:val="001000000000" w:firstRow="0" w:lastRow="0" w:firstColumn="1" w:lastColumn="0" w:oddVBand="0" w:evenVBand="0" w:oddHBand="0" w:evenHBand="0" w:firstRowFirstColumn="0" w:firstRowLastColumn="0" w:lastRowFirstColumn="0" w:lastRowLastColumn="0"/>
            <w:tcW w:w="1502" w:type="dxa"/>
          </w:tcPr>
          <w:p w14:paraId="7267A063" w14:textId="77777777" w:rsidR="009D172B" w:rsidRDefault="009D172B" w:rsidP="004D3912">
            <w:pPr>
              <w:pStyle w:val="Tabletext0"/>
            </w:pPr>
            <w:r>
              <w:t>MRD</w:t>
            </w:r>
          </w:p>
        </w:tc>
        <w:tc>
          <w:tcPr>
            <w:tcW w:w="1502" w:type="dxa"/>
            <w:vAlign w:val="center"/>
          </w:tcPr>
          <w:p w14:paraId="0C80D833"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$427,329</w:t>
            </w:r>
          </w:p>
        </w:tc>
        <w:tc>
          <w:tcPr>
            <w:tcW w:w="1503" w:type="dxa"/>
            <w:gridSpan w:val="3"/>
            <w:tcBorders>
              <w:top w:val="nil"/>
              <w:bottom w:val="nil"/>
            </w:tcBorders>
            <w:vAlign w:val="center"/>
          </w:tcPr>
          <w:p w14:paraId="45F2D519"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$65,189</w:t>
            </w:r>
          </w:p>
        </w:tc>
        <w:tc>
          <w:tcPr>
            <w:tcW w:w="1503" w:type="dxa"/>
            <w:vAlign w:val="center"/>
          </w:tcPr>
          <w:p w14:paraId="0FE5FF3F"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8.03</w:t>
            </w:r>
          </w:p>
        </w:tc>
        <w:tc>
          <w:tcPr>
            <w:tcW w:w="1503" w:type="dxa"/>
            <w:tcBorders>
              <w:top w:val="nil"/>
              <w:bottom w:val="nil"/>
            </w:tcBorders>
            <w:vAlign w:val="center"/>
          </w:tcPr>
          <w:p w14:paraId="057DBB3A"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2.72</w:t>
            </w:r>
          </w:p>
        </w:tc>
        <w:tc>
          <w:tcPr>
            <w:tcW w:w="1503" w:type="dxa"/>
            <w:tcBorders>
              <w:top w:val="nil"/>
              <w:bottom w:val="nil"/>
            </w:tcBorders>
            <w:vAlign w:val="center"/>
          </w:tcPr>
          <w:p w14:paraId="43846168"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$23,951</w:t>
            </w:r>
          </w:p>
        </w:tc>
      </w:tr>
      <w:tr w:rsidR="009D172B" w14:paraId="258F8012" w14:textId="77777777" w:rsidTr="004D3912">
        <w:trPr>
          <w:cantSplit/>
        </w:trPr>
        <w:tc>
          <w:tcPr>
            <w:cnfStyle w:val="001000000000" w:firstRow="0" w:lastRow="0" w:firstColumn="1" w:lastColumn="0" w:oddVBand="0" w:evenVBand="0" w:oddHBand="0" w:evenHBand="0" w:firstRowFirstColumn="0" w:firstRowLastColumn="0" w:lastRowFirstColumn="0" w:lastRowLastColumn="0"/>
            <w:tcW w:w="1502" w:type="dxa"/>
          </w:tcPr>
          <w:p w14:paraId="4CBF0791" w14:textId="77777777" w:rsidR="009D172B" w:rsidRDefault="009D172B" w:rsidP="004D3912">
            <w:pPr>
              <w:pStyle w:val="Tabletext0"/>
            </w:pPr>
            <w:r>
              <w:t>No MRD</w:t>
            </w:r>
          </w:p>
        </w:tc>
        <w:tc>
          <w:tcPr>
            <w:tcW w:w="1502" w:type="dxa"/>
            <w:vAlign w:val="center"/>
          </w:tcPr>
          <w:p w14:paraId="579232D8"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$362,139</w:t>
            </w:r>
          </w:p>
        </w:tc>
        <w:tc>
          <w:tcPr>
            <w:tcW w:w="1503" w:type="dxa"/>
            <w:gridSpan w:val="3"/>
            <w:tcBorders>
              <w:top w:val="nil"/>
              <w:bottom w:val="nil"/>
            </w:tcBorders>
            <w:vAlign w:val="center"/>
          </w:tcPr>
          <w:p w14:paraId="1EB57B43"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 </w:t>
            </w:r>
          </w:p>
        </w:tc>
        <w:tc>
          <w:tcPr>
            <w:tcW w:w="1503" w:type="dxa"/>
            <w:vAlign w:val="center"/>
          </w:tcPr>
          <w:p w14:paraId="3346774F"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5.30</w:t>
            </w:r>
          </w:p>
        </w:tc>
        <w:tc>
          <w:tcPr>
            <w:tcW w:w="1503" w:type="dxa"/>
            <w:tcBorders>
              <w:top w:val="nil"/>
              <w:bottom w:val="nil"/>
            </w:tcBorders>
            <w:vAlign w:val="center"/>
          </w:tcPr>
          <w:p w14:paraId="315BCD7E"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 </w:t>
            </w:r>
          </w:p>
        </w:tc>
        <w:tc>
          <w:tcPr>
            <w:tcW w:w="1503" w:type="dxa"/>
            <w:tcBorders>
              <w:top w:val="nil"/>
              <w:bottom w:val="nil"/>
            </w:tcBorders>
            <w:vAlign w:val="center"/>
          </w:tcPr>
          <w:p w14:paraId="29E732AA"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 </w:t>
            </w:r>
          </w:p>
        </w:tc>
      </w:tr>
      <w:tr w:rsidR="009D172B" w14:paraId="2C72C565" w14:textId="77777777" w:rsidTr="004D3912">
        <w:trPr>
          <w:cantSplit/>
        </w:trPr>
        <w:tc>
          <w:tcPr>
            <w:cnfStyle w:val="001000000000" w:firstRow="0" w:lastRow="0" w:firstColumn="1" w:lastColumn="0" w:oddVBand="0" w:evenVBand="0" w:oddHBand="0" w:evenHBand="0" w:firstRowFirstColumn="0" w:firstRowLastColumn="0" w:lastRowFirstColumn="0" w:lastRowLastColumn="0"/>
            <w:tcW w:w="9016" w:type="dxa"/>
            <w:gridSpan w:val="8"/>
          </w:tcPr>
          <w:p w14:paraId="0D3103FD" w14:textId="67ABCADB" w:rsidR="009D172B" w:rsidRDefault="009D172B" w:rsidP="004D3912">
            <w:pPr>
              <w:pStyle w:val="Tabletext0"/>
            </w:pPr>
            <w:r>
              <w:t xml:space="preserve">Step 3 (cost per QALY gained- </w:t>
            </w:r>
            <w:proofErr w:type="gramStart"/>
            <w:r>
              <w:t>30 year</w:t>
            </w:r>
            <w:proofErr w:type="gramEnd"/>
            <w:r>
              <w:t xml:space="preserve"> time horizon)</w:t>
            </w:r>
          </w:p>
        </w:tc>
      </w:tr>
      <w:tr w:rsidR="009D172B" w14:paraId="006CBBF2" w14:textId="77777777" w:rsidTr="004D3912">
        <w:trPr>
          <w:cantSplit/>
        </w:trPr>
        <w:tc>
          <w:tcPr>
            <w:cnfStyle w:val="001000000000" w:firstRow="0" w:lastRow="0" w:firstColumn="1" w:lastColumn="0" w:oddVBand="0" w:evenVBand="0" w:oddHBand="0" w:evenHBand="0" w:firstRowFirstColumn="0" w:firstRowLastColumn="0" w:lastRowFirstColumn="0" w:lastRowLastColumn="0"/>
            <w:tcW w:w="1502" w:type="dxa"/>
          </w:tcPr>
          <w:p w14:paraId="4A0B8E48" w14:textId="77777777" w:rsidR="009D172B" w:rsidRDefault="009D172B" w:rsidP="004D3912">
            <w:pPr>
              <w:pStyle w:val="Tabletext0"/>
            </w:pPr>
            <w:r>
              <w:t>MRD</w:t>
            </w:r>
          </w:p>
        </w:tc>
        <w:tc>
          <w:tcPr>
            <w:tcW w:w="1502" w:type="dxa"/>
            <w:vAlign w:val="center"/>
          </w:tcPr>
          <w:p w14:paraId="385E2AC9"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$427,329</w:t>
            </w:r>
          </w:p>
        </w:tc>
        <w:tc>
          <w:tcPr>
            <w:tcW w:w="1503" w:type="dxa"/>
            <w:gridSpan w:val="3"/>
            <w:tcBorders>
              <w:top w:val="nil"/>
              <w:bottom w:val="nil"/>
            </w:tcBorders>
            <w:vAlign w:val="center"/>
          </w:tcPr>
          <w:p w14:paraId="0F9C3791"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$65,189</w:t>
            </w:r>
          </w:p>
        </w:tc>
        <w:tc>
          <w:tcPr>
            <w:tcW w:w="1503" w:type="dxa"/>
            <w:vAlign w:val="center"/>
          </w:tcPr>
          <w:p w14:paraId="770C6148"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5.77</w:t>
            </w:r>
          </w:p>
        </w:tc>
        <w:tc>
          <w:tcPr>
            <w:tcW w:w="1503" w:type="dxa"/>
            <w:tcBorders>
              <w:top w:val="nil"/>
              <w:bottom w:val="nil"/>
            </w:tcBorders>
            <w:vAlign w:val="center"/>
          </w:tcPr>
          <w:p w14:paraId="30FCFC6C"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2.12</w:t>
            </w:r>
          </w:p>
        </w:tc>
        <w:tc>
          <w:tcPr>
            <w:tcW w:w="1503" w:type="dxa"/>
            <w:tcBorders>
              <w:top w:val="nil"/>
              <w:bottom w:val="nil"/>
            </w:tcBorders>
            <w:vAlign w:val="center"/>
          </w:tcPr>
          <w:p w14:paraId="746C790C"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$30,788</w:t>
            </w:r>
          </w:p>
        </w:tc>
      </w:tr>
      <w:tr w:rsidR="009D172B" w14:paraId="43208C84" w14:textId="77777777" w:rsidTr="00EB5AD2">
        <w:trPr>
          <w:cantSplit/>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tcPr>
          <w:p w14:paraId="6672ECAF" w14:textId="77777777" w:rsidR="009D172B" w:rsidRDefault="009D172B" w:rsidP="004D3912">
            <w:pPr>
              <w:pStyle w:val="Tabletext0"/>
            </w:pPr>
            <w:r>
              <w:t>No MRD</w:t>
            </w:r>
          </w:p>
        </w:tc>
        <w:tc>
          <w:tcPr>
            <w:tcW w:w="0" w:type="dxa"/>
            <w:tcBorders>
              <w:bottom w:val="single" w:sz="4" w:space="0" w:color="auto"/>
            </w:tcBorders>
            <w:vAlign w:val="center"/>
          </w:tcPr>
          <w:p w14:paraId="61EED123"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$362,139</w:t>
            </w:r>
          </w:p>
        </w:tc>
        <w:tc>
          <w:tcPr>
            <w:tcW w:w="0" w:type="dxa"/>
            <w:gridSpan w:val="3"/>
            <w:tcBorders>
              <w:top w:val="nil"/>
              <w:bottom w:val="single" w:sz="4" w:space="0" w:color="auto"/>
            </w:tcBorders>
            <w:vAlign w:val="center"/>
          </w:tcPr>
          <w:p w14:paraId="21DA0FAC"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 </w:t>
            </w:r>
          </w:p>
        </w:tc>
        <w:tc>
          <w:tcPr>
            <w:tcW w:w="0" w:type="dxa"/>
            <w:tcBorders>
              <w:bottom w:val="single" w:sz="4" w:space="0" w:color="auto"/>
            </w:tcBorders>
            <w:vAlign w:val="center"/>
          </w:tcPr>
          <w:p w14:paraId="4597F8CC"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3.65</w:t>
            </w:r>
          </w:p>
        </w:tc>
        <w:tc>
          <w:tcPr>
            <w:tcW w:w="0" w:type="dxa"/>
            <w:tcBorders>
              <w:top w:val="nil"/>
              <w:bottom w:val="single" w:sz="4" w:space="0" w:color="auto"/>
            </w:tcBorders>
            <w:vAlign w:val="center"/>
          </w:tcPr>
          <w:p w14:paraId="7230969A"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 </w:t>
            </w:r>
          </w:p>
        </w:tc>
        <w:tc>
          <w:tcPr>
            <w:tcW w:w="0" w:type="dxa"/>
            <w:tcBorders>
              <w:top w:val="nil"/>
              <w:bottom w:val="single" w:sz="4" w:space="0" w:color="auto"/>
            </w:tcBorders>
            <w:vAlign w:val="center"/>
          </w:tcPr>
          <w:p w14:paraId="4D0E92BF" w14:textId="77777777" w:rsidR="009D172B" w:rsidRDefault="009D172B" w:rsidP="004D3912">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 </w:t>
            </w:r>
          </w:p>
        </w:tc>
      </w:tr>
    </w:tbl>
    <w:p w14:paraId="617B6F06" w14:textId="77777777" w:rsidR="00415426" w:rsidRDefault="00415426">
      <w:pPr>
        <w:spacing w:before="0"/>
        <w:rPr>
          <w:rFonts w:ascii="Arial Narrow" w:eastAsia="Times New Roman" w:hAnsi="Arial Narrow" w:cs="Times New Roman"/>
          <w:b/>
          <w:bCs/>
          <w:sz w:val="20"/>
          <w:szCs w:val="20"/>
        </w:rPr>
      </w:pPr>
      <w:bookmarkStart w:id="49" w:name="_Ref69725870"/>
      <w:bookmarkStart w:id="50" w:name="_Toc121921223"/>
      <w:bookmarkStart w:id="51" w:name="_Toc118798869"/>
      <w:r>
        <w:br w:type="page"/>
      </w:r>
    </w:p>
    <w:p w14:paraId="6DB0B7CE" w14:textId="776464C9" w:rsidR="00D85FD6" w:rsidRDefault="00D85FD6" w:rsidP="00D85FD6">
      <w:pPr>
        <w:pStyle w:val="Caption"/>
      </w:pPr>
      <w:r w:rsidRPr="00CE28E3">
        <w:lastRenderedPageBreak/>
        <w:t>Table</w:t>
      </w:r>
      <w:r>
        <w:t> </w:t>
      </w:r>
      <w:r w:rsidRPr="00CE28E3">
        <w:rPr>
          <w:noProof/>
        </w:rPr>
        <w:fldChar w:fldCharType="begin"/>
      </w:r>
      <w:r w:rsidRPr="00CE28E3">
        <w:rPr>
          <w:noProof/>
        </w:rPr>
        <w:instrText xml:space="preserve"> SEQ Table \* ARABIC </w:instrText>
      </w:r>
      <w:r w:rsidRPr="00CE28E3">
        <w:rPr>
          <w:noProof/>
        </w:rPr>
        <w:fldChar w:fldCharType="separate"/>
      </w:r>
      <w:r w:rsidR="00A922D7">
        <w:rPr>
          <w:noProof/>
        </w:rPr>
        <w:t>8</w:t>
      </w:r>
      <w:r w:rsidRPr="00CE28E3">
        <w:rPr>
          <w:noProof/>
        </w:rPr>
        <w:fldChar w:fldCharType="end"/>
      </w:r>
      <w:bookmarkEnd w:id="49"/>
      <w:r w:rsidRPr="00CE28E3">
        <w:tab/>
        <w:t>Results of the economic analysis</w:t>
      </w:r>
      <w:bookmarkEnd w:id="50"/>
    </w:p>
    <w:tbl>
      <w:tblPr>
        <w:tblStyle w:val="HTATable"/>
        <w:tblW w:w="0" w:type="auto"/>
        <w:tblLook w:val="04A0" w:firstRow="1" w:lastRow="0" w:firstColumn="1" w:lastColumn="0" w:noHBand="0" w:noVBand="1"/>
        <w:tblCaption w:val="Stepped presentation of results from the economic analysis: paediatric population"/>
        <w:tblDescription w:val="Stepped presentation of results from the economic analysis: paediatric population"/>
      </w:tblPr>
      <w:tblGrid>
        <w:gridCol w:w="1502"/>
        <w:gridCol w:w="1502"/>
        <w:gridCol w:w="960"/>
        <w:gridCol w:w="284"/>
        <w:gridCol w:w="259"/>
        <w:gridCol w:w="1503"/>
        <w:gridCol w:w="1503"/>
        <w:gridCol w:w="1503"/>
      </w:tblGrid>
      <w:tr w:rsidR="00D85FD6" w14:paraId="796B79EA" w14:textId="77777777" w:rsidTr="00BC5D6F">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502" w:type="dxa"/>
          </w:tcPr>
          <w:p w14:paraId="2F883E3E" w14:textId="77777777" w:rsidR="00D85FD6" w:rsidRPr="00B441DF" w:rsidRDefault="00D85FD6" w:rsidP="00BC5D6F">
            <w:pPr>
              <w:pStyle w:val="TableHeading0"/>
              <w:rPr>
                <w:b/>
              </w:rPr>
            </w:pPr>
          </w:p>
        </w:tc>
        <w:tc>
          <w:tcPr>
            <w:tcW w:w="1502" w:type="dxa"/>
          </w:tcPr>
          <w:p w14:paraId="18C8934A" w14:textId="77777777" w:rsidR="00D85FD6" w:rsidRPr="00B441DF" w:rsidRDefault="00D85FD6" w:rsidP="00BC5D6F">
            <w:pPr>
              <w:pStyle w:val="TableHeading0"/>
              <w:cnfStyle w:val="100000000000" w:firstRow="1" w:lastRow="0" w:firstColumn="0" w:lastColumn="0" w:oddVBand="0" w:evenVBand="0" w:oddHBand="0" w:evenHBand="0" w:firstRowFirstColumn="0" w:firstRowLastColumn="0" w:lastRowFirstColumn="0" w:lastRowLastColumn="0"/>
              <w:rPr>
                <w:b/>
              </w:rPr>
            </w:pPr>
            <w:r w:rsidRPr="00B441DF">
              <w:rPr>
                <w:b/>
              </w:rPr>
              <w:t>Cost</w:t>
            </w:r>
          </w:p>
        </w:tc>
        <w:tc>
          <w:tcPr>
            <w:tcW w:w="1503" w:type="dxa"/>
            <w:gridSpan w:val="3"/>
          </w:tcPr>
          <w:p w14:paraId="61C72B4A" w14:textId="77777777" w:rsidR="00D85FD6" w:rsidRPr="00B441DF" w:rsidRDefault="00D85FD6" w:rsidP="00BC5D6F">
            <w:pPr>
              <w:pStyle w:val="TableHeading0"/>
              <w:cnfStyle w:val="100000000000" w:firstRow="1" w:lastRow="0" w:firstColumn="0" w:lastColumn="0" w:oddVBand="0" w:evenVBand="0" w:oddHBand="0" w:evenHBand="0" w:firstRowFirstColumn="0" w:firstRowLastColumn="0" w:lastRowFirstColumn="0" w:lastRowLastColumn="0"/>
              <w:rPr>
                <w:b/>
              </w:rPr>
            </w:pPr>
            <w:r w:rsidRPr="00B441DF">
              <w:rPr>
                <w:b/>
              </w:rPr>
              <w:t>Incremental cost</w:t>
            </w:r>
          </w:p>
        </w:tc>
        <w:tc>
          <w:tcPr>
            <w:tcW w:w="1503" w:type="dxa"/>
          </w:tcPr>
          <w:p w14:paraId="30D49292" w14:textId="2B101C9E" w:rsidR="00D85FD6" w:rsidRPr="00B441DF" w:rsidRDefault="00D85FD6" w:rsidP="00BC5D6F">
            <w:pPr>
              <w:pStyle w:val="TableHeading0"/>
              <w:cnfStyle w:val="100000000000" w:firstRow="1" w:lastRow="0" w:firstColumn="0" w:lastColumn="0" w:oddVBand="0" w:evenVBand="0" w:oddHBand="0" w:evenHBand="0" w:firstRowFirstColumn="0" w:firstRowLastColumn="0" w:lastRowFirstColumn="0" w:lastRowLastColumn="0"/>
              <w:rPr>
                <w:b/>
              </w:rPr>
            </w:pPr>
            <w:r w:rsidRPr="00B441DF">
              <w:rPr>
                <w:b/>
              </w:rPr>
              <w:t>Effectiveness</w:t>
            </w:r>
            <w:r w:rsidR="00F44B49">
              <w:rPr>
                <w:b/>
              </w:rPr>
              <w:t xml:space="preserve"> (QALYs)</w:t>
            </w:r>
          </w:p>
        </w:tc>
        <w:tc>
          <w:tcPr>
            <w:tcW w:w="1503" w:type="dxa"/>
          </w:tcPr>
          <w:p w14:paraId="6607B8F6" w14:textId="07887426" w:rsidR="00D85FD6" w:rsidRPr="00B441DF" w:rsidRDefault="00D85FD6" w:rsidP="00BC5D6F">
            <w:pPr>
              <w:pStyle w:val="TableHeading0"/>
              <w:cnfStyle w:val="100000000000" w:firstRow="1" w:lastRow="0" w:firstColumn="0" w:lastColumn="0" w:oddVBand="0" w:evenVBand="0" w:oddHBand="0" w:evenHBand="0" w:firstRowFirstColumn="0" w:firstRowLastColumn="0" w:lastRowFirstColumn="0" w:lastRowLastColumn="0"/>
              <w:rPr>
                <w:b/>
              </w:rPr>
            </w:pPr>
            <w:r w:rsidRPr="00B441DF">
              <w:rPr>
                <w:b/>
              </w:rPr>
              <w:t>Incremental effectiveness</w:t>
            </w:r>
            <w:r w:rsidR="00F44B49">
              <w:rPr>
                <w:b/>
              </w:rPr>
              <w:t xml:space="preserve"> (QALYs)</w:t>
            </w:r>
          </w:p>
        </w:tc>
        <w:tc>
          <w:tcPr>
            <w:tcW w:w="1503" w:type="dxa"/>
          </w:tcPr>
          <w:p w14:paraId="514FB1F9" w14:textId="3CB5EF76" w:rsidR="00D85FD6" w:rsidRPr="00B441DF" w:rsidRDefault="00D85FD6" w:rsidP="00BC5D6F">
            <w:pPr>
              <w:pStyle w:val="TableHeading0"/>
              <w:cnfStyle w:val="100000000000" w:firstRow="1" w:lastRow="0" w:firstColumn="0" w:lastColumn="0" w:oddVBand="0" w:evenVBand="0" w:oddHBand="0" w:evenHBand="0" w:firstRowFirstColumn="0" w:firstRowLastColumn="0" w:lastRowFirstColumn="0" w:lastRowLastColumn="0"/>
              <w:rPr>
                <w:b/>
              </w:rPr>
            </w:pPr>
            <w:r w:rsidRPr="00B441DF">
              <w:rPr>
                <w:b/>
              </w:rPr>
              <w:t>IC</w:t>
            </w:r>
            <w:r w:rsidR="00F44B49">
              <w:rPr>
                <w:b/>
              </w:rPr>
              <w:t>U</w:t>
            </w:r>
            <w:r w:rsidRPr="00B441DF">
              <w:rPr>
                <w:b/>
              </w:rPr>
              <w:t>R</w:t>
            </w:r>
          </w:p>
        </w:tc>
      </w:tr>
      <w:tr w:rsidR="00D85FD6" w14:paraId="58D5601C" w14:textId="77777777" w:rsidTr="00BC5D6F">
        <w:trPr>
          <w:cantSplit/>
        </w:trPr>
        <w:tc>
          <w:tcPr>
            <w:cnfStyle w:val="001000000000" w:firstRow="0" w:lastRow="0" w:firstColumn="1" w:lastColumn="0" w:oddVBand="0" w:evenVBand="0" w:oddHBand="0" w:evenHBand="0" w:firstRowFirstColumn="0" w:firstRowLastColumn="0" w:lastRowFirstColumn="0" w:lastRowLastColumn="0"/>
            <w:tcW w:w="3964" w:type="dxa"/>
            <w:gridSpan w:val="3"/>
            <w:tcBorders>
              <w:right w:val="nil"/>
            </w:tcBorders>
            <w:shd w:val="clear" w:color="auto" w:fill="BFBFBF" w:themeFill="background1" w:themeFillShade="BF"/>
          </w:tcPr>
          <w:p w14:paraId="2B310BC2" w14:textId="77777777" w:rsidR="00D85FD6" w:rsidRPr="008B1E50" w:rsidRDefault="00D85FD6" w:rsidP="00BC5D6F">
            <w:pPr>
              <w:pStyle w:val="Tabletext0"/>
              <w:rPr>
                <w:b/>
                <w:bCs/>
              </w:rPr>
            </w:pPr>
            <w:r w:rsidRPr="008B1E50">
              <w:rPr>
                <w:b/>
                <w:bCs/>
              </w:rPr>
              <w:t>Adult</w:t>
            </w:r>
          </w:p>
        </w:tc>
        <w:tc>
          <w:tcPr>
            <w:tcW w:w="284" w:type="dxa"/>
            <w:tcBorders>
              <w:left w:val="nil"/>
              <w:right w:val="nil"/>
            </w:tcBorders>
            <w:shd w:val="clear" w:color="auto" w:fill="BFBFBF" w:themeFill="background1" w:themeFillShade="BF"/>
          </w:tcPr>
          <w:p w14:paraId="139CCDCC" w14:textId="77777777" w:rsidR="00D85FD6" w:rsidRDefault="00D85FD6" w:rsidP="00BC5D6F">
            <w:pPr>
              <w:pStyle w:val="Tabletext0"/>
              <w:cnfStyle w:val="000000000000" w:firstRow="0" w:lastRow="0" w:firstColumn="0" w:lastColumn="0" w:oddVBand="0" w:evenVBand="0" w:oddHBand="0" w:evenHBand="0" w:firstRowFirstColumn="0" w:firstRowLastColumn="0" w:lastRowFirstColumn="0" w:lastRowLastColumn="0"/>
            </w:pPr>
          </w:p>
        </w:tc>
        <w:tc>
          <w:tcPr>
            <w:tcW w:w="259" w:type="dxa"/>
            <w:tcBorders>
              <w:left w:val="nil"/>
              <w:right w:val="nil"/>
            </w:tcBorders>
            <w:shd w:val="clear" w:color="auto" w:fill="BFBFBF" w:themeFill="background1" w:themeFillShade="BF"/>
          </w:tcPr>
          <w:p w14:paraId="018FC70E" w14:textId="77777777" w:rsidR="00D85FD6" w:rsidRDefault="00D85FD6" w:rsidP="00BC5D6F">
            <w:pPr>
              <w:pStyle w:val="Tabletext0"/>
              <w:cnfStyle w:val="000000000000" w:firstRow="0" w:lastRow="0" w:firstColumn="0" w:lastColumn="0" w:oddVBand="0" w:evenVBand="0" w:oddHBand="0" w:evenHBand="0" w:firstRowFirstColumn="0" w:firstRowLastColumn="0" w:lastRowFirstColumn="0" w:lastRowLastColumn="0"/>
            </w:pPr>
          </w:p>
        </w:tc>
        <w:tc>
          <w:tcPr>
            <w:tcW w:w="1503" w:type="dxa"/>
            <w:tcBorders>
              <w:left w:val="nil"/>
              <w:right w:val="nil"/>
            </w:tcBorders>
            <w:shd w:val="clear" w:color="auto" w:fill="BFBFBF" w:themeFill="background1" w:themeFillShade="BF"/>
          </w:tcPr>
          <w:p w14:paraId="03D4238E" w14:textId="77777777" w:rsidR="00D85FD6" w:rsidRDefault="00D85FD6" w:rsidP="00BC5D6F">
            <w:pPr>
              <w:pStyle w:val="Tabletext0"/>
              <w:cnfStyle w:val="000000000000" w:firstRow="0" w:lastRow="0" w:firstColumn="0" w:lastColumn="0" w:oddVBand="0" w:evenVBand="0" w:oddHBand="0" w:evenHBand="0" w:firstRowFirstColumn="0" w:firstRowLastColumn="0" w:lastRowFirstColumn="0" w:lastRowLastColumn="0"/>
            </w:pPr>
          </w:p>
        </w:tc>
        <w:tc>
          <w:tcPr>
            <w:tcW w:w="1503" w:type="dxa"/>
            <w:tcBorders>
              <w:left w:val="nil"/>
              <w:bottom w:val="single" w:sz="4" w:space="0" w:color="auto"/>
              <w:right w:val="nil"/>
            </w:tcBorders>
            <w:shd w:val="clear" w:color="auto" w:fill="BFBFBF" w:themeFill="background1" w:themeFillShade="BF"/>
          </w:tcPr>
          <w:p w14:paraId="7C64AC4A" w14:textId="77777777" w:rsidR="00D85FD6" w:rsidRDefault="00D85FD6" w:rsidP="00BC5D6F">
            <w:pPr>
              <w:pStyle w:val="Tabletext0"/>
              <w:cnfStyle w:val="000000000000" w:firstRow="0" w:lastRow="0" w:firstColumn="0" w:lastColumn="0" w:oddVBand="0" w:evenVBand="0" w:oddHBand="0" w:evenHBand="0" w:firstRowFirstColumn="0" w:firstRowLastColumn="0" w:lastRowFirstColumn="0" w:lastRowLastColumn="0"/>
            </w:pPr>
          </w:p>
        </w:tc>
        <w:tc>
          <w:tcPr>
            <w:tcW w:w="1503" w:type="dxa"/>
            <w:tcBorders>
              <w:left w:val="nil"/>
              <w:bottom w:val="single" w:sz="4" w:space="0" w:color="auto"/>
            </w:tcBorders>
            <w:shd w:val="clear" w:color="auto" w:fill="BFBFBF" w:themeFill="background1" w:themeFillShade="BF"/>
          </w:tcPr>
          <w:p w14:paraId="3D3296F1" w14:textId="77777777" w:rsidR="00D85FD6" w:rsidRDefault="00D85FD6" w:rsidP="00BC5D6F">
            <w:pPr>
              <w:pStyle w:val="Tabletext0"/>
              <w:cnfStyle w:val="000000000000" w:firstRow="0" w:lastRow="0" w:firstColumn="0" w:lastColumn="0" w:oddVBand="0" w:evenVBand="0" w:oddHBand="0" w:evenHBand="0" w:firstRowFirstColumn="0" w:firstRowLastColumn="0" w:lastRowFirstColumn="0" w:lastRowLastColumn="0"/>
            </w:pPr>
          </w:p>
        </w:tc>
      </w:tr>
      <w:tr w:rsidR="00D85FD6" w14:paraId="734E9430" w14:textId="77777777" w:rsidTr="00BC5D6F">
        <w:trPr>
          <w:cantSplit/>
        </w:trPr>
        <w:tc>
          <w:tcPr>
            <w:cnfStyle w:val="001000000000" w:firstRow="0" w:lastRow="0" w:firstColumn="1" w:lastColumn="0" w:oddVBand="0" w:evenVBand="0" w:oddHBand="0" w:evenHBand="0" w:firstRowFirstColumn="0" w:firstRowLastColumn="0" w:lastRowFirstColumn="0" w:lastRowLastColumn="0"/>
            <w:tcW w:w="3964" w:type="dxa"/>
            <w:gridSpan w:val="3"/>
            <w:tcBorders>
              <w:right w:val="nil"/>
            </w:tcBorders>
            <w:shd w:val="clear" w:color="auto" w:fill="D9D9D9" w:themeFill="background1" w:themeFillShade="D9"/>
          </w:tcPr>
          <w:p w14:paraId="0CD4F3BB" w14:textId="77777777" w:rsidR="00D85FD6" w:rsidRDefault="00D85FD6" w:rsidP="00BC5D6F">
            <w:pPr>
              <w:pStyle w:val="Tabletext0"/>
            </w:pPr>
            <w:proofErr w:type="spellStart"/>
            <w:r>
              <w:t>mpFC</w:t>
            </w:r>
            <w:proofErr w:type="spellEnd"/>
          </w:p>
        </w:tc>
        <w:tc>
          <w:tcPr>
            <w:tcW w:w="284" w:type="dxa"/>
            <w:tcBorders>
              <w:left w:val="nil"/>
              <w:right w:val="nil"/>
            </w:tcBorders>
            <w:shd w:val="clear" w:color="auto" w:fill="D9D9D9" w:themeFill="background1" w:themeFillShade="D9"/>
          </w:tcPr>
          <w:p w14:paraId="60971371" w14:textId="77777777" w:rsidR="00D85FD6" w:rsidRDefault="00D85FD6" w:rsidP="00BC5D6F">
            <w:pPr>
              <w:pStyle w:val="Tabletext0"/>
              <w:cnfStyle w:val="000000000000" w:firstRow="0" w:lastRow="0" w:firstColumn="0" w:lastColumn="0" w:oddVBand="0" w:evenVBand="0" w:oddHBand="0" w:evenHBand="0" w:firstRowFirstColumn="0" w:firstRowLastColumn="0" w:lastRowFirstColumn="0" w:lastRowLastColumn="0"/>
            </w:pPr>
          </w:p>
        </w:tc>
        <w:tc>
          <w:tcPr>
            <w:tcW w:w="259" w:type="dxa"/>
            <w:tcBorders>
              <w:left w:val="nil"/>
              <w:right w:val="nil"/>
            </w:tcBorders>
            <w:shd w:val="clear" w:color="auto" w:fill="D9D9D9" w:themeFill="background1" w:themeFillShade="D9"/>
          </w:tcPr>
          <w:p w14:paraId="1ED1ACF8" w14:textId="77777777" w:rsidR="00D85FD6" w:rsidRDefault="00D85FD6" w:rsidP="00BC5D6F">
            <w:pPr>
              <w:pStyle w:val="Tabletext0"/>
              <w:cnfStyle w:val="000000000000" w:firstRow="0" w:lastRow="0" w:firstColumn="0" w:lastColumn="0" w:oddVBand="0" w:evenVBand="0" w:oddHBand="0" w:evenHBand="0" w:firstRowFirstColumn="0" w:firstRowLastColumn="0" w:lastRowFirstColumn="0" w:lastRowLastColumn="0"/>
            </w:pPr>
          </w:p>
        </w:tc>
        <w:tc>
          <w:tcPr>
            <w:tcW w:w="1503" w:type="dxa"/>
            <w:tcBorders>
              <w:left w:val="nil"/>
              <w:right w:val="nil"/>
            </w:tcBorders>
            <w:shd w:val="clear" w:color="auto" w:fill="D9D9D9" w:themeFill="background1" w:themeFillShade="D9"/>
          </w:tcPr>
          <w:p w14:paraId="6CE5748B" w14:textId="77777777" w:rsidR="00D85FD6" w:rsidRDefault="00D85FD6" w:rsidP="00BC5D6F">
            <w:pPr>
              <w:pStyle w:val="Tabletext0"/>
              <w:cnfStyle w:val="000000000000" w:firstRow="0" w:lastRow="0" w:firstColumn="0" w:lastColumn="0" w:oddVBand="0" w:evenVBand="0" w:oddHBand="0" w:evenHBand="0" w:firstRowFirstColumn="0" w:firstRowLastColumn="0" w:lastRowFirstColumn="0" w:lastRowLastColumn="0"/>
            </w:pPr>
          </w:p>
        </w:tc>
        <w:tc>
          <w:tcPr>
            <w:tcW w:w="1503" w:type="dxa"/>
            <w:tcBorders>
              <w:left w:val="nil"/>
              <w:bottom w:val="single" w:sz="4" w:space="0" w:color="auto"/>
              <w:right w:val="nil"/>
            </w:tcBorders>
            <w:shd w:val="clear" w:color="auto" w:fill="D9D9D9" w:themeFill="background1" w:themeFillShade="D9"/>
          </w:tcPr>
          <w:p w14:paraId="39B4D928" w14:textId="77777777" w:rsidR="00D85FD6" w:rsidRDefault="00D85FD6" w:rsidP="00BC5D6F">
            <w:pPr>
              <w:pStyle w:val="Tabletext0"/>
              <w:cnfStyle w:val="000000000000" w:firstRow="0" w:lastRow="0" w:firstColumn="0" w:lastColumn="0" w:oddVBand="0" w:evenVBand="0" w:oddHBand="0" w:evenHBand="0" w:firstRowFirstColumn="0" w:firstRowLastColumn="0" w:lastRowFirstColumn="0" w:lastRowLastColumn="0"/>
            </w:pPr>
          </w:p>
        </w:tc>
        <w:tc>
          <w:tcPr>
            <w:tcW w:w="1503" w:type="dxa"/>
            <w:tcBorders>
              <w:left w:val="nil"/>
              <w:bottom w:val="single" w:sz="4" w:space="0" w:color="auto"/>
            </w:tcBorders>
            <w:shd w:val="clear" w:color="auto" w:fill="D9D9D9" w:themeFill="background1" w:themeFillShade="D9"/>
          </w:tcPr>
          <w:p w14:paraId="69FB934B" w14:textId="77777777" w:rsidR="00D85FD6" w:rsidRDefault="00D85FD6" w:rsidP="00BC5D6F">
            <w:pPr>
              <w:pStyle w:val="Tabletext0"/>
              <w:cnfStyle w:val="000000000000" w:firstRow="0" w:lastRow="0" w:firstColumn="0" w:lastColumn="0" w:oddVBand="0" w:evenVBand="0" w:oddHBand="0" w:evenHBand="0" w:firstRowFirstColumn="0" w:firstRowLastColumn="0" w:lastRowFirstColumn="0" w:lastRowLastColumn="0"/>
            </w:pPr>
          </w:p>
        </w:tc>
      </w:tr>
      <w:tr w:rsidR="00D85FD6" w14:paraId="5FC3E7DF" w14:textId="77777777" w:rsidTr="00BC5D6F">
        <w:trPr>
          <w:cantSplit/>
        </w:trPr>
        <w:tc>
          <w:tcPr>
            <w:cnfStyle w:val="001000000000" w:firstRow="0" w:lastRow="0" w:firstColumn="1" w:lastColumn="0" w:oddVBand="0" w:evenVBand="0" w:oddHBand="0" w:evenHBand="0" w:firstRowFirstColumn="0" w:firstRowLastColumn="0" w:lastRowFirstColumn="0" w:lastRowLastColumn="0"/>
            <w:tcW w:w="1502" w:type="dxa"/>
          </w:tcPr>
          <w:p w14:paraId="5F9435CC" w14:textId="77777777" w:rsidR="00D85FD6" w:rsidRDefault="00D85FD6" w:rsidP="00BC5D6F">
            <w:pPr>
              <w:pStyle w:val="Tabletext0"/>
            </w:pPr>
            <w:r>
              <w:t>MRD</w:t>
            </w:r>
          </w:p>
        </w:tc>
        <w:tc>
          <w:tcPr>
            <w:tcW w:w="1502" w:type="dxa"/>
            <w:vAlign w:val="center"/>
          </w:tcPr>
          <w:p w14:paraId="53E0C5C0"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$424,295</w:t>
            </w:r>
          </w:p>
        </w:tc>
        <w:tc>
          <w:tcPr>
            <w:tcW w:w="1503" w:type="dxa"/>
            <w:gridSpan w:val="3"/>
            <w:tcBorders>
              <w:bottom w:val="nil"/>
            </w:tcBorders>
            <w:vAlign w:val="center"/>
          </w:tcPr>
          <w:p w14:paraId="710F2D24"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$36,722</w:t>
            </w:r>
          </w:p>
        </w:tc>
        <w:tc>
          <w:tcPr>
            <w:tcW w:w="1503" w:type="dxa"/>
            <w:vAlign w:val="center"/>
          </w:tcPr>
          <w:p w14:paraId="6E43A879"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7.19</w:t>
            </w:r>
          </w:p>
        </w:tc>
        <w:tc>
          <w:tcPr>
            <w:tcW w:w="1503" w:type="dxa"/>
            <w:tcBorders>
              <w:bottom w:val="nil"/>
            </w:tcBorders>
            <w:vAlign w:val="center"/>
          </w:tcPr>
          <w:p w14:paraId="34A32777"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4.10</w:t>
            </w:r>
          </w:p>
        </w:tc>
        <w:tc>
          <w:tcPr>
            <w:tcW w:w="1503" w:type="dxa"/>
            <w:tcBorders>
              <w:bottom w:val="nil"/>
            </w:tcBorders>
            <w:vAlign w:val="center"/>
          </w:tcPr>
          <w:p w14:paraId="722DBD4B"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$8,948</w:t>
            </w:r>
          </w:p>
        </w:tc>
      </w:tr>
      <w:tr w:rsidR="00D85FD6" w14:paraId="6337764C" w14:textId="77777777" w:rsidTr="00BC5D6F">
        <w:trPr>
          <w:cantSplit/>
        </w:trPr>
        <w:tc>
          <w:tcPr>
            <w:cnfStyle w:val="001000000000" w:firstRow="0" w:lastRow="0" w:firstColumn="1" w:lastColumn="0" w:oddVBand="0" w:evenVBand="0" w:oddHBand="0" w:evenHBand="0" w:firstRowFirstColumn="0" w:firstRowLastColumn="0" w:lastRowFirstColumn="0" w:lastRowLastColumn="0"/>
            <w:tcW w:w="1502" w:type="dxa"/>
            <w:tcBorders>
              <w:bottom w:val="single" w:sz="4" w:space="0" w:color="auto"/>
            </w:tcBorders>
          </w:tcPr>
          <w:p w14:paraId="79A33923" w14:textId="77777777" w:rsidR="00D85FD6" w:rsidRDefault="00D85FD6" w:rsidP="00BC5D6F">
            <w:pPr>
              <w:pStyle w:val="Tabletext0"/>
            </w:pPr>
            <w:r>
              <w:t>No MRD</w:t>
            </w:r>
          </w:p>
        </w:tc>
        <w:tc>
          <w:tcPr>
            <w:tcW w:w="1502" w:type="dxa"/>
            <w:tcBorders>
              <w:bottom w:val="single" w:sz="4" w:space="0" w:color="auto"/>
            </w:tcBorders>
            <w:vAlign w:val="center"/>
          </w:tcPr>
          <w:p w14:paraId="05D3FFD6"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$387,572</w:t>
            </w:r>
          </w:p>
        </w:tc>
        <w:tc>
          <w:tcPr>
            <w:tcW w:w="1503" w:type="dxa"/>
            <w:gridSpan w:val="3"/>
            <w:tcBorders>
              <w:top w:val="nil"/>
              <w:bottom w:val="single" w:sz="4" w:space="0" w:color="auto"/>
            </w:tcBorders>
            <w:vAlign w:val="center"/>
          </w:tcPr>
          <w:p w14:paraId="310A5BA2"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 </w:t>
            </w:r>
          </w:p>
        </w:tc>
        <w:tc>
          <w:tcPr>
            <w:tcW w:w="1503" w:type="dxa"/>
            <w:tcBorders>
              <w:bottom w:val="single" w:sz="4" w:space="0" w:color="auto"/>
            </w:tcBorders>
            <w:vAlign w:val="center"/>
          </w:tcPr>
          <w:p w14:paraId="756A13BD"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3.08</w:t>
            </w:r>
          </w:p>
        </w:tc>
        <w:tc>
          <w:tcPr>
            <w:tcW w:w="1503" w:type="dxa"/>
            <w:tcBorders>
              <w:top w:val="nil"/>
              <w:bottom w:val="single" w:sz="4" w:space="0" w:color="auto"/>
            </w:tcBorders>
            <w:vAlign w:val="center"/>
          </w:tcPr>
          <w:p w14:paraId="01843B37"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 </w:t>
            </w:r>
          </w:p>
        </w:tc>
        <w:tc>
          <w:tcPr>
            <w:tcW w:w="1503" w:type="dxa"/>
            <w:tcBorders>
              <w:top w:val="nil"/>
              <w:bottom w:val="single" w:sz="4" w:space="0" w:color="auto"/>
            </w:tcBorders>
            <w:vAlign w:val="center"/>
          </w:tcPr>
          <w:p w14:paraId="48E062B4"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 </w:t>
            </w:r>
          </w:p>
        </w:tc>
      </w:tr>
      <w:tr w:rsidR="00D85FD6" w:rsidRPr="0058332A" w14:paraId="39198BFB" w14:textId="77777777" w:rsidTr="00BC5D6F">
        <w:trPr>
          <w:cantSplit/>
        </w:trPr>
        <w:tc>
          <w:tcPr>
            <w:cnfStyle w:val="001000000000" w:firstRow="0" w:lastRow="0" w:firstColumn="1" w:lastColumn="0" w:oddVBand="0" w:evenVBand="0" w:oddHBand="0" w:evenHBand="0" w:firstRowFirstColumn="0" w:firstRowLastColumn="0" w:lastRowFirstColumn="0" w:lastRowLastColumn="0"/>
            <w:tcW w:w="1502" w:type="dxa"/>
            <w:tcBorders>
              <w:top w:val="single" w:sz="4" w:space="0" w:color="auto"/>
              <w:bottom w:val="single" w:sz="4" w:space="0" w:color="auto"/>
              <w:right w:val="nil"/>
            </w:tcBorders>
            <w:shd w:val="clear" w:color="auto" w:fill="D9D9D9" w:themeFill="background1" w:themeFillShade="D9"/>
          </w:tcPr>
          <w:p w14:paraId="61C21DEB" w14:textId="77777777" w:rsidR="00D85FD6" w:rsidRPr="00EB5AD2" w:rsidRDefault="00D85FD6" w:rsidP="00BC5D6F">
            <w:pPr>
              <w:pStyle w:val="Tabletext0"/>
              <w:keepNext/>
              <w:keepLines/>
              <w:rPr>
                <w:strike/>
              </w:rPr>
            </w:pPr>
            <w:r w:rsidRPr="00EB5AD2">
              <w:rPr>
                <w:strike/>
              </w:rPr>
              <w:t>PCR</w:t>
            </w:r>
          </w:p>
        </w:tc>
        <w:tc>
          <w:tcPr>
            <w:tcW w:w="1502" w:type="dxa"/>
            <w:tcBorders>
              <w:top w:val="single" w:sz="4" w:space="0" w:color="auto"/>
              <w:left w:val="nil"/>
              <w:bottom w:val="single" w:sz="4" w:space="0" w:color="auto"/>
              <w:right w:val="nil"/>
            </w:tcBorders>
            <w:shd w:val="clear" w:color="auto" w:fill="D9D9D9" w:themeFill="background1" w:themeFillShade="D9"/>
          </w:tcPr>
          <w:p w14:paraId="6F02B82E" w14:textId="77777777" w:rsidR="00D85FD6" w:rsidRPr="00EB5AD2" w:rsidRDefault="00D85FD6" w:rsidP="00BC5D6F">
            <w:pPr>
              <w:pStyle w:val="Tabletext0"/>
              <w:keepNext/>
              <w:keepLines/>
              <w:cnfStyle w:val="000000000000" w:firstRow="0" w:lastRow="0" w:firstColumn="0" w:lastColumn="0" w:oddVBand="0" w:evenVBand="0" w:oddHBand="0" w:evenHBand="0" w:firstRowFirstColumn="0" w:firstRowLastColumn="0" w:lastRowFirstColumn="0" w:lastRowLastColumn="0"/>
              <w:rPr>
                <w:strike/>
              </w:rPr>
            </w:pPr>
          </w:p>
        </w:tc>
        <w:tc>
          <w:tcPr>
            <w:tcW w:w="1503" w:type="dxa"/>
            <w:gridSpan w:val="3"/>
            <w:tcBorders>
              <w:top w:val="single" w:sz="4" w:space="0" w:color="auto"/>
              <w:left w:val="nil"/>
              <w:bottom w:val="single" w:sz="4" w:space="0" w:color="auto"/>
              <w:right w:val="nil"/>
            </w:tcBorders>
            <w:shd w:val="clear" w:color="auto" w:fill="D9D9D9" w:themeFill="background1" w:themeFillShade="D9"/>
          </w:tcPr>
          <w:p w14:paraId="5660A78F" w14:textId="77777777" w:rsidR="00D85FD6" w:rsidRPr="00EB5AD2" w:rsidRDefault="00D85FD6" w:rsidP="00BC5D6F">
            <w:pPr>
              <w:pStyle w:val="Tabletext0"/>
              <w:keepNext/>
              <w:keepLines/>
              <w:cnfStyle w:val="000000000000" w:firstRow="0" w:lastRow="0" w:firstColumn="0" w:lastColumn="0" w:oddVBand="0" w:evenVBand="0" w:oddHBand="0" w:evenHBand="0" w:firstRowFirstColumn="0" w:firstRowLastColumn="0" w:lastRowFirstColumn="0" w:lastRowLastColumn="0"/>
              <w:rPr>
                <w:strike/>
              </w:rPr>
            </w:pPr>
          </w:p>
        </w:tc>
        <w:tc>
          <w:tcPr>
            <w:tcW w:w="1503" w:type="dxa"/>
            <w:tcBorders>
              <w:top w:val="single" w:sz="4" w:space="0" w:color="auto"/>
              <w:left w:val="nil"/>
              <w:bottom w:val="single" w:sz="4" w:space="0" w:color="auto"/>
              <w:right w:val="nil"/>
            </w:tcBorders>
            <w:shd w:val="clear" w:color="auto" w:fill="D9D9D9" w:themeFill="background1" w:themeFillShade="D9"/>
          </w:tcPr>
          <w:p w14:paraId="5508F3B0" w14:textId="77777777" w:rsidR="00D85FD6" w:rsidRPr="00EB5AD2" w:rsidRDefault="00D85FD6" w:rsidP="00BC5D6F">
            <w:pPr>
              <w:pStyle w:val="Tabletext0"/>
              <w:keepNext/>
              <w:keepLines/>
              <w:cnfStyle w:val="000000000000" w:firstRow="0" w:lastRow="0" w:firstColumn="0" w:lastColumn="0" w:oddVBand="0" w:evenVBand="0" w:oddHBand="0" w:evenHBand="0" w:firstRowFirstColumn="0" w:firstRowLastColumn="0" w:lastRowFirstColumn="0" w:lastRowLastColumn="0"/>
              <w:rPr>
                <w:strike/>
              </w:rPr>
            </w:pPr>
          </w:p>
        </w:tc>
        <w:tc>
          <w:tcPr>
            <w:tcW w:w="1503" w:type="dxa"/>
            <w:tcBorders>
              <w:top w:val="single" w:sz="4" w:space="0" w:color="auto"/>
              <w:left w:val="nil"/>
              <w:bottom w:val="single" w:sz="4" w:space="0" w:color="auto"/>
              <w:right w:val="nil"/>
            </w:tcBorders>
            <w:shd w:val="clear" w:color="auto" w:fill="D9D9D9" w:themeFill="background1" w:themeFillShade="D9"/>
          </w:tcPr>
          <w:p w14:paraId="53797F80" w14:textId="77777777" w:rsidR="00D85FD6" w:rsidRPr="00EB5AD2" w:rsidRDefault="00D85FD6" w:rsidP="00BC5D6F">
            <w:pPr>
              <w:pStyle w:val="Tabletext0"/>
              <w:keepNext/>
              <w:keepLines/>
              <w:cnfStyle w:val="000000000000" w:firstRow="0" w:lastRow="0" w:firstColumn="0" w:lastColumn="0" w:oddVBand="0" w:evenVBand="0" w:oddHBand="0" w:evenHBand="0" w:firstRowFirstColumn="0" w:firstRowLastColumn="0" w:lastRowFirstColumn="0" w:lastRowLastColumn="0"/>
              <w:rPr>
                <w:strike/>
              </w:rPr>
            </w:pPr>
          </w:p>
        </w:tc>
        <w:tc>
          <w:tcPr>
            <w:tcW w:w="1503" w:type="dxa"/>
            <w:tcBorders>
              <w:top w:val="single" w:sz="4" w:space="0" w:color="auto"/>
              <w:left w:val="nil"/>
              <w:bottom w:val="single" w:sz="4" w:space="0" w:color="auto"/>
            </w:tcBorders>
            <w:shd w:val="clear" w:color="auto" w:fill="D9D9D9" w:themeFill="background1" w:themeFillShade="D9"/>
          </w:tcPr>
          <w:p w14:paraId="771D4629" w14:textId="77777777" w:rsidR="00D85FD6" w:rsidRPr="00EB5AD2" w:rsidRDefault="00D85FD6" w:rsidP="00BC5D6F">
            <w:pPr>
              <w:pStyle w:val="Tabletext0"/>
              <w:keepNext/>
              <w:keepLines/>
              <w:cnfStyle w:val="000000000000" w:firstRow="0" w:lastRow="0" w:firstColumn="0" w:lastColumn="0" w:oddVBand="0" w:evenVBand="0" w:oddHBand="0" w:evenHBand="0" w:firstRowFirstColumn="0" w:firstRowLastColumn="0" w:lastRowFirstColumn="0" w:lastRowLastColumn="0"/>
              <w:rPr>
                <w:strike/>
              </w:rPr>
            </w:pPr>
          </w:p>
        </w:tc>
      </w:tr>
      <w:tr w:rsidR="00D85FD6" w:rsidRPr="0058332A" w14:paraId="179015A4" w14:textId="77777777" w:rsidTr="00BC5D6F">
        <w:trPr>
          <w:cantSplit/>
        </w:trPr>
        <w:tc>
          <w:tcPr>
            <w:cnfStyle w:val="001000000000" w:firstRow="0" w:lastRow="0" w:firstColumn="1" w:lastColumn="0" w:oddVBand="0" w:evenVBand="0" w:oddHBand="0" w:evenHBand="0" w:firstRowFirstColumn="0" w:firstRowLastColumn="0" w:lastRowFirstColumn="0" w:lastRowLastColumn="0"/>
            <w:tcW w:w="1502" w:type="dxa"/>
          </w:tcPr>
          <w:p w14:paraId="0370C5FD" w14:textId="77777777" w:rsidR="00D85FD6" w:rsidRPr="00EB5AD2" w:rsidRDefault="00D85FD6" w:rsidP="00BC5D6F">
            <w:pPr>
              <w:pStyle w:val="Tabletext0"/>
              <w:rPr>
                <w:strike/>
              </w:rPr>
            </w:pPr>
            <w:r w:rsidRPr="00EB5AD2">
              <w:rPr>
                <w:strike/>
              </w:rPr>
              <w:t>MRD</w:t>
            </w:r>
          </w:p>
        </w:tc>
        <w:tc>
          <w:tcPr>
            <w:tcW w:w="1502" w:type="dxa"/>
            <w:vAlign w:val="center"/>
          </w:tcPr>
          <w:p w14:paraId="186838BB" w14:textId="77777777" w:rsidR="00D85FD6" w:rsidRPr="00EB5AD2"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rPr>
                <w:strike/>
              </w:rPr>
            </w:pPr>
            <w:r w:rsidRPr="00EB5AD2">
              <w:rPr>
                <w:rFonts w:cs="Calibri"/>
                <w:strike/>
                <w:color w:val="000000"/>
              </w:rPr>
              <w:t>$418,846</w:t>
            </w:r>
          </w:p>
        </w:tc>
        <w:tc>
          <w:tcPr>
            <w:tcW w:w="1503" w:type="dxa"/>
            <w:gridSpan w:val="3"/>
            <w:tcBorders>
              <w:top w:val="nil"/>
              <w:bottom w:val="nil"/>
            </w:tcBorders>
            <w:vAlign w:val="center"/>
          </w:tcPr>
          <w:p w14:paraId="71550BC9" w14:textId="77777777" w:rsidR="00D85FD6" w:rsidRPr="00EB5AD2"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rPr>
                <w:strike/>
              </w:rPr>
            </w:pPr>
            <w:r w:rsidRPr="00EB5AD2">
              <w:rPr>
                <w:rFonts w:cs="Calibri"/>
                <w:strike/>
                <w:color w:val="000000"/>
              </w:rPr>
              <w:t>$31,274</w:t>
            </w:r>
          </w:p>
        </w:tc>
        <w:tc>
          <w:tcPr>
            <w:tcW w:w="1503" w:type="dxa"/>
            <w:vAlign w:val="center"/>
          </w:tcPr>
          <w:p w14:paraId="66B22484" w14:textId="77777777" w:rsidR="00D85FD6" w:rsidRPr="00EB5AD2"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rPr>
                <w:strike/>
              </w:rPr>
            </w:pPr>
            <w:r w:rsidRPr="00EB5AD2">
              <w:rPr>
                <w:rFonts w:cs="Calibri"/>
                <w:strike/>
                <w:color w:val="000000"/>
              </w:rPr>
              <w:t>7.36</w:t>
            </w:r>
          </w:p>
        </w:tc>
        <w:tc>
          <w:tcPr>
            <w:tcW w:w="1503" w:type="dxa"/>
            <w:tcBorders>
              <w:top w:val="nil"/>
              <w:bottom w:val="nil"/>
            </w:tcBorders>
            <w:vAlign w:val="center"/>
          </w:tcPr>
          <w:p w14:paraId="5B2FB797" w14:textId="77777777" w:rsidR="00D85FD6" w:rsidRPr="00EB5AD2"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rPr>
                <w:strike/>
              </w:rPr>
            </w:pPr>
            <w:r w:rsidRPr="00EB5AD2">
              <w:rPr>
                <w:rFonts w:cs="Calibri"/>
                <w:strike/>
                <w:color w:val="000000"/>
              </w:rPr>
              <w:t>4.27</w:t>
            </w:r>
          </w:p>
        </w:tc>
        <w:tc>
          <w:tcPr>
            <w:tcW w:w="1503" w:type="dxa"/>
            <w:tcBorders>
              <w:top w:val="nil"/>
              <w:bottom w:val="nil"/>
            </w:tcBorders>
            <w:vAlign w:val="center"/>
          </w:tcPr>
          <w:p w14:paraId="50A2FB50" w14:textId="77777777" w:rsidR="00D85FD6" w:rsidRPr="00EB5AD2"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rPr>
                <w:strike/>
              </w:rPr>
            </w:pPr>
            <w:r w:rsidRPr="00EB5AD2">
              <w:rPr>
                <w:rFonts w:cs="Calibri"/>
                <w:strike/>
                <w:color w:val="000000"/>
              </w:rPr>
              <w:t>$7,318</w:t>
            </w:r>
          </w:p>
        </w:tc>
      </w:tr>
      <w:tr w:rsidR="00D85FD6" w:rsidRPr="0058332A" w14:paraId="3FEECC48" w14:textId="77777777" w:rsidTr="00EB5AD2">
        <w:trPr>
          <w:cantSplit/>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tcPr>
          <w:p w14:paraId="0D9AE56F" w14:textId="77777777" w:rsidR="00D85FD6" w:rsidRPr="00EB5AD2" w:rsidRDefault="00D85FD6" w:rsidP="00BC5D6F">
            <w:pPr>
              <w:pStyle w:val="Tabletext0"/>
              <w:rPr>
                <w:strike/>
              </w:rPr>
            </w:pPr>
            <w:r w:rsidRPr="00EB5AD2">
              <w:rPr>
                <w:strike/>
              </w:rPr>
              <w:t>No MRD</w:t>
            </w:r>
          </w:p>
        </w:tc>
        <w:tc>
          <w:tcPr>
            <w:tcW w:w="0" w:type="dxa"/>
            <w:tcBorders>
              <w:bottom w:val="single" w:sz="4" w:space="0" w:color="auto"/>
            </w:tcBorders>
            <w:vAlign w:val="center"/>
          </w:tcPr>
          <w:p w14:paraId="0A60974A" w14:textId="77777777" w:rsidR="00D85FD6" w:rsidRPr="00EB5AD2"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rPr>
                <w:strike/>
              </w:rPr>
            </w:pPr>
            <w:r w:rsidRPr="00EB5AD2">
              <w:rPr>
                <w:rFonts w:cs="Calibri"/>
                <w:strike/>
                <w:color w:val="000000"/>
              </w:rPr>
              <w:t>$387,572</w:t>
            </w:r>
          </w:p>
        </w:tc>
        <w:tc>
          <w:tcPr>
            <w:tcW w:w="0" w:type="dxa"/>
            <w:gridSpan w:val="3"/>
            <w:tcBorders>
              <w:top w:val="nil"/>
              <w:bottom w:val="single" w:sz="4" w:space="0" w:color="auto"/>
            </w:tcBorders>
            <w:vAlign w:val="center"/>
          </w:tcPr>
          <w:p w14:paraId="36989BB2" w14:textId="77777777" w:rsidR="00D85FD6" w:rsidRPr="00EB5AD2"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rPr>
                <w:strike/>
              </w:rPr>
            </w:pPr>
            <w:r w:rsidRPr="00EB5AD2">
              <w:rPr>
                <w:rFonts w:cs="Calibri"/>
                <w:strike/>
                <w:color w:val="000000"/>
              </w:rPr>
              <w:t> </w:t>
            </w:r>
          </w:p>
        </w:tc>
        <w:tc>
          <w:tcPr>
            <w:tcW w:w="0" w:type="dxa"/>
            <w:tcBorders>
              <w:bottom w:val="single" w:sz="4" w:space="0" w:color="auto"/>
            </w:tcBorders>
            <w:vAlign w:val="center"/>
          </w:tcPr>
          <w:p w14:paraId="1799BCC8" w14:textId="77777777" w:rsidR="00D85FD6" w:rsidRPr="00EB5AD2"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rPr>
                <w:strike/>
              </w:rPr>
            </w:pPr>
            <w:r w:rsidRPr="00EB5AD2">
              <w:rPr>
                <w:rFonts w:cs="Calibri"/>
                <w:strike/>
                <w:color w:val="000000"/>
              </w:rPr>
              <w:t>3.08</w:t>
            </w:r>
          </w:p>
        </w:tc>
        <w:tc>
          <w:tcPr>
            <w:tcW w:w="0" w:type="dxa"/>
            <w:tcBorders>
              <w:top w:val="nil"/>
              <w:bottom w:val="single" w:sz="4" w:space="0" w:color="auto"/>
            </w:tcBorders>
            <w:vAlign w:val="center"/>
          </w:tcPr>
          <w:p w14:paraId="7FEBF236" w14:textId="77777777" w:rsidR="00D85FD6" w:rsidRPr="00EB5AD2"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rPr>
                <w:strike/>
              </w:rPr>
            </w:pPr>
            <w:r w:rsidRPr="00EB5AD2">
              <w:rPr>
                <w:rFonts w:cs="Calibri"/>
                <w:strike/>
                <w:color w:val="000000"/>
              </w:rPr>
              <w:t> </w:t>
            </w:r>
          </w:p>
        </w:tc>
        <w:tc>
          <w:tcPr>
            <w:tcW w:w="0" w:type="dxa"/>
            <w:tcBorders>
              <w:top w:val="nil"/>
              <w:bottom w:val="single" w:sz="4" w:space="0" w:color="auto"/>
            </w:tcBorders>
            <w:vAlign w:val="center"/>
          </w:tcPr>
          <w:p w14:paraId="19B7EC3E" w14:textId="77777777" w:rsidR="00D85FD6" w:rsidRPr="00EB5AD2"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rPr>
                <w:strike/>
              </w:rPr>
            </w:pPr>
            <w:r w:rsidRPr="00EB5AD2">
              <w:rPr>
                <w:rFonts w:cs="Calibri"/>
                <w:strike/>
                <w:color w:val="000000"/>
              </w:rPr>
              <w:t> </w:t>
            </w:r>
          </w:p>
        </w:tc>
      </w:tr>
      <w:tr w:rsidR="0058332A" w14:paraId="0B987F1B" w14:textId="77777777" w:rsidTr="00EB5AD2">
        <w:trPr>
          <w:cantSplit/>
        </w:trPr>
        <w:tc>
          <w:tcPr>
            <w:cnfStyle w:val="001000000000" w:firstRow="0" w:lastRow="0" w:firstColumn="1" w:lastColumn="0" w:oddVBand="0" w:evenVBand="0" w:oddHBand="0" w:evenHBand="0" w:firstRowFirstColumn="0" w:firstRowLastColumn="0" w:lastRowFirstColumn="0" w:lastRowLastColumn="0"/>
            <w:tcW w:w="0" w:type="dxa"/>
            <w:gridSpan w:val="8"/>
            <w:tcBorders>
              <w:top w:val="single" w:sz="4" w:space="0" w:color="auto"/>
              <w:bottom w:val="single" w:sz="4" w:space="0" w:color="auto"/>
            </w:tcBorders>
            <w:shd w:val="clear" w:color="auto" w:fill="D9D9D9" w:themeFill="background1" w:themeFillShade="D9"/>
          </w:tcPr>
          <w:p w14:paraId="2B4B8776" w14:textId="55D3BACE" w:rsidR="0058332A" w:rsidRPr="00EB5AD2" w:rsidRDefault="0058332A" w:rsidP="004D3912">
            <w:pPr>
              <w:pStyle w:val="Tabletext0"/>
              <w:keepNext/>
              <w:keepLines/>
              <w:rPr>
                <w:color w:val="0070C0"/>
              </w:rPr>
            </w:pPr>
            <w:r w:rsidRPr="00EB5AD2">
              <w:rPr>
                <w:color w:val="0070C0"/>
              </w:rPr>
              <w:t xml:space="preserve">PCR </w:t>
            </w:r>
            <w:r w:rsidRPr="00EB5AD2">
              <w:rPr>
                <w:i/>
                <w:iCs/>
                <w:color w:val="0070C0"/>
              </w:rPr>
              <w:t>– post-ESC analys</w:t>
            </w:r>
            <w:r>
              <w:rPr>
                <w:i/>
                <w:iCs/>
                <w:color w:val="0070C0"/>
              </w:rPr>
              <w:t xml:space="preserve">is revised to </w:t>
            </w:r>
            <w:r w:rsidR="00C47DCC">
              <w:rPr>
                <w:i/>
                <w:iCs/>
                <w:color w:val="0070C0"/>
              </w:rPr>
              <w:t>include a</w:t>
            </w:r>
            <w:r>
              <w:rPr>
                <w:i/>
                <w:iCs/>
                <w:color w:val="0070C0"/>
              </w:rPr>
              <w:t xml:space="preserve"> 4% re-biopsy rate</w:t>
            </w:r>
          </w:p>
        </w:tc>
      </w:tr>
      <w:tr w:rsidR="0058332A" w14:paraId="68F407CB" w14:textId="77777777" w:rsidTr="004D3912">
        <w:trPr>
          <w:cantSplit/>
        </w:trPr>
        <w:tc>
          <w:tcPr>
            <w:cnfStyle w:val="001000000000" w:firstRow="0" w:lastRow="0" w:firstColumn="1" w:lastColumn="0" w:oddVBand="0" w:evenVBand="0" w:oddHBand="0" w:evenHBand="0" w:firstRowFirstColumn="0" w:firstRowLastColumn="0" w:lastRowFirstColumn="0" w:lastRowLastColumn="0"/>
            <w:tcW w:w="1502" w:type="dxa"/>
          </w:tcPr>
          <w:p w14:paraId="7450E77D" w14:textId="77777777" w:rsidR="0058332A" w:rsidRPr="00EB5AD2" w:rsidRDefault="0058332A" w:rsidP="004D3912">
            <w:pPr>
              <w:pStyle w:val="Tabletext0"/>
              <w:rPr>
                <w:color w:val="0070C0"/>
              </w:rPr>
            </w:pPr>
            <w:r w:rsidRPr="00EB5AD2">
              <w:rPr>
                <w:color w:val="0070C0"/>
              </w:rPr>
              <w:t>MRD</w:t>
            </w:r>
          </w:p>
        </w:tc>
        <w:tc>
          <w:tcPr>
            <w:tcW w:w="1502" w:type="dxa"/>
            <w:vAlign w:val="center"/>
          </w:tcPr>
          <w:p w14:paraId="5ECDA334" w14:textId="7393EB33" w:rsidR="0058332A" w:rsidRPr="00EB5AD2" w:rsidRDefault="0058332A" w:rsidP="004D3912">
            <w:pPr>
              <w:pStyle w:val="Tabletext0"/>
              <w:jc w:val="center"/>
              <w:cnfStyle w:val="000000000000" w:firstRow="0" w:lastRow="0" w:firstColumn="0" w:lastColumn="0" w:oddVBand="0" w:evenVBand="0" w:oddHBand="0" w:evenHBand="0" w:firstRowFirstColumn="0" w:firstRowLastColumn="0" w:lastRowFirstColumn="0" w:lastRowLastColumn="0"/>
              <w:rPr>
                <w:color w:val="0070C0"/>
              </w:rPr>
            </w:pPr>
            <w:r w:rsidRPr="00EB5AD2">
              <w:rPr>
                <w:rFonts w:cs="Calibri"/>
                <w:color w:val="0070C0"/>
              </w:rPr>
              <w:t>$418,</w:t>
            </w:r>
            <w:r>
              <w:rPr>
                <w:rFonts w:cs="Calibri"/>
                <w:color w:val="0070C0"/>
              </w:rPr>
              <w:t>916</w:t>
            </w:r>
          </w:p>
        </w:tc>
        <w:tc>
          <w:tcPr>
            <w:tcW w:w="1503" w:type="dxa"/>
            <w:gridSpan w:val="3"/>
            <w:tcBorders>
              <w:top w:val="nil"/>
              <w:bottom w:val="nil"/>
            </w:tcBorders>
            <w:vAlign w:val="center"/>
          </w:tcPr>
          <w:p w14:paraId="11FADCA2" w14:textId="30FC10E2" w:rsidR="0058332A" w:rsidRPr="00EB5AD2" w:rsidRDefault="0058332A" w:rsidP="004D3912">
            <w:pPr>
              <w:pStyle w:val="Tabletext0"/>
              <w:jc w:val="center"/>
              <w:cnfStyle w:val="000000000000" w:firstRow="0" w:lastRow="0" w:firstColumn="0" w:lastColumn="0" w:oddVBand="0" w:evenVBand="0" w:oddHBand="0" w:evenHBand="0" w:firstRowFirstColumn="0" w:firstRowLastColumn="0" w:lastRowFirstColumn="0" w:lastRowLastColumn="0"/>
              <w:rPr>
                <w:color w:val="0070C0"/>
              </w:rPr>
            </w:pPr>
            <w:r w:rsidRPr="00EB5AD2">
              <w:rPr>
                <w:rFonts w:cs="Calibri"/>
                <w:color w:val="0070C0"/>
              </w:rPr>
              <w:t>$31,</w:t>
            </w:r>
            <w:r>
              <w:rPr>
                <w:rFonts w:cs="Calibri"/>
                <w:color w:val="0070C0"/>
              </w:rPr>
              <w:t>343</w:t>
            </w:r>
          </w:p>
        </w:tc>
        <w:tc>
          <w:tcPr>
            <w:tcW w:w="1503" w:type="dxa"/>
            <w:vAlign w:val="center"/>
          </w:tcPr>
          <w:p w14:paraId="5FEEE50D" w14:textId="77777777" w:rsidR="0058332A" w:rsidRPr="00EB5AD2" w:rsidRDefault="0058332A" w:rsidP="004D3912">
            <w:pPr>
              <w:pStyle w:val="Tabletext0"/>
              <w:jc w:val="center"/>
              <w:cnfStyle w:val="000000000000" w:firstRow="0" w:lastRow="0" w:firstColumn="0" w:lastColumn="0" w:oddVBand="0" w:evenVBand="0" w:oddHBand="0" w:evenHBand="0" w:firstRowFirstColumn="0" w:firstRowLastColumn="0" w:lastRowFirstColumn="0" w:lastRowLastColumn="0"/>
              <w:rPr>
                <w:color w:val="0070C0"/>
              </w:rPr>
            </w:pPr>
            <w:r w:rsidRPr="00EB5AD2">
              <w:rPr>
                <w:rFonts w:cs="Calibri"/>
                <w:color w:val="0070C0"/>
              </w:rPr>
              <w:t>7.36</w:t>
            </w:r>
          </w:p>
        </w:tc>
        <w:tc>
          <w:tcPr>
            <w:tcW w:w="1503" w:type="dxa"/>
            <w:tcBorders>
              <w:top w:val="nil"/>
              <w:bottom w:val="nil"/>
            </w:tcBorders>
            <w:vAlign w:val="center"/>
          </w:tcPr>
          <w:p w14:paraId="6AD61862" w14:textId="77777777" w:rsidR="0058332A" w:rsidRPr="00EB5AD2" w:rsidRDefault="0058332A" w:rsidP="004D3912">
            <w:pPr>
              <w:pStyle w:val="Tabletext0"/>
              <w:jc w:val="center"/>
              <w:cnfStyle w:val="000000000000" w:firstRow="0" w:lastRow="0" w:firstColumn="0" w:lastColumn="0" w:oddVBand="0" w:evenVBand="0" w:oddHBand="0" w:evenHBand="0" w:firstRowFirstColumn="0" w:firstRowLastColumn="0" w:lastRowFirstColumn="0" w:lastRowLastColumn="0"/>
              <w:rPr>
                <w:color w:val="0070C0"/>
              </w:rPr>
            </w:pPr>
            <w:r w:rsidRPr="00EB5AD2">
              <w:rPr>
                <w:rFonts w:cs="Calibri"/>
                <w:color w:val="0070C0"/>
              </w:rPr>
              <w:t>4.27</w:t>
            </w:r>
          </w:p>
        </w:tc>
        <w:tc>
          <w:tcPr>
            <w:tcW w:w="1503" w:type="dxa"/>
            <w:tcBorders>
              <w:top w:val="nil"/>
              <w:bottom w:val="nil"/>
            </w:tcBorders>
            <w:vAlign w:val="center"/>
          </w:tcPr>
          <w:p w14:paraId="327260B0" w14:textId="31B12D54" w:rsidR="0058332A" w:rsidRPr="00EB5AD2" w:rsidRDefault="0058332A" w:rsidP="004D3912">
            <w:pPr>
              <w:pStyle w:val="Tabletext0"/>
              <w:jc w:val="center"/>
              <w:cnfStyle w:val="000000000000" w:firstRow="0" w:lastRow="0" w:firstColumn="0" w:lastColumn="0" w:oddVBand="0" w:evenVBand="0" w:oddHBand="0" w:evenHBand="0" w:firstRowFirstColumn="0" w:firstRowLastColumn="0" w:lastRowFirstColumn="0" w:lastRowLastColumn="0"/>
              <w:rPr>
                <w:color w:val="0070C0"/>
              </w:rPr>
            </w:pPr>
            <w:r w:rsidRPr="00EB5AD2">
              <w:rPr>
                <w:rFonts w:cs="Calibri"/>
                <w:color w:val="0070C0"/>
              </w:rPr>
              <w:t>$7,3</w:t>
            </w:r>
            <w:r>
              <w:rPr>
                <w:rFonts w:cs="Calibri"/>
                <w:color w:val="0070C0"/>
              </w:rPr>
              <w:t>34</w:t>
            </w:r>
          </w:p>
        </w:tc>
      </w:tr>
      <w:tr w:rsidR="0058332A" w14:paraId="34596D8E" w14:textId="77777777" w:rsidTr="004D3912">
        <w:trPr>
          <w:cantSplit/>
        </w:trPr>
        <w:tc>
          <w:tcPr>
            <w:cnfStyle w:val="001000000000" w:firstRow="0" w:lastRow="0" w:firstColumn="1" w:lastColumn="0" w:oddVBand="0" w:evenVBand="0" w:oddHBand="0" w:evenHBand="0" w:firstRowFirstColumn="0" w:firstRowLastColumn="0" w:lastRowFirstColumn="0" w:lastRowLastColumn="0"/>
            <w:tcW w:w="1502" w:type="dxa"/>
          </w:tcPr>
          <w:p w14:paraId="74DBD800" w14:textId="77777777" w:rsidR="0058332A" w:rsidRPr="00EB5AD2" w:rsidRDefault="0058332A" w:rsidP="004D3912">
            <w:pPr>
              <w:pStyle w:val="Tabletext0"/>
              <w:rPr>
                <w:color w:val="0070C0"/>
              </w:rPr>
            </w:pPr>
            <w:r w:rsidRPr="00EB5AD2">
              <w:rPr>
                <w:color w:val="0070C0"/>
              </w:rPr>
              <w:t>No MRD</w:t>
            </w:r>
          </w:p>
        </w:tc>
        <w:tc>
          <w:tcPr>
            <w:tcW w:w="1502" w:type="dxa"/>
            <w:vAlign w:val="center"/>
          </w:tcPr>
          <w:p w14:paraId="30FA6F5D" w14:textId="77777777" w:rsidR="0058332A" w:rsidRPr="00EB5AD2" w:rsidRDefault="0058332A" w:rsidP="004D3912">
            <w:pPr>
              <w:pStyle w:val="Tabletext0"/>
              <w:jc w:val="center"/>
              <w:cnfStyle w:val="000000000000" w:firstRow="0" w:lastRow="0" w:firstColumn="0" w:lastColumn="0" w:oddVBand="0" w:evenVBand="0" w:oddHBand="0" w:evenHBand="0" w:firstRowFirstColumn="0" w:firstRowLastColumn="0" w:lastRowFirstColumn="0" w:lastRowLastColumn="0"/>
              <w:rPr>
                <w:color w:val="0070C0"/>
              </w:rPr>
            </w:pPr>
            <w:r w:rsidRPr="00EB5AD2">
              <w:rPr>
                <w:rFonts w:cs="Calibri"/>
                <w:color w:val="0070C0"/>
              </w:rPr>
              <w:t>$387,572</w:t>
            </w:r>
          </w:p>
        </w:tc>
        <w:tc>
          <w:tcPr>
            <w:tcW w:w="1503" w:type="dxa"/>
            <w:gridSpan w:val="3"/>
            <w:tcBorders>
              <w:top w:val="nil"/>
              <w:bottom w:val="nil"/>
            </w:tcBorders>
            <w:vAlign w:val="center"/>
          </w:tcPr>
          <w:p w14:paraId="128F03E7" w14:textId="77777777" w:rsidR="0058332A" w:rsidRPr="00EB5AD2" w:rsidRDefault="0058332A" w:rsidP="004D3912">
            <w:pPr>
              <w:pStyle w:val="Tabletext0"/>
              <w:jc w:val="center"/>
              <w:cnfStyle w:val="000000000000" w:firstRow="0" w:lastRow="0" w:firstColumn="0" w:lastColumn="0" w:oddVBand="0" w:evenVBand="0" w:oddHBand="0" w:evenHBand="0" w:firstRowFirstColumn="0" w:firstRowLastColumn="0" w:lastRowFirstColumn="0" w:lastRowLastColumn="0"/>
              <w:rPr>
                <w:color w:val="0070C0"/>
              </w:rPr>
            </w:pPr>
            <w:r w:rsidRPr="00EB5AD2">
              <w:rPr>
                <w:rFonts w:cs="Calibri"/>
                <w:color w:val="0070C0"/>
              </w:rPr>
              <w:t> </w:t>
            </w:r>
          </w:p>
        </w:tc>
        <w:tc>
          <w:tcPr>
            <w:tcW w:w="1503" w:type="dxa"/>
            <w:vAlign w:val="center"/>
          </w:tcPr>
          <w:p w14:paraId="1395627A" w14:textId="77777777" w:rsidR="0058332A" w:rsidRPr="00EB5AD2" w:rsidRDefault="0058332A" w:rsidP="004D3912">
            <w:pPr>
              <w:pStyle w:val="Tabletext0"/>
              <w:jc w:val="center"/>
              <w:cnfStyle w:val="000000000000" w:firstRow="0" w:lastRow="0" w:firstColumn="0" w:lastColumn="0" w:oddVBand="0" w:evenVBand="0" w:oddHBand="0" w:evenHBand="0" w:firstRowFirstColumn="0" w:firstRowLastColumn="0" w:lastRowFirstColumn="0" w:lastRowLastColumn="0"/>
              <w:rPr>
                <w:color w:val="0070C0"/>
              </w:rPr>
            </w:pPr>
            <w:r w:rsidRPr="00EB5AD2">
              <w:rPr>
                <w:rFonts w:cs="Calibri"/>
                <w:color w:val="0070C0"/>
              </w:rPr>
              <w:t>3.08</w:t>
            </w:r>
          </w:p>
        </w:tc>
        <w:tc>
          <w:tcPr>
            <w:tcW w:w="1503" w:type="dxa"/>
            <w:tcBorders>
              <w:top w:val="nil"/>
              <w:bottom w:val="nil"/>
            </w:tcBorders>
            <w:vAlign w:val="center"/>
          </w:tcPr>
          <w:p w14:paraId="64EFA694" w14:textId="77777777" w:rsidR="0058332A" w:rsidRPr="00EB5AD2" w:rsidRDefault="0058332A" w:rsidP="004D3912">
            <w:pPr>
              <w:pStyle w:val="Tabletext0"/>
              <w:jc w:val="center"/>
              <w:cnfStyle w:val="000000000000" w:firstRow="0" w:lastRow="0" w:firstColumn="0" w:lastColumn="0" w:oddVBand="0" w:evenVBand="0" w:oddHBand="0" w:evenHBand="0" w:firstRowFirstColumn="0" w:firstRowLastColumn="0" w:lastRowFirstColumn="0" w:lastRowLastColumn="0"/>
              <w:rPr>
                <w:color w:val="0070C0"/>
              </w:rPr>
            </w:pPr>
            <w:r w:rsidRPr="00EB5AD2">
              <w:rPr>
                <w:rFonts w:cs="Calibri"/>
                <w:color w:val="0070C0"/>
              </w:rPr>
              <w:t> </w:t>
            </w:r>
          </w:p>
        </w:tc>
        <w:tc>
          <w:tcPr>
            <w:tcW w:w="1503" w:type="dxa"/>
            <w:tcBorders>
              <w:top w:val="nil"/>
              <w:bottom w:val="nil"/>
            </w:tcBorders>
            <w:vAlign w:val="center"/>
          </w:tcPr>
          <w:p w14:paraId="58D667D0" w14:textId="77777777" w:rsidR="0058332A" w:rsidRPr="00EB5AD2" w:rsidRDefault="0058332A" w:rsidP="004D3912">
            <w:pPr>
              <w:pStyle w:val="Tabletext0"/>
              <w:jc w:val="center"/>
              <w:cnfStyle w:val="000000000000" w:firstRow="0" w:lastRow="0" w:firstColumn="0" w:lastColumn="0" w:oddVBand="0" w:evenVBand="0" w:oddHBand="0" w:evenHBand="0" w:firstRowFirstColumn="0" w:firstRowLastColumn="0" w:lastRowFirstColumn="0" w:lastRowLastColumn="0"/>
              <w:rPr>
                <w:color w:val="0070C0"/>
              </w:rPr>
            </w:pPr>
            <w:r w:rsidRPr="00EB5AD2">
              <w:rPr>
                <w:rFonts w:cs="Calibri"/>
                <w:color w:val="0070C0"/>
              </w:rPr>
              <w:t> </w:t>
            </w:r>
          </w:p>
        </w:tc>
      </w:tr>
      <w:tr w:rsidR="00D85FD6" w14:paraId="28B38433" w14:textId="77777777" w:rsidTr="00BC5D6F">
        <w:trPr>
          <w:cantSplit/>
        </w:trPr>
        <w:tc>
          <w:tcPr>
            <w:cnfStyle w:val="001000000000" w:firstRow="0" w:lastRow="0" w:firstColumn="1" w:lastColumn="0" w:oddVBand="0" w:evenVBand="0" w:oddHBand="0" w:evenHBand="0" w:firstRowFirstColumn="0" w:firstRowLastColumn="0" w:lastRowFirstColumn="0" w:lastRowLastColumn="0"/>
            <w:tcW w:w="9016" w:type="dxa"/>
            <w:gridSpan w:val="8"/>
            <w:shd w:val="clear" w:color="auto" w:fill="D9D9D9" w:themeFill="background1" w:themeFillShade="D9"/>
          </w:tcPr>
          <w:p w14:paraId="471FC41E" w14:textId="77777777" w:rsidR="00D85FD6" w:rsidRDefault="00D85FD6" w:rsidP="00BC5D6F">
            <w:pPr>
              <w:pStyle w:val="Tabletext0"/>
            </w:pPr>
            <w:r>
              <w:t>NGS</w:t>
            </w:r>
          </w:p>
        </w:tc>
      </w:tr>
      <w:tr w:rsidR="00D85FD6" w14:paraId="5CED42AC" w14:textId="77777777" w:rsidTr="00BC5D6F">
        <w:trPr>
          <w:cantSplit/>
        </w:trPr>
        <w:tc>
          <w:tcPr>
            <w:cnfStyle w:val="001000000000" w:firstRow="0" w:lastRow="0" w:firstColumn="1" w:lastColumn="0" w:oddVBand="0" w:evenVBand="0" w:oddHBand="0" w:evenHBand="0" w:firstRowFirstColumn="0" w:firstRowLastColumn="0" w:lastRowFirstColumn="0" w:lastRowLastColumn="0"/>
            <w:tcW w:w="1502" w:type="dxa"/>
          </w:tcPr>
          <w:p w14:paraId="6386C40C" w14:textId="77777777" w:rsidR="00D85FD6" w:rsidRDefault="00D85FD6" w:rsidP="00BC5D6F">
            <w:pPr>
              <w:pStyle w:val="Tabletext0"/>
            </w:pPr>
            <w:r>
              <w:t>MRD</w:t>
            </w:r>
          </w:p>
        </w:tc>
        <w:tc>
          <w:tcPr>
            <w:tcW w:w="1502" w:type="dxa"/>
            <w:vAlign w:val="center"/>
          </w:tcPr>
          <w:p w14:paraId="441BD9C0"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$379,110</w:t>
            </w:r>
          </w:p>
        </w:tc>
        <w:tc>
          <w:tcPr>
            <w:tcW w:w="1503" w:type="dxa"/>
            <w:gridSpan w:val="3"/>
            <w:tcBorders>
              <w:top w:val="nil"/>
              <w:bottom w:val="nil"/>
            </w:tcBorders>
            <w:vAlign w:val="center"/>
          </w:tcPr>
          <w:p w14:paraId="7B7D68F9"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-$8,462</w:t>
            </w:r>
          </w:p>
        </w:tc>
        <w:tc>
          <w:tcPr>
            <w:tcW w:w="1503" w:type="dxa"/>
            <w:vAlign w:val="center"/>
          </w:tcPr>
          <w:p w14:paraId="15310A93"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6.91</w:t>
            </w:r>
          </w:p>
        </w:tc>
        <w:tc>
          <w:tcPr>
            <w:tcW w:w="1503" w:type="dxa"/>
            <w:tcBorders>
              <w:top w:val="nil"/>
              <w:bottom w:val="nil"/>
            </w:tcBorders>
            <w:vAlign w:val="center"/>
          </w:tcPr>
          <w:p w14:paraId="156F7575"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3.83</w:t>
            </w:r>
          </w:p>
        </w:tc>
        <w:tc>
          <w:tcPr>
            <w:tcW w:w="1503" w:type="dxa"/>
            <w:tcBorders>
              <w:top w:val="nil"/>
              <w:bottom w:val="nil"/>
            </w:tcBorders>
            <w:vAlign w:val="center"/>
          </w:tcPr>
          <w:p w14:paraId="6FF9CAFD"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Dominant</w:t>
            </w:r>
          </w:p>
        </w:tc>
      </w:tr>
      <w:tr w:rsidR="00D85FD6" w14:paraId="4D4EED69" w14:textId="77777777" w:rsidTr="00BC5D6F">
        <w:trPr>
          <w:cantSplit/>
        </w:trPr>
        <w:tc>
          <w:tcPr>
            <w:cnfStyle w:val="001000000000" w:firstRow="0" w:lastRow="0" w:firstColumn="1" w:lastColumn="0" w:oddVBand="0" w:evenVBand="0" w:oddHBand="0" w:evenHBand="0" w:firstRowFirstColumn="0" w:firstRowLastColumn="0" w:lastRowFirstColumn="0" w:lastRowLastColumn="0"/>
            <w:tcW w:w="1502" w:type="dxa"/>
          </w:tcPr>
          <w:p w14:paraId="15239694" w14:textId="77777777" w:rsidR="00D85FD6" w:rsidRDefault="00D85FD6" w:rsidP="00BC5D6F">
            <w:pPr>
              <w:pStyle w:val="Tabletext0"/>
            </w:pPr>
            <w:r>
              <w:t>No MRD</w:t>
            </w:r>
          </w:p>
        </w:tc>
        <w:tc>
          <w:tcPr>
            <w:tcW w:w="1502" w:type="dxa"/>
            <w:vAlign w:val="center"/>
          </w:tcPr>
          <w:p w14:paraId="11547A4B"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$387,572</w:t>
            </w:r>
          </w:p>
        </w:tc>
        <w:tc>
          <w:tcPr>
            <w:tcW w:w="1503" w:type="dxa"/>
            <w:gridSpan w:val="3"/>
            <w:tcBorders>
              <w:top w:val="nil"/>
            </w:tcBorders>
            <w:vAlign w:val="center"/>
          </w:tcPr>
          <w:p w14:paraId="70E45082"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 </w:t>
            </w:r>
          </w:p>
        </w:tc>
        <w:tc>
          <w:tcPr>
            <w:tcW w:w="1503" w:type="dxa"/>
            <w:vAlign w:val="center"/>
          </w:tcPr>
          <w:p w14:paraId="01F16D16"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3.08</w:t>
            </w:r>
          </w:p>
        </w:tc>
        <w:tc>
          <w:tcPr>
            <w:tcW w:w="1503" w:type="dxa"/>
            <w:tcBorders>
              <w:top w:val="nil"/>
            </w:tcBorders>
            <w:vAlign w:val="center"/>
          </w:tcPr>
          <w:p w14:paraId="25F2A129"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 </w:t>
            </w:r>
          </w:p>
        </w:tc>
        <w:tc>
          <w:tcPr>
            <w:tcW w:w="1503" w:type="dxa"/>
            <w:tcBorders>
              <w:top w:val="nil"/>
            </w:tcBorders>
            <w:vAlign w:val="center"/>
          </w:tcPr>
          <w:p w14:paraId="681D7644"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-$2,211</w:t>
            </w:r>
          </w:p>
        </w:tc>
      </w:tr>
      <w:tr w:rsidR="00D85FD6" w14:paraId="3AFB536B" w14:textId="77777777" w:rsidTr="00BC5D6F">
        <w:trPr>
          <w:cantSplit/>
        </w:trPr>
        <w:tc>
          <w:tcPr>
            <w:cnfStyle w:val="001000000000" w:firstRow="0" w:lastRow="0" w:firstColumn="1" w:lastColumn="0" w:oddVBand="0" w:evenVBand="0" w:oddHBand="0" w:evenHBand="0" w:firstRowFirstColumn="0" w:firstRowLastColumn="0" w:lastRowFirstColumn="0" w:lastRowLastColumn="0"/>
            <w:tcW w:w="3964" w:type="dxa"/>
            <w:gridSpan w:val="3"/>
            <w:tcBorders>
              <w:right w:val="nil"/>
            </w:tcBorders>
            <w:shd w:val="clear" w:color="auto" w:fill="BFBFBF" w:themeFill="background1" w:themeFillShade="BF"/>
          </w:tcPr>
          <w:p w14:paraId="67F6C5C2" w14:textId="77777777" w:rsidR="00D85FD6" w:rsidRPr="004F35B2" w:rsidRDefault="00D85FD6" w:rsidP="00BC5D6F">
            <w:pPr>
              <w:pStyle w:val="Tabletext0"/>
              <w:rPr>
                <w:b/>
                <w:bCs/>
              </w:rPr>
            </w:pPr>
            <w:r w:rsidRPr="004F35B2">
              <w:rPr>
                <w:b/>
                <w:bCs/>
              </w:rPr>
              <w:t>Paediatric</w:t>
            </w:r>
          </w:p>
        </w:tc>
        <w:tc>
          <w:tcPr>
            <w:tcW w:w="284" w:type="dxa"/>
            <w:tcBorders>
              <w:left w:val="nil"/>
              <w:right w:val="nil"/>
            </w:tcBorders>
            <w:shd w:val="clear" w:color="auto" w:fill="BFBFBF" w:themeFill="background1" w:themeFillShade="BF"/>
          </w:tcPr>
          <w:p w14:paraId="010DA3E8" w14:textId="77777777" w:rsidR="00D85FD6" w:rsidRDefault="00D85FD6" w:rsidP="00BC5D6F">
            <w:pPr>
              <w:pStyle w:val="Tabletext0"/>
              <w:cnfStyle w:val="000000000000" w:firstRow="0" w:lastRow="0" w:firstColumn="0" w:lastColumn="0" w:oddVBand="0" w:evenVBand="0" w:oddHBand="0" w:evenHBand="0" w:firstRowFirstColumn="0" w:firstRowLastColumn="0" w:lastRowFirstColumn="0" w:lastRowLastColumn="0"/>
            </w:pPr>
          </w:p>
        </w:tc>
        <w:tc>
          <w:tcPr>
            <w:tcW w:w="259" w:type="dxa"/>
            <w:tcBorders>
              <w:left w:val="nil"/>
              <w:right w:val="nil"/>
            </w:tcBorders>
            <w:shd w:val="clear" w:color="auto" w:fill="BFBFBF" w:themeFill="background1" w:themeFillShade="BF"/>
          </w:tcPr>
          <w:p w14:paraId="0355BB80" w14:textId="77777777" w:rsidR="00D85FD6" w:rsidRDefault="00D85FD6" w:rsidP="00BC5D6F">
            <w:pPr>
              <w:pStyle w:val="Tabletext0"/>
              <w:cnfStyle w:val="000000000000" w:firstRow="0" w:lastRow="0" w:firstColumn="0" w:lastColumn="0" w:oddVBand="0" w:evenVBand="0" w:oddHBand="0" w:evenHBand="0" w:firstRowFirstColumn="0" w:firstRowLastColumn="0" w:lastRowFirstColumn="0" w:lastRowLastColumn="0"/>
            </w:pPr>
          </w:p>
        </w:tc>
        <w:tc>
          <w:tcPr>
            <w:tcW w:w="1503" w:type="dxa"/>
            <w:tcBorders>
              <w:left w:val="nil"/>
              <w:right w:val="nil"/>
            </w:tcBorders>
            <w:shd w:val="clear" w:color="auto" w:fill="BFBFBF" w:themeFill="background1" w:themeFillShade="BF"/>
          </w:tcPr>
          <w:p w14:paraId="0B06C42B" w14:textId="77777777" w:rsidR="00D85FD6" w:rsidRDefault="00D85FD6" w:rsidP="00BC5D6F">
            <w:pPr>
              <w:pStyle w:val="Tabletext0"/>
              <w:cnfStyle w:val="000000000000" w:firstRow="0" w:lastRow="0" w:firstColumn="0" w:lastColumn="0" w:oddVBand="0" w:evenVBand="0" w:oddHBand="0" w:evenHBand="0" w:firstRowFirstColumn="0" w:firstRowLastColumn="0" w:lastRowFirstColumn="0" w:lastRowLastColumn="0"/>
            </w:pPr>
          </w:p>
        </w:tc>
        <w:tc>
          <w:tcPr>
            <w:tcW w:w="1503" w:type="dxa"/>
            <w:tcBorders>
              <w:left w:val="nil"/>
              <w:bottom w:val="single" w:sz="4" w:space="0" w:color="auto"/>
              <w:right w:val="nil"/>
            </w:tcBorders>
            <w:shd w:val="clear" w:color="auto" w:fill="BFBFBF" w:themeFill="background1" w:themeFillShade="BF"/>
          </w:tcPr>
          <w:p w14:paraId="1DA05A1B" w14:textId="77777777" w:rsidR="00D85FD6" w:rsidRDefault="00D85FD6" w:rsidP="00BC5D6F">
            <w:pPr>
              <w:pStyle w:val="Tabletext0"/>
              <w:cnfStyle w:val="000000000000" w:firstRow="0" w:lastRow="0" w:firstColumn="0" w:lastColumn="0" w:oddVBand="0" w:evenVBand="0" w:oddHBand="0" w:evenHBand="0" w:firstRowFirstColumn="0" w:firstRowLastColumn="0" w:lastRowFirstColumn="0" w:lastRowLastColumn="0"/>
            </w:pPr>
          </w:p>
        </w:tc>
        <w:tc>
          <w:tcPr>
            <w:tcW w:w="1503" w:type="dxa"/>
            <w:tcBorders>
              <w:left w:val="nil"/>
              <w:bottom w:val="single" w:sz="4" w:space="0" w:color="auto"/>
            </w:tcBorders>
            <w:shd w:val="clear" w:color="auto" w:fill="BFBFBF" w:themeFill="background1" w:themeFillShade="BF"/>
          </w:tcPr>
          <w:p w14:paraId="2BAD8606" w14:textId="77777777" w:rsidR="00D85FD6" w:rsidRDefault="00D85FD6" w:rsidP="00BC5D6F">
            <w:pPr>
              <w:pStyle w:val="Tabletext0"/>
              <w:cnfStyle w:val="000000000000" w:firstRow="0" w:lastRow="0" w:firstColumn="0" w:lastColumn="0" w:oddVBand="0" w:evenVBand="0" w:oddHBand="0" w:evenHBand="0" w:firstRowFirstColumn="0" w:firstRowLastColumn="0" w:lastRowFirstColumn="0" w:lastRowLastColumn="0"/>
            </w:pPr>
          </w:p>
        </w:tc>
      </w:tr>
      <w:tr w:rsidR="00D85FD6" w14:paraId="0049D2FD" w14:textId="77777777" w:rsidTr="00BC5D6F">
        <w:trPr>
          <w:cantSplit/>
        </w:trPr>
        <w:tc>
          <w:tcPr>
            <w:cnfStyle w:val="001000000000" w:firstRow="0" w:lastRow="0" w:firstColumn="1" w:lastColumn="0" w:oddVBand="0" w:evenVBand="0" w:oddHBand="0" w:evenHBand="0" w:firstRowFirstColumn="0" w:firstRowLastColumn="0" w:lastRowFirstColumn="0" w:lastRowLastColumn="0"/>
            <w:tcW w:w="3964" w:type="dxa"/>
            <w:gridSpan w:val="3"/>
            <w:tcBorders>
              <w:right w:val="nil"/>
            </w:tcBorders>
            <w:shd w:val="clear" w:color="auto" w:fill="D9D9D9" w:themeFill="background1" w:themeFillShade="D9"/>
          </w:tcPr>
          <w:p w14:paraId="56BC1566" w14:textId="77777777" w:rsidR="00D85FD6" w:rsidRDefault="00D85FD6" w:rsidP="00BC5D6F">
            <w:pPr>
              <w:pStyle w:val="Tabletext0"/>
            </w:pPr>
            <w:proofErr w:type="spellStart"/>
            <w:r>
              <w:t>mpFC</w:t>
            </w:r>
            <w:proofErr w:type="spellEnd"/>
          </w:p>
        </w:tc>
        <w:tc>
          <w:tcPr>
            <w:tcW w:w="284" w:type="dxa"/>
            <w:tcBorders>
              <w:left w:val="nil"/>
              <w:right w:val="nil"/>
            </w:tcBorders>
            <w:shd w:val="clear" w:color="auto" w:fill="D9D9D9" w:themeFill="background1" w:themeFillShade="D9"/>
          </w:tcPr>
          <w:p w14:paraId="088DC89E" w14:textId="77777777" w:rsidR="00D85FD6" w:rsidRDefault="00D85FD6" w:rsidP="00BC5D6F">
            <w:pPr>
              <w:pStyle w:val="Tabletext0"/>
              <w:cnfStyle w:val="000000000000" w:firstRow="0" w:lastRow="0" w:firstColumn="0" w:lastColumn="0" w:oddVBand="0" w:evenVBand="0" w:oddHBand="0" w:evenHBand="0" w:firstRowFirstColumn="0" w:firstRowLastColumn="0" w:lastRowFirstColumn="0" w:lastRowLastColumn="0"/>
            </w:pPr>
          </w:p>
        </w:tc>
        <w:tc>
          <w:tcPr>
            <w:tcW w:w="259" w:type="dxa"/>
            <w:tcBorders>
              <w:left w:val="nil"/>
              <w:right w:val="nil"/>
            </w:tcBorders>
            <w:shd w:val="clear" w:color="auto" w:fill="D9D9D9" w:themeFill="background1" w:themeFillShade="D9"/>
          </w:tcPr>
          <w:p w14:paraId="425611B7" w14:textId="77777777" w:rsidR="00D85FD6" w:rsidRDefault="00D85FD6" w:rsidP="00BC5D6F">
            <w:pPr>
              <w:pStyle w:val="Tabletext0"/>
              <w:cnfStyle w:val="000000000000" w:firstRow="0" w:lastRow="0" w:firstColumn="0" w:lastColumn="0" w:oddVBand="0" w:evenVBand="0" w:oddHBand="0" w:evenHBand="0" w:firstRowFirstColumn="0" w:firstRowLastColumn="0" w:lastRowFirstColumn="0" w:lastRowLastColumn="0"/>
            </w:pPr>
          </w:p>
        </w:tc>
        <w:tc>
          <w:tcPr>
            <w:tcW w:w="1503" w:type="dxa"/>
            <w:tcBorders>
              <w:left w:val="nil"/>
              <w:right w:val="nil"/>
            </w:tcBorders>
            <w:shd w:val="clear" w:color="auto" w:fill="D9D9D9" w:themeFill="background1" w:themeFillShade="D9"/>
          </w:tcPr>
          <w:p w14:paraId="7AF27BC8" w14:textId="77777777" w:rsidR="00D85FD6" w:rsidRDefault="00D85FD6" w:rsidP="00BC5D6F">
            <w:pPr>
              <w:pStyle w:val="Tabletext0"/>
              <w:cnfStyle w:val="000000000000" w:firstRow="0" w:lastRow="0" w:firstColumn="0" w:lastColumn="0" w:oddVBand="0" w:evenVBand="0" w:oddHBand="0" w:evenHBand="0" w:firstRowFirstColumn="0" w:firstRowLastColumn="0" w:lastRowFirstColumn="0" w:lastRowLastColumn="0"/>
            </w:pPr>
          </w:p>
        </w:tc>
        <w:tc>
          <w:tcPr>
            <w:tcW w:w="1503" w:type="dxa"/>
            <w:tcBorders>
              <w:left w:val="nil"/>
              <w:bottom w:val="single" w:sz="4" w:space="0" w:color="auto"/>
              <w:right w:val="nil"/>
            </w:tcBorders>
            <w:shd w:val="clear" w:color="auto" w:fill="D9D9D9" w:themeFill="background1" w:themeFillShade="D9"/>
          </w:tcPr>
          <w:p w14:paraId="4383B3D9" w14:textId="77777777" w:rsidR="00D85FD6" w:rsidRDefault="00D85FD6" w:rsidP="00BC5D6F">
            <w:pPr>
              <w:pStyle w:val="Tabletext0"/>
              <w:cnfStyle w:val="000000000000" w:firstRow="0" w:lastRow="0" w:firstColumn="0" w:lastColumn="0" w:oddVBand="0" w:evenVBand="0" w:oddHBand="0" w:evenHBand="0" w:firstRowFirstColumn="0" w:firstRowLastColumn="0" w:lastRowFirstColumn="0" w:lastRowLastColumn="0"/>
            </w:pPr>
          </w:p>
        </w:tc>
        <w:tc>
          <w:tcPr>
            <w:tcW w:w="1503" w:type="dxa"/>
            <w:tcBorders>
              <w:left w:val="nil"/>
              <w:bottom w:val="single" w:sz="4" w:space="0" w:color="auto"/>
            </w:tcBorders>
            <w:shd w:val="clear" w:color="auto" w:fill="D9D9D9" w:themeFill="background1" w:themeFillShade="D9"/>
          </w:tcPr>
          <w:p w14:paraId="2E975FFA" w14:textId="77777777" w:rsidR="00D85FD6" w:rsidRDefault="00D85FD6" w:rsidP="00BC5D6F">
            <w:pPr>
              <w:pStyle w:val="Tabletext0"/>
              <w:cnfStyle w:val="000000000000" w:firstRow="0" w:lastRow="0" w:firstColumn="0" w:lastColumn="0" w:oddVBand="0" w:evenVBand="0" w:oddHBand="0" w:evenHBand="0" w:firstRowFirstColumn="0" w:firstRowLastColumn="0" w:lastRowFirstColumn="0" w:lastRowLastColumn="0"/>
            </w:pPr>
          </w:p>
        </w:tc>
      </w:tr>
      <w:tr w:rsidR="00D85FD6" w14:paraId="47DEE0A3" w14:textId="77777777" w:rsidTr="00BC5D6F">
        <w:trPr>
          <w:cantSplit/>
        </w:trPr>
        <w:tc>
          <w:tcPr>
            <w:cnfStyle w:val="001000000000" w:firstRow="0" w:lastRow="0" w:firstColumn="1" w:lastColumn="0" w:oddVBand="0" w:evenVBand="0" w:oddHBand="0" w:evenHBand="0" w:firstRowFirstColumn="0" w:firstRowLastColumn="0" w:lastRowFirstColumn="0" w:lastRowLastColumn="0"/>
            <w:tcW w:w="1502" w:type="dxa"/>
          </w:tcPr>
          <w:p w14:paraId="6A61D656" w14:textId="77777777" w:rsidR="00D85FD6" w:rsidRDefault="00D85FD6" w:rsidP="00BC5D6F">
            <w:pPr>
              <w:pStyle w:val="Tabletext0"/>
            </w:pPr>
            <w:r>
              <w:t>MRD</w:t>
            </w:r>
          </w:p>
        </w:tc>
        <w:tc>
          <w:tcPr>
            <w:tcW w:w="1502" w:type="dxa"/>
            <w:vAlign w:val="center"/>
          </w:tcPr>
          <w:p w14:paraId="4668A15F"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$402,255</w:t>
            </w:r>
          </w:p>
        </w:tc>
        <w:tc>
          <w:tcPr>
            <w:tcW w:w="1503" w:type="dxa"/>
            <w:gridSpan w:val="3"/>
            <w:tcBorders>
              <w:bottom w:val="nil"/>
            </w:tcBorders>
            <w:vAlign w:val="center"/>
          </w:tcPr>
          <w:p w14:paraId="37038437"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$40,116</w:t>
            </w:r>
          </w:p>
        </w:tc>
        <w:tc>
          <w:tcPr>
            <w:tcW w:w="1503" w:type="dxa"/>
            <w:vAlign w:val="center"/>
          </w:tcPr>
          <w:p w14:paraId="1CF40F7E"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6.59</w:t>
            </w:r>
          </w:p>
        </w:tc>
        <w:tc>
          <w:tcPr>
            <w:tcW w:w="1503" w:type="dxa"/>
            <w:tcBorders>
              <w:bottom w:val="nil"/>
            </w:tcBorders>
            <w:vAlign w:val="center"/>
          </w:tcPr>
          <w:p w14:paraId="5A03229F"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2.93</w:t>
            </w:r>
          </w:p>
        </w:tc>
        <w:tc>
          <w:tcPr>
            <w:tcW w:w="1503" w:type="dxa"/>
            <w:tcBorders>
              <w:bottom w:val="nil"/>
            </w:tcBorders>
            <w:vAlign w:val="center"/>
          </w:tcPr>
          <w:p w14:paraId="45542366"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$13,680</w:t>
            </w:r>
          </w:p>
        </w:tc>
      </w:tr>
      <w:tr w:rsidR="00D85FD6" w14:paraId="07788346" w14:textId="77777777" w:rsidTr="00BC5D6F">
        <w:trPr>
          <w:cantSplit/>
        </w:trPr>
        <w:tc>
          <w:tcPr>
            <w:cnfStyle w:val="001000000000" w:firstRow="0" w:lastRow="0" w:firstColumn="1" w:lastColumn="0" w:oddVBand="0" w:evenVBand="0" w:oddHBand="0" w:evenHBand="0" w:firstRowFirstColumn="0" w:firstRowLastColumn="0" w:lastRowFirstColumn="0" w:lastRowLastColumn="0"/>
            <w:tcW w:w="1502" w:type="dxa"/>
            <w:tcBorders>
              <w:bottom w:val="single" w:sz="4" w:space="0" w:color="auto"/>
            </w:tcBorders>
          </w:tcPr>
          <w:p w14:paraId="4C5CAC39" w14:textId="77777777" w:rsidR="00D85FD6" w:rsidRDefault="00D85FD6" w:rsidP="00BC5D6F">
            <w:pPr>
              <w:pStyle w:val="Tabletext0"/>
            </w:pPr>
            <w:r>
              <w:t>No MRD</w:t>
            </w:r>
          </w:p>
        </w:tc>
        <w:tc>
          <w:tcPr>
            <w:tcW w:w="1502" w:type="dxa"/>
            <w:tcBorders>
              <w:bottom w:val="single" w:sz="4" w:space="0" w:color="auto"/>
            </w:tcBorders>
            <w:vAlign w:val="center"/>
          </w:tcPr>
          <w:p w14:paraId="1A47ECD6"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$362,139</w:t>
            </w:r>
          </w:p>
        </w:tc>
        <w:tc>
          <w:tcPr>
            <w:tcW w:w="1503" w:type="dxa"/>
            <w:gridSpan w:val="3"/>
            <w:tcBorders>
              <w:top w:val="nil"/>
              <w:bottom w:val="single" w:sz="4" w:space="0" w:color="auto"/>
            </w:tcBorders>
            <w:vAlign w:val="center"/>
          </w:tcPr>
          <w:p w14:paraId="54559752"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 </w:t>
            </w:r>
          </w:p>
        </w:tc>
        <w:tc>
          <w:tcPr>
            <w:tcW w:w="1503" w:type="dxa"/>
            <w:tcBorders>
              <w:bottom w:val="single" w:sz="4" w:space="0" w:color="auto"/>
            </w:tcBorders>
            <w:vAlign w:val="center"/>
          </w:tcPr>
          <w:p w14:paraId="729B0CDD"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3.65</w:t>
            </w:r>
          </w:p>
        </w:tc>
        <w:tc>
          <w:tcPr>
            <w:tcW w:w="1503" w:type="dxa"/>
            <w:tcBorders>
              <w:top w:val="nil"/>
              <w:bottom w:val="single" w:sz="4" w:space="0" w:color="auto"/>
            </w:tcBorders>
            <w:vAlign w:val="center"/>
          </w:tcPr>
          <w:p w14:paraId="41495F97"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 </w:t>
            </w:r>
          </w:p>
        </w:tc>
        <w:tc>
          <w:tcPr>
            <w:tcW w:w="1503" w:type="dxa"/>
            <w:tcBorders>
              <w:top w:val="nil"/>
              <w:bottom w:val="single" w:sz="4" w:space="0" w:color="auto"/>
            </w:tcBorders>
            <w:vAlign w:val="center"/>
          </w:tcPr>
          <w:p w14:paraId="36E4ED83"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 </w:t>
            </w:r>
          </w:p>
        </w:tc>
      </w:tr>
      <w:tr w:rsidR="00D85FD6" w14:paraId="5FE8ED3D" w14:textId="77777777" w:rsidTr="00BC5D6F">
        <w:trPr>
          <w:cantSplit/>
        </w:trPr>
        <w:tc>
          <w:tcPr>
            <w:cnfStyle w:val="001000000000" w:firstRow="0" w:lastRow="0" w:firstColumn="1" w:lastColumn="0" w:oddVBand="0" w:evenVBand="0" w:oddHBand="0" w:evenHBand="0" w:firstRowFirstColumn="0" w:firstRowLastColumn="0" w:lastRowFirstColumn="0" w:lastRowLastColumn="0"/>
            <w:tcW w:w="1502" w:type="dxa"/>
            <w:tcBorders>
              <w:top w:val="single" w:sz="4" w:space="0" w:color="auto"/>
              <w:bottom w:val="single" w:sz="4" w:space="0" w:color="auto"/>
              <w:right w:val="nil"/>
            </w:tcBorders>
            <w:shd w:val="clear" w:color="auto" w:fill="D9D9D9" w:themeFill="background1" w:themeFillShade="D9"/>
          </w:tcPr>
          <w:p w14:paraId="3550CF40" w14:textId="77777777" w:rsidR="00D85FD6" w:rsidRPr="00EB5AD2" w:rsidRDefault="00D85FD6" w:rsidP="00BC5D6F">
            <w:pPr>
              <w:pStyle w:val="Tabletext0"/>
              <w:rPr>
                <w:strike/>
              </w:rPr>
            </w:pPr>
            <w:r w:rsidRPr="00EB5AD2">
              <w:rPr>
                <w:strike/>
              </w:rPr>
              <w:t>PCR</w:t>
            </w:r>
          </w:p>
        </w:tc>
        <w:tc>
          <w:tcPr>
            <w:tcW w:w="1502" w:type="dxa"/>
            <w:tcBorders>
              <w:top w:val="single" w:sz="4" w:space="0" w:color="auto"/>
              <w:left w:val="nil"/>
              <w:bottom w:val="single" w:sz="4" w:space="0" w:color="auto"/>
              <w:right w:val="nil"/>
            </w:tcBorders>
            <w:shd w:val="clear" w:color="auto" w:fill="D9D9D9" w:themeFill="background1" w:themeFillShade="D9"/>
          </w:tcPr>
          <w:p w14:paraId="782B9447" w14:textId="77777777" w:rsidR="00D85FD6" w:rsidRPr="00EB5AD2" w:rsidRDefault="00D85FD6" w:rsidP="00BC5D6F">
            <w:pPr>
              <w:pStyle w:val="Tabletext0"/>
              <w:cnfStyle w:val="000000000000" w:firstRow="0" w:lastRow="0" w:firstColumn="0" w:lastColumn="0" w:oddVBand="0" w:evenVBand="0" w:oddHBand="0" w:evenHBand="0" w:firstRowFirstColumn="0" w:firstRowLastColumn="0" w:lastRowFirstColumn="0" w:lastRowLastColumn="0"/>
              <w:rPr>
                <w:strike/>
              </w:rPr>
            </w:pPr>
          </w:p>
        </w:tc>
        <w:tc>
          <w:tcPr>
            <w:tcW w:w="1503" w:type="dxa"/>
            <w:gridSpan w:val="3"/>
            <w:tcBorders>
              <w:top w:val="single" w:sz="4" w:space="0" w:color="auto"/>
              <w:left w:val="nil"/>
              <w:bottom w:val="single" w:sz="4" w:space="0" w:color="auto"/>
              <w:right w:val="nil"/>
            </w:tcBorders>
            <w:shd w:val="clear" w:color="auto" w:fill="D9D9D9" w:themeFill="background1" w:themeFillShade="D9"/>
          </w:tcPr>
          <w:p w14:paraId="3AE45351" w14:textId="77777777" w:rsidR="00D85FD6" w:rsidRPr="00EB5AD2" w:rsidRDefault="00D85FD6" w:rsidP="00BC5D6F">
            <w:pPr>
              <w:pStyle w:val="Tabletext0"/>
              <w:cnfStyle w:val="000000000000" w:firstRow="0" w:lastRow="0" w:firstColumn="0" w:lastColumn="0" w:oddVBand="0" w:evenVBand="0" w:oddHBand="0" w:evenHBand="0" w:firstRowFirstColumn="0" w:firstRowLastColumn="0" w:lastRowFirstColumn="0" w:lastRowLastColumn="0"/>
              <w:rPr>
                <w:strike/>
              </w:rPr>
            </w:pPr>
          </w:p>
        </w:tc>
        <w:tc>
          <w:tcPr>
            <w:tcW w:w="1503" w:type="dxa"/>
            <w:tcBorders>
              <w:top w:val="single" w:sz="4" w:space="0" w:color="auto"/>
              <w:left w:val="nil"/>
              <w:bottom w:val="single" w:sz="4" w:space="0" w:color="auto"/>
              <w:right w:val="nil"/>
            </w:tcBorders>
            <w:shd w:val="clear" w:color="auto" w:fill="D9D9D9" w:themeFill="background1" w:themeFillShade="D9"/>
          </w:tcPr>
          <w:p w14:paraId="645D1713" w14:textId="77777777" w:rsidR="00D85FD6" w:rsidRPr="00EB5AD2" w:rsidRDefault="00D85FD6" w:rsidP="00BC5D6F">
            <w:pPr>
              <w:pStyle w:val="Tabletext0"/>
              <w:cnfStyle w:val="000000000000" w:firstRow="0" w:lastRow="0" w:firstColumn="0" w:lastColumn="0" w:oddVBand="0" w:evenVBand="0" w:oddHBand="0" w:evenHBand="0" w:firstRowFirstColumn="0" w:firstRowLastColumn="0" w:lastRowFirstColumn="0" w:lastRowLastColumn="0"/>
              <w:rPr>
                <w:strike/>
              </w:rPr>
            </w:pPr>
          </w:p>
        </w:tc>
        <w:tc>
          <w:tcPr>
            <w:tcW w:w="1503" w:type="dxa"/>
            <w:tcBorders>
              <w:top w:val="single" w:sz="4" w:space="0" w:color="auto"/>
              <w:left w:val="nil"/>
              <w:bottom w:val="single" w:sz="4" w:space="0" w:color="auto"/>
              <w:right w:val="nil"/>
            </w:tcBorders>
            <w:shd w:val="clear" w:color="auto" w:fill="D9D9D9" w:themeFill="background1" w:themeFillShade="D9"/>
          </w:tcPr>
          <w:p w14:paraId="624B2D22" w14:textId="77777777" w:rsidR="00D85FD6" w:rsidRPr="00EB5AD2" w:rsidRDefault="00D85FD6" w:rsidP="00BC5D6F">
            <w:pPr>
              <w:pStyle w:val="Tabletext0"/>
              <w:cnfStyle w:val="000000000000" w:firstRow="0" w:lastRow="0" w:firstColumn="0" w:lastColumn="0" w:oddVBand="0" w:evenVBand="0" w:oddHBand="0" w:evenHBand="0" w:firstRowFirstColumn="0" w:firstRowLastColumn="0" w:lastRowFirstColumn="0" w:lastRowLastColumn="0"/>
              <w:rPr>
                <w:strike/>
              </w:rPr>
            </w:pPr>
          </w:p>
        </w:tc>
        <w:tc>
          <w:tcPr>
            <w:tcW w:w="1503" w:type="dxa"/>
            <w:tcBorders>
              <w:top w:val="single" w:sz="4" w:space="0" w:color="auto"/>
              <w:left w:val="nil"/>
              <w:bottom w:val="single" w:sz="4" w:space="0" w:color="auto"/>
            </w:tcBorders>
            <w:shd w:val="clear" w:color="auto" w:fill="D9D9D9" w:themeFill="background1" w:themeFillShade="D9"/>
          </w:tcPr>
          <w:p w14:paraId="790F6D81" w14:textId="77777777" w:rsidR="00D85FD6" w:rsidRPr="00EB5AD2" w:rsidRDefault="00D85FD6" w:rsidP="00BC5D6F">
            <w:pPr>
              <w:pStyle w:val="Tabletext0"/>
              <w:cnfStyle w:val="000000000000" w:firstRow="0" w:lastRow="0" w:firstColumn="0" w:lastColumn="0" w:oddVBand="0" w:evenVBand="0" w:oddHBand="0" w:evenHBand="0" w:firstRowFirstColumn="0" w:firstRowLastColumn="0" w:lastRowFirstColumn="0" w:lastRowLastColumn="0"/>
              <w:rPr>
                <w:strike/>
              </w:rPr>
            </w:pPr>
          </w:p>
        </w:tc>
      </w:tr>
      <w:tr w:rsidR="00D85FD6" w14:paraId="078EE993" w14:textId="77777777" w:rsidTr="00BC5D6F">
        <w:trPr>
          <w:cantSplit/>
        </w:trPr>
        <w:tc>
          <w:tcPr>
            <w:cnfStyle w:val="001000000000" w:firstRow="0" w:lastRow="0" w:firstColumn="1" w:lastColumn="0" w:oddVBand="0" w:evenVBand="0" w:oddHBand="0" w:evenHBand="0" w:firstRowFirstColumn="0" w:firstRowLastColumn="0" w:lastRowFirstColumn="0" w:lastRowLastColumn="0"/>
            <w:tcW w:w="1502" w:type="dxa"/>
          </w:tcPr>
          <w:p w14:paraId="309D99B5" w14:textId="77777777" w:rsidR="00D85FD6" w:rsidRPr="00EB5AD2" w:rsidRDefault="00D85FD6" w:rsidP="00BC5D6F">
            <w:pPr>
              <w:pStyle w:val="Tabletext0"/>
              <w:rPr>
                <w:strike/>
              </w:rPr>
            </w:pPr>
            <w:r w:rsidRPr="00EB5AD2">
              <w:rPr>
                <w:strike/>
              </w:rPr>
              <w:t>MRD</w:t>
            </w:r>
          </w:p>
        </w:tc>
        <w:tc>
          <w:tcPr>
            <w:tcW w:w="1502" w:type="dxa"/>
            <w:vAlign w:val="center"/>
          </w:tcPr>
          <w:p w14:paraId="291E8381" w14:textId="77777777" w:rsidR="00D85FD6" w:rsidRPr="00EB5AD2"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rPr>
                <w:strike/>
              </w:rPr>
            </w:pPr>
            <w:r w:rsidRPr="00EB5AD2">
              <w:rPr>
                <w:rFonts w:cs="Calibri"/>
                <w:strike/>
                <w:color w:val="000000"/>
              </w:rPr>
              <w:t>$427,329</w:t>
            </w:r>
          </w:p>
        </w:tc>
        <w:tc>
          <w:tcPr>
            <w:tcW w:w="1503" w:type="dxa"/>
            <w:gridSpan w:val="3"/>
            <w:tcBorders>
              <w:top w:val="nil"/>
              <w:bottom w:val="nil"/>
            </w:tcBorders>
            <w:vAlign w:val="center"/>
          </w:tcPr>
          <w:p w14:paraId="12A7C209" w14:textId="77777777" w:rsidR="00D85FD6" w:rsidRPr="00EB5AD2"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rPr>
                <w:strike/>
              </w:rPr>
            </w:pPr>
            <w:r w:rsidRPr="00EB5AD2">
              <w:rPr>
                <w:rFonts w:cs="Calibri"/>
                <w:strike/>
                <w:color w:val="000000"/>
              </w:rPr>
              <w:t>$65,189</w:t>
            </w:r>
          </w:p>
        </w:tc>
        <w:tc>
          <w:tcPr>
            <w:tcW w:w="1503" w:type="dxa"/>
            <w:vAlign w:val="center"/>
          </w:tcPr>
          <w:p w14:paraId="48CB8266" w14:textId="77777777" w:rsidR="00D85FD6" w:rsidRPr="00EB5AD2"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rPr>
                <w:strike/>
              </w:rPr>
            </w:pPr>
            <w:r w:rsidRPr="00EB5AD2">
              <w:rPr>
                <w:rFonts w:cs="Calibri"/>
                <w:strike/>
                <w:color w:val="000000"/>
              </w:rPr>
              <w:t>5.77</w:t>
            </w:r>
          </w:p>
        </w:tc>
        <w:tc>
          <w:tcPr>
            <w:tcW w:w="1503" w:type="dxa"/>
            <w:tcBorders>
              <w:top w:val="nil"/>
              <w:bottom w:val="nil"/>
            </w:tcBorders>
            <w:vAlign w:val="center"/>
          </w:tcPr>
          <w:p w14:paraId="4256668F" w14:textId="77777777" w:rsidR="00D85FD6" w:rsidRPr="00EB5AD2"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rPr>
                <w:strike/>
              </w:rPr>
            </w:pPr>
            <w:r w:rsidRPr="00EB5AD2">
              <w:rPr>
                <w:rFonts w:cs="Calibri"/>
                <w:strike/>
                <w:color w:val="000000"/>
              </w:rPr>
              <w:t>2.12</w:t>
            </w:r>
          </w:p>
        </w:tc>
        <w:tc>
          <w:tcPr>
            <w:tcW w:w="1503" w:type="dxa"/>
            <w:tcBorders>
              <w:top w:val="nil"/>
              <w:bottom w:val="nil"/>
            </w:tcBorders>
            <w:vAlign w:val="center"/>
          </w:tcPr>
          <w:p w14:paraId="07A95E2F" w14:textId="77777777" w:rsidR="00D85FD6" w:rsidRPr="00EB5AD2"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rPr>
                <w:strike/>
              </w:rPr>
            </w:pPr>
            <w:r w:rsidRPr="00EB5AD2">
              <w:rPr>
                <w:rFonts w:cs="Calibri"/>
                <w:strike/>
                <w:color w:val="000000"/>
              </w:rPr>
              <w:t>$30,788</w:t>
            </w:r>
          </w:p>
        </w:tc>
      </w:tr>
      <w:tr w:rsidR="00D85FD6" w14:paraId="6E578599" w14:textId="77777777" w:rsidTr="00BC5D6F">
        <w:trPr>
          <w:cantSplit/>
        </w:trPr>
        <w:tc>
          <w:tcPr>
            <w:cnfStyle w:val="001000000000" w:firstRow="0" w:lastRow="0" w:firstColumn="1" w:lastColumn="0" w:oddVBand="0" w:evenVBand="0" w:oddHBand="0" w:evenHBand="0" w:firstRowFirstColumn="0" w:firstRowLastColumn="0" w:lastRowFirstColumn="0" w:lastRowLastColumn="0"/>
            <w:tcW w:w="1502" w:type="dxa"/>
          </w:tcPr>
          <w:p w14:paraId="10A35E3C" w14:textId="77777777" w:rsidR="00D85FD6" w:rsidRPr="00EB5AD2" w:rsidRDefault="00D85FD6" w:rsidP="00BC5D6F">
            <w:pPr>
              <w:pStyle w:val="Tabletext0"/>
              <w:rPr>
                <w:strike/>
              </w:rPr>
            </w:pPr>
            <w:r w:rsidRPr="00EB5AD2">
              <w:rPr>
                <w:strike/>
              </w:rPr>
              <w:t>No MRD</w:t>
            </w:r>
          </w:p>
        </w:tc>
        <w:tc>
          <w:tcPr>
            <w:tcW w:w="1502" w:type="dxa"/>
            <w:vAlign w:val="center"/>
          </w:tcPr>
          <w:p w14:paraId="6662CF41" w14:textId="77777777" w:rsidR="00D85FD6" w:rsidRPr="00EB5AD2"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rPr>
                <w:strike/>
              </w:rPr>
            </w:pPr>
            <w:r w:rsidRPr="00EB5AD2">
              <w:rPr>
                <w:rFonts w:cs="Calibri"/>
                <w:strike/>
                <w:color w:val="000000"/>
              </w:rPr>
              <w:t>$362,139</w:t>
            </w:r>
          </w:p>
        </w:tc>
        <w:tc>
          <w:tcPr>
            <w:tcW w:w="1503" w:type="dxa"/>
            <w:gridSpan w:val="3"/>
            <w:tcBorders>
              <w:top w:val="nil"/>
              <w:bottom w:val="nil"/>
            </w:tcBorders>
            <w:vAlign w:val="center"/>
          </w:tcPr>
          <w:p w14:paraId="77B5D7F0" w14:textId="77777777" w:rsidR="00D85FD6" w:rsidRPr="00EB5AD2"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rPr>
                <w:strike/>
              </w:rPr>
            </w:pPr>
            <w:r w:rsidRPr="00EB5AD2">
              <w:rPr>
                <w:rFonts w:cs="Calibri"/>
                <w:strike/>
                <w:color w:val="000000"/>
              </w:rPr>
              <w:t> </w:t>
            </w:r>
          </w:p>
        </w:tc>
        <w:tc>
          <w:tcPr>
            <w:tcW w:w="1503" w:type="dxa"/>
            <w:vAlign w:val="center"/>
          </w:tcPr>
          <w:p w14:paraId="1629FE89" w14:textId="77777777" w:rsidR="00D85FD6" w:rsidRPr="00EB5AD2"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rPr>
                <w:strike/>
              </w:rPr>
            </w:pPr>
            <w:r w:rsidRPr="00EB5AD2">
              <w:rPr>
                <w:rFonts w:cs="Calibri"/>
                <w:strike/>
                <w:color w:val="000000"/>
              </w:rPr>
              <w:t>3.65</w:t>
            </w:r>
          </w:p>
        </w:tc>
        <w:tc>
          <w:tcPr>
            <w:tcW w:w="1503" w:type="dxa"/>
            <w:tcBorders>
              <w:top w:val="nil"/>
              <w:bottom w:val="nil"/>
            </w:tcBorders>
            <w:vAlign w:val="center"/>
          </w:tcPr>
          <w:p w14:paraId="64169A6B" w14:textId="77777777" w:rsidR="00D85FD6" w:rsidRPr="00EB5AD2"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rPr>
                <w:strike/>
              </w:rPr>
            </w:pPr>
            <w:r w:rsidRPr="00EB5AD2">
              <w:rPr>
                <w:rFonts w:cs="Calibri"/>
                <w:strike/>
                <w:color w:val="000000"/>
              </w:rPr>
              <w:t> </w:t>
            </w:r>
          </w:p>
        </w:tc>
        <w:tc>
          <w:tcPr>
            <w:tcW w:w="1503" w:type="dxa"/>
            <w:tcBorders>
              <w:top w:val="nil"/>
              <w:bottom w:val="nil"/>
            </w:tcBorders>
            <w:vAlign w:val="center"/>
          </w:tcPr>
          <w:p w14:paraId="522EF41B" w14:textId="77777777" w:rsidR="00D85FD6" w:rsidRPr="00EB5AD2"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rPr>
                <w:strike/>
              </w:rPr>
            </w:pPr>
            <w:r w:rsidRPr="00EB5AD2">
              <w:rPr>
                <w:rFonts w:cs="Calibri"/>
                <w:strike/>
                <w:color w:val="000000"/>
              </w:rPr>
              <w:t> </w:t>
            </w:r>
          </w:p>
        </w:tc>
      </w:tr>
      <w:tr w:rsidR="008403A4" w14:paraId="7D014879" w14:textId="77777777" w:rsidTr="00EB5AD2">
        <w:trPr>
          <w:cantSplit/>
        </w:trPr>
        <w:tc>
          <w:tcPr>
            <w:cnfStyle w:val="001000000000" w:firstRow="0" w:lastRow="0" w:firstColumn="1" w:lastColumn="0" w:oddVBand="0" w:evenVBand="0" w:oddHBand="0" w:evenHBand="0" w:firstRowFirstColumn="0" w:firstRowLastColumn="0" w:lastRowFirstColumn="0" w:lastRowLastColumn="0"/>
            <w:tcW w:w="0" w:type="dxa"/>
            <w:gridSpan w:val="8"/>
            <w:shd w:val="clear" w:color="auto" w:fill="D9D9D9" w:themeFill="background1" w:themeFillShade="D9"/>
          </w:tcPr>
          <w:p w14:paraId="426021E6" w14:textId="36B26653" w:rsidR="008403A4" w:rsidRDefault="008403A4" w:rsidP="00EB5AD2">
            <w:pPr>
              <w:pStyle w:val="Tabletext0"/>
              <w:jc w:val="left"/>
              <w:rPr>
                <w:rFonts w:cs="Calibri"/>
                <w:color w:val="000000"/>
              </w:rPr>
            </w:pPr>
            <w:r w:rsidRPr="00E61757">
              <w:rPr>
                <w:color w:val="0070C0"/>
              </w:rPr>
              <w:t xml:space="preserve">PCR </w:t>
            </w:r>
            <w:r w:rsidRPr="00E61757">
              <w:rPr>
                <w:i/>
                <w:iCs/>
                <w:color w:val="0070C0"/>
              </w:rPr>
              <w:t>– post-ESC analys</w:t>
            </w:r>
            <w:r>
              <w:rPr>
                <w:i/>
                <w:iCs/>
                <w:color w:val="0070C0"/>
              </w:rPr>
              <w:t xml:space="preserve">is revised to </w:t>
            </w:r>
            <w:r w:rsidR="00C47DCC">
              <w:rPr>
                <w:i/>
                <w:iCs/>
                <w:color w:val="0070C0"/>
              </w:rPr>
              <w:t>include a</w:t>
            </w:r>
            <w:r>
              <w:rPr>
                <w:i/>
                <w:iCs/>
                <w:color w:val="0070C0"/>
              </w:rPr>
              <w:t xml:space="preserve"> 4% re-biopsy rate</w:t>
            </w:r>
          </w:p>
        </w:tc>
      </w:tr>
      <w:tr w:rsidR="008403A4" w14:paraId="0B9C7C2E" w14:textId="77777777" w:rsidTr="00BC5D6F">
        <w:trPr>
          <w:cantSplit/>
        </w:trPr>
        <w:tc>
          <w:tcPr>
            <w:cnfStyle w:val="001000000000" w:firstRow="0" w:lastRow="0" w:firstColumn="1" w:lastColumn="0" w:oddVBand="0" w:evenVBand="0" w:oddHBand="0" w:evenHBand="0" w:firstRowFirstColumn="0" w:firstRowLastColumn="0" w:lastRowFirstColumn="0" w:lastRowLastColumn="0"/>
            <w:tcW w:w="1502" w:type="dxa"/>
          </w:tcPr>
          <w:p w14:paraId="12383F5E" w14:textId="2C35A796" w:rsidR="008403A4" w:rsidRDefault="008403A4" w:rsidP="008403A4">
            <w:pPr>
              <w:pStyle w:val="Tabletext0"/>
            </w:pPr>
            <w:r w:rsidRPr="00E61757">
              <w:rPr>
                <w:color w:val="0070C0"/>
              </w:rPr>
              <w:t>MRD</w:t>
            </w:r>
          </w:p>
        </w:tc>
        <w:tc>
          <w:tcPr>
            <w:tcW w:w="1502" w:type="dxa"/>
            <w:vAlign w:val="center"/>
          </w:tcPr>
          <w:p w14:paraId="12E3B2FF" w14:textId="7C47E15A" w:rsidR="008403A4" w:rsidRPr="00EB5AD2" w:rsidRDefault="008403A4" w:rsidP="008403A4">
            <w:pPr>
              <w:pStyle w:val="Tabletext0"/>
              <w:jc w:val="center"/>
              <w:cnfStyle w:val="000000000000" w:firstRow="0" w:lastRow="0" w:firstColumn="0" w:lastColumn="0" w:oddVBand="0" w:evenVBand="0" w:oddHBand="0" w:evenHBand="0" w:firstRowFirstColumn="0" w:firstRowLastColumn="0" w:lastRowFirstColumn="0" w:lastRowLastColumn="0"/>
              <w:rPr>
                <w:rFonts w:cs="Calibri"/>
                <w:color w:val="0070C0"/>
              </w:rPr>
            </w:pPr>
            <w:r w:rsidRPr="00EB5AD2">
              <w:rPr>
                <w:rFonts w:cs="Calibri"/>
                <w:color w:val="0070C0"/>
              </w:rPr>
              <w:t>$427,3</w:t>
            </w:r>
            <w:r>
              <w:rPr>
                <w:rFonts w:cs="Calibri"/>
                <w:color w:val="0070C0"/>
              </w:rPr>
              <w:t>98</w:t>
            </w:r>
          </w:p>
        </w:tc>
        <w:tc>
          <w:tcPr>
            <w:tcW w:w="1503" w:type="dxa"/>
            <w:gridSpan w:val="3"/>
            <w:tcBorders>
              <w:top w:val="nil"/>
              <w:bottom w:val="nil"/>
            </w:tcBorders>
            <w:vAlign w:val="center"/>
          </w:tcPr>
          <w:p w14:paraId="44569CCE" w14:textId="09EDEEEC" w:rsidR="008403A4" w:rsidRPr="00EB5AD2" w:rsidRDefault="008403A4" w:rsidP="008403A4">
            <w:pPr>
              <w:pStyle w:val="Tabletext0"/>
              <w:jc w:val="center"/>
              <w:cnfStyle w:val="000000000000" w:firstRow="0" w:lastRow="0" w:firstColumn="0" w:lastColumn="0" w:oddVBand="0" w:evenVBand="0" w:oddHBand="0" w:evenHBand="0" w:firstRowFirstColumn="0" w:firstRowLastColumn="0" w:lastRowFirstColumn="0" w:lastRowLastColumn="0"/>
              <w:rPr>
                <w:rFonts w:cs="Calibri"/>
                <w:color w:val="0070C0"/>
              </w:rPr>
            </w:pPr>
            <w:r w:rsidRPr="00EB5AD2">
              <w:rPr>
                <w:rFonts w:cs="Calibri"/>
                <w:color w:val="0070C0"/>
              </w:rPr>
              <w:t>$65,</w:t>
            </w:r>
            <w:r>
              <w:rPr>
                <w:rFonts w:cs="Calibri"/>
                <w:color w:val="0070C0"/>
              </w:rPr>
              <w:t>25</w:t>
            </w:r>
            <w:r w:rsidRPr="00EB5AD2">
              <w:rPr>
                <w:rFonts w:cs="Calibri"/>
                <w:color w:val="0070C0"/>
              </w:rPr>
              <w:t>9</w:t>
            </w:r>
          </w:p>
        </w:tc>
        <w:tc>
          <w:tcPr>
            <w:tcW w:w="1503" w:type="dxa"/>
            <w:vAlign w:val="center"/>
          </w:tcPr>
          <w:p w14:paraId="49CA5F34" w14:textId="077CF378" w:rsidR="008403A4" w:rsidRPr="00EB5AD2" w:rsidRDefault="008403A4" w:rsidP="008403A4">
            <w:pPr>
              <w:pStyle w:val="Tabletext0"/>
              <w:jc w:val="center"/>
              <w:cnfStyle w:val="000000000000" w:firstRow="0" w:lastRow="0" w:firstColumn="0" w:lastColumn="0" w:oddVBand="0" w:evenVBand="0" w:oddHBand="0" w:evenHBand="0" w:firstRowFirstColumn="0" w:firstRowLastColumn="0" w:lastRowFirstColumn="0" w:lastRowLastColumn="0"/>
              <w:rPr>
                <w:rFonts w:cs="Calibri"/>
                <w:color w:val="0070C0"/>
              </w:rPr>
            </w:pPr>
            <w:r w:rsidRPr="00EB5AD2">
              <w:rPr>
                <w:rFonts w:cs="Calibri"/>
                <w:color w:val="0070C0"/>
              </w:rPr>
              <w:t>5.77</w:t>
            </w:r>
          </w:p>
        </w:tc>
        <w:tc>
          <w:tcPr>
            <w:tcW w:w="1503" w:type="dxa"/>
            <w:tcBorders>
              <w:top w:val="nil"/>
              <w:bottom w:val="nil"/>
            </w:tcBorders>
            <w:vAlign w:val="center"/>
          </w:tcPr>
          <w:p w14:paraId="73B33BF5" w14:textId="73267163" w:rsidR="008403A4" w:rsidRPr="00EB5AD2" w:rsidRDefault="008403A4" w:rsidP="008403A4">
            <w:pPr>
              <w:pStyle w:val="Tabletext0"/>
              <w:jc w:val="center"/>
              <w:cnfStyle w:val="000000000000" w:firstRow="0" w:lastRow="0" w:firstColumn="0" w:lastColumn="0" w:oddVBand="0" w:evenVBand="0" w:oddHBand="0" w:evenHBand="0" w:firstRowFirstColumn="0" w:firstRowLastColumn="0" w:lastRowFirstColumn="0" w:lastRowLastColumn="0"/>
              <w:rPr>
                <w:rFonts w:cs="Calibri"/>
                <w:color w:val="0070C0"/>
              </w:rPr>
            </w:pPr>
            <w:r w:rsidRPr="00EB5AD2">
              <w:rPr>
                <w:rFonts w:cs="Calibri"/>
                <w:color w:val="0070C0"/>
              </w:rPr>
              <w:t>2.12</w:t>
            </w:r>
          </w:p>
        </w:tc>
        <w:tc>
          <w:tcPr>
            <w:tcW w:w="1503" w:type="dxa"/>
            <w:tcBorders>
              <w:top w:val="nil"/>
              <w:bottom w:val="nil"/>
            </w:tcBorders>
            <w:vAlign w:val="center"/>
          </w:tcPr>
          <w:p w14:paraId="3E101FB0" w14:textId="4AEF1466" w:rsidR="008403A4" w:rsidRPr="00EB5AD2" w:rsidRDefault="008403A4" w:rsidP="008403A4">
            <w:pPr>
              <w:pStyle w:val="Tabletext0"/>
              <w:jc w:val="center"/>
              <w:cnfStyle w:val="000000000000" w:firstRow="0" w:lastRow="0" w:firstColumn="0" w:lastColumn="0" w:oddVBand="0" w:evenVBand="0" w:oddHBand="0" w:evenHBand="0" w:firstRowFirstColumn="0" w:firstRowLastColumn="0" w:lastRowFirstColumn="0" w:lastRowLastColumn="0"/>
              <w:rPr>
                <w:rFonts w:cs="Calibri"/>
                <w:color w:val="0070C0"/>
              </w:rPr>
            </w:pPr>
            <w:r w:rsidRPr="00EB5AD2">
              <w:rPr>
                <w:rFonts w:cs="Calibri"/>
                <w:color w:val="0070C0"/>
              </w:rPr>
              <w:t>$30,8</w:t>
            </w:r>
            <w:r>
              <w:rPr>
                <w:rFonts w:cs="Calibri"/>
                <w:color w:val="0070C0"/>
              </w:rPr>
              <w:t>21</w:t>
            </w:r>
          </w:p>
        </w:tc>
      </w:tr>
      <w:tr w:rsidR="008403A4" w14:paraId="0EBE8FA0" w14:textId="77777777" w:rsidTr="00BC5D6F">
        <w:trPr>
          <w:cantSplit/>
        </w:trPr>
        <w:tc>
          <w:tcPr>
            <w:cnfStyle w:val="001000000000" w:firstRow="0" w:lastRow="0" w:firstColumn="1" w:lastColumn="0" w:oddVBand="0" w:evenVBand="0" w:oddHBand="0" w:evenHBand="0" w:firstRowFirstColumn="0" w:firstRowLastColumn="0" w:lastRowFirstColumn="0" w:lastRowLastColumn="0"/>
            <w:tcW w:w="1502" w:type="dxa"/>
          </w:tcPr>
          <w:p w14:paraId="7FE91AD7" w14:textId="1B6FDAA6" w:rsidR="008403A4" w:rsidRDefault="008403A4" w:rsidP="008403A4">
            <w:pPr>
              <w:pStyle w:val="Tabletext0"/>
            </w:pPr>
            <w:r w:rsidRPr="00E61757">
              <w:rPr>
                <w:color w:val="0070C0"/>
              </w:rPr>
              <w:t>No MRD</w:t>
            </w:r>
          </w:p>
        </w:tc>
        <w:tc>
          <w:tcPr>
            <w:tcW w:w="1502" w:type="dxa"/>
            <w:vAlign w:val="center"/>
          </w:tcPr>
          <w:p w14:paraId="2CB7B420" w14:textId="70099BA6" w:rsidR="008403A4" w:rsidRPr="00EB5AD2" w:rsidRDefault="008403A4" w:rsidP="008403A4">
            <w:pPr>
              <w:pStyle w:val="Tabletext0"/>
              <w:jc w:val="center"/>
              <w:cnfStyle w:val="000000000000" w:firstRow="0" w:lastRow="0" w:firstColumn="0" w:lastColumn="0" w:oddVBand="0" w:evenVBand="0" w:oddHBand="0" w:evenHBand="0" w:firstRowFirstColumn="0" w:firstRowLastColumn="0" w:lastRowFirstColumn="0" w:lastRowLastColumn="0"/>
              <w:rPr>
                <w:rFonts w:cs="Calibri"/>
                <w:color w:val="0070C0"/>
              </w:rPr>
            </w:pPr>
            <w:r w:rsidRPr="00EB5AD2">
              <w:rPr>
                <w:rFonts w:cs="Calibri"/>
                <w:color w:val="0070C0"/>
              </w:rPr>
              <w:t>$362,139</w:t>
            </w:r>
          </w:p>
        </w:tc>
        <w:tc>
          <w:tcPr>
            <w:tcW w:w="1503" w:type="dxa"/>
            <w:gridSpan w:val="3"/>
            <w:tcBorders>
              <w:top w:val="nil"/>
              <w:bottom w:val="nil"/>
            </w:tcBorders>
            <w:vAlign w:val="center"/>
          </w:tcPr>
          <w:p w14:paraId="1E85F995" w14:textId="4B83DB51" w:rsidR="008403A4" w:rsidRPr="00EB5AD2" w:rsidRDefault="008403A4" w:rsidP="008403A4">
            <w:pPr>
              <w:pStyle w:val="Tabletext0"/>
              <w:jc w:val="center"/>
              <w:cnfStyle w:val="000000000000" w:firstRow="0" w:lastRow="0" w:firstColumn="0" w:lastColumn="0" w:oddVBand="0" w:evenVBand="0" w:oddHBand="0" w:evenHBand="0" w:firstRowFirstColumn="0" w:firstRowLastColumn="0" w:lastRowFirstColumn="0" w:lastRowLastColumn="0"/>
              <w:rPr>
                <w:rFonts w:cs="Calibri"/>
                <w:color w:val="0070C0"/>
              </w:rPr>
            </w:pPr>
            <w:r w:rsidRPr="00EB5AD2">
              <w:rPr>
                <w:rFonts w:cs="Calibri"/>
                <w:color w:val="0070C0"/>
              </w:rPr>
              <w:t> </w:t>
            </w:r>
          </w:p>
        </w:tc>
        <w:tc>
          <w:tcPr>
            <w:tcW w:w="1503" w:type="dxa"/>
            <w:vAlign w:val="center"/>
          </w:tcPr>
          <w:p w14:paraId="14C48753" w14:textId="32AC6A55" w:rsidR="008403A4" w:rsidRPr="00EB5AD2" w:rsidRDefault="008403A4" w:rsidP="008403A4">
            <w:pPr>
              <w:pStyle w:val="Tabletext0"/>
              <w:jc w:val="center"/>
              <w:cnfStyle w:val="000000000000" w:firstRow="0" w:lastRow="0" w:firstColumn="0" w:lastColumn="0" w:oddVBand="0" w:evenVBand="0" w:oddHBand="0" w:evenHBand="0" w:firstRowFirstColumn="0" w:firstRowLastColumn="0" w:lastRowFirstColumn="0" w:lastRowLastColumn="0"/>
              <w:rPr>
                <w:rFonts w:cs="Calibri"/>
                <w:color w:val="0070C0"/>
              </w:rPr>
            </w:pPr>
            <w:r w:rsidRPr="00EB5AD2">
              <w:rPr>
                <w:rFonts w:cs="Calibri"/>
                <w:color w:val="0070C0"/>
              </w:rPr>
              <w:t>3.65</w:t>
            </w:r>
          </w:p>
        </w:tc>
        <w:tc>
          <w:tcPr>
            <w:tcW w:w="1503" w:type="dxa"/>
            <w:tcBorders>
              <w:top w:val="nil"/>
              <w:bottom w:val="nil"/>
            </w:tcBorders>
            <w:vAlign w:val="center"/>
          </w:tcPr>
          <w:p w14:paraId="5288257C" w14:textId="658AA85B" w:rsidR="008403A4" w:rsidRPr="00EB5AD2" w:rsidRDefault="008403A4" w:rsidP="008403A4">
            <w:pPr>
              <w:pStyle w:val="Tabletext0"/>
              <w:jc w:val="center"/>
              <w:cnfStyle w:val="000000000000" w:firstRow="0" w:lastRow="0" w:firstColumn="0" w:lastColumn="0" w:oddVBand="0" w:evenVBand="0" w:oddHBand="0" w:evenHBand="0" w:firstRowFirstColumn="0" w:firstRowLastColumn="0" w:lastRowFirstColumn="0" w:lastRowLastColumn="0"/>
              <w:rPr>
                <w:rFonts w:cs="Calibri"/>
                <w:color w:val="0070C0"/>
              </w:rPr>
            </w:pPr>
            <w:r w:rsidRPr="00EB5AD2">
              <w:rPr>
                <w:rFonts w:cs="Calibri"/>
                <w:color w:val="0070C0"/>
              </w:rPr>
              <w:t> </w:t>
            </w:r>
          </w:p>
        </w:tc>
        <w:tc>
          <w:tcPr>
            <w:tcW w:w="1503" w:type="dxa"/>
            <w:tcBorders>
              <w:top w:val="nil"/>
              <w:bottom w:val="nil"/>
            </w:tcBorders>
            <w:vAlign w:val="center"/>
          </w:tcPr>
          <w:p w14:paraId="4C12F7F0" w14:textId="546F4275" w:rsidR="008403A4" w:rsidRPr="00EB5AD2" w:rsidRDefault="008403A4" w:rsidP="008403A4">
            <w:pPr>
              <w:pStyle w:val="Tabletext0"/>
              <w:jc w:val="center"/>
              <w:cnfStyle w:val="000000000000" w:firstRow="0" w:lastRow="0" w:firstColumn="0" w:lastColumn="0" w:oddVBand="0" w:evenVBand="0" w:oddHBand="0" w:evenHBand="0" w:firstRowFirstColumn="0" w:firstRowLastColumn="0" w:lastRowFirstColumn="0" w:lastRowLastColumn="0"/>
              <w:rPr>
                <w:rFonts w:cs="Calibri"/>
                <w:color w:val="0070C0"/>
              </w:rPr>
            </w:pPr>
            <w:r w:rsidRPr="00EB5AD2">
              <w:rPr>
                <w:rFonts w:cs="Calibri"/>
                <w:color w:val="0070C0"/>
              </w:rPr>
              <w:t> </w:t>
            </w:r>
          </w:p>
        </w:tc>
      </w:tr>
      <w:tr w:rsidR="00D85FD6" w14:paraId="472ED81D" w14:textId="77777777" w:rsidTr="00BC5D6F">
        <w:trPr>
          <w:cantSplit/>
        </w:trPr>
        <w:tc>
          <w:tcPr>
            <w:cnfStyle w:val="001000000000" w:firstRow="0" w:lastRow="0" w:firstColumn="1" w:lastColumn="0" w:oddVBand="0" w:evenVBand="0" w:oddHBand="0" w:evenHBand="0" w:firstRowFirstColumn="0" w:firstRowLastColumn="0" w:lastRowFirstColumn="0" w:lastRowLastColumn="0"/>
            <w:tcW w:w="9016" w:type="dxa"/>
            <w:gridSpan w:val="8"/>
            <w:shd w:val="clear" w:color="auto" w:fill="D9D9D9" w:themeFill="background1" w:themeFillShade="D9"/>
          </w:tcPr>
          <w:p w14:paraId="2EAD3DF6" w14:textId="77777777" w:rsidR="00D85FD6" w:rsidRDefault="00D85FD6" w:rsidP="00BC5D6F">
            <w:pPr>
              <w:pStyle w:val="Tabletext0"/>
            </w:pPr>
            <w:r>
              <w:t>NGS</w:t>
            </w:r>
          </w:p>
        </w:tc>
      </w:tr>
      <w:tr w:rsidR="00D85FD6" w14:paraId="48A44212" w14:textId="77777777" w:rsidTr="00BC5D6F">
        <w:trPr>
          <w:cantSplit/>
        </w:trPr>
        <w:tc>
          <w:tcPr>
            <w:cnfStyle w:val="001000000000" w:firstRow="0" w:lastRow="0" w:firstColumn="1" w:lastColumn="0" w:oddVBand="0" w:evenVBand="0" w:oddHBand="0" w:evenHBand="0" w:firstRowFirstColumn="0" w:firstRowLastColumn="0" w:lastRowFirstColumn="0" w:lastRowLastColumn="0"/>
            <w:tcW w:w="1502" w:type="dxa"/>
          </w:tcPr>
          <w:p w14:paraId="13AFFD1D" w14:textId="77777777" w:rsidR="00D85FD6" w:rsidRDefault="00D85FD6" w:rsidP="00BC5D6F">
            <w:pPr>
              <w:pStyle w:val="Tabletext0"/>
            </w:pPr>
            <w:r>
              <w:t>MRD</w:t>
            </w:r>
          </w:p>
        </w:tc>
        <w:tc>
          <w:tcPr>
            <w:tcW w:w="1502" w:type="dxa"/>
            <w:vAlign w:val="center"/>
          </w:tcPr>
          <w:p w14:paraId="618E03FF"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$356,900</w:t>
            </w:r>
          </w:p>
        </w:tc>
        <w:tc>
          <w:tcPr>
            <w:tcW w:w="1503" w:type="dxa"/>
            <w:gridSpan w:val="3"/>
            <w:tcBorders>
              <w:top w:val="nil"/>
              <w:bottom w:val="nil"/>
            </w:tcBorders>
            <w:vAlign w:val="center"/>
          </w:tcPr>
          <w:p w14:paraId="203C2BE6"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-$5,240</w:t>
            </w:r>
          </w:p>
        </w:tc>
        <w:tc>
          <w:tcPr>
            <w:tcW w:w="1503" w:type="dxa"/>
            <w:vAlign w:val="center"/>
          </w:tcPr>
          <w:p w14:paraId="3F6CDD5D"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6.21</w:t>
            </w:r>
          </w:p>
        </w:tc>
        <w:tc>
          <w:tcPr>
            <w:tcW w:w="1503" w:type="dxa"/>
            <w:tcBorders>
              <w:top w:val="nil"/>
              <w:bottom w:val="nil"/>
            </w:tcBorders>
            <w:vAlign w:val="center"/>
          </w:tcPr>
          <w:p w14:paraId="4E750536"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2.56</w:t>
            </w:r>
          </w:p>
        </w:tc>
        <w:tc>
          <w:tcPr>
            <w:tcW w:w="1503" w:type="dxa"/>
            <w:tcBorders>
              <w:top w:val="nil"/>
              <w:bottom w:val="nil"/>
            </w:tcBorders>
            <w:vAlign w:val="center"/>
          </w:tcPr>
          <w:p w14:paraId="7A55CCF1"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Dominant</w:t>
            </w:r>
          </w:p>
        </w:tc>
      </w:tr>
      <w:tr w:rsidR="00D85FD6" w14:paraId="48B0F429" w14:textId="77777777" w:rsidTr="00BC5D6F">
        <w:trPr>
          <w:cantSplit/>
        </w:trPr>
        <w:tc>
          <w:tcPr>
            <w:cnfStyle w:val="001000000000" w:firstRow="0" w:lastRow="0" w:firstColumn="1" w:lastColumn="0" w:oddVBand="0" w:evenVBand="0" w:oddHBand="0" w:evenHBand="0" w:firstRowFirstColumn="0" w:firstRowLastColumn="0" w:lastRowFirstColumn="0" w:lastRowLastColumn="0"/>
            <w:tcW w:w="1502" w:type="dxa"/>
          </w:tcPr>
          <w:p w14:paraId="60878494" w14:textId="77777777" w:rsidR="00D85FD6" w:rsidRDefault="00D85FD6" w:rsidP="00BC5D6F">
            <w:pPr>
              <w:pStyle w:val="Tabletext0"/>
            </w:pPr>
            <w:r>
              <w:t>No MRD</w:t>
            </w:r>
          </w:p>
        </w:tc>
        <w:tc>
          <w:tcPr>
            <w:tcW w:w="1502" w:type="dxa"/>
            <w:vAlign w:val="center"/>
          </w:tcPr>
          <w:p w14:paraId="49F60C03"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$362,139</w:t>
            </w:r>
          </w:p>
        </w:tc>
        <w:tc>
          <w:tcPr>
            <w:tcW w:w="1503" w:type="dxa"/>
            <w:gridSpan w:val="3"/>
            <w:tcBorders>
              <w:top w:val="nil"/>
            </w:tcBorders>
            <w:vAlign w:val="center"/>
          </w:tcPr>
          <w:p w14:paraId="7F37BEA8"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 </w:t>
            </w:r>
          </w:p>
        </w:tc>
        <w:tc>
          <w:tcPr>
            <w:tcW w:w="1503" w:type="dxa"/>
            <w:vAlign w:val="center"/>
          </w:tcPr>
          <w:p w14:paraId="189A1EA2"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3.65</w:t>
            </w:r>
          </w:p>
        </w:tc>
        <w:tc>
          <w:tcPr>
            <w:tcW w:w="1503" w:type="dxa"/>
            <w:tcBorders>
              <w:top w:val="nil"/>
            </w:tcBorders>
            <w:vAlign w:val="center"/>
          </w:tcPr>
          <w:p w14:paraId="6B95DA08"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 </w:t>
            </w:r>
          </w:p>
        </w:tc>
        <w:tc>
          <w:tcPr>
            <w:tcW w:w="1503" w:type="dxa"/>
            <w:tcBorders>
              <w:top w:val="nil"/>
            </w:tcBorders>
            <w:vAlign w:val="center"/>
          </w:tcPr>
          <w:p w14:paraId="6EDA530C" w14:textId="77777777" w:rsidR="00D85FD6" w:rsidRDefault="00D85FD6" w:rsidP="00BC5D6F">
            <w:pPr>
              <w:pStyle w:val="Tabletext0"/>
              <w:jc w:val="center"/>
              <w:cnfStyle w:val="000000000000" w:firstRow="0" w:lastRow="0" w:firstColumn="0" w:lastColumn="0" w:oddVBand="0" w:evenVBand="0" w:oddHBand="0" w:evenHBand="0" w:firstRowFirstColumn="0" w:firstRowLastColumn="0" w:lastRowFirstColumn="0" w:lastRowLastColumn="0"/>
            </w:pPr>
            <w:r>
              <w:rPr>
                <w:rFonts w:cs="Calibri"/>
                <w:color w:val="000000"/>
              </w:rPr>
              <w:t>-$2,050</w:t>
            </w:r>
          </w:p>
        </w:tc>
      </w:tr>
    </w:tbl>
    <w:p w14:paraId="4793AC06" w14:textId="7DDE5A2F" w:rsidR="00D85FD6" w:rsidRDefault="00D01DBC" w:rsidP="000B74E3">
      <w:pPr>
        <w:pStyle w:val="Tablenotes"/>
        <w:spacing w:after="240"/>
      </w:pPr>
      <w:bookmarkStart w:id="52" w:name="Title_Table6"/>
      <w:bookmarkEnd w:id="52"/>
      <w:r>
        <w:t xml:space="preserve">Abbreviations: </w:t>
      </w:r>
      <w:r w:rsidR="00D85FD6" w:rsidRPr="00CE28E3">
        <w:t>IC</w:t>
      </w:r>
      <w:r w:rsidR="00F44B49">
        <w:t>U</w:t>
      </w:r>
      <w:r w:rsidR="00D85FD6" w:rsidRPr="00CE28E3">
        <w:t>R</w:t>
      </w:r>
      <w:r w:rsidR="00D85FD6">
        <w:t xml:space="preserve">, </w:t>
      </w:r>
      <w:r w:rsidR="00D85FD6" w:rsidRPr="00CE28E3">
        <w:t>incremental cost-</w:t>
      </w:r>
      <w:r w:rsidR="00F44B49">
        <w:t>utility</w:t>
      </w:r>
      <w:r w:rsidR="00F44B49" w:rsidRPr="00CE28E3">
        <w:t xml:space="preserve"> </w:t>
      </w:r>
      <w:r w:rsidR="00D85FD6" w:rsidRPr="00CE28E3">
        <w:t xml:space="preserve">ratio; </w:t>
      </w:r>
      <w:proofErr w:type="spellStart"/>
      <w:r w:rsidR="00D85FD6">
        <w:t>mpFC</w:t>
      </w:r>
      <w:proofErr w:type="spellEnd"/>
      <w:r w:rsidR="00D85FD6">
        <w:t>, m</w:t>
      </w:r>
      <w:r w:rsidR="00D85FD6" w:rsidRPr="00F377BA">
        <w:t>ultiparametric flow cytometry</w:t>
      </w:r>
      <w:r w:rsidR="00D85FD6">
        <w:t>; MRD, measurable residual disease; NGS, next-generation sequencing; PCR, polymerase chain reaction</w:t>
      </w:r>
    </w:p>
    <w:p w14:paraId="3ED0526C" w14:textId="4B882145" w:rsidR="002D16A2" w:rsidRDefault="00CC1FAA" w:rsidP="002D16A2">
      <w:pPr>
        <w:pStyle w:val="TableFigureFooter"/>
      </w:pPr>
      <w:r w:rsidRPr="005E054C">
        <w:rPr>
          <w:rFonts w:ascii="Franklin Gothic Book" w:eastAsiaTheme="minorHAnsi" w:hAnsi="Franklin Gothic Book" w:cstheme="minorBidi"/>
          <w:snapToGrid/>
          <w:sz w:val="22"/>
          <w:lang w:eastAsia="en-US"/>
        </w:rPr>
        <w:t>When all MRD tests were combined</w:t>
      </w:r>
      <w:r>
        <w:rPr>
          <w:rFonts w:ascii="Franklin Gothic Book" w:eastAsiaTheme="minorHAnsi" w:hAnsi="Franklin Gothic Book" w:cstheme="minorBidi"/>
          <w:snapToGrid/>
          <w:sz w:val="22"/>
          <w:lang w:eastAsia="en-US"/>
        </w:rPr>
        <w:t xml:space="preserve"> (using weight based on the proportion of </w:t>
      </w:r>
      <w:proofErr w:type="spellStart"/>
      <w:r>
        <w:rPr>
          <w:rFonts w:ascii="Franklin Gothic Book" w:eastAsiaTheme="minorHAnsi" w:hAnsi="Franklin Gothic Book" w:cstheme="minorBidi"/>
          <w:snapToGrid/>
          <w:sz w:val="22"/>
          <w:lang w:eastAsia="en-US"/>
        </w:rPr>
        <w:t>mpFC</w:t>
      </w:r>
      <w:proofErr w:type="spellEnd"/>
      <w:r>
        <w:rPr>
          <w:rFonts w:ascii="Franklin Gothic Book" w:eastAsiaTheme="minorHAnsi" w:hAnsi="Franklin Gothic Book" w:cstheme="minorBidi"/>
          <w:snapToGrid/>
          <w:sz w:val="22"/>
          <w:lang w:eastAsia="en-US"/>
        </w:rPr>
        <w:t xml:space="preserve">, NGS and PCR expected to be used – discussed further in </w:t>
      </w:r>
      <w:r w:rsidR="00A35129">
        <w:rPr>
          <w:rFonts w:ascii="Franklin Gothic Book" w:eastAsiaTheme="minorHAnsi" w:hAnsi="Franklin Gothic Book" w:cstheme="minorBidi"/>
          <w:snapToGrid/>
          <w:sz w:val="22"/>
          <w:lang w:eastAsia="en-US"/>
        </w:rPr>
        <w:t>the financial analysis</w:t>
      </w:r>
      <w:r>
        <w:rPr>
          <w:rFonts w:ascii="Franklin Gothic Book" w:eastAsiaTheme="minorHAnsi" w:hAnsi="Franklin Gothic Book" w:cstheme="minorBidi"/>
          <w:snapToGrid/>
          <w:sz w:val="22"/>
          <w:lang w:eastAsia="en-US"/>
        </w:rPr>
        <w:t>), the economic model demonstrated that there was a greater accrual of quality of life for MRD testing in both the adult and paediatric populations.</w:t>
      </w:r>
      <w:r w:rsidR="00F44B49">
        <w:rPr>
          <w:rFonts w:ascii="Franklin Gothic Book" w:eastAsiaTheme="minorHAnsi" w:hAnsi="Franklin Gothic Book" w:cstheme="minorBidi"/>
          <w:snapToGrid/>
          <w:sz w:val="22"/>
          <w:lang w:eastAsia="en-US"/>
        </w:rPr>
        <w:t xml:space="preserve"> I</w:t>
      </w:r>
      <w:r>
        <w:rPr>
          <w:rFonts w:ascii="Franklin Gothic Book" w:eastAsiaTheme="minorHAnsi" w:hAnsi="Franklin Gothic Book" w:cstheme="minorBidi"/>
          <w:snapToGrid/>
          <w:sz w:val="22"/>
          <w:lang w:eastAsia="en-US"/>
        </w:rPr>
        <w:t>n both the adult and paediatric populations, the cost-effectiveness and cost-utility was less than $15,000</w:t>
      </w:r>
      <w:r w:rsidR="00A35129">
        <w:rPr>
          <w:rFonts w:ascii="Franklin Gothic Book" w:eastAsiaTheme="minorHAnsi" w:hAnsi="Franklin Gothic Book" w:cstheme="minorBidi"/>
          <w:snapToGrid/>
          <w:sz w:val="22"/>
          <w:lang w:eastAsia="en-US"/>
        </w:rPr>
        <w:t>/QALY</w:t>
      </w:r>
      <w:r>
        <w:rPr>
          <w:rFonts w:ascii="Franklin Gothic Book" w:eastAsiaTheme="minorHAnsi" w:hAnsi="Franklin Gothic Book" w:cstheme="minorBidi"/>
          <w:snapToGrid/>
          <w:sz w:val="22"/>
          <w:lang w:eastAsia="en-US"/>
        </w:rPr>
        <w:t xml:space="preserve"> </w:t>
      </w:r>
      <w:bookmarkStart w:id="53" w:name="_Ref118914483"/>
      <w:r w:rsidR="002D16A2">
        <w:rPr>
          <w:rFonts w:ascii="Franklin Gothic Book" w:eastAsiaTheme="minorHAnsi" w:hAnsi="Franklin Gothic Book" w:cstheme="minorBidi"/>
          <w:snapToGrid/>
          <w:sz w:val="22"/>
          <w:lang w:eastAsia="en-US"/>
        </w:rPr>
        <w:t>(</w:t>
      </w:r>
      <w:r w:rsidR="002D16A2">
        <w:rPr>
          <w:rFonts w:ascii="Franklin Gothic Book" w:eastAsiaTheme="minorHAnsi" w:hAnsi="Franklin Gothic Book" w:cstheme="minorBidi"/>
          <w:snapToGrid/>
          <w:sz w:val="22"/>
          <w:lang w:eastAsia="en-US"/>
        </w:rPr>
        <w:fldChar w:fldCharType="begin"/>
      </w:r>
      <w:r w:rsidR="002D16A2">
        <w:rPr>
          <w:rFonts w:ascii="Franklin Gothic Book" w:eastAsiaTheme="minorHAnsi" w:hAnsi="Franklin Gothic Book" w:cstheme="minorBidi"/>
          <w:snapToGrid/>
          <w:sz w:val="22"/>
          <w:lang w:eastAsia="en-US"/>
        </w:rPr>
        <w:instrText xml:space="preserve"> REF _Ref121906675 \h  \* MERGEFORMAT </w:instrText>
      </w:r>
      <w:r w:rsidR="002D16A2">
        <w:rPr>
          <w:rFonts w:ascii="Franklin Gothic Book" w:eastAsiaTheme="minorHAnsi" w:hAnsi="Franklin Gothic Book" w:cstheme="minorBidi"/>
          <w:snapToGrid/>
          <w:sz w:val="22"/>
          <w:lang w:eastAsia="en-US"/>
        </w:rPr>
      </w:r>
      <w:r w:rsidR="002D16A2">
        <w:rPr>
          <w:rFonts w:ascii="Franklin Gothic Book" w:eastAsiaTheme="minorHAnsi" w:hAnsi="Franklin Gothic Book" w:cstheme="minorBidi"/>
          <w:snapToGrid/>
          <w:sz w:val="22"/>
          <w:lang w:eastAsia="en-US"/>
        </w:rPr>
        <w:fldChar w:fldCharType="separate"/>
      </w:r>
      <w:r w:rsidR="0003093F" w:rsidRPr="0003093F">
        <w:rPr>
          <w:rFonts w:ascii="Franklin Gothic Book" w:eastAsiaTheme="minorHAnsi" w:hAnsi="Franklin Gothic Book" w:cstheme="minorBidi"/>
          <w:snapToGrid/>
          <w:sz w:val="22"/>
          <w:lang w:eastAsia="en-US"/>
        </w:rPr>
        <w:t>Table 9</w:t>
      </w:r>
      <w:r w:rsidR="002D16A2">
        <w:rPr>
          <w:rFonts w:ascii="Franklin Gothic Book" w:eastAsiaTheme="minorHAnsi" w:hAnsi="Franklin Gothic Book" w:cstheme="minorBidi"/>
          <w:snapToGrid/>
          <w:sz w:val="22"/>
          <w:lang w:eastAsia="en-US"/>
        </w:rPr>
        <w:fldChar w:fldCharType="end"/>
      </w:r>
      <w:r w:rsidR="002D16A2">
        <w:rPr>
          <w:rFonts w:ascii="Franklin Gothic Book" w:eastAsiaTheme="minorHAnsi" w:hAnsi="Franklin Gothic Book" w:cstheme="minorBidi"/>
          <w:snapToGrid/>
          <w:sz w:val="22"/>
          <w:lang w:eastAsia="en-US"/>
        </w:rPr>
        <w:t>).</w:t>
      </w:r>
    </w:p>
    <w:p w14:paraId="79A3A78C" w14:textId="57601B4A" w:rsidR="002D16A2" w:rsidRDefault="002D16A2" w:rsidP="002D16A2">
      <w:pPr>
        <w:pStyle w:val="Caption"/>
      </w:pPr>
      <w:bookmarkStart w:id="54" w:name="_Ref121906675"/>
      <w:bookmarkStart w:id="55" w:name="_Toc121921224"/>
      <w:r>
        <w:lastRenderedPageBreak/>
        <w:t xml:space="preserve">Table </w:t>
      </w:r>
      <w:r>
        <w:fldChar w:fldCharType="begin"/>
      </w:r>
      <w:r>
        <w:instrText>SEQ Table \* ARABIC</w:instrText>
      </w:r>
      <w:r>
        <w:fldChar w:fldCharType="separate"/>
      </w:r>
      <w:r w:rsidR="00A922D7">
        <w:rPr>
          <w:noProof/>
        </w:rPr>
        <w:t>9</w:t>
      </w:r>
      <w:r>
        <w:fldChar w:fldCharType="end"/>
      </w:r>
      <w:bookmarkEnd w:id="54"/>
      <w:r>
        <w:tab/>
      </w:r>
      <w:r w:rsidRPr="002D16A2">
        <w:t>Results of the economic evaluation</w:t>
      </w:r>
      <w:bookmarkEnd w:id="55"/>
    </w:p>
    <w:tbl>
      <w:tblPr>
        <w:tblStyle w:val="TableGrid1"/>
        <w:tblW w:w="5000" w:type="pct"/>
        <w:shd w:val="clear" w:color="auto" w:fill="FFFFFF"/>
        <w:tblLayout w:type="fixed"/>
        <w:tblLook w:val="04A0" w:firstRow="1" w:lastRow="0" w:firstColumn="1" w:lastColumn="0" w:noHBand="0" w:noVBand="1"/>
      </w:tblPr>
      <w:tblGrid>
        <w:gridCol w:w="1701"/>
        <w:gridCol w:w="2405"/>
        <w:gridCol w:w="34"/>
        <w:gridCol w:w="2384"/>
        <w:gridCol w:w="2492"/>
      </w:tblGrid>
      <w:tr w:rsidR="00CC1FAA" w:rsidRPr="00CE28E3" w14:paraId="4A221FBD" w14:textId="77777777" w:rsidTr="008B1E50">
        <w:trPr>
          <w:cnfStyle w:val="100000000000" w:firstRow="1" w:lastRow="0" w:firstColumn="0" w:lastColumn="0" w:oddVBand="0" w:evenVBand="0" w:oddHBand="0" w:evenHBand="0" w:firstRowFirstColumn="0" w:firstRowLastColumn="0" w:lastRowFirstColumn="0" w:lastRowLastColumn="0"/>
          <w:cantSplit/>
          <w:tblHeader/>
        </w:trPr>
        <w:tc>
          <w:tcPr>
            <w:tcW w:w="943" w:type="pct"/>
            <w:tcBorders>
              <w:bottom w:val="single" w:sz="4" w:space="0" w:color="auto"/>
            </w:tcBorders>
            <w:shd w:val="clear" w:color="auto" w:fill="FFFFFF"/>
          </w:tcPr>
          <w:p w14:paraId="6EFBDA9F" w14:textId="77777777" w:rsidR="00CC1FAA" w:rsidRPr="00CE28E3" w:rsidRDefault="00CC1FAA" w:rsidP="004D3912">
            <w:pPr>
              <w:pStyle w:val="In-tableHeading"/>
              <w:spacing w:after="40"/>
            </w:pPr>
            <w:r>
              <w:t xml:space="preserve">Parameter </w:t>
            </w:r>
          </w:p>
        </w:tc>
        <w:tc>
          <w:tcPr>
            <w:tcW w:w="1353" w:type="pct"/>
            <w:gridSpan w:val="2"/>
            <w:tcBorders>
              <w:bottom w:val="single" w:sz="4" w:space="0" w:color="auto"/>
            </w:tcBorders>
            <w:shd w:val="clear" w:color="auto" w:fill="FFFFFF"/>
          </w:tcPr>
          <w:p w14:paraId="4EFEFBC6" w14:textId="77777777" w:rsidR="00CC1FAA" w:rsidRPr="00CE28E3" w:rsidRDefault="00CC1FAA" w:rsidP="004D3912">
            <w:pPr>
              <w:pStyle w:val="In-tableHeading"/>
              <w:spacing w:after="40"/>
              <w:jc w:val="center"/>
            </w:pPr>
            <w:r>
              <w:t>MRD testing</w:t>
            </w:r>
          </w:p>
        </w:tc>
        <w:tc>
          <w:tcPr>
            <w:tcW w:w="1322" w:type="pct"/>
            <w:tcBorders>
              <w:bottom w:val="single" w:sz="4" w:space="0" w:color="auto"/>
            </w:tcBorders>
            <w:shd w:val="clear" w:color="auto" w:fill="FFFFFF"/>
          </w:tcPr>
          <w:p w14:paraId="270DB811" w14:textId="77777777" w:rsidR="00CC1FAA" w:rsidRPr="00CE28E3" w:rsidRDefault="00CC1FAA" w:rsidP="004D3912">
            <w:pPr>
              <w:pStyle w:val="In-tableHeading"/>
              <w:spacing w:after="40"/>
              <w:jc w:val="center"/>
            </w:pPr>
            <w:r>
              <w:t>Morphology Only</w:t>
            </w:r>
          </w:p>
        </w:tc>
        <w:tc>
          <w:tcPr>
            <w:tcW w:w="1382" w:type="pct"/>
            <w:tcBorders>
              <w:bottom w:val="single" w:sz="4" w:space="0" w:color="auto"/>
            </w:tcBorders>
            <w:shd w:val="clear" w:color="auto" w:fill="FFFFFF"/>
            <w:vAlign w:val="center"/>
          </w:tcPr>
          <w:p w14:paraId="545B358C" w14:textId="77777777" w:rsidR="00CC1FAA" w:rsidRPr="00CE28E3" w:rsidRDefault="00CC1FAA" w:rsidP="004D3912">
            <w:pPr>
              <w:pStyle w:val="In-tableHeading"/>
              <w:spacing w:after="40"/>
              <w:jc w:val="center"/>
            </w:pPr>
            <w:r w:rsidRPr="00CE28E3">
              <w:t>Increment</w:t>
            </w:r>
          </w:p>
        </w:tc>
      </w:tr>
      <w:tr w:rsidR="00CC1FAA" w:rsidRPr="00CE28E3" w14:paraId="1F0A852F" w14:textId="77777777" w:rsidTr="008B1E50">
        <w:trPr>
          <w:cantSplit/>
        </w:trPr>
        <w:tc>
          <w:tcPr>
            <w:tcW w:w="943" w:type="pct"/>
            <w:tcBorders>
              <w:right w:val="nil"/>
            </w:tcBorders>
            <w:shd w:val="clear" w:color="auto" w:fill="auto"/>
          </w:tcPr>
          <w:p w14:paraId="1A28745F" w14:textId="77777777" w:rsidR="00CC1FAA" w:rsidRPr="002D6395" w:rsidRDefault="00CC1FAA" w:rsidP="004D3912">
            <w:pPr>
              <w:pStyle w:val="TableText"/>
              <w:keepNext/>
              <w:rPr>
                <w:b/>
                <w:bCs/>
              </w:rPr>
            </w:pPr>
            <w:r w:rsidRPr="002D6395">
              <w:rPr>
                <w:b/>
                <w:bCs/>
              </w:rPr>
              <w:t>Paediatric</w:t>
            </w:r>
            <w:r>
              <w:rPr>
                <w:b/>
                <w:bCs/>
              </w:rPr>
              <w:t xml:space="preserve"> patients</w:t>
            </w:r>
          </w:p>
        </w:tc>
        <w:tc>
          <w:tcPr>
            <w:tcW w:w="1353" w:type="pct"/>
            <w:gridSpan w:val="2"/>
            <w:tcBorders>
              <w:left w:val="nil"/>
              <w:right w:val="nil"/>
            </w:tcBorders>
            <w:shd w:val="clear" w:color="auto" w:fill="auto"/>
          </w:tcPr>
          <w:p w14:paraId="1D052AC5" w14:textId="77777777" w:rsidR="00CC1FAA" w:rsidRPr="00CE28E3" w:rsidRDefault="00CC1FAA" w:rsidP="004D3912">
            <w:pPr>
              <w:pStyle w:val="TableText"/>
              <w:keepNext/>
              <w:jc w:val="center"/>
            </w:pPr>
          </w:p>
        </w:tc>
        <w:tc>
          <w:tcPr>
            <w:tcW w:w="1322" w:type="pct"/>
            <w:tcBorders>
              <w:left w:val="nil"/>
              <w:right w:val="nil"/>
            </w:tcBorders>
            <w:shd w:val="clear" w:color="auto" w:fill="auto"/>
          </w:tcPr>
          <w:p w14:paraId="6A467B44" w14:textId="77777777" w:rsidR="00CC1FAA" w:rsidRPr="00CE28E3" w:rsidRDefault="00CC1FAA" w:rsidP="004D3912">
            <w:pPr>
              <w:pStyle w:val="TableText"/>
              <w:keepNext/>
              <w:jc w:val="center"/>
            </w:pPr>
          </w:p>
        </w:tc>
        <w:tc>
          <w:tcPr>
            <w:tcW w:w="1382" w:type="pct"/>
            <w:tcBorders>
              <w:left w:val="nil"/>
            </w:tcBorders>
            <w:shd w:val="clear" w:color="auto" w:fill="auto"/>
          </w:tcPr>
          <w:p w14:paraId="2CF3C648" w14:textId="77777777" w:rsidR="00CC1FAA" w:rsidRPr="00CE28E3" w:rsidRDefault="00CC1FAA" w:rsidP="004D3912">
            <w:pPr>
              <w:pStyle w:val="TableText"/>
              <w:keepNext/>
              <w:jc w:val="center"/>
            </w:pPr>
          </w:p>
        </w:tc>
      </w:tr>
      <w:tr w:rsidR="00CC1FAA" w:rsidRPr="00CE28E3" w14:paraId="57EC84DC" w14:textId="77777777" w:rsidTr="008B1E50">
        <w:trPr>
          <w:cantSplit/>
        </w:trPr>
        <w:tc>
          <w:tcPr>
            <w:tcW w:w="943" w:type="pct"/>
            <w:shd w:val="clear" w:color="auto" w:fill="auto"/>
          </w:tcPr>
          <w:p w14:paraId="71A42B6C" w14:textId="77777777" w:rsidR="00CC1FAA" w:rsidRPr="00CE28E3" w:rsidRDefault="00CC1FAA" w:rsidP="004D3912">
            <w:pPr>
              <w:pStyle w:val="TableText"/>
              <w:keepNext/>
            </w:pPr>
            <w:r w:rsidRPr="00CE28E3">
              <w:t>Costs</w:t>
            </w:r>
          </w:p>
        </w:tc>
        <w:tc>
          <w:tcPr>
            <w:tcW w:w="1353" w:type="pct"/>
            <w:gridSpan w:val="2"/>
            <w:shd w:val="clear" w:color="auto" w:fill="auto"/>
            <w:vAlign w:val="center"/>
          </w:tcPr>
          <w:p w14:paraId="4222B5C9" w14:textId="77777777" w:rsidR="00CC1FAA" w:rsidRPr="00CE28E3" w:rsidRDefault="00CC1FAA" w:rsidP="004D3912">
            <w:pPr>
              <w:pStyle w:val="TableText"/>
              <w:keepNext/>
              <w:jc w:val="center"/>
            </w:pPr>
            <w:r>
              <w:rPr>
                <w:rFonts w:cs="Calibri"/>
                <w:color w:val="000000"/>
              </w:rPr>
              <w:t>$394,548</w:t>
            </w:r>
          </w:p>
        </w:tc>
        <w:tc>
          <w:tcPr>
            <w:tcW w:w="1322" w:type="pct"/>
            <w:shd w:val="clear" w:color="auto" w:fill="auto"/>
            <w:vAlign w:val="center"/>
          </w:tcPr>
          <w:p w14:paraId="48A4BB0F" w14:textId="77777777" w:rsidR="00CC1FAA" w:rsidRPr="00CE28E3" w:rsidRDefault="00CC1FAA" w:rsidP="004D3912">
            <w:pPr>
              <w:pStyle w:val="TableText"/>
              <w:keepNext/>
              <w:jc w:val="center"/>
            </w:pPr>
            <w:r>
              <w:rPr>
                <w:rFonts w:cs="Calibri"/>
                <w:color w:val="000000"/>
              </w:rPr>
              <w:t>$362,139</w:t>
            </w:r>
          </w:p>
        </w:tc>
        <w:tc>
          <w:tcPr>
            <w:tcW w:w="1382" w:type="pct"/>
            <w:shd w:val="clear" w:color="auto" w:fill="auto"/>
            <w:vAlign w:val="center"/>
          </w:tcPr>
          <w:p w14:paraId="72A8FC86" w14:textId="77777777" w:rsidR="00CC1FAA" w:rsidRPr="00CE28E3" w:rsidRDefault="00CC1FAA" w:rsidP="004D3912">
            <w:pPr>
              <w:pStyle w:val="TableText"/>
              <w:keepNext/>
              <w:jc w:val="center"/>
            </w:pPr>
            <w:r>
              <w:rPr>
                <w:rFonts w:cs="Calibri"/>
                <w:color w:val="000000"/>
              </w:rPr>
              <w:t>$32,408</w:t>
            </w:r>
          </w:p>
        </w:tc>
      </w:tr>
      <w:tr w:rsidR="00CC1FAA" w:rsidRPr="00CE28E3" w14:paraId="0669F698" w14:textId="77777777" w:rsidTr="008B1E50">
        <w:trPr>
          <w:cantSplit/>
        </w:trPr>
        <w:tc>
          <w:tcPr>
            <w:tcW w:w="943" w:type="pct"/>
            <w:shd w:val="clear" w:color="auto" w:fill="auto"/>
          </w:tcPr>
          <w:p w14:paraId="27B1C038" w14:textId="77777777" w:rsidR="00CC1FAA" w:rsidRPr="00CE28E3" w:rsidRDefault="00CC1FAA" w:rsidP="004D3912">
            <w:pPr>
              <w:pStyle w:val="TableText"/>
              <w:keepNext/>
            </w:pPr>
            <w:r w:rsidRPr="00CE28E3">
              <w:t>Life years</w:t>
            </w:r>
          </w:p>
        </w:tc>
        <w:tc>
          <w:tcPr>
            <w:tcW w:w="1353" w:type="pct"/>
            <w:gridSpan w:val="2"/>
            <w:shd w:val="clear" w:color="auto" w:fill="auto"/>
            <w:vAlign w:val="center"/>
          </w:tcPr>
          <w:p w14:paraId="6927E514" w14:textId="77777777" w:rsidR="00CC1FAA" w:rsidRPr="00CE28E3" w:rsidRDefault="00CC1FAA" w:rsidP="004D3912">
            <w:pPr>
              <w:pStyle w:val="TableText"/>
              <w:keepNext/>
              <w:jc w:val="center"/>
            </w:pPr>
            <w:r>
              <w:rPr>
                <w:rFonts w:cs="Calibri"/>
                <w:color w:val="000000"/>
              </w:rPr>
              <w:t>8.33</w:t>
            </w:r>
          </w:p>
        </w:tc>
        <w:tc>
          <w:tcPr>
            <w:tcW w:w="1322" w:type="pct"/>
            <w:shd w:val="clear" w:color="auto" w:fill="auto"/>
            <w:vAlign w:val="center"/>
          </w:tcPr>
          <w:p w14:paraId="3A8C2E12" w14:textId="77777777" w:rsidR="00CC1FAA" w:rsidRPr="00CE28E3" w:rsidRDefault="00CC1FAA" w:rsidP="004D3912">
            <w:pPr>
              <w:pStyle w:val="TableText"/>
              <w:keepNext/>
              <w:jc w:val="center"/>
            </w:pPr>
            <w:r>
              <w:rPr>
                <w:rFonts w:cs="Calibri"/>
                <w:color w:val="000000"/>
              </w:rPr>
              <w:t>5.30</w:t>
            </w:r>
          </w:p>
        </w:tc>
        <w:tc>
          <w:tcPr>
            <w:tcW w:w="1382" w:type="pct"/>
            <w:shd w:val="clear" w:color="auto" w:fill="auto"/>
            <w:vAlign w:val="center"/>
          </w:tcPr>
          <w:p w14:paraId="2ED04168" w14:textId="77777777" w:rsidR="00CC1FAA" w:rsidRPr="00CE28E3" w:rsidRDefault="00CC1FAA" w:rsidP="004D3912">
            <w:pPr>
              <w:pStyle w:val="TableText"/>
              <w:keepNext/>
              <w:jc w:val="center"/>
            </w:pPr>
            <w:r>
              <w:rPr>
                <w:rFonts w:cs="Calibri"/>
                <w:color w:val="000000"/>
              </w:rPr>
              <w:t>3.03</w:t>
            </w:r>
          </w:p>
        </w:tc>
      </w:tr>
      <w:tr w:rsidR="00CC1FAA" w:rsidRPr="00CE28E3" w14:paraId="7C6F91B5" w14:textId="77777777" w:rsidTr="008B1E50">
        <w:trPr>
          <w:cantSplit/>
        </w:trPr>
        <w:tc>
          <w:tcPr>
            <w:tcW w:w="943" w:type="pct"/>
            <w:shd w:val="clear" w:color="auto" w:fill="auto"/>
          </w:tcPr>
          <w:p w14:paraId="2A25E775" w14:textId="584829D7" w:rsidR="00CC1FAA" w:rsidRPr="00CE28E3" w:rsidRDefault="00CC1FAA" w:rsidP="004D3912">
            <w:pPr>
              <w:pStyle w:val="TableText"/>
              <w:keepNext/>
            </w:pPr>
            <w:r w:rsidRPr="00CE28E3">
              <w:t>QALY</w:t>
            </w:r>
            <w:r w:rsidR="003A06D9">
              <w:t>s</w:t>
            </w:r>
          </w:p>
        </w:tc>
        <w:tc>
          <w:tcPr>
            <w:tcW w:w="1353" w:type="pct"/>
            <w:gridSpan w:val="2"/>
            <w:shd w:val="clear" w:color="auto" w:fill="auto"/>
            <w:vAlign w:val="center"/>
          </w:tcPr>
          <w:p w14:paraId="0B2D3CDD" w14:textId="77777777" w:rsidR="00CC1FAA" w:rsidRPr="00CE28E3" w:rsidRDefault="00CC1FAA" w:rsidP="004D3912">
            <w:pPr>
              <w:pStyle w:val="TableText"/>
              <w:keepNext/>
              <w:jc w:val="center"/>
            </w:pPr>
            <w:r>
              <w:rPr>
                <w:rFonts w:cs="Calibri"/>
                <w:color w:val="000000"/>
              </w:rPr>
              <w:t>6.13</w:t>
            </w:r>
          </w:p>
        </w:tc>
        <w:tc>
          <w:tcPr>
            <w:tcW w:w="1322" w:type="pct"/>
            <w:shd w:val="clear" w:color="auto" w:fill="auto"/>
            <w:vAlign w:val="center"/>
          </w:tcPr>
          <w:p w14:paraId="61849717" w14:textId="77777777" w:rsidR="00CC1FAA" w:rsidRPr="00CE28E3" w:rsidRDefault="00CC1FAA" w:rsidP="004D3912">
            <w:pPr>
              <w:pStyle w:val="TableText"/>
              <w:keepNext/>
              <w:jc w:val="center"/>
            </w:pPr>
            <w:r>
              <w:rPr>
                <w:rFonts w:cs="Calibri"/>
                <w:color w:val="000000"/>
              </w:rPr>
              <w:t>3.65</w:t>
            </w:r>
          </w:p>
        </w:tc>
        <w:tc>
          <w:tcPr>
            <w:tcW w:w="1382" w:type="pct"/>
            <w:shd w:val="clear" w:color="auto" w:fill="auto"/>
            <w:vAlign w:val="center"/>
          </w:tcPr>
          <w:p w14:paraId="36A53F06" w14:textId="77777777" w:rsidR="00CC1FAA" w:rsidRPr="00CE28E3" w:rsidRDefault="00CC1FAA" w:rsidP="004D3912">
            <w:pPr>
              <w:pStyle w:val="TableText"/>
              <w:keepNext/>
              <w:jc w:val="center"/>
            </w:pPr>
            <w:r>
              <w:rPr>
                <w:rFonts w:cs="Calibri"/>
                <w:color w:val="000000"/>
              </w:rPr>
              <w:t>2.48</w:t>
            </w:r>
          </w:p>
        </w:tc>
      </w:tr>
      <w:tr w:rsidR="00CC1FAA" w:rsidRPr="00CE28E3" w14:paraId="1AFCD3BB" w14:textId="77777777" w:rsidTr="008B1E50">
        <w:trPr>
          <w:cantSplit/>
        </w:trPr>
        <w:tc>
          <w:tcPr>
            <w:tcW w:w="3618" w:type="pct"/>
            <w:gridSpan w:val="4"/>
            <w:tcBorders>
              <w:right w:val="single" w:sz="4" w:space="0" w:color="000000"/>
            </w:tcBorders>
            <w:shd w:val="clear" w:color="auto" w:fill="auto"/>
          </w:tcPr>
          <w:p w14:paraId="5F35C65C" w14:textId="77777777" w:rsidR="00CC1FAA" w:rsidRPr="00CE28E3" w:rsidRDefault="00CC1FAA" w:rsidP="004D3912">
            <w:pPr>
              <w:pStyle w:val="In-tableHeading"/>
              <w:spacing w:after="40"/>
            </w:pPr>
            <w:r w:rsidRPr="00CE28E3">
              <w:t>Incremental cost per life year gained</w:t>
            </w:r>
          </w:p>
        </w:tc>
        <w:tc>
          <w:tcPr>
            <w:tcW w:w="1382" w:type="pct"/>
            <w:tcBorders>
              <w:left w:val="single" w:sz="4" w:space="0" w:color="000000"/>
            </w:tcBorders>
            <w:shd w:val="clear" w:color="auto" w:fill="auto"/>
            <w:vAlign w:val="center"/>
          </w:tcPr>
          <w:p w14:paraId="2D07B022" w14:textId="77777777" w:rsidR="00CC1FAA" w:rsidRPr="00CE28E3" w:rsidRDefault="00CC1FAA" w:rsidP="004D3912">
            <w:pPr>
              <w:keepNext/>
              <w:keepLines/>
              <w:spacing w:before="40"/>
              <w:jc w:val="center"/>
              <w:rPr>
                <w:rFonts w:ascii="Arial Narrow" w:eastAsia="Calibri" w:hAnsi="Arial Narrow"/>
                <w:b/>
              </w:rPr>
            </w:pPr>
            <w:r>
              <w:rPr>
                <w:rFonts w:ascii="Arial Narrow" w:eastAsia="Calibri" w:hAnsi="Arial Narrow" w:cs="Calibri"/>
                <w:b/>
                <w:bCs/>
                <w:color w:val="000000"/>
              </w:rPr>
              <w:t>$10,713</w:t>
            </w:r>
          </w:p>
        </w:tc>
      </w:tr>
      <w:tr w:rsidR="00CC1FAA" w:rsidRPr="00CE28E3" w14:paraId="2BAE776D" w14:textId="77777777" w:rsidTr="008B1E50">
        <w:trPr>
          <w:cantSplit/>
        </w:trPr>
        <w:tc>
          <w:tcPr>
            <w:tcW w:w="3618" w:type="pct"/>
            <w:gridSpan w:val="4"/>
            <w:tcBorders>
              <w:bottom w:val="single" w:sz="4" w:space="0" w:color="auto"/>
              <w:right w:val="single" w:sz="4" w:space="0" w:color="000000"/>
            </w:tcBorders>
            <w:shd w:val="clear" w:color="auto" w:fill="auto"/>
          </w:tcPr>
          <w:p w14:paraId="70537C6E" w14:textId="77777777" w:rsidR="00CC1FAA" w:rsidRPr="00CE28E3" w:rsidRDefault="00CC1FAA" w:rsidP="004D3912">
            <w:pPr>
              <w:pStyle w:val="In-tableHeading"/>
              <w:spacing w:after="40"/>
            </w:pPr>
            <w:r w:rsidRPr="00CE28E3">
              <w:t>Incremental cost per QALY gained</w:t>
            </w:r>
          </w:p>
        </w:tc>
        <w:tc>
          <w:tcPr>
            <w:tcW w:w="1382" w:type="pct"/>
            <w:tcBorders>
              <w:left w:val="single" w:sz="4" w:space="0" w:color="000000"/>
              <w:bottom w:val="single" w:sz="4" w:space="0" w:color="auto"/>
            </w:tcBorders>
            <w:shd w:val="clear" w:color="auto" w:fill="auto"/>
            <w:vAlign w:val="center"/>
          </w:tcPr>
          <w:p w14:paraId="4DD97D73" w14:textId="77777777" w:rsidR="00CC1FAA" w:rsidRPr="00CE28E3" w:rsidRDefault="00CC1FAA" w:rsidP="004D3912">
            <w:pPr>
              <w:keepNext/>
              <w:keepLines/>
              <w:spacing w:before="40"/>
              <w:jc w:val="center"/>
              <w:rPr>
                <w:rFonts w:ascii="Arial Narrow" w:eastAsia="Calibri" w:hAnsi="Arial Narrow"/>
                <w:b/>
              </w:rPr>
            </w:pPr>
            <w:r>
              <w:rPr>
                <w:rFonts w:ascii="Arial Narrow" w:eastAsia="Calibri" w:hAnsi="Arial Narrow" w:cs="Calibri"/>
                <w:b/>
                <w:bCs/>
                <w:color w:val="000000"/>
              </w:rPr>
              <w:t>$13,070</w:t>
            </w:r>
          </w:p>
        </w:tc>
      </w:tr>
      <w:tr w:rsidR="00CC1FAA" w:rsidRPr="00CE28E3" w14:paraId="79EE1E42" w14:textId="77777777" w:rsidTr="008B1E50">
        <w:trPr>
          <w:cantSplit/>
        </w:trPr>
        <w:tc>
          <w:tcPr>
            <w:tcW w:w="943" w:type="pct"/>
            <w:tcBorders>
              <w:right w:val="nil"/>
            </w:tcBorders>
            <w:shd w:val="clear" w:color="auto" w:fill="auto"/>
          </w:tcPr>
          <w:p w14:paraId="5F28517C" w14:textId="77777777" w:rsidR="00CC1FAA" w:rsidRPr="00CE28E3" w:rsidRDefault="00CC1FAA" w:rsidP="004D3912">
            <w:pPr>
              <w:pStyle w:val="In-tableHeading"/>
              <w:spacing w:after="40"/>
            </w:pPr>
            <w:r>
              <w:t>Adult patients</w:t>
            </w:r>
          </w:p>
        </w:tc>
        <w:tc>
          <w:tcPr>
            <w:tcW w:w="1334" w:type="pct"/>
            <w:tcBorders>
              <w:left w:val="nil"/>
              <w:right w:val="nil"/>
            </w:tcBorders>
            <w:shd w:val="clear" w:color="auto" w:fill="auto"/>
          </w:tcPr>
          <w:p w14:paraId="28CAE76D" w14:textId="77777777" w:rsidR="00CC1FAA" w:rsidRPr="00CE28E3" w:rsidRDefault="00CC1FAA" w:rsidP="004D3912">
            <w:pPr>
              <w:pStyle w:val="In-tableHeading"/>
              <w:spacing w:after="40"/>
            </w:pPr>
          </w:p>
        </w:tc>
        <w:tc>
          <w:tcPr>
            <w:tcW w:w="1341" w:type="pct"/>
            <w:gridSpan w:val="2"/>
            <w:tcBorders>
              <w:left w:val="nil"/>
              <w:right w:val="nil"/>
            </w:tcBorders>
            <w:shd w:val="clear" w:color="auto" w:fill="auto"/>
          </w:tcPr>
          <w:p w14:paraId="0B1D1139" w14:textId="77777777" w:rsidR="00CC1FAA" w:rsidRPr="00CE28E3" w:rsidRDefault="00CC1FAA" w:rsidP="004D3912">
            <w:pPr>
              <w:pStyle w:val="In-tableHeading"/>
              <w:spacing w:after="40"/>
            </w:pPr>
          </w:p>
        </w:tc>
        <w:tc>
          <w:tcPr>
            <w:tcW w:w="1382" w:type="pct"/>
            <w:tcBorders>
              <w:left w:val="nil"/>
            </w:tcBorders>
            <w:shd w:val="clear" w:color="auto" w:fill="auto"/>
          </w:tcPr>
          <w:p w14:paraId="752A7C43" w14:textId="77777777" w:rsidR="00CC1FAA" w:rsidRPr="00CE28E3" w:rsidRDefault="00CC1FAA" w:rsidP="004D3912">
            <w:pPr>
              <w:keepNext/>
              <w:keepLines/>
              <w:spacing w:before="40"/>
              <w:jc w:val="center"/>
              <w:rPr>
                <w:rFonts w:ascii="Arial Narrow" w:eastAsia="Calibri" w:hAnsi="Arial Narrow"/>
                <w:b/>
              </w:rPr>
            </w:pPr>
          </w:p>
        </w:tc>
      </w:tr>
      <w:tr w:rsidR="00CC1FAA" w:rsidRPr="00CE28E3" w14:paraId="6681D1FE" w14:textId="77777777" w:rsidTr="008B1E50">
        <w:trPr>
          <w:cantSplit/>
        </w:trPr>
        <w:tc>
          <w:tcPr>
            <w:tcW w:w="943" w:type="pct"/>
            <w:tcBorders>
              <w:right w:val="single" w:sz="4" w:space="0" w:color="000000"/>
            </w:tcBorders>
            <w:shd w:val="clear" w:color="auto" w:fill="auto"/>
          </w:tcPr>
          <w:p w14:paraId="3F0BB6FF" w14:textId="77777777" w:rsidR="00CC1FAA" w:rsidRPr="00CE28E3" w:rsidRDefault="00CC1FAA" w:rsidP="004D3912">
            <w:pPr>
              <w:pStyle w:val="In-tableHeading"/>
              <w:spacing w:after="40"/>
            </w:pPr>
            <w:r w:rsidRPr="00CE28E3">
              <w:t>Costs</w:t>
            </w:r>
          </w:p>
        </w:tc>
        <w:tc>
          <w:tcPr>
            <w:tcW w:w="1334" w:type="pct"/>
            <w:tcBorders>
              <w:right w:val="single" w:sz="4" w:space="0" w:color="000000"/>
            </w:tcBorders>
            <w:shd w:val="clear" w:color="auto" w:fill="auto"/>
            <w:vAlign w:val="center"/>
          </w:tcPr>
          <w:p w14:paraId="3F783991" w14:textId="77777777" w:rsidR="00CC1FAA" w:rsidRPr="00DB1E3C" w:rsidRDefault="00CC1FAA" w:rsidP="004D3912">
            <w:pPr>
              <w:pStyle w:val="TableText"/>
              <w:keepNext/>
              <w:jc w:val="center"/>
              <w:rPr>
                <w:rFonts w:cs="Calibri"/>
                <w:color w:val="000000"/>
              </w:rPr>
            </w:pPr>
            <w:r>
              <w:rPr>
                <w:rFonts w:cs="Calibri"/>
                <w:color w:val="000000"/>
              </w:rPr>
              <w:t>$405,054</w:t>
            </w:r>
          </w:p>
        </w:tc>
        <w:tc>
          <w:tcPr>
            <w:tcW w:w="1341" w:type="pct"/>
            <w:gridSpan w:val="2"/>
            <w:tcBorders>
              <w:right w:val="single" w:sz="4" w:space="0" w:color="000000"/>
            </w:tcBorders>
            <w:shd w:val="clear" w:color="auto" w:fill="auto"/>
            <w:vAlign w:val="center"/>
          </w:tcPr>
          <w:p w14:paraId="02453CDB" w14:textId="77777777" w:rsidR="00CC1FAA" w:rsidRPr="00DB1E3C" w:rsidRDefault="00CC1FAA" w:rsidP="004D3912">
            <w:pPr>
              <w:pStyle w:val="TableText"/>
              <w:keepNext/>
              <w:jc w:val="center"/>
              <w:rPr>
                <w:rFonts w:cs="Calibri"/>
                <w:color w:val="000000"/>
              </w:rPr>
            </w:pPr>
            <w:r>
              <w:rPr>
                <w:rFonts w:cs="Calibri"/>
                <w:color w:val="000000"/>
              </w:rPr>
              <w:t>$387,572</w:t>
            </w:r>
          </w:p>
        </w:tc>
        <w:tc>
          <w:tcPr>
            <w:tcW w:w="1382" w:type="pct"/>
            <w:tcBorders>
              <w:left w:val="single" w:sz="4" w:space="0" w:color="000000"/>
            </w:tcBorders>
            <w:shd w:val="clear" w:color="auto" w:fill="auto"/>
            <w:vAlign w:val="center"/>
          </w:tcPr>
          <w:p w14:paraId="353C547B" w14:textId="77777777" w:rsidR="00CC1FAA" w:rsidRPr="00DB1E3C" w:rsidRDefault="00CC1FAA" w:rsidP="004D3912">
            <w:pPr>
              <w:pStyle w:val="TableText"/>
              <w:keepNext/>
              <w:jc w:val="center"/>
              <w:rPr>
                <w:rFonts w:cs="Calibri"/>
                <w:color w:val="000000"/>
              </w:rPr>
            </w:pPr>
            <w:r>
              <w:rPr>
                <w:rFonts w:cs="Calibri"/>
                <w:color w:val="000000"/>
              </w:rPr>
              <w:t>$17,482</w:t>
            </w:r>
          </w:p>
        </w:tc>
      </w:tr>
      <w:tr w:rsidR="00CC1FAA" w:rsidRPr="00CE28E3" w14:paraId="36D80F83" w14:textId="77777777" w:rsidTr="008B1E50">
        <w:trPr>
          <w:cantSplit/>
        </w:trPr>
        <w:tc>
          <w:tcPr>
            <w:tcW w:w="943" w:type="pct"/>
            <w:tcBorders>
              <w:right w:val="single" w:sz="4" w:space="0" w:color="000000"/>
            </w:tcBorders>
            <w:shd w:val="clear" w:color="auto" w:fill="auto"/>
          </w:tcPr>
          <w:p w14:paraId="1D61EFEB" w14:textId="77777777" w:rsidR="00CC1FAA" w:rsidRPr="00CE28E3" w:rsidRDefault="00CC1FAA" w:rsidP="004D3912">
            <w:pPr>
              <w:pStyle w:val="In-tableHeading"/>
              <w:spacing w:after="40"/>
            </w:pPr>
            <w:r w:rsidRPr="00CE28E3">
              <w:t>Life years</w:t>
            </w:r>
          </w:p>
        </w:tc>
        <w:tc>
          <w:tcPr>
            <w:tcW w:w="1334" w:type="pct"/>
            <w:tcBorders>
              <w:right w:val="single" w:sz="4" w:space="0" w:color="000000"/>
            </w:tcBorders>
            <w:shd w:val="clear" w:color="auto" w:fill="auto"/>
            <w:vAlign w:val="center"/>
          </w:tcPr>
          <w:p w14:paraId="513DBA66" w14:textId="77777777" w:rsidR="00CC1FAA" w:rsidRPr="00DB1E3C" w:rsidRDefault="00CC1FAA" w:rsidP="004D3912">
            <w:pPr>
              <w:pStyle w:val="TableText"/>
              <w:keepNext/>
              <w:jc w:val="center"/>
              <w:rPr>
                <w:rFonts w:cs="Calibri"/>
                <w:color w:val="000000"/>
              </w:rPr>
            </w:pPr>
            <w:r>
              <w:rPr>
                <w:rFonts w:cs="Calibri"/>
                <w:color w:val="000000"/>
              </w:rPr>
              <w:t>9.42</w:t>
            </w:r>
          </w:p>
        </w:tc>
        <w:tc>
          <w:tcPr>
            <w:tcW w:w="1341" w:type="pct"/>
            <w:gridSpan w:val="2"/>
            <w:tcBorders>
              <w:right w:val="single" w:sz="4" w:space="0" w:color="000000"/>
            </w:tcBorders>
            <w:shd w:val="clear" w:color="auto" w:fill="auto"/>
            <w:vAlign w:val="center"/>
          </w:tcPr>
          <w:p w14:paraId="4824C574" w14:textId="77777777" w:rsidR="00CC1FAA" w:rsidRPr="00DB1E3C" w:rsidRDefault="00CC1FAA" w:rsidP="004D3912">
            <w:pPr>
              <w:pStyle w:val="TableText"/>
              <w:keepNext/>
              <w:jc w:val="center"/>
              <w:rPr>
                <w:rFonts w:cs="Calibri"/>
                <w:color w:val="000000"/>
              </w:rPr>
            </w:pPr>
            <w:r>
              <w:rPr>
                <w:rFonts w:cs="Calibri"/>
                <w:color w:val="000000"/>
              </w:rPr>
              <w:t>5.95</w:t>
            </w:r>
          </w:p>
        </w:tc>
        <w:tc>
          <w:tcPr>
            <w:tcW w:w="1382" w:type="pct"/>
            <w:tcBorders>
              <w:left w:val="single" w:sz="4" w:space="0" w:color="000000"/>
            </w:tcBorders>
            <w:shd w:val="clear" w:color="auto" w:fill="auto"/>
            <w:vAlign w:val="center"/>
          </w:tcPr>
          <w:p w14:paraId="45B7CA48" w14:textId="77777777" w:rsidR="00CC1FAA" w:rsidRPr="00DB1E3C" w:rsidRDefault="00CC1FAA" w:rsidP="004D3912">
            <w:pPr>
              <w:pStyle w:val="TableText"/>
              <w:keepNext/>
              <w:jc w:val="center"/>
              <w:rPr>
                <w:rFonts w:cs="Calibri"/>
                <w:color w:val="000000"/>
              </w:rPr>
            </w:pPr>
            <w:r>
              <w:rPr>
                <w:rFonts w:cs="Calibri"/>
                <w:color w:val="000000"/>
              </w:rPr>
              <w:t>3.47</w:t>
            </w:r>
          </w:p>
        </w:tc>
      </w:tr>
      <w:tr w:rsidR="00CC1FAA" w:rsidRPr="00CE28E3" w14:paraId="04CDF733" w14:textId="77777777" w:rsidTr="008B1E50">
        <w:trPr>
          <w:cantSplit/>
        </w:trPr>
        <w:tc>
          <w:tcPr>
            <w:tcW w:w="943" w:type="pct"/>
            <w:tcBorders>
              <w:right w:val="single" w:sz="4" w:space="0" w:color="000000"/>
            </w:tcBorders>
            <w:shd w:val="clear" w:color="auto" w:fill="auto"/>
          </w:tcPr>
          <w:p w14:paraId="19D7E8E3" w14:textId="6379F3A5" w:rsidR="00CC1FAA" w:rsidRPr="00CE28E3" w:rsidRDefault="00CC1FAA" w:rsidP="004D3912">
            <w:pPr>
              <w:pStyle w:val="In-tableHeading"/>
              <w:spacing w:after="40"/>
            </w:pPr>
            <w:r w:rsidRPr="00CE28E3">
              <w:t>QALY</w:t>
            </w:r>
            <w:r w:rsidR="003A06D9">
              <w:t>s</w:t>
            </w:r>
          </w:p>
        </w:tc>
        <w:tc>
          <w:tcPr>
            <w:tcW w:w="1334" w:type="pct"/>
            <w:tcBorders>
              <w:right w:val="single" w:sz="4" w:space="0" w:color="000000"/>
            </w:tcBorders>
            <w:shd w:val="clear" w:color="auto" w:fill="auto"/>
            <w:vAlign w:val="center"/>
          </w:tcPr>
          <w:p w14:paraId="0B0E0D35" w14:textId="77777777" w:rsidR="00CC1FAA" w:rsidRPr="00DB1E3C" w:rsidRDefault="00CC1FAA" w:rsidP="004D3912">
            <w:pPr>
              <w:pStyle w:val="TableText"/>
              <w:keepNext/>
              <w:jc w:val="center"/>
              <w:rPr>
                <w:rFonts w:cs="Calibri"/>
                <w:color w:val="000000"/>
              </w:rPr>
            </w:pPr>
            <w:r>
              <w:rPr>
                <w:rFonts w:cs="Calibri"/>
                <w:color w:val="000000"/>
              </w:rPr>
              <w:t>7.15</w:t>
            </w:r>
          </w:p>
        </w:tc>
        <w:tc>
          <w:tcPr>
            <w:tcW w:w="1341" w:type="pct"/>
            <w:gridSpan w:val="2"/>
            <w:tcBorders>
              <w:right w:val="single" w:sz="4" w:space="0" w:color="000000"/>
            </w:tcBorders>
            <w:shd w:val="clear" w:color="auto" w:fill="auto"/>
            <w:vAlign w:val="center"/>
          </w:tcPr>
          <w:p w14:paraId="351D5B55" w14:textId="77777777" w:rsidR="00CC1FAA" w:rsidRPr="00DB1E3C" w:rsidRDefault="00CC1FAA" w:rsidP="004D3912">
            <w:pPr>
              <w:pStyle w:val="TableText"/>
              <w:keepNext/>
              <w:jc w:val="center"/>
              <w:rPr>
                <w:rFonts w:cs="Calibri"/>
                <w:color w:val="000000"/>
              </w:rPr>
            </w:pPr>
            <w:r>
              <w:rPr>
                <w:rFonts w:cs="Calibri"/>
                <w:color w:val="000000"/>
              </w:rPr>
              <w:t>3.08</w:t>
            </w:r>
          </w:p>
        </w:tc>
        <w:tc>
          <w:tcPr>
            <w:tcW w:w="1382" w:type="pct"/>
            <w:tcBorders>
              <w:left w:val="single" w:sz="4" w:space="0" w:color="000000"/>
            </w:tcBorders>
            <w:shd w:val="clear" w:color="auto" w:fill="auto"/>
            <w:vAlign w:val="center"/>
          </w:tcPr>
          <w:p w14:paraId="4245A4BE" w14:textId="77777777" w:rsidR="00CC1FAA" w:rsidRPr="00DB1E3C" w:rsidRDefault="00CC1FAA" w:rsidP="004D3912">
            <w:pPr>
              <w:pStyle w:val="TableText"/>
              <w:keepNext/>
              <w:jc w:val="center"/>
              <w:rPr>
                <w:rFonts w:cs="Calibri"/>
                <w:color w:val="000000"/>
              </w:rPr>
            </w:pPr>
            <w:r>
              <w:rPr>
                <w:rFonts w:cs="Calibri"/>
                <w:color w:val="000000"/>
              </w:rPr>
              <w:t>4.06</w:t>
            </w:r>
          </w:p>
        </w:tc>
      </w:tr>
      <w:tr w:rsidR="00CC1FAA" w:rsidRPr="00CE28E3" w14:paraId="3DB2B232" w14:textId="77777777" w:rsidTr="008B1E50">
        <w:trPr>
          <w:cantSplit/>
        </w:trPr>
        <w:tc>
          <w:tcPr>
            <w:tcW w:w="3618" w:type="pct"/>
            <w:gridSpan w:val="4"/>
            <w:tcBorders>
              <w:right w:val="single" w:sz="4" w:space="0" w:color="000000"/>
            </w:tcBorders>
            <w:shd w:val="clear" w:color="auto" w:fill="auto"/>
          </w:tcPr>
          <w:p w14:paraId="6C9121C3" w14:textId="77777777" w:rsidR="00CC1FAA" w:rsidRPr="00CE28E3" w:rsidRDefault="00CC1FAA" w:rsidP="004D3912">
            <w:pPr>
              <w:pStyle w:val="In-tableHeading"/>
              <w:spacing w:after="40"/>
            </w:pPr>
            <w:r w:rsidRPr="00CE28E3">
              <w:t>Incremental cost per life year gained</w:t>
            </w:r>
          </w:p>
        </w:tc>
        <w:tc>
          <w:tcPr>
            <w:tcW w:w="1382" w:type="pct"/>
            <w:tcBorders>
              <w:left w:val="single" w:sz="4" w:space="0" w:color="000000"/>
            </w:tcBorders>
            <w:shd w:val="clear" w:color="auto" w:fill="auto"/>
            <w:vAlign w:val="center"/>
          </w:tcPr>
          <w:p w14:paraId="16C92590" w14:textId="77777777" w:rsidR="00CC1FAA" w:rsidRPr="00CE28E3" w:rsidRDefault="00CC1FAA" w:rsidP="004D3912">
            <w:pPr>
              <w:keepNext/>
              <w:keepLines/>
              <w:spacing w:before="40"/>
              <w:jc w:val="center"/>
              <w:rPr>
                <w:rFonts w:ascii="Arial Narrow" w:eastAsia="Calibri" w:hAnsi="Arial Narrow"/>
                <w:b/>
              </w:rPr>
            </w:pPr>
            <w:r>
              <w:rPr>
                <w:rFonts w:ascii="Arial Narrow" w:eastAsia="Calibri" w:hAnsi="Arial Narrow" w:cs="Calibri"/>
                <w:b/>
                <w:bCs/>
                <w:color w:val="000000"/>
              </w:rPr>
              <w:t>$5,040</w:t>
            </w:r>
          </w:p>
        </w:tc>
      </w:tr>
      <w:tr w:rsidR="00CC1FAA" w:rsidRPr="00CE28E3" w14:paraId="4F4B15B4" w14:textId="77777777" w:rsidTr="008B1E50">
        <w:trPr>
          <w:cantSplit/>
        </w:trPr>
        <w:tc>
          <w:tcPr>
            <w:tcW w:w="3618" w:type="pct"/>
            <w:gridSpan w:val="4"/>
            <w:tcBorders>
              <w:right w:val="single" w:sz="4" w:space="0" w:color="000000"/>
            </w:tcBorders>
            <w:shd w:val="clear" w:color="auto" w:fill="auto"/>
          </w:tcPr>
          <w:p w14:paraId="0B6AFA70" w14:textId="77777777" w:rsidR="00CC1FAA" w:rsidRPr="00CE28E3" w:rsidRDefault="00CC1FAA" w:rsidP="004D3912">
            <w:pPr>
              <w:pStyle w:val="In-tableHeading"/>
              <w:spacing w:after="40"/>
            </w:pPr>
            <w:r w:rsidRPr="00CE28E3">
              <w:t>Incremental cost per QALY gained</w:t>
            </w:r>
          </w:p>
        </w:tc>
        <w:tc>
          <w:tcPr>
            <w:tcW w:w="1382" w:type="pct"/>
            <w:tcBorders>
              <w:left w:val="single" w:sz="4" w:space="0" w:color="000000"/>
            </w:tcBorders>
            <w:shd w:val="clear" w:color="auto" w:fill="auto"/>
            <w:vAlign w:val="center"/>
          </w:tcPr>
          <w:p w14:paraId="22165F19" w14:textId="77777777" w:rsidR="00CC1FAA" w:rsidRPr="00CE28E3" w:rsidRDefault="00CC1FAA" w:rsidP="004D3912">
            <w:pPr>
              <w:keepNext/>
              <w:keepLines/>
              <w:spacing w:before="40"/>
              <w:jc w:val="center"/>
              <w:rPr>
                <w:rFonts w:ascii="Arial Narrow" w:eastAsia="Calibri" w:hAnsi="Arial Narrow"/>
                <w:b/>
              </w:rPr>
            </w:pPr>
            <w:r>
              <w:rPr>
                <w:rFonts w:ascii="Arial Narrow" w:eastAsia="Calibri" w:hAnsi="Arial Narrow" w:cs="Calibri"/>
                <w:b/>
                <w:bCs/>
                <w:color w:val="000000"/>
              </w:rPr>
              <w:t>$4,302</w:t>
            </w:r>
          </w:p>
        </w:tc>
      </w:tr>
    </w:tbl>
    <w:p w14:paraId="2441B81B" w14:textId="40712AE9" w:rsidR="00696C55" w:rsidRDefault="00D01DBC" w:rsidP="002D16A2">
      <w:pPr>
        <w:pStyle w:val="Tablenotes"/>
      </w:pPr>
      <w:r>
        <w:t xml:space="preserve">Abbreviations: </w:t>
      </w:r>
      <w:r w:rsidR="00CC1FAA">
        <w:t xml:space="preserve">MRD, measurable residual disease; </w:t>
      </w:r>
      <w:r w:rsidR="00CC1FAA" w:rsidRPr="00CE28E3">
        <w:t>QALY</w:t>
      </w:r>
      <w:r w:rsidR="00CC1FAA">
        <w:t xml:space="preserve">, </w:t>
      </w:r>
      <w:r w:rsidR="00CC1FAA" w:rsidRPr="00CE28E3">
        <w:t>quality-adjusted life year</w:t>
      </w:r>
      <w:r w:rsidR="00F44B49">
        <w:t>.</w:t>
      </w:r>
    </w:p>
    <w:bookmarkEnd w:id="53"/>
    <w:p w14:paraId="0C35FE49" w14:textId="77777777" w:rsidR="00D85FD6" w:rsidRPr="00CE28E3" w:rsidRDefault="00D85FD6" w:rsidP="00D85FD6">
      <w:pPr>
        <w:pStyle w:val="Heading4"/>
      </w:pPr>
      <w:r w:rsidRPr="00CE28E3">
        <w:t>Sensitivity analyses</w:t>
      </w:r>
    </w:p>
    <w:p w14:paraId="0E68EAAC" w14:textId="65F08410" w:rsidR="00D85FD6" w:rsidRDefault="00D85FD6" w:rsidP="00D85FD6">
      <w:r>
        <w:t xml:space="preserve">A </w:t>
      </w:r>
      <w:proofErr w:type="gramStart"/>
      <w:r>
        <w:t>One Way</w:t>
      </w:r>
      <w:proofErr w:type="gramEnd"/>
      <w:r>
        <w:t xml:space="preserve"> Sensitivity Analysis (OWSA) was conducted to assess the main drivers of the model. </w:t>
      </w:r>
      <w:r w:rsidR="005027AB">
        <w:t>P</w:t>
      </w:r>
      <w:r>
        <w:t>airwise comparison</w:t>
      </w:r>
      <w:r w:rsidR="005027AB">
        <w:t>s of each MRD testing method</w:t>
      </w:r>
      <w:r>
        <w:t xml:space="preserve"> against morphology only were individually assessed for both the paediatric and adult population. The comparison of NGS compared with morphology only had the largest impact when varying each parameter by ±20% as the base case ICUR.</w:t>
      </w:r>
    </w:p>
    <w:p w14:paraId="69FF8C24" w14:textId="5237A37A" w:rsidR="00D85FD6" w:rsidRDefault="00D85FD6" w:rsidP="00D85FD6">
      <w:r>
        <w:t xml:space="preserve">All parameters were reduced and increased by 20% to assess the impact on the model. For all comparisons, the hazard ratios used in the model had the greatest impact, and of these hazard ratios, the hazard ratios relating to </w:t>
      </w:r>
      <w:proofErr w:type="spellStart"/>
      <w:r>
        <w:t>mpFC</w:t>
      </w:r>
      <w:proofErr w:type="spellEnd"/>
      <w:r>
        <w:t>, the discordant rate, or standard risk v</w:t>
      </w:r>
      <w:r w:rsidR="005027AB">
        <w:t>ersus</w:t>
      </w:r>
      <w:r>
        <w:t xml:space="preserve"> high risk had the greatest impact. In the paediatric population, the utility values for </w:t>
      </w:r>
      <w:r w:rsidR="005027AB">
        <w:t xml:space="preserve">the </w:t>
      </w:r>
      <w:r>
        <w:t xml:space="preserve">relapse free health state and the Australian general population also had an impact. </w:t>
      </w:r>
    </w:p>
    <w:p w14:paraId="0BB0421C" w14:textId="6640CDF4" w:rsidR="00D85FD6" w:rsidRDefault="00D85FD6" w:rsidP="00D85FD6">
      <w:r>
        <w:t xml:space="preserve">The reason </w:t>
      </w:r>
      <w:r w:rsidR="005027AB">
        <w:t>the</w:t>
      </w:r>
      <w:r>
        <w:t xml:space="preserve"> HR related to </w:t>
      </w:r>
      <w:proofErr w:type="spellStart"/>
      <w:r>
        <w:t>mpFC</w:t>
      </w:r>
      <w:proofErr w:type="spellEnd"/>
      <w:r>
        <w:t xml:space="preserve"> had the greatest impact was due to the structure of the model. </w:t>
      </w:r>
      <w:r w:rsidR="004F24C4">
        <w:t>T</w:t>
      </w:r>
      <w:r>
        <w:t xml:space="preserve">he base comparison for each indirect comparison is based on blinatumomab MRD+ v chemotherapy MRD+, however central within the network of comparisons is the </w:t>
      </w:r>
      <w:proofErr w:type="spellStart"/>
      <w:r>
        <w:t>mpFC</w:t>
      </w:r>
      <w:proofErr w:type="spellEnd"/>
      <w:r>
        <w:t xml:space="preserve"> comparison. This position within the network of comparisons therefore increase</w:t>
      </w:r>
      <w:r w:rsidR="00833CBE">
        <w:t>d</w:t>
      </w:r>
      <w:r>
        <w:t xml:space="preserve"> the impact of the importance and dominance of the data point within the overall comparison.</w:t>
      </w:r>
    </w:p>
    <w:p w14:paraId="57186424" w14:textId="4CCB57E9" w:rsidR="00D85FD6" w:rsidRDefault="00D85FD6" w:rsidP="00D85FD6">
      <w:r w:rsidRPr="00D85FD6">
        <w:t xml:space="preserve">However, while the </w:t>
      </w:r>
      <w:proofErr w:type="spellStart"/>
      <w:r w:rsidRPr="00D85FD6">
        <w:t>mpFC</w:t>
      </w:r>
      <w:proofErr w:type="spellEnd"/>
      <w:r w:rsidRPr="00D85FD6">
        <w:t xml:space="preserve"> MRD+/MRD- HR had the greatest impact, it was also the parameter with the greatest certainty, as it was sourced from a systematic review by</w:t>
      </w:r>
      <w:r w:rsidR="002375FD">
        <w:t xml:space="preserve"> </w:t>
      </w:r>
      <w:r w:rsidR="002967C0">
        <w:t>Berry et al</w:t>
      </w:r>
      <w:r w:rsidR="00696C55">
        <w:rPr>
          <w:rStyle w:val="FootnoteReference"/>
        </w:rPr>
        <w:footnoteReference w:id="15"/>
      </w:r>
      <w:r w:rsidRPr="00D85FD6">
        <w:t>.</w:t>
      </w:r>
      <w:r>
        <w:t xml:space="preserve"> </w:t>
      </w:r>
    </w:p>
    <w:p w14:paraId="472DF613" w14:textId="185283A0" w:rsidR="00763BBF" w:rsidRDefault="00763BBF" w:rsidP="00D85FD6">
      <w:r>
        <w:t>Additionally, an analysis was conducted to assess the impact of FISH when included with morphological assessment</w:t>
      </w:r>
      <w:r w:rsidR="009D46DD">
        <w:t xml:space="preserve">, </w:t>
      </w:r>
      <w:proofErr w:type="gramStart"/>
      <w:r w:rsidR="009D46DD">
        <w:t>i.e.</w:t>
      </w:r>
      <w:proofErr w:type="gramEnd"/>
      <w:r>
        <w:t xml:space="preserve"> the comparator</w:t>
      </w:r>
      <w:r w:rsidR="009D46DD">
        <w:t xml:space="preserve"> of morphological assessment plus cytogenetics</w:t>
      </w:r>
      <w:r>
        <w:t xml:space="preserve">. Assuming the </w:t>
      </w:r>
      <w:r w:rsidR="003A06D9">
        <w:t xml:space="preserve">increment </w:t>
      </w:r>
      <w:r>
        <w:t xml:space="preserve">of FISH testing </w:t>
      </w:r>
      <w:r w:rsidR="003A06D9">
        <w:t xml:space="preserve">over </w:t>
      </w:r>
      <w:r>
        <w:t xml:space="preserve">qPCR is the same as the </w:t>
      </w:r>
      <w:r w:rsidR="003A06D9">
        <w:t xml:space="preserve">increment </w:t>
      </w:r>
      <w:r>
        <w:t xml:space="preserve">of FISH testing </w:t>
      </w:r>
      <w:r w:rsidR="003A06D9">
        <w:t xml:space="preserve">over </w:t>
      </w:r>
      <w:r>
        <w:t xml:space="preserve">morphological assessment, </w:t>
      </w:r>
      <w:r w:rsidR="003A06D9">
        <w:t>then</w:t>
      </w:r>
      <w:r>
        <w:t xml:space="preserve"> when FISH is added to morphological assessment, the ICER for </w:t>
      </w:r>
      <w:proofErr w:type="spellStart"/>
      <w:r>
        <w:t>mpFC</w:t>
      </w:r>
      <w:proofErr w:type="spellEnd"/>
      <w:r>
        <w:t>, NGS and PCR increase</w:t>
      </w:r>
      <w:r w:rsidR="003A06D9">
        <w:t>d</w:t>
      </w:r>
      <w:r>
        <w:t xml:space="preserve"> by 54.2% in the adult population and 75.4% in the paediatric population, however this estimate needs to be used with caution due to limitations in the study design and base assumptions used with the study underpinning this analysis.</w:t>
      </w:r>
    </w:p>
    <w:p w14:paraId="42AF8ECE" w14:textId="2A395070" w:rsidR="00410AB2" w:rsidRDefault="00410AB2" w:rsidP="00410AB2">
      <w:pPr>
        <w:pStyle w:val="Heading2"/>
      </w:pPr>
      <w:bookmarkStart w:id="56" w:name="_Toc121906376"/>
      <w:r>
        <w:lastRenderedPageBreak/>
        <w:t>1</w:t>
      </w:r>
      <w:r w:rsidR="00CE68D9">
        <w:t>4</w:t>
      </w:r>
      <w:r>
        <w:t>.</w:t>
      </w:r>
      <w:r>
        <w:tab/>
      </w:r>
      <w:r w:rsidRPr="00CE28E3">
        <w:t>Financial/budgetary impacts</w:t>
      </w:r>
      <w:bookmarkEnd w:id="56"/>
    </w:p>
    <w:bookmarkEnd w:id="51"/>
    <w:p w14:paraId="200E9357" w14:textId="77777777" w:rsidR="00410AB2" w:rsidRPr="00CE28E3" w:rsidRDefault="00410AB2" w:rsidP="00410AB2">
      <w:pPr>
        <w:spacing w:line="257" w:lineRule="auto"/>
        <w:rPr>
          <w:rFonts w:eastAsiaTheme="minorEastAsia"/>
        </w:rPr>
      </w:pPr>
      <w:r w:rsidRPr="08B0B86B">
        <w:rPr>
          <w:rFonts w:eastAsiaTheme="minorEastAsia"/>
        </w:rPr>
        <w:t>The financial model use</w:t>
      </w:r>
      <w:r>
        <w:rPr>
          <w:rFonts w:eastAsiaTheme="minorEastAsia"/>
        </w:rPr>
        <w:t>d</w:t>
      </w:r>
      <w:r w:rsidRPr="08B0B86B">
        <w:rPr>
          <w:rFonts w:eastAsiaTheme="minorEastAsia"/>
        </w:rPr>
        <w:t xml:space="preserve"> an epidemiological approach to estimate the cost of listing MRD testing for </w:t>
      </w:r>
      <w:proofErr w:type="spellStart"/>
      <w:r w:rsidRPr="08B0B86B">
        <w:rPr>
          <w:rFonts w:eastAsiaTheme="minorEastAsia"/>
        </w:rPr>
        <w:t>mpFC</w:t>
      </w:r>
      <w:proofErr w:type="spellEnd"/>
      <w:r w:rsidRPr="08B0B86B">
        <w:rPr>
          <w:rFonts w:eastAsiaTheme="minorEastAsia"/>
        </w:rPr>
        <w:t xml:space="preserve"> and other molecular methods </w:t>
      </w:r>
      <w:r>
        <w:t xml:space="preserve">of MRD testing </w:t>
      </w:r>
      <w:r w:rsidRPr="10558CA3">
        <w:rPr>
          <w:rFonts w:eastAsia="Franklin Gothic Book" w:cs="Franklin Gothic Book"/>
        </w:rPr>
        <w:t xml:space="preserve">(including </w:t>
      </w:r>
      <w:r w:rsidRPr="08B0B86B">
        <w:rPr>
          <w:rFonts w:eastAsiaTheme="minorEastAsia"/>
        </w:rPr>
        <w:t xml:space="preserve">ASO-qPCR and NGS) on the MBS for the purposes of identifying MRD in patients with ALL. As the number of patients with ALL and rate of relapse </w:t>
      </w:r>
      <w:r>
        <w:rPr>
          <w:rFonts w:eastAsiaTheme="minorEastAsia"/>
        </w:rPr>
        <w:t>was</w:t>
      </w:r>
      <w:r w:rsidRPr="08B0B86B">
        <w:rPr>
          <w:rFonts w:eastAsiaTheme="minorEastAsia"/>
        </w:rPr>
        <w:t xml:space="preserve"> distributed unevenly across patients at different ages, the financial </w:t>
      </w:r>
      <w:r>
        <w:rPr>
          <w:rFonts w:eastAsiaTheme="minorEastAsia"/>
        </w:rPr>
        <w:t>analysis</w:t>
      </w:r>
      <w:r w:rsidRPr="08B0B86B">
        <w:rPr>
          <w:rFonts w:eastAsiaTheme="minorEastAsia"/>
        </w:rPr>
        <w:t xml:space="preserve"> </w:t>
      </w:r>
      <w:r w:rsidRPr="10558CA3">
        <w:rPr>
          <w:rFonts w:eastAsia="Franklin Gothic Book" w:cs="Franklin Gothic Book"/>
        </w:rPr>
        <w:t>consider</w:t>
      </w:r>
      <w:r>
        <w:rPr>
          <w:rFonts w:eastAsia="Franklin Gothic Book" w:cs="Franklin Gothic Book"/>
        </w:rPr>
        <w:t>ed</w:t>
      </w:r>
      <w:r w:rsidRPr="08B0B86B">
        <w:rPr>
          <w:rFonts w:eastAsiaTheme="minorEastAsia"/>
        </w:rPr>
        <w:t xml:space="preserve"> financial outcomes of MRD testing for </w:t>
      </w:r>
      <w:r>
        <w:rPr>
          <w:rFonts w:eastAsiaTheme="minorEastAsia"/>
        </w:rPr>
        <w:t>the paediatric and adult populations</w:t>
      </w:r>
      <w:r w:rsidRPr="08B0B86B">
        <w:rPr>
          <w:rFonts w:eastAsiaTheme="minorEastAsia"/>
        </w:rPr>
        <w:t xml:space="preserve">, where results are reported for each population separately and combined. The proposed populations </w:t>
      </w:r>
      <w:r>
        <w:rPr>
          <w:rFonts w:eastAsiaTheme="minorEastAsia"/>
        </w:rPr>
        <w:t>were</w:t>
      </w:r>
      <w:r w:rsidRPr="08B0B86B">
        <w:rPr>
          <w:rFonts w:eastAsiaTheme="minorEastAsia"/>
        </w:rPr>
        <w:t>:</w:t>
      </w:r>
    </w:p>
    <w:p w14:paraId="6A3732EA" w14:textId="77777777" w:rsidR="00410AB2" w:rsidRPr="00CE28E3" w:rsidRDefault="00410AB2" w:rsidP="009911BE">
      <w:pPr>
        <w:pStyle w:val="ListParagraph"/>
        <w:numPr>
          <w:ilvl w:val="0"/>
          <w:numId w:val="14"/>
        </w:numPr>
        <w:spacing w:line="257" w:lineRule="auto"/>
        <w:rPr>
          <w:rFonts w:eastAsiaTheme="minorEastAsia"/>
        </w:rPr>
      </w:pPr>
      <w:r w:rsidRPr="08B0B86B">
        <w:rPr>
          <w:rFonts w:eastAsiaTheme="minorEastAsia"/>
        </w:rPr>
        <w:t xml:space="preserve">Paediatric patients with de novo or relapsed B- </w:t>
      </w:r>
      <w:r>
        <w:rPr>
          <w:rFonts w:eastAsiaTheme="minorEastAsia"/>
        </w:rPr>
        <w:t>or</w:t>
      </w:r>
      <w:r w:rsidRPr="08B0B86B">
        <w:rPr>
          <w:rFonts w:eastAsiaTheme="minorEastAsia"/>
        </w:rPr>
        <w:t xml:space="preserve"> T-cell ALL, defined as those diagnosed between the ages of 0 to 14 years of age</w:t>
      </w:r>
      <w:r>
        <w:rPr>
          <w:rFonts w:eastAsiaTheme="minorEastAsia"/>
        </w:rPr>
        <w:t xml:space="preserve"> (inclusive)</w:t>
      </w:r>
      <w:r w:rsidRPr="08B0B86B">
        <w:rPr>
          <w:rFonts w:eastAsiaTheme="minorEastAsia"/>
        </w:rPr>
        <w:t>.</w:t>
      </w:r>
    </w:p>
    <w:p w14:paraId="62A931B1" w14:textId="77777777" w:rsidR="00410AB2" w:rsidRPr="00CE28E3" w:rsidRDefault="00410AB2" w:rsidP="009911BE">
      <w:pPr>
        <w:pStyle w:val="ListParagraph"/>
        <w:numPr>
          <w:ilvl w:val="0"/>
          <w:numId w:val="14"/>
        </w:numPr>
        <w:spacing w:line="257" w:lineRule="auto"/>
        <w:rPr>
          <w:rFonts w:eastAsiaTheme="minorEastAsia"/>
        </w:rPr>
      </w:pPr>
      <w:r w:rsidRPr="08B0B86B">
        <w:rPr>
          <w:rFonts w:eastAsiaTheme="minorEastAsia"/>
        </w:rPr>
        <w:t>Adult patients with de novo or relapsed B- or T-cell ALL, defined as those diagnosed at age 15 and above.</w:t>
      </w:r>
    </w:p>
    <w:p w14:paraId="0FE448B7" w14:textId="3A872A53" w:rsidR="00410AB2" w:rsidRPr="00CE28E3" w:rsidRDefault="00410AB2" w:rsidP="00410AB2">
      <w:pPr>
        <w:spacing w:line="257" w:lineRule="auto"/>
        <w:rPr>
          <w:rFonts w:eastAsiaTheme="minorEastAsia"/>
        </w:rPr>
      </w:pPr>
      <w:r w:rsidRPr="007D63E3">
        <w:rPr>
          <w:rFonts w:eastAsia="Franklin Gothic Book" w:cs="Franklin Gothic Book"/>
        </w:rPr>
        <w:t xml:space="preserve">The eligible population for patients with ALL </w:t>
      </w:r>
      <w:r>
        <w:rPr>
          <w:rFonts w:eastAsia="Franklin Gothic Book" w:cs="Franklin Gothic Book"/>
        </w:rPr>
        <w:t>was</w:t>
      </w:r>
      <w:r w:rsidRPr="007D63E3">
        <w:rPr>
          <w:rFonts w:eastAsia="Franklin Gothic Book" w:cs="Franklin Gothic Book"/>
        </w:rPr>
        <w:t xml:space="preserve"> sourced from 2022 AIHW cancer data which reports actual age-standardised incident data from 1982 to 2018 </w:t>
      </w:r>
      <w:r>
        <w:rPr>
          <w:rFonts w:eastAsia="Franklin Gothic Book" w:cs="Franklin Gothic Book"/>
        </w:rPr>
        <w:fldChar w:fldCharType="begin"/>
      </w:r>
      <w:r>
        <w:rPr>
          <w:rFonts w:eastAsia="Franklin Gothic Book" w:cs="Franklin Gothic Book"/>
        </w:rPr>
        <w:instrText xml:space="preserve"> ADDIN EN.CITE &lt;EndNote&gt;&lt;Cite&gt;&lt;Author&gt;Australian Institute of Health and Welfare (AIHW)&lt;/Author&gt;&lt;Year&gt;2022&lt;/Year&gt;&lt;RecNum&gt;1&lt;/RecNum&gt;&lt;DisplayText&gt;(Australian Institute of Health and Welfare (AIHW), 2022)&lt;/DisplayText&gt;&lt;record&gt;&lt;rec-number&gt;1&lt;/rec-number&gt;&lt;foreign-keys&gt;&lt;key app="EN" db-id="095wrfpz6de5sxe9zptpvwvox2zev2fs0p9z" timestamp="1666320981"&gt;1&lt;/key&gt;&lt;/foreign-keys&gt;&lt;ref-type name="Journal Article"&gt;17&lt;/ref-type&gt;&lt;contributors&gt;&lt;authors&gt;&lt;author&gt;Australian Institute of Health and Welfare (AIHW),&lt;/author&gt;&lt;/authors&gt;&lt;/contributors&gt;&lt;titles&gt;&lt;title&gt;Cancer data in Australia&lt;/title&gt;&lt;/titles&gt;&lt;number&gt;Data tables: CDIA 2022: Book 1a - Cancer incidence (age -standardised rates and 5-year age groups)&lt;/number&gt;&lt;dates&gt;&lt;year&gt;2022&lt;/year&gt;&lt;/dates&gt;&lt;urls&gt;&lt;/urls&gt;&lt;/record&gt;&lt;/Cite&gt;&lt;/EndNote&gt;</w:instrText>
      </w:r>
      <w:r>
        <w:rPr>
          <w:rFonts w:eastAsia="Franklin Gothic Book" w:cs="Franklin Gothic Book"/>
        </w:rPr>
        <w:fldChar w:fldCharType="separate"/>
      </w:r>
      <w:r>
        <w:rPr>
          <w:rFonts w:eastAsia="Franklin Gothic Book" w:cs="Franklin Gothic Book"/>
          <w:noProof/>
        </w:rPr>
        <w:t>(Australian Institute of Health and Welfare (AIHW), 2022)</w:t>
      </w:r>
      <w:r>
        <w:rPr>
          <w:rFonts w:eastAsia="Franklin Gothic Book" w:cs="Franklin Gothic Book"/>
        </w:rPr>
        <w:fldChar w:fldCharType="end"/>
      </w:r>
      <w:r w:rsidRPr="007D63E3">
        <w:rPr>
          <w:rFonts w:eastAsia="Franklin Gothic Book" w:cs="Franklin Gothic Book"/>
        </w:rPr>
        <w:t xml:space="preserve">.  Projections </w:t>
      </w:r>
      <w:r>
        <w:rPr>
          <w:rFonts w:eastAsia="Franklin Gothic Book" w:cs="Franklin Gothic Book"/>
        </w:rPr>
        <w:t>were</w:t>
      </w:r>
      <w:r w:rsidRPr="007D63E3">
        <w:rPr>
          <w:rFonts w:eastAsia="Franklin Gothic Book" w:cs="Franklin Gothic Book"/>
        </w:rPr>
        <w:t xml:space="preserve"> made to estimate the incidence of ALL cases in 202</w:t>
      </w:r>
      <w:r w:rsidR="00885010">
        <w:rPr>
          <w:rFonts w:eastAsia="Franklin Gothic Book" w:cs="Franklin Gothic Book"/>
        </w:rPr>
        <w:t>3</w:t>
      </w:r>
      <w:r w:rsidRPr="007D63E3">
        <w:rPr>
          <w:rFonts w:eastAsia="Franklin Gothic Book" w:cs="Franklin Gothic Book"/>
        </w:rPr>
        <w:t xml:space="preserve">, including the proportion of patients that relapse by MRD testing method, which </w:t>
      </w:r>
      <w:r>
        <w:rPr>
          <w:rFonts w:eastAsia="Franklin Gothic Book" w:cs="Franklin Gothic Book"/>
        </w:rPr>
        <w:t>were</w:t>
      </w:r>
      <w:r w:rsidRPr="007D63E3">
        <w:rPr>
          <w:rFonts w:eastAsia="Franklin Gothic Book" w:cs="Franklin Gothic Book"/>
        </w:rPr>
        <w:t xml:space="preserve"> derived from outputs of the economic model.</w:t>
      </w:r>
      <w:r>
        <w:rPr>
          <w:rFonts w:eastAsia="Franklin Gothic Book" w:cs="Franklin Gothic Book"/>
        </w:rPr>
        <w:t xml:space="preserve"> </w:t>
      </w:r>
      <w:r w:rsidRPr="506CBBD2">
        <w:rPr>
          <w:rFonts w:eastAsiaTheme="minorEastAsia"/>
        </w:rPr>
        <w:t xml:space="preserve">According to the AIHW Cancer Data, the </w:t>
      </w:r>
      <w:r w:rsidRPr="08B0B86B">
        <w:rPr>
          <w:rFonts w:eastAsiaTheme="minorEastAsia"/>
        </w:rPr>
        <w:t xml:space="preserve">proportion of the </w:t>
      </w:r>
      <w:r w:rsidRPr="506CBBD2">
        <w:rPr>
          <w:rFonts w:eastAsiaTheme="minorEastAsia"/>
        </w:rPr>
        <w:t xml:space="preserve">total </w:t>
      </w:r>
      <w:r w:rsidRPr="08B0B86B">
        <w:rPr>
          <w:rFonts w:eastAsiaTheme="minorEastAsia"/>
        </w:rPr>
        <w:t xml:space="preserve">population that are paediatric patients (aged 0-14 years) and </w:t>
      </w:r>
      <w:r w:rsidRPr="506CBBD2">
        <w:rPr>
          <w:rFonts w:eastAsiaTheme="minorEastAsia"/>
        </w:rPr>
        <w:t>adult patients</w:t>
      </w:r>
      <w:r w:rsidRPr="08B0B86B">
        <w:rPr>
          <w:rFonts w:eastAsiaTheme="minorEastAsia"/>
        </w:rPr>
        <w:t xml:space="preserve"> (15 years and above) are 49% and 51% respectively.</w:t>
      </w:r>
    </w:p>
    <w:p w14:paraId="43C66028" w14:textId="77777777" w:rsidR="00410AB2" w:rsidRPr="00CE28E3" w:rsidRDefault="00410AB2" w:rsidP="00410AB2">
      <w:pPr>
        <w:spacing w:line="257" w:lineRule="auto"/>
      </w:pPr>
      <w:r w:rsidRPr="08B0B86B">
        <w:rPr>
          <w:rFonts w:eastAsia="Franklin Gothic Book" w:cs="Franklin Gothic Book"/>
        </w:rPr>
        <w:t xml:space="preserve">Assumptions </w:t>
      </w:r>
      <w:r>
        <w:rPr>
          <w:rFonts w:eastAsia="Franklin Gothic Book" w:cs="Franklin Gothic Book"/>
        </w:rPr>
        <w:t>were</w:t>
      </w:r>
      <w:r w:rsidRPr="08B0B86B">
        <w:rPr>
          <w:rFonts w:eastAsia="Franklin Gothic Book" w:cs="Franklin Gothic Book"/>
        </w:rPr>
        <w:t xml:space="preserve"> made regarding the proportion of the population that are eligible for both </w:t>
      </w:r>
      <w:r>
        <w:rPr>
          <w:rFonts w:eastAsia="Franklin Gothic Book" w:cs="Franklin Gothic Book"/>
        </w:rPr>
        <w:t>bone marrow morphology</w:t>
      </w:r>
      <w:r w:rsidRPr="08B0B86B">
        <w:rPr>
          <w:rFonts w:eastAsia="Franklin Gothic Book" w:cs="Franklin Gothic Book"/>
        </w:rPr>
        <w:t xml:space="preserve"> and MRD testing (by </w:t>
      </w:r>
      <w:proofErr w:type="spellStart"/>
      <w:r w:rsidRPr="08B0B86B">
        <w:rPr>
          <w:rFonts w:eastAsia="Franklin Gothic Book" w:cs="Franklin Gothic Book"/>
        </w:rPr>
        <w:t>mpFC</w:t>
      </w:r>
      <w:proofErr w:type="spellEnd"/>
      <w:r>
        <w:rPr>
          <w:rFonts w:eastAsia="Franklin Gothic Book" w:cs="Franklin Gothic Book"/>
        </w:rPr>
        <w:t>,</w:t>
      </w:r>
      <w:r w:rsidRPr="08B0B86B">
        <w:rPr>
          <w:rFonts w:eastAsia="Franklin Gothic Book" w:cs="Franklin Gothic Book"/>
        </w:rPr>
        <w:t xml:space="preserve"> ASO-qPCR and NGS)</w:t>
      </w:r>
      <w:r>
        <w:rPr>
          <w:rFonts w:eastAsia="Franklin Gothic Book" w:cs="Franklin Gothic Book"/>
        </w:rPr>
        <w:t>. Uptake</w:t>
      </w:r>
      <w:r w:rsidRPr="08B0B86B">
        <w:rPr>
          <w:rFonts w:eastAsia="Franklin Gothic Book" w:cs="Franklin Gothic Book"/>
        </w:rPr>
        <w:t xml:space="preserve"> </w:t>
      </w:r>
      <w:r>
        <w:rPr>
          <w:rFonts w:eastAsia="Franklin Gothic Book" w:cs="Franklin Gothic Book"/>
        </w:rPr>
        <w:t>was</w:t>
      </w:r>
      <w:r w:rsidRPr="08B0B86B">
        <w:rPr>
          <w:rFonts w:eastAsia="Franklin Gothic Book" w:cs="Franklin Gothic Book"/>
        </w:rPr>
        <w:t xml:space="preserve"> assumed to be 100% in the paediatric population and 90% in the adult population to account for patients that are not suitable for MRD testing (1703 Ratified PICO, pg. </w:t>
      </w:r>
      <w:r>
        <w:rPr>
          <w:rFonts w:eastAsia="Franklin Gothic Book" w:cs="Franklin Gothic Book"/>
        </w:rPr>
        <w:t>6</w:t>
      </w:r>
      <w:r w:rsidRPr="08B0B86B">
        <w:rPr>
          <w:rFonts w:eastAsia="Franklin Gothic Book" w:cs="Franklin Gothic Book"/>
        </w:rPr>
        <w:t xml:space="preserve">). Additionally, the uptake of </w:t>
      </w:r>
      <w:r>
        <w:rPr>
          <w:rFonts w:eastAsia="Franklin Gothic Book" w:cs="Franklin Gothic Book"/>
        </w:rPr>
        <w:t>bone marrow morphology</w:t>
      </w:r>
      <w:r w:rsidRPr="08B0B86B">
        <w:rPr>
          <w:rFonts w:eastAsia="Franklin Gothic Book" w:cs="Franklin Gothic Book"/>
        </w:rPr>
        <w:t xml:space="preserve"> is assumed to be 100% across both populations, whereas individual uptake rates are determined separately for each MRD testing method.</w:t>
      </w:r>
    </w:p>
    <w:p w14:paraId="2C63C9E8" w14:textId="6E6F7BF4" w:rsidR="00410AB2" w:rsidRPr="00CE28E3" w:rsidRDefault="00410AB2" w:rsidP="00410AB2">
      <w:pPr>
        <w:spacing w:line="257" w:lineRule="auto"/>
        <w:rPr>
          <w:rFonts w:eastAsiaTheme="minorEastAsia"/>
        </w:rPr>
      </w:pPr>
      <w:r w:rsidRPr="08B0B86B">
        <w:rPr>
          <w:rFonts w:eastAsiaTheme="minorEastAsia"/>
        </w:rPr>
        <w:t xml:space="preserve">While the uptake of </w:t>
      </w:r>
      <w:r>
        <w:rPr>
          <w:rFonts w:eastAsiaTheme="minorEastAsia"/>
        </w:rPr>
        <w:t>bone marrow morphology</w:t>
      </w:r>
      <w:r w:rsidRPr="08B0B86B">
        <w:rPr>
          <w:rFonts w:eastAsiaTheme="minorEastAsia"/>
        </w:rPr>
        <w:t xml:space="preserve"> </w:t>
      </w:r>
      <w:r>
        <w:rPr>
          <w:rFonts w:eastAsiaTheme="minorEastAsia"/>
        </w:rPr>
        <w:t>was</w:t>
      </w:r>
      <w:r w:rsidRPr="08B0B86B">
        <w:rPr>
          <w:rFonts w:eastAsiaTheme="minorEastAsia"/>
        </w:rPr>
        <w:t xml:space="preserve"> assumed to be 100% across both populations, 15% of patients with T-</w:t>
      </w:r>
      <w:r>
        <w:rPr>
          <w:rFonts w:eastAsiaTheme="minorEastAsia"/>
        </w:rPr>
        <w:t>ALL</w:t>
      </w:r>
      <w:r w:rsidRPr="08B0B86B">
        <w:rPr>
          <w:rFonts w:eastAsiaTheme="minorEastAsia"/>
        </w:rPr>
        <w:t xml:space="preserve"> and 10% of patients with B-ALL that undertake NGS/ASO-qPCR testing </w:t>
      </w:r>
      <w:proofErr w:type="gramStart"/>
      <w:r>
        <w:rPr>
          <w:rFonts w:eastAsiaTheme="minorEastAsia"/>
        </w:rPr>
        <w:t>were</w:t>
      </w:r>
      <w:proofErr w:type="gramEnd"/>
      <w:r w:rsidRPr="08B0B86B">
        <w:rPr>
          <w:rFonts w:eastAsiaTheme="minorEastAsia"/>
        </w:rPr>
        <w:t xml:space="preserve"> assumed to be ineligible for NGS or ASO-qPCR</w:t>
      </w:r>
      <w:r>
        <w:rPr>
          <w:rFonts w:eastAsiaTheme="minorEastAsia"/>
        </w:rPr>
        <w:t xml:space="preserve"> (1703 Application, pg. 2; 1707 Application, pg. 27)</w:t>
      </w:r>
      <w:r w:rsidRPr="08B0B86B">
        <w:rPr>
          <w:rFonts w:eastAsiaTheme="minorEastAsia"/>
        </w:rPr>
        <w:t xml:space="preserve">. Therefore, a total of 23.5% of patients with ALL </w:t>
      </w:r>
      <w:r>
        <w:rPr>
          <w:rFonts w:eastAsiaTheme="minorEastAsia"/>
        </w:rPr>
        <w:t>were</w:t>
      </w:r>
      <w:r w:rsidRPr="08B0B86B">
        <w:rPr>
          <w:rFonts w:eastAsiaTheme="minorEastAsia"/>
        </w:rPr>
        <w:t xml:space="preserve"> not suitable for testing using NGS or ASO-qPCR (8.5% consisting of patients with B-ALL in addition to 15% consisting of </w:t>
      </w:r>
      <w:r w:rsidR="00897490">
        <w:rPr>
          <w:rFonts w:eastAsiaTheme="minorEastAsia"/>
        </w:rPr>
        <w:t>patients</w:t>
      </w:r>
      <w:r>
        <w:rPr>
          <w:rFonts w:eastAsiaTheme="minorEastAsia"/>
        </w:rPr>
        <w:t xml:space="preserve"> with </w:t>
      </w:r>
      <w:r w:rsidRPr="08B0B86B">
        <w:rPr>
          <w:rFonts w:eastAsiaTheme="minorEastAsia"/>
        </w:rPr>
        <w:t xml:space="preserve">T-ALL patients). As such an uptake rate of 23.5% </w:t>
      </w:r>
      <w:r>
        <w:rPr>
          <w:rFonts w:eastAsiaTheme="minorEastAsia"/>
        </w:rPr>
        <w:t>was</w:t>
      </w:r>
      <w:r w:rsidRPr="08B0B86B">
        <w:rPr>
          <w:rFonts w:eastAsiaTheme="minorEastAsia"/>
        </w:rPr>
        <w:t xml:space="preserve"> assumed for </w:t>
      </w:r>
      <w:proofErr w:type="spellStart"/>
      <w:r w:rsidRPr="08B0B86B">
        <w:rPr>
          <w:rFonts w:eastAsiaTheme="minorEastAsia"/>
        </w:rPr>
        <w:t>mpFC</w:t>
      </w:r>
      <w:proofErr w:type="spellEnd"/>
      <w:r w:rsidRPr="08B0B86B">
        <w:rPr>
          <w:rFonts w:eastAsiaTheme="minorEastAsia"/>
        </w:rPr>
        <w:t xml:space="preserve"> with the remaining uptake of MRD testing methods split equally between NGS and ASO-qPCR</w:t>
      </w:r>
      <w:r w:rsidRPr="506CBBD2">
        <w:rPr>
          <w:rFonts w:eastAsiaTheme="minorEastAsia"/>
        </w:rPr>
        <w:t>.</w:t>
      </w:r>
      <w:r w:rsidRPr="08B0B86B">
        <w:rPr>
          <w:rFonts w:eastAsiaTheme="minorEastAsia"/>
        </w:rPr>
        <w:t xml:space="preserve"> </w:t>
      </w:r>
      <w:r>
        <w:rPr>
          <w:rFonts w:eastAsiaTheme="minorEastAsia"/>
        </w:rPr>
        <w:t>D</w:t>
      </w:r>
      <w:r w:rsidRPr="08B0B86B">
        <w:rPr>
          <w:rFonts w:eastAsiaTheme="minorEastAsia"/>
        </w:rPr>
        <w:t>ue to limited availability of data, the uptake rate of MRD testing methods (</w:t>
      </w:r>
      <w:proofErr w:type="spellStart"/>
      <w:r w:rsidRPr="08B0B86B">
        <w:rPr>
          <w:rFonts w:eastAsiaTheme="minorEastAsia"/>
        </w:rPr>
        <w:t>mpFC</w:t>
      </w:r>
      <w:proofErr w:type="spellEnd"/>
      <w:r w:rsidRPr="08B0B86B">
        <w:rPr>
          <w:rFonts w:eastAsiaTheme="minorEastAsia"/>
        </w:rPr>
        <w:t xml:space="preserve">, NGS and ASO-qPCR) </w:t>
      </w:r>
      <w:r>
        <w:rPr>
          <w:rFonts w:eastAsiaTheme="minorEastAsia"/>
        </w:rPr>
        <w:t>were</w:t>
      </w:r>
      <w:r w:rsidRPr="08B0B86B">
        <w:rPr>
          <w:rFonts w:eastAsiaTheme="minorEastAsia"/>
        </w:rPr>
        <w:t xml:space="preserve"> assumed to be consistent overtime despite the slow adoption of a newly approved TGA and MBS listing, however the rate of uptake remains highly uncertain.</w:t>
      </w:r>
    </w:p>
    <w:p w14:paraId="0B4587ED" w14:textId="3B501200" w:rsidR="00410AB2" w:rsidRDefault="00410AB2" w:rsidP="00410AB2">
      <w:pPr>
        <w:spacing w:line="257" w:lineRule="auto"/>
        <w:rPr>
          <w:rFonts w:eastAsia="Franklin Gothic Book" w:cs="Franklin Gothic Book"/>
        </w:rPr>
      </w:pPr>
      <w:r w:rsidRPr="74AFD1BC">
        <w:rPr>
          <w:rFonts w:eastAsia="Franklin Gothic Book" w:cs="Franklin Gothic Book"/>
        </w:rPr>
        <w:t>The proportion of patients that fall under different risk stratification status</w:t>
      </w:r>
      <w:r>
        <w:rPr>
          <w:rFonts w:eastAsia="Franklin Gothic Book" w:cs="Franklin Gothic Book"/>
        </w:rPr>
        <w:t>es</w:t>
      </w:r>
      <w:r w:rsidRPr="74AFD1BC">
        <w:rPr>
          <w:rFonts w:eastAsia="Franklin Gothic Book" w:cs="Franklin Gothic Book"/>
        </w:rPr>
        <w:t xml:space="preserve"> (</w:t>
      </w:r>
      <w:r>
        <w:rPr>
          <w:rFonts w:eastAsia="Franklin Gothic Book" w:cs="Franklin Gothic Book"/>
        </w:rPr>
        <w:t>high risk</w:t>
      </w:r>
      <w:r w:rsidRPr="74AFD1BC">
        <w:rPr>
          <w:rFonts w:eastAsia="Franklin Gothic Book" w:cs="Franklin Gothic Book"/>
        </w:rPr>
        <w:t>,</w:t>
      </w:r>
      <w:r>
        <w:rPr>
          <w:rFonts w:eastAsia="Franklin Gothic Book" w:cs="Franklin Gothic Book"/>
        </w:rPr>
        <w:t xml:space="preserve"> standard risk </w:t>
      </w:r>
      <w:r w:rsidRPr="74AFD1BC">
        <w:rPr>
          <w:rFonts w:eastAsia="Franklin Gothic Book" w:cs="Franklin Gothic Book"/>
        </w:rPr>
        <w:t xml:space="preserve">or relapsed) </w:t>
      </w:r>
      <w:r>
        <w:rPr>
          <w:rFonts w:eastAsia="Franklin Gothic Book" w:cs="Franklin Gothic Book"/>
        </w:rPr>
        <w:t>wa</w:t>
      </w:r>
      <w:r w:rsidRPr="74AFD1BC">
        <w:rPr>
          <w:rFonts w:eastAsia="Franklin Gothic Book" w:cs="Franklin Gothic Book"/>
        </w:rPr>
        <w:t>s determined separately for both</w:t>
      </w:r>
      <w:r>
        <w:rPr>
          <w:rFonts w:eastAsia="Franklin Gothic Book" w:cs="Franklin Gothic Book"/>
        </w:rPr>
        <w:t xml:space="preserve"> paediatric and adult</w:t>
      </w:r>
      <w:r w:rsidRPr="74AFD1BC">
        <w:rPr>
          <w:rFonts w:eastAsia="Franklin Gothic Book" w:cs="Franklin Gothic Book"/>
        </w:rPr>
        <w:t xml:space="preserve"> populations and </w:t>
      </w:r>
      <w:r>
        <w:rPr>
          <w:rFonts w:eastAsia="Franklin Gothic Book" w:cs="Franklin Gothic Book"/>
        </w:rPr>
        <w:t>wa</w:t>
      </w:r>
      <w:r w:rsidRPr="74AFD1BC">
        <w:rPr>
          <w:rFonts w:eastAsia="Franklin Gothic Book" w:cs="Franklin Gothic Book"/>
        </w:rPr>
        <w:t xml:space="preserve">s </w:t>
      </w:r>
      <w:r w:rsidRPr="74AFD1BC">
        <w:rPr>
          <w:rFonts w:eastAsia="Franklin Gothic Book" w:cs="Franklin Gothic Book"/>
        </w:rPr>
        <w:lastRenderedPageBreak/>
        <w:t xml:space="preserve">derived from </w:t>
      </w:r>
      <w:r>
        <w:rPr>
          <w:rFonts w:eastAsia="Franklin Gothic Book" w:cs="Franklin Gothic Book"/>
        </w:rPr>
        <w:t>outputs</w:t>
      </w:r>
      <w:r w:rsidRPr="74AFD1BC">
        <w:rPr>
          <w:rFonts w:eastAsia="Franklin Gothic Book" w:cs="Franklin Gothic Book"/>
        </w:rPr>
        <w:t xml:space="preserve"> </w:t>
      </w:r>
      <w:r>
        <w:rPr>
          <w:rFonts w:eastAsia="Franklin Gothic Book" w:cs="Franklin Gothic Book"/>
        </w:rPr>
        <w:t>of</w:t>
      </w:r>
      <w:r w:rsidRPr="74AFD1BC">
        <w:rPr>
          <w:rFonts w:eastAsia="Franklin Gothic Book" w:cs="Franklin Gothic Book"/>
        </w:rPr>
        <w:t xml:space="preserve"> the economic analysis. That is: for the paediatric population, the proportion of non-relapsed patients </w:t>
      </w:r>
      <w:r>
        <w:rPr>
          <w:rFonts w:eastAsia="Franklin Gothic Book" w:cs="Franklin Gothic Book"/>
        </w:rPr>
        <w:t>was</w:t>
      </w:r>
      <w:r w:rsidRPr="74AFD1BC">
        <w:rPr>
          <w:rFonts w:eastAsia="Franklin Gothic Book" w:cs="Franklin Gothic Book"/>
          <w:color w:val="008080"/>
          <w:u w:val="single"/>
        </w:rPr>
        <w:t xml:space="preserve"> </w:t>
      </w:r>
      <w:r w:rsidRPr="74AFD1BC">
        <w:rPr>
          <w:rFonts w:eastAsia="Franklin Gothic Book" w:cs="Franklin Gothic Book"/>
        </w:rPr>
        <w:t>calculated by deducting the relapsed population from the total prevalent population. Subsequently, the proportion of</w:t>
      </w:r>
      <w:r>
        <w:rPr>
          <w:rFonts w:eastAsia="Franklin Gothic Book" w:cs="Franklin Gothic Book"/>
        </w:rPr>
        <w:t xml:space="preserve"> standard risk </w:t>
      </w:r>
      <w:r w:rsidRPr="74AFD1BC">
        <w:rPr>
          <w:rFonts w:eastAsia="Franklin Gothic Book" w:cs="Franklin Gothic Book"/>
        </w:rPr>
        <w:t>and</w:t>
      </w:r>
      <w:r>
        <w:rPr>
          <w:rFonts w:eastAsia="Franklin Gothic Book" w:cs="Franklin Gothic Book"/>
        </w:rPr>
        <w:t xml:space="preserve"> high-risk </w:t>
      </w:r>
      <w:r w:rsidRPr="74AFD1BC">
        <w:rPr>
          <w:rFonts w:eastAsia="Franklin Gothic Book" w:cs="Franklin Gothic Book"/>
        </w:rPr>
        <w:t xml:space="preserve">patients reported by </w:t>
      </w:r>
      <w:r>
        <w:rPr>
          <w:rFonts w:eastAsia="Franklin Gothic Book" w:cs="Franklin Gothic Book"/>
        </w:rPr>
        <w:fldChar w:fldCharType="begin">
          <w:fldData xml:space="preserve">PEVuZE5vdGU+PENpdGU+PEF1dGhvcj5Wb3JhPC9BdXRob3I+PFllYXI+MjAxNDwvWWVhcj48UmVj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</w:fldData>
        </w:fldChar>
      </w:r>
      <w:r>
        <w:rPr>
          <w:rFonts w:eastAsia="Franklin Gothic Book" w:cs="Franklin Gothic Book"/>
        </w:rPr>
        <w:instrText xml:space="preserve"> ADDIN EN.CITE </w:instrText>
      </w:r>
      <w:r>
        <w:rPr>
          <w:rFonts w:eastAsia="Franklin Gothic Book" w:cs="Franklin Gothic Book"/>
        </w:rPr>
        <w:fldChar w:fldCharType="begin">
          <w:fldData xml:space="preserve">PEVuZE5vdGU+PENpdGU+PEF1dGhvcj5Wb3JhPC9BdXRob3I+PFllYXI+MjAxNDwvWWVhcj48UmVj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</w:fldData>
        </w:fldChar>
      </w:r>
      <w:r>
        <w:rPr>
          <w:rFonts w:eastAsia="Franklin Gothic Book" w:cs="Franklin Gothic Book"/>
        </w:rPr>
        <w:instrText xml:space="preserve"> ADDIN EN.CITE.DATA </w:instrText>
      </w:r>
      <w:r>
        <w:rPr>
          <w:rFonts w:eastAsia="Franklin Gothic Book" w:cs="Franklin Gothic Book"/>
        </w:rPr>
      </w:r>
      <w:r>
        <w:rPr>
          <w:rFonts w:eastAsia="Franklin Gothic Book" w:cs="Franklin Gothic Book"/>
        </w:rPr>
        <w:fldChar w:fldCharType="end"/>
      </w:r>
      <w:r>
        <w:rPr>
          <w:rFonts w:eastAsia="Franklin Gothic Book" w:cs="Franklin Gothic Book"/>
        </w:rPr>
      </w:r>
      <w:r>
        <w:rPr>
          <w:rFonts w:eastAsia="Franklin Gothic Book" w:cs="Franklin Gothic Book"/>
        </w:rPr>
        <w:fldChar w:fldCharType="separate"/>
      </w:r>
      <w:r>
        <w:rPr>
          <w:rFonts w:eastAsia="Franklin Gothic Book" w:cs="Franklin Gothic Book"/>
          <w:noProof/>
        </w:rPr>
        <w:t>(Vora et al., 2014)</w:t>
      </w:r>
      <w:r>
        <w:rPr>
          <w:rFonts w:eastAsia="Franklin Gothic Book" w:cs="Franklin Gothic Book"/>
        </w:rPr>
        <w:fldChar w:fldCharType="end"/>
      </w:r>
      <w:r w:rsidRPr="74AFD1BC">
        <w:rPr>
          <w:rFonts w:eastAsia="Franklin Gothic Book" w:cs="Franklin Gothic Book"/>
        </w:rPr>
        <w:t xml:space="preserve"> </w:t>
      </w:r>
      <w:r>
        <w:rPr>
          <w:rFonts w:eastAsia="Franklin Gothic Book" w:cs="Franklin Gothic Book"/>
        </w:rPr>
        <w:t>were</w:t>
      </w:r>
      <w:r w:rsidRPr="74AFD1BC">
        <w:rPr>
          <w:rFonts w:eastAsia="Franklin Gothic Book" w:cs="Franklin Gothic Book"/>
        </w:rPr>
        <w:t xml:space="preserve"> applied to the remaining non-relapsed patients to determine the overall proportion of </w:t>
      </w:r>
      <w:r>
        <w:rPr>
          <w:rFonts w:eastAsia="Franklin Gothic Book" w:cs="Franklin Gothic Book"/>
        </w:rPr>
        <w:t>standard risk</w:t>
      </w:r>
      <w:r w:rsidRPr="74AFD1BC">
        <w:rPr>
          <w:rFonts w:eastAsia="Franklin Gothic Book" w:cs="Franklin Gothic Book"/>
        </w:rPr>
        <w:t xml:space="preserve">, </w:t>
      </w:r>
      <w:r>
        <w:rPr>
          <w:rFonts w:eastAsia="Franklin Gothic Book" w:cs="Franklin Gothic Book"/>
        </w:rPr>
        <w:t>high risk</w:t>
      </w:r>
      <w:r w:rsidRPr="74AFD1BC">
        <w:rPr>
          <w:rFonts w:eastAsia="Franklin Gothic Book" w:cs="Franklin Gothic Book"/>
        </w:rPr>
        <w:t xml:space="preserve"> and relapse. For the adult population, risk stratification </w:t>
      </w:r>
      <w:r>
        <w:rPr>
          <w:rFonts w:eastAsia="Franklin Gothic Book" w:cs="Franklin Gothic Book"/>
        </w:rPr>
        <w:t>was</w:t>
      </w:r>
      <w:r w:rsidRPr="74AFD1BC">
        <w:rPr>
          <w:rFonts w:eastAsia="Franklin Gothic Book" w:cs="Franklin Gothic Book"/>
        </w:rPr>
        <w:t xml:space="preserve"> based on data from</w:t>
      </w:r>
      <w:r w:rsidR="00696C55">
        <w:rPr>
          <w:rStyle w:val="FootnoteReference"/>
          <w:rFonts w:eastAsia="Franklin Gothic Book" w:cs="Franklin Gothic Book"/>
        </w:rPr>
        <w:footnoteReference w:id="16"/>
      </w:r>
      <w:r w:rsidRPr="74AFD1BC">
        <w:rPr>
          <w:rFonts w:eastAsia="Franklin Gothic Book" w:cs="Franklin Gothic Book"/>
        </w:rPr>
        <w:t xml:space="preserve">, aligning with the inputs of the economic analysis. </w:t>
      </w:r>
    </w:p>
    <w:p w14:paraId="057C3CE2" w14:textId="0F9104EC" w:rsidR="00410AB2" w:rsidRPr="00CE28E3" w:rsidRDefault="00410AB2" w:rsidP="00410AB2">
      <w:pPr>
        <w:spacing w:line="257" w:lineRule="auto"/>
        <w:rPr>
          <w:rFonts w:eastAsiaTheme="minorEastAsia"/>
        </w:rPr>
      </w:pPr>
      <w:r w:rsidRPr="08B0B86B">
        <w:rPr>
          <w:rFonts w:eastAsiaTheme="minorEastAsia"/>
        </w:rPr>
        <w:t>Although the RCPA</w:t>
      </w:r>
      <w:r>
        <w:rPr>
          <w:rFonts w:eastAsiaTheme="minorEastAsia"/>
        </w:rPr>
        <w:t>’s estimated</w:t>
      </w:r>
      <w:r w:rsidRPr="08B0B86B">
        <w:rPr>
          <w:rFonts w:eastAsiaTheme="minorEastAsia"/>
        </w:rPr>
        <w:t xml:space="preserve"> relapse rates </w:t>
      </w:r>
      <w:r>
        <w:rPr>
          <w:rFonts w:eastAsiaTheme="minorEastAsia"/>
        </w:rPr>
        <w:t xml:space="preserve">were included </w:t>
      </w:r>
      <w:r w:rsidRPr="08B0B86B">
        <w:rPr>
          <w:rFonts w:eastAsiaTheme="minorEastAsia"/>
        </w:rPr>
        <w:t>in the 1703 Ratified PICO, the financial model use</w:t>
      </w:r>
      <w:r>
        <w:rPr>
          <w:rFonts w:eastAsiaTheme="minorEastAsia"/>
        </w:rPr>
        <w:t>d</w:t>
      </w:r>
      <w:r w:rsidRPr="08B0B86B">
        <w:rPr>
          <w:rFonts w:eastAsiaTheme="minorEastAsia"/>
        </w:rPr>
        <w:t xml:space="preserve"> time-dependent relapse rates sourced from the economic model, where the rates are reported by testing method, population </w:t>
      </w:r>
      <w:r>
        <w:rPr>
          <w:rFonts w:eastAsiaTheme="minorEastAsia"/>
        </w:rPr>
        <w:t>(</w:t>
      </w:r>
      <w:proofErr w:type="gramStart"/>
      <w:r>
        <w:rPr>
          <w:rFonts w:eastAsiaTheme="minorEastAsia"/>
        </w:rPr>
        <w:t>i.e.</w:t>
      </w:r>
      <w:proofErr w:type="gramEnd"/>
      <w:r>
        <w:rPr>
          <w:rFonts w:eastAsiaTheme="minorEastAsia"/>
        </w:rPr>
        <w:t xml:space="preserve"> paediatric or adult)</w:t>
      </w:r>
      <w:r w:rsidRPr="08B0B86B">
        <w:rPr>
          <w:rFonts w:eastAsiaTheme="minorEastAsia"/>
        </w:rPr>
        <w:t xml:space="preserve"> and year. To calculate the rates of relapse, the even</w:t>
      </w:r>
      <w:r>
        <w:rPr>
          <w:rFonts w:eastAsiaTheme="minorEastAsia"/>
        </w:rPr>
        <w:t>t-</w:t>
      </w:r>
      <w:r w:rsidRPr="08B0B86B">
        <w:rPr>
          <w:rFonts w:eastAsiaTheme="minorEastAsia"/>
        </w:rPr>
        <w:t xml:space="preserve">free survival </w:t>
      </w:r>
      <w:r>
        <w:rPr>
          <w:rFonts w:eastAsiaTheme="minorEastAsia"/>
        </w:rPr>
        <w:t xml:space="preserve">(EFS) </w:t>
      </w:r>
      <w:r w:rsidRPr="08B0B86B">
        <w:rPr>
          <w:rFonts w:eastAsiaTheme="minorEastAsia"/>
        </w:rPr>
        <w:t>or risk</w:t>
      </w:r>
      <w:r>
        <w:rPr>
          <w:rFonts w:eastAsiaTheme="minorEastAsia"/>
        </w:rPr>
        <w:t>-</w:t>
      </w:r>
      <w:r w:rsidRPr="08B0B86B">
        <w:rPr>
          <w:rFonts w:eastAsiaTheme="minorEastAsia"/>
        </w:rPr>
        <w:t xml:space="preserve">free survival </w:t>
      </w:r>
      <w:r>
        <w:rPr>
          <w:rFonts w:eastAsiaTheme="minorEastAsia"/>
        </w:rPr>
        <w:t xml:space="preserve">(RFS) </w:t>
      </w:r>
      <w:r w:rsidRPr="08B0B86B">
        <w:rPr>
          <w:rFonts w:eastAsiaTheme="minorEastAsia"/>
        </w:rPr>
        <w:t xml:space="preserve">rates </w:t>
      </w:r>
      <w:r>
        <w:rPr>
          <w:rFonts w:eastAsiaTheme="minorEastAsia"/>
        </w:rPr>
        <w:t>we</w:t>
      </w:r>
      <w:r w:rsidRPr="506CBBD2">
        <w:rPr>
          <w:rFonts w:eastAsiaTheme="minorEastAsia"/>
        </w:rPr>
        <w:t>re</w:t>
      </w:r>
      <w:r w:rsidRPr="08B0B86B">
        <w:rPr>
          <w:rFonts w:eastAsiaTheme="minorEastAsia"/>
        </w:rPr>
        <w:t xml:space="preserve"> applied to the risk stratification to determine the relapse rates per year for paediatric and adult</w:t>
      </w:r>
      <w:r>
        <w:rPr>
          <w:rFonts w:eastAsiaTheme="minorEastAsia"/>
        </w:rPr>
        <w:t xml:space="preserve"> patient</w:t>
      </w:r>
      <w:r w:rsidRPr="08B0B86B">
        <w:rPr>
          <w:rFonts w:eastAsiaTheme="minorEastAsia"/>
        </w:rPr>
        <w:t>s</w:t>
      </w:r>
      <w:r w:rsidRPr="7AEB2552">
        <w:rPr>
          <w:rFonts w:eastAsiaTheme="minorEastAsia"/>
        </w:rPr>
        <w:t>.</w:t>
      </w:r>
      <w:r w:rsidRPr="08B0B86B">
        <w:rPr>
          <w:rFonts w:eastAsiaTheme="minorEastAsia"/>
        </w:rPr>
        <w:t xml:space="preserve"> </w:t>
      </w:r>
      <w:r w:rsidRPr="74AFD1BC">
        <w:rPr>
          <w:rFonts w:eastAsia="Franklin Gothic Book" w:cs="Franklin Gothic Book"/>
        </w:rPr>
        <w:t xml:space="preserve">While patients </w:t>
      </w:r>
      <w:r w:rsidR="00885010">
        <w:rPr>
          <w:rFonts w:eastAsia="Franklin Gothic Book" w:cs="Franklin Gothic Book"/>
        </w:rPr>
        <w:t>are</w:t>
      </w:r>
      <w:r w:rsidR="00885010" w:rsidRPr="74AFD1BC">
        <w:rPr>
          <w:rFonts w:eastAsia="Franklin Gothic Book" w:cs="Franklin Gothic Book"/>
        </w:rPr>
        <w:t xml:space="preserve"> </w:t>
      </w:r>
      <w:r w:rsidRPr="74AFD1BC">
        <w:rPr>
          <w:rFonts w:eastAsia="Franklin Gothic Book" w:cs="Franklin Gothic Book"/>
        </w:rPr>
        <w:t xml:space="preserve">likely to relapse prior to 2 years, it </w:t>
      </w:r>
      <w:r>
        <w:rPr>
          <w:rFonts w:eastAsia="Franklin Gothic Book" w:cs="Franklin Gothic Book"/>
        </w:rPr>
        <w:t>was</w:t>
      </w:r>
      <w:r w:rsidRPr="74AFD1BC">
        <w:rPr>
          <w:rFonts w:eastAsia="Franklin Gothic Book" w:cs="Franklin Gothic Book"/>
        </w:rPr>
        <w:t xml:space="preserve"> assumed that patients would continue treatment and not switch for the first two years, as defined within the clinical treatment algorithm presented in the PICO Confirmation, which aligns with inputs from the economic model</w:t>
      </w:r>
      <w:r>
        <w:rPr>
          <w:rFonts w:eastAsia="Franklin Gothic Book" w:cs="Franklin Gothic Book"/>
        </w:rPr>
        <w:t xml:space="preserve"> (1703 Ratified PICO, Fig. 4)</w:t>
      </w:r>
      <w:r w:rsidRPr="74AFD1BC">
        <w:rPr>
          <w:rFonts w:eastAsia="Franklin Gothic Book" w:cs="Franklin Gothic Book"/>
        </w:rPr>
        <w:t>.</w:t>
      </w:r>
    </w:p>
    <w:p w14:paraId="0A385CE8" w14:textId="247EB956" w:rsidR="00410AB2" w:rsidRDefault="00410AB2" w:rsidP="00410AB2">
      <w:pPr>
        <w:spacing w:line="257" w:lineRule="auto"/>
      </w:pPr>
      <w:r w:rsidRPr="74AFD1BC">
        <w:rPr>
          <w:rFonts w:eastAsia="Franklin Gothic Book" w:cs="Franklin Gothic Book"/>
        </w:rPr>
        <w:t xml:space="preserve">The utilisation of each test, including </w:t>
      </w:r>
      <w:r>
        <w:rPr>
          <w:rFonts w:eastAsia="Franklin Gothic Book" w:cs="Franklin Gothic Book"/>
        </w:rPr>
        <w:t>bone marrow morphology</w:t>
      </w:r>
      <w:r w:rsidRPr="74AFD1BC">
        <w:rPr>
          <w:rFonts w:eastAsia="Franklin Gothic Book" w:cs="Franklin Gothic Book"/>
        </w:rPr>
        <w:t xml:space="preserve">, </w:t>
      </w:r>
      <w:proofErr w:type="spellStart"/>
      <w:r w:rsidRPr="74AFD1BC">
        <w:rPr>
          <w:rFonts w:eastAsia="Franklin Gothic Book" w:cs="Franklin Gothic Book"/>
        </w:rPr>
        <w:t>mpFC</w:t>
      </w:r>
      <w:proofErr w:type="spellEnd"/>
      <w:r w:rsidRPr="74AFD1BC">
        <w:rPr>
          <w:rFonts w:eastAsia="Franklin Gothic Book" w:cs="Franklin Gothic Book"/>
        </w:rPr>
        <w:t xml:space="preserve">, NGS and ASO-qPCR along with the number of tests required for each patient </w:t>
      </w:r>
      <w:r w:rsidR="00885010">
        <w:rPr>
          <w:rFonts w:eastAsia="Franklin Gothic Book" w:cs="Franklin Gothic Book"/>
        </w:rPr>
        <w:t>were</w:t>
      </w:r>
      <w:r w:rsidR="00885010" w:rsidRPr="74AFD1BC">
        <w:rPr>
          <w:rFonts w:eastAsia="Franklin Gothic Book" w:cs="Franklin Gothic Book"/>
        </w:rPr>
        <w:t xml:space="preserve"> </w:t>
      </w:r>
      <w:r w:rsidRPr="74AFD1BC">
        <w:rPr>
          <w:rFonts w:eastAsia="Franklin Gothic Book" w:cs="Franklin Gothic Book"/>
        </w:rPr>
        <w:t xml:space="preserve">derived from treatment protocol ALL06 reflected in the proposed clinical management algorithm in the PICO (1703 Ratified PICO, Fig. 4). It is important to note that due to variability in patient response and treatments received, some patients may require more tests than others. Of note, treatments such as haematopoietic stem cell transplant (HSCT) and blinatumomab are associated with increased MRD testing, either to determine eligibility or during monitoring. Therefore, the number of tests required by each patient </w:t>
      </w:r>
      <w:r>
        <w:rPr>
          <w:rFonts w:eastAsia="Franklin Gothic Book" w:cs="Franklin Gothic Book"/>
        </w:rPr>
        <w:t xml:space="preserve">is uncertain and likely variable, </w:t>
      </w:r>
      <w:r w:rsidRPr="74AFD1BC">
        <w:rPr>
          <w:rFonts w:eastAsia="Franklin Gothic Book" w:cs="Franklin Gothic Book"/>
        </w:rPr>
        <w:t>due to the various treatment pathways a patient may follow. The inputs in the financial impact model endeavour</w:t>
      </w:r>
      <w:r>
        <w:rPr>
          <w:rFonts w:eastAsia="Franklin Gothic Book" w:cs="Franklin Gothic Book"/>
        </w:rPr>
        <w:t>ed</w:t>
      </w:r>
      <w:r w:rsidRPr="74AFD1BC">
        <w:rPr>
          <w:rFonts w:eastAsia="Franklin Gothic Book" w:cs="Franklin Gothic Book"/>
        </w:rPr>
        <w:t xml:space="preserve"> to provide a standardised estimate on the number of MRD tests required by each patient by risk stratification, assuming all patients who are classified within a risk category receive the same volume of MRD tests.</w:t>
      </w:r>
    </w:p>
    <w:p w14:paraId="79B7D887" w14:textId="6A9C27B5" w:rsidR="002D16A2" w:rsidRPr="00EB5AD2" w:rsidRDefault="00410AB2" w:rsidP="0058332A">
      <w:pPr>
        <w:spacing w:line="257" w:lineRule="auto"/>
        <w:rPr>
          <w:rFonts w:eastAsia="Franklin Gothic Book" w:cs="Franklin Gothic Book"/>
        </w:rPr>
      </w:pPr>
      <w:r w:rsidRPr="002D16A2">
        <w:rPr>
          <w:rFonts w:eastAsia="Franklin Gothic Book" w:cs="Franklin Gothic Book"/>
        </w:rPr>
        <w:t xml:space="preserve">The financial implications to the MBS resulting from the proposed listing of </w:t>
      </w:r>
      <w:proofErr w:type="spellStart"/>
      <w:r w:rsidRPr="002D16A2">
        <w:rPr>
          <w:rFonts w:eastAsia="Franklin Gothic Book" w:cs="Franklin Gothic Book"/>
        </w:rPr>
        <w:t>mpFC</w:t>
      </w:r>
      <w:proofErr w:type="spellEnd"/>
      <w:r w:rsidRPr="002D16A2">
        <w:rPr>
          <w:rFonts w:eastAsia="Franklin Gothic Book" w:cs="Franklin Gothic Book"/>
        </w:rPr>
        <w:t xml:space="preserve">, NGS and ASO-qPCR for paediatric and adult patients </w:t>
      </w:r>
      <w:r w:rsidR="00202308" w:rsidRPr="00EB5AD2">
        <w:rPr>
          <w:rFonts w:eastAsia="Franklin Gothic Book" w:cs="Franklin Gothic Book"/>
        </w:rPr>
        <w:t>was</w:t>
      </w:r>
      <w:r w:rsidRPr="0058332A">
        <w:rPr>
          <w:rFonts w:cs="Franklin Gothic Book"/>
        </w:rPr>
        <w:t xml:space="preserve"> an overall increase to the MBS budget </w:t>
      </w:r>
      <w:bookmarkStart w:id="57" w:name="_Ref118890390"/>
      <w:r w:rsidR="00202308" w:rsidRPr="00FB101D">
        <w:rPr>
          <w:rFonts w:cs="Franklin Gothic Book"/>
        </w:rPr>
        <w:t xml:space="preserve">as shown in </w:t>
      </w:r>
      <w:r w:rsidR="002D16A2" w:rsidRPr="0058332A">
        <w:rPr>
          <w:rFonts w:cs="Franklin Gothic Book"/>
        </w:rPr>
        <w:fldChar w:fldCharType="begin"/>
      </w:r>
      <w:r w:rsidR="002D16A2" w:rsidRPr="00FB101D">
        <w:rPr>
          <w:rFonts w:cs="Franklin Gothic Book"/>
        </w:rPr>
        <w:instrText xml:space="preserve"> REF _Ref121906676 \h </w:instrText>
      </w:r>
      <w:r w:rsidR="00202308">
        <w:rPr>
          <w:rFonts w:eastAsia="Franklin Gothic Book" w:cs="Franklin Gothic Book"/>
          <w:b/>
          <w:bCs/>
        </w:rPr>
        <w:instrText xml:space="preserve"> \* MERGEFORMAT </w:instrText>
      </w:r>
      <w:r w:rsidR="002D16A2" w:rsidRPr="0058332A">
        <w:rPr>
          <w:rFonts w:cs="Franklin Gothic Book"/>
        </w:rPr>
      </w:r>
      <w:r w:rsidR="002D16A2" w:rsidRPr="0058332A">
        <w:rPr>
          <w:rFonts w:cs="Franklin Gothic Book"/>
        </w:rPr>
        <w:fldChar w:fldCharType="separate"/>
      </w:r>
      <w:r w:rsidR="0003093F" w:rsidRPr="0003093F">
        <w:rPr>
          <w:rFonts w:eastAsia="Franklin Gothic Book" w:cs="Franklin Gothic Book"/>
        </w:rPr>
        <w:t>Table 10</w:t>
      </w:r>
      <w:r w:rsidR="002D16A2" w:rsidRPr="0058332A">
        <w:rPr>
          <w:rFonts w:cs="Franklin Gothic Book"/>
        </w:rPr>
        <w:fldChar w:fldCharType="end"/>
      </w:r>
      <w:r w:rsidR="002D16A2" w:rsidRPr="00FB101D">
        <w:rPr>
          <w:rFonts w:cs="Franklin Gothic Book"/>
        </w:rPr>
        <w:t>.</w:t>
      </w:r>
      <w:r w:rsidR="00202308" w:rsidRPr="00202308">
        <w:rPr>
          <w:rFonts w:eastAsiaTheme="minorEastAsia"/>
        </w:rPr>
        <w:t xml:space="preserve"> </w:t>
      </w:r>
      <w:r w:rsidR="00202308" w:rsidRPr="00FA6887">
        <w:rPr>
          <w:rFonts w:eastAsiaTheme="minorEastAsia"/>
        </w:rPr>
        <w:t xml:space="preserve">Post-ESC </w:t>
      </w:r>
      <w:r w:rsidR="0058332A">
        <w:rPr>
          <w:rFonts w:eastAsiaTheme="minorEastAsia"/>
        </w:rPr>
        <w:t xml:space="preserve">updated </w:t>
      </w:r>
      <w:r w:rsidR="00202308" w:rsidRPr="00FA6887">
        <w:rPr>
          <w:rFonts w:eastAsiaTheme="minorEastAsia"/>
        </w:rPr>
        <w:t xml:space="preserve">analyses incorporating </w:t>
      </w:r>
      <w:r w:rsidR="00202308">
        <w:rPr>
          <w:rFonts w:eastAsiaTheme="minorEastAsia"/>
        </w:rPr>
        <w:t xml:space="preserve">patients </w:t>
      </w:r>
      <w:r w:rsidR="00202308" w:rsidRPr="00FA6887">
        <w:rPr>
          <w:rFonts w:eastAsiaTheme="minorEastAsia"/>
        </w:rPr>
        <w:t>relaps</w:t>
      </w:r>
      <w:r w:rsidR="00202308">
        <w:rPr>
          <w:rFonts w:eastAsiaTheme="minorEastAsia"/>
        </w:rPr>
        <w:t>ing</w:t>
      </w:r>
      <w:r w:rsidR="00202308" w:rsidRPr="00FA6887">
        <w:rPr>
          <w:rFonts w:eastAsiaTheme="minorEastAsia"/>
        </w:rPr>
        <w:t xml:space="preserve"> in year 1 and year 2 and a re-biopsy rate of 4% </w:t>
      </w:r>
      <w:r w:rsidR="0058332A">
        <w:rPr>
          <w:rFonts w:eastAsiaTheme="minorEastAsia"/>
        </w:rPr>
        <w:t xml:space="preserve">in line with ESC’s requests </w:t>
      </w:r>
      <w:r w:rsidR="00202308" w:rsidRPr="00FA6887">
        <w:rPr>
          <w:rFonts w:eastAsiaTheme="minorEastAsia"/>
        </w:rPr>
        <w:t>are shown</w:t>
      </w:r>
      <w:r w:rsidR="00202308">
        <w:rPr>
          <w:rFonts w:eastAsiaTheme="minorEastAsia"/>
        </w:rPr>
        <w:t xml:space="preserve"> in blue italicised font.</w:t>
      </w:r>
    </w:p>
    <w:p w14:paraId="1348118C" w14:textId="5B4CFE40" w:rsidR="002D16A2" w:rsidRDefault="002D16A2" w:rsidP="002D16A2">
      <w:pPr>
        <w:pStyle w:val="Caption"/>
      </w:pPr>
      <w:bookmarkStart w:id="58" w:name="_Ref121906676"/>
      <w:bookmarkStart w:id="59" w:name="_Toc121921225"/>
      <w:r>
        <w:t xml:space="preserve">Table </w:t>
      </w:r>
      <w:r>
        <w:fldChar w:fldCharType="begin"/>
      </w:r>
      <w:r>
        <w:instrText>SEQ Table \* ARABIC</w:instrText>
      </w:r>
      <w:r>
        <w:fldChar w:fldCharType="separate"/>
      </w:r>
      <w:r w:rsidR="00A922D7">
        <w:rPr>
          <w:noProof/>
        </w:rPr>
        <w:t>10</w:t>
      </w:r>
      <w:r>
        <w:fldChar w:fldCharType="end"/>
      </w:r>
      <w:bookmarkEnd w:id="58"/>
      <w:r>
        <w:tab/>
      </w:r>
      <w:r w:rsidRPr="002D16A2">
        <w:t>Net financial implications of MRD testing to the MBS</w:t>
      </w:r>
      <w:bookmarkEnd w:id="59"/>
    </w:p>
    <w:tbl>
      <w:tblPr>
        <w:tblStyle w:val="TableGrid"/>
        <w:tblW w:w="9021" w:type="dxa"/>
        <w:tblInd w:w="5" w:type="dxa"/>
        <w:tblLook w:val="04A0" w:firstRow="1" w:lastRow="0" w:firstColumn="1" w:lastColumn="0" w:noHBand="0" w:noVBand="1"/>
      </w:tblPr>
      <w:tblGrid>
        <w:gridCol w:w="2532"/>
        <w:gridCol w:w="1081"/>
        <w:gridCol w:w="1082"/>
        <w:gridCol w:w="1081"/>
        <w:gridCol w:w="1082"/>
        <w:gridCol w:w="1081"/>
        <w:gridCol w:w="1082"/>
      </w:tblGrid>
      <w:tr w:rsidR="00410AB2" w:rsidRPr="002231D7" w14:paraId="6C64F5F6" w14:textId="77777777" w:rsidTr="005B0D9D">
        <w:trPr>
          <w:trHeight w:val="300"/>
          <w:tblHeader/>
        </w:trPr>
        <w:tc>
          <w:tcPr>
            <w:tcW w:w="2532" w:type="dxa"/>
            <w:shd w:val="clear" w:color="auto" w:fill="auto"/>
            <w:vAlign w:val="center"/>
            <w:hideMark/>
          </w:tcPr>
          <w:p w14:paraId="45E61053" w14:textId="77777777" w:rsidR="00410AB2" w:rsidRPr="002231D7" w:rsidRDefault="00410AB2" w:rsidP="004D3912">
            <w:pPr>
              <w:spacing w:before="0"/>
              <w:rPr>
                <w:rFonts w:ascii="Arial Narrow" w:eastAsia="Times New Roman" w:hAnsi="Arial Narrow" w:cs="Calibri"/>
                <w:b/>
                <w:bCs/>
                <w:color w:val="000000"/>
                <w:sz w:val="20"/>
                <w:szCs w:val="20"/>
                <w:lang w:eastAsia="en-AU"/>
              </w:rPr>
            </w:pPr>
            <w:r w:rsidRPr="002231D7">
              <w:rPr>
                <w:rFonts w:ascii="Arial Narrow" w:eastAsia="Times New Roman" w:hAnsi="Arial Narrow" w:cs="Calibri"/>
                <w:b/>
                <w:bCs/>
                <w:color w:val="000000"/>
                <w:sz w:val="20"/>
                <w:szCs w:val="20"/>
                <w:lang w:eastAsia="en-AU"/>
              </w:rPr>
              <w:t>Parameter</w:t>
            </w:r>
          </w:p>
        </w:tc>
        <w:tc>
          <w:tcPr>
            <w:tcW w:w="1081" w:type="dxa"/>
            <w:shd w:val="clear" w:color="auto" w:fill="auto"/>
            <w:vAlign w:val="center"/>
            <w:hideMark/>
          </w:tcPr>
          <w:p w14:paraId="260D1C04" w14:textId="77777777" w:rsidR="00410AB2" w:rsidRPr="002231D7" w:rsidRDefault="00410AB2" w:rsidP="004D3912">
            <w:pPr>
              <w:spacing w:before="0"/>
              <w:jc w:val="center"/>
              <w:rPr>
                <w:rFonts w:ascii="Arial Narrow" w:eastAsia="Times New Roman" w:hAnsi="Arial Narrow" w:cs="Calibri"/>
                <w:b/>
                <w:bCs/>
                <w:color w:val="000000"/>
                <w:sz w:val="20"/>
                <w:szCs w:val="20"/>
                <w:lang w:eastAsia="en-AU"/>
              </w:rPr>
            </w:pPr>
            <w:r w:rsidRPr="002231D7">
              <w:rPr>
                <w:rFonts w:ascii="Arial Narrow" w:eastAsia="Times New Roman" w:hAnsi="Arial Narrow" w:cs="Calibri"/>
                <w:b/>
                <w:bCs/>
                <w:color w:val="000000"/>
                <w:sz w:val="20"/>
                <w:szCs w:val="20"/>
                <w:lang w:eastAsia="en-AU"/>
              </w:rPr>
              <w:t>Year 1</w:t>
            </w:r>
          </w:p>
        </w:tc>
        <w:tc>
          <w:tcPr>
            <w:tcW w:w="1082" w:type="dxa"/>
            <w:shd w:val="clear" w:color="auto" w:fill="auto"/>
            <w:vAlign w:val="center"/>
            <w:hideMark/>
          </w:tcPr>
          <w:p w14:paraId="5FF89374" w14:textId="77777777" w:rsidR="00410AB2" w:rsidRPr="002231D7" w:rsidRDefault="00410AB2" w:rsidP="004D3912">
            <w:pPr>
              <w:spacing w:before="0"/>
              <w:jc w:val="center"/>
              <w:rPr>
                <w:rFonts w:ascii="Arial Narrow" w:eastAsia="Times New Roman" w:hAnsi="Arial Narrow" w:cs="Calibri"/>
                <w:b/>
                <w:bCs/>
                <w:color w:val="000000"/>
                <w:sz w:val="20"/>
                <w:szCs w:val="20"/>
                <w:lang w:eastAsia="en-AU"/>
              </w:rPr>
            </w:pPr>
            <w:r w:rsidRPr="002231D7">
              <w:rPr>
                <w:rFonts w:ascii="Arial Narrow" w:eastAsia="Times New Roman" w:hAnsi="Arial Narrow" w:cs="Calibri"/>
                <w:b/>
                <w:bCs/>
                <w:color w:val="000000"/>
                <w:sz w:val="20"/>
                <w:szCs w:val="20"/>
                <w:lang w:eastAsia="en-AU"/>
              </w:rPr>
              <w:t>Year 2</w:t>
            </w:r>
          </w:p>
        </w:tc>
        <w:tc>
          <w:tcPr>
            <w:tcW w:w="1081" w:type="dxa"/>
            <w:shd w:val="clear" w:color="auto" w:fill="auto"/>
            <w:vAlign w:val="center"/>
            <w:hideMark/>
          </w:tcPr>
          <w:p w14:paraId="5E3DA65A" w14:textId="77777777" w:rsidR="00410AB2" w:rsidRPr="002231D7" w:rsidRDefault="00410AB2" w:rsidP="004D3912">
            <w:pPr>
              <w:spacing w:before="0"/>
              <w:jc w:val="center"/>
              <w:rPr>
                <w:rFonts w:ascii="Arial Narrow" w:eastAsia="Times New Roman" w:hAnsi="Arial Narrow" w:cs="Calibri"/>
                <w:b/>
                <w:bCs/>
                <w:color w:val="000000"/>
                <w:sz w:val="20"/>
                <w:szCs w:val="20"/>
                <w:lang w:eastAsia="en-AU"/>
              </w:rPr>
            </w:pPr>
            <w:r w:rsidRPr="002231D7">
              <w:rPr>
                <w:rFonts w:ascii="Arial Narrow" w:eastAsia="Times New Roman" w:hAnsi="Arial Narrow" w:cs="Calibri"/>
                <w:b/>
                <w:bCs/>
                <w:color w:val="000000"/>
                <w:sz w:val="20"/>
                <w:szCs w:val="20"/>
                <w:lang w:eastAsia="en-AU"/>
              </w:rPr>
              <w:t>Year 3</w:t>
            </w:r>
          </w:p>
        </w:tc>
        <w:tc>
          <w:tcPr>
            <w:tcW w:w="1082" w:type="dxa"/>
            <w:shd w:val="clear" w:color="auto" w:fill="auto"/>
            <w:vAlign w:val="center"/>
            <w:hideMark/>
          </w:tcPr>
          <w:p w14:paraId="7E23A308" w14:textId="77777777" w:rsidR="00410AB2" w:rsidRPr="002231D7" w:rsidRDefault="00410AB2" w:rsidP="004D3912">
            <w:pPr>
              <w:spacing w:before="0"/>
              <w:jc w:val="center"/>
              <w:rPr>
                <w:rFonts w:ascii="Arial Narrow" w:eastAsia="Times New Roman" w:hAnsi="Arial Narrow" w:cs="Calibri"/>
                <w:b/>
                <w:bCs/>
                <w:color w:val="000000"/>
                <w:sz w:val="20"/>
                <w:szCs w:val="20"/>
                <w:lang w:eastAsia="en-AU"/>
              </w:rPr>
            </w:pPr>
            <w:r w:rsidRPr="002231D7">
              <w:rPr>
                <w:rFonts w:ascii="Arial Narrow" w:eastAsia="Times New Roman" w:hAnsi="Arial Narrow" w:cs="Calibri"/>
                <w:b/>
                <w:bCs/>
                <w:color w:val="000000"/>
                <w:sz w:val="20"/>
                <w:szCs w:val="20"/>
                <w:lang w:eastAsia="en-AU"/>
              </w:rPr>
              <w:t>Year 4</w:t>
            </w:r>
          </w:p>
        </w:tc>
        <w:tc>
          <w:tcPr>
            <w:tcW w:w="1081" w:type="dxa"/>
            <w:shd w:val="clear" w:color="auto" w:fill="auto"/>
            <w:vAlign w:val="center"/>
            <w:hideMark/>
          </w:tcPr>
          <w:p w14:paraId="38327007" w14:textId="77777777" w:rsidR="00410AB2" w:rsidRPr="002231D7" w:rsidRDefault="00410AB2" w:rsidP="004D3912">
            <w:pPr>
              <w:spacing w:before="0"/>
              <w:jc w:val="center"/>
              <w:rPr>
                <w:rFonts w:ascii="Arial Narrow" w:eastAsia="Times New Roman" w:hAnsi="Arial Narrow" w:cs="Calibri"/>
                <w:b/>
                <w:bCs/>
                <w:color w:val="000000"/>
                <w:sz w:val="20"/>
                <w:szCs w:val="20"/>
                <w:lang w:eastAsia="en-AU"/>
              </w:rPr>
            </w:pPr>
            <w:r w:rsidRPr="002231D7">
              <w:rPr>
                <w:rFonts w:ascii="Arial Narrow" w:eastAsia="Times New Roman" w:hAnsi="Arial Narrow" w:cs="Calibri"/>
                <w:b/>
                <w:bCs/>
                <w:color w:val="000000"/>
                <w:sz w:val="20"/>
                <w:szCs w:val="20"/>
                <w:lang w:eastAsia="en-AU"/>
              </w:rPr>
              <w:t>Year 5</w:t>
            </w:r>
          </w:p>
        </w:tc>
        <w:tc>
          <w:tcPr>
            <w:tcW w:w="1082" w:type="dxa"/>
            <w:shd w:val="clear" w:color="auto" w:fill="auto"/>
            <w:vAlign w:val="center"/>
            <w:hideMark/>
          </w:tcPr>
          <w:p w14:paraId="02009BC8" w14:textId="77777777" w:rsidR="00410AB2" w:rsidRPr="002231D7" w:rsidRDefault="00410AB2" w:rsidP="004D3912">
            <w:pPr>
              <w:spacing w:before="0"/>
              <w:jc w:val="center"/>
              <w:rPr>
                <w:rFonts w:ascii="Arial Narrow" w:eastAsia="Times New Roman" w:hAnsi="Arial Narrow" w:cs="Calibri"/>
                <w:b/>
                <w:bCs/>
                <w:color w:val="000000"/>
                <w:sz w:val="20"/>
                <w:szCs w:val="20"/>
                <w:lang w:eastAsia="en-AU"/>
              </w:rPr>
            </w:pPr>
            <w:r w:rsidRPr="002231D7">
              <w:rPr>
                <w:rFonts w:ascii="Arial Narrow" w:eastAsia="Times New Roman" w:hAnsi="Arial Narrow" w:cs="Calibri"/>
                <w:b/>
                <w:bCs/>
                <w:color w:val="000000"/>
                <w:sz w:val="20"/>
                <w:szCs w:val="20"/>
                <w:lang w:eastAsia="en-AU"/>
              </w:rPr>
              <w:t>Year 6</w:t>
            </w:r>
          </w:p>
        </w:tc>
      </w:tr>
      <w:tr w:rsidR="00410AB2" w:rsidRPr="002231D7" w14:paraId="4DE9611E" w14:textId="77777777" w:rsidTr="005B0D9D">
        <w:trPr>
          <w:trHeight w:val="300"/>
        </w:trPr>
        <w:tc>
          <w:tcPr>
            <w:tcW w:w="9021" w:type="dxa"/>
            <w:gridSpan w:val="7"/>
            <w:shd w:val="clear" w:color="auto" w:fill="auto"/>
            <w:vAlign w:val="center"/>
            <w:hideMark/>
          </w:tcPr>
          <w:p w14:paraId="783CC1F2" w14:textId="77777777" w:rsidR="00410AB2" w:rsidRPr="002231D7" w:rsidRDefault="00410AB2" w:rsidP="004D3912">
            <w:pPr>
              <w:spacing w:before="0"/>
              <w:rPr>
                <w:rFonts w:ascii="Arial Narrow" w:eastAsia="Times New Roman" w:hAnsi="Arial Narrow" w:cs="Calibri"/>
                <w:b/>
                <w:bCs/>
                <w:color w:val="000000"/>
                <w:sz w:val="20"/>
                <w:szCs w:val="20"/>
                <w:lang w:eastAsia="en-AU"/>
              </w:rPr>
            </w:pPr>
            <w:r w:rsidRPr="002231D7">
              <w:rPr>
                <w:rFonts w:ascii="Arial Narrow" w:eastAsia="Times New Roman" w:hAnsi="Arial Narrow" w:cs="Calibri"/>
                <w:b/>
                <w:bCs/>
                <w:color w:val="000000"/>
                <w:sz w:val="20"/>
                <w:szCs w:val="20"/>
                <w:lang w:eastAsia="en-AU"/>
              </w:rPr>
              <w:t>Cost of MRD testing - world without MRD testing</w:t>
            </w:r>
          </w:p>
        </w:tc>
      </w:tr>
      <w:tr w:rsidR="00410AB2" w:rsidRPr="002231D7" w14:paraId="5A29D34C" w14:textId="77777777" w:rsidTr="005B0D9D">
        <w:trPr>
          <w:trHeight w:val="300"/>
        </w:trPr>
        <w:tc>
          <w:tcPr>
            <w:tcW w:w="9021" w:type="dxa"/>
            <w:gridSpan w:val="7"/>
            <w:shd w:val="clear" w:color="auto" w:fill="auto"/>
            <w:vAlign w:val="center"/>
            <w:hideMark/>
          </w:tcPr>
          <w:p w14:paraId="0D3F8DA6" w14:textId="77777777" w:rsidR="00410AB2" w:rsidRPr="002231D7" w:rsidRDefault="00410AB2" w:rsidP="004D3912">
            <w:pPr>
              <w:spacing w:before="0"/>
              <w:rPr>
                <w:rFonts w:ascii="Arial Narrow" w:eastAsia="Times New Roman" w:hAnsi="Arial Narrow" w:cs="Calibri"/>
                <w:b/>
                <w:bCs/>
                <w:color w:val="000000"/>
                <w:sz w:val="20"/>
                <w:szCs w:val="20"/>
                <w:lang w:eastAsia="en-AU"/>
              </w:rPr>
            </w:pPr>
            <w:r w:rsidRPr="002231D7">
              <w:rPr>
                <w:rFonts w:ascii="Arial Narrow" w:eastAsia="Times New Roman" w:hAnsi="Arial Narrow" w:cs="Calibri"/>
                <w:b/>
                <w:bCs/>
                <w:color w:val="000000"/>
                <w:sz w:val="20"/>
                <w:szCs w:val="20"/>
                <w:lang w:eastAsia="en-AU"/>
              </w:rPr>
              <w:t>Paediatric population</w:t>
            </w:r>
          </w:p>
        </w:tc>
      </w:tr>
      <w:tr w:rsidR="00410AB2" w:rsidRPr="002231D7" w14:paraId="1837669F" w14:textId="77777777" w:rsidTr="005B0D9D">
        <w:trPr>
          <w:trHeight w:val="300"/>
        </w:trPr>
        <w:tc>
          <w:tcPr>
            <w:tcW w:w="2532" w:type="dxa"/>
            <w:shd w:val="clear" w:color="auto" w:fill="auto"/>
            <w:vAlign w:val="center"/>
            <w:hideMark/>
          </w:tcPr>
          <w:p w14:paraId="119BFB14" w14:textId="77777777" w:rsidR="00410AB2" w:rsidRPr="002231D7" w:rsidRDefault="00410AB2" w:rsidP="004D3912">
            <w:pPr>
              <w:spacing w:before="0"/>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Cost of Bone Marrow Morphology</w:t>
            </w:r>
          </w:p>
        </w:tc>
        <w:tc>
          <w:tcPr>
            <w:tcW w:w="1081" w:type="dxa"/>
            <w:shd w:val="clear" w:color="auto" w:fill="auto"/>
            <w:vAlign w:val="center"/>
            <w:hideMark/>
          </w:tcPr>
          <w:p w14:paraId="27FBFA65"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$96,402</w:t>
            </w:r>
          </w:p>
        </w:tc>
        <w:tc>
          <w:tcPr>
            <w:tcW w:w="1082" w:type="dxa"/>
            <w:shd w:val="clear" w:color="auto" w:fill="auto"/>
            <w:vAlign w:val="center"/>
            <w:hideMark/>
          </w:tcPr>
          <w:p w14:paraId="08C1BD27"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$98,015</w:t>
            </w:r>
          </w:p>
        </w:tc>
        <w:tc>
          <w:tcPr>
            <w:tcW w:w="1081" w:type="dxa"/>
            <w:shd w:val="clear" w:color="auto" w:fill="auto"/>
            <w:vAlign w:val="center"/>
            <w:hideMark/>
          </w:tcPr>
          <w:p w14:paraId="0B822716"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$132,485</w:t>
            </w:r>
          </w:p>
        </w:tc>
        <w:tc>
          <w:tcPr>
            <w:tcW w:w="1082" w:type="dxa"/>
            <w:shd w:val="clear" w:color="auto" w:fill="auto"/>
            <w:vAlign w:val="center"/>
            <w:hideMark/>
          </w:tcPr>
          <w:p w14:paraId="1B222706"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$105,454</w:t>
            </w:r>
          </w:p>
        </w:tc>
        <w:tc>
          <w:tcPr>
            <w:tcW w:w="1081" w:type="dxa"/>
            <w:shd w:val="clear" w:color="auto" w:fill="auto"/>
            <w:vAlign w:val="center"/>
            <w:hideMark/>
          </w:tcPr>
          <w:p w14:paraId="083FD538"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$104,649</w:t>
            </w:r>
          </w:p>
        </w:tc>
        <w:tc>
          <w:tcPr>
            <w:tcW w:w="1082" w:type="dxa"/>
            <w:shd w:val="clear" w:color="auto" w:fill="auto"/>
            <w:vAlign w:val="center"/>
            <w:hideMark/>
          </w:tcPr>
          <w:p w14:paraId="13E37620"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$105,730</w:t>
            </w:r>
          </w:p>
        </w:tc>
      </w:tr>
      <w:tr w:rsidR="00410AB2" w:rsidRPr="002231D7" w14:paraId="665D6066" w14:textId="77777777" w:rsidTr="005B0D9D">
        <w:trPr>
          <w:trHeight w:val="300"/>
        </w:trPr>
        <w:tc>
          <w:tcPr>
            <w:tcW w:w="9021" w:type="dxa"/>
            <w:gridSpan w:val="7"/>
            <w:shd w:val="clear" w:color="auto" w:fill="auto"/>
            <w:vAlign w:val="center"/>
            <w:hideMark/>
          </w:tcPr>
          <w:p w14:paraId="20688FB2" w14:textId="77777777" w:rsidR="00410AB2" w:rsidRPr="002231D7" w:rsidRDefault="00410AB2" w:rsidP="004D3912">
            <w:pPr>
              <w:spacing w:before="0"/>
              <w:rPr>
                <w:rFonts w:ascii="Arial Narrow" w:eastAsia="Times New Roman" w:hAnsi="Arial Narrow" w:cs="Calibri"/>
                <w:b/>
                <w:bCs/>
                <w:color w:val="000000"/>
                <w:sz w:val="20"/>
                <w:szCs w:val="20"/>
                <w:lang w:eastAsia="en-AU"/>
              </w:rPr>
            </w:pPr>
            <w:r w:rsidRPr="002231D7">
              <w:rPr>
                <w:rFonts w:ascii="Arial Narrow" w:eastAsia="Times New Roman" w:hAnsi="Arial Narrow" w:cs="Calibri"/>
                <w:b/>
                <w:bCs/>
                <w:color w:val="000000"/>
                <w:sz w:val="20"/>
                <w:szCs w:val="20"/>
                <w:lang w:eastAsia="en-AU"/>
              </w:rPr>
              <w:t>Adult population</w:t>
            </w:r>
          </w:p>
        </w:tc>
      </w:tr>
      <w:tr w:rsidR="00410AB2" w:rsidRPr="002231D7" w14:paraId="28A1505B" w14:textId="77777777" w:rsidTr="005B0D9D">
        <w:trPr>
          <w:trHeight w:val="300"/>
        </w:trPr>
        <w:tc>
          <w:tcPr>
            <w:tcW w:w="2532" w:type="dxa"/>
            <w:shd w:val="clear" w:color="auto" w:fill="auto"/>
            <w:vAlign w:val="center"/>
            <w:hideMark/>
          </w:tcPr>
          <w:p w14:paraId="274826DC" w14:textId="77777777" w:rsidR="00410AB2" w:rsidRPr="002231D7" w:rsidRDefault="00410AB2" w:rsidP="004D3912">
            <w:pPr>
              <w:spacing w:before="0"/>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Cost of Bone Marrow Morphology</w:t>
            </w:r>
          </w:p>
        </w:tc>
        <w:tc>
          <w:tcPr>
            <w:tcW w:w="1081" w:type="dxa"/>
            <w:shd w:val="clear" w:color="auto" w:fill="auto"/>
            <w:vAlign w:val="center"/>
            <w:hideMark/>
          </w:tcPr>
          <w:p w14:paraId="16079ECA"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$102,457</w:t>
            </w:r>
          </w:p>
        </w:tc>
        <w:tc>
          <w:tcPr>
            <w:tcW w:w="1082" w:type="dxa"/>
            <w:shd w:val="clear" w:color="auto" w:fill="auto"/>
            <w:vAlign w:val="center"/>
            <w:hideMark/>
          </w:tcPr>
          <w:p w14:paraId="3D636F32"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$104,171</w:t>
            </w:r>
          </w:p>
        </w:tc>
        <w:tc>
          <w:tcPr>
            <w:tcW w:w="1081" w:type="dxa"/>
            <w:shd w:val="clear" w:color="auto" w:fill="auto"/>
            <w:vAlign w:val="center"/>
            <w:hideMark/>
          </w:tcPr>
          <w:p w14:paraId="2AAD9367"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$143,060</w:t>
            </w:r>
          </w:p>
        </w:tc>
        <w:tc>
          <w:tcPr>
            <w:tcW w:w="1082" w:type="dxa"/>
            <w:shd w:val="clear" w:color="auto" w:fill="auto"/>
            <w:vAlign w:val="center"/>
            <w:hideMark/>
          </w:tcPr>
          <w:p w14:paraId="5FFC9FC5"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$114,089</w:t>
            </w:r>
          </w:p>
        </w:tc>
        <w:tc>
          <w:tcPr>
            <w:tcW w:w="1081" w:type="dxa"/>
            <w:shd w:val="clear" w:color="auto" w:fill="auto"/>
            <w:vAlign w:val="center"/>
            <w:hideMark/>
          </w:tcPr>
          <w:p w14:paraId="798A4219"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$111,956</w:t>
            </w:r>
          </w:p>
        </w:tc>
        <w:tc>
          <w:tcPr>
            <w:tcW w:w="1082" w:type="dxa"/>
            <w:shd w:val="clear" w:color="auto" w:fill="auto"/>
            <w:vAlign w:val="center"/>
            <w:hideMark/>
          </w:tcPr>
          <w:p w14:paraId="4816AAC0"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$112,695</w:t>
            </w:r>
          </w:p>
        </w:tc>
      </w:tr>
      <w:tr w:rsidR="00D320C7" w:rsidRPr="002231D7" w14:paraId="78E916E3" w14:textId="77777777" w:rsidTr="007105BB">
        <w:trPr>
          <w:trHeight w:val="390"/>
        </w:trPr>
        <w:tc>
          <w:tcPr>
            <w:tcW w:w="2532" w:type="dxa"/>
            <w:shd w:val="clear" w:color="auto" w:fill="auto"/>
            <w:vAlign w:val="center"/>
            <w:hideMark/>
          </w:tcPr>
          <w:p w14:paraId="4F948D46" w14:textId="2E34BC1F" w:rsidR="00410AB2" w:rsidRPr="002231D7" w:rsidRDefault="00410AB2" w:rsidP="004D3912">
            <w:pPr>
              <w:spacing w:before="0"/>
              <w:rPr>
                <w:rFonts w:ascii="Arial Narrow" w:eastAsia="Times New Roman" w:hAnsi="Arial Narrow" w:cs="Calibri"/>
                <w:b/>
                <w:bCs/>
                <w:color w:val="000000"/>
                <w:sz w:val="20"/>
                <w:szCs w:val="20"/>
                <w:lang w:eastAsia="en-AU"/>
              </w:rPr>
            </w:pPr>
            <w:r w:rsidRPr="002231D7">
              <w:rPr>
                <w:rFonts w:ascii="Arial Narrow" w:eastAsia="Times New Roman" w:hAnsi="Arial Narrow" w:cs="Calibri"/>
                <w:b/>
                <w:bCs/>
                <w:color w:val="000000"/>
                <w:sz w:val="20"/>
                <w:szCs w:val="20"/>
                <w:lang w:eastAsia="en-AU"/>
              </w:rPr>
              <w:t>Total cost (</w:t>
            </w:r>
            <w:r w:rsidR="005E19ED">
              <w:rPr>
                <w:rFonts w:ascii="Arial Narrow" w:eastAsia="Times New Roman" w:hAnsi="Arial Narrow" w:cs="Calibri"/>
                <w:b/>
                <w:bCs/>
                <w:color w:val="000000"/>
                <w:sz w:val="20"/>
                <w:szCs w:val="20"/>
                <w:lang w:eastAsia="en-AU"/>
              </w:rPr>
              <w:t>paediatric patients</w:t>
            </w:r>
            <w:r w:rsidRPr="002231D7">
              <w:rPr>
                <w:rFonts w:ascii="Arial Narrow" w:eastAsia="Times New Roman" w:hAnsi="Arial Narrow" w:cs="Calibri"/>
                <w:b/>
                <w:bCs/>
                <w:color w:val="000000"/>
                <w:sz w:val="20"/>
                <w:szCs w:val="20"/>
                <w:lang w:eastAsia="en-AU"/>
              </w:rPr>
              <w:t xml:space="preserve"> and adults combined)</w:t>
            </w:r>
          </w:p>
        </w:tc>
        <w:tc>
          <w:tcPr>
            <w:tcW w:w="1081" w:type="dxa"/>
            <w:shd w:val="clear" w:color="auto" w:fill="auto"/>
            <w:vAlign w:val="center"/>
            <w:hideMark/>
          </w:tcPr>
          <w:p w14:paraId="10FC8495" w14:textId="77777777" w:rsidR="00410AB2" w:rsidRPr="002231D7" w:rsidRDefault="00410AB2" w:rsidP="00EB5AD2">
            <w:pPr>
              <w:spacing w:before="0"/>
              <w:jc w:val="right"/>
              <w:rPr>
                <w:rFonts w:ascii="Arial Narrow" w:eastAsia="Times New Roman" w:hAnsi="Arial Narrow" w:cs="Calibri"/>
                <w:b/>
                <w:bCs/>
                <w:color w:val="000000"/>
                <w:sz w:val="20"/>
                <w:szCs w:val="20"/>
                <w:lang w:eastAsia="en-AU"/>
              </w:rPr>
            </w:pPr>
            <w:r w:rsidRPr="002231D7">
              <w:rPr>
                <w:rFonts w:ascii="Arial Narrow" w:eastAsia="Times New Roman" w:hAnsi="Arial Narrow" w:cs="Calibri"/>
                <w:b/>
                <w:bCs/>
                <w:color w:val="000000"/>
                <w:sz w:val="20"/>
                <w:szCs w:val="20"/>
                <w:lang w:eastAsia="en-AU"/>
              </w:rPr>
              <w:t>$198,859</w:t>
            </w:r>
          </w:p>
        </w:tc>
        <w:tc>
          <w:tcPr>
            <w:tcW w:w="1082" w:type="dxa"/>
            <w:shd w:val="clear" w:color="auto" w:fill="auto"/>
            <w:vAlign w:val="center"/>
            <w:hideMark/>
          </w:tcPr>
          <w:p w14:paraId="42770CEA" w14:textId="77777777" w:rsidR="00410AB2" w:rsidRPr="002231D7" w:rsidRDefault="00410AB2" w:rsidP="00EB5AD2">
            <w:pPr>
              <w:spacing w:before="0"/>
              <w:jc w:val="right"/>
              <w:rPr>
                <w:rFonts w:ascii="Arial Narrow" w:eastAsia="Times New Roman" w:hAnsi="Arial Narrow" w:cs="Calibri"/>
                <w:b/>
                <w:bCs/>
                <w:color w:val="000000"/>
                <w:sz w:val="20"/>
                <w:szCs w:val="20"/>
                <w:lang w:eastAsia="en-AU"/>
              </w:rPr>
            </w:pPr>
            <w:r w:rsidRPr="002231D7">
              <w:rPr>
                <w:rFonts w:ascii="Arial Narrow" w:eastAsia="Times New Roman" w:hAnsi="Arial Narrow" w:cs="Calibri"/>
                <w:b/>
                <w:bCs/>
                <w:color w:val="000000"/>
                <w:sz w:val="20"/>
                <w:szCs w:val="20"/>
                <w:lang w:eastAsia="en-AU"/>
              </w:rPr>
              <w:t>$202,186</w:t>
            </w:r>
          </w:p>
        </w:tc>
        <w:tc>
          <w:tcPr>
            <w:tcW w:w="1081" w:type="dxa"/>
            <w:shd w:val="clear" w:color="auto" w:fill="auto"/>
            <w:vAlign w:val="center"/>
            <w:hideMark/>
          </w:tcPr>
          <w:p w14:paraId="6C373D1B" w14:textId="77777777" w:rsidR="00410AB2" w:rsidRPr="002231D7" w:rsidRDefault="00410AB2" w:rsidP="00EB5AD2">
            <w:pPr>
              <w:spacing w:before="0"/>
              <w:jc w:val="right"/>
              <w:rPr>
                <w:rFonts w:ascii="Arial Narrow" w:eastAsia="Times New Roman" w:hAnsi="Arial Narrow" w:cs="Calibri"/>
                <w:b/>
                <w:bCs/>
                <w:color w:val="000000"/>
                <w:sz w:val="20"/>
                <w:szCs w:val="20"/>
                <w:lang w:eastAsia="en-AU"/>
              </w:rPr>
            </w:pPr>
            <w:r w:rsidRPr="002231D7">
              <w:rPr>
                <w:rFonts w:ascii="Arial Narrow" w:eastAsia="Times New Roman" w:hAnsi="Arial Narrow" w:cs="Calibri"/>
                <w:b/>
                <w:bCs/>
                <w:color w:val="000000"/>
                <w:sz w:val="20"/>
                <w:szCs w:val="20"/>
                <w:lang w:eastAsia="en-AU"/>
              </w:rPr>
              <w:t>$275,545</w:t>
            </w:r>
          </w:p>
        </w:tc>
        <w:tc>
          <w:tcPr>
            <w:tcW w:w="1082" w:type="dxa"/>
            <w:shd w:val="clear" w:color="auto" w:fill="auto"/>
            <w:vAlign w:val="center"/>
            <w:hideMark/>
          </w:tcPr>
          <w:p w14:paraId="1E301552" w14:textId="77777777" w:rsidR="00410AB2" w:rsidRPr="002231D7" w:rsidRDefault="00410AB2" w:rsidP="00EB5AD2">
            <w:pPr>
              <w:spacing w:before="0"/>
              <w:jc w:val="right"/>
              <w:rPr>
                <w:rFonts w:ascii="Arial Narrow" w:eastAsia="Times New Roman" w:hAnsi="Arial Narrow" w:cs="Calibri"/>
                <w:b/>
                <w:bCs/>
                <w:color w:val="000000"/>
                <w:sz w:val="20"/>
                <w:szCs w:val="20"/>
                <w:lang w:eastAsia="en-AU"/>
              </w:rPr>
            </w:pPr>
            <w:r w:rsidRPr="002231D7">
              <w:rPr>
                <w:rFonts w:ascii="Arial Narrow" w:eastAsia="Times New Roman" w:hAnsi="Arial Narrow" w:cs="Calibri"/>
                <w:b/>
                <w:bCs/>
                <w:color w:val="000000"/>
                <w:sz w:val="20"/>
                <w:szCs w:val="20"/>
                <w:lang w:eastAsia="en-AU"/>
              </w:rPr>
              <w:t>$219,543</w:t>
            </w:r>
          </w:p>
        </w:tc>
        <w:tc>
          <w:tcPr>
            <w:tcW w:w="1081" w:type="dxa"/>
            <w:shd w:val="clear" w:color="auto" w:fill="auto"/>
            <w:vAlign w:val="center"/>
            <w:hideMark/>
          </w:tcPr>
          <w:p w14:paraId="35AE9C78" w14:textId="77777777" w:rsidR="00410AB2" w:rsidRPr="002231D7" w:rsidRDefault="00410AB2" w:rsidP="00EB5AD2">
            <w:pPr>
              <w:spacing w:before="0"/>
              <w:jc w:val="right"/>
              <w:rPr>
                <w:rFonts w:ascii="Arial Narrow" w:eastAsia="Times New Roman" w:hAnsi="Arial Narrow" w:cs="Calibri"/>
                <w:b/>
                <w:bCs/>
                <w:color w:val="000000"/>
                <w:sz w:val="20"/>
                <w:szCs w:val="20"/>
                <w:lang w:eastAsia="en-AU"/>
              </w:rPr>
            </w:pPr>
            <w:r w:rsidRPr="002231D7">
              <w:rPr>
                <w:rFonts w:ascii="Arial Narrow" w:eastAsia="Times New Roman" w:hAnsi="Arial Narrow" w:cs="Calibri"/>
                <w:b/>
                <w:bCs/>
                <w:color w:val="000000"/>
                <w:sz w:val="20"/>
                <w:szCs w:val="20"/>
                <w:lang w:eastAsia="en-AU"/>
              </w:rPr>
              <w:t>$216,605</w:t>
            </w:r>
          </w:p>
        </w:tc>
        <w:tc>
          <w:tcPr>
            <w:tcW w:w="1082" w:type="dxa"/>
            <w:shd w:val="clear" w:color="auto" w:fill="auto"/>
            <w:vAlign w:val="center"/>
            <w:hideMark/>
          </w:tcPr>
          <w:p w14:paraId="06B56B7C" w14:textId="77777777" w:rsidR="00410AB2" w:rsidRPr="002231D7" w:rsidRDefault="00410AB2" w:rsidP="00EB5AD2">
            <w:pPr>
              <w:spacing w:before="0"/>
              <w:jc w:val="right"/>
              <w:rPr>
                <w:rFonts w:ascii="Arial Narrow" w:eastAsia="Times New Roman" w:hAnsi="Arial Narrow" w:cs="Calibri"/>
                <w:b/>
                <w:bCs/>
                <w:color w:val="000000"/>
                <w:sz w:val="20"/>
                <w:szCs w:val="20"/>
                <w:lang w:eastAsia="en-AU"/>
              </w:rPr>
            </w:pPr>
            <w:r w:rsidRPr="002231D7">
              <w:rPr>
                <w:rFonts w:ascii="Arial Narrow" w:eastAsia="Times New Roman" w:hAnsi="Arial Narrow" w:cs="Calibri"/>
                <w:b/>
                <w:bCs/>
                <w:color w:val="000000"/>
                <w:sz w:val="20"/>
                <w:szCs w:val="20"/>
                <w:lang w:eastAsia="en-AU"/>
              </w:rPr>
              <w:t>$218,425</w:t>
            </w:r>
          </w:p>
        </w:tc>
      </w:tr>
      <w:tr w:rsidR="00410AB2" w:rsidRPr="002231D7" w14:paraId="60FCAF5B" w14:textId="77777777" w:rsidTr="005B0D9D">
        <w:trPr>
          <w:trHeight w:val="300"/>
        </w:trPr>
        <w:tc>
          <w:tcPr>
            <w:tcW w:w="9021" w:type="dxa"/>
            <w:gridSpan w:val="7"/>
            <w:shd w:val="clear" w:color="auto" w:fill="auto"/>
            <w:vAlign w:val="center"/>
            <w:hideMark/>
          </w:tcPr>
          <w:p w14:paraId="211FEE10" w14:textId="77777777" w:rsidR="00410AB2" w:rsidRPr="002231D7" w:rsidRDefault="00410AB2" w:rsidP="004D3912">
            <w:pPr>
              <w:spacing w:before="0"/>
              <w:rPr>
                <w:rFonts w:ascii="Arial Narrow" w:eastAsia="Times New Roman" w:hAnsi="Arial Narrow" w:cs="Calibri"/>
                <w:b/>
                <w:bCs/>
                <w:color w:val="000000"/>
                <w:sz w:val="20"/>
                <w:szCs w:val="20"/>
                <w:lang w:eastAsia="en-AU"/>
              </w:rPr>
            </w:pPr>
            <w:r w:rsidRPr="002231D7">
              <w:rPr>
                <w:rFonts w:ascii="Arial Narrow" w:eastAsia="Times New Roman" w:hAnsi="Arial Narrow" w:cs="Calibri"/>
                <w:b/>
                <w:bCs/>
                <w:color w:val="000000"/>
                <w:sz w:val="20"/>
                <w:szCs w:val="20"/>
                <w:lang w:eastAsia="en-AU"/>
              </w:rPr>
              <w:t xml:space="preserve">Cost </w:t>
            </w:r>
            <w:r w:rsidRPr="00A763DF">
              <w:rPr>
                <w:rFonts w:ascii="Arial Narrow" w:eastAsia="Times New Roman" w:hAnsi="Arial Narrow" w:cs="Calibri"/>
                <w:b/>
                <w:bCs/>
                <w:color w:val="000000"/>
                <w:sz w:val="20"/>
                <w:szCs w:val="20"/>
                <w:shd w:val="clear" w:color="auto" w:fill="F2F2F2" w:themeFill="background1" w:themeFillShade="F2"/>
                <w:lang w:eastAsia="en-AU"/>
              </w:rPr>
              <w:t>of MRD testing - world with MRD testing</w:t>
            </w:r>
          </w:p>
        </w:tc>
      </w:tr>
      <w:tr w:rsidR="00410AB2" w:rsidRPr="002231D7" w14:paraId="29D9B92E" w14:textId="77777777" w:rsidTr="005B0D9D">
        <w:trPr>
          <w:trHeight w:val="300"/>
        </w:trPr>
        <w:tc>
          <w:tcPr>
            <w:tcW w:w="9021" w:type="dxa"/>
            <w:gridSpan w:val="7"/>
            <w:shd w:val="clear" w:color="auto" w:fill="auto"/>
            <w:vAlign w:val="center"/>
            <w:hideMark/>
          </w:tcPr>
          <w:p w14:paraId="58E02434" w14:textId="77777777" w:rsidR="00410AB2" w:rsidRPr="002231D7" w:rsidRDefault="00410AB2" w:rsidP="004D3912">
            <w:pPr>
              <w:spacing w:before="0"/>
              <w:rPr>
                <w:rFonts w:ascii="Arial Narrow" w:eastAsia="Times New Roman" w:hAnsi="Arial Narrow" w:cs="Calibri"/>
                <w:b/>
                <w:bCs/>
                <w:color w:val="000000"/>
                <w:sz w:val="20"/>
                <w:szCs w:val="20"/>
                <w:lang w:eastAsia="en-AU"/>
              </w:rPr>
            </w:pPr>
            <w:r w:rsidRPr="002231D7">
              <w:rPr>
                <w:rFonts w:ascii="Arial Narrow" w:eastAsia="Times New Roman" w:hAnsi="Arial Narrow" w:cs="Calibri"/>
                <w:b/>
                <w:bCs/>
                <w:color w:val="000000"/>
                <w:sz w:val="20"/>
                <w:szCs w:val="20"/>
                <w:lang w:eastAsia="en-AU"/>
              </w:rPr>
              <w:lastRenderedPageBreak/>
              <w:t>Paediatric population</w:t>
            </w:r>
          </w:p>
        </w:tc>
      </w:tr>
      <w:tr w:rsidR="00410AB2" w:rsidRPr="002231D7" w14:paraId="7147CB8D" w14:textId="77777777" w:rsidTr="005B0D9D">
        <w:trPr>
          <w:trHeight w:val="300"/>
        </w:trPr>
        <w:tc>
          <w:tcPr>
            <w:tcW w:w="2532" w:type="dxa"/>
            <w:shd w:val="clear" w:color="auto" w:fill="auto"/>
            <w:vAlign w:val="center"/>
            <w:hideMark/>
          </w:tcPr>
          <w:p w14:paraId="20A1EED5" w14:textId="77777777" w:rsidR="00410AB2" w:rsidRPr="002231D7" w:rsidRDefault="00410AB2" w:rsidP="004D3912">
            <w:pPr>
              <w:spacing w:before="0"/>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Cost of Bone Marrow Morphology</w:t>
            </w:r>
          </w:p>
        </w:tc>
        <w:tc>
          <w:tcPr>
            <w:tcW w:w="1081" w:type="dxa"/>
            <w:shd w:val="clear" w:color="auto" w:fill="auto"/>
            <w:vAlign w:val="center"/>
            <w:hideMark/>
          </w:tcPr>
          <w:p w14:paraId="7F54220A"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$96,402</w:t>
            </w:r>
          </w:p>
        </w:tc>
        <w:tc>
          <w:tcPr>
            <w:tcW w:w="1082" w:type="dxa"/>
            <w:shd w:val="clear" w:color="auto" w:fill="auto"/>
            <w:vAlign w:val="center"/>
            <w:hideMark/>
          </w:tcPr>
          <w:p w14:paraId="59AAD078"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$98,015</w:t>
            </w:r>
          </w:p>
        </w:tc>
        <w:tc>
          <w:tcPr>
            <w:tcW w:w="1081" w:type="dxa"/>
            <w:shd w:val="clear" w:color="auto" w:fill="auto"/>
            <w:vAlign w:val="center"/>
            <w:hideMark/>
          </w:tcPr>
          <w:p w14:paraId="090C68BC"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$132,485</w:t>
            </w:r>
          </w:p>
        </w:tc>
        <w:tc>
          <w:tcPr>
            <w:tcW w:w="1082" w:type="dxa"/>
            <w:shd w:val="clear" w:color="auto" w:fill="auto"/>
            <w:vAlign w:val="center"/>
            <w:hideMark/>
          </w:tcPr>
          <w:p w14:paraId="3C1A9F4E"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$105,454</w:t>
            </w:r>
          </w:p>
        </w:tc>
        <w:tc>
          <w:tcPr>
            <w:tcW w:w="1081" w:type="dxa"/>
            <w:shd w:val="clear" w:color="auto" w:fill="auto"/>
            <w:vAlign w:val="center"/>
            <w:hideMark/>
          </w:tcPr>
          <w:p w14:paraId="645E5737"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$104,649</w:t>
            </w:r>
          </w:p>
        </w:tc>
        <w:tc>
          <w:tcPr>
            <w:tcW w:w="1082" w:type="dxa"/>
            <w:shd w:val="clear" w:color="auto" w:fill="auto"/>
            <w:vAlign w:val="center"/>
            <w:hideMark/>
          </w:tcPr>
          <w:p w14:paraId="1244B7B1"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$105,730</w:t>
            </w:r>
          </w:p>
        </w:tc>
      </w:tr>
      <w:tr w:rsidR="00410AB2" w:rsidRPr="002231D7" w14:paraId="10966F2B" w14:textId="77777777" w:rsidTr="005B0D9D">
        <w:trPr>
          <w:trHeight w:val="300"/>
        </w:trPr>
        <w:tc>
          <w:tcPr>
            <w:tcW w:w="2532" w:type="dxa"/>
            <w:shd w:val="clear" w:color="auto" w:fill="auto"/>
            <w:vAlign w:val="center"/>
            <w:hideMark/>
          </w:tcPr>
          <w:p w14:paraId="6A58E0A6" w14:textId="77777777" w:rsidR="00410AB2" w:rsidRPr="002231D7" w:rsidRDefault="00410AB2" w:rsidP="004D3912">
            <w:pPr>
              <w:spacing w:before="0"/>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 xml:space="preserve">Cost of MRD tests by </w:t>
            </w:r>
            <w:proofErr w:type="spellStart"/>
            <w:r w:rsidRPr="002231D7">
              <w:rPr>
                <w:rFonts w:ascii="Arial Narrow" w:eastAsia="Times New Roman" w:hAnsi="Arial Narrow" w:cs="Calibri"/>
                <w:color w:val="000000"/>
                <w:sz w:val="20"/>
                <w:szCs w:val="20"/>
                <w:lang w:eastAsia="en-AU"/>
              </w:rPr>
              <w:t>mpFC</w:t>
            </w:r>
            <w:proofErr w:type="spellEnd"/>
            <w:r w:rsidRPr="002231D7">
              <w:rPr>
                <w:rFonts w:ascii="Arial Narrow" w:eastAsia="Times New Roman" w:hAnsi="Arial Narrow" w:cs="Calibri"/>
                <w:color w:val="000000"/>
                <w:sz w:val="20"/>
                <w:szCs w:val="20"/>
                <w:lang w:eastAsia="en-AU"/>
              </w:rPr>
              <w:t xml:space="preserve"> (AAAA services)</w:t>
            </w:r>
          </w:p>
        </w:tc>
        <w:tc>
          <w:tcPr>
            <w:tcW w:w="1081" w:type="dxa"/>
            <w:shd w:val="clear" w:color="auto" w:fill="auto"/>
            <w:vAlign w:val="center"/>
            <w:hideMark/>
          </w:tcPr>
          <w:p w14:paraId="6EAF2707"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$114,450</w:t>
            </w:r>
          </w:p>
        </w:tc>
        <w:tc>
          <w:tcPr>
            <w:tcW w:w="1082" w:type="dxa"/>
            <w:shd w:val="clear" w:color="auto" w:fill="auto"/>
            <w:vAlign w:val="center"/>
            <w:hideMark/>
          </w:tcPr>
          <w:p w14:paraId="507938DE"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$116,365</w:t>
            </w:r>
          </w:p>
        </w:tc>
        <w:tc>
          <w:tcPr>
            <w:tcW w:w="1081" w:type="dxa"/>
            <w:shd w:val="clear" w:color="auto" w:fill="auto"/>
            <w:vAlign w:val="center"/>
            <w:hideMark/>
          </w:tcPr>
          <w:p w14:paraId="55878A44"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$138,932</w:t>
            </w:r>
          </w:p>
        </w:tc>
        <w:tc>
          <w:tcPr>
            <w:tcW w:w="1082" w:type="dxa"/>
            <w:shd w:val="clear" w:color="auto" w:fill="auto"/>
            <w:vAlign w:val="center"/>
            <w:hideMark/>
          </w:tcPr>
          <w:p w14:paraId="4BD048F1"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$135,276</w:t>
            </w:r>
          </w:p>
        </w:tc>
        <w:tc>
          <w:tcPr>
            <w:tcW w:w="1081" w:type="dxa"/>
            <w:shd w:val="clear" w:color="auto" w:fill="auto"/>
            <w:vAlign w:val="center"/>
            <w:hideMark/>
          </w:tcPr>
          <w:p w14:paraId="108B1128"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$146,836</w:t>
            </w:r>
          </w:p>
        </w:tc>
        <w:tc>
          <w:tcPr>
            <w:tcW w:w="1082" w:type="dxa"/>
            <w:shd w:val="clear" w:color="auto" w:fill="auto"/>
            <w:vAlign w:val="center"/>
            <w:hideMark/>
          </w:tcPr>
          <w:p w14:paraId="421DE992"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$154,046</w:t>
            </w:r>
          </w:p>
        </w:tc>
      </w:tr>
      <w:tr w:rsidR="00410AB2" w:rsidRPr="002231D7" w14:paraId="726FB47B" w14:textId="77777777" w:rsidTr="005B0D9D">
        <w:trPr>
          <w:trHeight w:val="300"/>
        </w:trPr>
        <w:tc>
          <w:tcPr>
            <w:tcW w:w="2532" w:type="dxa"/>
            <w:shd w:val="clear" w:color="auto" w:fill="auto"/>
            <w:vAlign w:val="center"/>
            <w:hideMark/>
          </w:tcPr>
          <w:p w14:paraId="76337206" w14:textId="77777777" w:rsidR="00410AB2" w:rsidRPr="002231D7" w:rsidRDefault="00410AB2" w:rsidP="004D3912">
            <w:pPr>
              <w:spacing w:before="0"/>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Cost of MRD tests by NGS (BBBB services)</w:t>
            </w:r>
          </w:p>
        </w:tc>
        <w:tc>
          <w:tcPr>
            <w:tcW w:w="1081" w:type="dxa"/>
            <w:shd w:val="clear" w:color="auto" w:fill="auto"/>
            <w:vAlign w:val="center"/>
            <w:hideMark/>
          </w:tcPr>
          <w:p w14:paraId="2EAA533B"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$580,494</w:t>
            </w:r>
          </w:p>
        </w:tc>
        <w:tc>
          <w:tcPr>
            <w:tcW w:w="1082" w:type="dxa"/>
            <w:shd w:val="clear" w:color="auto" w:fill="auto"/>
            <w:vAlign w:val="center"/>
            <w:hideMark/>
          </w:tcPr>
          <w:p w14:paraId="5747CC6F"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$590,209</w:t>
            </w:r>
          </w:p>
        </w:tc>
        <w:tc>
          <w:tcPr>
            <w:tcW w:w="1081" w:type="dxa"/>
            <w:shd w:val="clear" w:color="auto" w:fill="auto"/>
            <w:vAlign w:val="center"/>
            <w:hideMark/>
          </w:tcPr>
          <w:p w14:paraId="787A9B88"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$671,893</w:t>
            </w:r>
          </w:p>
        </w:tc>
        <w:tc>
          <w:tcPr>
            <w:tcW w:w="1082" w:type="dxa"/>
            <w:shd w:val="clear" w:color="auto" w:fill="auto"/>
            <w:vAlign w:val="center"/>
            <w:hideMark/>
          </w:tcPr>
          <w:p w14:paraId="12ADAF1D"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$637,337</w:t>
            </w:r>
          </w:p>
        </w:tc>
        <w:tc>
          <w:tcPr>
            <w:tcW w:w="1081" w:type="dxa"/>
            <w:shd w:val="clear" w:color="auto" w:fill="auto"/>
            <w:vAlign w:val="center"/>
            <w:hideMark/>
          </w:tcPr>
          <w:p w14:paraId="2C23A502"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$636,219</w:t>
            </w:r>
          </w:p>
        </w:tc>
        <w:tc>
          <w:tcPr>
            <w:tcW w:w="1082" w:type="dxa"/>
            <w:shd w:val="clear" w:color="auto" w:fill="auto"/>
            <w:vAlign w:val="center"/>
            <w:hideMark/>
          </w:tcPr>
          <w:p w14:paraId="6E7DFD6A"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$641,590</w:t>
            </w:r>
          </w:p>
        </w:tc>
      </w:tr>
      <w:tr w:rsidR="001311D7" w:rsidRPr="002231D7" w14:paraId="5C2A7981" w14:textId="77777777" w:rsidTr="00F55430">
        <w:trPr>
          <w:trHeight w:val="530"/>
        </w:trPr>
        <w:tc>
          <w:tcPr>
            <w:tcW w:w="2532" w:type="dxa"/>
            <w:shd w:val="clear" w:color="auto" w:fill="D9D9D9" w:themeFill="background1" w:themeFillShade="D9"/>
            <w:vAlign w:val="center"/>
            <w:hideMark/>
          </w:tcPr>
          <w:p w14:paraId="426BBEF5" w14:textId="77777777" w:rsidR="00410AB2" w:rsidRPr="002231D7" w:rsidRDefault="00410AB2" w:rsidP="004D3912">
            <w:pPr>
              <w:spacing w:before="0"/>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Cost of MRD tests by ASO-qPCR (CCCC services)</w:t>
            </w:r>
          </w:p>
        </w:tc>
        <w:tc>
          <w:tcPr>
            <w:tcW w:w="1081" w:type="dxa"/>
            <w:shd w:val="clear" w:color="auto" w:fill="D9D9D9" w:themeFill="background1" w:themeFillShade="D9"/>
            <w:vAlign w:val="center"/>
            <w:hideMark/>
          </w:tcPr>
          <w:p w14:paraId="3A89829D"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$227,113</w:t>
            </w:r>
          </w:p>
        </w:tc>
        <w:tc>
          <w:tcPr>
            <w:tcW w:w="1082" w:type="dxa"/>
            <w:shd w:val="clear" w:color="auto" w:fill="D9D9D9" w:themeFill="background1" w:themeFillShade="D9"/>
            <w:vAlign w:val="center"/>
            <w:hideMark/>
          </w:tcPr>
          <w:p w14:paraId="4864910F"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$230,914</w:t>
            </w:r>
          </w:p>
        </w:tc>
        <w:tc>
          <w:tcPr>
            <w:tcW w:w="1081" w:type="dxa"/>
            <w:shd w:val="clear" w:color="auto" w:fill="D9D9D9" w:themeFill="background1" w:themeFillShade="D9"/>
            <w:vAlign w:val="center"/>
            <w:hideMark/>
          </w:tcPr>
          <w:p w14:paraId="551DC5FD"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$234,778</w:t>
            </w:r>
          </w:p>
        </w:tc>
        <w:tc>
          <w:tcPr>
            <w:tcW w:w="1082" w:type="dxa"/>
            <w:shd w:val="clear" w:color="auto" w:fill="D9D9D9" w:themeFill="background1" w:themeFillShade="D9"/>
            <w:vAlign w:val="center"/>
            <w:hideMark/>
          </w:tcPr>
          <w:p w14:paraId="72415712"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$238,707</w:t>
            </w:r>
          </w:p>
        </w:tc>
        <w:tc>
          <w:tcPr>
            <w:tcW w:w="1081" w:type="dxa"/>
            <w:shd w:val="clear" w:color="auto" w:fill="D9D9D9" w:themeFill="background1" w:themeFillShade="D9"/>
            <w:vAlign w:val="center"/>
            <w:hideMark/>
          </w:tcPr>
          <w:p w14:paraId="4FB6376A"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$242,702</w:t>
            </w:r>
          </w:p>
        </w:tc>
        <w:tc>
          <w:tcPr>
            <w:tcW w:w="1082" w:type="dxa"/>
            <w:shd w:val="clear" w:color="auto" w:fill="D9D9D9" w:themeFill="background1" w:themeFillShade="D9"/>
            <w:vAlign w:val="center"/>
            <w:hideMark/>
          </w:tcPr>
          <w:p w14:paraId="1C78AA50"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$246,764</w:t>
            </w:r>
          </w:p>
        </w:tc>
      </w:tr>
      <w:tr w:rsidR="001311D7" w:rsidRPr="002231D7" w14:paraId="171AB86A" w14:textId="77777777" w:rsidTr="00F55430">
        <w:trPr>
          <w:trHeight w:val="530"/>
        </w:trPr>
        <w:tc>
          <w:tcPr>
            <w:tcW w:w="2532" w:type="dxa"/>
            <w:shd w:val="clear" w:color="auto" w:fill="D9D9D9" w:themeFill="background1" w:themeFillShade="D9"/>
            <w:vAlign w:val="center"/>
            <w:hideMark/>
          </w:tcPr>
          <w:p w14:paraId="64843DC7" w14:textId="77777777" w:rsidR="00410AB2" w:rsidRPr="002231D7" w:rsidRDefault="00410AB2" w:rsidP="004D3912">
            <w:pPr>
              <w:spacing w:before="0"/>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Cost of MRD tests by ASO-qPCR (DDDD services)</w:t>
            </w:r>
          </w:p>
        </w:tc>
        <w:tc>
          <w:tcPr>
            <w:tcW w:w="1081" w:type="dxa"/>
            <w:shd w:val="clear" w:color="auto" w:fill="D9D9D9" w:themeFill="background1" w:themeFillShade="D9"/>
            <w:vAlign w:val="center"/>
            <w:hideMark/>
          </w:tcPr>
          <w:p w14:paraId="4042D50F"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$220,010</w:t>
            </w:r>
          </w:p>
        </w:tc>
        <w:tc>
          <w:tcPr>
            <w:tcW w:w="1082" w:type="dxa"/>
            <w:shd w:val="clear" w:color="auto" w:fill="D9D9D9" w:themeFill="background1" w:themeFillShade="D9"/>
            <w:vAlign w:val="center"/>
            <w:hideMark/>
          </w:tcPr>
          <w:p w14:paraId="5EF46B27"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$223,692</w:t>
            </w:r>
          </w:p>
        </w:tc>
        <w:tc>
          <w:tcPr>
            <w:tcW w:w="1081" w:type="dxa"/>
            <w:shd w:val="clear" w:color="auto" w:fill="D9D9D9" w:themeFill="background1" w:themeFillShade="D9"/>
            <w:vAlign w:val="center"/>
            <w:hideMark/>
          </w:tcPr>
          <w:p w14:paraId="61BF94AD"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$276,071</w:t>
            </w:r>
          </w:p>
        </w:tc>
        <w:tc>
          <w:tcPr>
            <w:tcW w:w="1082" w:type="dxa"/>
            <w:shd w:val="clear" w:color="auto" w:fill="D9D9D9" w:themeFill="background1" w:themeFillShade="D9"/>
            <w:vAlign w:val="center"/>
            <w:hideMark/>
          </w:tcPr>
          <w:p w14:paraId="0DB7A511"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$251,367</w:t>
            </w:r>
          </w:p>
        </w:tc>
        <w:tc>
          <w:tcPr>
            <w:tcW w:w="1081" w:type="dxa"/>
            <w:shd w:val="clear" w:color="auto" w:fill="D9D9D9" w:themeFill="background1" w:themeFillShade="D9"/>
            <w:vAlign w:val="center"/>
            <w:hideMark/>
          </w:tcPr>
          <w:p w14:paraId="59442616"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$247,060</w:t>
            </w:r>
          </w:p>
        </w:tc>
        <w:tc>
          <w:tcPr>
            <w:tcW w:w="1082" w:type="dxa"/>
            <w:shd w:val="clear" w:color="auto" w:fill="D9D9D9" w:themeFill="background1" w:themeFillShade="D9"/>
            <w:vAlign w:val="center"/>
            <w:hideMark/>
          </w:tcPr>
          <w:p w14:paraId="2675FA94"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$247,119</w:t>
            </w:r>
          </w:p>
        </w:tc>
      </w:tr>
      <w:tr w:rsidR="00410AB2" w:rsidRPr="002231D7" w14:paraId="71764447" w14:textId="77777777" w:rsidTr="005B0D9D">
        <w:trPr>
          <w:trHeight w:val="300"/>
        </w:trPr>
        <w:tc>
          <w:tcPr>
            <w:tcW w:w="2532" w:type="dxa"/>
            <w:shd w:val="clear" w:color="auto" w:fill="auto"/>
            <w:vAlign w:val="center"/>
            <w:hideMark/>
          </w:tcPr>
          <w:p w14:paraId="77217A45" w14:textId="3821AABC" w:rsidR="00410AB2" w:rsidRPr="002231D7" w:rsidRDefault="00410AB2" w:rsidP="004D3912">
            <w:pPr>
              <w:spacing w:before="0"/>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Total cost (</w:t>
            </w:r>
            <w:r w:rsidR="005E19ED">
              <w:rPr>
                <w:rFonts w:ascii="Arial Narrow" w:eastAsia="Times New Roman" w:hAnsi="Arial Narrow" w:cs="Calibri"/>
                <w:color w:val="000000"/>
                <w:sz w:val="20"/>
                <w:szCs w:val="20"/>
                <w:lang w:eastAsia="en-AU"/>
              </w:rPr>
              <w:t>paediatric patients</w:t>
            </w:r>
            <w:r w:rsidRPr="002231D7">
              <w:rPr>
                <w:rFonts w:ascii="Arial Narrow" w:eastAsia="Times New Roman" w:hAnsi="Arial Narrow" w:cs="Calibri"/>
                <w:color w:val="000000"/>
                <w:sz w:val="20"/>
                <w:szCs w:val="20"/>
                <w:lang w:eastAsia="en-AU"/>
              </w:rPr>
              <w:t>)</w:t>
            </w:r>
          </w:p>
        </w:tc>
        <w:tc>
          <w:tcPr>
            <w:tcW w:w="1081" w:type="dxa"/>
            <w:shd w:val="clear" w:color="auto" w:fill="auto"/>
            <w:vAlign w:val="center"/>
            <w:hideMark/>
          </w:tcPr>
          <w:p w14:paraId="5A5C9902"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$1,238,469</w:t>
            </w:r>
          </w:p>
        </w:tc>
        <w:tc>
          <w:tcPr>
            <w:tcW w:w="1082" w:type="dxa"/>
            <w:shd w:val="clear" w:color="auto" w:fill="auto"/>
            <w:vAlign w:val="center"/>
            <w:hideMark/>
          </w:tcPr>
          <w:p w14:paraId="2D66C9F4"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$1,259,195</w:t>
            </w:r>
          </w:p>
        </w:tc>
        <w:tc>
          <w:tcPr>
            <w:tcW w:w="1081" w:type="dxa"/>
            <w:shd w:val="clear" w:color="auto" w:fill="auto"/>
            <w:vAlign w:val="center"/>
            <w:hideMark/>
          </w:tcPr>
          <w:p w14:paraId="5B5E6284"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$1,454,160</w:t>
            </w:r>
          </w:p>
        </w:tc>
        <w:tc>
          <w:tcPr>
            <w:tcW w:w="1082" w:type="dxa"/>
            <w:shd w:val="clear" w:color="auto" w:fill="auto"/>
            <w:vAlign w:val="center"/>
            <w:hideMark/>
          </w:tcPr>
          <w:p w14:paraId="4EF649BA"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$1,368,142</w:t>
            </w:r>
          </w:p>
        </w:tc>
        <w:tc>
          <w:tcPr>
            <w:tcW w:w="1081" w:type="dxa"/>
            <w:shd w:val="clear" w:color="auto" w:fill="auto"/>
            <w:vAlign w:val="center"/>
            <w:hideMark/>
          </w:tcPr>
          <w:p w14:paraId="5977545D"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$1,377,465</w:t>
            </w:r>
          </w:p>
        </w:tc>
        <w:tc>
          <w:tcPr>
            <w:tcW w:w="1082" w:type="dxa"/>
            <w:shd w:val="clear" w:color="auto" w:fill="auto"/>
            <w:vAlign w:val="center"/>
            <w:hideMark/>
          </w:tcPr>
          <w:p w14:paraId="51EC4DEC"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$1,395,248</w:t>
            </w:r>
          </w:p>
        </w:tc>
      </w:tr>
      <w:tr w:rsidR="00410AB2" w:rsidRPr="002231D7" w14:paraId="1481009D" w14:textId="77777777" w:rsidTr="005B0D9D">
        <w:trPr>
          <w:trHeight w:val="300"/>
        </w:trPr>
        <w:tc>
          <w:tcPr>
            <w:tcW w:w="9021" w:type="dxa"/>
            <w:gridSpan w:val="7"/>
            <w:shd w:val="clear" w:color="auto" w:fill="auto"/>
            <w:vAlign w:val="center"/>
            <w:hideMark/>
          </w:tcPr>
          <w:p w14:paraId="6126470F" w14:textId="77777777" w:rsidR="00410AB2" w:rsidRPr="002231D7" w:rsidRDefault="00410AB2" w:rsidP="004D3912">
            <w:pPr>
              <w:spacing w:before="0"/>
              <w:rPr>
                <w:rFonts w:ascii="Arial Narrow" w:eastAsia="Times New Roman" w:hAnsi="Arial Narrow" w:cs="Calibri"/>
                <w:b/>
                <w:bCs/>
                <w:color w:val="000000"/>
                <w:sz w:val="20"/>
                <w:szCs w:val="20"/>
                <w:lang w:eastAsia="en-AU"/>
              </w:rPr>
            </w:pPr>
            <w:r w:rsidRPr="002231D7">
              <w:rPr>
                <w:rFonts w:ascii="Arial Narrow" w:eastAsia="Times New Roman" w:hAnsi="Arial Narrow" w:cs="Calibri"/>
                <w:b/>
                <w:bCs/>
                <w:color w:val="000000"/>
                <w:sz w:val="20"/>
                <w:szCs w:val="20"/>
                <w:lang w:eastAsia="en-AU"/>
              </w:rPr>
              <w:t>Adult population</w:t>
            </w:r>
          </w:p>
        </w:tc>
      </w:tr>
      <w:tr w:rsidR="00410AB2" w:rsidRPr="002231D7" w14:paraId="63EA66BE" w14:textId="77777777" w:rsidTr="005B0D9D">
        <w:trPr>
          <w:trHeight w:val="300"/>
        </w:trPr>
        <w:tc>
          <w:tcPr>
            <w:tcW w:w="2532" w:type="dxa"/>
            <w:shd w:val="clear" w:color="auto" w:fill="auto"/>
            <w:vAlign w:val="center"/>
            <w:hideMark/>
          </w:tcPr>
          <w:p w14:paraId="34014BAC" w14:textId="77777777" w:rsidR="00410AB2" w:rsidRPr="002231D7" w:rsidRDefault="00410AB2" w:rsidP="004D3912">
            <w:pPr>
              <w:spacing w:before="0"/>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Cost of Bone Marrow Morphology</w:t>
            </w:r>
          </w:p>
        </w:tc>
        <w:tc>
          <w:tcPr>
            <w:tcW w:w="1081" w:type="dxa"/>
            <w:shd w:val="clear" w:color="auto" w:fill="auto"/>
            <w:vAlign w:val="center"/>
            <w:hideMark/>
          </w:tcPr>
          <w:p w14:paraId="30C0C7A6"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$102,457</w:t>
            </w:r>
          </w:p>
        </w:tc>
        <w:tc>
          <w:tcPr>
            <w:tcW w:w="1082" w:type="dxa"/>
            <w:shd w:val="clear" w:color="auto" w:fill="auto"/>
            <w:vAlign w:val="center"/>
            <w:hideMark/>
          </w:tcPr>
          <w:p w14:paraId="6EB7EDB0"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$104,171</w:t>
            </w:r>
          </w:p>
        </w:tc>
        <w:tc>
          <w:tcPr>
            <w:tcW w:w="1081" w:type="dxa"/>
            <w:shd w:val="clear" w:color="auto" w:fill="auto"/>
            <w:vAlign w:val="center"/>
            <w:hideMark/>
          </w:tcPr>
          <w:p w14:paraId="21267698"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$143,060</w:t>
            </w:r>
          </w:p>
        </w:tc>
        <w:tc>
          <w:tcPr>
            <w:tcW w:w="1082" w:type="dxa"/>
            <w:shd w:val="clear" w:color="auto" w:fill="auto"/>
            <w:vAlign w:val="center"/>
            <w:hideMark/>
          </w:tcPr>
          <w:p w14:paraId="5BA07038"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$114,089</w:t>
            </w:r>
          </w:p>
        </w:tc>
        <w:tc>
          <w:tcPr>
            <w:tcW w:w="1081" w:type="dxa"/>
            <w:shd w:val="clear" w:color="auto" w:fill="auto"/>
            <w:vAlign w:val="center"/>
            <w:hideMark/>
          </w:tcPr>
          <w:p w14:paraId="34FE0DBB"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$111,956</w:t>
            </w:r>
          </w:p>
        </w:tc>
        <w:tc>
          <w:tcPr>
            <w:tcW w:w="1082" w:type="dxa"/>
            <w:shd w:val="clear" w:color="auto" w:fill="auto"/>
            <w:vAlign w:val="center"/>
            <w:hideMark/>
          </w:tcPr>
          <w:p w14:paraId="11617C4E"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$112,695</w:t>
            </w:r>
          </w:p>
        </w:tc>
      </w:tr>
      <w:tr w:rsidR="00410AB2" w:rsidRPr="002231D7" w14:paraId="1E39F8B4" w14:textId="77777777" w:rsidTr="005B0D9D">
        <w:trPr>
          <w:trHeight w:val="300"/>
        </w:trPr>
        <w:tc>
          <w:tcPr>
            <w:tcW w:w="2532" w:type="dxa"/>
            <w:shd w:val="clear" w:color="auto" w:fill="auto"/>
            <w:vAlign w:val="center"/>
            <w:hideMark/>
          </w:tcPr>
          <w:p w14:paraId="32747FE2" w14:textId="77777777" w:rsidR="00410AB2" w:rsidRPr="002231D7" w:rsidRDefault="00410AB2" w:rsidP="004D3912">
            <w:pPr>
              <w:spacing w:before="0"/>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 xml:space="preserve">Cost of MRD tests by </w:t>
            </w:r>
            <w:proofErr w:type="spellStart"/>
            <w:r w:rsidRPr="002231D7">
              <w:rPr>
                <w:rFonts w:ascii="Arial Narrow" w:eastAsia="Times New Roman" w:hAnsi="Arial Narrow" w:cs="Calibri"/>
                <w:color w:val="000000"/>
                <w:sz w:val="20"/>
                <w:szCs w:val="20"/>
                <w:lang w:eastAsia="en-AU"/>
              </w:rPr>
              <w:t>mpFC</w:t>
            </w:r>
            <w:proofErr w:type="spellEnd"/>
            <w:r w:rsidRPr="002231D7">
              <w:rPr>
                <w:rFonts w:ascii="Arial Narrow" w:eastAsia="Times New Roman" w:hAnsi="Arial Narrow" w:cs="Calibri"/>
                <w:color w:val="000000"/>
                <w:sz w:val="20"/>
                <w:szCs w:val="20"/>
                <w:lang w:eastAsia="en-AU"/>
              </w:rPr>
              <w:t xml:space="preserve"> (AAAA services)</w:t>
            </w:r>
          </w:p>
        </w:tc>
        <w:tc>
          <w:tcPr>
            <w:tcW w:w="1081" w:type="dxa"/>
            <w:shd w:val="clear" w:color="auto" w:fill="auto"/>
            <w:vAlign w:val="center"/>
            <w:hideMark/>
          </w:tcPr>
          <w:p w14:paraId="3A5ADA6B"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$111,503</w:t>
            </w:r>
          </w:p>
        </w:tc>
        <w:tc>
          <w:tcPr>
            <w:tcW w:w="1082" w:type="dxa"/>
            <w:shd w:val="clear" w:color="auto" w:fill="auto"/>
            <w:vAlign w:val="center"/>
            <w:hideMark/>
          </w:tcPr>
          <w:p w14:paraId="4A7A0221"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$113,369</w:t>
            </w:r>
          </w:p>
        </w:tc>
        <w:tc>
          <w:tcPr>
            <w:tcW w:w="1081" w:type="dxa"/>
            <w:shd w:val="clear" w:color="auto" w:fill="auto"/>
            <w:vAlign w:val="center"/>
            <w:hideMark/>
          </w:tcPr>
          <w:p w14:paraId="45B07BDD"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$134,471</w:t>
            </w:r>
          </w:p>
        </w:tc>
        <w:tc>
          <w:tcPr>
            <w:tcW w:w="1082" w:type="dxa"/>
            <w:shd w:val="clear" w:color="auto" w:fill="auto"/>
            <w:vAlign w:val="center"/>
            <w:hideMark/>
          </w:tcPr>
          <w:p w14:paraId="1E8C98E4"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$125,028</w:t>
            </w:r>
          </w:p>
        </w:tc>
        <w:tc>
          <w:tcPr>
            <w:tcW w:w="1081" w:type="dxa"/>
            <w:shd w:val="clear" w:color="auto" w:fill="auto"/>
            <w:vAlign w:val="center"/>
            <w:hideMark/>
          </w:tcPr>
          <w:p w14:paraId="12D220DF"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$122,291</w:t>
            </w:r>
          </w:p>
        </w:tc>
        <w:tc>
          <w:tcPr>
            <w:tcW w:w="1082" w:type="dxa"/>
            <w:shd w:val="clear" w:color="auto" w:fill="auto"/>
            <w:vAlign w:val="center"/>
            <w:hideMark/>
          </w:tcPr>
          <w:p w14:paraId="2243CDC6"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$124,338</w:t>
            </w:r>
          </w:p>
        </w:tc>
      </w:tr>
      <w:tr w:rsidR="00410AB2" w:rsidRPr="002231D7" w14:paraId="1E335811" w14:textId="77777777" w:rsidTr="005B0D9D">
        <w:trPr>
          <w:trHeight w:val="300"/>
        </w:trPr>
        <w:tc>
          <w:tcPr>
            <w:tcW w:w="2532" w:type="dxa"/>
            <w:shd w:val="clear" w:color="auto" w:fill="auto"/>
            <w:vAlign w:val="center"/>
            <w:hideMark/>
          </w:tcPr>
          <w:p w14:paraId="3106C7B7" w14:textId="77777777" w:rsidR="00410AB2" w:rsidRPr="002231D7" w:rsidRDefault="00410AB2" w:rsidP="004D3912">
            <w:pPr>
              <w:spacing w:before="0"/>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Cost of MRD tests by NGS (BBBB services)</w:t>
            </w:r>
          </w:p>
        </w:tc>
        <w:tc>
          <w:tcPr>
            <w:tcW w:w="1081" w:type="dxa"/>
            <w:shd w:val="clear" w:color="auto" w:fill="auto"/>
            <w:vAlign w:val="center"/>
            <w:hideMark/>
          </w:tcPr>
          <w:p w14:paraId="6C288567"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$565,546</w:t>
            </w:r>
          </w:p>
        </w:tc>
        <w:tc>
          <w:tcPr>
            <w:tcW w:w="1082" w:type="dxa"/>
            <w:shd w:val="clear" w:color="auto" w:fill="auto"/>
            <w:vAlign w:val="center"/>
            <w:hideMark/>
          </w:tcPr>
          <w:p w14:paraId="6992BD06"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$575,010</w:t>
            </w:r>
          </w:p>
        </w:tc>
        <w:tc>
          <w:tcPr>
            <w:tcW w:w="1081" w:type="dxa"/>
            <w:shd w:val="clear" w:color="auto" w:fill="auto"/>
            <w:vAlign w:val="center"/>
            <w:hideMark/>
          </w:tcPr>
          <w:p w14:paraId="3D6A6BB7"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$665,225</w:t>
            </w:r>
          </w:p>
        </w:tc>
        <w:tc>
          <w:tcPr>
            <w:tcW w:w="1082" w:type="dxa"/>
            <w:shd w:val="clear" w:color="auto" w:fill="auto"/>
            <w:vAlign w:val="center"/>
            <w:hideMark/>
          </w:tcPr>
          <w:p w14:paraId="36B331D5"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$624,136</w:t>
            </w:r>
          </w:p>
        </w:tc>
        <w:tc>
          <w:tcPr>
            <w:tcW w:w="1081" w:type="dxa"/>
            <w:shd w:val="clear" w:color="auto" w:fill="auto"/>
            <w:vAlign w:val="center"/>
            <w:hideMark/>
          </w:tcPr>
          <w:p w14:paraId="138B96DE"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$621,410</w:t>
            </w:r>
          </w:p>
        </w:tc>
        <w:tc>
          <w:tcPr>
            <w:tcW w:w="1082" w:type="dxa"/>
            <w:shd w:val="clear" w:color="auto" w:fill="auto"/>
            <w:vAlign w:val="center"/>
            <w:hideMark/>
          </w:tcPr>
          <w:p w14:paraId="6D2777FF"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$625,986</w:t>
            </w:r>
          </w:p>
        </w:tc>
      </w:tr>
      <w:tr w:rsidR="001311D7" w:rsidRPr="002231D7" w14:paraId="060D7E7B" w14:textId="77777777" w:rsidTr="00F55430">
        <w:trPr>
          <w:trHeight w:val="530"/>
        </w:trPr>
        <w:tc>
          <w:tcPr>
            <w:tcW w:w="2532" w:type="dxa"/>
            <w:shd w:val="clear" w:color="auto" w:fill="D9D9D9" w:themeFill="background1" w:themeFillShade="D9"/>
            <w:vAlign w:val="center"/>
            <w:hideMark/>
          </w:tcPr>
          <w:p w14:paraId="32C64357" w14:textId="77777777" w:rsidR="00410AB2" w:rsidRPr="002231D7" w:rsidRDefault="00410AB2" w:rsidP="004D3912">
            <w:pPr>
              <w:spacing w:before="0"/>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Cost of MRD tests by ASO-qPCR (CCCC services)</w:t>
            </w:r>
          </w:p>
        </w:tc>
        <w:tc>
          <w:tcPr>
            <w:tcW w:w="1081" w:type="dxa"/>
            <w:shd w:val="clear" w:color="auto" w:fill="D9D9D9" w:themeFill="background1" w:themeFillShade="D9"/>
            <w:vAlign w:val="center"/>
            <w:hideMark/>
          </w:tcPr>
          <w:p w14:paraId="7B123F29"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$210,926</w:t>
            </w:r>
          </w:p>
        </w:tc>
        <w:tc>
          <w:tcPr>
            <w:tcW w:w="1082" w:type="dxa"/>
            <w:shd w:val="clear" w:color="auto" w:fill="D9D9D9" w:themeFill="background1" w:themeFillShade="D9"/>
            <w:vAlign w:val="center"/>
            <w:hideMark/>
          </w:tcPr>
          <w:p w14:paraId="060E10F1"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$214,455</w:t>
            </w:r>
          </w:p>
        </w:tc>
        <w:tc>
          <w:tcPr>
            <w:tcW w:w="1081" w:type="dxa"/>
            <w:shd w:val="clear" w:color="auto" w:fill="D9D9D9" w:themeFill="background1" w:themeFillShade="D9"/>
            <w:vAlign w:val="center"/>
            <w:hideMark/>
          </w:tcPr>
          <w:p w14:paraId="64ACA991"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$218,044</w:t>
            </w:r>
          </w:p>
        </w:tc>
        <w:tc>
          <w:tcPr>
            <w:tcW w:w="1082" w:type="dxa"/>
            <w:shd w:val="clear" w:color="auto" w:fill="D9D9D9" w:themeFill="background1" w:themeFillShade="D9"/>
            <w:vAlign w:val="center"/>
            <w:hideMark/>
          </w:tcPr>
          <w:p w14:paraId="4EF20C79"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$221,693</w:t>
            </w:r>
          </w:p>
        </w:tc>
        <w:tc>
          <w:tcPr>
            <w:tcW w:w="1081" w:type="dxa"/>
            <w:shd w:val="clear" w:color="auto" w:fill="D9D9D9" w:themeFill="background1" w:themeFillShade="D9"/>
            <w:vAlign w:val="center"/>
            <w:hideMark/>
          </w:tcPr>
          <w:p w14:paraId="36D54DE8"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$225,403</w:t>
            </w:r>
          </w:p>
        </w:tc>
        <w:tc>
          <w:tcPr>
            <w:tcW w:w="1082" w:type="dxa"/>
            <w:shd w:val="clear" w:color="auto" w:fill="D9D9D9" w:themeFill="background1" w:themeFillShade="D9"/>
            <w:vAlign w:val="center"/>
            <w:hideMark/>
          </w:tcPr>
          <w:p w14:paraId="301A8FDB"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$229,175</w:t>
            </w:r>
          </w:p>
        </w:tc>
      </w:tr>
      <w:tr w:rsidR="001311D7" w:rsidRPr="002231D7" w14:paraId="1E6D5CE7" w14:textId="77777777" w:rsidTr="00F55430">
        <w:trPr>
          <w:trHeight w:val="530"/>
        </w:trPr>
        <w:tc>
          <w:tcPr>
            <w:tcW w:w="2532" w:type="dxa"/>
            <w:shd w:val="clear" w:color="auto" w:fill="D9D9D9" w:themeFill="background1" w:themeFillShade="D9"/>
            <w:vAlign w:val="center"/>
            <w:hideMark/>
          </w:tcPr>
          <w:p w14:paraId="4EB9F7D2" w14:textId="77777777" w:rsidR="00410AB2" w:rsidRPr="002231D7" w:rsidRDefault="00410AB2" w:rsidP="004D3912">
            <w:pPr>
              <w:spacing w:before="0"/>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Cost of MRD tests by ASO-qPCR (DDDD services)</w:t>
            </w:r>
          </w:p>
        </w:tc>
        <w:tc>
          <w:tcPr>
            <w:tcW w:w="1081" w:type="dxa"/>
            <w:shd w:val="clear" w:color="auto" w:fill="D9D9D9" w:themeFill="background1" w:themeFillShade="D9"/>
            <w:vAlign w:val="center"/>
            <w:hideMark/>
          </w:tcPr>
          <w:p w14:paraId="4F650389"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$216,787</w:t>
            </w:r>
          </w:p>
        </w:tc>
        <w:tc>
          <w:tcPr>
            <w:tcW w:w="1082" w:type="dxa"/>
            <w:shd w:val="clear" w:color="auto" w:fill="D9D9D9" w:themeFill="background1" w:themeFillShade="D9"/>
            <w:vAlign w:val="center"/>
            <w:hideMark/>
          </w:tcPr>
          <w:p w14:paraId="71458D36"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$220,415</w:t>
            </w:r>
          </w:p>
        </w:tc>
        <w:tc>
          <w:tcPr>
            <w:tcW w:w="1081" w:type="dxa"/>
            <w:shd w:val="clear" w:color="auto" w:fill="D9D9D9" w:themeFill="background1" w:themeFillShade="D9"/>
            <w:vAlign w:val="center"/>
            <w:hideMark/>
          </w:tcPr>
          <w:p w14:paraId="144746C8"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$268,819</w:t>
            </w:r>
          </w:p>
        </w:tc>
        <w:tc>
          <w:tcPr>
            <w:tcW w:w="1082" w:type="dxa"/>
            <w:shd w:val="clear" w:color="auto" w:fill="D9D9D9" w:themeFill="background1" w:themeFillShade="D9"/>
            <w:vAlign w:val="center"/>
            <w:hideMark/>
          </w:tcPr>
          <w:p w14:paraId="0D732B5E"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$246,218</w:t>
            </w:r>
          </w:p>
        </w:tc>
        <w:tc>
          <w:tcPr>
            <w:tcW w:w="1081" w:type="dxa"/>
            <w:shd w:val="clear" w:color="auto" w:fill="D9D9D9" w:themeFill="background1" w:themeFillShade="D9"/>
            <w:vAlign w:val="center"/>
            <w:hideMark/>
          </w:tcPr>
          <w:p w14:paraId="16537E48"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$242,684</w:t>
            </w:r>
          </w:p>
        </w:tc>
        <w:tc>
          <w:tcPr>
            <w:tcW w:w="1082" w:type="dxa"/>
            <w:shd w:val="clear" w:color="auto" w:fill="D9D9D9" w:themeFill="background1" w:themeFillShade="D9"/>
            <w:vAlign w:val="center"/>
            <w:hideMark/>
          </w:tcPr>
          <w:p w14:paraId="1C204E6D"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$243,047</w:t>
            </w:r>
          </w:p>
        </w:tc>
      </w:tr>
      <w:tr w:rsidR="00410AB2" w:rsidRPr="002231D7" w14:paraId="5F66F920" w14:textId="77777777" w:rsidTr="005B0D9D">
        <w:trPr>
          <w:trHeight w:val="300"/>
        </w:trPr>
        <w:tc>
          <w:tcPr>
            <w:tcW w:w="2532" w:type="dxa"/>
            <w:shd w:val="clear" w:color="auto" w:fill="auto"/>
            <w:vAlign w:val="center"/>
            <w:hideMark/>
          </w:tcPr>
          <w:p w14:paraId="6491D153" w14:textId="77777777" w:rsidR="00410AB2" w:rsidRPr="002231D7" w:rsidRDefault="00410AB2" w:rsidP="004D3912">
            <w:pPr>
              <w:spacing w:before="0"/>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Total cost (adults)</w:t>
            </w:r>
          </w:p>
        </w:tc>
        <w:tc>
          <w:tcPr>
            <w:tcW w:w="1081" w:type="dxa"/>
            <w:shd w:val="clear" w:color="auto" w:fill="auto"/>
            <w:vAlign w:val="center"/>
            <w:hideMark/>
          </w:tcPr>
          <w:p w14:paraId="49183AF6"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$1,207,218</w:t>
            </w:r>
          </w:p>
        </w:tc>
        <w:tc>
          <w:tcPr>
            <w:tcW w:w="1082" w:type="dxa"/>
            <w:shd w:val="clear" w:color="auto" w:fill="auto"/>
            <w:vAlign w:val="center"/>
            <w:hideMark/>
          </w:tcPr>
          <w:p w14:paraId="419AD917"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$1,227,421</w:t>
            </w:r>
          </w:p>
        </w:tc>
        <w:tc>
          <w:tcPr>
            <w:tcW w:w="1081" w:type="dxa"/>
            <w:shd w:val="clear" w:color="auto" w:fill="auto"/>
            <w:vAlign w:val="center"/>
            <w:hideMark/>
          </w:tcPr>
          <w:p w14:paraId="6C872C82"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$1,429,620</w:t>
            </w:r>
          </w:p>
        </w:tc>
        <w:tc>
          <w:tcPr>
            <w:tcW w:w="1082" w:type="dxa"/>
            <w:shd w:val="clear" w:color="auto" w:fill="auto"/>
            <w:vAlign w:val="center"/>
            <w:hideMark/>
          </w:tcPr>
          <w:p w14:paraId="18C3594F"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$1,331,164</w:t>
            </w:r>
          </w:p>
        </w:tc>
        <w:tc>
          <w:tcPr>
            <w:tcW w:w="1081" w:type="dxa"/>
            <w:shd w:val="clear" w:color="auto" w:fill="auto"/>
            <w:vAlign w:val="center"/>
            <w:hideMark/>
          </w:tcPr>
          <w:p w14:paraId="1945FCB3"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$1,323,745</w:t>
            </w:r>
          </w:p>
        </w:tc>
        <w:tc>
          <w:tcPr>
            <w:tcW w:w="1082" w:type="dxa"/>
            <w:shd w:val="clear" w:color="auto" w:fill="auto"/>
            <w:vAlign w:val="center"/>
            <w:hideMark/>
          </w:tcPr>
          <w:p w14:paraId="2CFC2011"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$1,335,241</w:t>
            </w:r>
          </w:p>
        </w:tc>
      </w:tr>
      <w:tr w:rsidR="00410AB2" w:rsidRPr="002231D7" w14:paraId="0FE287B7" w14:textId="77777777" w:rsidTr="005B0D9D">
        <w:trPr>
          <w:trHeight w:val="530"/>
        </w:trPr>
        <w:tc>
          <w:tcPr>
            <w:tcW w:w="2532" w:type="dxa"/>
            <w:shd w:val="clear" w:color="auto" w:fill="auto"/>
            <w:vAlign w:val="center"/>
            <w:hideMark/>
          </w:tcPr>
          <w:p w14:paraId="0C702F5F" w14:textId="7E9FADFC" w:rsidR="00410AB2" w:rsidRPr="002231D7" w:rsidRDefault="00410AB2" w:rsidP="004D3912">
            <w:pPr>
              <w:spacing w:before="0"/>
              <w:rPr>
                <w:rFonts w:ascii="Arial Narrow" w:eastAsia="Times New Roman" w:hAnsi="Arial Narrow" w:cs="Calibri"/>
                <w:b/>
                <w:bCs/>
                <w:color w:val="000000"/>
                <w:sz w:val="20"/>
                <w:szCs w:val="20"/>
                <w:lang w:eastAsia="en-AU"/>
              </w:rPr>
            </w:pPr>
            <w:r w:rsidRPr="002231D7">
              <w:rPr>
                <w:rFonts w:ascii="Arial Narrow" w:eastAsia="Times New Roman" w:hAnsi="Arial Narrow" w:cs="Calibri"/>
                <w:b/>
                <w:bCs/>
                <w:color w:val="000000"/>
                <w:sz w:val="20"/>
                <w:szCs w:val="20"/>
                <w:lang w:eastAsia="en-AU"/>
              </w:rPr>
              <w:t>Total cost (</w:t>
            </w:r>
            <w:r w:rsidR="005E19ED">
              <w:rPr>
                <w:rFonts w:ascii="Arial Narrow" w:eastAsia="Times New Roman" w:hAnsi="Arial Narrow" w:cs="Calibri"/>
                <w:b/>
                <w:bCs/>
                <w:color w:val="000000"/>
                <w:sz w:val="20"/>
                <w:szCs w:val="20"/>
                <w:lang w:eastAsia="en-AU"/>
              </w:rPr>
              <w:t>paediatric patients</w:t>
            </w:r>
            <w:r w:rsidRPr="002231D7">
              <w:rPr>
                <w:rFonts w:ascii="Arial Narrow" w:eastAsia="Times New Roman" w:hAnsi="Arial Narrow" w:cs="Calibri"/>
                <w:b/>
                <w:bCs/>
                <w:color w:val="000000"/>
                <w:sz w:val="20"/>
                <w:szCs w:val="20"/>
                <w:lang w:eastAsia="en-AU"/>
              </w:rPr>
              <w:t xml:space="preserve"> and adults combined)</w:t>
            </w:r>
          </w:p>
        </w:tc>
        <w:tc>
          <w:tcPr>
            <w:tcW w:w="1081" w:type="dxa"/>
            <w:shd w:val="clear" w:color="auto" w:fill="auto"/>
            <w:vAlign w:val="center"/>
            <w:hideMark/>
          </w:tcPr>
          <w:p w14:paraId="46D614D2" w14:textId="77777777" w:rsidR="00410AB2" w:rsidRPr="002231D7" w:rsidRDefault="00410AB2" w:rsidP="00EB5AD2">
            <w:pPr>
              <w:spacing w:before="0"/>
              <w:jc w:val="right"/>
              <w:rPr>
                <w:rFonts w:ascii="Arial Narrow" w:eastAsia="Times New Roman" w:hAnsi="Arial Narrow" w:cs="Calibri"/>
                <w:b/>
                <w:bCs/>
                <w:color w:val="000000"/>
                <w:sz w:val="20"/>
                <w:szCs w:val="20"/>
                <w:lang w:eastAsia="en-AU"/>
              </w:rPr>
            </w:pPr>
            <w:r w:rsidRPr="002231D7">
              <w:rPr>
                <w:rFonts w:ascii="Arial Narrow" w:eastAsia="Times New Roman" w:hAnsi="Arial Narrow" w:cs="Calibri"/>
                <w:b/>
                <w:bCs/>
                <w:color w:val="000000"/>
                <w:sz w:val="20"/>
                <w:szCs w:val="20"/>
                <w:lang w:eastAsia="en-AU"/>
              </w:rPr>
              <w:t>$2,445,688</w:t>
            </w:r>
          </w:p>
        </w:tc>
        <w:tc>
          <w:tcPr>
            <w:tcW w:w="1082" w:type="dxa"/>
            <w:shd w:val="clear" w:color="auto" w:fill="auto"/>
            <w:vAlign w:val="center"/>
            <w:hideMark/>
          </w:tcPr>
          <w:p w14:paraId="1DE996CE" w14:textId="77777777" w:rsidR="00410AB2" w:rsidRPr="002231D7" w:rsidRDefault="00410AB2" w:rsidP="00EB5AD2">
            <w:pPr>
              <w:spacing w:before="0"/>
              <w:jc w:val="right"/>
              <w:rPr>
                <w:rFonts w:ascii="Arial Narrow" w:eastAsia="Times New Roman" w:hAnsi="Arial Narrow" w:cs="Calibri"/>
                <w:b/>
                <w:bCs/>
                <w:color w:val="000000"/>
                <w:sz w:val="20"/>
                <w:szCs w:val="20"/>
                <w:lang w:eastAsia="en-AU"/>
              </w:rPr>
            </w:pPr>
            <w:r w:rsidRPr="002231D7">
              <w:rPr>
                <w:rFonts w:ascii="Arial Narrow" w:eastAsia="Times New Roman" w:hAnsi="Arial Narrow" w:cs="Calibri"/>
                <w:b/>
                <w:bCs/>
                <w:color w:val="000000"/>
                <w:sz w:val="20"/>
                <w:szCs w:val="20"/>
                <w:lang w:eastAsia="en-AU"/>
              </w:rPr>
              <w:t>$2,486,616</w:t>
            </w:r>
          </w:p>
        </w:tc>
        <w:tc>
          <w:tcPr>
            <w:tcW w:w="1081" w:type="dxa"/>
            <w:shd w:val="clear" w:color="auto" w:fill="auto"/>
            <w:vAlign w:val="center"/>
            <w:hideMark/>
          </w:tcPr>
          <w:p w14:paraId="254B2080" w14:textId="77777777" w:rsidR="00410AB2" w:rsidRPr="002231D7" w:rsidRDefault="00410AB2" w:rsidP="00EB5AD2">
            <w:pPr>
              <w:spacing w:before="0"/>
              <w:jc w:val="right"/>
              <w:rPr>
                <w:rFonts w:ascii="Arial Narrow" w:eastAsia="Times New Roman" w:hAnsi="Arial Narrow" w:cs="Calibri"/>
                <w:b/>
                <w:bCs/>
                <w:color w:val="000000"/>
                <w:sz w:val="20"/>
                <w:szCs w:val="20"/>
                <w:lang w:eastAsia="en-AU"/>
              </w:rPr>
            </w:pPr>
            <w:r w:rsidRPr="002231D7">
              <w:rPr>
                <w:rFonts w:ascii="Arial Narrow" w:eastAsia="Times New Roman" w:hAnsi="Arial Narrow" w:cs="Calibri"/>
                <w:b/>
                <w:bCs/>
                <w:color w:val="000000"/>
                <w:sz w:val="20"/>
                <w:szCs w:val="20"/>
                <w:lang w:eastAsia="en-AU"/>
              </w:rPr>
              <w:t>$2,883,780</w:t>
            </w:r>
          </w:p>
        </w:tc>
        <w:tc>
          <w:tcPr>
            <w:tcW w:w="1082" w:type="dxa"/>
            <w:shd w:val="clear" w:color="auto" w:fill="auto"/>
            <w:vAlign w:val="center"/>
            <w:hideMark/>
          </w:tcPr>
          <w:p w14:paraId="4E2A82CD" w14:textId="77777777" w:rsidR="00410AB2" w:rsidRPr="002231D7" w:rsidRDefault="00410AB2" w:rsidP="00EB5AD2">
            <w:pPr>
              <w:spacing w:before="0"/>
              <w:jc w:val="right"/>
              <w:rPr>
                <w:rFonts w:ascii="Arial Narrow" w:eastAsia="Times New Roman" w:hAnsi="Arial Narrow" w:cs="Calibri"/>
                <w:b/>
                <w:bCs/>
                <w:color w:val="000000"/>
                <w:sz w:val="20"/>
                <w:szCs w:val="20"/>
                <w:lang w:eastAsia="en-AU"/>
              </w:rPr>
            </w:pPr>
            <w:r w:rsidRPr="002231D7">
              <w:rPr>
                <w:rFonts w:ascii="Arial Narrow" w:eastAsia="Times New Roman" w:hAnsi="Arial Narrow" w:cs="Calibri"/>
                <w:b/>
                <w:bCs/>
                <w:color w:val="000000"/>
                <w:sz w:val="20"/>
                <w:szCs w:val="20"/>
                <w:lang w:eastAsia="en-AU"/>
              </w:rPr>
              <w:t>$2,699,306</w:t>
            </w:r>
          </w:p>
        </w:tc>
        <w:tc>
          <w:tcPr>
            <w:tcW w:w="1081" w:type="dxa"/>
            <w:shd w:val="clear" w:color="auto" w:fill="auto"/>
            <w:vAlign w:val="center"/>
            <w:hideMark/>
          </w:tcPr>
          <w:p w14:paraId="4FE8C412" w14:textId="77777777" w:rsidR="00410AB2" w:rsidRPr="002231D7" w:rsidRDefault="00410AB2" w:rsidP="00EB5AD2">
            <w:pPr>
              <w:spacing w:before="0"/>
              <w:jc w:val="right"/>
              <w:rPr>
                <w:rFonts w:ascii="Arial Narrow" w:eastAsia="Times New Roman" w:hAnsi="Arial Narrow" w:cs="Calibri"/>
                <w:b/>
                <w:bCs/>
                <w:color w:val="000000"/>
                <w:sz w:val="20"/>
                <w:szCs w:val="20"/>
                <w:lang w:eastAsia="en-AU"/>
              </w:rPr>
            </w:pPr>
            <w:r w:rsidRPr="002231D7">
              <w:rPr>
                <w:rFonts w:ascii="Arial Narrow" w:eastAsia="Times New Roman" w:hAnsi="Arial Narrow" w:cs="Calibri"/>
                <w:b/>
                <w:bCs/>
                <w:color w:val="000000"/>
                <w:sz w:val="20"/>
                <w:szCs w:val="20"/>
                <w:lang w:eastAsia="en-AU"/>
              </w:rPr>
              <w:t>$2,701,210</w:t>
            </w:r>
          </w:p>
        </w:tc>
        <w:tc>
          <w:tcPr>
            <w:tcW w:w="1082" w:type="dxa"/>
            <w:shd w:val="clear" w:color="auto" w:fill="auto"/>
            <w:vAlign w:val="center"/>
            <w:hideMark/>
          </w:tcPr>
          <w:p w14:paraId="2FB6B8F6" w14:textId="77777777" w:rsidR="00410AB2" w:rsidRPr="002231D7" w:rsidRDefault="00410AB2" w:rsidP="00EB5AD2">
            <w:pPr>
              <w:spacing w:before="0"/>
              <w:jc w:val="right"/>
              <w:rPr>
                <w:rFonts w:ascii="Arial Narrow" w:eastAsia="Times New Roman" w:hAnsi="Arial Narrow" w:cs="Calibri"/>
                <w:b/>
                <w:bCs/>
                <w:color w:val="000000"/>
                <w:sz w:val="20"/>
                <w:szCs w:val="20"/>
                <w:lang w:eastAsia="en-AU"/>
              </w:rPr>
            </w:pPr>
            <w:r w:rsidRPr="002231D7">
              <w:rPr>
                <w:rFonts w:ascii="Arial Narrow" w:eastAsia="Times New Roman" w:hAnsi="Arial Narrow" w:cs="Calibri"/>
                <w:b/>
                <w:bCs/>
                <w:color w:val="000000"/>
                <w:sz w:val="20"/>
                <w:szCs w:val="20"/>
                <w:lang w:eastAsia="en-AU"/>
              </w:rPr>
              <w:t>$2,730,489</w:t>
            </w:r>
          </w:p>
        </w:tc>
      </w:tr>
      <w:tr w:rsidR="00410AB2" w:rsidRPr="002231D7" w14:paraId="607AC16B" w14:textId="77777777" w:rsidTr="005B0D9D">
        <w:trPr>
          <w:trHeight w:val="300"/>
        </w:trPr>
        <w:tc>
          <w:tcPr>
            <w:tcW w:w="9021" w:type="dxa"/>
            <w:gridSpan w:val="7"/>
            <w:shd w:val="clear" w:color="auto" w:fill="auto"/>
            <w:vAlign w:val="center"/>
            <w:hideMark/>
          </w:tcPr>
          <w:p w14:paraId="007D42DD" w14:textId="00940F69" w:rsidR="00410AB2" w:rsidRPr="002231D7" w:rsidRDefault="00202308" w:rsidP="004D3912">
            <w:pPr>
              <w:spacing w:before="0"/>
              <w:rPr>
                <w:rFonts w:ascii="Arial Narrow" w:eastAsia="Times New Roman" w:hAnsi="Arial Narrow" w:cs="Calibri"/>
                <w:b/>
                <w:bCs/>
                <w:color w:val="000000"/>
                <w:sz w:val="20"/>
                <w:szCs w:val="20"/>
                <w:lang w:eastAsia="en-AU"/>
              </w:rPr>
            </w:pPr>
            <w:r>
              <w:rPr>
                <w:rFonts w:ascii="Arial Narrow" w:eastAsia="Times New Roman" w:hAnsi="Arial Narrow" w:cs="Calibri"/>
                <w:b/>
                <w:bCs/>
                <w:color w:val="000000"/>
                <w:sz w:val="20"/>
                <w:szCs w:val="20"/>
                <w:lang w:eastAsia="en-AU"/>
              </w:rPr>
              <w:t>Net c</w:t>
            </w:r>
            <w:r w:rsidR="00410AB2" w:rsidRPr="002231D7">
              <w:rPr>
                <w:rFonts w:ascii="Arial Narrow" w:eastAsia="Times New Roman" w:hAnsi="Arial Narrow" w:cs="Calibri"/>
                <w:b/>
                <w:bCs/>
                <w:color w:val="000000"/>
                <w:sz w:val="20"/>
                <w:szCs w:val="20"/>
                <w:lang w:eastAsia="en-AU"/>
              </w:rPr>
              <w:t>ost of MRD testing to the MBS</w:t>
            </w:r>
          </w:p>
        </w:tc>
      </w:tr>
      <w:tr w:rsidR="00410AB2" w:rsidRPr="002231D7" w14:paraId="1EE80A00" w14:textId="77777777" w:rsidTr="005B0D9D">
        <w:trPr>
          <w:trHeight w:val="300"/>
        </w:trPr>
        <w:tc>
          <w:tcPr>
            <w:tcW w:w="2532" w:type="dxa"/>
            <w:shd w:val="clear" w:color="auto" w:fill="auto"/>
            <w:vAlign w:val="center"/>
            <w:hideMark/>
          </w:tcPr>
          <w:p w14:paraId="605B1B5C" w14:textId="77777777" w:rsidR="00410AB2" w:rsidRPr="002231D7" w:rsidRDefault="00410AB2" w:rsidP="004D3912">
            <w:pPr>
              <w:spacing w:before="0"/>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Paediatric population</w:t>
            </w:r>
          </w:p>
        </w:tc>
        <w:tc>
          <w:tcPr>
            <w:tcW w:w="1081" w:type="dxa"/>
            <w:shd w:val="clear" w:color="auto" w:fill="auto"/>
            <w:vAlign w:val="center"/>
            <w:hideMark/>
          </w:tcPr>
          <w:p w14:paraId="22357689"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$1,142,067</w:t>
            </w:r>
          </w:p>
        </w:tc>
        <w:tc>
          <w:tcPr>
            <w:tcW w:w="1082" w:type="dxa"/>
            <w:shd w:val="clear" w:color="auto" w:fill="auto"/>
            <w:vAlign w:val="center"/>
            <w:hideMark/>
          </w:tcPr>
          <w:p w14:paraId="78111EA3"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$1,161,180</w:t>
            </w:r>
          </w:p>
        </w:tc>
        <w:tc>
          <w:tcPr>
            <w:tcW w:w="1081" w:type="dxa"/>
            <w:shd w:val="clear" w:color="auto" w:fill="auto"/>
            <w:vAlign w:val="center"/>
            <w:hideMark/>
          </w:tcPr>
          <w:p w14:paraId="43D14E3F"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$1,321,675</w:t>
            </w:r>
          </w:p>
        </w:tc>
        <w:tc>
          <w:tcPr>
            <w:tcW w:w="1082" w:type="dxa"/>
            <w:shd w:val="clear" w:color="auto" w:fill="auto"/>
            <w:vAlign w:val="center"/>
            <w:hideMark/>
          </w:tcPr>
          <w:p w14:paraId="4FB3AA9E"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$1,262,688</w:t>
            </w:r>
          </w:p>
        </w:tc>
        <w:tc>
          <w:tcPr>
            <w:tcW w:w="1081" w:type="dxa"/>
            <w:shd w:val="clear" w:color="auto" w:fill="auto"/>
            <w:vAlign w:val="center"/>
            <w:hideMark/>
          </w:tcPr>
          <w:p w14:paraId="3AA5402C"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$1,272,816</w:t>
            </w:r>
          </w:p>
        </w:tc>
        <w:tc>
          <w:tcPr>
            <w:tcW w:w="1082" w:type="dxa"/>
            <w:shd w:val="clear" w:color="auto" w:fill="auto"/>
            <w:vAlign w:val="center"/>
            <w:hideMark/>
          </w:tcPr>
          <w:p w14:paraId="709BAA7A"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$1,289,518</w:t>
            </w:r>
          </w:p>
        </w:tc>
      </w:tr>
      <w:tr w:rsidR="00410AB2" w:rsidRPr="002231D7" w14:paraId="5EE62A1D" w14:textId="77777777" w:rsidTr="005B0D9D">
        <w:trPr>
          <w:trHeight w:val="300"/>
        </w:trPr>
        <w:tc>
          <w:tcPr>
            <w:tcW w:w="2532" w:type="dxa"/>
            <w:shd w:val="clear" w:color="auto" w:fill="auto"/>
            <w:vAlign w:val="center"/>
            <w:hideMark/>
          </w:tcPr>
          <w:p w14:paraId="46D46942" w14:textId="77777777" w:rsidR="00410AB2" w:rsidRPr="002231D7" w:rsidRDefault="00410AB2" w:rsidP="004D3912">
            <w:pPr>
              <w:spacing w:before="0"/>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Adult population</w:t>
            </w:r>
          </w:p>
        </w:tc>
        <w:tc>
          <w:tcPr>
            <w:tcW w:w="1081" w:type="dxa"/>
            <w:shd w:val="clear" w:color="auto" w:fill="auto"/>
            <w:vAlign w:val="center"/>
            <w:hideMark/>
          </w:tcPr>
          <w:p w14:paraId="5DD6D8D9"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$1,104,762</w:t>
            </w:r>
          </w:p>
        </w:tc>
        <w:tc>
          <w:tcPr>
            <w:tcW w:w="1082" w:type="dxa"/>
            <w:shd w:val="clear" w:color="auto" w:fill="auto"/>
            <w:vAlign w:val="center"/>
            <w:hideMark/>
          </w:tcPr>
          <w:p w14:paraId="1649EECD"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$1,123,250</w:t>
            </w:r>
          </w:p>
        </w:tc>
        <w:tc>
          <w:tcPr>
            <w:tcW w:w="1081" w:type="dxa"/>
            <w:shd w:val="clear" w:color="auto" w:fill="auto"/>
            <w:vAlign w:val="center"/>
            <w:hideMark/>
          </w:tcPr>
          <w:p w14:paraId="2D5AEC84"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$1,286,560</w:t>
            </w:r>
          </w:p>
        </w:tc>
        <w:tc>
          <w:tcPr>
            <w:tcW w:w="1082" w:type="dxa"/>
            <w:shd w:val="clear" w:color="auto" w:fill="auto"/>
            <w:vAlign w:val="center"/>
            <w:hideMark/>
          </w:tcPr>
          <w:p w14:paraId="143046B8"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$1,217,075</w:t>
            </w:r>
          </w:p>
        </w:tc>
        <w:tc>
          <w:tcPr>
            <w:tcW w:w="1081" w:type="dxa"/>
            <w:shd w:val="clear" w:color="auto" w:fill="auto"/>
            <w:vAlign w:val="center"/>
            <w:hideMark/>
          </w:tcPr>
          <w:p w14:paraId="1B15AE41"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$1,211,789</w:t>
            </w:r>
          </w:p>
        </w:tc>
        <w:tc>
          <w:tcPr>
            <w:tcW w:w="1082" w:type="dxa"/>
            <w:shd w:val="clear" w:color="auto" w:fill="auto"/>
            <w:vAlign w:val="center"/>
            <w:hideMark/>
          </w:tcPr>
          <w:p w14:paraId="29CAA9F0" w14:textId="77777777" w:rsidR="00410AB2" w:rsidRPr="002231D7" w:rsidRDefault="00410AB2" w:rsidP="00EB5AD2">
            <w:pPr>
              <w:spacing w:before="0"/>
              <w:jc w:val="right"/>
              <w:rPr>
                <w:rFonts w:ascii="Arial Narrow" w:eastAsia="Times New Roman" w:hAnsi="Arial Narrow" w:cs="Calibri"/>
                <w:color w:val="000000"/>
                <w:sz w:val="20"/>
                <w:szCs w:val="20"/>
                <w:lang w:eastAsia="en-AU"/>
              </w:rPr>
            </w:pPr>
            <w:r w:rsidRPr="002231D7">
              <w:rPr>
                <w:rFonts w:ascii="Arial Narrow" w:eastAsia="Times New Roman" w:hAnsi="Arial Narrow" w:cs="Calibri"/>
                <w:color w:val="000000"/>
                <w:sz w:val="20"/>
                <w:szCs w:val="20"/>
                <w:lang w:eastAsia="en-AU"/>
              </w:rPr>
              <w:t>$1,222,545</w:t>
            </w:r>
          </w:p>
        </w:tc>
      </w:tr>
      <w:tr w:rsidR="00410AB2" w:rsidRPr="002231D7" w14:paraId="5A24ECF8" w14:textId="77777777" w:rsidTr="005B0D9D">
        <w:trPr>
          <w:trHeight w:val="85"/>
        </w:trPr>
        <w:tc>
          <w:tcPr>
            <w:tcW w:w="2532" w:type="dxa"/>
            <w:shd w:val="clear" w:color="auto" w:fill="auto"/>
            <w:vAlign w:val="center"/>
            <w:hideMark/>
          </w:tcPr>
          <w:p w14:paraId="3EEA70C7" w14:textId="4B1FCF4A" w:rsidR="00410AB2" w:rsidRPr="00A763DF" w:rsidRDefault="00410AB2" w:rsidP="004D3912">
            <w:pPr>
              <w:spacing w:before="0"/>
              <w:rPr>
                <w:rFonts w:ascii="Arial Narrow" w:eastAsia="Times New Roman" w:hAnsi="Arial Narrow" w:cs="Calibri"/>
                <w:b/>
                <w:bCs/>
                <w:color w:val="000000"/>
                <w:sz w:val="20"/>
                <w:szCs w:val="20"/>
                <w:lang w:eastAsia="en-AU"/>
              </w:rPr>
            </w:pPr>
            <w:r w:rsidRPr="00A763DF">
              <w:rPr>
                <w:rFonts w:ascii="Arial Narrow" w:eastAsia="Times New Roman" w:hAnsi="Arial Narrow" w:cs="Calibri"/>
                <w:b/>
                <w:bCs/>
                <w:color w:val="000000"/>
                <w:sz w:val="20"/>
                <w:szCs w:val="20"/>
                <w:lang w:eastAsia="en-AU"/>
              </w:rPr>
              <w:t>Total (</w:t>
            </w:r>
            <w:r w:rsidR="00202308">
              <w:rPr>
                <w:rFonts w:ascii="Arial Narrow" w:eastAsia="Times New Roman" w:hAnsi="Arial Narrow" w:cs="Calibri"/>
                <w:b/>
                <w:bCs/>
                <w:color w:val="000000"/>
                <w:sz w:val="20"/>
                <w:szCs w:val="20"/>
                <w:lang w:eastAsia="en-AU"/>
              </w:rPr>
              <w:t>net</w:t>
            </w:r>
            <w:r w:rsidR="00202308" w:rsidRPr="00A763DF">
              <w:rPr>
                <w:rFonts w:ascii="Arial Narrow" w:eastAsia="Times New Roman" w:hAnsi="Arial Narrow" w:cs="Calibri"/>
                <w:b/>
                <w:bCs/>
                <w:color w:val="000000"/>
                <w:sz w:val="20"/>
                <w:szCs w:val="20"/>
                <w:lang w:eastAsia="en-AU"/>
              </w:rPr>
              <w:t xml:space="preserve"> </w:t>
            </w:r>
            <w:r w:rsidRPr="00A763DF">
              <w:rPr>
                <w:rFonts w:ascii="Arial Narrow" w:eastAsia="Times New Roman" w:hAnsi="Arial Narrow" w:cs="Calibri"/>
                <w:b/>
                <w:bCs/>
                <w:color w:val="000000"/>
                <w:sz w:val="20"/>
                <w:szCs w:val="20"/>
                <w:lang w:eastAsia="en-AU"/>
              </w:rPr>
              <w:t>cost to the MBS per year)</w:t>
            </w:r>
          </w:p>
        </w:tc>
        <w:tc>
          <w:tcPr>
            <w:tcW w:w="1081" w:type="dxa"/>
            <w:shd w:val="clear" w:color="auto" w:fill="auto"/>
            <w:vAlign w:val="center"/>
            <w:hideMark/>
          </w:tcPr>
          <w:p w14:paraId="42F55EC1" w14:textId="77777777" w:rsidR="00410AB2" w:rsidRPr="00A763DF" w:rsidRDefault="00410AB2" w:rsidP="00EB5AD2">
            <w:pPr>
              <w:spacing w:before="0"/>
              <w:jc w:val="right"/>
              <w:rPr>
                <w:rFonts w:ascii="Arial Narrow" w:eastAsia="Times New Roman" w:hAnsi="Arial Narrow" w:cs="Calibri"/>
                <w:b/>
                <w:bCs/>
                <w:color w:val="000000"/>
                <w:sz w:val="20"/>
                <w:szCs w:val="20"/>
                <w:lang w:eastAsia="en-AU"/>
              </w:rPr>
            </w:pPr>
            <w:r w:rsidRPr="00A763DF">
              <w:rPr>
                <w:rFonts w:ascii="Arial Narrow" w:eastAsia="Times New Roman" w:hAnsi="Arial Narrow" w:cs="Calibri"/>
                <w:b/>
                <w:bCs/>
                <w:color w:val="000000"/>
                <w:sz w:val="20"/>
                <w:szCs w:val="20"/>
                <w:lang w:eastAsia="en-AU"/>
              </w:rPr>
              <w:t>$2,246,829</w:t>
            </w:r>
          </w:p>
        </w:tc>
        <w:tc>
          <w:tcPr>
            <w:tcW w:w="1082" w:type="dxa"/>
            <w:shd w:val="clear" w:color="auto" w:fill="auto"/>
            <w:vAlign w:val="center"/>
            <w:hideMark/>
          </w:tcPr>
          <w:p w14:paraId="5A40F17F" w14:textId="77777777" w:rsidR="00410AB2" w:rsidRPr="00A763DF" w:rsidRDefault="00410AB2" w:rsidP="00EB5AD2">
            <w:pPr>
              <w:spacing w:before="0"/>
              <w:jc w:val="right"/>
              <w:rPr>
                <w:rFonts w:ascii="Arial Narrow" w:eastAsia="Times New Roman" w:hAnsi="Arial Narrow" w:cs="Calibri"/>
                <w:b/>
                <w:bCs/>
                <w:color w:val="000000"/>
                <w:sz w:val="20"/>
                <w:szCs w:val="20"/>
                <w:lang w:eastAsia="en-AU"/>
              </w:rPr>
            </w:pPr>
            <w:r w:rsidRPr="00A763DF">
              <w:rPr>
                <w:rFonts w:ascii="Arial Narrow" w:eastAsia="Times New Roman" w:hAnsi="Arial Narrow" w:cs="Calibri"/>
                <w:b/>
                <w:bCs/>
                <w:color w:val="000000"/>
                <w:sz w:val="20"/>
                <w:szCs w:val="20"/>
                <w:lang w:eastAsia="en-AU"/>
              </w:rPr>
              <w:t>$2,284,429</w:t>
            </w:r>
          </w:p>
        </w:tc>
        <w:tc>
          <w:tcPr>
            <w:tcW w:w="1081" w:type="dxa"/>
            <w:shd w:val="clear" w:color="auto" w:fill="auto"/>
            <w:vAlign w:val="center"/>
            <w:hideMark/>
          </w:tcPr>
          <w:p w14:paraId="087D77BF" w14:textId="77777777" w:rsidR="00410AB2" w:rsidRPr="00A763DF" w:rsidRDefault="00410AB2" w:rsidP="00EB5AD2">
            <w:pPr>
              <w:spacing w:before="0"/>
              <w:jc w:val="right"/>
              <w:rPr>
                <w:rFonts w:ascii="Arial Narrow" w:eastAsia="Times New Roman" w:hAnsi="Arial Narrow" w:cs="Calibri"/>
                <w:b/>
                <w:bCs/>
                <w:color w:val="000000"/>
                <w:sz w:val="20"/>
                <w:szCs w:val="20"/>
                <w:lang w:eastAsia="en-AU"/>
              </w:rPr>
            </w:pPr>
            <w:r w:rsidRPr="00A763DF">
              <w:rPr>
                <w:rFonts w:ascii="Arial Narrow" w:eastAsia="Times New Roman" w:hAnsi="Arial Narrow" w:cs="Calibri"/>
                <w:b/>
                <w:bCs/>
                <w:color w:val="000000"/>
                <w:sz w:val="20"/>
                <w:szCs w:val="20"/>
                <w:lang w:eastAsia="en-AU"/>
              </w:rPr>
              <w:t>$2,608,235</w:t>
            </w:r>
          </w:p>
        </w:tc>
        <w:tc>
          <w:tcPr>
            <w:tcW w:w="1082" w:type="dxa"/>
            <w:shd w:val="clear" w:color="auto" w:fill="auto"/>
            <w:vAlign w:val="center"/>
            <w:hideMark/>
          </w:tcPr>
          <w:p w14:paraId="50678F5C" w14:textId="77777777" w:rsidR="00410AB2" w:rsidRPr="00A763DF" w:rsidRDefault="00410AB2" w:rsidP="00EB5AD2">
            <w:pPr>
              <w:spacing w:before="0"/>
              <w:jc w:val="right"/>
              <w:rPr>
                <w:rFonts w:ascii="Arial Narrow" w:eastAsia="Times New Roman" w:hAnsi="Arial Narrow" w:cs="Calibri"/>
                <w:b/>
                <w:bCs/>
                <w:color w:val="000000"/>
                <w:sz w:val="20"/>
                <w:szCs w:val="20"/>
                <w:lang w:eastAsia="en-AU"/>
              </w:rPr>
            </w:pPr>
            <w:r w:rsidRPr="00A763DF">
              <w:rPr>
                <w:rFonts w:ascii="Arial Narrow" w:eastAsia="Times New Roman" w:hAnsi="Arial Narrow" w:cs="Calibri"/>
                <w:b/>
                <w:bCs/>
                <w:color w:val="000000"/>
                <w:sz w:val="20"/>
                <w:szCs w:val="20"/>
                <w:lang w:eastAsia="en-AU"/>
              </w:rPr>
              <w:t>$2,479,763</w:t>
            </w:r>
          </w:p>
        </w:tc>
        <w:tc>
          <w:tcPr>
            <w:tcW w:w="1081" w:type="dxa"/>
            <w:shd w:val="clear" w:color="auto" w:fill="auto"/>
            <w:vAlign w:val="center"/>
            <w:hideMark/>
          </w:tcPr>
          <w:p w14:paraId="2FF3A65F" w14:textId="77777777" w:rsidR="00410AB2" w:rsidRPr="00A763DF" w:rsidRDefault="00410AB2" w:rsidP="00EB5AD2">
            <w:pPr>
              <w:spacing w:before="0"/>
              <w:jc w:val="right"/>
              <w:rPr>
                <w:rFonts w:ascii="Arial Narrow" w:eastAsia="Times New Roman" w:hAnsi="Arial Narrow" w:cs="Calibri"/>
                <w:b/>
                <w:bCs/>
                <w:color w:val="000000"/>
                <w:sz w:val="20"/>
                <w:szCs w:val="20"/>
                <w:lang w:eastAsia="en-AU"/>
              </w:rPr>
            </w:pPr>
            <w:r w:rsidRPr="00A763DF">
              <w:rPr>
                <w:rFonts w:ascii="Arial Narrow" w:eastAsia="Times New Roman" w:hAnsi="Arial Narrow" w:cs="Calibri"/>
                <w:b/>
                <w:bCs/>
                <w:color w:val="000000"/>
                <w:sz w:val="20"/>
                <w:szCs w:val="20"/>
                <w:lang w:eastAsia="en-AU"/>
              </w:rPr>
              <w:t>$2,484,605</w:t>
            </w:r>
          </w:p>
        </w:tc>
        <w:tc>
          <w:tcPr>
            <w:tcW w:w="1082" w:type="dxa"/>
            <w:shd w:val="clear" w:color="auto" w:fill="auto"/>
            <w:vAlign w:val="center"/>
            <w:hideMark/>
          </w:tcPr>
          <w:p w14:paraId="31425E35" w14:textId="77777777" w:rsidR="00410AB2" w:rsidRPr="00A763DF" w:rsidRDefault="00410AB2" w:rsidP="00EB5AD2">
            <w:pPr>
              <w:spacing w:before="0"/>
              <w:jc w:val="right"/>
              <w:rPr>
                <w:rFonts w:ascii="Arial Narrow" w:eastAsia="Times New Roman" w:hAnsi="Arial Narrow" w:cs="Calibri"/>
                <w:b/>
                <w:bCs/>
                <w:color w:val="000000"/>
                <w:sz w:val="20"/>
                <w:szCs w:val="20"/>
                <w:lang w:eastAsia="en-AU"/>
              </w:rPr>
            </w:pPr>
            <w:r w:rsidRPr="00A763DF">
              <w:rPr>
                <w:rFonts w:ascii="Arial Narrow" w:eastAsia="Times New Roman" w:hAnsi="Arial Narrow" w:cs="Calibri"/>
                <w:b/>
                <w:bCs/>
                <w:color w:val="000000"/>
                <w:sz w:val="20"/>
                <w:szCs w:val="20"/>
                <w:lang w:eastAsia="en-AU"/>
              </w:rPr>
              <w:t>$2,512,064</w:t>
            </w:r>
          </w:p>
        </w:tc>
      </w:tr>
      <w:tr w:rsidR="00202308" w:rsidRPr="00FB101D" w14:paraId="3ABE6A0B" w14:textId="77777777" w:rsidTr="005B0D9D">
        <w:trPr>
          <w:trHeight w:val="300"/>
        </w:trPr>
        <w:tc>
          <w:tcPr>
            <w:tcW w:w="9021" w:type="dxa"/>
            <w:gridSpan w:val="7"/>
            <w:shd w:val="clear" w:color="auto" w:fill="auto"/>
            <w:vAlign w:val="center"/>
            <w:hideMark/>
          </w:tcPr>
          <w:p w14:paraId="09D7E6D0" w14:textId="554441B1" w:rsidR="00202308" w:rsidRPr="00EB5AD2" w:rsidRDefault="00202308" w:rsidP="004D3912">
            <w:pPr>
              <w:spacing w:before="0"/>
              <w:rPr>
                <w:rFonts w:ascii="Arial Narrow" w:eastAsia="Times New Roman" w:hAnsi="Arial Narrow" w:cs="Calibri"/>
                <w:b/>
                <w:bCs/>
                <w:i/>
                <w:iCs/>
                <w:color w:val="0070C0"/>
                <w:sz w:val="20"/>
                <w:szCs w:val="20"/>
                <w:lang w:eastAsia="en-AU"/>
              </w:rPr>
            </w:pPr>
            <w:r w:rsidRPr="00EB5AD2">
              <w:rPr>
                <w:rFonts w:ascii="Arial Narrow" w:eastAsia="Times New Roman" w:hAnsi="Arial Narrow" w:cs="Calibri"/>
                <w:b/>
                <w:bCs/>
                <w:i/>
                <w:iCs/>
                <w:color w:val="0070C0"/>
                <w:sz w:val="20"/>
                <w:szCs w:val="20"/>
                <w:lang w:eastAsia="en-AU"/>
              </w:rPr>
              <w:t xml:space="preserve">Post-ESC </w:t>
            </w:r>
            <w:r w:rsidR="0058332A">
              <w:rPr>
                <w:rFonts w:ascii="Arial Narrow" w:eastAsia="Times New Roman" w:hAnsi="Arial Narrow" w:cs="Calibri"/>
                <w:b/>
                <w:bCs/>
                <w:i/>
                <w:iCs/>
                <w:color w:val="0070C0"/>
                <w:sz w:val="20"/>
                <w:szCs w:val="20"/>
                <w:lang w:eastAsia="en-AU"/>
              </w:rPr>
              <w:t>revised analyses</w:t>
            </w:r>
            <w:r w:rsidR="00C823FD">
              <w:rPr>
                <w:rFonts w:ascii="Arial Narrow" w:eastAsia="Times New Roman" w:hAnsi="Arial Narrow" w:cs="Calibri"/>
                <w:b/>
                <w:bCs/>
                <w:i/>
                <w:iCs/>
                <w:color w:val="0070C0"/>
                <w:sz w:val="20"/>
                <w:szCs w:val="20"/>
                <w:lang w:eastAsia="en-AU"/>
              </w:rPr>
              <w:t xml:space="preserve"> </w:t>
            </w:r>
            <w:r w:rsidR="00C823FD" w:rsidRPr="007A7942">
              <w:rPr>
                <w:rFonts w:ascii="Arial Narrow" w:eastAsia="Times New Roman" w:hAnsi="Arial Narrow" w:cs="Calibri"/>
                <w:i/>
                <w:iCs/>
                <w:color w:val="0070C0"/>
                <w:sz w:val="20"/>
                <w:szCs w:val="20"/>
                <w:lang w:eastAsia="en-AU"/>
              </w:rPr>
              <w:t>(</w:t>
            </w:r>
            <w:r w:rsidR="00DD14A8" w:rsidRPr="007A7942">
              <w:rPr>
                <w:rFonts w:ascii="Arial Narrow" w:eastAsia="Times New Roman" w:hAnsi="Arial Narrow" w:cs="Calibri"/>
                <w:i/>
                <w:iCs/>
                <w:color w:val="0070C0"/>
                <w:sz w:val="20"/>
                <w:szCs w:val="20"/>
                <w:lang w:eastAsia="en-AU"/>
              </w:rPr>
              <w:t>two relapse rate scenarios</w:t>
            </w:r>
            <w:r w:rsidR="00B9032A">
              <w:rPr>
                <w:rFonts w:ascii="Arial Narrow" w:eastAsia="Times New Roman" w:hAnsi="Arial Narrow" w:cs="Calibri"/>
                <w:i/>
                <w:iCs/>
                <w:color w:val="0070C0"/>
                <w:sz w:val="20"/>
                <w:szCs w:val="20"/>
                <w:lang w:eastAsia="en-AU"/>
              </w:rPr>
              <w:t>, each</w:t>
            </w:r>
            <w:r w:rsidR="007A7942" w:rsidRPr="007A7942">
              <w:rPr>
                <w:rFonts w:ascii="Arial Narrow" w:eastAsia="Times New Roman" w:hAnsi="Arial Narrow" w:cs="Calibri"/>
                <w:i/>
                <w:iCs/>
                <w:color w:val="0070C0"/>
                <w:sz w:val="20"/>
                <w:szCs w:val="20"/>
                <w:lang w:eastAsia="en-AU"/>
              </w:rPr>
              <w:t xml:space="preserve"> </w:t>
            </w:r>
            <w:r w:rsidR="006A09DD">
              <w:rPr>
                <w:rFonts w:ascii="Arial Narrow" w:eastAsia="Times New Roman" w:hAnsi="Arial Narrow" w:cs="Calibri"/>
                <w:i/>
                <w:iCs/>
                <w:color w:val="0070C0"/>
                <w:sz w:val="20"/>
                <w:szCs w:val="20"/>
                <w:lang w:eastAsia="en-AU"/>
              </w:rPr>
              <w:t>includ</w:t>
            </w:r>
            <w:r w:rsidR="00B9032A">
              <w:rPr>
                <w:rFonts w:ascii="Arial Narrow" w:eastAsia="Times New Roman" w:hAnsi="Arial Narrow" w:cs="Calibri"/>
                <w:i/>
                <w:iCs/>
                <w:color w:val="0070C0"/>
                <w:sz w:val="20"/>
                <w:szCs w:val="20"/>
                <w:lang w:eastAsia="en-AU"/>
              </w:rPr>
              <w:t>ing</w:t>
            </w:r>
            <w:r w:rsidR="007A7942" w:rsidRPr="007A7942">
              <w:rPr>
                <w:rFonts w:ascii="Arial Narrow" w:eastAsia="Times New Roman" w:hAnsi="Arial Narrow" w:cs="Calibri"/>
                <w:i/>
                <w:iCs/>
                <w:color w:val="0070C0"/>
                <w:sz w:val="20"/>
                <w:szCs w:val="20"/>
                <w:lang w:eastAsia="en-AU"/>
              </w:rPr>
              <w:t xml:space="preserve"> re-biopsy</w:t>
            </w:r>
            <w:r w:rsidR="00C823FD" w:rsidRPr="007A7942">
              <w:rPr>
                <w:rFonts w:ascii="Arial Narrow" w:eastAsia="Times New Roman" w:hAnsi="Arial Narrow" w:cs="Calibri"/>
                <w:i/>
                <w:iCs/>
                <w:color w:val="0070C0"/>
                <w:sz w:val="20"/>
                <w:szCs w:val="20"/>
                <w:lang w:eastAsia="en-AU"/>
              </w:rPr>
              <w:t>)</w:t>
            </w:r>
          </w:p>
        </w:tc>
      </w:tr>
      <w:tr w:rsidR="00D320C7" w:rsidRPr="00FB101D" w14:paraId="03FE2B10" w14:textId="77777777" w:rsidTr="007105BB">
        <w:trPr>
          <w:trHeight w:val="610"/>
        </w:trPr>
        <w:tc>
          <w:tcPr>
            <w:tcW w:w="2532" w:type="dxa"/>
            <w:shd w:val="clear" w:color="auto" w:fill="auto"/>
            <w:vAlign w:val="bottom"/>
          </w:tcPr>
          <w:p w14:paraId="2BA3B6C8" w14:textId="7BBADC6A" w:rsidR="00202308" w:rsidRPr="0058332A" w:rsidRDefault="00202308" w:rsidP="00202308">
            <w:pPr>
              <w:spacing w:before="0"/>
              <w:rPr>
                <w:rFonts w:ascii="Arial Narrow" w:eastAsia="Times New Roman" w:hAnsi="Arial Narrow" w:cs="Calibri"/>
                <w:b/>
                <w:bCs/>
                <w:i/>
                <w:iCs/>
                <w:color w:val="0070C0"/>
                <w:sz w:val="20"/>
                <w:szCs w:val="20"/>
                <w:lang w:eastAsia="en-AU"/>
              </w:rPr>
            </w:pPr>
            <w:r>
              <w:rPr>
                <w:rFonts w:ascii="Arial Narrow" w:hAnsi="Arial Narrow"/>
                <w:b/>
                <w:bCs/>
                <w:i/>
                <w:iCs/>
                <w:color w:val="0070C0"/>
                <w:sz w:val="20"/>
                <w:szCs w:val="20"/>
              </w:rPr>
              <w:t>Net c</w:t>
            </w:r>
            <w:r w:rsidRPr="00E61757">
              <w:rPr>
                <w:rFonts w:ascii="Arial Narrow" w:hAnsi="Arial Narrow"/>
                <w:b/>
                <w:bCs/>
                <w:i/>
                <w:iCs/>
                <w:color w:val="0070C0"/>
                <w:sz w:val="20"/>
                <w:szCs w:val="20"/>
              </w:rPr>
              <w:t>ost of MRD testing to the MBS</w:t>
            </w:r>
            <w:r>
              <w:rPr>
                <w:rFonts w:ascii="Arial Narrow" w:hAnsi="Arial Narrow"/>
                <w:b/>
                <w:bCs/>
                <w:i/>
                <w:iCs/>
                <w:color w:val="0070C0"/>
                <w:sz w:val="20"/>
                <w:szCs w:val="20"/>
              </w:rPr>
              <w:t>,</w:t>
            </w:r>
            <w:r w:rsidRPr="00E61757">
              <w:rPr>
                <w:rFonts w:ascii="Arial Narrow" w:hAnsi="Arial Narrow"/>
                <w:b/>
                <w:bCs/>
                <w:i/>
                <w:iCs/>
                <w:color w:val="0070C0"/>
                <w:sz w:val="20"/>
                <w:szCs w:val="20"/>
              </w:rPr>
              <w:t xml:space="preserve"> </w:t>
            </w:r>
            <w:r w:rsidRPr="00E61757">
              <w:rPr>
                <w:rFonts w:ascii="Arial Narrow" w:hAnsi="Arial Narrow"/>
                <w:i/>
                <w:iCs/>
                <w:color w:val="0070C0"/>
                <w:sz w:val="20"/>
                <w:szCs w:val="20"/>
              </w:rPr>
              <w:t>including 4% re-biopsy rate, and relapsing patients in year 1 (3%) and year 2 (1</w:t>
            </w:r>
            <w:r w:rsidR="0058332A">
              <w:rPr>
                <w:rFonts w:ascii="Arial Narrow" w:hAnsi="Arial Narrow"/>
                <w:i/>
                <w:iCs/>
                <w:color w:val="0070C0"/>
                <w:sz w:val="20"/>
                <w:szCs w:val="20"/>
              </w:rPr>
              <w:t>7</w:t>
            </w:r>
            <w:r w:rsidRPr="00E61757">
              <w:rPr>
                <w:rFonts w:ascii="Arial Narrow" w:hAnsi="Arial Narrow"/>
                <w:i/>
                <w:iCs/>
                <w:color w:val="0070C0"/>
                <w:sz w:val="20"/>
                <w:szCs w:val="20"/>
              </w:rPr>
              <w:t>%)</w:t>
            </w:r>
          </w:p>
        </w:tc>
        <w:tc>
          <w:tcPr>
            <w:tcW w:w="1081" w:type="dxa"/>
            <w:shd w:val="clear" w:color="auto" w:fill="auto"/>
            <w:vAlign w:val="center"/>
          </w:tcPr>
          <w:p w14:paraId="42A7F358" w14:textId="38103EF3" w:rsidR="00202308" w:rsidRPr="0058332A" w:rsidRDefault="00202308" w:rsidP="00EB5AD2">
            <w:pPr>
              <w:spacing w:before="0"/>
              <w:jc w:val="right"/>
              <w:rPr>
                <w:rFonts w:ascii="Arial Narrow" w:eastAsia="Times New Roman" w:hAnsi="Arial Narrow" w:cs="Calibri"/>
                <w:b/>
                <w:bCs/>
                <w:i/>
                <w:iCs/>
                <w:color w:val="0070C0"/>
                <w:sz w:val="20"/>
                <w:szCs w:val="20"/>
                <w:lang w:eastAsia="en-AU"/>
              </w:rPr>
            </w:pPr>
            <w:r w:rsidRPr="00E61757">
              <w:rPr>
                <w:rFonts w:ascii="Arial Narrow" w:hAnsi="Arial Narrow"/>
                <w:b/>
                <w:bCs/>
                <w:i/>
                <w:iCs/>
                <w:color w:val="0070C0"/>
                <w:sz w:val="20"/>
                <w:szCs w:val="20"/>
              </w:rPr>
              <w:t>$2,448,035</w:t>
            </w:r>
          </w:p>
        </w:tc>
        <w:tc>
          <w:tcPr>
            <w:tcW w:w="1082" w:type="dxa"/>
            <w:shd w:val="clear" w:color="auto" w:fill="auto"/>
            <w:vAlign w:val="center"/>
          </w:tcPr>
          <w:p w14:paraId="402F44E5" w14:textId="624BCED6" w:rsidR="00202308" w:rsidRPr="0058332A" w:rsidRDefault="00202308" w:rsidP="00EB5AD2">
            <w:pPr>
              <w:spacing w:before="0"/>
              <w:jc w:val="right"/>
              <w:rPr>
                <w:rFonts w:ascii="Arial Narrow" w:eastAsia="Times New Roman" w:hAnsi="Arial Narrow" w:cs="Calibri"/>
                <w:b/>
                <w:bCs/>
                <w:i/>
                <w:iCs/>
                <w:color w:val="0070C0"/>
                <w:sz w:val="20"/>
                <w:szCs w:val="20"/>
                <w:lang w:eastAsia="en-AU"/>
              </w:rPr>
            </w:pPr>
            <w:r w:rsidRPr="00E61757">
              <w:rPr>
                <w:rFonts w:ascii="Arial Narrow" w:hAnsi="Arial Narrow"/>
                <w:b/>
                <w:bCs/>
                <w:i/>
                <w:iCs/>
                <w:color w:val="0070C0"/>
                <w:sz w:val="20"/>
                <w:szCs w:val="20"/>
              </w:rPr>
              <w:t>$2,489,002</w:t>
            </w:r>
          </w:p>
        </w:tc>
        <w:tc>
          <w:tcPr>
            <w:tcW w:w="1081" w:type="dxa"/>
            <w:shd w:val="clear" w:color="auto" w:fill="auto"/>
            <w:vAlign w:val="center"/>
          </w:tcPr>
          <w:p w14:paraId="7072DB6E" w14:textId="114ACA6D" w:rsidR="00202308" w:rsidRPr="0058332A" w:rsidRDefault="00202308" w:rsidP="00EB5AD2">
            <w:pPr>
              <w:spacing w:before="0"/>
              <w:jc w:val="right"/>
              <w:rPr>
                <w:rFonts w:ascii="Arial Narrow" w:eastAsia="Times New Roman" w:hAnsi="Arial Narrow" w:cs="Calibri"/>
                <w:b/>
                <w:bCs/>
                <w:i/>
                <w:iCs/>
                <w:color w:val="0070C0"/>
                <w:sz w:val="20"/>
                <w:szCs w:val="20"/>
                <w:lang w:eastAsia="en-AU"/>
              </w:rPr>
            </w:pPr>
            <w:r w:rsidRPr="00E61757">
              <w:rPr>
                <w:rFonts w:ascii="Arial Narrow" w:hAnsi="Arial Narrow"/>
                <w:b/>
                <w:bCs/>
                <w:i/>
                <w:iCs/>
                <w:color w:val="0070C0"/>
                <w:sz w:val="20"/>
                <w:szCs w:val="20"/>
              </w:rPr>
              <w:t>$2,712,564</w:t>
            </w:r>
          </w:p>
        </w:tc>
        <w:tc>
          <w:tcPr>
            <w:tcW w:w="1082" w:type="dxa"/>
            <w:shd w:val="clear" w:color="auto" w:fill="auto"/>
            <w:vAlign w:val="center"/>
          </w:tcPr>
          <w:p w14:paraId="01590DCA" w14:textId="7D447389" w:rsidR="00202308" w:rsidRPr="0058332A" w:rsidRDefault="00202308" w:rsidP="00EB5AD2">
            <w:pPr>
              <w:spacing w:before="0"/>
              <w:jc w:val="right"/>
              <w:rPr>
                <w:rFonts w:ascii="Arial Narrow" w:eastAsia="Times New Roman" w:hAnsi="Arial Narrow" w:cs="Calibri"/>
                <w:b/>
                <w:bCs/>
                <w:i/>
                <w:iCs/>
                <w:color w:val="0070C0"/>
                <w:sz w:val="20"/>
                <w:szCs w:val="20"/>
                <w:lang w:eastAsia="en-AU"/>
              </w:rPr>
            </w:pPr>
            <w:r w:rsidRPr="00E61757">
              <w:rPr>
                <w:rFonts w:ascii="Arial Narrow" w:hAnsi="Arial Narrow"/>
                <w:b/>
                <w:bCs/>
                <w:i/>
                <w:iCs/>
                <w:color w:val="0070C0"/>
                <w:sz w:val="20"/>
                <w:szCs w:val="20"/>
              </w:rPr>
              <w:t>$2,578,954</w:t>
            </w:r>
          </w:p>
        </w:tc>
        <w:tc>
          <w:tcPr>
            <w:tcW w:w="1081" w:type="dxa"/>
            <w:shd w:val="clear" w:color="auto" w:fill="auto"/>
            <w:vAlign w:val="center"/>
          </w:tcPr>
          <w:p w14:paraId="5072B78D" w14:textId="46115AF6" w:rsidR="00202308" w:rsidRPr="0058332A" w:rsidRDefault="00202308" w:rsidP="00EB5AD2">
            <w:pPr>
              <w:spacing w:before="0"/>
              <w:jc w:val="right"/>
              <w:rPr>
                <w:rFonts w:ascii="Arial Narrow" w:eastAsia="Times New Roman" w:hAnsi="Arial Narrow" w:cs="Calibri"/>
                <w:b/>
                <w:bCs/>
                <w:i/>
                <w:iCs/>
                <w:color w:val="0070C0"/>
                <w:sz w:val="20"/>
                <w:szCs w:val="20"/>
                <w:lang w:eastAsia="en-AU"/>
              </w:rPr>
            </w:pPr>
            <w:r w:rsidRPr="00E61757">
              <w:rPr>
                <w:rFonts w:ascii="Arial Narrow" w:hAnsi="Arial Narrow"/>
                <w:b/>
                <w:bCs/>
                <w:i/>
                <w:iCs/>
                <w:color w:val="0070C0"/>
                <w:sz w:val="20"/>
                <w:szCs w:val="20"/>
              </w:rPr>
              <w:t>$2,583,989</w:t>
            </w:r>
          </w:p>
        </w:tc>
        <w:tc>
          <w:tcPr>
            <w:tcW w:w="1082" w:type="dxa"/>
            <w:shd w:val="clear" w:color="auto" w:fill="auto"/>
            <w:vAlign w:val="center"/>
          </w:tcPr>
          <w:p w14:paraId="61292F08" w14:textId="22DB6384" w:rsidR="00202308" w:rsidRPr="0058332A" w:rsidRDefault="00202308" w:rsidP="00EB5AD2">
            <w:pPr>
              <w:spacing w:before="0"/>
              <w:jc w:val="right"/>
              <w:rPr>
                <w:rFonts w:ascii="Arial Narrow" w:eastAsia="Times New Roman" w:hAnsi="Arial Narrow" w:cs="Calibri"/>
                <w:b/>
                <w:bCs/>
                <w:i/>
                <w:iCs/>
                <w:color w:val="0070C0"/>
                <w:sz w:val="20"/>
                <w:szCs w:val="20"/>
                <w:lang w:eastAsia="en-AU"/>
              </w:rPr>
            </w:pPr>
            <w:r w:rsidRPr="00E61757">
              <w:rPr>
                <w:rFonts w:ascii="Arial Narrow" w:hAnsi="Arial Narrow"/>
                <w:b/>
                <w:bCs/>
                <w:i/>
                <w:iCs/>
                <w:color w:val="0070C0"/>
                <w:sz w:val="20"/>
                <w:szCs w:val="20"/>
              </w:rPr>
              <w:t>$2,612,546</w:t>
            </w:r>
          </w:p>
        </w:tc>
      </w:tr>
      <w:tr w:rsidR="00D320C7" w:rsidRPr="00FB101D" w14:paraId="64F55902" w14:textId="77777777" w:rsidTr="007105BB">
        <w:trPr>
          <w:trHeight w:val="610"/>
        </w:trPr>
        <w:tc>
          <w:tcPr>
            <w:tcW w:w="2532" w:type="dxa"/>
            <w:shd w:val="clear" w:color="auto" w:fill="auto"/>
          </w:tcPr>
          <w:p w14:paraId="7165373D" w14:textId="4AA6C8CA" w:rsidR="00202308" w:rsidRPr="0058332A" w:rsidRDefault="00202308" w:rsidP="0058332A">
            <w:pPr>
              <w:spacing w:before="0"/>
              <w:rPr>
                <w:rFonts w:ascii="Arial Narrow" w:eastAsia="Times New Roman" w:hAnsi="Arial Narrow" w:cs="Calibri"/>
                <w:b/>
                <w:bCs/>
                <w:i/>
                <w:iCs/>
                <w:color w:val="0070C0"/>
                <w:sz w:val="20"/>
                <w:szCs w:val="20"/>
                <w:lang w:eastAsia="en-AU"/>
              </w:rPr>
            </w:pPr>
            <w:r>
              <w:rPr>
                <w:rFonts w:ascii="Arial Narrow" w:hAnsi="Arial Narrow"/>
                <w:b/>
                <w:bCs/>
                <w:i/>
                <w:iCs/>
                <w:color w:val="0070C0"/>
                <w:sz w:val="20"/>
                <w:szCs w:val="20"/>
              </w:rPr>
              <w:t>Net c</w:t>
            </w:r>
            <w:r w:rsidRPr="00202308">
              <w:rPr>
                <w:rFonts w:ascii="Arial Narrow" w:hAnsi="Arial Narrow"/>
                <w:b/>
                <w:bCs/>
                <w:i/>
                <w:iCs/>
                <w:color w:val="0070C0"/>
                <w:sz w:val="20"/>
                <w:szCs w:val="20"/>
              </w:rPr>
              <w:t>ost of MRD testing to the MBS</w:t>
            </w:r>
            <w:r>
              <w:rPr>
                <w:rFonts w:ascii="Arial Narrow" w:hAnsi="Arial Narrow"/>
                <w:b/>
                <w:bCs/>
                <w:i/>
                <w:iCs/>
                <w:color w:val="0070C0"/>
                <w:sz w:val="20"/>
                <w:szCs w:val="20"/>
              </w:rPr>
              <w:t>,</w:t>
            </w:r>
            <w:r w:rsidRPr="00E61757">
              <w:rPr>
                <w:rFonts w:ascii="Arial Narrow" w:hAnsi="Arial Narrow"/>
                <w:b/>
                <w:bCs/>
                <w:i/>
                <w:iCs/>
                <w:color w:val="0070C0"/>
                <w:sz w:val="20"/>
                <w:szCs w:val="20"/>
              </w:rPr>
              <w:t xml:space="preserve"> </w:t>
            </w:r>
            <w:r w:rsidRPr="00E61757">
              <w:rPr>
                <w:rFonts w:ascii="Arial Narrow" w:hAnsi="Arial Narrow"/>
                <w:i/>
                <w:iCs/>
                <w:color w:val="0070C0"/>
                <w:sz w:val="20"/>
                <w:szCs w:val="20"/>
              </w:rPr>
              <w:t>including 4% re-biopsy rate, and relapsing patients in year 1 (</w:t>
            </w:r>
            <w:r>
              <w:rPr>
                <w:rFonts w:ascii="Arial Narrow" w:hAnsi="Arial Narrow"/>
                <w:i/>
                <w:iCs/>
                <w:color w:val="0070C0"/>
                <w:sz w:val="20"/>
                <w:szCs w:val="20"/>
              </w:rPr>
              <w:t>10</w:t>
            </w:r>
            <w:r w:rsidRPr="00E61757">
              <w:rPr>
                <w:rFonts w:ascii="Arial Narrow" w:hAnsi="Arial Narrow"/>
                <w:i/>
                <w:iCs/>
                <w:color w:val="0070C0"/>
                <w:sz w:val="20"/>
                <w:szCs w:val="20"/>
              </w:rPr>
              <w:t>%) and year 2 (</w:t>
            </w:r>
            <w:r>
              <w:rPr>
                <w:rFonts w:ascii="Arial Narrow" w:hAnsi="Arial Narrow"/>
                <w:i/>
                <w:iCs/>
                <w:color w:val="0070C0"/>
                <w:sz w:val="20"/>
                <w:szCs w:val="20"/>
              </w:rPr>
              <w:t>50</w:t>
            </w:r>
            <w:r w:rsidRPr="00E61757">
              <w:rPr>
                <w:rFonts w:ascii="Arial Narrow" w:hAnsi="Arial Narrow"/>
                <w:i/>
                <w:iCs/>
                <w:color w:val="0070C0"/>
                <w:sz w:val="20"/>
                <w:szCs w:val="20"/>
              </w:rPr>
              <w:t>%)</w:t>
            </w:r>
          </w:p>
        </w:tc>
        <w:tc>
          <w:tcPr>
            <w:tcW w:w="1081" w:type="dxa"/>
            <w:shd w:val="clear" w:color="auto" w:fill="auto"/>
            <w:vAlign w:val="center"/>
          </w:tcPr>
          <w:p w14:paraId="53051685" w14:textId="7B69D8CB" w:rsidR="00202308" w:rsidRPr="0058332A" w:rsidRDefault="00202308" w:rsidP="00EB5AD2">
            <w:pPr>
              <w:spacing w:before="0"/>
              <w:jc w:val="right"/>
              <w:rPr>
                <w:rFonts w:ascii="Arial Narrow" w:eastAsia="Times New Roman" w:hAnsi="Arial Narrow" w:cs="Calibri"/>
                <w:b/>
                <w:bCs/>
                <w:i/>
                <w:iCs/>
                <w:color w:val="0070C0"/>
                <w:sz w:val="20"/>
                <w:szCs w:val="20"/>
                <w:lang w:eastAsia="en-AU"/>
              </w:rPr>
            </w:pPr>
            <w:r w:rsidRPr="00202308">
              <w:rPr>
                <w:rFonts w:ascii="Arial Narrow" w:hAnsi="Arial Narrow"/>
                <w:b/>
                <w:bCs/>
                <w:i/>
                <w:iCs/>
                <w:color w:val="0070C0"/>
                <w:sz w:val="20"/>
                <w:szCs w:val="20"/>
              </w:rPr>
              <w:t>$2,671,123</w:t>
            </w:r>
          </w:p>
        </w:tc>
        <w:tc>
          <w:tcPr>
            <w:tcW w:w="1082" w:type="dxa"/>
            <w:shd w:val="clear" w:color="auto" w:fill="auto"/>
            <w:vAlign w:val="center"/>
          </w:tcPr>
          <w:p w14:paraId="053DD3CC" w14:textId="26AEE23A" w:rsidR="00202308" w:rsidRPr="0058332A" w:rsidRDefault="00202308" w:rsidP="00EB5AD2">
            <w:pPr>
              <w:spacing w:before="0"/>
              <w:jc w:val="right"/>
              <w:rPr>
                <w:rFonts w:ascii="Arial Narrow" w:eastAsia="Times New Roman" w:hAnsi="Arial Narrow" w:cs="Calibri"/>
                <w:b/>
                <w:bCs/>
                <w:i/>
                <w:iCs/>
                <w:color w:val="0070C0"/>
                <w:sz w:val="20"/>
                <w:szCs w:val="20"/>
                <w:lang w:eastAsia="en-AU"/>
              </w:rPr>
            </w:pPr>
            <w:r w:rsidRPr="00202308">
              <w:rPr>
                <w:rFonts w:ascii="Arial Narrow" w:hAnsi="Arial Narrow"/>
                <w:b/>
                <w:bCs/>
                <w:i/>
                <w:iCs/>
                <w:color w:val="0070C0"/>
                <w:sz w:val="20"/>
                <w:szCs w:val="20"/>
              </w:rPr>
              <w:t>$2,715,824</w:t>
            </w:r>
          </w:p>
        </w:tc>
        <w:tc>
          <w:tcPr>
            <w:tcW w:w="1081" w:type="dxa"/>
            <w:shd w:val="clear" w:color="auto" w:fill="auto"/>
            <w:vAlign w:val="center"/>
          </w:tcPr>
          <w:p w14:paraId="2FF2E6AB" w14:textId="1E2995ED" w:rsidR="00202308" w:rsidRPr="0058332A" w:rsidRDefault="00202308" w:rsidP="00EB5AD2">
            <w:pPr>
              <w:spacing w:before="0"/>
              <w:jc w:val="right"/>
              <w:rPr>
                <w:rFonts w:ascii="Arial Narrow" w:eastAsia="Times New Roman" w:hAnsi="Arial Narrow" w:cs="Calibri"/>
                <w:b/>
                <w:bCs/>
                <w:i/>
                <w:iCs/>
                <w:color w:val="0070C0"/>
                <w:sz w:val="20"/>
                <w:szCs w:val="20"/>
                <w:lang w:eastAsia="en-AU"/>
              </w:rPr>
            </w:pPr>
            <w:r w:rsidRPr="00202308">
              <w:rPr>
                <w:rFonts w:ascii="Arial Narrow" w:hAnsi="Arial Narrow"/>
                <w:b/>
                <w:bCs/>
                <w:i/>
                <w:iCs/>
                <w:color w:val="0070C0"/>
                <w:sz w:val="20"/>
                <w:szCs w:val="20"/>
              </w:rPr>
              <w:t>$2,712,564</w:t>
            </w:r>
          </w:p>
        </w:tc>
        <w:tc>
          <w:tcPr>
            <w:tcW w:w="1082" w:type="dxa"/>
            <w:shd w:val="clear" w:color="auto" w:fill="auto"/>
            <w:vAlign w:val="center"/>
          </w:tcPr>
          <w:p w14:paraId="1487F262" w14:textId="3C696A2F" w:rsidR="00202308" w:rsidRPr="0058332A" w:rsidRDefault="00202308" w:rsidP="00EB5AD2">
            <w:pPr>
              <w:spacing w:before="0"/>
              <w:jc w:val="right"/>
              <w:rPr>
                <w:rFonts w:ascii="Arial Narrow" w:eastAsia="Times New Roman" w:hAnsi="Arial Narrow" w:cs="Calibri"/>
                <w:b/>
                <w:bCs/>
                <w:i/>
                <w:iCs/>
                <w:color w:val="0070C0"/>
                <w:sz w:val="20"/>
                <w:szCs w:val="20"/>
                <w:lang w:eastAsia="en-AU"/>
              </w:rPr>
            </w:pPr>
            <w:r w:rsidRPr="00202308">
              <w:rPr>
                <w:rFonts w:ascii="Arial Narrow" w:hAnsi="Arial Narrow"/>
                <w:b/>
                <w:bCs/>
                <w:i/>
                <w:iCs/>
                <w:color w:val="0070C0"/>
                <w:sz w:val="20"/>
                <w:szCs w:val="20"/>
              </w:rPr>
              <w:t>$2,578,954</w:t>
            </w:r>
          </w:p>
        </w:tc>
        <w:tc>
          <w:tcPr>
            <w:tcW w:w="1081" w:type="dxa"/>
            <w:shd w:val="clear" w:color="auto" w:fill="auto"/>
            <w:vAlign w:val="center"/>
          </w:tcPr>
          <w:p w14:paraId="3E6A5F49" w14:textId="331B52AF" w:rsidR="00202308" w:rsidRPr="0058332A" w:rsidRDefault="00202308" w:rsidP="00EB5AD2">
            <w:pPr>
              <w:spacing w:before="0"/>
              <w:jc w:val="right"/>
              <w:rPr>
                <w:rFonts w:ascii="Arial Narrow" w:eastAsia="Times New Roman" w:hAnsi="Arial Narrow" w:cs="Calibri"/>
                <w:b/>
                <w:bCs/>
                <w:i/>
                <w:iCs/>
                <w:color w:val="0070C0"/>
                <w:sz w:val="20"/>
                <w:szCs w:val="20"/>
                <w:lang w:eastAsia="en-AU"/>
              </w:rPr>
            </w:pPr>
            <w:r w:rsidRPr="00202308">
              <w:rPr>
                <w:rFonts w:ascii="Arial Narrow" w:hAnsi="Arial Narrow"/>
                <w:b/>
                <w:bCs/>
                <w:i/>
                <w:iCs/>
                <w:color w:val="0070C0"/>
                <w:sz w:val="20"/>
                <w:szCs w:val="20"/>
              </w:rPr>
              <w:t>$2,583,989</w:t>
            </w:r>
          </w:p>
        </w:tc>
        <w:tc>
          <w:tcPr>
            <w:tcW w:w="1082" w:type="dxa"/>
            <w:shd w:val="clear" w:color="auto" w:fill="auto"/>
            <w:vAlign w:val="center"/>
          </w:tcPr>
          <w:p w14:paraId="11D64A84" w14:textId="3A3FD399" w:rsidR="00202308" w:rsidRPr="0058332A" w:rsidRDefault="00202308" w:rsidP="00EB5AD2">
            <w:pPr>
              <w:spacing w:before="0"/>
              <w:jc w:val="right"/>
              <w:rPr>
                <w:rFonts w:ascii="Arial Narrow" w:eastAsia="Times New Roman" w:hAnsi="Arial Narrow" w:cs="Calibri"/>
                <w:b/>
                <w:bCs/>
                <w:i/>
                <w:iCs/>
                <w:color w:val="0070C0"/>
                <w:sz w:val="20"/>
                <w:szCs w:val="20"/>
                <w:lang w:eastAsia="en-AU"/>
              </w:rPr>
            </w:pPr>
            <w:r w:rsidRPr="00202308">
              <w:rPr>
                <w:rFonts w:ascii="Arial Narrow" w:hAnsi="Arial Narrow"/>
                <w:b/>
                <w:bCs/>
                <w:i/>
                <w:iCs/>
                <w:color w:val="0070C0"/>
                <w:sz w:val="20"/>
                <w:szCs w:val="20"/>
              </w:rPr>
              <w:t>$2,612,546</w:t>
            </w:r>
          </w:p>
        </w:tc>
      </w:tr>
    </w:tbl>
    <w:p w14:paraId="55A3DE81" w14:textId="1E6020CE" w:rsidR="00410AB2" w:rsidRPr="005B0D9D" w:rsidRDefault="00410AB2" w:rsidP="002D16A2">
      <w:pPr>
        <w:pStyle w:val="Tablenotes"/>
        <w:rPr>
          <w14:ligatures w14:val="standardContextual"/>
        </w:rPr>
      </w:pPr>
      <w:r w:rsidRPr="32573D7E">
        <w:rPr>
          <w:rFonts w:eastAsia="Arial Narrow"/>
        </w:rPr>
        <w:t xml:space="preserve">Source: </w:t>
      </w:r>
      <w:r w:rsidR="00202308">
        <w:rPr>
          <w:rFonts w:eastAsia="Arial Narrow"/>
        </w:rPr>
        <w:t xml:space="preserve">DCAR: </w:t>
      </w:r>
      <w:r w:rsidRPr="32573D7E">
        <w:rPr>
          <w:rFonts w:eastAsia="Arial Narrow"/>
        </w:rPr>
        <w:t xml:space="preserve">Attachment 4_Financial estimates, worksheet ‘Results </w:t>
      </w:r>
      <w:proofErr w:type="spellStart"/>
      <w:r w:rsidRPr="32573D7E">
        <w:rPr>
          <w:rFonts w:eastAsia="Arial Narrow"/>
        </w:rPr>
        <w:t>Tables_DCAR</w:t>
      </w:r>
      <w:proofErr w:type="spellEnd"/>
      <w:r w:rsidRPr="32573D7E">
        <w:rPr>
          <w:rFonts w:eastAsia="Arial Narrow"/>
        </w:rPr>
        <w:t>’</w:t>
      </w:r>
      <w:r w:rsidR="00202308">
        <w:rPr>
          <w:rFonts w:eastAsia="Arial Narrow"/>
        </w:rPr>
        <w:t xml:space="preserve">; and </w:t>
      </w:r>
      <w:r w:rsidR="00202308">
        <w:t xml:space="preserve">HTA group’s post ESC updated analysis: </w:t>
      </w:r>
      <w:r w:rsidR="00202308" w:rsidRPr="009047EE">
        <w:rPr>
          <w:rFonts w:cs="Calibri"/>
          <w:szCs w:val="18"/>
          <w14:ligatures w14:val="standardContextual"/>
        </w:rPr>
        <w:t>02b. 1703 DCAR Financial estimates_160222_UPDATED</w:t>
      </w:r>
      <w:r w:rsidR="00202308">
        <w:rPr>
          <w:rFonts w:cs="Calibri"/>
          <w:szCs w:val="18"/>
          <w14:ligatures w14:val="standardContextual"/>
        </w:rPr>
        <w:t>.</w:t>
      </w:r>
    </w:p>
    <w:p w14:paraId="0C42C067" w14:textId="2F2C353C" w:rsidR="007105BB" w:rsidRDefault="008B225D" w:rsidP="002D16A2">
      <w:pPr>
        <w:pStyle w:val="Tablenotes"/>
      </w:pPr>
      <w:r>
        <w:t>Post-ESC revised analyses are shown in blue italics; rows relating to MRD testing by qPCR are highlighted in pale grey</w:t>
      </w:r>
      <w:r w:rsidR="006252F9">
        <w:t>.</w:t>
      </w:r>
    </w:p>
    <w:p w14:paraId="0A9BD0BC" w14:textId="0EE68795" w:rsidR="00410AB2" w:rsidRDefault="00410AB2" w:rsidP="002D16A2">
      <w:pPr>
        <w:pStyle w:val="Tablenotes"/>
        <w:rPr>
          <w:rFonts w:eastAsia="Arial Narrow"/>
        </w:rPr>
      </w:pPr>
      <w:r w:rsidRPr="66FD72B4">
        <w:rPr>
          <w:rFonts w:eastAsia="Arial Narrow"/>
        </w:rPr>
        <w:t xml:space="preserve">Abbreviations: </w:t>
      </w:r>
      <w:r w:rsidRPr="32573D7E">
        <w:rPr>
          <w:rFonts w:eastAsia="Arial Narrow"/>
        </w:rPr>
        <w:t xml:space="preserve">MBS, Medicare Benefits Schedule; MRD, </w:t>
      </w:r>
      <w:r w:rsidR="0058332A">
        <w:rPr>
          <w:rFonts w:eastAsia="Arial Narrow"/>
        </w:rPr>
        <w:t>measurable</w:t>
      </w:r>
      <w:r w:rsidR="0058332A" w:rsidRPr="32573D7E">
        <w:rPr>
          <w:rFonts w:eastAsia="Arial Narrow"/>
        </w:rPr>
        <w:t xml:space="preserve"> </w:t>
      </w:r>
      <w:r w:rsidRPr="32573D7E">
        <w:rPr>
          <w:rFonts w:eastAsia="Arial Narrow"/>
        </w:rPr>
        <w:t xml:space="preserve">residual </w:t>
      </w:r>
      <w:r w:rsidR="0058332A">
        <w:rPr>
          <w:rFonts w:eastAsia="Arial Narrow"/>
        </w:rPr>
        <w:t>disease</w:t>
      </w:r>
    </w:p>
    <w:p w14:paraId="16A375EB" w14:textId="7357F66C" w:rsidR="00410AB2" w:rsidRDefault="00410AB2" w:rsidP="00EB5AD2">
      <w:pPr>
        <w:pStyle w:val="Tablenotes"/>
        <w:spacing w:after="240"/>
      </w:pPr>
      <w:r>
        <w:rPr>
          <w:rFonts w:eastAsia="Arial Narrow"/>
        </w:rPr>
        <w:t>*Year 1-6 reflects the annual years of 2023-20</w:t>
      </w:r>
      <w:r w:rsidR="00CB6CA6">
        <w:rPr>
          <w:rFonts w:eastAsia="Arial Narrow"/>
        </w:rPr>
        <w:t>2</w:t>
      </w:r>
      <w:r>
        <w:rPr>
          <w:rFonts w:eastAsia="Arial Narrow"/>
        </w:rPr>
        <w:t>8</w:t>
      </w:r>
    </w:p>
    <w:bookmarkEnd w:id="57"/>
    <w:p w14:paraId="4D3682D9" w14:textId="421274BF" w:rsidR="00415426" w:rsidRPr="00415426" w:rsidRDefault="6094B11B" w:rsidP="00415426">
      <w:pPr>
        <w:keepNext/>
        <w:keepLines/>
        <w:rPr>
          <w:rFonts w:eastAsiaTheme="minorEastAsia"/>
        </w:rPr>
      </w:pPr>
      <w:r w:rsidRPr="08B0B86B">
        <w:rPr>
          <w:rFonts w:eastAsiaTheme="minorEastAsia"/>
        </w:rPr>
        <w:t xml:space="preserve">The results of the financial model demonstrate that the utilisation of bone marrow morphology does not change in the world with and without the listing of MRD testing on the MBS. As such, the increased cost to the MBS is directly related to the estimated use of MRD testing by </w:t>
      </w:r>
      <w:proofErr w:type="spellStart"/>
      <w:r w:rsidRPr="08B0B86B">
        <w:rPr>
          <w:rFonts w:eastAsiaTheme="minorEastAsia"/>
        </w:rPr>
        <w:t>mpFC</w:t>
      </w:r>
      <w:proofErr w:type="spellEnd"/>
      <w:r w:rsidRPr="08B0B86B">
        <w:rPr>
          <w:rFonts w:eastAsiaTheme="minorEastAsia"/>
        </w:rPr>
        <w:t xml:space="preserve"> and other molecular methods of MRD testing including NGS and ASO-qPCR (</w:t>
      </w:r>
      <w:r w:rsidR="00236F54">
        <w:rPr>
          <w:rFonts w:eastAsiaTheme="minorEastAsia"/>
        </w:rPr>
        <w:fldChar w:fldCharType="begin"/>
      </w:r>
      <w:r w:rsidR="00236F54">
        <w:rPr>
          <w:rFonts w:eastAsiaTheme="minorEastAsia"/>
        </w:rPr>
        <w:instrText xml:space="preserve"> REF _Ref118914598 \h </w:instrText>
      </w:r>
      <w:r w:rsidR="00236F54">
        <w:rPr>
          <w:rFonts w:eastAsiaTheme="minorEastAsia"/>
        </w:rPr>
      </w:r>
      <w:r w:rsidR="00236F54">
        <w:rPr>
          <w:rFonts w:eastAsiaTheme="minorEastAsia"/>
        </w:rPr>
        <w:fldChar w:fldCharType="separate"/>
      </w:r>
      <w:r w:rsidR="0003093F">
        <w:t xml:space="preserve">Table </w:t>
      </w:r>
      <w:r w:rsidR="0003093F">
        <w:rPr>
          <w:noProof/>
        </w:rPr>
        <w:t>11</w:t>
      </w:r>
      <w:r w:rsidR="00236F54">
        <w:rPr>
          <w:rFonts w:eastAsiaTheme="minorEastAsia"/>
        </w:rPr>
        <w:fldChar w:fldCharType="end"/>
      </w:r>
      <w:r w:rsidR="00236F54">
        <w:rPr>
          <w:rFonts w:eastAsiaTheme="minorEastAsia"/>
        </w:rPr>
        <w:t>)</w:t>
      </w:r>
      <w:r w:rsidRPr="08B0B86B">
        <w:rPr>
          <w:rFonts w:eastAsiaTheme="minorEastAsia"/>
        </w:rPr>
        <w:t>.</w:t>
      </w:r>
      <w:bookmarkStart w:id="60" w:name="_Ref118874938"/>
      <w:bookmarkStart w:id="61" w:name="_Ref118914598"/>
      <w:bookmarkStart w:id="62" w:name="_Toc121921226"/>
      <w:r w:rsidR="00415426">
        <w:br w:type="page"/>
      </w:r>
    </w:p>
    <w:p w14:paraId="28A56E94" w14:textId="092AE241" w:rsidR="0009198B" w:rsidRDefault="0009198B" w:rsidP="0009198B">
      <w:pPr>
        <w:pStyle w:val="Caption"/>
      </w:pPr>
      <w:r>
        <w:lastRenderedPageBreak/>
        <w:t xml:space="preserve">Table </w:t>
      </w:r>
      <w:bookmarkEnd w:id="60"/>
      <w:r>
        <w:fldChar w:fldCharType="begin"/>
      </w:r>
      <w:r>
        <w:instrText>SEQ Table \* ARABIC</w:instrText>
      </w:r>
      <w:r>
        <w:fldChar w:fldCharType="separate"/>
      </w:r>
      <w:r w:rsidR="00A922D7">
        <w:rPr>
          <w:noProof/>
        </w:rPr>
        <w:t>11</w:t>
      </w:r>
      <w:r>
        <w:fldChar w:fldCharType="end"/>
      </w:r>
      <w:bookmarkEnd w:id="61"/>
      <w:r w:rsidR="00236F54">
        <w:tab/>
      </w:r>
      <w:r w:rsidRPr="00E20641">
        <w:t>Estimated use and change in cost of listing MRD testing on the MBS</w:t>
      </w:r>
      <w:bookmarkEnd w:id="62"/>
    </w:p>
    <w:tbl>
      <w:tblPr>
        <w:tblStyle w:val="TableGrid"/>
        <w:tblW w:w="9021" w:type="dxa"/>
        <w:tblLayout w:type="fixed"/>
        <w:tblLook w:val="04A0" w:firstRow="1" w:lastRow="0" w:firstColumn="1" w:lastColumn="0" w:noHBand="0" w:noVBand="1"/>
      </w:tblPr>
      <w:tblGrid>
        <w:gridCol w:w="2512"/>
        <w:gridCol w:w="1078"/>
        <w:gridCol w:w="1078"/>
        <w:gridCol w:w="1078"/>
        <w:gridCol w:w="1078"/>
        <w:gridCol w:w="1078"/>
        <w:gridCol w:w="1119"/>
      </w:tblGrid>
      <w:tr w:rsidR="00410AB2" w14:paraId="567BE7AE" w14:textId="77777777" w:rsidTr="004D3912">
        <w:trPr>
          <w:trHeight w:val="300"/>
          <w:tblHeader/>
        </w:trPr>
        <w:tc>
          <w:tcPr>
            <w:tcW w:w="2512" w:type="dxa"/>
            <w:tcBorders>
              <w:top w:val="single" w:sz="8" w:space="0" w:color="auto"/>
              <w:left w:val="single" w:sz="8" w:space="0" w:color="auto"/>
              <w:bottom w:val="single" w:sz="8" w:space="0" w:color="auto"/>
              <w:right w:val="single" w:sz="8" w:space="0" w:color="auto"/>
            </w:tcBorders>
            <w:vAlign w:val="center"/>
          </w:tcPr>
          <w:p w14:paraId="669ED1A2" w14:textId="77777777" w:rsidR="00410AB2" w:rsidRDefault="00410AB2" w:rsidP="004D3912">
            <w:pPr>
              <w:spacing w:before="40" w:after="40"/>
            </w:pPr>
            <w:r w:rsidRPr="08B0B86B">
              <w:rPr>
                <w:rFonts w:ascii="Arial Narrow" w:eastAsia="Arial Narrow" w:hAnsi="Arial Narrow" w:cs="Arial Narrow"/>
                <w:b/>
                <w:bCs/>
                <w:color w:val="000000" w:themeColor="text1"/>
                <w:sz w:val="20"/>
                <w:szCs w:val="20"/>
              </w:rPr>
              <w:t>Parameter</w:t>
            </w:r>
          </w:p>
        </w:tc>
        <w:tc>
          <w:tcPr>
            <w:tcW w:w="1078" w:type="dxa"/>
            <w:tcBorders>
              <w:top w:val="single" w:sz="8" w:space="0" w:color="auto"/>
              <w:left w:val="single" w:sz="8" w:space="0" w:color="auto"/>
              <w:bottom w:val="single" w:sz="8" w:space="0" w:color="auto"/>
              <w:right w:val="single" w:sz="8" w:space="0" w:color="auto"/>
            </w:tcBorders>
            <w:vAlign w:val="center"/>
          </w:tcPr>
          <w:p w14:paraId="75DD2969" w14:textId="77777777" w:rsidR="00410AB2" w:rsidRDefault="00410AB2" w:rsidP="004D3912">
            <w:pPr>
              <w:spacing w:before="40" w:after="40"/>
              <w:jc w:val="center"/>
            </w:pPr>
            <w:r w:rsidRPr="08B0B86B">
              <w:rPr>
                <w:rFonts w:ascii="Arial Narrow" w:eastAsia="Arial Narrow" w:hAnsi="Arial Narrow" w:cs="Arial Narrow"/>
                <w:b/>
                <w:bCs/>
                <w:color w:val="000000" w:themeColor="text1"/>
                <w:sz w:val="20"/>
                <w:szCs w:val="20"/>
              </w:rPr>
              <w:t>Year 1</w:t>
            </w:r>
          </w:p>
        </w:tc>
        <w:tc>
          <w:tcPr>
            <w:tcW w:w="1078" w:type="dxa"/>
            <w:tcBorders>
              <w:top w:val="single" w:sz="8" w:space="0" w:color="auto"/>
              <w:left w:val="single" w:sz="8" w:space="0" w:color="auto"/>
              <w:bottom w:val="single" w:sz="8" w:space="0" w:color="auto"/>
              <w:right w:val="single" w:sz="8" w:space="0" w:color="auto"/>
            </w:tcBorders>
            <w:vAlign w:val="center"/>
          </w:tcPr>
          <w:p w14:paraId="408AA11F" w14:textId="77777777" w:rsidR="00410AB2" w:rsidRDefault="00410AB2" w:rsidP="004D3912">
            <w:pPr>
              <w:spacing w:before="40" w:after="40"/>
              <w:jc w:val="center"/>
            </w:pPr>
            <w:r w:rsidRPr="08B0B86B">
              <w:rPr>
                <w:rFonts w:ascii="Arial Narrow" w:eastAsia="Arial Narrow" w:hAnsi="Arial Narrow" w:cs="Arial Narrow"/>
                <w:b/>
                <w:bCs/>
                <w:color w:val="000000" w:themeColor="text1"/>
                <w:sz w:val="20"/>
                <w:szCs w:val="20"/>
              </w:rPr>
              <w:t>Year 2</w:t>
            </w:r>
          </w:p>
        </w:tc>
        <w:tc>
          <w:tcPr>
            <w:tcW w:w="1078" w:type="dxa"/>
            <w:tcBorders>
              <w:top w:val="single" w:sz="8" w:space="0" w:color="auto"/>
              <w:left w:val="single" w:sz="8" w:space="0" w:color="auto"/>
              <w:bottom w:val="single" w:sz="8" w:space="0" w:color="auto"/>
              <w:right w:val="single" w:sz="8" w:space="0" w:color="auto"/>
            </w:tcBorders>
            <w:vAlign w:val="center"/>
          </w:tcPr>
          <w:p w14:paraId="21540565" w14:textId="77777777" w:rsidR="00410AB2" w:rsidRDefault="00410AB2" w:rsidP="004D3912">
            <w:pPr>
              <w:spacing w:before="40" w:after="40"/>
              <w:jc w:val="center"/>
            </w:pPr>
            <w:r w:rsidRPr="08B0B86B">
              <w:rPr>
                <w:rFonts w:ascii="Arial Narrow" w:eastAsia="Arial Narrow" w:hAnsi="Arial Narrow" w:cs="Arial Narrow"/>
                <w:b/>
                <w:bCs/>
                <w:color w:val="000000" w:themeColor="text1"/>
                <w:sz w:val="20"/>
                <w:szCs w:val="20"/>
              </w:rPr>
              <w:t>Year 3</w:t>
            </w:r>
          </w:p>
        </w:tc>
        <w:tc>
          <w:tcPr>
            <w:tcW w:w="1078" w:type="dxa"/>
            <w:tcBorders>
              <w:top w:val="single" w:sz="8" w:space="0" w:color="auto"/>
              <w:left w:val="single" w:sz="8" w:space="0" w:color="auto"/>
              <w:bottom w:val="single" w:sz="8" w:space="0" w:color="auto"/>
              <w:right w:val="single" w:sz="8" w:space="0" w:color="auto"/>
            </w:tcBorders>
            <w:vAlign w:val="center"/>
          </w:tcPr>
          <w:p w14:paraId="2F5FB315" w14:textId="77777777" w:rsidR="00410AB2" w:rsidRDefault="00410AB2" w:rsidP="004D3912">
            <w:pPr>
              <w:spacing w:before="40" w:after="40"/>
              <w:jc w:val="center"/>
            </w:pPr>
            <w:r w:rsidRPr="08B0B86B">
              <w:rPr>
                <w:rFonts w:ascii="Arial Narrow" w:eastAsia="Arial Narrow" w:hAnsi="Arial Narrow" w:cs="Arial Narrow"/>
                <w:b/>
                <w:bCs/>
                <w:color w:val="000000" w:themeColor="text1"/>
                <w:sz w:val="20"/>
                <w:szCs w:val="20"/>
              </w:rPr>
              <w:t>Year 4</w:t>
            </w:r>
          </w:p>
        </w:tc>
        <w:tc>
          <w:tcPr>
            <w:tcW w:w="1078" w:type="dxa"/>
            <w:tcBorders>
              <w:top w:val="single" w:sz="8" w:space="0" w:color="auto"/>
              <w:left w:val="single" w:sz="8" w:space="0" w:color="auto"/>
              <w:bottom w:val="single" w:sz="8" w:space="0" w:color="auto"/>
              <w:right w:val="single" w:sz="8" w:space="0" w:color="auto"/>
            </w:tcBorders>
            <w:vAlign w:val="center"/>
          </w:tcPr>
          <w:p w14:paraId="0565F9BC" w14:textId="77777777" w:rsidR="00410AB2" w:rsidRDefault="00410AB2" w:rsidP="004D3912">
            <w:pPr>
              <w:spacing w:before="40" w:after="40"/>
              <w:jc w:val="center"/>
            </w:pPr>
            <w:r w:rsidRPr="08B0B86B">
              <w:rPr>
                <w:rFonts w:ascii="Arial Narrow" w:eastAsia="Arial Narrow" w:hAnsi="Arial Narrow" w:cs="Arial Narrow"/>
                <w:b/>
                <w:bCs/>
                <w:color w:val="000000" w:themeColor="text1"/>
                <w:sz w:val="20"/>
                <w:szCs w:val="20"/>
              </w:rPr>
              <w:t>Year 5</w:t>
            </w:r>
          </w:p>
        </w:tc>
        <w:tc>
          <w:tcPr>
            <w:tcW w:w="1119" w:type="dxa"/>
            <w:tcBorders>
              <w:top w:val="single" w:sz="8" w:space="0" w:color="auto"/>
              <w:left w:val="single" w:sz="8" w:space="0" w:color="auto"/>
              <w:bottom w:val="single" w:sz="8" w:space="0" w:color="auto"/>
              <w:right w:val="single" w:sz="8" w:space="0" w:color="auto"/>
            </w:tcBorders>
            <w:vAlign w:val="center"/>
          </w:tcPr>
          <w:p w14:paraId="342A5141" w14:textId="77777777" w:rsidR="00410AB2" w:rsidRDefault="00410AB2" w:rsidP="004D3912">
            <w:pPr>
              <w:spacing w:before="40" w:after="40"/>
              <w:jc w:val="center"/>
            </w:pPr>
            <w:r w:rsidRPr="08B0B86B">
              <w:rPr>
                <w:rFonts w:ascii="Arial Narrow" w:eastAsia="Arial Narrow" w:hAnsi="Arial Narrow" w:cs="Arial Narrow"/>
                <w:b/>
                <w:bCs/>
                <w:color w:val="000000" w:themeColor="text1"/>
                <w:sz w:val="20"/>
                <w:szCs w:val="20"/>
              </w:rPr>
              <w:t>Year 6</w:t>
            </w:r>
          </w:p>
        </w:tc>
      </w:tr>
      <w:tr w:rsidR="00410AB2" w14:paraId="796AD9EF" w14:textId="77777777" w:rsidTr="006A45D1">
        <w:trPr>
          <w:trHeight w:val="300"/>
        </w:trPr>
        <w:tc>
          <w:tcPr>
            <w:tcW w:w="9021" w:type="dxa"/>
            <w:gridSpan w:val="7"/>
            <w:tcBorders>
              <w:top w:val="single" w:sz="8" w:space="0" w:color="auto"/>
              <w:left w:val="single" w:sz="8" w:space="0" w:color="auto"/>
              <w:bottom w:val="single" w:sz="8" w:space="0" w:color="auto"/>
              <w:right w:val="single" w:sz="8" w:space="0" w:color="auto"/>
            </w:tcBorders>
            <w:vAlign w:val="center"/>
          </w:tcPr>
          <w:p w14:paraId="6A73D979" w14:textId="77777777" w:rsidR="00410AB2" w:rsidRDefault="00410AB2" w:rsidP="004D3912">
            <w:pPr>
              <w:spacing w:before="40" w:after="40"/>
            </w:pPr>
            <w:r w:rsidRPr="08B0B86B">
              <w:rPr>
                <w:rFonts w:ascii="Arial Narrow" w:eastAsia="Arial Narrow" w:hAnsi="Arial Narrow" w:cs="Arial Narrow"/>
                <w:b/>
                <w:bCs/>
                <w:sz w:val="20"/>
                <w:szCs w:val="20"/>
              </w:rPr>
              <w:t>Paediatric and adult populations combined</w:t>
            </w:r>
          </w:p>
        </w:tc>
      </w:tr>
      <w:tr w:rsidR="00410AB2" w14:paraId="5508305B" w14:textId="77777777" w:rsidTr="004D3912">
        <w:trPr>
          <w:trHeight w:val="300"/>
        </w:trPr>
        <w:tc>
          <w:tcPr>
            <w:tcW w:w="2512" w:type="dxa"/>
            <w:tcBorders>
              <w:top w:val="single" w:sz="8" w:space="0" w:color="auto"/>
              <w:left w:val="single" w:sz="8" w:space="0" w:color="auto"/>
              <w:bottom w:val="single" w:sz="8" w:space="0" w:color="auto"/>
              <w:right w:val="single" w:sz="8" w:space="0" w:color="auto"/>
            </w:tcBorders>
            <w:vAlign w:val="center"/>
          </w:tcPr>
          <w:p w14:paraId="1337A402" w14:textId="77777777" w:rsidR="00410AB2" w:rsidRDefault="00410AB2" w:rsidP="004D3912">
            <w:pPr>
              <w:spacing w:before="40" w:after="40"/>
            </w:pPr>
            <w:r w:rsidRPr="08B0B86B">
              <w:rPr>
                <w:rFonts w:ascii="Arial Narrow" w:eastAsia="Arial Narrow" w:hAnsi="Arial Narrow" w:cs="Arial Narrow"/>
                <w:color w:val="000000" w:themeColor="text1"/>
                <w:sz w:val="20"/>
                <w:szCs w:val="20"/>
              </w:rPr>
              <w:t>Incidence of paediatric</w:t>
            </w:r>
            <w:r>
              <w:rPr>
                <w:rFonts w:ascii="Arial Narrow" w:eastAsia="Arial Narrow" w:hAnsi="Arial Narrow" w:cs="Arial Narrow"/>
                <w:color w:val="000000" w:themeColor="text1"/>
                <w:sz w:val="20"/>
                <w:szCs w:val="20"/>
              </w:rPr>
              <w:t xml:space="preserve"> and adult</w:t>
            </w:r>
            <w:r w:rsidRPr="08B0B86B">
              <w:rPr>
                <w:rFonts w:ascii="Arial Narrow" w:eastAsia="Arial Narrow" w:hAnsi="Arial Narrow" w:cs="Arial Narrow"/>
                <w:color w:val="000000" w:themeColor="text1"/>
                <w:sz w:val="20"/>
                <w:szCs w:val="20"/>
              </w:rPr>
              <w:t xml:space="preserve"> patients with ALL</w:t>
            </w:r>
          </w:p>
        </w:tc>
        <w:tc>
          <w:tcPr>
            <w:tcW w:w="1078" w:type="dxa"/>
            <w:tcBorders>
              <w:top w:val="nil"/>
              <w:left w:val="single" w:sz="8" w:space="0" w:color="auto"/>
              <w:bottom w:val="single" w:sz="8" w:space="0" w:color="auto"/>
              <w:right w:val="single" w:sz="8" w:space="0" w:color="auto"/>
            </w:tcBorders>
            <w:vAlign w:val="center"/>
          </w:tcPr>
          <w:p w14:paraId="589B8FB5" w14:textId="77777777" w:rsidR="00410AB2" w:rsidRDefault="00410AB2" w:rsidP="004D3912">
            <w:pPr>
              <w:spacing w:before="40" w:after="40"/>
              <w:jc w:val="center"/>
            </w:pPr>
            <w:r>
              <w:rPr>
                <w:rFonts w:ascii="Arial Narrow" w:hAnsi="Arial Narrow" w:cs="Calibri"/>
                <w:color w:val="000000"/>
                <w:sz w:val="20"/>
                <w:szCs w:val="20"/>
              </w:rPr>
              <w:t>415</w:t>
            </w:r>
          </w:p>
        </w:tc>
        <w:tc>
          <w:tcPr>
            <w:tcW w:w="1078" w:type="dxa"/>
            <w:tcBorders>
              <w:top w:val="nil"/>
              <w:left w:val="single" w:sz="8" w:space="0" w:color="auto"/>
              <w:bottom w:val="single" w:sz="8" w:space="0" w:color="auto"/>
              <w:right w:val="single" w:sz="8" w:space="0" w:color="auto"/>
            </w:tcBorders>
            <w:vAlign w:val="center"/>
          </w:tcPr>
          <w:p w14:paraId="62E4E852" w14:textId="77777777" w:rsidR="00410AB2" w:rsidRDefault="00410AB2" w:rsidP="004D3912">
            <w:pPr>
              <w:spacing w:before="40" w:after="40"/>
              <w:jc w:val="center"/>
            </w:pPr>
            <w:r>
              <w:rPr>
                <w:rFonts w:ascii="Arial Narrow" w:hAnsi="Arial Narrow" w:cs="Calibri"/>
                <w:color w:val="000000"/>
                <w:sz w:val="20"/>
                <w:szCs w:val="20"/>
              </w:rPr>
              <w:t>422</w:t>
            </w:r>
          </w:p>
        </w:tc>
        <w:tc>
          <w:tcPr>
            <w:tcW w:w="1078" w:type="dxa"/>
            <w:tcBorders>
              <w:top w:val="nil"/>
              <w:left w:val="single" w:sz="8" w:space="0" w:color="auto"/>
              <w:bottom w:val="single" w:sz="8" w:space="0" w:color="auto"/>
              <w:right w:val="single" w:sz="8" w:space="0" w:color="auto"/>
            </w:tcBorders>
            <w:vAlign w:val="center"/>
          </w:tcPr>
          <w:p w14:paraId="02B17C44" w14:textId="77777777" w:rsidR="00410AB2" w:rsidRDefault="00410AB2" w:rsidP="004D3912">
            <w:pPr>
              <w:spacing w:before="40" w:after="40"/>
              <w:jc w:val="center"/>
            </w:pPr>
            <w:r>
              <w:rPr>
                <w:rFonts w:ascii="Arial Narrow" w:hAnsi="Arial Narrow" w:cs="Calibri"/>
                <w:color w:val="000000"/>
                <w:sz w:val="20"/>
                <w:szCs w:val="20"/>
              </w:rPr>
              <w:t>429</w:t>
            </w:r>
          </w:p>
        </w:tc>
        <w:tc>
          <w:tcPr>
            <w:tcW w:w="1078" w:type="dxa"/>
            <w:tcBorders>
              <w:top w:val="nil"/>
              <w:left w:val="single" w:sz="8" w:space="0" w:color="auto"/>
              <w:bottom w:val="single" w:sz="8" w:space="0" w:color="auto"/>
              <w:right w:val="single" w:sz="8" w:space="0" w:color="auto"/>
            </w:tcBorders>
            <w:vAlign w:val="center"/>
          </w:tcPr>
          <w:p w14:paraId="6DF8F473" w14:textId="77777777" w:rsidR="00410AB2" w:rsidRDefault="00410AB2" w:rsidP="004D3912">
            <w:pPr>
              <w:spacing w:before="40" w:after="40"/>
              <w:jc w:val="center"/>
            </w:pPr>
            <w:r>
              <w:rPr>
                <w:rFonts w:ascii="Arial Narrow" w:hAnsi="Arial Narrow" w:cs="Calibri"/>
                <w:color w:val="000000"/>
                <w:sz w:val="20"/>
                <w:szCs w:val="20"/>
              </w:rPr>
              <w:t>436</w:t>
            </w:r>
          </w:p>
        </w:tc>
        <w:tc>
          <w:tcPr>
            <w:tcW w:w="1078" w:type="dxa"/>
            <w:tcBorders>
              <w:top w:val="nil"/>
              <w:left w:val="single" w:sz="8" w:space="0" w:color="auto"/>
              <w:bottom w:val="single" w:sz="8" w:space="0" w:color="auto"/>
              <w:right w:val="single" w:sz="8" w:space="0" w:color="auto"/>
            </w:tcBorders>
            <w:vAlign w:val="center"/>
          </w:tcPr>
          <w:p w14:paraId="02C6BF05" w14:textId="77777777" w:rsidR="00410AB2" w:rsidRDefault="00410AB2" w:rsidP="004D3912">
            <w:pPr>
              <w:spacing w:before="40" w:after="40"/>
              <w:jc w:val="center"/>
            </w:pPr>
            <w:r>
              <w:rPr>
                <w:rFonts w:ascii="Arial Narrow" w:hAnsi="Arial Narrow" w:cs="Calibri"/>
                <w:color w:val="000000"/>
                <w:sz w:val="20"/>
                <w:szCs w:val="20"/>
              </w:rPr>
              <w:t>444</w:t>
            </w:r>
          </w:p>
        </w:tc>
        <w:tc>
          <w:tcPr>
            <w:tcW w:w="1119" w:type="dxa"/>
            <w:tcBorders>
              <w:top w:val="nil"/>
              <w:left w:val="single" w:sz="8" w:space="0" w:color="auto"/>
              <w:bottom w:val="single" w:sz="8" w:space="0" w:color="auto"/>
              <w:right w:val="single" w:sz="8" w:space="0" w:color="auto"/>
            </w:tcBorders>
            <w:vAlign w:val="center"/>
          </w:tcPr>
          <w:p w14:paraId="1D9AC1C4" w14:textId="77777777" w:rsidR="00410AB2" w:rsidRDefault="00410AB2" w:rsidP="004D3912">
            <w:pPr>
              <w:spacing w:before="40" w:after="40"/>
              <w:jc w:val="center"/>
            </w:pPr>
            <w:r>
              <w:rPr>
                <w:rFonts w:ascii="Arial Narrow" w:hAnsi="Arial Narrow" w:cs="Calibri"/>
                <w:color w:val="000000"/>
                <w:sz w:val="20"/>
                <w:szCs w:val="20"/>
              </w:rPr>
              <w:t>451</w:t>
            </w:r>
          </w:p>
        </w:tc>
      </w:tr>
      <w:tr w:rsidR="00410AB2" w14:paraId="0F3C1B85" w14:textId="77777777" w:rsidTr="004D3912">
        <w:trPr>
          <w:trHeight w:val="525"/>
        </w:trPr>
        <w:tc>
          <w:tcPr>
            <w:tcW w:w="2512" w:type="dxa"/>
            <w:tcBorders>
              <w:top w:val="single" w:sz="8" w:space="0" w:color="auto"/>
              <w:left w:val="single" w:sz="8" w:space="0" w:color="auto"/>
              <w:bottom w:val="single" w:sz="8" w:space="0" w:color="auto"/>
              <w:right w:val="single" w:sz="8" w:space="0" w:color="auto"/>
            </w:tcBorders>
            <w:vAlign w:val="center"/>
          </w:tcPr>
          <w:p w14:paraId="3633EDB9" w14:textId="77777777" w:rsidR="00410AB2" w:rsidRDefault="00410AB2" w:rsidP="004D3912">
            <w:pPr>
              <w:spacing w:before="40" w:after="40"/>
            </w:pPr>
            <w:r w:rsidRPr="08B0B86B">
              <w:rPr>
                <w:rFonts w:ascii="Arial Narrow" w:eastAsia="Arial Narrow" w:hAnsi="Arial Narrow" w:cs="Arial Narrow"/>
                <w:color w:val="000000" w:themeColor="text1"/>
                <w:sz w:val="20"/>
                <w:szCs w:val="20"/>
              </w:rPr>
              <w:t xml:space="preserve">Number of paediatric </w:t>
            </w:r>
            <w:r>
              <w:rPr>
                <w:rFonts w:ascii="Arial Narrow" w:eastAsia="Arial Narrow" w:hAnsi="Arial Narrow" w:cs="Arial Narrow"/>
                <w:color w:val="000000" w:themeColor="text1"/>
                <w:sz w:val="20"/>
                <w:szCs w:val="20"/>
              </w:rPr>
              <w:t xml:space="preserve">and adult </w:t>
            </w:r>
            <w:r w:rsidRPr="08B0B86B">
              <w:rPr>
                <w:rFonts w:ascii="Arial Narrow" w:eastAsia="Arial Narrow" w:hAnsi="Arial Narrow" w:cs="Arial Narrow"/>
                <w:color w:val="000000" w:themeColor="text1"/>
                <w:sz w:val="20"/>
                <w:szCs w:val="20"/>
              </w:rPr>
              <w:t>patients with ALL eligible for MRD testing</w:t>
            </w:r>
          </w:p>
        </w:tc>
        <w:tc>
          <w:tcPr>
            <w:tcW w:w="1078" w:type="dxa"/>
            <w:tcBorders>
              <w:top w:val="single" w:sz="8" w:space="0" w:color="auto"/>
              <w:left w:val="single" w:sz="8" w:space="0" w:color="auto"/>
              <w:bottom w:val="single" w:sz="8" w:space="0" w:color="auto"/>
              <w:right w:val="single" w:sz="8" w:space="0" w:color="auto"/>
            </w:tcBorders>
            <w:vAlign w:val="center"/>
          </w:tcPr>
          <w:p w14:paraId="0133A3CF" w14:textId="77777777" w:rsidR="00410AB2" w:rsidRDefault="00410AB2" w:rsidP="004D3912">
            <w:pPr>
              <w:spacing w:before="40" w:after="40"/>
              <w:jc w:val="center"/>
            </w:pPr>
            <w:r>
              <w:rPr>
                <w:rFonts w:ascii="Arial Narrow" w:hAnsi="Arial Narrow" w:cs="Calibri"/>
                <w:color w:val="000000"/>
                <w:sz w:val="20"/>
                <w:szCs w:val="20"/>
              </w:rPr>
              <w:t>394</w:t>
            </w:r>
          </w:p>
        </w:tc>
        <w:tc>
          <w:tcPr>
            <w:tcW w:w="1078" w:type="dxa"/>
            <w:tcBorders>
              <w:top w:val="single" w:sz="8" w:space="0" w:color="auto"/>
              <w:left w:val="single" w:sz="8" w:space="0" w:color="auto"/>
              <w:bottom w:val="single" w:sz="8" w:space="0" w:color="auto"/>
              <w:right w:val="single" w:sz="8" w:space="0" w:color="auto"/>
            </w:tcBorders>
            <w:vAlign w:val="center"/>
          </w:tcPr>
          <w:p w14:paraId="351FE842" w14:textId="77777777" w:rsidR="00410AB2" w:rsidRDefault="00410AB2" w:rsidP="004D3912">
            <w:pPr>
              <w:spacing w:before="40" w:after="40"/>
              <w:jc w:val="center"/>
            </w:pPr>
            <w:r>
              <w:rPr>
                <w:rFonts w:ascii="Arial Narrow" w:hAnsi="Arial Narrow" w:cs="Calibri"/>
                <w:color w:val="000000"/>
                <w:sz w:val="20"/>
                <w:szCs w:val="20"/>
              </w:rPr>
              <w:t>401</w:t>
            </w:r>
          </w:p>
        </w:tc>
        <w:tc>
          <w:tcPr>
            <w:tcW w:w="1078" w:type="dxa"/>
            <w:tcBorders>
              <w:top w:val="single" w:sz="8" w:space="0" w:color="auto"/>
              <w:left w:val="single" w:sz="8" w:space="0" w:color="auto"/>
              <w:bottom w:val="single" w:sz="8" w:space="0" w:color="auto"/>
              <w:right w:val="single" w:sz="8" w:space="0" w:color="auto"/>
            </w:tcBorders>
            <w:vAlign w:val="center"/>
          </w:tcPr>
          <w:p w14:paraId="241DFE53" w14:textId="77777777" w:rsidR="00410AB2" w:rsidRDefault="00410AB2" w:rsidP="004D3912">
            <w:pPr>
              <w:spacing w:before="40" w:after="40"/>
              <w:jc w:val="center"/>
            </w:pPr>
            <w:r>
              <w:rPr>
                <w:rFonts w:ascii="Arial Narrow" w:hAnsi="Arial Narrow" w:cs="Calibri"/>
                <w:color w:val="000000"/>
                <w:sz w:val="20"/>
                <w:szCs w:val="20"/>
              </w:rPr>
              <w:t>562</w:t>
            </w:r>
          </w:p>
        </w:tc>
        <w:tc>
          <w:tcPr>
            <w:tcW w:w="1078" w:type="dxa"/>
            <w:tcBorders>
              <w:top w:val="single" w:sz="8" w:space="0" w:color="auto"/>
              <w:left w:val="single" w:sz="8" w:space="0" w:color="auto"/>
              <w:bottom w:val="single" w:sz="8" w:space="0" w:color="auto"/>
              <w:right w:val="single" w:sz="8" w:space="0" w:color="auto"/>
            </w:tcBorders>
            <w:vAlign w:val="center"/>
          </w:tcPr>
          <w:p w14:paraId="2DB28D08" w14:textId="77777777" w:rsidR="00410AB2" w:rsidRDefault="00410AB2" w:rsidP="004D3912">
            <w:pPr>
              <w:spacing w:before="40" w:after="40"/>
              <w:jc w:val="center"/>
            </w:pPr>
            <w:r>
              <w:rPr>
                <w:rFonts w:ascii="Arial Narrow" w:hAnsi="Arial Narrow" w:cs="Calibri"/>
                <w:color w:val="000000"/>
                <w:sz w:val="20"/>
                <w:szCs w:val="20"/>
              </w:rPr>
              <w:t>434</w:t>
            </w:r>
          </w:p>
        </w:tc>
        <w:tc>
          <w:tcPr>
            <w:tcW w:w="1078" w:type="dxa"/>
            <w:tcBorders>
              <w:top w:val="single" w:sz="8" w:space="0" w:color="auto"/>
              <w:left w:val="single" w:sz="8" w:space="0" w:color="auto"/>
              <w:bottom w:val="single" w:sz="8" w:space="0" w:color="auto"/>
              <w:right w:val="single" w:sz="8" w:space="0" w:color="auto"/>
            </w:tcBorders>
            <w:vAlign w:val="center"/>
          </w:tcPr>
          <w:p w14:paraId="35D94A0E" w14:textId="77777777" w:rsidR="00410AB2" w:rsidRDefault="00410AB2" w:rsidP="004D3912">
            <w:pPr>
              <w:spacing w:before="40" w:after="40"/>
              <w:jc w:val="center"/>
            </w:pPr>
            <w:r>
              <w:rPr>
                <w:rFonts w:ascii="Arial Narrow" w:hAnsi="Arial Narrow" w:cs="Calibri"/>
                <w:color w:val="000000"/>
                <w:sz w:val="20"/>
                <w:szCs w:val="20"/>
              </w:rPr>
              <w:t>429</w:t>
            </w:r>
          </w:p>
        </w:tc>
        <w:tc>
          <w:tcPr>
            <w:tcW w:w="1119" w:type="dxa"/>
            <w:tcBorders>
              <w:top w:val="single" w:sz="8" w:space="0" w:color="auto"/>
              <w:left w:val="single" w:sz="8" w:space="0" w:color="auto"/>
              <w:bottom w:val="single" w:sz="8" w:space="0" w:color="auto"/>
              <w:right w:val="single" w:sz="8" w:space="0" w:color="auto"/>
            </w:tcBorders>
            <w:vAlign w:val="center"/>
          </w:tcPr>
          <w:p w14:paraId="6BFACA9F" w14:textId="77777777" w:rsidR="00410AB2" w:rsidRDefault="00410AB2" w:rsidP="004D3912">
            <w:pPr>
              <w:spacing w:before="40" w:after="40"/>
              <w:jc w:val="center"/>
            </w:pPr>
            <w:r>
              <w:rPr>
                <w:rFonts w:ascii="Arial Narrow" w:hAnsi="Arial Narrow" w:cs="Calibri"/>
                <w:color w:val="000000"/>
                <w:sz w:val="20"/>
                <w:szCs w:val="20"/>
              </w:rPr>
              <w:t>433</w:t>
            </w:r>
          </w:p>
        </w:tc>
      </w:tr>
      <w:tr w:rsidR="00410AB2" w14:paraId="47290325" w14:textId="77777777" w:rsidTr="006A45D1">
        <w:trPr>
          <w:trHeight w:val="300"/>
        </w:trPr>
        <w:tc>
          <w:tcPr>
            <w:tcW w:w="9021" w:type="dxa"/>
            <w:gridSpan w:val="7"/>
            <w:tcBorders>
              <w:top w:val="single" w:sz="8" w:space="0" w:color="auto"/>
              <w:left w:val="single" w:sz="8" w:space="0" w:color="auto"/>
              <w:bottom w:val="single" w:sz="8" w:space="0" w:color="auto"/>
              <w:right w:val="single" w:sz="8" w:space="0" w:color="auto"/>
            </w:tcBorders>
            <w:vAlign w:val="center"/>
          </w:tcPr>
          <w:p w14:paraId="0FF86435" w14:textId="77777777" w:rsidR="00410AB2" w:rsidRDefault="00410AB2" w:rsidP="004D3912">
            <w:pPr>
              <w:spacing w:before="40" w:after="40"/>
            </w:pPr>
            <w:r w:rsidRPr="08B0B86B">
              <w:rPr>
                <w:rFonts w:ascii="Arial Narrow" w:eastAsia="Arial Narrow" w:hAnsi="Arial Narrow" w:cs="Arial Narrow"/>
                <w:b/>
                <w:bCs/>
                <w:color w:val="000000" w:themeColor="text1"/>
                <w:sz w:val="20"/>
                <w:szCs w:val="20"/>
              </w:rPr>
              <w:t>Estimated use and cost of the proposed health technology</w:t>
            </w:r>
          </w:p>
        </w:tc>
      </w:tr>
      <w:tr w:rsidR="006A45D1" w14:paraId="1920C001" w14:textId="77777777" w:rsidTr="004D3912">
        <w:trPr>
          <w:trHeight w:val="525"/>
        </w:trPr>
        <w:tc>
          <w:tcPr>
            <w:tcW w:w="2512" w:type="dxa"/>
            <w:tcBorders>
              <w:top w:val="single" w:sz="8" w:space="0" w:color="auto"/>
              <w:left w:val="single" w:sz="8" w:space="0" w:color="auto"/>
              <w:bottom w:val="single" w:sz="8" w:space="0" w:color="auto"/>
              <w:right w:val="single" w:sz="8" w:space="0" w:color="auto"/>
            </w:tcBorders>
            <w:vAlign w:val="center"/>
          </w:tcPr>
          <w:p w14:paraId="0B6A7DA2" w14:textId="77777777" w:rsidR="006A45D1" w:rsidRDefault="006A45D1" w:rsidP="006A45D1">
            <w:pPr>
              <w:spacing w:before="40" w:after="40"/>
            </w:pPr>
            <w:r w:rsidRPr="08B0B86B">
              <w:rPr>
                <w:rFonts w:ascii="Arial Narrow" w:eastAsia="Arial Narrow" w:hAnsi="Arial Narrow" w:cs="Arial Narrow"/>
                <w:color w:val="000000" w:themeColor="text1"/>
                <w:sz w:val="20"/>
                <w:szCs w:val="20"/>
              </w:rPr>
              <w:t>Number of people who receive bone marrow morphology</w:t>
            </w:r>
          </w:p>
        </w:tc>
        <w:tc>
          <w:tcPr>
            <w:tcW w:w="1078" w:type="dxa"/>
            <w:tcBorders>
              <w:top w:val="nil"/>
              <w:left w:val="single" w:sz="8" w:space="0" w:color="auto"/>
              <w:bottom w:val="single" w:sz="8" w:space="0" w:color="auto"/>
              <w:right w:val="single" w:sz="8" w:space="0" w:color="auto"/>
            </w:tcBorders>
            <w:vAlign w:val="center"/>
          </w:tcPr>
          <w:p w14:paraId="0F626581" w14:textId="72E94BE0" w:rsidR="006A45D1" w:rsidRDefault="006A45D1" w:rsidP="006A45D1">
            <w:pPr>
              <w:spacing w:before="40" w:after="40"/>
              <w:jc w:val="center"/>
            </w:pPr>
            <w:r>
              <w:rPr>
                <w:rFonts w:ascii="Arial Narrow" w:hAnsi="Arial Narrow" w:cs="Calibri"/>
                <w:color w:val="000000"/>
                <w:sz w:val="20"/>
                <w:szCs w:val="20"/>
              </w:rPr>
              <w:t>415</w:t>
            </w:r>
          </w:p>
        </w:tc>
        <w:tc>
          <w:tcPr>
            <w:tcW w:w="1078" w:type="dxa"/>
            <w:tcBorders>
              <w:top w:val="nil"/>
              <w:left w:val="single" w:sz="8" w:space="0" w:color="auto"/>
              <w:bottom w:val="single" w:sz="8" w:space="0" w:color="auto"/>
              <w:right w:val="single" w:sz="8" w:space="0" w:color="auto"/>
            </w:tcBorders>
            <w:vAlign w:val="center"/>
          </w:tcPr>
          <w:p w14:paraId="4CDCBB70" w14:textId="4DE25DBD" w:rsidR="006A45D1" w:rsidRDefault="006A45D1" w:rsidP="006A45D1">
            <w:pPr>
              <w:spacing w:before="40" w:after="40"/>
              <w:jc w:val="center"/>
            </w:pPr>
            <w:r>
              <w:rPr>
                <w:rFonts w:ascii="Arial Narrow" w:hAnsi="Arial Narrow" w:cs="Calibri"/>
                <w:color w:val="000000"/>
                <w:sz w:val="20"/>
                <w:szCs w:val="20"/>
              </w:rPr>
              <w:t>422</w:t>
            </w:r>
          </w:p>
        </w:tc>
        <w:tc>
          <w:tcPr>
            <w:tcW w:w="1078" w:type="dxa"/>
            <w:tcBorders>
              <w:top w:val="nil"/>
              <w:left w:val="single" w:sz="8" w:space="0" w:color="auto"/>
              <w:bottom w:val="single" w:sz="8" w:space="0" w:color="auto"/>
              <w:right w:val="single" w:sz="8" w:space="0" w:color="auto"/>
            </w:tcBorders>
            <w:vAlign w:val="center"/>
          </w:tcPr>
          <w:p w14:paraId="4B0F8CA8" w14:textId="3DEFC1F3" w:rsidR="006A45D1" w:rsidRDefault="006A45D1" w:rsidP="006A45D1">
            <w:pPr>
              <w:spacing w:before="40" w:after="40"/>
              <w:jc w:val="center"/>
            </w:pPr>
            <w:r>
              <w:rPr>
                <w:rFonts w:ascii="Arial Narrow" w:hAnsi="Arial Narrow" w:cs="Calibri"/>
                <w:color w:val="000000"/>
                <w:sz w:val="20"/>
                <w:szCs w:val="20"/>
              </w:rPr>
              <w:t>759</w:t>
            </w:r>
          </w:p>
        </w:tc>
        <w:tc>
          <w:tcPr>
            <w:tcW w:w="1078" w:type="dxa"/>
            <w:tcBorders>
              <w:top w:val="nil"/>
              <w:left w:val="single" w:sz="8" w:space="0" w:color="auto"/>
              <w:bottom w:val="single" w:sz="8" w:space="0" w:color="auto"/>
              <w:right w:val="single" w:sz="8" w:space="0" w:color="auto"/>
            </w:tcBorders>
            <w:vAlign w:val="center"/>
          </w:tcPr>
          <w:p w14:paraId="2E93E21F" w14:textId="6BAE3444" w:rsidR="006A45D1" w:rsidRDefault="006A45D1" w:rsidP="006A45D1">
            <w:pPr>
              <w:spacing w:before="40" w:after="40"/>
              <w:jc w:val="center"/>
            </w:pPr>
            <w:r>
              <w:rPr>
                <w:rFonts w:ascii="Arial Narrow" w:hAnsi="Arial Narrow" w:cs="Calibri"/>
                <w:color w:val="000000"/>
                <w:sz w:val="20"/>
                <w:szCs w:val="20"/>
              </w:rPr>
              <w:t>486</w:t>
            </w:r>
          </w:p>
        </w:tc>
        <w:tc>
          <w:tcPr>
            <w:tcW w:w="1078" w:type="dxa"/>
            <w:tcBorders>
              <w:top w:val="nil"/>
              <w:left w:val="single" w:sz="8" w:space="0" w:color="auto"/>
              <w:bottom w:val="single" w:sz="8" w:space="0" w:color="auto"/>
              <w:right w:val="single" w:sz="8" w:space="0" w:color="auto"/>
            </w:tcBorders>
            <w:vAlign w:val="center"/>
          </w:tcPr>
          <w:p w14:paraId="7A5697F9" w14:textId="583D1626" w:rsidR="006A45D1" w:rsidRDefault="006A45D1" w:rsidP="006A45D1">
            <w:pPr>
              <w:spacing w:before="40" w:after="40"/>
              <w:jc w:val="center"/>
            </w:pPr>
            <w:r>
              <w:rPr>
                <w:rFonts w:ascii="Arial Narrow" w:hAnsi="Arial Narrow" w:cs="Calibri"/>
                <w:color w:val="000000"/>
                <w:sz w:val="20"/>
                <w:szCs w:val="20"/>
              </w:rPr>
              <w:t>463</w:t>
            </w:r>
          </w:p>
        </w:tc>
        <w:tc>
          <w:tcPr>
            <w:tcW w:w="1119" w:type="dxa"/>
            <w:tcBorders>
              <w:top w:val="nil"/>
              <w:left w:val="single" w:sz="8" w:space="0" w:color="auto"/>
              <w:bottom w:val="single" w:sz="8" w:space="0" w:color="auto"/>
              <w:right w:val="single" w:sz="8" w:space="0" w:color="auto"/>
            </w:tcBorders>
            <w:vAlign w:val="center"/>
          </w:tcPr>
          <w:p w14:paraId="67112E0E" w14:textId="7C6AB41A" w:rsidR="006A45D1" w:rsidRDefault="006A45D1" w:rsidP="006A45D1">
            <w:pPr>
              <w:spacing w:before="40" w:after="40"/>
              <w:jc w:val="center"/>
            </w:pPr>
            <w:r>
              <w:rPr>
                <w:rFonts w:ascii="Arial Narrow" w:hAnsi="Arial Narrow" w:cs="Calibri"/>
                <w:color w:val="000000"/>
                <w:sz w:val="20"/>
                <w:szCs w:val="20"/>
              </w:rPr>
              <w:t>462</w:t>
            </w:r>
          </w:p>
        </w:tc>
      </w:tr>
      <w:tr w:rsidR="006A45D1" w14:paraId="07467336" w14:textId="77777777" w:rsidTr="004D3912">
        <w:trPr>
          <w:trHeight w:val="300"/>
        </w:trPr>
        <w:tc>
          <w:tcPr>
            <w:tcW w:w="2512" w:type="dxa"/>
            <w:tcBorders>
              <w:top w:val="single" w:sz="8" w:space="0" w:color="auto"/>
              <w:left w:val="single" w:sz="8" w:space="0" w:color="auto"/>
              <w:bottom w:val="single" w:sz="8" w:space="0" w:color="auto"/>
              <w:right w:val="single" w:sz="8" w:space="0" w:color="auto"/>
            </w:tcBorders>
            <w:vAlign w:val="center"/>
          </w:tcPr>
          <w:p w14:paraId="1872B5F1" w14:textId="77777777" w:rsidR="006A45D1" w:rsidRDefault="006A45D1" w:rsidP="006A45D1">
            <w:pPr>
              <w:spacing w:before="40" w:after="40"/>
            </w:pPr>
            <w:r w:rsidRPr="08B0B86B">
              <w:rPr>
                <w:rFonts w:ascii="Arial Narrow" w:eastAsia="Arial Narrow" w:hAnsi="Arial Narrow" w:cs="Arial Narrow"/>
                <w:color w:val="000000" w:themeColor="text1"/>
                <w:sz w:val="20"/>
                <w:szCs w:val="20"/>
              </w:rPr>
              <w:t>Number of bone marrow morphology tests</w:t>
            </w:r>
          </w:p>
        </w:tc>
        <w:tc>
          <w:tcPr>
            <w:tcW w:w="1078" w:type="dxa"/>
            <w:tcBorders>
              <w:top w:val="single" w:sz="8" w:space="0" w:color="auto"/>
              <w:left w:val="single" w:sz="8" w:space="0" w:color="auto"/>
              <w:bottom w:val="single" w:sz="8" w:space="0" w:color="auto"/>
              <w:right w:val="single" w:sz="8" w:space="0" w:color="auto"/>
            </w:tcBorders>
            <w:vAlign w:val="center"/>
          </w:tcPr>
          <w:p w14:paraId="03BA8E49" w14:textId="344E5E80" w:rsidR="006A45D1" w:rsidRDefault="006A45D1" w:rsidP="006A45D1">
            <w:pPr>
              <w:spacing w:before="40" w:after="40"/>
              <w:jc w:val="center"/>
            </w:pPr>
            <w:r>
              <w:rPr>
                <w:rFonts w:ascii="Arial Narrow" w:hAnsi="Arial Narrow" w:cs="Calibri"/>
                <w:color w:val="000000"/>
                <w:sz w:val="20"/>
                <w:szCs w:val="20"/>
              </w:rPr>
              <w:t>2815</w:t>
            </w:r>
          </w:p>
        </w:tc>
        <w:tc>
          <w:tcPr>
            <w:tcW w:w="1078" w:type="dxa"/>
            <w:tcBorders>
              <w:top w:val="single" w:sz="8" w:space="0" w:color="auto"/>
              <w:left w:val="single" w:sz="8" w:space="0" w:color="auto"/>
              <w:bottom w:val="single" w:sz="8" w:space="0" w:color="auto"/>
              <w:right w:val="single" w:sz="8" w:space="0" w:color="auto"/>
            </w:tcBorders>
            <w:vAlign w:val="center"/>
          </w:tcPr>
          <w:p w14:paraId="26F12EAF" w14:textId="42D55411" w:rsidR="006A45D1" w:rsidRDefault="006A45D1" w:rsidP="006A45D1">
            <w:pPr>
              <w:spacing w:before="40" w:after="40"/>
              <w:jc w:val="center"/>
            </w:pPr>
            <w:r>
              <w:rPr>
                <w:rFonts w:ascii="Arial Narrow" w:hAnsi="Arial Narrow" w:cs="Calibri"/>
                <w:color w:val="000000"/>
                <w:sz w:val="20"/>
                <w:szCs w:val="20"/>
              </w:rPr>
              <w:t>2862</w:t>
            </w:r>
          </w:p>
        </w:tc>
        <w:tc>
          <w:tcPr>
            <w:tcW w:w="1078" w:type="dxa"/>
            <w:tcBorders>
              <w:top w:val="single" w:sz="8" w:space="0" w:color="auto"/>
              <w:left w:val="single" w:sz="8" w:space="0" w:color="auto"/>
              <w:bottom w:val="single" w:sz="8" w:space="0" w:color="auto"/>
              <w:right w:val="single" w:sz="8" w:space="0" w:color="auto"/>
            </w:tcBorders>
            <w:vAlign w:val="center"/>
          </w:tcPr>
          <w:p w14:paraId="0D98B0D7" w14:textId="5CA2D4C1" w:rsidR="006A45D1" w:rsidRDefault="006A45D1" w:rsidP="006A45D1">
            <w:pPr>
              <w:spacing w:before="40" w:after="40"/>
              <w:jc w:val="center"/>
            </w:pPr>
            <w:r>
              <w:rPr>
                <w:rFonts w:ascii="Arial Narrow" w:hAnsi="Arial Narrow" w:cs="Calibri"/>
                <w:color w:val="000000"/>
                <w:sz w:val="20"/>
                <w:szCs w:val="20"/>
              </w:rPr>
              <w:t>3900</w:t>
            </w:r>
          </w:p>
        </w:tc>
        <w:tc>
          <w:tcPr>
            <w:tcW w:w="1078" w:type="dxa"/>
            <w:tcBorders>
              <w:top w:val="single" w:sz="8" w:space="0" w:color="auto"/>
              <w:left w:val="single" w:sz="8" w:space="0" w:color="auto"/>
              <w:bottom w:val="single" w:sz="8" w:space="0" w:color="auto"/>
              <w:right w:val="single" w:sz="8" w:space="0" w:color="auto"/>
            </w:tcBorders>
            <w:vAlign w:val="center"/>
          </w:tcPr>
          <w:p w14:paraId="35C4E399" w14:textId="4CD871B7" w:rsidR="006A45D1" w:rsidRDefault="006A45D1" w:rsidP="006A45D1">
            <w:pPr>
              <w:spacing w:before="40" w:after="40"/>
              <w:jc w:val="center"/>
            </w:pPr>
            <w:r>
              <w:rPr>
                <w:rFonts w:ascii="Arial Narrow" w:hAnsi="Arial Narrow" w:cs="Calibri"/>
                <w:color w:val="000000"/>
                <w:sz w:val="20"/>
                <w:szCs w:val="20"/>
              </w:rPr>
              <w:t>3107</w:t>
            </w:r>
          </w:p>
        </w:tc>
        <w:tc>
          <w:tcPr>
            <w:tcW w:w="1078" w:type="dxa"/>
            <w:tcBorders>
              <w:top w:val="single" w:sz="8" w:space="0" w:color="auto"/>
              <w:left w:val="single" w:sz="8" w:space="0" w:color="auto"/>
              <w:bottom w:val="single" w:sz="8" w:space="0" w:color="auto"/>
              <w:right w:val="single" w:sz="8" w:space="0" w:color="auto"/>
            </w:tcBorders>
            <w:vAlign w:val="center"/>
          </w:tcPr>
          <w:p w14:paraId="5D5C46F6" w14:textId="63C6FF19" w:rsidR="006A45D1" w:rsidRDefault="006A45D1" w:rsidP="006A45D1">
            <w:pPr>
              <w:spacing w:before="40" w:after="40"/>
              <w:jc w:val="center"/>
            </w:pPr>
            <w:r>
              <w:rPr>
                <w:rFonts w:ascii="Arial Narrow" w:hAnsi="Arial Narrow" w:cs="Calibri"/>
                <w:color w:val="000000"/>
                <w:sz w:val="20"/>
                <w:szCs w:val="20"/>
              </w:rPr>
              <w:t>3066</w:t>
            </w:r>
          </w:p>
        </w:tc>
        <w:tc>
          <w:tcPr>
            <w:tcW w:w="1119" w:type="dxa"/>
            <w:tcBorders>
              <w:top w:val="single" w:sz="8" w:space="0" w:color="auto"/>
              <w:left w:val="single" w:sz="8" w:space="0" w:color="auto"/>
              <w:bottom w:val="single" w:sz="8" w:space="0" w:color="auto"/>
              <w:right w:val="single" w:sz="8" w:space="0" w:color="auto"/>
            </w:tcBorders>
            <w:vAlign w:val="center"/>
          </w:tcPr>
          <w:p w14:paraId="381B382A" w14:textId="6A681179" w:rsidR="006A45D1" w:rsidRDefault="006A45D1" w:rsidP="006A45D1">
            <w:pPr>
              <w:spacing w:before="40" w:after="40"/>
              <w:jc w:val="center"/>
            </w:pPr>
            <w:r>
              <w:rPr>
                <w:rFonts w:ascii="Arial Narrow" w:hAnsi="Arial Narrow" w:cs="Calibri"/>
                <w:color w:val="000000"/>
                <w:sz w:val="20"/>
                <w:szCs w:val="20"/>
              </w:rPr>
              <w:t>3092</w:t>
            </w:r>
          </w:p>
        </w:tc>
      </w:tr>
      <w:tr w:rsidR="006A45D1" w14:paraId="6FB70BD5" w14:textId="77777777" w:rsidTr="004D3912">
        <w:trPr>
          <w:trHeight w:val="525"/>
        </w:trPr>
        <w:tc>
          <w:tcPr>
            <w:tcW w:w="2512" w:type="dxa"/>
            <w:tcBorders>
              <w:top w:val="single" w:sz="8" w:space="0" w:color="auto"/>
              <w:left w:val="single" w:sz="8" w:space="0" w:color="auto"/>
              <w:bottom w:val="single" w:sz="8" w:space="0" w:color="auto"/>
              <w:right w:val="single" w:sz="8" w:space="0" w:color="auto"/>
            </w:tcBorders>
            <w:vAlign w:val="center"/>
          </w:tcPr>
          <w:p w14:paraId="34BE8AD3" w14:textId="77777777" w:rsidR="006A45D1" w:rsidRDefault="006A45D1" w:rsidP="006A45D1">
            <w:pPr>
              <w:spacing w:before="40" w:after="40"/>
            </w:pPr>
            <w:r w:rsidRPr="08B0B86B">
              <w:rPr>
                <w:rFonts w:ascii="Arial Narrow" w:eastAsia="Arial Narrow" w:hAnsi="Arial Narrow" w:cs="Arial Narrow"/>
                <w:color w:val="000000" w:themeColor="text1"/>
                <w:sz w:val="20"/>
                <w:szCs w:val="20"/>
              </w:rPr>
              <w:t xml:space="preserve">Number of people who receive MRD testing via </w:t>
            </w:r>
            <w:proofErr w:type="spellStart"/>
            <w:r w:rsidRPr="08B0B86B">
              <w:rPr>
                <w:rFonts w:ascii="Arial Narrow" w:eastAsia="Arial Narrow" w:hAnsi="Arial Narrow" w:cs="Arial Narrow"/>
                <w:color w:val="000000" w:themeColor="text1"/>
                <w:sz w:val="20"/>
                <w:szCs w:val="20"/>
              </w:rPr>
              <w:t>mpFC</w:t>
            </w:r>
            <w:proofErr w:type="spellEnd"/>
          </w:p>
        </w:tc>
        <w:tc>
          <w:tcPr>
            <w:tcW w:w="1078" w:type="dxa"/>
            <w:tcBorders>
              <w:top w:val="single" w:sz="8" w:space="0" w:color="auto"/>
              <w:left w:val="single" w:sz="8" w:space="0" w:color="auto"/>
              <w:bottom w:val="single" w:sz="8" w:space="0" w:color="auto"/>
              <w:right w:val="single" w:sz="8" w:space="0" w:color="auto"/>
            </w:tcBorders>
            <w:vAlign w:val="center"/>
          </w:tcPr>
          <w:p w14:paraId="0CE0A0F0" w14:textId="1F5B1B7D" w:rsidR="006A45D1" w:rsidRDefault="006A45D1" w:rsidP="006A45D1">
            <w:pPr>
              <w:spacing w:before="40" w:after="40"/>
              <w:jc w:val="center"/>
            </w:pPr>
            <w:r>
              <w:rPr>
                <w:rFonts w:ascii="Arial Narrow" w:hAnsi="Arial Narrow" w:cs="Calibri"/>
                <w:color w:val="000000"/>
                <w:sz w:val="20"/>
                <w:szCs w:val="20"/>
              </w:rPr>
              <w:t>93</w:t>
            </w:r>
          </w:p>
        </w:tc>
        <w:tc>
          <w:tcPr>
            <w:tcW w:w="1078" w:type="dxa"/>
            <w:tcBorders>
              <w:top w:val="single" w:sz="8" w:space="0" w:color="auto"/>
              <w:left w:val="single" w:sz="8" w:space="0" w:color="auto"/>
              <w:bottom w:val="single" w:sz="8" w:space="0" w:color="auto"/>
              <w:right w:val="single" w:sz="8" w:space="0" w:color="auto"/>
            </w:tcBorders>
            <w:vAlign w:val="center"/>
          </w:tcPr>
          <w:p w14:paraId="208ADA53" w14:textId="28FFE123" w:rsidR="006A45D1" w:rsidRDefault="006A45D1" w:rsidP="006A45D1">
            <w:pPr>
              <w:spacing w:before="40" w:after="40"/>
              <w:jc w:val="center"/>
            </w:pPr>
            <w:r>
              <w:rPr>
                <w:rFonts w:ascii="Arial Narrow" w:hAnsi="Arial Narrow" w:cs="Calibri"/>
                <w:color w:val="000000"/>
                <w:sz w:val="20"/>
                <w:szCs w:val="20"/>
              </w:rPr>
              <w:t>94</w:t>
            </w:r>
          </w:p>
        </w:tc>
        <w:tc>
          <w:tcPr>
            <w:tcW w:w="1078" w:type="dxa"/>
            <w:tcBorders>
              <w:top w:val="single" w:sz="8" w:space="0" w:color="auto"/>
              <w:left w:val="single" w:sz="8" w:space="0" w:color="auto"/>
              <w:bottom w:val="single" w:sz="8" w:space="0" w:color="auto"/>
              <w:right w:val="single" w:sz="8" w:space="0" w:color="auto"/>
            </w:tcBorders>
            <w:vAlign w:val="center"/>
          </w:tcPr>
          <w:p w14:paraId="09E67267" w14:textId="13EB7814" w:rsidR="006A45D1" w:rsidRDefault="006A45D1" w:rsidP="006A45D1">
            <w:pPr>
              <w:spacing w:before="40" w:after="40"/>
              <w:jc w:val="center"/>
            </w:pPr>
            <w:r>
              <w:rPr>
                <w:rFonts w:ascii="Arial Narrow" w:hAnsi="Arial Narrow" w:cs="Calibri"/>
                <w:color w:val="000000"/>
                <w:sz w:val="20"/>
                <w:szCs w:val="20"/>
              </w:rPr>
              <w:t>124</w:t>
            </w:r>
          </w:p>
        </w:tc>
        <w:tc>
          <w:tcPr>
            <w:tcW w:w="1078" w:type="dxa"/>
            <w:tcBorders>
              <w:top w:val="single" w:sz="8" w:space="0" w:color="auto"/>
              <w:left w:val="single" w:sz="8" w:space="0" w:color="auto"/>
              <w:bottom w:val="single" w:sz="8" w:space="0" w:color="auto"/>
              <w:right w:val="single" w:sz="8" w:space="0" w:color="auto"/>
            </w:tcBorders>
            <w:vAlign w:val="center"/>
          </w:tcPr>
          <w:p w14:paraId="68BFA17F" w14:textId="49B09673" w:rsidR="006A45D1" w:rsidRDefault="006A45D1" w:rsidP="006A45D1">
            <w:pPr>
              <w:spacing w:before="40" w:after="40"/>
              <w:jc w:val="center"/>
            </w:pPr>
            <w:r>
              <w:rPr>
                <w:rFonts w:ascii="Arial Narrow" w:hAnsi="Arial Narrow" w:cs="Calibri"/>
                <w:color w:val="000000"/>
                <w:sz w:val="20"/>
                <w:szCs w:val="20"/>
              </w:rPr>
              <w:t>114</w:t>
            </w:r>
          </w:p>
        </w:tc>
        <w:tc>
          <w:tcPr>
            <w:tcW w:w="1078" w:type="dxa"/>
            <w:tcBorders>
              <w:top w:val="single" w:sz="8" w:space="0" w:color="auto"/>
              <w:left w:val="single" w:sz="8" w:space="0" w:color="auto"/>
              <w:bottom w:val="single" w:sz="8" w:space="0" w:color="auto"/>
              <w:right w:val="single" w:sz="8" w:space="0" w:color="auto"/>
            </w:tcBorders>
            <w:vAlign w:val="center"/>
          </w:tcPr>
          <w:p w14:paraId="1AA37B4D" w14:textId="13850431" w:rsidR="006A45D1" w:rsidRDefault="006A45D1" w:rsidP="006A45D1">
            <w:pPr>
              <w:spacing w:before="40" w:after="40"/>
              <w:jc w:val="center"/>
            </w:pPr>
            <w:r>
              <w:rPr>
                <w:rFonts w:ascii="Arial Narrow" w:hAnsi="Arial Narrow" w:cs="Calibri"/>
                <w:color w:val="000000"/>
                <w:sz w:val="20"/>
                <w:szCs w:val="20"/>
              </w:rPr>
              <w:t>119</w:t>
            </w:r>
          </w:p>
        </w:tc>
        <w:tc>
          <w:tcPr>
            <w:tcW w:w="1119" w:type="dxa"/>
            <w:tcBorders>
              <w:top w:val="single" w:sz="8" w:space="0" w:color="auto"/>
              <w:left w:val="single" w:sz="8" w:space="0" w:color="auto"/>
              <w:bottom w:val="single" w:sz="8" w:space="0" w:color="auto"/>
              <w:right w:val="single" w:sz="8" w:space="0" w:color="auto"/>
            </w:tcBorders>
            <w:vAlign w:val="center"/>
          </w:tcPr>
          <w:p w14:paraId="0CBDFD9C" w14:textId="6D7FA2CF" w:rsidR="006A45D1" w:rsidRDefault="006A45D1" w:rsidP="006A45D1">
            <w:pPr>
              <w:spacing w:before="40" w:after="40"/>
              <w:jc w:val="center"/>
            </w:pPr>
            <w:r>
              <w:rPr>
                <w:rFonts w:ascii="Arial Narrow" w:hAnsi="Arial Narrow" w:cs="Calibri"/>
                <w:color w:val="000000"/>
                <w:sz w:val="20"/>
                <w:szCs w:val="20"/>
              </w:rPr>
              <w:t>124</w:t>
            </w:r>
          </w:p>
        </w:tc>
      </w:tr>
      <w:tr w:rsidR="006A45D1" w14:paraId="5283CA35" w14:textId="77777777" w:rsidTr="004D3912">
        <w:trPr>
          <w:trHeight w:val="300"/>
        </w:trPr>
        <w:tc>
          <w:tcPr>
            <w:tcW w:w="2512" w:type="dxa"/>
            <w:tcBorders>
              <w:top w:val="single" w:sz="8" w:space="0" w:color="auto"/>
              <w:left w:val="single" w:sz="8" w:space="0" w:color="auto"/>
              <w:bottom w:val="single" w:sz="8" w:space="0" w:color="auto"/>
              <w:right w:val="single" w:sz="8" w:space="0" w:color="auto"/>
            </w:tcBorders>
            <w:vAlign w:val="center"/>
          </w:tcPr>
          <w:p w14:paraId="5C4DD321" w14:textId="77777777" w:rsidR="006A45D1" w:rsidRDefault="006A45D1" w:rsidP="006A45D1">
            <w:pPr>
              <w:spacing w:before="40" w:after="40"/>
            </w:pPr>
            <w:r w:rsidRPr="08B0B86B">
              <w:rPr>
                <w:rFonts w:ascii="Arial Narrow" w:eastAsia="Arial Narrow" w:hAnsi="Arial Narrow" w:cs="Arial Narrow"/>
                <w:color w:val="000000" w:themeColor="text1"/>
                <w:sz w:val="20"/>
                <w:szCs w:val="20"/>
              </w:rPr>
              <w:t xml:space="preserve">Number of MRD tests by </w:t>
            </w:r>
            <w:proofErr w:type="spellStart"/>
            <w:r w:rsidRPr="08B0B86B">
              <w:rPr>
                <w:rFonts w:ascii="Arial Narrow" w:eastAsia="Arial Narrow" w:hAnsi="Arial Narrow" w:cs="Arial Narrow"/>
                <w:color w:val="000000" w:themeColor="text1"/>
                <w:sz w:val="20"/>
                <w:szCs w:val="20"/>
              </w:rPr>
              <w:t>mpFC</w:t>
            </w:r>
            <w:proofErr w:type="spellEnd"/>
            <w:r>
              <w:rPr>
                <w:rFonts w:ascii="Arial Narrow" w:eastAsia="Arial Narrow" w:hAnsi="Arial Narrow" w:cs="Arial Narrow"/>
                <w:color w:val="000000" w:themeColor="text1"/>
                <w:sz w:val="20"/>
                <w:szCs w:val="20"/>
              </w:rPr>
              <w:t xml:space="preserve"> (AAAA services)</w:t>
            </w:r>
          </w:p>
        </w:tc>
        <w:tc>
          <w:tcPr>
            <w:tcW w:w="1078" w:type="dxa"/>
            <w:tcBorders>
              <w:top w:val="single" w:sz="8" w:space="0" w:color="auto"/>
              <w:left w:val="single" w:sz="8" w:space="0" w:color="auto"/>
              <w:bottom w:val="single" w:sz="8" w:space="0" w:color="auto"/>
              <w:right w:val="single" w:sz="8" w:space="0" w:color="auto"/>
            </w:tcBorders>
            <w:vAlign w:val="center"/>
          </w:tcPr>
          <w:p w14:paraId="30A9706E" w14:textId="1246DF96" w:rsidR="006A45D1" w:rsidRDefault="006A45D1" w:rsidP="006A45D1">
            <w:pPr>
              <w:spacing w:before="40" w:after="40"/>
              <w:jc w:val="center"/>
            </w:pPr>
            <w:r>
              <w:rPr>
                <w:rFonts w:ascii="Arial Narrow" w:hAnsi="Arial Narrow" w:cs="Calibri"/>
                <w:color w:val="000000"/>
                <w:sz w:val="20"/>
                <w:szCs w:val="20"/>
              </w:rPr>
              <w:t>483</w:t>
            </w:r>
          </w:p>
        </w:tc>
        <w:tc>
          <w:tcPr>
            <w:tcW w:w="1078" w:type="dxa"/>
            <w:tcBorders>
              <w:top w:val="single" w:sz="8" w:space="0" w:color="auto"/>
              <w:left w:val="single" w:sz="8" w:space="0" w:color="auto"/>
              <w:bottom w:val="single" w:sz="8" w:space="0" w:color="auto"/>
              <w:right w:val="single" w:sz="8" w:space="0" w:color="auto"/>
            </w:tcBorders>
            <w:vAlign w:val="center"/>
          </w:tcPr>
          <w:p w14:paraId="6F4B04D3" w14:textId="3C9C0F84" w:rsidR="006A45D1" w:rsidRDefault="006A45D1" w:rsidP="006A45D1">
            <w:pPr>
              <w:spacing w:before="40" w:after="40"/>
              <w:jc w:val="center"/>
            </w:pPr>
            <w:r>
              <w:rPr>
                <w:rFonts w:ascii="Arial Narrow" w:hAnsi="Arial Narrow" w:cs="Calibri"/>
                <w:color w:val="000000"/>
                <w:sz w:val="20"/>
                <w:szCs w:val="20"/>
              </w:rPr>
              <w:t>491</w:t>
            </w:r>
          </w:p>
        </w:tc>
        <w:tc>
          <w:tcPr>
            <w:tcW w:w="1078" w:type="dxa"/>
            <w:tcBorders>
              <w:top w:val="single" w:sz="8" w:space="0" w:color="auto"/>
              <w:left w:val="single" w:sz="8" w:space="0" w:color="auto"/>
              <w:bottom w:val="single" w:sz="8" w:space="0" w:color="auto"/>
              <w:right w:val="single" w:sz="8" w:space="0" w:color="auto"/>
            </w:tcBorders>
            <w:vAlign w:val="center"/>
          </w:tcPr>
          <w:p w14:paraId="2C04FCD4" w14:textId="4D1EDA90" w:rsidR="006A45D1" w:rsidRDefault="006A45D1" w:rsidP="006A45D1">
            <w:pPr>
              <w:spacing w:before="40" w:after="40"/>
              <w:jc w:val="center"/>
            </w:pPr>
            <w:r>
              <w:rPr>
                <w:rFonts w:ascii="Arial Narrow" w:hAnsi="Arial Narrow" w:cs="Calibri"/>
                <w:color w:val="000000"/>
                <w:sz w:val="20"/>
                <w:szCs w:val="20"/>
              </w:rPr>
              <w:t>585</w:t>
            </w:r>
          </w:p>
        </w:tc>
        <w:tc>
          <w:tcPr>
            <w:tcW w:w="1078" w:type="dxa"/>
            <w:tcBorders>
              <w:top w:val="single" w:sz="8" w:space="0" w:color="auto"/>
              <w:left w:val="single" w:sz="8" w:space="0" w:color="auto"/>
              <w:bottom w:val="single" w:sz="8" w:space="0" w:color="auto"/>
              <w:right w:val="single" w:sz="8" w:space="0" w:color="auto"/>
            </w:tcBorders>
            <w:vAlign w:val="center"/>
          </w:tcPr>
          <w:p w14:paraId="56641353" w14:textId="0EC5D651" w:rsidR="006A45D1" w:rsidRDefault="006A45D1" w:rsidP="006A45D1">
            <w:pPr>
              <w:spacing w:before="40" w:after="40"/>
              <w:jc w:val="center"/>
            </w:pPr>
            <w:r>
              <w:rPr>
                <w:rFonts w:ascii="Arial Narrow" w:hAnsi="Arial Narrow" w:cs="Calibri"/>
                <w:color w:val="000000"/>
                <w:sz w:val="20"/>
                <w:szCs w:val="20"/>
              </w:rPr>
              <w:t>557</w:t>
            </w:r>
          </w:p>
        </w:tc>
        <w:tc>
          <w:tcPr>
            <w:tcW w:w="1078" w:type="dxa"/>
            <w:tcBorders>
              <w:top w:val="single" w:sz="8" w:space="0" w:color="auto"/>
              <w:left w:val="single" w:sz="8" w:space="0" w:color="auto"/>
              <w:bottom w:val="single" w:sz="8" w:space="0" w:color="auto"/>
              <w:right w:val="single" w:sz="8" w:space="0" w:color="auto"/>
            </w:tcBorders>
            <w:vAlign w:val="center"/>
          </w:tcPr>
          <w:p w14:paraId="58464DD6" w14:textId="73F622FA" w:rsidR="006A45D1" w:rsidRDefault="006A45D1" w:rsidP="006A45D1">
            <w:pPr>
              <w:spacing w:before="40" w:after="40"/>
              <w:jc w:val="center"/>
            </w:pPr>
            <w:r>
              <w:rPr>
                <w:rFonts w:ascii="Arial Narrow" w:hAnsi="Arial Narrow" w:cs="Calibri"/>
                <w:color w:val="000000"/>
                <w:sz w:val="20"/>
                <w:szCs w:val="20"/>
              </w:rPr>
              <w:t>576</w:t>
            </w:r>
          </w:p>
        </w:tc>
        <w:tc>
          <w:tcPr>
            <w:tcW w:w="1119" w:type="dxa"/>
            <w:tcBorders>
              <w:top w:val="single" w:sz="8" w:space="0" w:color="auto"/>
              <w:left w:val="single" w:sz="8" w:space="0" w:color="auto"/>
              <w:bottom w:val="single" w:sz="8" w:space="0" w:color="auto"/>
              <w:right w:val="single" w:sz="8" w:space="0" w:color="auto"/>
            </w:tcBorders>
            <w:vAlign w:val="center"/>
          </w:tcPr>
          <w:p w14:paraId="1C250028" w14:textId="1A175423" w:rsidR="006A45D1" w:rsidRDefault="006A45D1" w:rsidP="006A45D1">
            <w:pPr>
              <w:spacing w:before="40" w:after="40"/>
              <w:jc w:val="center"/>
            </w:pPr>
            <w:r>
              <w:rPr>
                <w:rFonts w:ascii="Arial Narrow" w:hAnsi="Arial Narrow" w:cs="Calibri"/>
                <w:color w:val="000000"/>
                <w:sz w:val="20"/>
                <w:szCs w:val="20"/>
              </w:rPr>
              <w:t>595</w:t>
            </w:r>
          </w:p>
        </w:tc>
      </w:tr>
      <w:tr w:rsidR="006A45D1" w14:paraId="4EF75861" w14:textId="77777777" w:rsidTr="004D3912">
        <w:trPr>
          <w:trHeight w:val="525"/>
        </w:trPr>
        <w:tc>
          <w:tcPr>
            <w:tcW w:w="2512" w:type="dxa"/>
            <w:tcBorders>
              <w:top w:val="single" w:sz="8" w:space="0" w:color="auto"/>
              <w:left w:val="single" w:sz="8" w:space="0" w:color="auto"/>
              <w:bottom w:val="single" w:sz="8" w:space="0" w:color="auto"/>
              <w:right w:val="single" w:sz="8" w:space="0" w:color="auto"/>
            </w:tcBorders>
            <w:vAlign w:val="center"/>
          </w:tcPr>
          <w:p w14:paraId="24F13EA1" w14:textId="77777777" w:rsidR="006A45D1" w:rsidRDefault="006A45D1" w:rsidP="006A45D1">
            <w:pPr>
              <w:spacing w:before="40" w:after="40"/>
            </w:pPr>
            <w:r w:rsidRPr="08B0B86B">
              <w:rPr>
                <w:rFonts w:ascii="Arial Narrow" w:eastAsia="Arial Narrow" w:hAnsi="Arial Narrow" w:cs="Arial Narrow"/>
                <w:color w:val="000000" w:themeColor="text1"/>
                <w:sz w:val="20"/>
                <w:szCs w:val="20"/>
              </w:rPr>
              <w:t>Number of people who receive MRD testing via NGS</w:t>
            </w:r>
          </w:p>
        </w:tc>
        <w:tc>
          <w:tcPr>
            <w:tcW w:w="1078" w:type="dxa"/>
            <w:tcBorders>
              <w:top w:val="single" w:sz="8" w:space="0" w:color="auto"/>
              <w:left w:val="single" w:sz="8" w:space="0" w:color="auto"/>
              <w:bottom w:val="single" w:sz="8" w:space="0" w:color="auto"/>
              <w:right w:val="single" w:sz="8" w:space="0" w:color="auto"/>
            </w:tcBorders>
            <w:vAlign w:val="center"/>
          </w:tcPr>
          <w:p w14:paraId="55FC6521" w14:textId="7B642CC6" w:rsidR="006A45D1" w:rsidRDefault="006A45D1" w:rsidP="006A45D1">
            <w:pPr>
              <w:spacing w:before="40" w:after="40"/>
              <w:jc w:val="center"/>
            </w:pPr>
            <w:r>
              <w:rPr>
                <w:rFonts w:ascii="Arial Narrow" w:hAnsi="Arial Narrow" w:cs="Calibri"/>
                <w:color w:val="000000"/>
                <w:sz w:val="20"/>
                <w:szCs w:val="20"/>
              </w:rPr>
              <w:t>151</w:t>
            </w:r>
          </w:p>
        </w:tc>
        <w:tc>
          <w:tcPr>
            <w:tcW w:w="1078" w:type="dxa"/>
            <w:tcBorders>
              <w:top w:val="single" w:sz="8" w:space="0" w:color="auto"/>
              <w:left w:val="single" w:sz="8" w:space="0" w:color="auto"/>
              <w:bottom w:val="single" w:sz="8" w:space="0" w:color="auto"/>
              <w:right w:val="single" w:sz="8" w:space="0" w:color="auto"/>
            </w:tcBorders>
            <w:vAlign w:val="center"/>
          </w:tcPr>
          <w:p w14:paraId="4EC07722" w14:textId="75BEFA3E" w:rsidR="006A45D1" w:rsidRDefault="006A45D1" w:rsidP="006A45D1">
            <w:pPr>
              <w:spacing w:before="40" w:after="40"/>
              <w:jc w:val="center"/>
            </w:pPr>
            <w:r>
              <w:rPr>
                <w:rFonts w:ascii="Arial Narrow" w:hAnsi="Arial Narrow" w:cs="Calibri"/>
                <w:color w:val="000000"/>
                <w:sz w:val="20"/>
                <w:szCs w:val="20"/>
              </w:rPr>
              <w:t>153</w:t>
            </w:r>
          </w:p>
        </w:tc>
        <w:tc>
          <w:tcPr>
            <w:tcW w:w="1078" w:type="dxa"/>
            <w:tcBorders>
              <w:top w:val="single" w:sz="8" w:space="0" w:color="auto"/>
              <w:left w:val="single" w:sz="8" w:space="0" w:color="auto"/>
              <w:bottom w:val="single" w:sz="8" w:space="0" w:color="auto"/>
              <w:right w:val="single" w:sz="8" w:space="0" w:color="auto"/>
            </w:tcBorders>
            <w:vAlign w:val="center"/>
          </w:tcPr>
          <w:p w14:paraId="48A72C84" w14:textId="3549A55B" w:rsidR="006A45D1" w:rsidRDefault="006A45D1" w:rsidP="006A45D1">
            <w:pPr>
              <w:spacing w:before="40" w:after="40"/>
              <w:jc w:val="center"/>
            </w:pPr>
            <w:r>
              <w:rPr>
                <w:rFonts w:ascii="Arial Narrow" w:hAnsi="Arial Narrow" w:cs="Calibri"/>
                <w:color w:val="000000"/>
                <w:sz w:val="20"/>
                <w:szCs w:val="20"/>
              </w:rPr>
              <w:t>191</w:t>
            </w:r>
          </w:p>
        </w:tc>
        <w:tc>
          <w:tcPr>
            <w:tcW w:w="1078" w:type="dxa"/>
            <w:tcBorders>
              <w:top w:val="single" w:sz="8" w:space="0" w:color="auto"/>
              <w:left w:val="single" w:sz="8" w:space="0" w:color="auto"/>
              <w:bottom w:val="single" w:sz="8" w:space="0" w:color="auto"/>
              <w:right w:val="single" w:sz="8" w:space="0" w:color="auto"/>
            </w:tcBorders>
            <w:vAlign w:val="center"/>
          </w:tcPr>
          <w:p w14:paraId="5063A3A3" w14:textId="303C205C" w:rsidR="006A45D1" w:rsidRDefault="006A45D1" w:rsidP="006A45D1">
            <w:pPr>
              <w:spacing w:before="40" w:after="40"/>
              <w:jc w:val="center"/>
            </w:pPr>
            <w:r>
              <w:rPr>
                <w:rFonts w:ascii="Arial Narrow" w:hAnsi="Arial Narrow" w:cs="Calibri"/>
                <w:color w:val="000000"/>
                <w:sz w:val="20"/>
                <w:szCs w:val="20"/>
              </w:rPr>
              <w:t>171</w:t>
            </w:r>
          </w:p>
        </w:tc>
        <w:tc>
          <w:tcPr>
            <w:tcW w:w="1078" w:type="dxa"/>
            <w:tcBorders>
              <w:top w:val="single" w:sz="8" w:space="0" w:color="auto"/>
              <w:left w:val="single" w:sz="8" w:space="0" w:color="auto"/>
              <w:bottom w:val="single" w:sz="8" w:space="0" w:color="auto"/>
              <w:right w:val="single" w:sz="8" w:space="0" w:color="auto"/>
            </w:tcBorders>
            <w:vAlign w:val="center"/>
          </w:tcPr>
          <w:p w14:paraId="19897C55" w14:textId="0AE511DA" w:rsidR="006A45D1" w:rsidRDefault="006A45D1" w:rsidP="006A45D1">
            <w:pPr>
              <w:spacing w:before="40" w:after="40"/>
              <w:jc w:val="center"/>
            </w:pPr>
            <w:r>
              <w:rPr>
                <w:rFonts w:ascii="Arial Narrow" w:hAnsi="Arial Narrow" w:cs="Calibri"/>
                <w:color w:val="000000"/>
                <w:sz w:val="20"/>
                <w:szCs w:val="20"/>
              </w:rPr>
              <w:t>169</w:t>
            </w:r>
          </w:p>
        </w:tc>
        <w:tc>
          <w:tcPr>
            <w:tcW w:w="1119" w:type="dxa"/>
            <w:tcBorders>
              <w:top w:val="single" w:sz="8" w:space="0" w:color="auto"/>
              <w:left w:val="single" w:sz="8" w:space="0" w:color="auto"/>
              <w:bottom w:val="single" w:sz="8" w:space="0" w:color="auto"/>
              <w:right w:val="single" w:sz="8" w:space="0" w:color="auto"/>
            </w:tcBorders>
            <w:vAlign w:val="center"/>
          </w:tcPr>
          <w:p w14:paraId="4A7393BB" w14:textId="111CB5BD" w:rsidR="006A45D1" w:rsidRDefault="006A45D1" w:rsidP="006A45D1">
            <w:pPr>
              <w:spacing w:before="40" w:after="40"/>
              <w:jc w:val="center"/>
            </w:pPr>
            <w:r>
              <w:rPr>
                <w:rFonts w:ascii="Arial Narrow" w:hAnsi="Arial Narrow" w:cs="Calibri"/>
                <w:color w:val="000000"/>
                <w:sz w:val="20"/>
                <w:szCs w:val="20"/>
              </w:rPr>
              <w:t>169</w:t>
            </w:r>
          </w:p>
        </w:tc>
      </w:tr>
      <w:tr w:rsidR="006A45D1" w14:paraId="20448FB9" w14:textId="77777777" w:rsidTr="004D3912">
        <w:trPr>
          <w:trHeight w:val="300"/>
        </w:trPr>
        <w:tc>
          <w:tcPr>
            <w:tcW w:w="2512" w:type="dxa"/>
            <w:tcBorders>
              <w:top w:val="single" w:sz="8" w:space="0" w:color="auto"/>
              <w:left w:val="single" w:sz="8" w:space="0" w:color="auto"/>
              <w:bottom w:val="single" w:sz="8" w:space="0" w:color="auto"/>
              <w:right w:val="single" w:sz="8" w:space="0" w:color="auto"/>
            </w:tcBorders>
            <w:vAlign w:val="center"/>
          </w:tcPr>
          <w:p w14:paraId="02066D37" w14:textId="77777777" w:rsidR="006A45D1" w:rsidRDefault="006A45D1" w:rsidP="006A45D1">
            <w:pPr>
              <w:spacing w:before="40" w:after="40"/>
            </w:pPr>
            <w:r w:rsidRPr="08B0B86B">
              <w:rPr>
                <w:rFonts w:ascii="Arial Narrow" w:eastAsia="Arial Narrow" w:hAnsi="Arial Narrow" w:cs="Arial Narrow"/>
                <w:color w:val="000000" w:themeColor="text1"/>
                <w:sz w:val="20"/>
                <w:szCs w:val="20"/>
              </w:rPr>
              <w:t>Number of MRD tests by NGS</w:t>
            </w:r>
            <w:r>
              <w:rPr>
                <w:rFonts w:ascii="Arial Narrow" w:eastAsia="Arial Narrow" w:hAnsi="Arial Narrow" w:cs="Arial Narrow"/>
                <w:color w:val="000000" w:themeColor="text1"/>
                <w:sz w:val="20"/>
                <w:szCs w:val="20"/>
              </w:rPr>
              <w:t xml:space="preserve"> (BBBB services)</w:t>
            </w:r>
          </w:p>
        </w:tc>
        <w:tc>
          <w:tcPr>
            <w:tcW w:w="1078" w:type="dxa"/>
            <w:tcBorders>
              <w:top w:val="single" w:sz="8" w:space="0" w:color="auto"/>
              <w:left w:val="single" w:sz="8" w:space="0" w:color="auto"/>
              <w:bottom w:val="single" w:sz="8" w:space="0" w:color="auto"/>
              <w:right w:val="single" w:sz="8" w:space="0" w:color="auto"/>
            </w:tcBorders>
            <w:vAlign w:val="center"/>
          </w:tcPr>
          <w:p w14:paraId="4B9880A4" w14:textId="3AEBC831" w:rsidR="006A45D1" w:rsidRDefault="006A45D1" w:rsidP="006A45D1">
            <w:pPr>
              <w:spacing w:before="40" w:after="40"/>
              <w:jc w:val="center"/>
            </w:pPr>
            <w:r>
              <w:rPr>
                <w:rFonts w:ascii="Arial Narrow" w:hAnsi="Arial Narrow" w:cs="Calibri"/>
                <w:color w:val="000000"/>
                <w:sz w:val="20"/>
                <w:szCs w:val="20"/>
              </w:rPr>
              <w:t>787</w:t>
            </w:r>
          </w:p>
        </w:tc>
        <w:tc>
          <w:tcPr>
            <w:tcW w:w="1078" w:type="dxa"/>
            <w:tcBorders>
              <w:top w:val="single" w:sz="8" w:space="0" w:color="auto"/>
              <w:left w:val="single" w:sz="8" w:space="0" w:color="auto"/>
              <w:bottom w:val="single" w:sz="8" w:space="0" w:color="auto"/>
              <w:right w:val="single" w:sz="8" w:space="0" w:color="auto"/>
            </w:tcBorders>
            <w:vAlign w:val="center"/>
          </w:tcPr>
          <w:p w14:paraId="348BED1F" w14:textId="7C5E7335" w:rsidR="006A45D1" w:rsidRDefault="006A45D1" w:rsidP="006A45D1">
            <w:pPr>
              <w:spacing w:before="40" w:after="40"/>
              <w:jc w:val="center"/>
            </w:pPr>
            <w:r>
              <w:rPr>
                <w:rFonts w:ascii="Arial Narrow" w:hAnsi="Arial Narrow" w:cs="Calibri"/>
                <w:color w:val="000000"/>
                <w:sz w:val="20"/>
                <w:szCs w:val="20"/>
              </w:rPr>
              <w:t>800</w:t>
            </w:r>
          </w:p>
        </w:tc>
        <w:tc>
          <w:tcPr>
            <w:tcW w:w="1078" w:type="dxa"/>
            <w:tcBorders>
              <w:top w:val="single" w:sz="8" w:space="0" w:color="auto"/>
              <w:left w:val="single" w:sz="8" w:space="0" w:color="auto"/>
              <w:bottom w:val="single" w:sz="8" w:space="0" w:color="auto"/>
              <w:right w:val="single" w:sz="8" w:space="0" w:color="auto"/>
            </w:tcBorders>
            <w:vAlign w:val="center"/>
          </w:tcPr>
          <w:p w14:paraId="77148B0F" w14:textId="39F43BBF" w:rsidR="006A45D1" w:rsidRDefault="006A45D1" w:rsidP="006A45D1">
            <w:pPr>
              <w:spacing w:before="40" w:after="40"/>
              <w:jc w:val="center"/>
            </w:pPr>
            <w:r>
              <w:rPr>
                <w:rFonts w:ascii="Arial Narrow" w:hAnsi="Arial Narrow" w:cs="Calibri"/>
                <w:color w:val="000000"/>
                <w:sz w:val="20"/>
                <w:szCs w:val="20"/>
              </w:rPr>
              <w:t>918</w:t>
            </w:r>
          </w:p>
        </w:tc>
        <w:tc>
          <w:tcPr>
            <w:tcW w:w="1078" w:type="dxa"/>
            <w:tcBorders>
              <w:top w:val="single" w:sz="8" w:space="0" w:color="auto"/>
              <w:left w:val="single" w:sz="8" w:space="0" w:color="auto"/>
              <w:bottom w:val="single" w:sz="8" w:space="0" w:color="auto"/>
              <w:right w:val="single" w:sz="8" w:space="0" w:color="auto"/>
            </w:tcBorders>
            <w:vAlign w:val="center"/>
          </w:tcPr>
          <w:p w14:paraId="6A27C59E" w14:textId="781FD736" w:rsidR="006A45D1" w:rsidRDefault="006A45D1" w:rsidP="006A45D1">
            <w:pPr>
              <w:spacing w:before="40" w:after="40"/>
              <w:jc w:val="center"/>
            </w:pPr>
            <w:r>
              <w:rPr>
                <w:rFonts w:ascii="Arial Narrow" w:hAnsi="Arial Narrow" w:cs="Calibri"/>
                <w:color w:val="000000"/>
                <w:sz w:val="20"/>
                <w:szCs w:val="20"/>
              </w:rPr>
              <w:t>866</w:t>
            </w:r>
          </w:p>
        </w:tc>
        <w:tc>
          <w:tcPr>
            <w:tcW w:w="1078" w:type="dxa"/>
            <w:tcBorders>
              <w:top w:val="single" w:sz="8" w:space="0" w:color="auto"/>
              <w:left w:val="single" w:sz="8" w:space="0" w:color="auto"/>
              <w:bottom w:val="single" w:sz="8" w:space="0" w:color="auto"/>
              <w:right w:val="single" w:sz="8" w:space="0" w:color="auto"/>
            </w:tcBorders>
            <w:vAlign w:val="center"/>
          </w:tcPr>
          <w:p w14:paraId="12D53251" w14:textId="4DA4635A" w:rsidR="006A45D1" w:rsidRDefault="006A45D1" w:rsidP="006A45D1">
            <w:pPr>
              <w:spacing w:before="40" w:after="40"/>
              <w:jc w:val="center"/>
            </w:pPr>
            <w:r>
              <w:rPr>
                <w:rFonts w:ascii="Arial Narrow" w:hAnsi="Arial Narrow" w:cs="Calibri"/>
                <w:color w:val="000000"/>
                <w:sz w:val="20"/>
                <w:szCs w:val="20"/>
              </w:rPr>
              <w:t>863</w:t>
            </w:r>
          </w:p>
        </w:tc>
        <w:tc>
          <w:tcPr>
            <w:tcW w:w="1119" w:type="dxa"/>
            <w:tcBorders>
              <w:top w:val="single" w:sz="8" w:space="0" w:color="auto"/>
              <w:left w:val="single" w:sz="8" w:space="0" w:color="auto"/>
              <w:bottom w:val="single" w:sz="8" w:space="0" w:color="auto"/>
              <w:right w:val="single" w:sz="8" w:space="0" w:color="auto"/>
            </w:tcBorders>
            <w:vAlign w:val="center"/>
          </w:tcPr>
          <w:p w14:paraId="17F800D4" w14:textId="0B51E172" w:rsidR="006A45D1" w:rsidRDefault="006A45D1" w:rsidP="006A45D1">
            <w:pPr>
              <w:spacing w:before="40" w:after="40"/>
              <w:jc w:val="center"/>
            </w:pPr>
            <w:r>
              <w:rPr>
                <w:rFonts w:ascii="Arial Narrow" w:hAnsi="Arial Narrow" w:cs="Calibri"/>
                <w:color w:val="000000"/>
                <w:sz w:val="20"/>
                <w:szCs w:val="20"/>
              </w:rPr>
              <w:t>870</w:t>
            </w:r>
          </w:p>
        </w:tc>
      </w:tr>
      <w:tr w:rsidR="001311D7" w14:paraId="1E824423" w14:textId="77777777" w:rsidTr="00CE028B">
        <w:trPr>
          <w:trHeight w:val="525"/>
        </w:trPr>
        <w:tc>
          <w:tcPr>
            <w:tcW w:w="251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14A635C" w14:textId="77777777" w:rsidR="006A45D1" w:rsidRDefault="006A45D1" w:rsidP="006A45D1">
            <w:pPr>
              <w:spacing w:before="40" w:after="40"/>
            </w:pPr>
            <w:r w:rsidRPr="08B0B86B">
              <w:rPr>
                <w:rFonts w:ascii="Arial Narrow" w:eastAsia="Arial Narrow" w:hAnsi="Arial Narrow" w:cs="Arial Narrow"/>
                <w:color w:val="000000" w:themeColor="text1"/>
                <w:sz w:val="20"/>
                <w:szCs w:val="20"/>
              </w:rPr>
              <w:t>Number of people who receive MRD testing via ASO-qPCR</w:t>
            </w:r>
          </w:p>
        </w:tc>
        <w:tc>
          <w:tcPr>
            <w:tcW w:w="107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DD267E9" w14:textId="18AC6FC2" w:rsidR="006A45D1" w:rsidRDefault="006A45D1" w:rsidP="006A45D1">
            <w:pPr>
              <w:spacing w:before="40" w:after="40"/>
              <w:jc w:val="center"/>
            </w:pPr>
            <w:r>
              <w:rPr>
                <w:rFonts w:ascii="Arial Narrow" w:hAnsi="Arial Narrow" w:cs="Calibri"/>
                <w:color w:val="000000"/>
                <w:sz w:val="20"/>
                <w:szCs w:val="20"/>
              </w:rPr>
              <w:t>151</w:t>
            </w:r>
          </w:p>
        </w:tc>
        <w:tc>
          <w:tcPr>
            <w:tcW w:w="107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BE924EC" w14:textId="2C9007B1" w:rsidR="006A45D1" w:rsidRDefault="006A45D1" w:rsidP="006A45D1">
            <w:pPr>
              <w:spacing w:before="40" w:after="40"/>
              <w:jc w:val="center"/>
            </w:pPr>
            <w:r>
              <w:rPr>
                <w:rFonts w:ascii="Arial Narrow" w:hAnsi="Arial Narrow" w:cs="Calibri"/>
                <w:color w:val="000000"/>
                <w:sz w:val="20"/>
                <w:szCs w:val="20"/>
              </w:rPr>
              <w:t>153</w:t>
            </w:r>
          </w:p>
        </w:tc>
        <w:tc>
          <w:tcPr>
            <w:tcW w:w="107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A3A3775" w14:textId="591D7590" w:rsidR="006A45D1" w:rsidRDefault="006A45D1" w:rsidP="006A45D1">
            <w:pPr>
              <w:spacing w:before="40" w:after="40"/>
              <w:jc w:val="center"/>
            </w:pPr>
            <w:r>
              <w:rPr>
                <w:rFonts w:ascii="Arial Narrow" w:hAnsi="Arial Narrow" w:cs="Calibri"/>
                <w:color w:val="000000"/>
                <w:sz w:val="20"/>
                <w:szCs w:val="20"/>
              </w:rPr>
              <w:t>201</w:t>
            </w:r>
          </w:p>
        </w:tc>
        <w:tc>
          <w:tcPr>
            <w:tcW w:w="107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66E4ACD" w14:textId="17CBE16D" w:rsidR="006A45D1" w:rsidRDefault="006A45D1" w:rsidP="006A45D1">
            <w:pPr>
              <w:spacing w:before="40" w:after="40"/>
              <w:jc w:val="center"/>
            </w:pPr>
            <w:r>
              <w:rPr>
                <w:rFonts w:ascii="Arial Narrow" w:hAnsi="Arial Narrow" w:cs="Calibri"/>
                <w:color w:val="000000"/>
                <w:sz w:val="20"/>
                <w:szCs w:val="20"/>
              </w:rPr>
              <w:t>177</w:t>
            </w:r>
          </w:p>
        </w:tc>
        <w:tc>
          <w:tcPr>
            <w:tcW w:w="107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0385AA7" w14:textId="585ECA59" w:rsidR="006A45D1" w:rsidRDefault="006A45D1" w:rsidP="006A45D1">
            <w:pPr>
              <w:spacing w:before="40" w:after="40"/>
              <w:jc w:val="center"/>
            </w:pPr>
            <w:r>
              <w:rPr>
                <w:rFonts w:ascii="Arial Narrow" w:hAnsi="Arial Narrow" w:cs="Calibri"/>
                <w:color w:val="000000"/>
                <w:sz w:val="20"/>
                <w:szCs w:val="20"/>
              </w:rPr>
              <w:t>172</w:t>
            </w:r>
          </w:p>
        </w:tc>
        <w:tc>
          <w:tcPr>
            <w:tcW w:w="111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CFA6F08" w14:textId="6B426846" w:rsidR="006A45D1" w:rsidRDefault="006A45D1" w:rsidP="006A45D1">
            <w:pPr>
              <w:spacing w:before="40" w:after="40"/>
              <w:jc w:val="center"/>
            </w:pPr>
            <w:r>
              <w:rPr>
                <w:rFonts w:ascii="Arial Narrow" w:hAnsi="Arial Narrow" w:cs="Calibri"/>
                <w:color w:val="000000"/>
                <w:sz w:val="20"/>
                <w:szCs w:val="20"/>
              </w:rPr>
              <w:t>171</w:t>
            </w:r>
          </w:p>
        </w:tc>
      </w:tr>
      <w:tr w:rsidR="001311D7" w14:paraId="7AD0C6BA" w14:textId="77777777" w:rsidTr="00F55430">
        <w:trPr>
          <w:trHeight w:val="300"/>
        </w:trPr>
        <w:tc>
          <w:tcPr>
            <w:tcW w:w="251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67CB3B8" w14:textId="77777777" w:rsidR="006A45D1" w:rsidRDefault="006A45D1" w:rsidP="006A45D1">
            <w:pPr>
              <w:spacing w:before="40" w:after="40"/>
            </w:pPr>
            <w:r>
              <w:rPr>
                <w:rFonts w:ascii="Arial Narrow" w:hAnsi="Arial Narrow" w:cs="Calibri"/>
                <w:color w:val="000000"/>
                <w:sz w:val="20"/>
                <w:szCs w:val="20"/>
              </w:rPr>
              <w:t>Number of MRD tests by ASO-qPCR (CCCC services)</w:t>
            </w:r>
          </w:p>
        </w:tc>
        <w:tc>
          <w:tcPr>
            <w:tcW w:w="107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9075020" w14:textId="427B0861" w:rsidR="006A45D1" w:rsidRDefault="006A45D1" w:rsidP="006A45D1">
            <w:pPr>
              <w:spacing w:before="40" w:after="40"/>
              <w:jc w:val="center"/>
            </w:pPr>
            <w:r>
              <w:rPr>
                <w:rFonts w:ascii="Arial Narrow" w:hAnsi="Arial Narrow" w:cs="Calibri"/>
                <w:color w:val="000000"/>
                <w:sz w:val="20"/>
                <w:szCs w:val="20"/>
              </w:rPr>
              <w:t>151</w:t>
            </w:r>
          </w:p>
        </w:tc>
        <w:tc>
          <w:tcPr>
            <w:tcW w:w="107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899DF9D" w14:textId="02B4E145" w:rsidR="006A45D1" w:rsidRDefault="006A45D1" w:rsidP="006A45D1">
            <w:pPr>
              <w:spacing w:before="40" w:after="40"/>
              <w:jc w:val="center"/>
            </w:pPr>
            <w:r>
              <w:rPr>
                <w:rFonts w:ascii="Arial Narrow" w:hAnsi="Arial Narrow" w:cs="Calibri"/>
                <w:color w:val="000000"/>
                <w:sz w:val="20"/>
                <w:szCs w:val="20"/>
              </w:rPr>
              <w:t>153</w:t>
            </w:r>
          </w:p>
        </w:tc>
        <w:tc>
          <w:tcPr>
            <w:tcW w:w="107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2244F32" w14:textId="695157D2" w:rsidR="006A45D1" w:rsidRDefault="006A45D1" w:rsidP="006A45D1">
            <w:pPr>
              <w:spacing w:before="40" w:after="40"/>
              <w:jc w:val="center"/>
            </w:pPr>
            <w:r>
              <w:rPr>
                <w:rFonts w:ascii="Arial Narrow" w:hAnsi="Arial Narrow" w:cs="Calibri"/>
                <w:color w:val="000000"/>
                <w:sz w:val="20"/>
                <w:szCs w:val="20"/>
              </w:rPr>
              <w:t>156</w:t>
            </w:r>
          </w:p>
        </w:tc>
        <w:tc>
          <w:tcPr>
            <w:tcW w:w="107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5FEFDBE" w14:textId="3883793A" w:rsidR="006A45D1" w:rsidRDefault="006A45D1" w:rsidP="006A45D1">
            <w:pPr>
              <w:spacing w:before="40" w:after="40"/>
              <w:jc w:val="center"/>
            </w:pPr>
            <w:r>
              <w:rPr>
                <w:rFonts w:ascii="Arial Narrow" w:hAnsi="Arial Narrow" w:cs="Calibri"/>
                <w:color w:val="000000"/>
                <w:sz w:val="20"/>
                <w:szCs w:val="20"/>
              </w:rPr>
              <w:t>158</w:t>
            </w:r>
          </w:p>
        </w:tc>
        <w:tc>
          <w:tcPr>
            <w:tcW w:w="107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2592DEE" w14:textId="587E7CCD" w:rsidR="006A45D1" w:rsidRDefault="006A45D1" w:rsidP="006A45D1">
            <w:pPr>
              <w:spacing w:before="40" w:after="40"/>
              <w:jc w:val="center"/>
            </w:pPr>
            <w:r>
              <w:rPr>
                <w:rFonts w:ascii="Arial Narrow" w:hAnsi="Arial Narrow" w:cs="Calibri"/>
                <w:color w:val="000000"/>
                <w:sz w:val="20"/>
                <w:szCs w:val="20"/>
              </w:rPr>
              <w:t>161</w:t>
            </w:r>
          </w:p>
        </w:tc>
        <w:tc>
          <w:tcPr>
            <w:tcW w:w="111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243B704" w14:textId="553754EB" w:rsidR="006A45D1" w:rsidRDefault="006A45D1" w:rsidP="006A45D1">
            <w:pPr>
              <w:spacing w:before="40" w:after="40"/>
              <w:jc w:val="center"/>
            </w:pPr>
            <w:r>
              <w:rPr>
                <w:rFonts w:ascii="Arial Narrow" w:hAnsi="Arial Narrow" w:cs="Calibri"/>
                <w:color w:val="000000"/>
                <w:sz w:val="20"/>
                <w:szCs w:val="20"/>
              </w:rPr>
              <w:t>164</w:t>
            </w:r>
          </w:p>
        </w:tc>
      </w:tr>
      <w:tr w:rsidR="001311D7" w14:paraId="137CF7B2" w14:textId="77777777" w:rsidTr="00F55430">
        <w:trPr>
          <w:trHeight w:val="300"/>
        </w:trPr>
        <w:tc>
          <w:tcPr>
            <w:tcW w:w="251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664C935" w14:textId="77777777" w:rsidR="006A45D1" w:rsidRPr="08B0B86B" w:rsidRDefault="006A45D1" w:rsidP="006A45D1">
            <w:pPr>
              <w:spacing w:before="40" w:after="40"/>
              <w:rPr>
                <w:rFonts w:ascii="Arial Narrow" w:eastAsia="Arial Narrow" w:hAnsi="Arial Narrow" w:cs="Arial Narrow"/>
                <w:color w:val="000000" w:themeColor="text1"/>
                <w:sz w:val="20"/>
                <w:szCs w:val="20"/>
              </w:rPr>
            </w:pPr>
            <w:r>
              <w:rPr>
                <w:rFonts w:ascii="Arial Narrow" w:hAnsi="Arial Narrow" w:cs="Calibri"/>
                <w:color w:val="000000"/>
                <w:sz w:val="20"/>
                <w:szCs w:val="20"/>
              </w:rPr>
              <w:t>Number of MRD tests by ASO-qPCR (DDDD services)</w:t>
            </w:r>
          </w:p>
        </w:tc>
        <w:tc>
          <w:tcPr>
            <w:tcW w:w="107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387B591" w14:textId="0E8490C6" w:rsidR="006A45D1" w:rsidRDefault="006A45D1" w:rsidP="006A45D1">
            <w:pPr>
              <w:spacing w:before="40" w:after="40"/>
              <w:jc w:val="center"/>
              <w:rPr>
                <w:rFonts w:ascii="Arial Narrow" w:hAnsi="Arial Narrow" w:cs="Calibri"/>
                <w:color w:val="000000"/>
                <w:sz w:val="20"/>
                <w:szCs w:val="20"/>
              </w:rPr>
            </w:pPr>
            <w:r w:rsidRPr="000E478E">
              <w:rPr>
                <w:rFonts w:ascii="Arial Narrow" w:hAnsi="Arial Narrow" w:cs="Calibri"/>
                <w:color w:val="000000"/>
                <w:sz w:val="20"/>
                <w:szCs w:val="20"/>
              </w:rPr>
              <w:t>636</w:t>
            </w:r>
          </w:p>
        </w:tc>
        <w:tc>
          <w:tcPr>
            <w:tcW w:w="107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84D682D" w14:textId="3557BBA9" w:rsidR="006A45D1" w:rsidRDefault="006A45D1" w:rsidP="006A45D1">
            <w:pPr>
              <w:spacing w:before="40" w:after="40"/>
              <w:jc w:val="center"/>
              <w:rPr>
                <w:rFonts w:ascii="Arial Narrow" w:hAnsi="Arial Narrow" w:cs="Calibri"/>
                <w:color w:val="000000"/>
                <w:sz w:val="20"/>
                <w:szCs w:val="20"/>
              </w:rPr>
            </w:pPr>
            <w:r>
              <w:rPr>
                <w:rFonts w:ascii="Arial Narrow" w:hAnsi="Arial Narrow" w:cs="Calibri"/>
                <w:color w:val="000000"/>
                <w:sz w:val="20"/>
                <w:szCs w:val="20"/>
              </w:rPr>
              <w:t>647</w:t>
            </w:r>
          </w:p>
        </w:tc>
        <w:tc>
          <w:tcPr>
            <w:tcW w:w="107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CA23A6C" w14:textId="32F4CE44" w:rsidR="006A45D1" w:rsidRDefault="006A45D1" w:rsidP="006A45D1">
            <w:pPr>
              <w:spacing w:before="40" w:after="40"/>
              <w:jc w:val="center"/>
              <w:rPr>
                <w:rFonts w:ascii="Arial Narrow" w:hAnsi="Arial Narrow" w:cs="Calibri"/>
                <w:color w:val="000000"/>
                <w:sz w:val="20"/>
                <w:szCs w:val="20"/>
              </w:rPr>
            </w:pPr>
            <w:r>
              <w:rPr>
                <w:rFonts w:ascii="Arial Narrow" w:hAnsi="Arial Narrow" w:cs="Calibri"/>
                <w:color w:val="000000"/>
                <w:sz w:val="20"/>
                <w:szCs w:val="20"/>
              </w:rPr>
              <w:t>793</w:t>
            </w:r>
          </w:p>
        </w:tc>
        <w:tc>
          <w:tcPr>
            <w:tcW w:w="107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6A8244B" w14:textId="374C02AE" w:rsidR="006A45D1" w:rsidRDefault="006A45D1" w:rsidP="006A45D1">
            <w:pPr>
              <w:spacing w:before="40" w:after="40"/>
              <w:jc w:val="center"/>
              <w:rPr>
                <w:rFonts w:ascii="Arial Narrow" w:hAnsi="Arial Narrow" w:cs="Calibri"/>
                <w:color w:val="000000"/>
                <w:sz w:val="20"/>
                <w:szCs w:val="20"/>
              </w:rPr>
            </w:pPr>
            <w:r>
              <w:rPr>
                <w:rFonts w:ascii="Arial Narrow" w:hAnsi="Arial Narrow" w:cs="Calibri"/>
                <w:color w:val="000000"/>
                <w:sz w:val="20"/>
                <w:szCs w:val="20"/>
              </w:rPr>
              <w:t>724</w:t>
            </w:r>
          </w:p>
        </w:tc>
        <w:tc>
          <w:tcPr>
            <w:tcW w:w="107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B8509D2" w14:textId="68EDC9D9" w:rsidR="006A45D1" w:rsidRDefault="006A45D1" w:rsidP="006A45D1">
            <w:pPr>
              <w:spacing w:before="40" w:after="40"/>
              <w:jc w:val="center"/>
              <w:rPr>
                <w:rFonts w:ascii="Arial Narrow" w:hAnsi="Arial Narrow" w:cs="Calibri"/>
                <w:color w:val="000000"/>
                <w:sz w:val="20"/>
                <w:szCs w:val="20"/>
              </w:rPr>
            </w:pPr>
            <w:r>
              <w:rPr>
                <w:rFonts w:ascii="Arial Narrow" w:hAnsi="Arial Narrow" w:cs="Calibri"/>
                <w:color w:val="000000"/>
                <w:sz w:val="20"/>
                <w:szCs w:val="20"/>
              </w:rPr>
              <w:t>713</w:t>
            </w:r>
          </w:p>
        </w:tc>
        <w:tc>
          <w:tcPr>
            <w:tcW w:w="111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9D67615" w14:textId="3B048187" w:rsidR="006A45D1" w:rsidRDefault="006A45D1" w:rsidP="006A45D1">
            <w:pPr>
              <w:spacing w:before="40" w:after="40"/>
              <w:jc w:val="center"/>
              <w:rPr>
                <w:rFonts w:ascii="Arial Narrow" w:hAnsi="Arial Narrow" w:cs="Calibri"/>
                <w:color w:val="000000"/>
                <w:sz w:val="20"/>
                <w:szCs w:val="20"/>
              </w:rPr>
            </w:pPr>
            <w:r>
              <w:rPr>
                <w:rFonts w:ascii="Arial Narrow" w:hAnsi="Arial Narrow" w:cs="Calibri"/>
                <w:color w:val="000000"/>
                <w:sz w:val="20"/>
                <w:szCs w:val="20"/>
              </w:rPr>
              <w:t>714</w:t>
            </w:r>
          </w:p>
        </w:tc>
      </w:tr>
      <w:tr w:rsidR="00410AB2" w14:paraId="652F0698" w14:textId="77777777" w:rsidTr="004D3912">
        <w:trPr>
          <w:trHeight w:val="300"/>
        </w:trPr>
        <w:tc>
          <w:tcPr>
            <w:tcW w:w="2512" w:type="dxa"/>
            <w:tcBorders>
              <w:top w:val="single" w:sz="8" w:space="0" w:color="auto"/>
              <w:left w:val="single" w:sz="8" w:space="0" w:color="auto"/>
              <w:bottom w:val="single" w:sz="8" w:space="0" w:color="auto"/>
              <w:right w:val="single" w:sz="8" w:space="0" w:color="auto"/>
            </w:tcBorders>
            <w:vAlign w:val="center"/>
          </w:tcPr>
          <w:p w14:paraId="3C372901" w14:textId="77777777" w:rsidR="00410AB2" w:rsidRDefault="00410AB2" w:rsidP="004D3912">
            <w:pPr>
              <w:spacing w:before="40" w:after="40"/>
            </w:pPr>
            <w:r w:rsidRPr="08B0B86B">
              <w:rPr>
                <w:rFonts w:ascii="Arial Narrow" w:eastAsia="Arial Narrow" w:hAnsi="Arial Narrow" w:cs="Arial Narrow"/>
                <w:color w:val="000000" w:themeColor="text1"/>
                <w:sz w:val="20"/>
                <w:szCs w:val="20"/>
              </w:rPr>
              <w:t>Cost of MRD testing to the MBS</w:t>
            </w:r>
          </w:p>
        </w:tc>
        <w:tc>
          <w:tcPr>
            <w:tcW w:w="1078" w:type="dxa"/>
            <w:tcBorders>
              <w:top w:val="single" w:sz="8" w:space="0" w:color="auto"/>
              <w:left w:val="single" w:sz="8" w:space="0" w:color="auto"/>
              <w:bottom w:val="single" w:sz="8" w:space="0" w:color="auto"/>
              <w:right w:val="single" w:sz="8" w:space="0" w:color="auto"/>
            </w:tcBorders>
            <w:vAlign w:val="center"/>
          </w:tcPr>
          <w:p w14:paraId="2B2CCDD4" w14:textId="77777777" w:rsidR="00410AB2" w:rsidRDefault="00410AB2" w:rsidP="004D3912">
            <w:pPr>
              <w:spacing w:before="40" w:after="40"/>
              <w:jc w:val="center"/>
            </w:pPr>
            <w:r>
              <w:rPr>
                <w:rFonts w:ascii="Arial Narrow" w:hAnsi="Arial Narrow" w:cs="Calibri"/>
                <w:color w:val="000000"/>
                <w:sz w:val="20"/>
                <w:szCs w:val="20"/>
              </w:rPr>
              <w:t>$2,445,688</w:t>
            </w:r>
          </w:p>
        </w:tc>
        <w:tc>
          <w:tcPr>
            <w:tcW w:w="1078" w:type="dxa"/>
            <w:tcBorders>
              <w:top w:val="single" w:sz="8" w:space="0" w:color="auto"/>
              <w:left w:val="single" w:sz="8" w:space="0" w:color="auto"/>
              <w:bottom w:val="single" w:sz="8" w:space="0" w:color="auto"/>
              <w:right w:val="single" w:sz="8" w:space="0" w:color="auto"/>
            </w:tcBorders>
            <w:vAlign w:val="center"/>
          </w:tcPr>
          <w:p w14:paraId="70E0F5E9" w14:textId="77777777" w:rsidR="00410AB2" w:rsidRDefault="00410AB2" w:rsidP="004D3912">
            <w:pPr>
              <w:spacing w:before="40" w:after="40"/>
              <w:jc w:val="center"/>
            </w:pPr>
            <w:r>
              <w:rPr>
                <w:rFonts w:ascii="Arial Narrow" w:hAnsi="Arial Narrow" w:cs="Calibri"/>
                <w:color w:val="000000"/>
                <w:sz w:val="20"/>
                <w:szCs w:val="20"/>
              </w:rPr>
              <w:t>$2,486,616</w:t>
            </w:r>
          </w:p>
        </w:tc>
        <w:tc>
          <w:tcPr>
            <w:tcW w:w="1078" w:type="dxa"/>
            <w:tcBorders>
              <w:top w:val="single" w:sz="8" w:space="0" w:color="auto"/>
              <w:left w:val="single" w:sz="8" w:space="0" w:color="auto"/>
              <w:bottom w:val="single" w:sz="8" w:space="0" w:color="auto"/>
              <w:right w:val="single" w:sz="8" w:space="0" w:color="auto"/>
            </w:tcBorders>
            <w:vAlign w:val="center"/>
          </w:tcPr>
          <w:p w14:paraId="0146D8D2" w14:textId="77777777" w:rsidR="00410AB2" w:rsidRDefault="00410AB2" w:rsidP="004D3912">
            <w:pPr>
              <w:spacing w:before="40" w:after="40"/>
              <w:jc w:val="center"/>
            </w:pPr>
            <w:r>
              <w:rPr>
                <w:rFonts w:ascii="Arial Narrow" w:hAnsi="Arial Narrow" w:cs="Calibri"/>
                <w:color w:val="000000"/>
                <w:sz w:val="20"/>
                <w:szCs w:val="20"/>
              </w:rPr>
              <w:t>$2,883,780</w:t>
            </w:r>
          </w:p>
        </w:tc>
        <w:tc>
          <w:tcPr>
            <w:tcW w:w="1078" w:type="dxa"/>
            <w:tcBorders>
              <w:top w:val="single" w:sz="8" w:space="0" w:color="auto"/>
              <w:left w:val="single" w:sz="8" w:space="0" w:color="auto"/>
              <w:bottom w:val="single" w:sz="8" w:space="0" w:color="auto"/>
              <w:right w:val="single" w:sz="8" w:space="0" w:color="auto"/>
            </w:tcBorders>
            <w:vAlign w:val="center"/>
          </w:tcPr>
          <w:p w14:paraId="15F8966E" w14:textId="77777777" w:rsidR="00410AB2" w:rsidRDefault="00410AB2" w:rsidP="004D3912">
            <w:pPr>
              <w:spacing w:before="40" w:after="40"/>
              <w:jc w:val="center"/>
            </w:pPr>
            <w:r>
              <w:rPr>
                <w:rFonts w:ascii="Arial Narrow" w:hAnsi="Arial Narrow" w:cs="Calibri"/>
                <w:color w:val="000000"/>
                <w:sz w:val="20"/>
                <w:szCs w:val="20"/>
              </w:rPr>
              <w:t>$2,699,306</w:t>
            </w:r>
          </w:p>
        </w:tc>
        <w:tc>
          <w:tcPr>
            <w:tcW w:w="1078" w:type="dxa"/>
            <w:tcBorders>
              <w:top w:val="single" w:sz="8" w:space="0" w:color="auto"/>
              <w:left w:val="single" w:sz="8" w:space="0" w:color="auto"/>
              <w:bottom w:val="single" w:sz="8" w:space="0" w:color="auto"/>
              <w:right w:val="single" w:sz="8" w:space="0" w:color="auto"/>
            </w:tcBorders>
            <w:vAlign w:val="center"/>
          </w:tcPr>
          <w:p w14:paraId="7CAFBEE5" w14:textId="77777777" w:rsidR="00410AB2" w:rsidRDefault="00410AB2" w:rsidP="004D3912">
            <w:pPr>
              <w:spacing w:before="40" w:after="40"/>
              <w:jc w:val="center"/>
            </w:pPr>
            <w:r>
              <w:rPr>
                <w:rFonts w:ascii="Arial Narrow" w:hAnsi="Arial Narrow" w:cs="Calibri"/>
                <w:color w:val="000000"/>
                <w:sz w:val="20"/>
                <w:szCs w:val="20"/>
              </w:rPr>
              <w:t>$2,701,210</w:t>
            </w:r>
          </w:p>
        </w:tc>
        <w:tc>
          <w:tcPr>
            <w:tcW w:w="1119" w:type="dxa"/>
            <w:tcBorders>
              <w:top w:val="single" w:sz="8" w:space="0" w:color="auto"/>
              <w:left w:val="single" w:sz="8" w:space="0" w:color="auto"/>
              <w:bottom w:val="single" w:sz="8" w:space="0" w:color="auto"/>
              <w:right w:val="single" w:sz="8" w:space="0" w:color="auto"/>
            </w:tcBorders>
            <w:vAlign w:val="center"/>
          </w:tcPr>
          <w:p w14:paraId="7D3B40B9" w14:textId="77777777" w:rsidR="00410AB2" w:rsidRDefault="00410AB2" w:rsidP="004D3912">
            <w:pPr>
              <w:spacing w:before="40" w:after="40"/>
              <w:jc w:val="center"/>
            </w:pPr>
            <w:r>
              <w:rPr>
                <w:rFonts w:ascii="Arial Narrow" w:hAnsi="Arial Narrow" w:cs="Calibri"/>
                <w:color w:val="000000"/>
                <w:sz w:val="20"/>
                <w:szCs w:val="20"/>
              </w:rPr>
              <w:t>$2,730,489</w:t>
            </w:r>
          </w:p>
        </w:tc>
      </w:tr>
      <w:tr w:rsidR="00410AB2" w14:paraId="689B91F1" w14:textId="77777777" w:rsidTr="006A45D1">
        <w:trPr>
          <w:trHeight w:val="390"/>
        </w:trPr>
        <w:tc>
          <w:tcPr>
            <w:tcW w:w="9021" w:type="dxa"/>
            <w:gridSpan w:val="7"/>
            <w:tcBorders>
              <w:top w:val="single" w:sz="8" w:space="0" w:color="auto"/>
              <w:left w:val="single" w:sz="8" w:space="0" w:color="auto"/>
              <w:bottom w:val="single" w:sz="8" w:space="0" w:color="auto"/>
              <w:right w:val="single" w:sz="8" w:space="0" w:color="auto"/>
            </w:tcBorders>
            <w:vAlign w:val="center"/>
          </w:tcPr>
          <w:p w14:paraId="581CEC21" w14:textId="77777777" w:rsidR="00410AB2" w:rsidRDefault="00410AB2" w:rsidP="004D3912">
            <w:pPr>
              <w:spacing w:before="40" w:after="40"/>
            </w:pPr>
            <w:r w:rsidRPr="08B0B86B">
              <w:rPr>
                <w:rFonts w:ascii="Arial Narrow" w:eastAsia="Arial Narrow" w:hAnsi="Arial Narrow" w:cs="Arial Narrow"/>
                <w:b/>
                <w:bCs/>
                <w:color w:val="000000" w:themeColor="text1"/>
                <w:sz w:val="20"/>
                <w:szCs w:val="20"/>
              </w:rPr>
              <w:t>Change in use and cost of other health technologies</w:t>
            </w:r>
          </w:p>
        </w:tc>
      </w:tr>
      <w:tr w:rsidR="00410AB2" w14:paraId="36C816D4" w14:textId="77777777" w:rsidTr="004D3912">
        <w:trPr>
          <w:trHeight w:val="300"/>
        </w:trPr>
        <w:tc>
          <w:tcPr>
            <w:tcW w:w="2512" w:type="dxa"/>
            <w:tcBorders>
              <w:top w:val="single" w:sz="8" w:space="0" w:color="auto"/>
              <w:left w:val="single" w:sz="8" w:space="0" w:color="auto"/>
              <w:bottom w:val="single" w:sz="8" w:space="0" w:color="auto"/>
              <w:right w:val="single" w:sz="8" w:space="0" w:color="auto"/>
            </w:tcBorders>
            <w:vAlign w:val="center"/>
          </w:tcPr>
          <w:p w14:paraId="333AB03B" w14:textId="77777777" w:rsidR="00410AB2" w:rsidRDefault="00410AB2" w:rsidP="004D3912">
            <w:pPr>
              <w:spacing w:before="40" w:after="40"/>
            </w:pPr>
            <w:r w:rsidRPr="08B0B86B">
              <w:rPr>
                <w:rFonts w:ascii="Arial Narrow" w:eastAsia="Arial Narrow" w:hAnsi="Arial Narrow" w:cs="Arial Narrow"/>
                <w:color w:val="000000" w:themeColor="text1"/>
                <w:sz w:val="20"/>
                <w:szCs w:val="20"/>
              </w:rPr>
              <w:t>Change in use of bone marrow morphology</w:t>
            </w:r>
          </w:p>
        </w:tc>
        <w:tc>
          <w:tcPr>
            <w:tcW w:w="1078" w:type="dxa"/>
            <w:tcBorders>
              <w:top w:val="nil"/>
              <w:left w:val="single" w:sz="8" w:space="0" w:color="auto"/>
              <w:bottom w:val="single" w:sz="8" w:space="0" w:color="auto"/>
              <w:right w:val="single" w:sz="8" w:space="0" w:color="auto"/>
            </w:tcBorders>
            <w:vAlign w:val="center"/>
          </w:tcPr>
          <w:p w14:paraId="6D878D90" w14:textId="77777777" w:rsidR="00410AB2" w:rsidRDefault="00410AB2" w:rsidP="004D3912">
            <w:pPr>
              <w:spacing w:before="40" w:after="40"/>
              <w:jc w:val="center"/>
            </w:pPr>
            <w:r>
              <w:rPr>
                <w:rFonts w:ascii="Arial Narrow" w:hAnsi="Arial Narrow" w:cs="Calibri"/>
                <w:color w:val="000000"/>
                <w:sz w:val="20"/>
                <w:szCs w:val="20"/>
              </w:rPr>
              <w:t>0</w:t>
            </w:r>
          </w:p>
        </w:tc>
        <w:tc>
          <w:tcPr>
            <w:tcW w:w="1078" w:type="dxa"/>
            <w:tcBorders>
              <w:top w:val="nil"/>
              <w:left w:val="single" w:sz="8" w:space="0" w:color="auto"/>
              <w:bottom w:val="single" w:sz="8" w:space="0" w:color="auto"/>
              <w:right w:val="single" w:sz="8" w:space="0" w:color="auto"/>
            </w:tcBorders>
            <w:vAlign w:val="center"/>
          </w:tcPr>
          <w:p w14:paraId="044ECE1E" w14:textId="77777777" w:rsidR="00410AB2" w:rsidRDefault="00410AB2" w:rsidP="004D3912">
            <w:pPr>
              <w:spacing w:before="40" w:after="40"/>
              <w:jc w:val="center"/>
            </w:pPr>
            <w:r>
              <w:rPr>
                <w:rFonts w:ascii="Arial Narrow" w:hAnsi="Arial Narrow" w:cs="Calibri"/>
                <w:color w:val="000000"/>
                <w:sz w:val="20"/>
                <w:szCs w:val="20"/>
              </w:rPr>
              <w:t>0</w:t>
            </w:r>
          </w:p>
        </w:tc>
        <w:tc>
          <w:tcPr>
            <w:tcW w:w="1078" w:type="dxa"/>
            <w:tcBorders>
              <w:top w:val="nil"/>
              <w:left w:val="single" w:sz="8" w:space="0" w:color="auto"/>
              <w:bottom w:val="single" w:sz="8" w:space="0" w:color="auto"/>
              <w:right w:val="single" w:sz="8" w:space="0" w:color="auto"/>
            </w:tcBorders>
            <w:vAlign w:val="center"/>
          </w:tcPr>
          <w:p w14:paraId="5E4611AA" w14:textId="77777777" w:rsidR="00410AB2" w:rsidRDefault="00410AB2" w:rsidP="004D3912">
            <w:pPr>
              <w:spacing w:before="40" w:after="40"/>
              <w:jc w:val="center"/>
            </w:pPr>
            <w:r>
              <w:rPr>
                <w:rFonts w:ascii="Arial Narrow" w:hAnsi="Arial Narrow" w:cs="Calibri"/>
                <w:color w:val="000000"/>
                <w:sz w:val="20"/>
                <w:szCs w:val="20"/>
              </w:rPr>
              <w:t>0</w:t>
            </w:r>
          </w:p>
        </w:tc>
        <w:tc>
          <w:tcPr>
            <w:tcW w:w="1078" w:type="dxa"/>
            <w:tcBorders>
              <w:top w:val="nil"/>
              <w:left w:val="single" w:sz="8" w:space="0" w:color="auto"/>
              <w:bottom w:val="single" w:sz="8" w:space="0" w:color="auto"/>
              <w:right w:val="single" w:sz="8" w:space="0" w:color="auto"/>
            </w:tcBorders>
            <w:vAlign w:val="center"/>
          </w:tcPr>
          <w:p w14:paraId="41208C83" w14:textId="77777777" w:rsidR="00410AB2" w:rsidRDefault="00410AB2" w:rsidP="004D3912">
            <w:pPr>
              <w:spacing w:before="40" w:after="40"/>
              <w:jc w:val="center"/>
            </w:pPr>
            <w:r>
              <w:rPr>
                <w:rFonts w:ascii="Arial Narrow" w:hAnsi="Arial Narrow" w:cs="Calibri"/>
                <w:color w:val="000000"/>
                <w:sz w:val="20"/>
                <w:szCs w:val="20"/>
              </w:rPr>
              <w:t>0</w:t>
            </w:r>
          </w:p>
        </w:tc>
        <w:tc>
          <w:tcPr>
            <w:tcW w:w="1078" w:type="dxa"/>
            <w:tcBorders>
              <w:top w:val="nil"/>
              <w:left w:val="single" w:sz="8" w:space="0" w:color="auto"/>
              <w:bottom w:val="single" w:sz="8" w:space="0" w:color="auto"/>
              <w:right w:val="single" w:sz="8" w:space="0" w:color="auto"/>
            </w:tcBorders>
            <w:vAlign w:val="center"/>
          </w:tcPr>
          <w:p w14:paraId="18BB4AB2" w14:textId="77777777" w:rsidR="00410AB2" w:rsidRDefault="00410AB2" w:rsidP="004D3912">
            <w:pPr>
              <w:spacing w:before="40" w:after="40"/>
              <w:jc w:val="center"/>
            </w:pPr>
            <w:r>
              <w:rPr>
                <w:rFonts w:ascii="Arial Narrow" w:hAnsi="Arial Narrow" w:cs="Calibri"/>
                <w:color w:val="000000"/>
                <w:sz w:val="20"/>
                <w:szCs w:val="20"/>
              </w:rPr>
              <w:t>0</w:t>
            </w:r>
          </w:p>
        </w:tc>
        <w:tc>
          <w:tcPr>
            <w:tcW w:w="1119" w:type="dxa"/>
            <w:tcBorders>
              <w:top w:val="nil"/>
              <w:left w:val="single" w:sz="8" w:space="0" w:color="auto"/>
              <w:bottom w:val="single" w:sz="8" w:space="0" w:color="auto"/>
              <w:right w:val="single" w:sz="8" w:space="0" w:color="auto"/>
            </w:tcBorders>
            <w:vAlign w:val="center"/>
          </w:tcPr>
          <w:p w14:paraId="642D3E9E" w14:textId="77777777" w:rsidR="00410AB2" w:rsidRDefault="00410AB2" w:rsidP="004D3912">
            <w:pPr>
              <w:spacing w:before="40" w:after="40"/>
              <w:jc w:val="center"/>
            </w:pPr>
            <w:r>
              <w:rPr>
                <w:rFonts w:ascii="Arial Narrow" w:hAnsi="Arial Narrow" w:cs="Calibri"/>
                <w:color w:val="000000"/>
                <w:sz w:val="20"/>
                <w:szCs w:val="20"/>
              </w:rPr>
              <w:t>0</w:t>
            </w:r>
          </w:p>
        </w:tc>
      </w:tr>
      <w:tr w:rsidR="00410AB2" w14:paraId="58AE75E9" w14:textId="77777777" w:rsidTr="004D3912">
        <w:trPr>
          <w:trHeight w:val="525"/>
        </w:trPr>
        <w:tc>
          <w:tcPr>
            <w:tcW w:w="2512" w:type="dxa"/>
            <w:tcBorders>
              <w:top w:val="single" w:sz="8" w:space="0" w:color="auto"/>
              <w:left w:val="single" w:sz="8" w:space="0" w:color="auto"/>
              <w:bottom w:val="single" w:sz="8" w:space="0" w:color="auto"/>
              <w:right w:val="single" w:sz="8" w:space="0" w:color="auto"/>
            </w:tcBorders>
            <w:vAlign w:val="center"/>
          </w:tcPr>
          <w:p w14:paraId="35209E47" w14:textId="77777777" w:rsidR="00410AB2" w:rsidRDefault="00410AB2" w:rsidP="004D3912">
            <w:pPr>
              <w:spacing w:before="40" w:after="40"/>
            </w:pPr>
            <w:r w:rsidRPr="08B0B86B">
              <w:rPr>
                <w:rFonts w:ascii="Arial Narrow" w:eastAsia="Arial Narrow" w:hAnsi="Arial Narrow" w:cs="Arial Narrow"/>
                <w:color w:val="000000" w:themeColor="text1"/>
                <w:sz w:val="20"/>
                <w:szCs w:val="20"/>
              </w:rPr>
              <w:t>Cost of bone marrow morphology in the world without MRD testing</w:t>
            </w:r>
          </w:p>
        </w:tc>
        <w:tc>
          <w:tcPr>
            <w:tcW w:w="1078" w:type="dxa"/>
            <w:tcBorders>
              <w:top w:val="single" w:sz="8" w:space="0" w:color="auto"/>
              <w:left w:val="single" w:sz="8" w:space="0" w:color="auto"/>
              <w:bottom w:val="single" w:sz="8" w:space="0" w:color="auto"/>
              <w:right w:val="single" w:sz="8" w:space="0" w:color="auto"/>
            </w:tcBorders>
            <w:vAlign w:val="center"/>
          </w:tcPr>
          <w:p w14:paraId="3F64ECC6" w14:textId="77777777" w:rsidR="00410AB2" w:rsidRDefault="00410AB2" w:rsidP="004D3912">
            <w:pPr>
              <w:spacing w:before="40" w:after="40"/>
              <w:jc w:val="center"/>
            </w:pPr>
            <w:r>
              <w:rPr>
                <w:rFonts w:ascii="Arial Narrow" w:hAnsi="Arial Narrow" w:cs="Calibri"/>
                <w:color w:val="000000"/>
                <w:sz w:val="20"/>
                <w:szCs w:val="20"/>
              </w:rPr>
              <w:t>$198,859</w:t>
            </w:r>
          </w:p>
        </w:tc>
        <w:tc>
          <w:tcPr>
            <w:tcW w:w="1078" w:type="dxa"/>
            <w:tcBorders>
              <w:top w:val="single" w:sz="8" w:space="0" w:color="auto"/>
              <w:left w:val="single" w:sz="8" w:space="0" w:color="auto"/>
              <w:bottom w:val="single" w:sz="8" w:space="0" w:color="auto"/>
              <w:right w:val="single" w:sz="8" w:space="0" w:color="auto"/>
            </w:tcBorders>
            <w:vAlign w:val="center"/>
          </w:tcPr>
          <w:p w14:paraId="1DDC3FC0" w14:textId="77777777" w:rsidR="00410AB2" w:rsidRDefault="00410AB2" w:rsidP="004D3912">
            <w:pPr>
              <w:spacing w:before="40" w:after="40"/>
              <w:jc w:val="center"/>
            </w:pPr>
            <w:r>
              <w:rPr>
                <w:rFonts w:ascii="Arial Narrow" w:hAnsi="Arial Narrow" w:cs="Calibri"/>
                <w:color w:val="000000"/>
                <w:sz w:val="20"/>
                <w:szCs w:val="20"/>
              </w:rPr>
              <w:t>$202,186</w:t>
            </w:r>
          </w:p>
        </w:tc>
        <w:tc>
          <w:tcPr>
            <w:tcW w:w="1078" w:type="dxa"/>
            <w:tcBorders>
              <w:top w:val="single" w:sz="8" w:space="0" w:color="auto"/>
              <w:left w:val="single" w:sz="8" w:space="0" w:color="auto"/>
              <w:bottom w:val="single" w:sz="8" w:space="0" w:color="auto"/>
              <w:right w:val="single" w:sz="8" w:space="0" w:color="auto"/>
            </w:tcBorders>
            <w:vAlign w:val="center"/>
          </w:tcPr>
          <w:p w14:paraId="258657BB" w14:textId="77777777" w:rsidR="00410AB2" w:rsidRDefault="00410AB2" w:rsidP="004D3912">
            <w:pPr>
              <w:spacing w:before="40" w:after="40"/>
              <w:jc w:val="center"/>
            </w:pPr>
            <w:r>
              <w:rPr>
                <w:rFonts w:ascii="Arial Narrow" w:hAnsi="Arial Narrow" w:cs="Calibri"/>
                <w:color w:val="000000"/>
                <w:sz w:val="20"/>
                <w:szCs w:val="20"/>
              </w:rPr>
              <w:t>$275,545</w:t>
            </w:r>
          </w:p>
        </w:tc>
        <w:tc>
          <w:tcPr>
            <w:tcW w:w="1078" w:type="dxa"/>
            <w:tcBorders>
              <w:top w:val="single" w:sz="8" w:space="0" w:color="auto"/>
              <w:left w:val="single" w:sz="8" w:space="0" w:color="auto"/>
              <w:bottom w:val="single" w:sz="8" w:space="0" w:color="auto"/>
              <w:right w:val="single" w:sz="8" w:space="0" w:color="auto"/>
            </w:tcBorders>
            <w:vAlign w:val="center"/>
          </w:tcPr>
          <w:p w14:paraId="2DE07681" w14:textId="77777777" w:rsidR="00410AB2" w:rsidRDefault="00410AB2" w:rsidP="004D3912">
            <w:pPr>
              <w:spacing w:before="40" w:after="40"/>
              <w:jc w:val="center"/>
            </w:pPr>
            <w:r>
              <w:rPr>
                <w:rFonts w:ascii="Arial Narrow" w:hAnsi="Arial Narrow" w:cs="Calibri"/>
                <w:color w:val="000000"/>
                <w:sz w:val="20"/>
                <w:szCs w:val="20"/>
              </w:rPr>
              <w:t>$219,543</w:t>
            </w:r>
          </w:p>
        </w:tc>
        <w:tc>
          <w:tcPr>
            <w:tcW w:w="1078" w:type="dxa"/>
            <w:tcBorders>
              <w:top w:val="single" w:sz="8" w:space="0" w:color="auto"/>
              <w:left w:val="single" w:sz="8" w:space="0" w:color="auto"/>
              <w:bottom w:val="single" w:sz="8" w:space="0" w:color="auto"/>
              <w:right w:val="single" w:sz="8" w:space="0" w:color="auto"/>
            </w:tcBorders>
            <w:vAlign w:val="center"/>
          </w:tcPr>
          <w:p w14:paraId="172EF6FA" w14:textId="77777777" w:rsidR="00410AB2" w:rsidRDefault="00410AB2" w:rsidP="004D3912">
            <w:pPr>
              <w:spacing w:before="40" w:after="40"/>
              <w:jc w:val="center"/>
            </w:pPr>
            <w:r>
              <w:rPr>
                <w:rFonts w:ascii="Arial Narrow" w:hAnsi="Arial Narrow" w:cs="Calibri"/>
                <w:color w:val="000000"/>
                <w:sz w:val="20"/>
                <w:szCs w:val="20"/>
              </w:rPr>
              <w:t>$216,605</w:t>
            </w:r>
          </w:p>
        </w:tc>
        <w:tc>
          <w:tcPr>
            <w:tcW w:w="1119" w:type="dxa"/>
            <w:tcBorders>
              <w:top w:val="single" w:sz="8" w:space="0" w:color="auto"/>
              <w:left w:val="single" w:sz="8" w:space="0" w:color="auto"/>
              <w:bottom w:val="single" w:sz="8" w:space="0" w:color="auto"/>
              <w:right w:val="single" w:sz="8" w:space="0" w:color="auto"/>
            </w:tcBorders>
            <w:vAlign w:val="center"/>
          </w:tcPr>
          <w:p w14:paraId="7FC58C90" w14:textId="77777777" w:rsidR="00410AB2" w:rsidRDefault="00410AB2" w:rsidP="004D3912">
            <w:pPr>
              <w:spacing w:before="40" w:after="40"/>
              <w:jc w:val="center"/>
            </w:pPr>
            <w:r>
              <w:rPr>
                <w:rFonts w:ascii="Arial Narrow" w:hAnsi="Arial Narrow" w:cs="Calibri"/>
                <w:color w:val="000000"/>
                <w:sz w:val="20"/>
                <w:szCs w:val="20"/>
              </w:rPr>
              <w:t>$218,425</w:t>
            </w:r>
          </w:p>
        </w:tc>
      </w:tr>
      <w:tr w:rsidR="00410AB2" w14:paraId="21C8F58D" w14:textId="77777777" w:rsidTr="004D3912">
        <w:trPr>
          <w:trHeight w:val="300"/>
        </w:trPr>
        <w:tc>
          <w:tcPr>
            <w:tcW w:w="2512" w:type="dxa"/>
            <w:tcBorders>
              <w:top w:val="single" w:sz="8" w:space="0" w:color="auto"/>
              <w:left w:val="single" w:sz="8" w:space="0" w:color="auto"/>
              <w:bottom w:val="single" w:sz="8" w:space="0" w:color="auto"/>
              <w:right w:val="single" w:sz="8" w:space="0" w:color="auto"/>
            </w:tcBorders>
            <w:vAlign w:val="center"/>
          </w:tcPr>
          <w:p w14:paraId="37EE4064" w14:textId="77777777" w:rsidR="00410AB2" w:rsidRDefault="00410AB2" w:rsidP="004D3912">
            <w:pPr>
              <w:spacing w:before="40" w:after="40"/>
            </w:pPr>
            <w:r w:rsidRPr="08B0B86B">
              <w:rPr>
                <w:rFonts w:ascii="Arial Narrow" w:eastAsia="Arial Narrow" w:hAnsi="Arial Narrow" w:cs="Arial Narrow"/>
                <w:color w:val="000000" w:themeColor="text1"/>
                <w:sz w:val="20"/>
                <w:szCs w:val="20"/>
              </w:rPr>
              <w:t>Net change in costs to the MBS</w:t>
            </w:r>
          </w:p>
        </w:tc>
        <w:tc>
          <w:tcPr>
            <w:tcW w:w="1078" w:type="dxa"/>
            <w:tcBorders>
              <w:top w:val="single" w:sz="8" w:space="0" w:color="auto"/>
              <w:left w:val="single" w:sz="8" w:space="0" w:color="auto"/>
              <w:bottom w:val="single" w:sz="8" w:space="0" w:color="auto"/>
              <w:right w:val="single" w:sz="8" w:space="0" w:color="auto"/>
            </w:tcBorders>
            <w:vAlign w:val="center"/>
          </w:tcPr>
          <w:p w14:paraId="4A290083" w14:textId="77777777" w:rsidR="00410AB2" w:rsidRDefault="00410AB2" w:rsidP="004D3912">
            <w:pPr>
              <w:spacing w:before="40" w:after="40"/>
              <w:jc w:val="center"/>
            </w:pPr>
            <w:r>
              <w:rPr>
                <w:rFonts w:ascii="Arial Narrow" w:hAnsi="Arial Narrow" w:cs="Calibri"/>
                <w:color w:val="000000"/>
                <w:sz w:val="20"/>
                <w:szCs w:val="20"/>
              </w:rPr>
              <w:t>$2,246,829</w:t>
            </w:r>
          </w:p>
        </w:tc>
        <w:tc>
          <w:tcPr>
            <w:tcW w:w="1078" w:type="dxa"/>
            <w:tcBorders>
              <w:top w:val="single" w:sz="8" w:space="0" w:color="auto"/>
              <w:left w:val="single" w:sz="8" w:space="0" w:color="auto"/>
              <w:bottom w:val="single" w:sz="8" w:space="0" w:color="auto"/>
              <w:right w:val="single" w:sz="8" w:space="0" w:color="auto"/>
            </w:tcBorders>
            <w:vAlign w:val="center"/>
          </w:tcPr>
          <w:p w14:paraId="220586AC" w14:textId="77777777" w:rsidR="00410AB2" w:rsidRDefault="00410AB2" w:rsidP="004D3912">
            <w:pPr>
              <w:spacing w:before="40" w:after="40"/>
              <w:jc w:val="center"/>
            </w:pPr>
            <w:r>
              <w:rPr>
                <w:rFonts w:ascii="Arial Narrow" w:hAnsi="Arial Narrow" w:cs="Calibri"/>
                <w:color w:val="000000"/>
                <w:sz w:val="20"/>
                <w:szCs w:val="20"/>
              </w:rPr>
              <w:t>$2,284,429</w:t>
            </w:r>
          </w:p>
        </w:tc>
        <w:tc>
          <w:tcPr>
            <w:tcW w:w="1078" w:type="dxa"/>
            <w:tcBorders>
              <w:top w:val="single" w:sz="8" w:space="0" w:color="auto"/>
              <w:left w:val="single" w:sz="8" w:space="0" w:color="auto"/>
              <w:bottom w:val="single" w:sz="8" w:space="0" w:color="auto"/>
              <w:right w:val="single" w:sz="8" w:space="0" w:color="auto"/>
            </w:tcBorders>
            <w:vAlign w:val="center"/>
          </w:tcPr>
          <w:p w14:paraId="490C293C" w14:textId="77777777" w:rsidR="00410AB2" w:rsidRDefault="00410AB2" w:rsidP="004D3912">
            <w:pPr>
              <w:spacing w:before="40" w:after="40"/>
              <w:jc w:val="center"/>
            </w:pPr>
            <w:r>
              <w:rPr>
                <w:rFonts w:ascii="Arial Narrow" w:hAnsi="Arial Narrow" w:cs="Calibri"/>
                <w:color w:val="000000"/>
                <w:sz w:val="20"/>
                <w:szCs w:val="20"/>
              </w:rPr>
              <w:t>$2,608,235</w:t>
            </w:r>
          </w:p>
        </w:tc>
        <w:tc>
          <w:tcPr>
            <w:tcW w:w="1078" w:type="dxa"/>
            <w:tcBorders>
              <w:top w:val="single" w:sz="8" w:space="0" w:color="auto"/>
              <w:left w:val="single" w:sz="8" w:space="0" w:color="auto"/>
              <w:bottom w:val="single" w:sz="8" w:space="0" w:color="auto"/>
              <w:right w:val="single" w:sz="8" w:space="0" w:color="auto"/>
            </w:tcBorders>
            <w:vAlign w:val="center"/>
          </w:tcPr>
          <w:p w14:paraId="7296B7D6" w14:textId="77777777" w:rsidR="00410AB2" w:rsidRDefault="00410AB2" w:rsidP="004D3912">
            <w:pPr>
              <w:spacing w:before="40" w:after="40"/>
              <w:jc w:val="center"/>
            </w:pPr>
            <w:r>
              <w:rPr>
                <w:rFonts w:ascii="Arial Narrow" w:hAnsi="Arial Narrow" w:cs="Calibri"/>
                <w:color w:val="000000"/>
                <w:sz w:val="20"/>
                <w:szCs w:val="20"/>
              </w:rPr>
              <w:t>$2,479,763</w:t>
            </w:r>
          </w:p>
        </w:tc>
        <w:tc>
          <w:tcPr>
            <w:tcW w:w="1078" w:type="dxa"/>
            <w:tcBorders>
              <w:top w:val="single" w:sz="8" w:space="0" w:color="auto"/>
              <w:left w:val="single" w:sz="8" w:space="0" w:color="auto"/>
              <w:bottom w:val="single" w:sz="8" w:space="0" w:color="auto"/>
              <w:right w:val="single" w:sz="8" w:space="0" w:color="auto"/>
            </w:tcBorders>
            <w:vAlign w:val="center"/>
          </w:tcPr>
          <w:p w14:paraId="1B17932B" w14:textId="77777777" w:rsidR="00410AB2" w:rsidRDefault="00410AB2" w:rsidP="004D3912">
            <w:pPr>
              <w:spacing w:before="40" w:after="40"/>
              <w:jc w:val="center"/>
            </w:pPr>
            <w:r>
              <w:rPr>
                <w:rFonts w:ascii="Arial Narrow" w:hAnsi="Arial Narrow" w:cs="Calibri"/>
                <w:color w:val="000000"/>
                <w:sz w:val="20"/>
                <w:szCs w:val="20"/>
              </w:rPr>
              <w:t>$2,484,605</w:t>
            </w:r>
          </w:p>
        </w:tc>
        <w:tc>
          <w:tcPr>
            <w:tcW w:w="1119" w:type="dxa"/>
            <w:tcBorders>
              <w:top w:val="single" w:sz="8" w:space="0" w:color="auto"/>
              <w:left w:val="single" w:sz="8" w:space="0" w:color="auto"/>
              <w:bottom w:val="single" w:sz="8" w:space="0" w:color="auto"/>
              <w:right w:val="single" w:sz="8" w:space="0" w:color="auto"/>
            </w:tcBorders>
            <w:vAlign w:val="center"/>
          </w:tcPr>
          <w:p w14:paraId="72758700" w14:textId="77777777" w:rsidR="00410AB2" w:rsidRDefault="00410AB2" w:rsidP="004D3912">
            <w:pPr>
              <w:spacing w:before="40" w:after="40"/>
              <w:jc w:val="center"/>
            </w:pPr>
            <w:r>
              <w:rPr>
                <w:rFonts w:ascii="Arial Narrow" w:hAnsi="Arial Narrow" w:cs="Calibri"/>
                <w:color w:val="000000"/>
                <w:sz w:val="20"/>
                <w:szCs w:val="20"/>
              </w:rPr>
              <w:t>$2,512,064</w:t>
            </w:r>
          </w:p>
        </w:tc>
      </w:tr>
      <w:tr w:rsidR="00410AB2" w14:paraId="15485E25" w14:textId="77777777" w:rsidTr="004D3912">
        <w:trPr>
          <w:trHeight w:val="570"/>
        </w:trPr>
        <w:tc>
          <w:tcPr>
            <w:tcW w:w="2512" w:type="dxa"/>
            <w:tcBorders>
              <w:top w:val="single" w:sz="8" w:space="0" w:color="auto"/>
              <w:left w:val="single" w:sz="8" w:space="0" w:color="auto"/>
              <w:bottom w:val="single" w:sz="8" w:space="0" w:color="auto"/>
              <w:right w:val="single" w:sz="8" w:space="0" w:color="auto"/>
            </w:tcBorders>
            <w:vAlign w:val="center"/>
          </w:tcPr>
          <w:p w14:paraId="3580E117" w14:textId="77777777" w:rsidR="00410AB2" w:rsidRDefault="00410AB2" w:rsidP="004D3912">
            <w:pPr>
              <w:spacing w:before="40" w:after="40"/>
            </w:pPr>
            <w:r w:rsidRPr="08B0B86B">
              <w:rPr>
                <w:rFonts w:ascii="Arial Narrow" w:eastAsia="Arial Narrow" w:hAnsi="Arial Narrow" w:cs="Arial Narrow"/>
                <w:b/>
                <w:bCs/>
                <w:color w:val="000000" w:themeColor="text1"/>
                <w:sz w:val="20"/>
                <w:szCs w:val="20"/>
              </w:rPr>
              <w:t>Net financial impact to the MBS (increased cost of MRD testing to the MBS)</w:t>
            </w:r>
          </w:p>
        </w:tc>
        <w:tc>
          <w:tcPr>
            <w:tcW w:w="1078" w:type="dxa"/>
            <w:tcBorders>
              <w:top w:val="single" w:sz="8" w:space="0" w:color="auto"/>
              <w:left w:val="single" w:sz="8" w:space="0" w:color="auto"/>
              <w:bottom w:val="single" w:sz="8" w:space="0" w:color="auto"/>
              <w:right w:val="single" w:sz="8" w:space="0" w:color="auto"/>
            </w:tcBorders>
            <w:vAlign w:val="center"/>
          </w:tcPr>
          <w:p w14:paraId="2C47F20B" w14:textId="77777777" w:rsidR="00410AB2" w:rsidRDefault="00410AB2" w:rsidP="004D3912">
            <w:pPr>
              <w:spacing w:before="40" w:after="40"/>
              <w:jc w:val="center"/>
            </w:pPr>
            <w:r>
              <w:rPr>
                <w:rFonts w:ascii="Arial Narrow" w:hAnsi="Arial Narrow" w:cs="Calibri"/>
                <w:b/>
                <w:bCs/>
                <w:color w:val="000000"/>
                <w:sz w:val="20"/>
                <w:szCs w:val="20"/>
              </w:rPr>
              <w:t>$2,246,829</w:t>
            </w:r>
          </w:p>
        </w:tc>
        <w:tc>
          <w:tcPr>
            <w:tcW w:w="1078" w:type="dxa"/>
            <w:tcBorders>
              <w:top w:val="single" w:sz="8" w:space="0" w:color="auto"/>
              <w:left w:val="single" w:sz="8" w:space="0" w:color="auto"/>
              <w:bottom w:val="single" w:sz="8" w:space="0" w:color="auto"/>
              <w:right w:val="single" w:sz="8" w:space="0" w:color="auto"/>
            </w:tcBorders>
            <w:vAlign w:val="center"/>
          </w:tcPr>
          <w:p w14:paraId="5F1D5CCC" w14:textId="77777777" w:rsidR="00410AB2" w:rsidRDefault="00410AB2" w:rsidP="004D3912">
            <w:pPr>
              <w:spacing w:before="40" w:after="40"/>
              <w:jc w:val="center"/>
            </w:pPr>
            <w:r>
              <w:rPr>
                <w:rFonts w:ascii="Arial Narrow" w:hAnsi="Arial Narrow" w:cs="Calibri"/>
                <w:b/>
                <w:bCs/>
                <w:color w:val="000000"/>
                <w:sz w:val="20"/>
                <w:szCs w:val="20"/>
              </w:rPr>
              <w:t>$2,284,429</w:t>
            </w:r>
          </w:p>
        </w:tc>
        <w:tc>
          <w:tcPr>
            <w:tcW w:w="1078" w:type="dxa"/>
            <w:tcBorders>
              <w:top w:val="single" w:sz="8" w:space="0" w:color="auto"/>
              <w:left w:val="single" w:sz="8" w:space="0" w:color="auto"/>
              <w:bottom w:val="single" w:sz="8" w:space="0" w:color="auto"/>
              <w:right w:val="single" w:sz="8" w:space="0" w:color="auto"/>
            </w:tcBorders>
            <w:vAlign w:val="center"/>
          </w:tcPr>
          <w:p w14:paraId="047DDEEC" w14:textId="77777777" w:rsidR="00410AB2" w:rsidRDefault="00410AB2" w:rsidP="004D3912">
            <w:pPr>
              <w:spacing w:before="40" w:after="40"/>
              <w:jc w:val="center"/>
            </w:pPr>
            <w:r>
              <w:rPr>
                <w:rFonts w:ascii="Arial Narrow" w:hAnsi="Arial Narrow" w:cs="Calibri"/>
                <w:b/>
                <w:bCs/>
                <w:color w:val="000000"/>
                <w:sz w:val="20"/>
                <w:szCs w:val="20"/>
              </w:rPr>
              <w:t>$2,608,235</w:t>
            </w:r>
          </w:p>
        </w:tc>
        <w:tc>
          <w:tcPr>
            <w:tcW w:w="1078" w:type="dxa"/>
            <w:tcBorders>
              <w:top w:val="single" w:sz="8" w:space="0" w:color="auto"/>
              <w:left w:val="single" w:sz="8" w:space="0" w:color="auto"/>
              <w:bottom w:val="single" w:sz="8" w:space="0" w:color="auto"/>
              <w:right w:val="single" w:sz="8" w:space="0" w:color="auto"/>
            </w:tcBorders>
            <w:vAlign w:val="center"/>
          </w:tcPr>
          <w:p w14:paraId="6BDDAAEB" w14:textId="77777777" w:rsidR="00410AB2" w:rsidRDefault="00410AB2" w:rsidP="004D3912">
            <w:pPr>
              <w:spacing w:before="40" w:after="40"/>
              <w:jc w:val="center"/>
            </w:pPr>
            <w:r>
              <w:rPr>
                <w:rFonts w:ascii="Arial Narrow" w:hAnsi="Arial Narrow" w:cs="Calibri"/>
                <w:b/>
                <w:bCs/>
                <w:color w:val="000000"/>
                <w:sz w:val="20"/>
                <w:szCs w:val="20"/>
              </w:rPr>
              <w:t>$2,479,763</w:t>
            </w:r>
          </w:p>
        </w:tc>
        <w:tc>
          <w:tcPr>
            <w:tcW w:w="1078" w:type="dxa"/>
            <w:tcBorders>
              <w:top w:val="single" w:sz="8" w:space="0" w:color="auto"/>
              <w:left w:val="single" w:sz="8" w:space="0" w:color="auto"/>
              <w:bottom w:val="single" w:sz="8" w:space="0" w:color="auto"/>
              <w:right w:val="single" w:sz="8" w:space="0" w:color="auto"/>
            </w:tcBorders>
            <w:vAlign w:val="center"/>
          </w:tcPr>
          <w:p w14:paraId="31F2F980" w14:textId="77777777" w:rsidR="00410AB2" w:rsidRDefault="00410AB2" w:rsidP="004D3912">
            <w:pPr>
              <w:spacing w:before="40" w:after="40"/>
              <w:jc w:val="center"/>
            </w:pPr>
            <w:r>
              <w:rPr>
                <w:rFonts w:ascii="Arial Narrow" w:hAnsi="Arial Narrow" w:cs="Calibri"/>
                <w:b/>
                <w:bCs/>
                <w:color w:val="000000"/>
                <w:sz w:val="20"/>
                <w:szCs w:val="20"/>
              </w:rPr>
              <w:t>$2,484,605</w:t>
            </w:r>
          </w:p>
        </w:tc>
        <w:tc>
          <w:tcPr>
            <w:tcW w:w="1119" w:type="dxa"/>
            <w:tcBorders>
              <w:top w:val="single" w:sz="8" w:space="0" w:color="auto"/>
              <w:left w:val="single" w:sz="8" w:space="0" w:color="auto"/>
              <w:bottom w:val="single" w:sz="8" w:space="0" w:color="auto"/>
              <w:right w:val="single" w:sz="8" w:space="0" w:color="auto"/>
            </w:tcBorders>
            <w:vAlign w:val="center"/>
          </w:tcPr>
          <w:p w14:paraId="515A6E5A" w14:textId="77777777" w:rsidR="00410AB2" w:rsidRDefault="00410AB2" w:rsidP="004D3912">
            <w:pPr>
              <w:spacing w:before="40" w:after="40"/>
              <w:jc w:val="center"/>
            </w:pPr>
            <w:r>
              <w:rPr>
                <w:rFonts w:ascii="Arial Narrow" w:hAnsi="Arial Narrow" w:cs="Calibri"/>
                <w:b/>
                <w:bCs/>
                <w:color w:val="000000"/>
                <w:sz w:val="20"/>
                <w:szCs w:val="20"/>
              </w:rPr>
              <w:t>$2,512,064</w:t>
            </w:r>
          </w:p>
        </w:tc>
      </w:tr>
    </w:tbl>
    <w:p w14:paraId="01954AE5" w14:textId="77777777" w:rsidR="00410AB2" w:rsidRDefault="00410AB2" w:rsidP="002D16A2">
      <w:pPr>
        <w:pStyle w:val="Tablenotes"/>
        <w:rPr>
          <w:rFonts w:eastAsia="Arial Narrow"/>
        </w:rPr>
      </w:pPr>
      <w:r w:rsidRPr="32573D7E">
        <w:rPr>
          <w:rFonts w:eastAsia="Arial Narrow"/>
        </w:rPr>
        <w:t xml:space="preserve">Source: Attachment 4_Financial estimates, worksheet ‘Results </w:t>
      </w:r>
      <w:proofErr w:type="spellStart"/>
      <w:r w:rsidRPr="32573D7E">
        <w:rPr>
          <w:rFonts w:eastAsia="Arial Narrow"/>
        </w:rPr>
        <w:t>Tables_DCAR</w:t>
      </w:r>
      <w:proofErr w:type="spellEnd"/>
      <w:r w:rsidRPr="32573D7E">
        <w:rPr>
          <w:rFonts w:eastAsia="Arial Narrow"/>
        </w:rPr>
        <w:t xml:space="preserve">’ </w:t>
      </w:r>
    </w:p>
    <w:p w14:paraId="6803D9A0" w14:textId="5E2E3ECD" w:rsidR="006252F9" w:rsidRDefault="006252F9" w:rsidP="002D16A2">
      <w:pPr>
        <w:pStyle w:val="Tablenotes"/>
      </w:pPr>
      <w:r>
        <w:t>Rows relating to MRD testing by qPCR are highlighted in pale grey.</w:t>
      </w:r>
    </w:p>
    <w:p w14:paraId="5766D56F" w14:textId="77777777" w:rsidR="00410AB2" w:rsidRDefault="00410AB2" w:rsidP="00EB5AD2">
      <w:pPr>
        <w:pStyle w:val="Tablenotes"/>
        <w:spacing w:after="240"/>
      </w:pPr>
      <w:r w:rsidRPr="66FD72B4">
        <w:rPr>
          <w:rFonts w:eastAsia="Arial Narrow"/>
        </w:rPr>
        <w:t xml:space="preserve">Abbreviations: ALL, acute lymphoblastic leukaemia; </w:t>
      </w:r>
      <w:r>
        <w:rPr>
          <w:rFonts w:eastAsia="Arial Narrow"/>
        </w:rPr>
        <w:t xml:space="preserve">ASO-qPCR, </w:t>
      </w:r>
      <w:r w:rsidRPr="000E384F">
        <w:rPr>
          <w:rFonts w:eastAsia="Arial Narrow"/>
        </w:rPr>
        <w:t>allele-specific oligonucleotide real time quantitative polymerase chain reaction</w:t>
      </w:r>
      <w:r>
        <w:rPr>
          <w:rFonts w:eastAsia="Arial Narrow"/>
        </w:rPr>
        <w:t>;</w:t>
      </w:r>
      <w:r w:rsidRPr="32573D7E">
        <w:rPr>
          <w:rFonts w:eastAsia="Arial Narrow"/>
        </w:rPr>
        <w:t xml:space="preserve"> BM, bone marrow morphology; MBS, Medicare Benefits Schedule; </w:t>
      </w:r>
      <w:proofErr w:type="spellStart"/>
      <w:r w:rsidRPr="32573D7E">
        <w:rPr>
          <w:rFonts w:eastAsia="Arial Narrow"/>
        </w:rPr>
        <w:t>mpFC</w:t>
      </w:r>
      <w:proofErr w:type="spellEnd"/>
      <w:r w:rsidRPr="32573D7E">
        <w:rPr>
          <w:rFonts w:eastAsia="Arial Narrow"/>
        </w:rPr>
        <w:t xml:space="preserve">, </w:t>
      </w:r>
      <w:r>
        <w:rPr>
          <w:rFonts w:eastAsia="Arial Narrow"/>
        </w:rPr>
        <w:t>multi-parametric flow cytometry</w:t>
      </w:r>
      <w:r w:rsidRPr="32573D7E">
        <w:rPr>
          <w:rFonts w:eastAsia="Arial Narrow"/>
        </w:rPr>
        <w:t xml:space="preserve"> flow cytometry; MRD, </w:t>
      </w:r>
      <w:r w:rsidRPr="002D4779">
        <w:rPr>
          <w:rFonts w:eastAsia="Arial Narrow"/>
        </w:rPr>
        <w:t xml:space="preserve">measurable </w:t>
      </w:r>
      <w:r w:rsidRPr="32573D7E">
        <w:rPr>
          <w:rFonts w:eastAsia="Arial Narrow"/>
        </w:rPr>
        <w:t xml:space="preserve">residual </w:t>
      </w:r>
      <w:r>
        <w:rPr>
          <w:rFonts w:eastAsia="Arial Narrow"/>
        </w:rPr>
        <w:t>disease; NGS, Next Generation Sequencing</w:t>
      </w:r>
    </w:p>
    <w:p w14:paraId="47F72E95" w14:textId="6E226082" w:rsidR="00410AB2" w:rsidRDefault="00410AB2" w:rsidP="00410AB2">
      <w:pPr>
        <w:spacing w:line="257" w:lineRule="auto"/>
        <w:rPr>
          <w:rFonts w:eastAsiaTheme="minorEastAsia"/>
        </w:rPr>
      </w:pPr>
      <w:r>
        <w:rPr>
          <w:rFonts w:eastAsiaTheme="minorEastAsia"/>
        </w:rPr>
        <w:t>T</w:t>
      </w:r>
      <w:r w:rsidRPr="08B0B86B">
        <w:rPr>
          <w:rFonts w:eastAsiaTheme="minorEastAsia"/>
        </w:rPr>
        <w:t xml:space="preserve">he 1703 Ratified PICO </w:t>
      </w:r>
      <w:r>
        <w:rPr>
          <w:rFonts w:eastAsiaTheme="minorEastAsia"/>
        </w:rPr>
        <w:t>include</w:t>
      </w:r>
      <w:r w:rsidR="0069056C">
        <w:rPr>
          <w:rFonts w:eastAsiaTheme="minorEastAsia"/>
        </w:rPr>
        <w:t>d</w:t>
      </w:r>
      <w:r>
        <w:rPr>
          <w:rFonts w:eastAsiaTheme="minorEastAsia"/>
        </w:rPr>
        <w:t xml:space="preserve"> a comment from the applicant that </w:t>
      </w:r>
      <w:r w:rsidRPr="08B0B86B">
        <w:rPr>
          <w:rFonts w:eastAsiaTheme="minorEastAsia"/>
        </w:rPr>
        <w:t xml:space="preserve">“although MRD testing is routinely used in paediatric ALL, its use is currently funded by hospitals and oncology departments, usually using donated funds, or by patients paying out-of-pocket”. As such, MRD </w:t>
      </w:r>
      <w:r w:rsidRPr="08B0B86B">
        <w:rPr>
          <w:rFonts w:eastAsiaTheme="minorEastAsia"/>
        </w:rPr>
        <w:lastRenderedPageBreak/>
        <w:t xml:space="preserve">testing is not paid for by the states/territories and therefore the implications of cost-shifting </w:t>
      </w:r>
      <w:r>
        <w:rPr>
          <w:rFonts w:eastAsiaTheme="minorEastAsia"/>
        </w:rPr>
        <w:t xml:space="preserve">to the MBS </w:t>
      </w:r>
      <w:r w:rsidRPr="08B0B86B">
        <w:rPr>
          <w:rFonts w:eastAsiaTheme="minorEastAsia"/>
        </w:rPr>
        <w:t>have not been assessed.</w:t>
      </w:r>
      <w:r>
        <w:rPr>
          <w:rFonts w:eastAsiaTheme="minorEastAsia"/>
        </w:rPr>
        <w:t xml:space="preserve"> </w:t>
      </w:r>
    </w:p>
    <w:p w14:paraId="382BD2C8" w14:textId="5DE3B34A" w:rsidR="00410AB2" w:rsidRDefault="00410AB2" w:rsidP="00D81DDC">
      <w:pPr>
        <w:pStyle w:val="pf0"/>
        <w:rPr>
          <w:rFonts w:eastAsiaTheme="minorEastAsia"/>
        </w:rPr>
      </w:pPr>
      <w:r w:rsidRPr="00694A71">
        <w:rPr>
          <w:rFonts w:ascii="Franklin Gothic Book" w:eastAsiaTheme="minorEastAsia" w:hAnsi="Franklin Gothic Book" w:cstheme="minorBidi"/>
          <w:sz w:val="22"/>
          <w:szCs w:val="22"/>
        </w:rPr>
        <w:t>I</w:t>
      </w:r>
      <w:r>
        <w:rPr>
          <w:rFonts w:ascii="Franklin Gothic Book" w:eastAsiaTheme="minorEastAsia" w:hAnsi="Franklin Gothic Book" w:cstheme="minorBidi"/>
          <w:sz w:val="22"/>
          <w:szCs w:val="22"/>
        </w:rPr>
        <w:t>t is noted that a</w:t>
      </w:r>
      <w:r w:rsidRPr="00A763DF">
        <w:rPr>
          <w:rFonts w:ascii="Franklin Gothic Book" w:eastAsiaTheme="minorEastAsia" w:hAnsi="Franklin Gothic Book" w:cstheme="minorBidi"/>
          <w:sz w:val="22"/>
          <w:szCs w:val="22"/>
        </w:rPr>
        <w:t>s MRD testing is currently being paid for out-of-pocket/by hospital budgets, there is not expected to be a change in utilisation of therapies and therefore the cost of blinatumomab, CAR-T, HSCT have not been included in the financial impact model. While it is not expected to increase utilisation, if MRD testing is listed on the MBS there is possibility of a change in treatment only due to greater awareness of the treatments in the tests and therefore this has been tested for blin</w:t>
      </w:r>
      <w:r>
        <w:rPr>
          <w:rFonts w:ascii="Franklin Gothic Book" w:eastAsiaTheme="minorEastAsia" w:hAnsi="Franklin Gothic Book" w:cstheme="minorBidi"/>
          <w:sz w:val="22"/>
          <w:szCs w:val="22"/>
        </w:rPr>
        <w:t>atumomab</w:t>
      </w:r>
      <w:r w:rsidRPr="00A763DF">
        <w:rPr>
          <w:rFonts w:ascii="Franklin Gothic Book" w:eastAsiaTheme="minorEastAsia" w:hAnsi="Franklin Gothic Book" w:cstheme="minorBidi"/>
          <w:sz w:val="22"/>
          <w:szCs w:val="22"/>
        </w:rPr>
        <w:t xml:space="preserve"> </w:t>
      </w:r>
      <w:r w:rsidR="006D4147">
        <w:rPr>
          <w:rFonts w:ascii="Franklin Gothic Book" w:eastAsiaTheme="minorEastAsia" w:hAnsi="Franklin Gothic Book" w:cstheme="minorBidi"/>
          <w:sz w:val="22"/>
          <w:szCs w:val="22"/>
        </w:rPr>
        <w:t xml:space="preserve">in </w:t>
      </w:r>
      <w:r w:rsidRPr="00A763DF">
        <w:rPr>
          <w:rFonts w:ascii="Franklin Gothic Book" w:eastAsiaTheme="minorEastAsia" w:hAnsi="Franklin Gothic Book" w:cstheme="minorBidi"/>
          <w:sz w:val="22"/>
          <w:szCs w:val="22"/>
        </w:rPr>
        <w:t>the scenario analysis.</w:t>
      </w:r>
    </w:p>
    <w:p w14:paraId="7256B078" w14:textId="4DEAD222" w:rsidR="00410AB2" w:rsidRDefault="00410AB2" w:rsidP="00410AB2">
      <w:pPr>
        <w:spacing w:line="257" w:lineRule="auto"/>
        <w:rPr>
          <w:rFonts w:eastAsiaTheme="minorEastAsia"/>
        </w:rPr>
      </w:pPr>
      <w:r>
        <w:rPr>
          <w:rFonts w:eastAsia="Franklin Gothic Book" w:cs="Franklin Gothic Book"/>
        </w:rPr>
        <w:t xml:space="preserve">Sensitivity, </w:t>
      </w:r>
      <w:proofErr w:type="gramStart"/>
      <w:r>
        <w:rPr>
          <w:rFonts w:eastAsia="Franklin Gothic Book" w:cs="Franklin Gothic Book"/>
        </w:rPr>
        <w:t>threshold</w:t>
      </w:r>
      <w:proofErr w:type="gramEnd"/>
      <w:r>
        <w:rPr>
          <w:rFonts w:eastAsia="Franklin Gothic Book" w:cs="Franklin Gothic Book"/>
        </w:rPr>
        <w:t xml:space="preserve"> and scenario analysis were conducted to quantify uncertainty around all p</w:t>
      </w:r>
      <w:r w:rsidRPr="2D221EBD">
        <w:rPr>
          <w:rFonts w:eastAsia="Franklin Gothic Book" w:cs="Franklin Gothic Book"/>
        </w:rPr>
        <w:t xml:space="preserve">arameters </w:t>
      </w:r>
      <w:r>
        <w:rPr>
          <w:rFonts w:eastAsia="Franklin Gothic Book" w:cs="Franklin Gothic Book"/>
        </w:rPr>
        <w:t>used in the financial model.</w:t>
      </w:r>
      <w:r w:rsidRPr="2D221EBD">
        <w:rPr>
          <w:rFonts w:eastAsia="Franklin Gothic Book" w:cs="Franklin Gothic Book"/>
        </w:rPr>
        <w:t xml:space="preserve"> </w:t>
      </w:r>
      <w:r>
        <w:rPr>
          <w:rFonts w:eastAsiaTheme="minorEastAsia"/>
        </w:rPr>
        <w:t xml:space="preserve">Firstly, all parameters were adjusted by ±10% in a sensitivity analysis to identify key drivers of the model in terms of impact on the change in the additional cost of listing MRD testing on the MBS over six years. In summary, the impact of parameters on the model were minimal at a 20% adjustment, where the maximum change in results </w:t>
      </w:r>
      <w:r w:rsidR="00885010">
        <w:rPr>
          <w:rFonts w:eastAsiaTheme="minorEastAsia"/>
        </w:rPr>
        <w:t xml:space="preserve">were </w:t>
      </w:r>
      <w:r>
        <w:rPr>
          <w:rFonts w:eastAsiaTheme="minorEastAsia"/>
        </w:rPr>
        <w:t>1</w:t>
      </w:r>
      <w:r w:rsidR="00C431AD">
        <w:rPr>
          <w:rFonts w:eastAsiaTheme="minorEastAsia"/>
        </w:rPr>
        <w:t>5</w:t>
      </w:r>
      <w:r>
        <w:rPr>
          <w:rFonts w:eastAsiaTheme="minorEastAsia"/>
        </w:rPr>
        <w:t>% across three parameters. The top three parameters were further assessed in a threshold analysis, with an additional analysis conducted for uptake rates given the uncertainty surrounding this parameter. The parameters tested in the threshold analysis include:</w:t>
      </w:r>
    </w:p>
    <w:p w14:paraId="02BCEEDF" w14:textId="77777777" w:rsidR="00410AB2" w:rsidRDefault="00410AB2" w:rsidP="009911BE">
      <w:pPr>
        <w:pStyle w:val="ListParagraph"/>
        <w:numPr>
          <w:ilvl w:val="0"/>
          <w:numId w:val="18"/>
        </w:numPr>
        <w:spacing w:line="257" w:lineRule="auto"/>
        <w:jc w:val="both"/>
        <w:rPr>
          <w:rFonts w:eastAsia="Franklin Gothic Book" w:cs="Franklin Gothic Book"/>
        </w:rPr>
      </w:pPr>
      <w:r>
        <w:rPr>
          <w:rFonts w:eastAsia="Franklin Gothic Book" w:cs="Franklin Gothic Book"/>
        </w:rPr>
        <w:t xml:space="preserve">Uptake rates for </w:t>
      </w:r>
      <w:proofErr w:type="spellStart"/>
      <w:r>
        <w:rPr>
          <w:rFonts w:eastAsia="Franklin Gothic Book" w:cs="Franklin Gothic Book"/>
        </w:rPr>
        <w:t>mpFC</w:t>
      </w:r>
      <w:proofErr w:type="spellEnd"/>
      <w:r>
        <w:rPr>
          <w:rFonts w:eastAsia="Franklin Gothic Book" w:cs="Franklin Gothic Book"/>
        </w:rPr>
        <w:t xml:space="preserve"> (including NGS and ASO-qPCR)</w:t>
      </w:r>
    </w:p>
    <w:p w14:paraId="25249D7B" w14:textId="77777777" w:rsidR="00410AB2" w:rsidRDefault="00410AB2" w:rsidP="009911BE">
      <w:pPr>
        <w:pStyle w:val="ListParagraph"/>
        <w:numPr>
          <w:ilvl w:val="0"/>
          <w:numId w:val="18"/>
        </w:numPr>
        <w:spacing w:line="257" w:lineRule="auto"/>
        <w:jc w:val="both"/>
        <w:rPr>
          <w:rFonts w:eastAsia="Franklin Gothic Book" w:cs="Franklin Gothic Book"/>
        </w:rPr>
      </w:pPr>
      <w:r w:rsidRPr="659D4186">
        <w:rPr>
          <w:rFonts w:eastAsia="Franklin Gothic Book" w:cs="Franklin Gothic Book"/>
        </w:rPr>
        <w:t>Proportion of paediatric</w:t>
      </w:r>
      <w:r>
        <w:rPr>
          <w:rFonts w:eastAsia="Franklin Gothic Book" w:cs="Franklin Gothic Book"/>
        </w:rPr>
        <w:t xml:space="preserve"> patient</w:t>
      </w:r>
      <w:r w:rsidRPr="659D4186">
        <w:rPr>
          <w:rFonts w:eastAsia="Franklin Gothic Book" w:cs="Franklin Gothic Book"/>
        </w:rPr>
        <w:t>s eligible for MRD testing</w:t>
      </w:r>
    </w:p>
    <w:p w14:paraId="08BA4192" w14:textId="77777777" w:rsidR="00410AB2" w:rsidRDefault="00410AB2" w:rsidP="009911BE">
      <w:pPr>
        <w:pStyle w:val="ListParagraph"/>
        <w:numPr>
          <w:ilvl w:val="0"/>
          <w:numId w:val="18"/>
        </w:numPr>
        <w:spacing w:line="257" w:lineRule="auto"/>
        <w:jc w:val="both"/>
        <w:rPr>
          <w:rFonts w:eastAsia="Franklin Gothic Book" w:cs="Franklin Gothic Book"/>
        </w:rPr>
      </w:pPr>
      <w:r w:rsidRPr="659D4186">
        <w:rPr>
          <w:rFonts w:eastAsia="Franklin Gothic Book" w:cs="Franklin Gothic Book"/>
        </w:rPr>
        <w:t>Proportion of adult</w:t>
      </w:r>
      <w:r>
        <w:rPr>
          <w:rFonts w:eastAsia="Franklin Gothic Book" w:cs="Franklin Gothic Book"/>
        </w:rPr>
        <w:t xml:space="preserve"> patient</w:t>
      </w:r>
      <w:r w:rsidRPr="659D4186">
        <w:rPr>
          <w:rFonts w:eastAsia="Franklin Gothic Book" w:cs="Franklin Gothic Book"/>
        </w:rPr>
        <w:t>s eligible for MRD testing</w:t>
      </w:r>
    </w:p>
    <w:p w14:paraId="6C7225E6" w14:textId="77777777" w:rsidR="00410AB2" w:rsidRPr="00694A71" w:rsidRDefault="00410AB2" w:rsidP="00410AB2">
      <w:pPr>
        <w:spacing w:line="257" w:lineRule="auto"/>
        <w:jc w:val="both"/>
        <w:rPr>
          <w:rFonts w:eastAsia="Franklin Gothic Book" w:cs="Franklin Gothic Book"/>
        </w:rPr>
      </w:pPr>
      <w:r>
        <w:rPr>
          <w:rFonts w:eastAsia="Franklin Gothic Book" w:cs="Franklin Gothic Book"/>
        </w:rPr>
        <w:t>The results of the threshold analysis were consistent with the sensitivity analysis, and demonstrate that the top three drivers of the financial model have a minimal impact on the model, with a maximum change of 15% to the results at a 20% threshold for uptake rates.</w:t>
      </w:r>
    </w:p>
    <w:p w14:paraId="7224DAAB" w14:textId="77777777" w:rsidR="00410AB2" w:rsidRPr="002D118D" w:rsidRDefault="00410AB2" w:rsidP="00410AB2">
      <w:r w:rsidRPr="002D118D">
        <w:t>Additionally, scenario analys</w:t>
      </w:r>
      <w:r>
        <w:t>e</w:t>
      </w:r>
      <w:r w:rsidRPr="002D118D">
        <w:t xml:space="preserve">s </w:t>
      </w:r>
      <w:r>
        <w:t>were</w:t>
      </w:r>
      <w:r w:rsidRPr="002D118D">
        <w:t xml:space="preserve"> conducted to test the following:</w:t>
      </w:r>
    </w:p>
    <w:p w14:paraId="0AE5C48A" w14:textId="77777777" w:rsidR="00410AB2" w:rsidRDefault="00410AB2" w:rsidP="009911BE">
      <w:pPr>
        <w:pStyle w:val="ListParagraph"/>
        <w:numPr>
          <w:ilvl w:val="0"/>
          <w:numId w:val="19"/>
        </w:numPr>
      </w:pPr>
      <w:r w:rsidRPr="002D118D">
        <w:t>RCPA reported relapse rates</w:t>
      </w:r>
    </w:p>
    <w:p w14:paraId="2BB1A3B2" w14:textId="77777777" w:rsidR="00410AB2" w:rsidRPr="002D118D" w:rsidRDefault="00410AB2" w:rsidP="009911BE">
      <w:pPr>
        <w:pStyle w:val="ListParagraph"/>
        <w:numPr>
          <w:ilvl w:val="0"/>
          <w:numId w:val="19"/>
        </w:numPr>
      </w:pPr>
      <w:r w:rsidRPr="002D118D">
        <w:t xml:space="preserve">Increase in demand for </w:t>
      </w:r>
      <w:r>
        <w:t>blin</w:t>
      </w:r>
      <w:r w:rsidRPr="002D118D">
        <w:t>atumomab</w:t>
      </w:r>
    </w:p>
    <w:p w14:paraId="58E1BB07" w14:textId="77777777" w:rsidR="00410AB2" w:rsidRDefault="00410AB2" w:rsidP="00410AB2">
      <w:r w:rsidRPr="002D118D">
        <w:t xml:space="preserve">The RCPA provided method-agnostic relapse rates for adult and paediatric populations in </w:t>
      </w:r>
      <w:r>
        <w:t xml:space="preserve">the </w:t>
      </w:r>
      <w:r w:rsidRPr="002D118D">
        <w:t>1703 Ratified PICO, including a 50% relapse rate for infants age</w:t>
      </w:r>
      <w:r>
        <w:t>d</w:t>
      </w:r>
      <w:r w:rsidRPr="002D118D">
        <w:t xml:space="preserve"> ≤12 months and adults (</w:t>
      </w:r>
      <w:r>
        <w:t xml:space="preserve">age </w:t>
      </w:r>
      <w:r w:rsidRPr="002D118D">
        <w:t xml:space="preserve">15 </w:t>
      </w:r>
      <w:r>
        <w:t>years</w:t>
      </w:r>
      <w:r w:rsidRPr="002D118D">
        <w:t xml:space="preserve"> and above), and a 10% rate in children aged 1-18 years old. As such these relapse rates have been independently tested to assess the difference </w:t>
      </w:r>
      <w:r>
        <w:t>in</w:t>
      </w:r>
      <w:r w:rsidRPr="002D118D">
        <w:t xml:space="preserve"> the additional cost of listing </w:t>
      </w:r>
      <w:proofErr w:type="spellStart"/>
      <w:r w:rsidRPr="002D118D">
        <w:t>mpFC</w:t>
      </w:r>
      <w:proofErr w:type="spellEnd"/>
      <w:r w:rsidRPr="002D118D">
        <w:t xml:space="preserve"> and </w:t>
      </w:r>
      <w:proofErr w:type="gramStart"/>
      <w:r w:rsidRPr="002D118D">
        <w:t>method-agnostic</w:t>
      </w:r>
      <w:proofErr w:type="gramEnd"/>
      <w:r w:rsidRPr="002D118D">
        <w:t xml:space="preserve"> MRD testing on the MBS. </w:t>
      </w:r>
      <w:r>
        <w:t xml:space="preserve">Overall, with a paediatric relapse rate of 10% and 50% the results of the financial analysis change by 0.4% and 10% respectively. Similarly, with an adult relapse rate of 50%, the results of the financial analysis change by approximately 10%. </w:t>
      </w:r>
    </w:p>
    <w:p w14:paraId="66D0F3CD" w14:textId="1BC0AD8F" w:rsidR="00410AB2" w:rsidRDefault="00410AB2" w:rsidP="00410AB2">
      <w:pPr>
        <w:rPr>
          <w:rFonts w:eastAsiaTheme="minorEastAsia"/>
        </w:rPr>
      </w:pPr>
      <w:r w:rsidRPr="00B303C1">
        <w:rPr>
          <w:rFonts w:eastAsiaTheme="minorEastAsia"/>
        </w:rPr>
        <w:t xml:space="preserve">Two </w:t>
      </w:r>
      <w:r>
        <w:rPr>
          <w:rFonts w:eastAsiaTheme="minorEastAsia"/>
        </w:rPr>
        <w:t>scenario</w:t>
      </w:r>
      <w:r w:rsidRPr="00B303C1">
        <w:rPr>
          <w:rFonts w:eastAsiaTheme="minorEastAsia"/>
        </w:rPr>
        <w:t xml:space="preserve"> analyses were c</w:t>
      </w:r>
      <w:r>
        <w:rPr>
          <w:rFonts w:eastAsiaTheme="minorEastAsia"/>
        </w:rPr>
        <w:t>onsidered</w:t>
      </w:r>
      <w:r w:rsidRPr="00B303C1">
        <w:rPr>
          <w:rFonts w:eastAsiaTheme="minorEastAsia"/>
        </w:rPr>
        <w:t xml:space="preserve"> to model the </w:t>
      </w:r>
      <w:r>
        <w:rPr>
          <w:rFonts w:eastAsiaTheme="minorEastAsia"/>
        </w:rPr>
        <w:t xml:space="preserve">financial </w:t>
      </w:r>
      <w:r w:rsidRPr="00B303C1">
        <w:rPr>
          <w:rFonts w:eastAsiaTheme="minorEastAsia"/>
        </w:rPr>
        <w:t xml:space="preserve">impact </w:t>
      </w:r>
      <w:r>
        <w:rPr>
          <w:rFonts w:eastAsiaTheme="minorEastAsia"/>
        </w:rPr>
        <w:t xml:space="preserve">to the MBS, </w:t>
      </w:r>
      <w:r w:rsidRPr="00B303C1">
        <w:rPr>
          <w:rFonts w:eastAsiaTheme="minorEastAsia"/>
        </w:rPr>
        <w:t xml:space="preserve">should the PBS restriction criteria be amended to reflect an analytical </w:t>
      </w:r>
      <w:r>
        <w:rPr>
          <w:rFonts w:eastAsiaTheme="minorEastAsia"/>
        </w:rPr>
        <w:t xml:space="preserve">detection </w:t>
      </w:r>
      <w:r w:rsidRPr="00B303C1">
        <w:rPr>
          <w:rFonts w:eastAsiaTheme="minorEastAsia"/>
        </w:rPr>
        <w:t>threshold of 10</w:t>
      </w:r>
      <w:r w:rsidRPr="00694A71">
        <w:rPr>
          <w:rFonts w:eastAsiaTheme="minorEastAsia"/>
          <w:vertAlign w:val="superscript"/>
        </w:rPr>
        <w:t>-6</w:t>
      </w:r>
      <w:r>
        <w:rPr>
          <w:rFonts w:eastAsiaTheme="minorEastAsia"/>
        </w:rPr>
        <w:t>: first to test the eligible population inclusive of standard risk, high risk and relapsed patients (total ALL population), and second to test the eligible population inclusive of high risk and relapsed patients to reflect the population eligible for blinatumomab in the clinical management algorithm (1703 Ratified PICO, Fig.4). Within each scenario, the impac</w:t>
      </w:r>
      <w:r w:rsidRPr="00B303C1">
        <w:rPr>
          <w:rFonts w:eastAsiaTheme="minorEastAsia"/>
        </w:rPr>
        <w:t xml:space="preserve">t of increased access to </w:t>
      </w:r>
      <w:r>
        <w:rPr>
          <w:rFonts w:eastAsiaTheme="minorEastAsia"/>
        </w:rPr>
        <w:t>b</w:t>
      </w:r>
      <w:r w:rsidRPr="00B303C1">
        <w:rPr>
          <w:rFonts w:eastAsiaTheme="minorEastAsia"/>
        </w:rPr>
        <w:t xml:space="preserve">linatumomab in 2% of the </w:t>
      </w:r>
      <w:r>
        <w:rPr>
          <w:rFonts w:eastAsiaTheme="minorEastAsia"/>
        </w:rPr>
        <w:t>eligible MRD</w:t>
      </w:r>
      <w:r w:rsidRPr="00B303C1">
        <w:rPr>
          <w:rFonts w:eastAsiaTheme="minorEastAsia"/>
        </w:rPr>
        <w:t xml:space="preserve"> population</w:t>
      </w:r>
      <w:r>
        <w:rPr>
          <w:rFonts w:eastAsiaTheme="minorEastAsia"/>
        </w:rPr>
        <w:t xml:space="preserve"> is assessed</w:t>
      </w:r>
      <w:r w:rsidRPr="00B303C1">
        <w:rPr>
          <w:rFonts w:eastAsiaTheme="minorEastAsia"/>
        </w:rPr>
        <w:t xml:space="preserve">. Both scenarios did not affect the </w:t>
      </w:r>
      <w:r>
        <w:rPr>
          <w:rFonts w:eastAsiaTheme="minorEastAsia"/>
        </w:rPr>
        <w:t xml:space="preserve">financial </w:t>
      </w:r>
      <w:r w:rsidRPr="00B303C1">
        <w:rPr>
          <w:rFonts w:eastAsiaTheme="minorEastAsia"/>
        </w:rPr>
        <w:t xml:space="preserve">impact to the MBS, as the rate of testing remained the same as was assumed in the base case. </w:t>
      </w:r>
    </w:p>
    <w:p w14:paraId="20F96CC2" w14:textId="7C2EE410" w:rsidR="00F02922" w:rsidRDefault="00F02922" w:rsidP="00F02922">
      <w:pPr>
        <w:rPr>
          <w:rFonts w:eastAsiaTheme="minorEastAsia"/>
        </w:rPr>
      </w:pPr>
      <w:r>
        <w:rPr>
          <w:rFonts w:eastAsiaTheme="minorEastAsia"/>
        </w:rPr>
        <w:t xml:space="preserve">In the first scenario, the increase in total cost of blinatumomab is equivalent to $112,240 over 6 years. This translates to a net total of $14,728,165 to the PBS government budget when </w:t>
      </w:r>
      <w:r w:rsidRPr="00B303C1">
        <w:rPr>
          <w:rFonts w:eastAsiaTheme="minorEastAsia"/>
        </w:rPr>
        <w:t xml:space="preserve">increasing patient access to blinatumomab </w:t>
      </w:r>
      <w:r w:rsidRPr="0078125C">
        <w:rPr>
          <w:rFonts w:eastAsiaTheme="minorEastAsia"/>
        </w:rPr>
        <w:t>over</w:t>
      </w:r>
      <w:r>
        <w:rPr>
          <w:rFonts w:eastAsiaTheme="minorEastAsia"/>
        </w:rPr>
        <w:t xml:space="preserve"> six years.</w:t>
      </w:r>
      <w:r w:rsidRPr="00F02922">
        <w:rPr>
          <w:rFonts w:eastAsiaTheme="minorEastAsia"/>
        </w:rPr>
        <w:t xml:space="preserve"> </w:t>
      </w:r>
      <w:r>
        <w:rPr>
          <w:rFonts w:eastAsiaTheme="minorEastAsia"/>
        </w:rPr>
        <w:t xml:space="preserve">In the second scenario, the increase total cost of blinatumomab is equivalent to $58,121 over 6 years. This translates to a net total of </w:t>
      </w:r>
      <w:r>
        <w:rPr>
          <w:rFonts w:eastAsiaTheme="minorEastAsia"/>
        </w:rPr>
        <w:lastRenderedPageBreak/>
        <w:t xml:space="preserve">$14,674,046 to the government budget when </w:t>
      </w:r>
      <w:r w:rsidRPr="00B303C1">
        <w:rPr>
          <w:rFonts w:eastAsiaTheme="minorEastAsia"/>
        </w:rPr>
        <w:t xml:space="preserve">increasing patient access to blinatumomab </w:t>
      </w:r>
      <w:r w:rsidRPr="0078125C">
        <w:rPr>
          <w:rFonts w:eastAsiaTheme="minorEastAsia"/>
        </w:rPr>
        <w:t>over</w:t>
      </w:r>
      <w:r>
        <w:rPr>
          <w:rFonts w:eastAsiaTheme="minorEastAsia"/>
        </w:rPr>
        <w:t xml:space="preserve"> six years.</w:t>
      </w:r>
    </w:p>
    <w:p w14:paraId="344E42A2" w14:textId="316D4740" w:rsidR="008C5A9B" w:rsidRDefault="008C5A9B" w:rsidP="008C5A9B">
      <w:pPr>
        <w:pStyle w:val="pf0"/>
        <w:rPr>
          <w:rFonts w:ascii="Franklin Gothic Book" w:eastAsiaTheme="minorEastAsia" w:hAnsi="Franklin Gothic Book" w:cstheme="minorBidi"/>
          <w:sz w:val="22"/>
          <w:szCs w:val="22"/>
        </w:rPr>
      </w:pPr>
      <w:r>
        <w:rPr>
          <w:rFonts w:ascii="Franklin Gothic Book" w:eastAsiaTheme="minorEastAsia" w:hAnsi="Franklin Gothic Book" w:cstheme="minorBidi"/>
          <w:sz w:val="22"/>
          <w:szCs w:val="22"/>
        </w:rPr>
        <w:t>Additionally, a scenario analysis was conducted to assess the cost of baseline testing for all MRD testing methods in the case where this testing is included for public funding. The costs of baseline testing are detailed below.</w:t>
      </w:r>
    </w:p>
    <w:p w14:paraId="6061B8CD" w14:textId="49769210" w:rsidR="00F02922" w:rsidRDefault="00F02922" w:rsidP="00D81DDC">
      <w:pPr>
        <w:pStyle w:val="Caption"/>
        <w:keepLines/>
      </w:pPr>
      <w:bookmarkStart w:id="63" w:name="_Toc121921227"/>
      <w:r>
        <w:t xml:space="preserve">Table </w:t>
      </w:r>
      <w:r>
        <w:fldChar w:fldCharType="begin"/>
      </w:r>
      <w:r>
        <w:instrText>SEQ Table \* ARABIC</w:instrText>
      </w:r>
      <w:r>
        <w:fldChar w:fldCharType="separate"/>
      </w:r>
      <w:r w:rsidR="00A922D7">
        <w:rPr>
          <w:noProof/>
        </w:rPr>
        <w:t>12</w:t>
      </w:r>
      <w:r>
        <w:fldChar w:fldCharType="end"/>
      </w:r>
      <w:r>
        <w:t xml:space="preserve"> </w:t>
      </w:r>
      <w:r w:rsidR="00F222F2">
        <w:tab/>
      </w:r>
      <w:r w:rsidR="00F222F2">
        <w:tab/>
      </w:r>
      <w:r>
        <w:t>Scenario analysis - Baseline testing costs for MRD testing methods</w:t>
      </w:r>
      <w:bookmarkEnd w:id="63"/>
    </w:p>
    <w:tbl>
      <w:tblPr>
        <w:tblStyle w:val="TableGrid"/>
        <w:tblW w:w="9021" w:type="dxa"/>
        <w:tblLook w:val="04A0" w:firstRow="1" w:lastRow="0" w:firstColumn="1" w:lastColumn="0" w:noHBand="0" w:noVBand="1"/>
      </w:tblPr>
      <w:tblGrid>
        <w:gridCol w:w="3581"/>
        <w:gridCol w:w="906"/>
        <w:gridCol w:w="907"/>
        <w:gridCol w:w="907"/>
        <w:gridCol w:w="906"/>
        <w:gridCol w:w="907"/>
        <w:gridCol w:w="907"/>
      </w:tblGrid>
      <w:tr w:rsidR="00897490" w14:paraId="541626C3" w14:textId="77777777" w:rsidTr="00897490">
        <w:trPr>
          <w:tblHeader/>
        </w:trPr>
        <w:tc>
          <w:tcPr>
            <w:tcW w:w="3581" w:type="dxa"/>
            <w:tcBorders>
              <w:bottom w:val="single" w:sz="4" w:space="0" w:color="auto"/>
            </w:tcBorders>
            <w:vAlign w:val="center"/>
          </w:tcPr>
          <w:p w14:paraId="395F0569" w14:textId="77777777" w:rsidR="008C5A9B" w:rsidRDefault="008C5A9B" w:rsidP="00D81DDC">
            <w:pPr>
              <w:pStyle w:val="pf0"/>
              <w:keepNext/>
              <w:keepLines/>
              <w:spacing w:before="40" w:beforeAutospacing="0" w:after="40" w:afterAutospacing="0"/>
              <w:rPr>
                <w:rFonts w:ascii="Franklin Gothic Book" w:eastAsiaTheme="minorEastAsia" w:hAnsi="Franklin Gothic Book" w:cstheme="minorBidi"/>
                <w:sz w:val="22"/>
                <w:szCs w:val="22"/>
                <w:lang w:eastAsia="en-US"/>
              </w:rPr>
            </w:pPr>
            <w:r w:rsidRPr="08B0B86B">
              <w:rPr>
                <w:rFonts w:ascii="Arial Narrow" w:eastAsia="Arial Narrow" w:hAnsi="Arial Narrow" w:cs="Arial Narrow"/>
                <w:b/>
                <w:bCs/>
                <w:color w:val="000000" w:themeColor="text1"/>
                <w:sz w:val="20"/>
                <w:szCs w:val="20"/>
              </w:rPr>
              <w:t>Parameter</w:t>
            </w:r>
          </w:p>
        </w:tc>
        <w:tc>
          <w:tcPr>
            <w:tcW w:w="906" w:type="dxa"/>
            <w:tcBorders>
              <w:bottom w:val="single" w:sz="4" w:space="0" w:color="auto"/>
            </w:tcBorders>
            <w:vAlign w:val="center"/>
          </w:tcPr>
          <w:p w14:paraId="0D5F6EB4" w14:textId="77777777" w:rsidR="008C5A9B" w:rsidRDefault="008C5A9B" w:rsidP="00D81DDC">
            <w:pPr>
              <w:pStyle w:val="pf0"/>
              <w:keepNext/>
              <w:keepLines/>
              <w:spacing w:before="40" w:beforeAutospacing="0" w:after="40" w:afterAutospacing="0"/>
              <w:rPr>
                <w:rFonts w:ascii="Franklin Gothic Book" w:eastAsiaTheme="minorEastAsia" w:hAnsi="Franklin Gothic Book" w:cstheme="minorBidi"/>
                <w:sz w:val="22"/>
                <w:szCs w:val="22"/>
                <w:lang w:eastAsia="en-US"/>
              </w:rPr>
            </w:pPr>
            <w:r w:rsidRPr="08B0B86B">
              <w:rPr>
                <w:rFonts w:ascii="Arial Narrow" w:eastAsia="Arial Narrow" w:hAnsi="Arial Narrow" w:cs="Arial Narrow"/>
                <w:b/>
                <w:bCs/>
                <w:color w:val="000000" w:themeColor="text1"/>
                <w:sz w:val="20"/>
                <w:szCs w:val="20"/>
              </w:rPr>
              <w:t>Year 1</w:t>
            </w:r>
          </w:p>
        </w:tc>
        <w:tc>
          <w:tcPr>
            <w:tcW w:w="907" w:type="dxa"/>
            <w:tcBorders>
              <w:bottom w:val="single" w:sz="4" w:space="0" w:color="auto"/>
            </w:tcBorders>
            <w:vAlign w:val="center"/>
          </w:tcPr>
          <w:p w14:paraId="2126B5E6" w14:textId="77777777" w:rsidR="008C5A9B" w:rsidRDefault="008C5A9B" w:rsidP="00D81DDC">
            <w:pPr>
              <w:pStyle w:val="pf0"/>
              <w:keepNext/>
              <w:keepLines/>
              <w:spacing w:before="40" w:beforeAutospacing="0" w:after="40" w:afterAutospacing="0"/>
              <w:rPr>
                <w:rFonts w:ascii="Franklin Gothic Book" w:eastAsiaTheme="minorEastAsia" w:hAnsi="Franklin Gothic Book" w:cstheme="minorBidi"/>
                <w:sz w:val="22"/>
                <w:szCs w:val="22"/>
                <w:lang w:eastAsia="en-US"/>
              </w:rPr>
            </w:pPr>
            <w:r w:rsidRPr="08B0B86B">
              <w:rPr>
                <w:rFonts w:ascii="Arial Narrow" w:eastAsia="Arial Narrow" w:hAnsi="Arial Narrow" w:cs="Arial Narrow"/>
                <w:b/>
                <w:bCs/>
                <w:color w:val="000000" w:themeColor="text1"/>
                <w:sz w:val="20"/>
                <w:szCs w:val="20"/>
              </w:rPr>
              <w:t>Year 2</w:t>
            </w:r>
          </w:p>
        </w:tc>
        <w:tc>
          <w:tcPr>
            <w:tcW w:w="907" w:type="dxa"/>
            <w:tcBorders>
              <w:bottom w:val="single" w:sz="4" w:space="0" w:color="auto"/>
            </w:tcBorders>
            <w:vAlign w:val="center"/>
          </w:tcPr>
          <w:p w14:paraId="651D0F78" w14:textId="77777777" w:rsidR="008C5A9B" w:rsidRDefault="008C5A9B" w:rsidP="00D81DDC">
            <w:pPr>
              <w:pStyle w:val="pf0"/>
              <w:keepNext/>
              <w:keepLines/>
              <w:spacing w:before="40" w:beforeAutospacing="0" w:after="40" w:afterAutospacing="0"/>
              <w:rPr>
                <w:rFonts w:ascii="Franklin Gothic Book" w:eastAsiaTheme="minorEastAsia" w:hAnsi="Franklin Gothic Book" w:cstheme="minorBidi"/>
                <w:sz w:val="22"/>
                <w:szCs w:val="22"/>
                <w:lang w:eastAsia="en-US"/>
              </w:rPr>
            </w:pPr>
            <w:r w:rsidRPr="08B0B86B">
              <w:rPr>
                <w:rFonts w:ascii="Arial Narrow" w:eastAsia="Arial Narrow" w:hAnsi="Arial Narrow" w:cs="Arial Narrow"/>
                <w:b/>
                <w:bCs/>
                <w:color w:val="000000" w:themeColor="text1"/>
                <w:sz w:val="20"/>
                <w:szCs w:val="20"/>
              </w:rPr>
              <w:t>Year 3</w:t>
            </w:r>
          </w:p>
        </w:tc>
        <w:tc>
          <w:tcPr>
            <w:tcW w:w="906" w:type="dxa"/>
            <w:tcBorders>
              <w:bottom w:val="single" w:sz="4" w:space="0" w:color="auto"/>
            </w:tcBorders>
            <w:vAlign w:val="center"/>
          </w:tcPr>
          <w:p w14:paraId="26E76369" w14:textId="77777777" w:rsidR="008C5A9B" w:rsidRDefault="008C5A9B" w:rsidP="00D81DDC">
            <w:pPr>
              <w:pStyle w:val="pf0"/>
              <w:keepNext/>
              <w:keepLines/>
              <w:spacing w:before="40" w:beforeAutospacing="0" w:after="40" w:afterAutospacing="0"/>
              <w:rPr>
                <w:rFonts w:ascii="Franklin Gothic Book" w:eastAsiaTheme="minorEastAsia" w:hAnsi="Franklin Gothic Book" w:cstheme="minorBidi"/>
                <w:sz w:val="22"/>
                <w:szCs w:val="22"/>
                <w:lang w:eastAsia="en-US"/>
              </w:rPr>
            </w:pPr>
            <w:r w:rsidRPr="08B0B86B">
              <w:rPr>
                <w:rFonts w:ascii="Arial Narrow" w:eastAsia="Arial Narrow" w:hAnsi="Arial Narrow" w:cs="Arial Narrow"/>
                <w:b/>
                <w:bCs/>
                <w:color w:val="000000" w:themeColor="text1"/>
                <w:sz w:val="20"/>
                <w:szCs w:val="20"/>
              </w:rPr>
              <w:t>Year 4</w:t>
            </w:r>
          </w:p>
        </w:tc>
        <w:tc>
          <w:tcPr>
            <w:tcW w:w="907" w:type="dxa"/>
            <w:tcBorders>
              <w:bottom w:val="single" w:sz="4" w:space="0" w:color="auto"/>
            </w:tcBorders>
            <w:vAlign w:val="center"/>
          </w:tcPr>
          <w:p w14:paraId="15DD6D71" w14:textId="77777777" w:rsidR="008C5A9B" w:rsidRDefault="008C5A9B" w:rsidP="00D81DDC">
            <w:pPr>
              <w:pStyle w:val="pf0"/>
              <w:keepNext/>
              <w:keepLines/>
              <w:spacing w:before="40" w:beforeAutospacing="0" w:after="40" w:afterAutospacing="0"/>
              <w:rPr>
                <w:rFonts w:ascii="Franklin Gothic Book" w:eastAsiaTheme="minorEastAsia" w:hAnsi="Franklin Gothic Book" w:cstheme="minorBidi"/>
                <w:sz w:val="22"/>
                <w:szCs w:val="22"/>
                <w:lang w:eastAsia="en-US"/>
              </w:rPr>
            </w:pPr>
            <w:r w:rsidRPr="08B0B86B">
              <w:rPr>
                <w:rFonts w:ascii="Arial Narrow" w:eastAsia="Arial Narrow" w:hAnsi="Arial Narrow" w:cs="Arial Narrow"/>
                <w:b/>
                <w:bCs/>
                <w:color w:val="000000" w:themeColor="text1"/>
                <w:sz w:val="20"/>
                <w:szCs w:val="20"/>
              </w:rPr>
              <w:t>Year 5</w:t>
            </w:r>
          </w:p>
        </w:tc>
        <w:tc>
          <w:tcPr>
            <w:tcW w:w="907" w:type="dxa"/>
            <w:tcBorders>
              <w:bottom w:val="single" w:sz="4" w:space="0" w:color="auto"/>
            </w:tcBorders>
            <w:vAlign w:val="center"/>
          </w:tcPr>
          <w:p w14:paraId="6ABC47AA" w14:textId="77777777" w:rsidR="008C5A9B" w:rsidRDefault="008C5A9B" w:rsidP="00D81DDC">
            <w:pPr>
              <w:pStyle w:val="pf0"/>
              <w:keepNext/>
              <w:keepLines/>
              <w:spacing w:before="40" w:beforeAutospacing="0" w:after="40" w:afterAutospacing="0"/>
              <w:rPr>
                <w:rFonts w:ascii="Franklin Gothic Book" w:eastAsiaTheme="minorEastAsia" w:hAnsi="Franklin Gothic Book" w:cstheme="minorBidi"/>
                <w:sz w:val="22"/>
                <w:szCs w:val="22"/>
                <w:lang w:eastAsia="en-US"/>
              </w:rPr>
            </w:pPr>
            <w:r w:rsidRPr="08B0B86B">
              <w:rPr>
                <w:rFonts w:ascii="Arial Narrow" w:eastAsia="Arial Narrow" w:hAnsi="Arial Narrow" w:cs="Arial Narrow"/>
                <w:b/>
                <w:bCs/>
                <w:color w:val="000000" w:themeColor="text1"/>
                <w:sz w:val="20"/>
                <w:szCs w:val="20"/>
              </w:rPr>
              <w:t>Year 6</w:t>
            </w:r>
          </w:p>
        </w:tc>
      </w:tr>
      <w:tr w:rsidR="00897490" w14:paraId="777E2392" w14:textId="77777777" w:rsidTr="00897490">
        <w:tc>
          <w:tcPr>
            <w:tcW w:w="3581" w:type="dxa"/>
            <w:tcBorders>
              <w:right w:val="nil"/>
            </w:tcBorders>
            <w:vAlign w:val="center"/>
          </w:tcPr>
          <w:p w14:paraId="70D9F728" w14:textId="77777777" w:rsidR="008C5A9B" w:rsidRDefault="008C5A9B" w:rsidP="00D81DDC">
            <w:pPr>
              <w:pStyle w:val="pf0"/>
              <w:keepNext/>
              <w:keepLines/>
              <w:spacing w:before="40" w:beforeAutospacing="0" w:after="40" w:afterAutospacing="0"/>
              <w:rPr>
                <w:rFonts w:ascii="Franklin Gothic Book" w:eastAsiaTheme="minorEastAsia" w:hAnsi="Franklin Gothic Book" w:cstheme="minorBidi"/>
                <w:sz w:val="22"/>
                <w:szCs w:val="22"/>
                <w:lang w:eastAsia="en-US"/>
              </w:rPr>
            </w:pPr>
            <w:r w:rsidRPr="08B0B86B">
              <w:rPr>
                <w:rFonts w:ascii="Arial Narrow" w:eastAsia="Arial Narrow" w:hAnsi="Arial Narrow" w:cs="Arial Narrow"/>
                <w:b/>
                <w:bCs/>
                <w:sz w:val="20"/>
                <w:szCs w:val="20"/>
              </w:rPr>
              <w:t xml:space="preserve">Paediatric </w:t>
            </w:r>
            <w:r>
              <w:rPr>
                <w:rFonts w:ascii="Arial Narrow" w:eastAsia="Arial Narrow" w:hAnsi="Arial Narrow" w:cs="Arial Narrow"/>
                <w:b/>
                <w:bCs/>
                <w:sz w:val="20"/>
                <w:szCs w:val="20"/>
              </w:rPr>
              <w:t>population</w:t>
            </w:r>
          </w:p>
        </w:tc>
        <w:tc>
          <w:tcPr>
            <w:tcW w:w="906" w:type="dxa"/>
            <w:tcBorders>
              <w:left w:val="nil"/>
              <w:right w:val="nil"/>
            </w:tcBorders>
          </w:tcPr>
          <w:p w14:paraId="74EB9E15" w14:textId="77777777" w:rsidR="008C5A9B" w:rsidRDefault="008C5A9B" w:rsidP="00D81DDC">
            <w:pPr>
              <w:pStyle w:val="pf0"/>
              <w:keepNext/>
              <w:keepLines/>
              <w:spacing w:before="40" w:beforeAutospacing="0" w:after="40" w:afterAutospacing="0"/>
              <w:rPr>
                <w:rFonts w:ascii="Franklin Gothic Book" w:eastAsiaTheme="minorEastAsia" w:hAnsi="Franklin Gothic Book" w:cstheme="minorBidi"/>
                <w:sz w:val="22"/>
                <w:szCs w:val="22"/>
                <w:lang w:eastAsia="en-US"/>
              </w:rPr>
            </w:pPr>
          </w:p>
        </w:tc>
        <w:tc>
          <w:tcPr>
            <w:tcW w:w="907" w:type="dxa"/>
            <w:tcBorders>
              <w:left w:val="nil"/>
              <w:right w:val="nil"/>
            </w:tcBorders>
          </w:tcPr>
          <w:p w14:paraId="0E1C82D8" w14:textId="77777777" w:rsidR="008C5A9B" w:rsidRDefault="008C5A9B" w:rsidP="00D81DDC">
            <w:pPr>
              <w:pStyle w:val="pf0"/>
              <w:keepNext/>
              <w:keepLines/>
              <w:spacing w:before="40" w:beforeAutospacing="0" w:after="40" w:afterAutospacing="0"/>
              <w:rPr>
                <w:rFonts w:ascii="Franklin Gothic Book" w:eastAsiaTheme="minorEastAsia" w:hAnsi="Franklin Gothic Book" w:cstheme="minorBidi"/>
                <w:sz w:val="22"/>
                <w:szCs w:val="22"/>
                <w:lang w:eastAsia="en-US"/>
              </w:rPr>
            </w:pPr>
          </w:p>
        </w:tc>
        <w:tc>
          <w:tcPr>
            <w:tcW w:w="907" w:type="dxa"/>
            <w:tcBorders>
              <w:left w:val="nil"/>
              <w:right w:val="nil"/>
            </w:tcBorders>
          </w:tcPr>
          <w:p w14:paraId="76D44BA4" w14:textId="77777777" w:rsidR="008C5A9B" w:rsidRDefault="008C5A9B" w:rsidP="00D81DDC">
            <w:pPr>
              <w:pStyle w:val="pf0"/>
              <w:keepNext/>
              <w:keepLines/>
              <w:spacing w:before="40" w:beforeAutospacing="0" w:after="40" w:afterAutospacing="0"/>
              <w:rPr>
                <w:rFonts w:ascii="Franklin Gothic Book" w:eastAsiaTheme="minorEastAsia" w:hAnsi="Franklin Gothic Book" w:cstheme="minorBidi"/>
                <w:sz w:val="22"/>
                <w:szCs w:val="22"/>
                <w:lang w:eastAsia="en-US"/>
              </w:rPr>
            </w:pPr>
          </w:p>
        </w:tc>
        <w:tc>
          <w:tcPr>
            <w:tcW w:w="906" w:type="dxa"/>
            <w:tcBorders>
              <w:left w:val="nil"/>
              <w:right w:val="nil"/>
            </w:tcBorders>
          </w:tcPr>
          <w:p w14:paraId="4966D51A" w14:textId="77777777" w:rsidR="008C5A9B" w:rsidRDefault="008C5A9B" w:rsidP="00D81DDC">
            <w:pPr>
              <w:pStyle w:val="pf0"/>
              <w:keepNext/>
              <w:keepLines/>
              <w:spacing w:before="40" w:beforeAutospacing="0" w:after="40" w:afterAutospacing="0"/>
              <w:rPr>
                <w:rFonts w:ascii="Franklin Gothic Book" w:eastAsiaTheme="minorEastAsia" w:hAnsi="Franklin Gothic Book" w:cstheme="minorBidi"/>
                <w:sz w:val="22"/>
                <w:szCs w:val="22"/>
                <w:lang w:eastAsia="en-US"/>
              </w:rPr>
            </w:pPr>
          </w:p>
        </w:tc>
        <w:tc>
          <w:tcPr>
            <w:tcW w:w="907" w:type="dxa"/>
            <w:tcBorders>
              <w:left w:val="nil"/>
              <w:right w:val="nil"/>
            </w:tcBorders>
          </w:tcPr>
          <w:p w14:paraId="090A3079" w14:textId="77777777" w:rsidR="008C5A9B" w:rsidRDefault="008C5A9B" w:rsidP="00D81DDC">
            <w:pPr>
              <w:pStyle w:val="pf0"/>
              <w:keepNext/>
              <w:keepLines/>
              <w:spacing w:before="40" w:beforeAutospacing="0" w:after="40" w:afterAutospacing="0"/>
              <w:rPr>
                <w:rFonts w:ascii="Franklin Gothic Book" w:eastAsiaTheme="minorEastAsia" w:hAnsi="Franklin Gothic Book" w:cstheme="minorBidi"/>
                <w:sz w:val="22"/>
                <w:szCs w:val="22"/>
                <w:lang w:eastAsia="en-US"/>
              </w:rPr>
            </w:pPr>
          </w:p>
        </w:tc>
        <w:tc>
          <w:tcPr>
            <w:tcW w:w="907" w:type="dxa"/>
            <w:tcBorders>
              <w:left w:val="nil"/>
            </w:tcBorders>
          </w:tcPr>
          <w:p w14:paraId="66F24641" w14:textId="77777777" w:rsidR="008C5A9B" w:rsidRDefault="008C5A9B" w:rsidP="00D81DDC">
            <w:pPr>
              <w:pStyle w:val="pf0"/>
              <w:keepNext/>
              <w:keepLines/>
              <w:spacing w:before="40" w:beforeAutospacing="0" w:after="40" w:afterAutospacing="0"/>
              <w:rPr>
                <w:rFonts w:ascii="Franklin Gothic Book" w:eastAsiaTheme="minorEastAsia" w:hAnsi="Franklin Gothic Book" w:cstheme="minorBidi"/>
                <w:sz w:val="22"/>
                <w:szCs w:val="22"/>
                <w:lang w:eastAsia="en-US"/>
              </w:rPr>
            </w:pPr>
          </w:p>
        </w:tc>
      </w:tr>
      <w:tr w:rsidR="00897490" w14:paraId="1C1AED1B" w14:textId="77777777" w:rsidTr="00897490">
        <w:tc>
          <w:tcPr>
            <w:tcW w:w="3581" w:type="dxa"/>
            <w:vAlign w:val="center"/>
          </w:tcPr>
          <w:p w14:paraId="3D2790D3" w14:textId="0E36CD0B" w:rsidR="008C5A9B" w:rsidRDefault="00C823FD" w:rsidP="00D81DDC">
            <w:pPr>
              <w:pStyle w:val="pf0"/>
              <w:keepNext/>
              <w:keepLines/>
              <w:spacing w:before="40" w:beforeAutospacing="0" w:after="40" w:afterAutospacing="0"/>
              <w:rPr>
                <w:rFonts w:ascii="Franklin Gothic Book" w:eastAsiaTheme="minorEastAsia" w:hAnsi="Franklin Gothic Book" w:cstheme="minorBidi"/>
                <w:sz w:val="22"/>
                <w:szCs w:val="22"/>
                <w:lang w:eastAsia="en-US"/>
              </w:rPr>
            </w:pPr>
            <w:proofErr w:type="spellStart"/>
            <w:r>
              <w:rPr>
                <w:rFonts w:ascii="Arial Narrow" w:eastAsia="Arial Narrow" w:hAnsi="Arial Narrow" w:cs="Arial Narrow"/>
                <w:color w:val="000000" w:themeColor="text1"/>
                <w:sz w:val="20"/>
                <w:szCs w:val="20"/>
              </w:rPr>
              <w:t>m</w:t>
            </w:r>
            <w:r w:rsidR="008C5A9B">
              <w:rPr>
                <w:rFonts w:ascii="Arial Narrow" w:eastAsia="Arial Narrow" w:hAnsi="Arial Narrow" w:cs="Arial Narrow"/>
                <w:color w:val="000000" w:themeColor="text1"/>
                <w:sz w:val="20"/>
                <w:szCs w:val="20"/>
              </w:rPr>
              <w:t>pFC</w:t>
            </w:r>
            <w:proofErr w:type="spellEnd"/>
            <w:r w:rsidR="008C5A9B">
              <w:rPr>
                <w:rFonts w:ascii="Arial Narrow" w:eastAsia="Arial Narrow" w:hAnsi="Arial Narrow" w:cs="Arial Narrow"/>
                <w:color w:val="000000" w:themeColor="text1"/>
                <w:sz w:val="20"/>
                <w:szCs w:val="20"/>
              </w:rPr>
              <w:t xml:space="preserve"> baseline testing cost (AAAA)</w:t>
            </w:r>
          </w:p>
        </w:tc>
        <w:tc>
          <w:tcPr>
            <w:tcW w:w="906" w:type="dxa"/>
            <w:vAlign w:val="center"/>
          </w:tcPr>
          <w:p w14:paraId="31EBC100" w14:textId="77777777" w:rsidR="008C5A9B" w:rsidRPr="00A763DF" w:rsidRDefault="008C5A9B" w:rsidP="00D81DDC">
            <w:pPr>
              <w:keepNext/>
              <w:keepLines/>
              <w:spacing w:before="40" w:after="40"/>
              <w:jc w:val="center"/>
              <w:rPr>
                <w:rFonts w:ascii="Arial Narrow" w:hAnsi="Arial Narrow" w:cs="Calibri"/>
                <w:color w:val="000000"/>
                <w:sz w:val="20"/>
                <w:szCs w:val="20"/>
              </w:rPr>
            </w:pPr>
            <w:r w:rsidRPr="00A763DF">
              <w:rPr>
                <w:rFonts w:ascii="Arial Narrow" w:hAnsi="Arial Narrow" w:cs="Calibri"/>
                <w:color w:val="000000"/>
                <w:sz w:val="20"/>
                <w:szCs w:val="20"/>
              </w:rPr>
              <w:t>$22,441</w:t>
            </w:r>
          </w:p>
        </w:tc>
        <w:tc>
          <w:tcPr>
            <w:tcW w:w="907" w:type="dxa"/>
            <w:vAlign w:val="center"/>
          </w:tcPr>
          <w:p w14:paraId="3C57E861" w14:textId="77777777" w:rsidR="008C5A9B" w:rsidRPr="00A763DF" w:rsidRDefault="008C5A9B" w:rsidP="00D81DDC">
            <w:pPr>
              <w:keepNext/>
              <w:keepLines/>
              <w:spacing w:before="40" w:after="40"/>
              <w:jc w:val="center"/>
              <w:rPr>
                <w:rFonts w:ascii="Arial Narrow" w:hAnsi="Arial Narrow" w:cs="Calibri"/>
                <w:color w:val="000000"/>
                <w:sz w:val="20"/>
                <w:szCs w:val="20"/>
              </w:rPr>
            </w:pPr>
            <w:r w:rsidRPr="00A763DF">
              <w:rPr>
                <w:rFonts w:ascii="Arial Narrow" w:hAnsi="Arial Narrow" w:cs="Calibri"/>
                <w:color w:val="000000"/>
                <w:sz w:val="20"/>
                <w:szCs w:val="20"/>
              </w:rPr>
              <w:t>$22,817</w:t>
            </w:r>
          </w:p>
        </w:tc>
        <w:tc>
          <w:tcPr>
            <w:tcW w:w="907" w:type="dxa"/>
            <w:vAlign w:val="center"/>
          </w:tcPr>
          <w:p w14:paraId="137AA0BE" w14:textId="77777777" w:rsidR="008C5A9B" w:rsidRPr="00A763DF" w:rsidRDefault="008C5A9B" w:rsidP="00D81DDC">
            <w:pPr>
              <w:keepNext/>
              <w:keepLines/>
              <w:spacing w:before="40" w:after="40"/>
              <w:jc w:val="center"/>
              <w:rPr>
                <w:rFonts w:ascii="Arial Narrow" w:hAnsi="Arial Narrow" w:cs="Calibri"/>
                <w:color w:val="000000"/>
                <w:sz w:val="20"/>
                <w:szCs w:val="20"/>
              </w:rPr>
            </w:pPr>
            <w:r w:rsidRPr="00A763DF">
              <w:rPr>
                <w:rFonts w:ascii="Arial Narrow" w:hAnsi="Arial Narrow" w:cs="Calibri"/>
                <w:color w:val="000000"/>
                <w:sz w:val="20"/>
                <w:szCs w:val="20"/>
              </w:rPr>
              <w:t>$23,199</w:t>
            </w:r>
          </w:p>
        </w:tc>
        <w:tc>
          <w:tcPr>
            <w:tcW w:w="906" w:type="dxa"/>
            <w:vAlign w:val="center"/>
          </w:tcPr>
          <w:p w14:paraId="627541C8" w14:textId="77777777" w:rsidR="008C5A9B" w:rsidRPr="00A763DF" w:rsidRDefault="008C5A9B" w:rsidP="00D81DDC">
            <w:pPr>
              <w:keepNext/>
              <w:keepLines/>
              <w:spacing w:before="40" w:after="40"/>
              <w:jc w:val="center"/>
              <w:rPr>
                <w:rFonts w:ascii="Arial Narrow" w:hAnsi="Arial Narrow" w:cs="Calibri"/>
                <w:color w:val="000000"/>
                <w:sz w:val="20"/>
                <w:szCs w:val="20"/>
              </w:rPr>
            </w:pPr>
            <w:r w:rsidRPr="00A763DF">
              <w:rPr>
                <w:rFonts w:ascii="Arial Narrow" w:hAnsi="Arial Narrow" w:cs="Calibri"/>
                <w:color w:val="000000"/>
                <w:sz w:val="20"/>
                <w:szCs w:val="20"/>
              </w:rPr>
              <w:t>$23,587</w:t>
            </w:r>
          </w:p>
        </w:tc>
        <w:tc>
          <w:tcPr>
            <w:tcW w:w="907" w:type="dxa"/>
            <w:vAlign w:val="center"/>
          </w:tcPr>
          <w:p w14:paraId="47698EAA" w14:textId="77777777" w:rsidR="008C5A9B" w:rsidRPr="00A763DF" w:rsidRDefault="008C5A9B" w:rsidP="00D81DDC">
            <w:pPr>
              <w:keepNext/>
              <w:keepLines/>
              <w:spacing w:before="40" w:after="40"/>
              <w:jc w:val="center"/>
              <w:rPr>
                <w:rFonts w:ascii="Arial Narrow" w:hAnsi="Arial Narrow" w:cs="Calibri"/>
                <w:color w:val="000000"/>
                <w:sz w:val="20"/>
                <w:szCs w:val="20"/>
              </w:rPr>
            </w:pPr>
            <w:r w:rsidRPr="00A763DF">
              <w:rPr>
                <w:rFonts w:ascii="Arial Narrow" w:hAnsi="Arial Narrow" w:cs="Calibri"/>
                <w:color w:val="000000"/>
                <w:sz w:val="20"/>
                <w:szCs w:val="20"/>
              </w:rPr>
              <w:t>$23,982</w:t>
            </w:r>
          </w:p>
        </w:tc>
        <w:tc>
          <w:tcPr>
            <w:tcW w:w="907" w:type="dxa"/>
            <w:vAlign w:val="center"/>
          </w:tcPr>
          <w:p w14:paraId="3792F703" w14:textId="77777777" w:rsidR="008C5A9B" w:rsidRPr="00A763DF" w:rsidRDefault="008C5A9B" w:rsidP="00D81DDC">
            <w:pPr>
              <w:keepNext/>
              <w:keepLines/>
              <w:spacing w:before="40" w:after="40"/>
              <w:jc w:val="center"/>
              <w:rPr>
                <w:rFonts w:ascii="Arial Narrow" w:hAnsi="Arial Narrow" w:cs="Calibri"/>
                <w:color w:val="000000"/>
                <w:sz w:val="20"/>
                <w:szCs w:val="20"/>
              </w:rPr>
            </w:pPr>
            <w:r w:rsidRPr="00A763DF">
              <w:rPr>
                <w:rFonts w:ascii="Arial Narrow" w:hAnsi="Arial Narrow" w:cs="Calibri"/>
                <w:color w:val="000000"/>
                <w:sz w:val="20"/>
                <w:szCs w:val="20"/>
              </w:rPr>
              <w:t>$24,383</w:t>
            </w:r>
          </w:p>
        </w:tc>
      </w:tr>
      <w:tr w:rsidR="00897490" w14:paraId="6B90357B" w14:textId="77777777" w:rsidTr="00D81DDC">
        <w:tc>
          <w:tcPr>
            <w:tcW w:w="3581" w:type="dxa"/>
            <w:vAlign w:val="center"/>
          </w:tcPr>
          <w:p w14:paraId="5006F56E" w14:textId="77777777" w:rsidR="006A45D1" w:rsidRDefault="006A45D1" w:rsidP="00D81DDC">
            <w:pPr>
              <w:pStyle w:val="pf0"/>
              <w:keepNext/>
              <w:keepLines/>
              <w:spacing w:before="40" w:beforeAutospacing="0" w:after="40" w:afterAutospacing="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NGS baseline testing cost (BBBB)</w:t>
            </w:r>
          </w:p>
        </w:tc>
        <w:tc>
          <w:tcPr>
            <w:tcW w:w="906" w:type="dxa"/>
            <w:vAlign w:val="center"/>
          </w:tcPr>
          <w:p w14:paraId="360267E2" w14:textId="0DAE989F" w:rsidR="006A45D1" w:rsidRPr="00A763DF" w:rsidRDefault="006A45D1" w:rsidP="00D81DDC">
            <w:pPr>
              <w:keepNext/>
              <w:keepLines/>
              <w:spacing w:before="40" w:after="40"/>
              <w:jc w:val="center"/>
              <w:rPr>
                <w:rFonts w:ascii="Arial Narrow" w:hAnsi="Arial Narrow" w:cs="Calibri"/>
                <w:color w:val="000000"/>
                <w:sz w:val="20"/>
                <w:szCs w:val="20"/>
              </w:rPr>
            </w:pPr>
            <w:r w:rsidRPr="00D81DDC">
              <w:rPr>
                <w:rFonts w:ascii="Arial Narrow" w:hAnsi="Arial Narrow" w:cs="Calibri"/>
                <w:color w:val="000000"/>
                <w:sz w:val="20"/>
                <w:szCs w:val="20"/>
              </w:rPr>
              <w:t>$113,822</w:t>
            </w:r>
          </w:p>
        </w:tc>
        <w:tc>
          <w:tcPr>
            <w:tcW w:w="907" w:type="dxa"/>
            <w:vAlign w:val="center"/>
          </w:tcPr>
          <w:p w14:paraId="15582AA9" w14:textId="6EA704DB" w:rsidR="006A45D1" w:rsidRPr="00A763DF" w:rsidRDefault="006A45D1" w:rsidP="00D81DDC">
            <w:pPr>
              <w:keepNext/>
              <w:keepLines/>
              <w:spacing w:before="40" w:after="40"/>
              <w:jc w:val="center"/>
              <w:rPr>
                <w:rFonts w:ascii="Arial Narrow" w:hAnsi="Arial Narrow" w:cs="Calibri"/>
                <w:color w:val="000000"/>
                <w:sz w:val="20"/>
                <w:szCs w:val="20"/>
              </w:rPr>
            </w:pPr>
            <w:r w:rsidRPr="00D81DDC">
              <w:rPr>
                <w:rFonts w:ascii="Arial Narrow" w:hAnsi="Arial Narrow" w:cs="Calibri"/>
                <w:color w:val="000000"/>
                <w:sz w:val="20"/>
                <w:szCs w:val="20"/>
              </w:rPr>
              <w:t>$115,727</w:t>
            </w:r>
          </w:p>
        </w:tc>
        <w:tc>
          <w:tcPr>
            <w:tcW w:w="907" w:type="dxa"/>
            <w:vAlign w:val="center"/>
          </w:tcPr>
          <w:p w14:paraId="72695BE6" w14:textId="72CE5CE1" w:rsidR="006A45D1" w:rsidRPr="00A763DF" w:rsidRDefault="006A45D1" w:rsidP="00D81DDC">
            <w:pPr>
              <w:keepNext/>
              <w:keepLines/>
              <w:spacing w:before="40" w:after="40"/>
              <w:jc w:val="center"/>
              <w:rPr>
                <w:rFonts w:ascii="Arial Narrow" w:hAnsi="Arial Narrow" w:cs="Calibri"/>
                <w:color w:val="000000"/>
                <w:sz w:val="20"/>
                <w:szCs w:val="20"/>
              </w:rPr>
            </w:pPr>
            <w:r w:rsidRPr="00D81DDC">
              <w:rPr>
                <w:rFonts w:ascii="Arial Narrow" w:hAnsi="Arial Narrow" w:cs="Calibri"/>
                <w:color w:val="000000"/>
                <w:sz w:val="20"/>
                <w:szCs w:val="20"/>
              </w:rPr>
              <w:t>$117,664</w:t>
            </w:r>
          </w:p>
        </w:tc>
        <w:tc>
          <w:tcPr>
            <w:tcW w:w="906" w:type="dxa"/>
            <w:vAlign w:val="center"/>
          </w:tcPr>
          <w:p w14:paraId="4EF783D6" w14:textId="07ED3847" w:rsidR="006A45D1" w:rsidRPr="00A763DF" w:rsidRDefault="006A45D1" w:rsidP="00D81DDC">
            <w:pPr>
              <w:keepNext/>
              <w:keepLines/>
              <w:spacing w:before="40" w:after="40"/>
              <w:jc w:val="center"/>
              <w:rPr>
                <w:rFonts w:ascii="Arial Narrow" w:hAnsi="Arial Narrow" w:cs="Calibri"/>
                <w:color w:val="000000"/>
                <w:sz w:val="20"/>
                <w:szCs w:val="20"/>
              </w:rPr>
            </w:pPr>
            <w:r w:rsidRPr="00D81DDC">
              <w:rPr>
                <w:rFonts w:ascii="Arial Narrow" w:hAnsi="Arial Narrow" w:cs="Calibri"/>
                <w:color w:val="000000"/>
                <w:sz w:val="20"/>
                <w:szCs w:val="20"/>
              </w:rPr>
              <w:t>$119,633</w:t>
            </w:r>
          </w:p>
        </w:tc>
        <w:tc>
          <w:tcPr>
            <w:tcW w:w="907" w:type="dxa"/>
            <w:vAlign w:val="center"/>
          </w:tcPr>
          <w:p w14:paraId="08897732" w14:textId="0A90D8B6" w:rsidR="006A45D1" w:rsidRPr="00A763DF" w:rsidRDefault="006A45D1" w:rsidP="00D81DDC">
            <w:pPr>
              <w:keepNext/>
              <w:keepLines/>
              <w:spacing w:before="40" w:after="40"/>
              <w:jc w:val="center"/>
              <w:rPr>
                <w:rFonts w:ascii="Arial Narrow" w:hAnsi="Arial Narrow" w:cs="Calibri"/>
                <w:color w:val="000000"/>
                <w:sz w:val="20"/>
                <w:szCs w:val="20"/>
              </w:rPr>
            </w:pPr>
            <w:r w:rsidRPr="00D81DDC">
              <w:rPr>
                <w:rFonts w:ascii="Arial Narrow" w:hAnsi="Arial Narrow" w:cs="Calibri"/>
                <w:color w:val="000000"/>
                <w:sz w:val="20"/>
                <w:szCs w:val="20"/>
              </w:rPr>
              <w:t>$121,635</w:t>
            </w:r>
          </w:p>
        </w:tc>
        <w:tc>
          <w:tcPr>
            <w:tcW w:w="907" w:type="dxa"/>
            <w:vAlign w:val="center"/>
          </w:tcPr>
          <w:p w14:paraId="1CAE7376" w14:textId="4B1B6287" w:rsidR="006A45D1" w:rsidRPr="00A763DF" w:rsidRDefault="006A45D1" w:rsidP="00D81DDC">
            <w:pPr>
              <w:keepNext/>
              <w:keepLines/>
              <w:spacing w:before="40" w:after="40"/>
              <w:jc w:val="center"/>
              <w:rPr>
                <w:rFonts w:ascii="Arial Narrow" w:hAnsi="Arial Narrow" w:cs="Calibri"/>
                <w:color w:val="000000"/>
                <w:sz w:val="20"/>
                <w:szCs w:val="20"/>
              </w:rPr>
            </w:pPr>
            <w:r w:rsidRPr="00D81DDC">
              <w:rPr>
                <w:rFonts w:ascii="Arial Narrow" w:hAnsi="Arial Narrow" w:cs="Calibri"/>
                <w:color w:val="000000"/>
                <w:sz w:val="20"/>
                <w:szCs w:val="20"/>
              </w:rPr>
              <w:t>$123,671</w:t>
            </w:r>
          </w:p>
        </w:tc>
      </w:tr>
      <w:tr w:rsidR="00897490" w14:paraId="28F87005" w14:textId="77777777" w:rsidTr="00897490">
        <w:tc>
          <w:tcPr>
            <w:tcW w:w="3581" w:type="dxa"/>
            <w:tcBorders>
              <w:bottom w:val="single" w:sz="4" w:space="0" w:color="auto"/>
            </w:tcBorders>
            <w:vAlign w:val="center"/>
          </w:tcPr>
          <w:p w14:paraId="166091B1" w14:textId="37DD5E80" w:rsidR="008C5A9B" w:rsidRDefault="008C5A9B" w:rsidP="00D81DDC">
            <w:pPr>
              <w:pStyle w:val="pf0"/>
              <w:keepNext/>
              <w:keepLines/>
              <w:spacing w:before="40" w:beforeAutospacing="0" w:after="40" w:afterAutospacing="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ASO</w:t>
            </w:r>
            <w:r w:rsidR="0069056C">
              <w:rPr>
                <w:rFonts w:ascii="Arial Narrow" w:eastAsia="Arial Narrow" w:hAnsi="Arial Narrow" w:cs="Arial Narrow"/>
                <w:color w:val="000000" w:themeColor="text1"/>
                <w:sz w:val="20"/>
                <w:szCs w:val="20"/>
              </w:rPr>
              <w:t>-</w:t>
            </w:r>
            <w:r>
              <w:rPr>
                <w:rFonts w:ascii="Arial Narrow" w:eastAsia="Arial Narrow" w:hAnsi="Arial Narrow" w:cs="Arial Narrow"/>
                <w:color w:val="000000" w:themeColor="text1"/>
                <w:sz w:val="20"/>
                <w:szCs w:val="20"/>
              </w:rPr>
              <w:t>qPCR baseline testing cost (CCCC)</w:t>
            </w:r>
          </w:p>
        </w:tc>
        <w:tc>
          <w:tcPr>
            <w:tcW w:w="906" w:type="dxa"/>
            <w:tcBorders>
              <w:bottom w:val="single" w:sz="4" w:space="0" w:color="auto"/>
            </w:tcBorders>
            <w:vAlign w:val="center"/>
          </w:tcPr>
          <w:p w14:paraId="11C1FD42" w14:textId="77777777" w:rsidR="008C5A9B" w:rsidRPr="00A763DF" w:rsidRDefault="008C5A9B" w:rsidP="00D81DDC">
            <w:pPr>
              <w:keepNext/>
              <w:keepLines/>
              <w:spacing w:before="40" w:after="40"/>
              <w:jc w:val="center"/>
              <w:rPr>
                <w:rFonts w:ascii="Arial Narrow" w:hAnsi="Arial Narrow" w:cs="Calibri"/>
                <w:color w:val="000000"/>
                <w:sz w:val="20"/>
                <w:szCs w:val="20"/>
              </w:rPr>
            </w:pPr>
            <w:r w:rsidRPr="00A763DF">
              <w:rPr>
                <w:rFonts w:ascii="Arial Narrow" w:hAnsi="Arial Narrow" w:cs="Calibri"/>
                <w:color w:val="000000"/>
                <w:sz w:val="20"/>
                <w:szCs w:val="20"/>
              </w:rPr>
              <w:t>$227,113</w:t>
            </w:r>
          </w:p>
        </w:tc>
        <w:tc>
          <w:tcPr>
            <w:tcW w:w="907" w:type="dxa"/>
            <w:tcBorders>
              <w:bottom w:val="single" w:sz="4" w:space="0" w:color="auto"/>
            </w:tcBorders>
            <w:vAlign w:val="center"/>
          </w:tcPr>
          <w:p w14:paraId="5A1D8B2A" w14:textId="77777777" w:rsidR="008C5A9B" w:rsidRPr="00A763DF" w:rsidRDefault="008C5A9B" w:rsidP="00D81DDC">
            <w:pPr>
              <w:keepNext/>
              <w:keepLines/>
              <w:spacing w:before="40" w:after="40"/>
              <w:jc w:val="center"/>
              <w:rPr>
                <w:rFonts w:ascii="Arial Narrow" w:hAnsi="Arial Narrow" w:cs="Calibri"/>
                <w:color w:val="000000"/>
                <w:sz w:val="20"/>
                <w:szCs w:val="20"/>
              </w:rPr>
            </w:pPr>
            <w:r w:rsidRPr="00A763DF">
              <w:rPr>
                <w:rFonts w:ascii="Arial Narrow" w:hAnsi="Arial Narrow" w:cs="Calibri"/>
                <w:color w:val="000000"/>
                <w:sz w:val="20"/>
                <w:szCs w:val="20"/>
              </w:rPr>
              <w:t>$230,914</w:t>
            </w:r>
          </w:p>
        </w:tc>
        <w:tc>
          <w:tcPr>
            <w:tcW w:w="907" w:type="dxa"/>
            <w:tcBorders>
              <w:bottom w:val="single" w:sz="4" w:space="0" w:color="auto"/>
            </w:tcBorders>
            <w:vAlign w:val="center"/>
          </w:tcPr>
          <w:p w14:paraId="3A70C152" w14:textId="77777777" w:rsidR="008C5A9B" w:rsidRPr="00A763DF" w:rsidRDefault="008C5A9B" w:rsidP="00D81DDC">
            <w:pPr>
              <w:keepNext/>
              <w:keepLines/>
              <w:spacing w:before="40" w:after="40"/>
              <w:jc w:val="center"/>
              <w:rPr>
                <w:rFonts w:ascii="Arial Narrow" w:hAnsi="Arial Narrow" w:cs="Calibri"/>
                <w:color w:val="000000"/>
                <w:sz w:val="20"/>
                <w:szCs w:val="20"/>
              </w:rPr>
            </w:pPr>
            <w:r w:rsidRPr="00A763DF">
              <w:rPr>
                <w:rFonts w:ascii="Arial Narrow" w:hAnsi="Arial Narrow" w:cs="Calibri"/>
                <w:color w:val="000000"/>
                <w:sz w:val="20"/>
                <w:szCs w:val="20"/>
              </w:rPr>
              <w:t>$234,778</w:t>
            </w:r>
          </w:p>
        </w:tc>
        <w:tc>
          <w:tcPr>
            <w:tcW w:w="906" w:type="dxa"/>
            <w:tcBorders>
              <w:bottom w:val="single" w:sz="4" w:space="0" w:color="auto"/>
            </w:tcBorders>
            <w:vAlign w:val="center"/>
          </w:tcPr>
          <w:p w14:paraId="12B53252" w14:textId="77777777" w:rsidR="008C5A9B" w:rsidRPr="00A763DF" w:rsidRDefault="008C5A9B" w:rsidP="00D81DDC">
            <w:pPr>
              <w:keepNext/>
              <w:keepLines/>
              <w:spacing w:before="40" w:after="40"/>
              <w:jc w:val="center"/>
              <w:rPr>
                <w:rFonts w:ascii="Arial Narrow" w:hAnsi="Arial Narrow" w:cs="Calibri"/>
                <w:color w:val="000000"/>
                <w:sz w:val="20"/>
                <w:szCs w:val="20"/>
              </w:rPr>
            </w:pPr>
            <w:r w:rsidRPr="00A763DF">
              <w:rPr>
                <w:rFonts w:ascii="Arial Narrow" w:hAnsi="Arial Narrow" w:cs="Calibri"/>
                <w:color w:val="000000"/>
                <w:sz w:val="20"/>
                <w:szCs w:val="20"/>
              </w:rPr>
              <w:t>$238,707</w:t>
            </w:r>
          </w:p>
        </w:tc>
        <w:tc>
          <w:tcPr>
            <w:tcW w:w="907" w:type="dxa"/>
            <w:tcBorders>
              <w:bottom w:val="single" w:sz="4" w:space="0" w:color="auto"/>
            </w:tcBorders>
            <w:vAlign w:val="center"/>
          </w:tcPr>
          <w:p w14:paraId="4C582ADC" w14:textId="77777777" w:rsidR="008C5A9B" w:rsidRPr="00A763DF" w:rsidRDefault="008C5A9B" w:rsidP="00D81DDC">
            <w:pPr>
              <w:keepNext/>
              <w:keepLines/>
              <w:spacing w:before="40" w:after="40"/>
              <w:jc w:val="center"/>
              <w:rPr>
                <w:rFonts w:ascii="Arial Narrow" w:hAnsi="Arial Narrow" w:cs="Calibri"/>
                <w:color w:val="000000"/>
                <w:sz w:val="20"/>
                <w:szCs w:val="20"/>
              </w:rPr>
            </w:pPr>
            <w:r w:rsidRPr="00A763DF">
              <w:rPr>
                <w:rFonts w:ascii="Arial Narrow" w:hAnsi="Arial Narrow" w:cs="Calibri"/>
                <w:color w:val="000000"/>
                <w:sz w:val="20"/>
                <w:szCs w:val="20"/>
              </w:rPr>
              <w:t>$242,702</w:t>
            </w:r>
          </w:p>
        </w:tc>
        <w:tc>
          <w:tcPr>
            <w:tcW w:w="907" w:type="dxa"/>
            <w:tcBorders>
              <w:bottom w:val="single" w:sz="4" w:space="0" w:color="auto"/>
            </w:tcBorders>
            <w:vAlign w:val="center"/>
          </w:tcPr>
          <w:p w14:paraId="6D71272A" w14:textId="77777777" w:rsidR="008C5A9B" w:rsidRPr="00A763DF" w:rsidRDefault="008C5A9B" w:rsidP="00D81DDC">
            <w:pPr>
              <w:keepNext/>
              <w:keepLines/>
              <w:spacing w:before="40" w:after="40"/>
              <w:jc w:val="center"/>
              <w:rPr>
                <w:rFonts w:ascii="Arial Narrow" w:hAnsi="Arial Narrow" w:cs="Calibri"/>
                <w:color w:val="000000"/>
                <w:sz w:val="20"/>
                <w:szCs w:val="20"/>
              </w:rPr>
            </w:pPr>
            <w:r w:rsidRPr="00A763DF">
              <w:rPr>
                <w:rFonts w:ascii="Arial Narrow" w:hAnsi="Arial Narrow" w:cs="Calibri"/>
                <w:color w:val="000000"/>
                <w:sz w:val="20"/>
                <w:szCs w:val="20"/>
              </w:rPr>
              <w:t>$246,764</w:t>
            </w:r>
          </w:p>
        </w:tc>
      </w:tr>
      <w:tr w:rsidR="00897490" w14:paraId="596A98B5" w14:textId="77777777" w:rsidTr="00897490">
        <w:tc>
          <w:tcPr>
            <w:tcW w:w="3581" w:type="dxa"/>
            <w:tcBorders>
              <w:right w:val="nil"/>
            </w:tcBorders>
            <w:vAlign w:val="center"/>
          </w:tcPr>
          <w:p w14:paraId="5DEE29BC" w14:textId="77777777" w:rsidR="008C5A9B" w:rsidRDefault="008C5A9B" w:rsidP="00D81DDC">
            <w:pPr>
              <w:pStyle w:val="pf0"/>
              <w:keepNext/>
              <w:keepLines/>
              <w:spacing w:before="40" w:beforeAutospacing="0" w:after="40" w:afterAutospacing="0"/>
              <w:rPr>
                <w:rFonts w:ascii="Arial Narrow" w:eastAsia="Arial Narrow" w:hAnsi="Arial Narrow" w:cs="Arial Narrow"/>
                <w:color w:val="000000" w:themeColor="text1"/>
                <w:sz w:val="20"/>
                <w:szCs w:val="20"/>
              </w:rPr>
            </w:pPr>
            <w:r>
              <w:rPr>
                <w:rFonts w:ascii="Arial Narrow" w:eastAsia="Arial Narrow" w:hAnsi="Arial Narrow" w:cs="Arial Narrow"/>
                <w:b/>
                <w:bCs/>
                <w:sz w:val="20"/>
                <w:szCs w:val="20"/>
              </w:rPr>
              <w:t>Adult</w:t>
            </w:r>
            <w:r w:rsidRPr="08B0B86B">
              <w:rPr>
                <w:rFonts w:ascii="Arial Narrow" w:eastAsia="Arial Narrow" w:hAnsi="Arial Narrow" w:cs="Arial Narrow"/>
                <w:b/>
                <w:bCs/>
                <w:sz w:val="20"/>
                <w:szCs w:val="20"/>
              </w:rPr>
              <w:t xml:space="preserve"> </w:t>
            </w:r>
            <w:r>
              <w:rPr>
                <w:rFonts w:ascii="Arial Narrow" w:eastAsia="Arial Narrow" w:hAnsi="Arial Narrow" w:cs="Arial Narrow"/>
                <w:b/>
                <w:bCs/>
                <w:sz w:val="20"/>
                <w:szCs w:val="20"/>
              </w:rPr>
              <w:t>population</w:t>
            </w:r>
          </w:p>
        </w:tc>
        <w:tc>
          <w:tcPr>
            <w:tcW w:w="906" w:type="dxa"/>
            <w:tcBorders>
              <w:left w:val="nil"/>
              <w:right w:val="nil"/>
            </w:tcBorders>
          </w:tcPr>
          <w:p w14:paraId="14C3FACD" w14:textId="77777777" w:rsidR="008C5A9B" w:rsidRDefault="008C5A9B" w:rsidP="00D81DDC">
            <w:pPr>
              <w:pStyle w:val="pf0"/>
              <w:keepNext/>
              <w:keepLines/>
              <w:spacing w:before="40" w:beforeAutospacing="0" w:after="40" w:afterAutospacing="0"/>
              <w:rPr>
                <w:rFonts w:ascii="Franklin Gothic Book" w:eastAsiaTheme="minorEastAsia" w:hAnsi="Franklin Gothic Book" w:cstheme="minorBidi"/>
                <w:sz w:val="22"/>
                <w:szCs w:val="22"/>
                <w:lang w:eastAsia="en-US"/>
              </w:rPr>
            </w:pPr>
          </w:p>
        </w:tc>
        <w:tc>
          <w:tcPr>
            <w:tcW w:w="907" w:type="dxa"/>
            <w:tcBorders>
              <w:left w:val="nil"/>
              <w:right w:val="nil"/>
            </w:tcBorders>
          </w:tcPr>
          <w:p w14:paraId="3D79345C" w14:textId="77777777" w:rsidR="008C5A9B" w:rsidRDefault="008C5A9B" w:rsidP="00D81DDC">
            <w:pPr>
              <w:pStyle w:val="pf0"/>
              <w:keepNext/>
              <w:keepLines/>
              <w:spacing w:before="40" w:beforeAutospacing="0" w:after="40" w:afterAutospacing="0"/>
              <w:rPr>
                <w:rFonts w:ascii="Franklin Gothic Book" w:eastAsiaTheme="minorEastAsia" w:hAnsi="Franklin Gothic Book" w:cstheme="minorBidi"/>
                <w:sz w:val="22"/>
                <w:szCs w:val="22"/>
                <w:lang w:eastAsia="en-US"/>
              </w:rPr>
            </w:pPr>
          </w:p>
        </w:tc>
        <w:tc>
          <w:tcPr>
            <w:tcW w:w="907" w:type="dxa"/>
            <w:tcBorders>
              <w:left w:val="nil"/>
              <w:right w:val="nil"/>
            </w:tcBorders>
          </w:tcPr>
          <w:p w14:paraId="6DDA7580" w14:textId="77777777" w:rsidR="008C5A9B" w:rsidRDefault="008C5A9B" w:rsidP="00D81DDC">
            <w:pPr>
              <w:pStyle w:val="pf0"/>
              <w:keepNext/>
              <w:keepLines/>
              <w:spacing w:before="40" w:beforeAutospacing="0" w:after="40" w:afterAutospacing="0"/>
              <w:rPr>
                <w:rFonts w:ascii="Franklin Gothic Book" w:eastAsiaTheme="minorEastAsia" w:hAnsi="Franklin Gothic Book" w:cstheme="minorBidi"/>
                <w:sz w:val="22"/>
                <w:szCs w:val="22"/>
                <w:lang w:eastAsia="en-US"/>
              </w:rPr>
            </w:pPr>
          </w:p>
        </w:tc>
        <w:tc>
          <w:tcPr>
            <w:tcW w:w="906" w:type="dxa"/>
            <w:tcBorders>
              <w:left w:val="nil"/>
              <w:right w:val="nil"/>
            </w:tcBorders>
          </w:tcPr>
          <w:p w14:paraId="70DAA5A9" w14:textId="77777777" w:rsidR="008C5A9B" w:rsidRDefault="008C5A9B" w:rsidP="00D81DDC">
            <w:pPr>
              <w:pStyle w:val="pf0"/>
              <w:keepNext/>
              <w:keepLines/>
              <w:spacing w:before="40" w:beforeAutospacing="0" w:after="40" w:afterAutospacing="0"/>
              <w:rPr>
                <w:rFonts w:ascii="Franklin Gothic Book" w:eastAsiaTheme="minorEastAsia" w:hAnsi="Franklin Gothic Book" w:cstheme="minorBidi"/>
                <w:sz w:val="22"/>
                <w:szCs w:val="22"/>
                <w:lang w:eastAsia="en-US"/>
              </w:rPr>
            </w:pPr>
          </w:p>
        </w:tc>
        <w:tc>
          <w:tcPr>
            <w:tcW w:w="907" w:type="dxa"/>
            <w:tcBorders>
              <w:left w:val="nil"/>
              <w:right w:val="nil"/>
            </w:tcBorders>
          </w:tcPr>
          <w:p w14:paraId="0F122F78" w14:textId="77777777" w:rsidR="008C5A9B" w:rsidRDefault="008C5A9B" w:rsidP="00D81DDC">
            <w:pPr>
              <w:pStyle w:val="pf0"/>
              <w:keepNext/>
              <w:keepLines/>
              <w:spacing w:before="40" w:beforeAutospacing="0" w:after="40" w:afterAutospacing="0"/>
              <w:rPr>
                <w:rFonts w:ascii="Franklin Gothic Book" w:eastAsiaTheme="minorEastAsia" w:hAnsi="Franklin Gothic Book" w:cstheme="minorBidi"/>
                <w:sz w:val="22"/>
                <w:szCs w:val="22"/>
                <w:lang w:eastAsia="en-US"/>
              </w:rPr>
            </w:pPr>
          </w:p>
        </w:tc>
        <w:tc>
          <w:tcPr>
            <w:tcW w:w="907" w:type="dxa"/>
            <w:tcBorders>
              <w:left w:val="nil"/>
            </w:tcBorders>
          </w:tcPr>
          <w:p w14:paraId="47B3D7CC" w14:textId="77777777" w:rsidR="008C5A9B" w:rsidRDefault="008C5A9B" w:rsidP="00D81DDC">
            <w:pPr>
              <w:pStyle w:val="pf0"/>
              <w:keepNext/>
              <w:keepLines/>
              <w:spacing w:before="40" w:beforeAutospacing="0" w:after="40" w:afterAutospacing="0"/>
              <w:rPr>
                <w:rFonts w:ascii="Franklin Gothic Book" w:eastAsiaTheme="minorEastAsia" w:hAnsi="Franklin Gothic Book" w:cstheme="minorBidi"/>
                <w:sz w:val="22"/>
                <w:szCs w:val="22"/>
                <w:lang w:eastAsia="en-US"/>
              </w:rPr>
            </w:pPr>
          </w:p>
        </w:tc>
      </w:tr>
      <w:tr w:rsidR="00897490" w14:paraId="71626955" w14:textId="77777777" w:rsidTr="00D81DDC">
        <w:tc>
          <w:tcPr>
            <w:tcW w:w="3581" w:type="dxa"/>
            <w:vAlign w:val="center"/>
          </w:tcPr>
          <w:p w14:paraId="69712B4C" w14:textId="6764E67A" w:rsidR="006A45D1" w:rsidRDefault="00C823FD" w:rsidP="00D81DDC">
            <w:pPr>
              <w:pStyle w:val="pf0"/>
              <w:keepNext/>
              <w:keepLines/>
              <w:spacing w:before="40" w:beforeAutospacing="0" w:after="40" w:afterAutospacing="0"/>
              <w:rPr>
                <w:rFonts w:ascii="Arial Narrow" w:eastAsia="Arial Narrow" w:hAnsi="Arial Narrow" w:cs="Arial Narrow"/>
                <w:color w:val="000000" w:themeColor="text1"/>
                <w:sz w:val="20"/>
                <w:szCs w:val="20"/>
              </w:rPr>
            </w:pPr>
            <w:proofErr w:type="spellStart"/>
            <w:r>
              <w:rPr>
                <w:rFonts w:ascii="Arial Narrow" w:eastAsia="Arial Narrow" w:hAnsi="Arial Narrow" w:cs="Arial Narrow"/>
                <w:color w:val="000000" w:themeColor="text1"/>
                <w:sz w:val="20"/>
                <w:szCs w:val="20"/>
              </w:rPr>
              <w:t>m</w:t>
            </w:r>
            <w:r w:rsidR="006A45D1">
              <w:rPr>
                <w:rFonts w:ascii="Arial Narrow" w:eastAsia="Arial Narrow" w:hAnsi="Arial Narrow" w:cs="Arial Narrow"/>
                <w:color w:val="000000" w:themeColor="text1"/>
                <w:sz w:val="20"/>
                <w:szCs w:val="20"/>
              </w:rPr>
              <w:t>pFC</w:t>
            </w:r>
            <w:proofErr w:type="spellEnd"/>
            <w:r w:rsidR="006A45D1">
              <w:rPr>
                <w:rFonts w:ascii="Arial Narrow" w:eastAsia="Arial Narrow" w:hAnsi="Arial Narrow" w:cs="Arial Narrow"/>
                <w:color w:val="000000" w:themeColor="text1"/>
                <w:sz w:val="20"/>
                <w:szCs w:val="20"/>
              </w:rPr>
              <w:t xml:space="preserve"> baseline testing cost (AAAA)</w:t>
            </w:r>
          </w:p>
        </w:tc>
        <w:tc>
          <w:tcPr>
            <w:tcW w:w="906" w:type="dxa"/>
            <w:vAlign w:val="center"/>
          </w:tcPr>
          <w:p w14:paraId="3596F0C1" w14:textId="7E146452" w:rsidR="006A45D1" w:rsidRPr="00A763DF" w:rsidRDefault="006A45D1" w:rsidP="00D81DDC">
            <w:pPr>
              <w:keepNext/>
              <w:keepLines/>
              <w:spacing w:before="40" w:after="40"/>
              <w:jc w:val="center"/>
              <w:rPr>
                <w:rFonts w:ascii="Arial Narrow" w:hAnsi="Arial Narrow" w:cs="Calibri"/>
                <w:color w:val="000000"/>
                <w:sz w:val="20"/>
                <w:szCs w:val="20"/>
              </w:rPr>
            </w:pPr>
            <w:r w:rsidRPr="00D81DDC">
              <w:rPr>
                <w:rFonts w:ascii="Arial Narrow" w:hAnsi="Arial Narrow" w:cs="Calibri"/>
                <w:color w:val="000000"/>
                <w:sz w:val="20"/>
                <w:szCs w:val="20"/>
              </w:rPr>
              <w:t>$20,842</w:t>
            </w:r>
          </w:p>
        </w:tc>
        <w:tc>
          <w:tcPr>
            <w:tcW w:w="907" w:type="dxa"/>
            <w:vAlign w:val="center"/>
          </w:tcPr>
          <w:p w14:paraId="7A9EF666" w14:textId="5DA9F89A" w:rsidR="006A45D1" w:rsidRPr="00A763DF" w:rsidRDefault="006A45D1" w:rsidP="00D81DDC">
            <w:pPr>
              <w:pStyle w:val="pf0"/>
              <w:keepNext/>
              <w:keepLines/>
              <w:spacing w:before="40" w:beforeAutospacing="0" w:after="40" w:afterAutospacing="0"/>
              <w:jc w:val="center"/>
              <w:rPr>
                <w:rFonts w:ascii="Arial Narrow" w:eastAsiaTheme="minorHAnsi" w:hAnsi="Arial Narrow" w:cs="Calibri"/>
                <w:color w:val="000000"/>
                <w:sz w:val="20"/>
                <w:szCs w:val="20"/>
                <w:lang w:eastAsia="en-US"/>
              </w:rPr>
            </w:pPr>
            <w:r w:rsidRPr="00D81DDC">
              <w:rPr>
                <w:rFonts w:ascii="Arial Narrow" w:eastAsiaTheme="minorHAnsi" w:hAnsi="Arial Narrow" w:cs="Calibri"/>
                <w:color w:val="000000"/>
                <w:sz w:val="20"/>
                <w:szCs w:val="20"/>
                <w:lang w:eastAsia="en-US"/>
              </w:rPr>
              <w:t>$21,190</w:t>
            </w:r>
          </w:p>
        </w:tc>
        <w:tc>
          <w:tcPr>
            <w:tcW w:w="907" w:type="dxa"/>
            <w:vAlign w:val="center"/>
          </w:tcPr>
          <w:p w14:paraId="3F5FA289" w14:textId="5AE64235" w:rsidR="006A45D1" w:rsidRPr="00A763DF" w:rsidRDefault="006A45D1" w:rsidP="00D81DDC">
            <w:pPr>
              <w:pStyle w:val="pf0"/>
              <w:keepNext/>
              <w:keepLines/>
              <w:spacing w:before="40" w:beforeAutospacing="0" w:after="40" w:afterAutospacing="0"/>
              <w:jc w:val="center"/>
              <w:rPr>
                <w:rFonts w:ascii="Arial Narrow" w:eastAsiaTheme="minorHAnsi" w:hAnsi="Arial Narrow" w:cs="Calibri"/>
                <w:color w:val="000000"/>
                <w:sz w:val="20"/>
                <w:szCs w:val="20"/>
                <w:lang w:eastAsia="en-US"/>
              </w:rPr>
            </w:pPr>
            <w:r w:rsidRPr="00D81DDC">
              <w:rPr>
                <w:rFonts w:ascii="Arial Narrow" w:eastAsiaTheme="minorHAnsi" w:hAnsi="Arial Narrow" w:cs="Calibri"/>
                <w:color w:val="000000"/>
                <w:sz w:val="20"/>
                <w:szCs w:val="20"/>
                <w:lang w:eastAsia="en-US"/>
              </w:rPr>
              <w:t>$21,545</w:t>
            </w:r>
          </w:p>
        </w:tc>
        <w:tc>
          <w:tcPr>
            <w:tcW w:w="906" w:type="dxa"/>
            <w:vAlign w:val="center"/>
          </w:tcPr>
          <w:p w14:paraId="52EB48CC" w14:textId="25AB1FB7" w:rsidR="006A45D1" w:rsidRPr="00A763DF" w:rsidRDefault="006A45D1" w:rsidP="00D81DDC">
            <w:pPr>
              <w:pStyle w:val="pf0"/>
              <w:keepNext/>
              <w:keepLines/>
              <w:spacing w:before="40" w:beforeAutospacing="0" w:after="40" w:afterAutospacing="0"/>
              <w:jc w:val="center"/>
              <w:rPr>
                <w:rFonts w:ascii="Arial Narrow" w:eastAsiaTheme="minorHAnsi" w:hAnsi="Arial Narrow" w:cs="Calibri"/>
                <w:color w:val="000000"/>
                <w:sz w:val="20"/>
                <w:szCs w:val="20"/>
                <w:lang w:eastAsia="en-US"/>
              </w:rPr>
            </w:pPr>
            <w:r w:rsidRPr="00D81DDC">
              <w:rPr>
                <w:rFonts w:ascii="Arial Narrow" w:eastAsiaTheme="minorHAnsi" w:hAnsi="Arial Narrow" w:cs="Calibri"/>
                <w:color w:val="000000"/>
                <w:sz w:val="20"/>
                <w:szCs w:val="20"/>
                <w:lang w:eastAsia="en-US"/>
              </w:rPr>
              <w:t>$21,906</w:t>
            </w:r>
          </w:p>
        </w:tc>
        <w:tc>
          <w:tcPr>
            <w:tcW w:w="907" w:type="dxa"/>
            <w:vAlign w:val="center"/>
          </w:tcPr>
          <w:p w14:paraId="27548A96" w14:textId="7D5CE075" w:rsidR="006A45D1" w:rsidRPr="00A763DF" w:rsidRDefault="006A45D1" w:rsidP="00D81DDC">
            <w:pPr>
              <w:pStyle w:val="pf0"/>
              <w:keepNext/>
              <w:keepLines/>
              <w:spacing w:before="40" w:beforeAutospacing="0" w:after="40" w:afterAutospacing="0"/>
              <w:jc w:val="center"/>
              <w:rPr>
                <w:rFonts w:ascii="Arial Narrow" w:eastAsiaTheme="minorHAnsi" w:hAnsi="Arial Narrow" w:cs="Calibri"/>
                <w:color w:val="000000"/>
                <w:sz w:val="20"/>
                <w:szCs w:val="20"/>
                <w:lang w:eastAsia="en-US"/>
              </w:rPr>
            </w:pPr>
            <w:r w:rsidRPr="00D81DDC">
              <w:rPr>
                <w:rFonts w:ascii="Arial Narrow" w:eastAsiaTheme="minorHAnsi" w:hAnsi="Arial Narrow" w:cs="Calibri"/>
                <w:color w:val="000000"/>
                <w:sz w:val="20"/>
                <w:szCs w:val="20"/>
                <w:lang w:eastAsia="en-US"/>
              </w:rPr>
              <w:t>$22,272</w:t>
            </w:r>
          </w:p>
        </w:tc>
        <w:tc>
          <w:tcPr>
            <w:tcW w:w="907" w:type="dxa"/>
            <w:vAlign w:val="center"/>
          </w:tcPr>
          <w:p w14:paraId="7155531D" w14:textId="1CA9FA47" w:rsidR="006A45D1" w:rsidRPr="00A763DF" w:rsidRDefault="006A45D1" w:rsidP="00D81DDC">
            <w:pPr>
              <w:pStyle w:val="pf0"/>
              <w:keepNext/>
              <w:keepLines/>
              <w:spacing w:before="40" w:beforeAutospacing="0" w:after="40" w:afterAutospacing="0"/>
              <w:jc w:val="center"/>
              <w:rPr>
                <w:rFonts w:ascii="Arial Narrow" w:eastAsiaTheme="minorHAnsi" w:hAnsi="Arial Narrow" w:cs="Calibri"/>
                <w:color w:val="000000"/>
                <w:sz w:val="20"/>
                <w:szCs w:val="20"/>
                <w:lang w:eastAsia="en-US"/>
              </w:rPr>
            </w:pPr>
            <w:r w:rsidRPr="00D81DDC">
              <w:rPr>
                <w:rFonts w:ascii="Arial Narrow" w:eastAsiaTheme="minorHAnsi" w:hAnsi="Arial Narrow" w:cs="Calibri"/>
                <w:color w:val="000000"/>
                <w:sz w:val="20"/>
                <w:szCs w:val="20"/>
                <w:lang w:eastAsia="en-US"/>
              </w:rPr>
              <w:t>$22,645</w:t>
            </w:r>
          </w:p>
        </w:tc>
      </w:tr>
      <w:tr w:rsidR="00897490" w14:paraId="2B10CCC3" w14:textId="77777777" w:rsidTr="00D81DDC">
        <w:tc>
          <w:tcPr>
            <w:tcW w:w="3581" w:type="dxa"/>
            <w:vAlign w:val="center"/>
          </w:tcPr>
          <w:p w14:paraId="676FCE00" w14:textId="77777777" w:rsidR="006A45D1" w:rsidRDefault="006A45D1" w:rsidP="00D81DDC">
            <w:pPr>
              <w:pStyle w:val="pf0"/>
              <w:keepNext/>
              <w:keepLines/>
              <w:spacing w:before="40" w:beforeAutospacing="0" w:after="40" w:afterAutospacing="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NGS baseline testing cost (BBBB)</w:t>
            </w:r>
          </w:p>
        </w:tc>
        <w:tc>
          <w:tcPr>
            <w:tcW w:w="906" w:type="dxa"/>
            <w:vAlign w:val="center"/>
          </w:tcPr>
          <w:p w14:paraId="473EB409" w14:textId="03393744" w:rsidR="006A45D1" w:rsidRPr="00A763DF" w:rsidRDefault="006A45D1" w:rsidP="00D81DDC">
            <w:pPr>
              <w:keepNext/>
              <w:keepLines/>
              <w:spacing w:before="40" w:after="40"/>
              <w:jc w:val="center"/>
              <w:rPr>
                <w:rFonts w:ascii="Arial Narrow" w:hAnsi="Arial Narrow" w:cs="Calibri"/>
                <w:color w:val="000000"/>
                <w:sz w:val="20"/>
                <w:szCs w:val="20"/>
              </w:rPr>
            </w:pPr>
            <w:r w:rsidRPr="00D81DDC">
              <w:rPr>
                <w:rFonts w:ascii="Arial Narrow" w:hAnsi="Arial Narrow" w:cs="Calibri"/>
                <w:color w:val="000000"/>
                <w:sz w:val="20"/>
                <w:szCs w:val="20"/>
              </w:rPr>
              <w:t>$105,710</w:t>
            </w:r>
          </w:p>
        </w:tc>
        <w:tc>
          <w:tcPr>
            <w:tcW w:w="907" w:type="dxa"/>
            <w:vAlign w:val="center"/>
          </w:tcPr>
          <w:p w14:paraId="4B8D9589" w14:textId="28842536" w:rsidR="006A45D1" w:rsidRPr="00A763DF" w:rsidRDefault="006A45D1" w:rsidP="00D81DDC">
            <w:pPr>
              <w:keepNext/>
              <w:keepLines/>
              <w:spacing w:before="40" w:after="40"/>
              <w:jc w:val="center"/>
              <w:rPr>
                <w:rFonts w:ascii="Arial Narrow" w:hAnsi="Arial Narrow" w:cs="Calibri"/>
                <w:color w:val="000000"/>
                <w:sz w:val="20"/>
                <w:szCs w:val="20"/>
              </w:rPr>
            </w:pPr>
            <w:r w:rsidRPr="00D81DDC">
              <w:rPr>
                <w:rFonts w:ascii="Arial Narrow" w:hAnsi="Arial Narrow" w:cs="Calibri"/>
                <w:color w:val="000000"/>
                <w:sz w:val="20"/>
                <w:szCs w:val="20"/>
              </w:rPr>
              <w:t>$107,479</w:t>
            </w:r>
          </w:p>
        </w:tc>
        <w:tc>
          <w:tcPr>
            <w:tcW w:w="907" w:type="dxa"/>
            <w:vAlign w:val="center"/>
          </w:tcPr>
          <w:p w14:paraId="11AE8190" w14:textId="0697DF6E" w:rsidR="006A45D1" w:rsidRPr="00A763DF" w:rsidRDefault="006A45D1" w:rsidP="00D81DDC">
            <w:pPr>
              <w:keepNext/>
              <w:keepLines/>
              <w:spacing w:before="40" w:after="40"/>
              <w:jc w:val="center"/>
              <w:rPr>
                <w:rFonts w:ascii="Arial Narrow" w:hAnsi="Arial Narrow" w:cs="Calibri"/>
                <w:color w:val="000000"/>
                <w:sz w:val="20"/>
                <w:szCs w:val="20"/>
              </w:rPr>
            </w:pPr>
            <w:r w:rsidRPr="00D81DDC">
              <w:rPr>
                <w:rFonts w:ascii="Arial Narrow" w:hAnsi="Arial Narrow" w:cs="Calibri"/>
                <w:color w:val="000000"/>
                <w:sz w:val="20"/>
                <w:szCs w:val="20"/>
              </w:rPr>
              <w:t>$109,277</w:t>
            </w:r>
          </w:p>
        </w:tc>
        <w:tc>
          <w:tcPr>
            <w:tcW w:w="906" w:type="dxa"/>
            <w:vAlign w:val="center"/>
          </w:tcPr>
          <w:p w14:paraId="6EAD2E27" w14:textId="79812E1D" w:rsidR="006A45D1" w:rsidRPr="00A763DF" w:rsidRDefault="006A45D1" w:rsidP="00D81DDC">
            <w:pPr>
              <w:keepNext/>
              <w:keepLines/>
              <w:spacing w:before="40" w:after="40"/>
              <w:jc w:val="center"/>
              <w:rPr>
                <w:rFonts w:ascii="Arial Narrow" w:hAnsi="Arial Narrow" w:cs="Calibri"/>
                <w:color w:val="000000"/>
                <w:sz w:val="20"/>
                <w:szCs w:val="20"/>
              </w:rPr>
            </w:pPr>
            <w:r w:rsidRPr="00D81DDC">
              <w:rPr>
                <w:rFonts w:ascii="Arial Narrow" w:hAnsi="Arial Narrow" w:cs="Calibri"/>
                <w:color w:val="000000"/>
                <w:sz w:val="20"/>
                <w:szCs w:val="20"/>
              </w:rPr>
              <w:t>$111,106</w:t>
            </w:r>
          </w:p>
        </w:tc>
        <w:tc>
          <w:tcPr>
            <w:tcW w:w="907" w:type="dxa"/>
            <w:vAlign w:val="center"/>
          </w:tcPr>
          <w:p w14:paraId="04D07AE5" w14:textId="181A9ABE" w:rsidR="006A45D1" w:rsidRPr="00A763DF" w:rsidRDefault="006A45D1" w:rsidP="00D81DDC">
            <w:pPr>
              <w:keepNext/>
              <w:keepLines/>
              <w:spacing w:before="40" w:after="40"/>
              <w:jc w:val="center"/>
              <w:rPr>
                <w:rFonts w:ascii="Arial Narrow" w:hAnsi="Arial Narrow" w:cs="Calibri"/>
                <w:color w:val="000000"/>
                <w:sz w:val="20"/>
                <w:szCs w:val="20"/>
              </w:rPr>
            </w:pPr>
            <w:r w:rsidRPr="00D81DDC">
              <w:rPr>
                <w:rFonts w:ascii="Arial Narrow" w:hAnsi="Arial Narrow" w:cs="Calibri"/>
                <w:color w:val="000000"/>
                <w:sz w:val="20"/>
                <w:szCs w:val="20"/>
              </w:rPr>
              <w:t>$112,965</w:t>
            </w:r>
          </w:p>
        </w:tc>
        <w:tc>
          <w:tcPr>
            <w:tcW w:w="907" w:type="dxa"/>
            <w:vAlign w:val="center"/>
          </w:tcPr>
          <w:p w14:paraId="4D0745E2" w14:textId="0C5A245D" w:rsidR="006A45D1" w:rsidRPr="00A763DF" w:rsidRDefault="006A45D1" w:rsidP="00D81DDC">
            <w:pPr>
              <w:keepNext/>
              <w:keepLines/>
              <w:spacing w:before="40" w:after="40"/>
              <w:jc w:val="center"/>
              <w:rPr>
                <w:rFonts w:ascii="Arial Narrow" w:hAnsi="Arial Narrow" w:cs="Calibri"/>
                <w:color w:val="000000"/>
                <w:sz w:val="20"/>
                <w:szCs w:val="20"/>
              </w:rPr>
            </w:pPr>
            <w:r w:rsidRPr="00D81DDC">
              <w:rPr>
                <w:rFonts w:ascii="Arial Narrow" w:hAnsi="Arial Narrow" w:cs="Calibri"/>
                <w:color w:val="000000"/>
                <w:sz w:val="20"/>
                <w:szCs w:val="20"/>
              </w:rPr>
              <w:t>$114,856</w:t>
            </w:r>
          </w:p>
        </w:tc>
      </w:tr>
      <w:tr w:rsidR="00897490" w14:paraId="126F43C2" w14:textId="77777777" w:rsidTr="00D81DDC">
        <w:tc>
          <w:tcPr>
            <w:tcW w:w="3581" w:type="dxa"/>
            <w:vAlign w:val="center"/>
          </w:tcPr>
          <w:p w14:paraId="3E8C30A1" w14:textId="427F3755" w:rsidR="006A45D1" w:rsidRDefault="006A45D1" w:rsidP="00D81DDC">
            <w:pPr>
              <w:pStyle w:val="pf0"/>
              <w:keepNext/>
              <w:keepLines/>
              <w:spacing w:before="40" w:beforeAutospacing="0" w:after="40" w:afterAutospacing="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ASO</w:t>
            </w:r>
            <w:r w:rsidR="0069056C">
              <w:rPr>
                <w:rFonts w:ascii="Arial Narrow" w:eastAsia="Arial Narrow" w:hAnsi="Arial Narrow" w:cs="Arial Narrow"/>
                <w:color w:val="000000" w:themeColor="text1"/>
                <w:sz w:val="20"/>
                <w:szCs w:val="20"/>
              </w:rPr>
              <w:t>-</w:t>
            </w:r>
            <w:r>
              <w:rPr>
                <w:rFonts w:ascii="Arial Narrow" w:eastAsia="Arial Narrow" w:hAnsi="Arial Narrow" w:cs="Arial Narrow"/>
                <w:color w:val="000000" w:themeColor="text1"/>
                <w:sz w:val="20"/>
                <w:szCs w:val="20"/>
              </w:rPr>
              <w:t>qPCR baseline testing cost (CCCC)</w:t>
            </w:r>
          </w:p>
        </w:tc>
        <w:tc>
          <w:tcPr>
            <w:tcW w:w="906" w:type="dxa"/>
            <w:vAlign w:val="center"/>
          </w:tcPr>
          <w:p w14:paraId="23325786" w14:textId="7B44747A" w:rsidR="006A45D1" w:rsidRPr="00A763DF" w:rsidRDefault="006A45D1" w:rsidP="00D81DDC">
            <w:pPr>
              <w:keepNext/>
              <w:keepLines/>
              <w:spacing w:before="40" w:after="40"/>
              <w:jc w:val="center"/>
              <w:rPr>
                <w:rFonts w:ascii="Arial Narrow" w:hAnsi="Arial Narrow" w:cs="Calibri"/>
                <w:color w:val="000000"/>
                <w:sz w:val="20"/>
                <w:szCs w:val="20"/>
              </w:rPr>
            </w:pPr>
            <w:r w:rsidRPr="00D81DDC">
              <w:rPr>
                <w:rFonts w:ascii="Arial Narrow" w:hAnsi="Arial Narrow" w:cs="Calibri"/>
                <w:color w:val="000000"/>
                <w:sz w:val="20"/>
                <w:szCs w:val="20"/>
              </w:rPr>
              <w:t>$210,926</w:t>
            </w:r>
          </w:p>
        </w:tc>
        <w:tc>
          <w:tcPr>
            <w:tcW w:w="907" w:type="dxa"/>
            <w:vAlign w:val="center"/>
          </w:tcPr>
          <w:p w14:paraId="5D546AA6" w14:textId="75D3C1FB" w:rsidR="006A45D1" w:rsidRPr="00A763DF" w:rsidRDefault="006A45D1" w:rsidP="00D81DDC">
            <w:pPr>
              <w:keepNext/>
              <w:keepLines/>
              <w:spacing w:before="40" w:after="40"/>
              <w:jc w:val="center"/>
              <w:rPr>
                <w:rFonts w:ascii="Arial Narrow" w:hAnsi="Arial Narrow" w:cs="Calibri"/>
                <w:color w:val="000000"/>
                <w:sz w:val="20"/>
                <w:szCs w:val="20"/>
              </w:rPr>
            </w:pPr>
            <w:r w:rsidRPr="00D81DDC">
              <w:rPr>
                <w:rFonts w:ascii="Arial Narrow" w:hAnsi="Arial Narrow" w:cs="Calibri"/>
                <w:color w:val="000000"/>
                <w:sz w:val="20"/>
                <w:szCs w:val="20"/>
              </w:rPr>
              <w:t>$214,455</w:t>
            </w:r>
          </w:p>
        </w:tc>
        <w:tc>
          <w:tcPr>
            <w:tcW w:w="907" w:type="dxa"/>
            <w:vAlign w:val="center"/>
          </w:tcPr>
          <w:p w14:paraId="0A8C3A46" w14:textId="53FD02C8" w:rsidR="006A45D1" w:rsidRPr="00A763DF" w:rsidRDefault="006A45D1" w:rsidP="00D81DDC">
            <w:pPr>
              <w:keepNext/>
              <w:keepLines/>
              <w:spacing w:before="40" w:after="40"/>
              <w:jc w:val="center"/>
              <w:rPr>
                <w:rFonts w:ascii="Arial Narrow" w:hAnsi="Arial Narrow" w:cs="Calibri"/>
                <w:color w:val="000000"/>
                <w:sz w:val="20"/>
                <w:szCs w:val="20"/>
              </w:rPr>
            </w:pPr>
            <w:r w:rsidRPr="00D81DDC">
              <w:rPr>
                <w:rFonts w:ascii="Arial Narrow" w:hAnsi="Arial Narrow" w:cs="Calibri"/>
                <w:color w:val="000000"/>
                <w:sz w:val="20"/>
                <w:szCs w:val="20"/>
              </w:rPr>
              <w:t>$218,044</w:t>
            </w:r>
          </w:p>
        </w:tc>
        <w:tc>
          <w:tcPr>
            <w:tcW w:w="906" w:type="dxa"/>
            <w:vAlign w:val="center"/>
          </w:tcPr>
          <w:p w14:paraId="40A44C59" w14:textId="114DBB0B" w:rsidR="006A45D1" w:rsidRPr="00A763DF" w:rsidRDefault="006A45D1" w:rsidP="00D81DDC">
            <w:pPr>
              <w:keepNext/>
              <w:keepLines/>
              <w:spacing w:before="40" w:after="40"/>
              <w:jc w:val="center"/>
              <w:rPr>
                <w:rFonts w:ascii="Arial Narrow" w:hAnsi="Arial Narrow" w:cs="Calibri"/>
                <w:color w:val="000000"/>
                <w:sz w:val="20"/>
                <w:szCs w:val="20"/>
              </w:rPr>
            </w:pPr>
            <w:r w:rsidRPr="00D81DDC">
              <w:rPr>
                <w:rFonts w:ascii="Arial Narrow" w:hAnsi="Arial Narrow" w:cs="Calibri"/>
                <w:color w:val="000000"/>
                <w:sz w:val="20"/>
                <w:szCs w:val="20"/>
              </w:rPr>
              <w:t>$221,693</w:t>
            </w:r>
          </w:p>
        </w:tc>
        <w:tc>
          <w:tcPr>
            <w:tcW w:w="907" w:type="dxa"/>
            <w:vAlign w:val="center"/>
          </w:tcPr>
          <w:p w14:paraId="7A11BFA8" w14:textId="0D350C0F" w:rsidR="006A45D1" w:rsidRPr="00A763DF" w:rsidRDefault="006A45D1" w:rsidP="00D81DDC">
            <w:pPr>
              <w:keepNext/>
              <w:keepLines/>
              <w:spacing w:before="40" w:after="40"/>
              <w:jc w:val="center"/>
              <w:rPr>
                <w:rFonts w:ascii="Arial Narrow" w:hAnsi="Arial Narrow" w:cs="Calibri"/>
                <w:color w:val="000000"/>
                <w:sz w:val="20"/>
                <w:szCs w:val="20"/>
              </w:rPr>
            </w:pPr>
            <w:r w:rsidRPr="00D81DDC">
              <w:rPr>
                <w:rFonts w:ascii="Arial Narrow" w:hAnsi="Arial Narrow" w:cs="Calibri"/>
                <w:color w:val="000000"/>
                <w:sz w:val="20"/>
                <w:szCs w:val="20"/>
              </w:rPr>
              <w:t>$225,403</w:t>
            </w:r>
          </w:p>
        </w:tc>
        <w:tc>
          <w:tcPr>
            <w:tcW w:w="907" w:type="dxa"/>
            <w:vAlign w:val="center"/>
          </w:tcPr>
          <w:p w14:paraId="15F27B42" w14:textId="21F04416" w:rsidR="006A45D1" w:rsidRPr="00A763DF" w:rsidRDefault="006A45D1" w:rsidP="00D81DDC">
            <w:pPr>
              <w:keepNext/>
              <w:keepLines/>
              <w:spacing w:before="40" w:after="40"/>
              <w:jc w:val="center"/>
              <w:rPr>
                <w:rFonts w:ascii="Arial Narrow" w:hAnsi="Arial Narrow" w:cs="Calibri"/>
                <w:color w:val="000000"/>
                <w:sz w:val="20"/>
                <w:szCs w:val="20"/>
              </w:rPr>
            </w:pPr>
            <w:r w:rsidRPr="00D81DDC">
              <w:rPr>
                <w:rFonts w:ascii="Arial Narrow" w:hAnsi="Arial Narrow" w:cs="Calibri"/>
                <w:color w:val="000000"/>
                <w:sz w:val="20"/>
                <w:szCs w:val="20"/>
              </w:rPr>
              <w:t>$229,175</w:t>
            </w:r>
          </w:p>
        </w:tc>
      </w:tr>
    </w:tbl>
    <w:p w14:paraId="45BFAABC" w14:textId="575D019F" w:rsidR="00410AB2" w:rsidRDefault="00410AB2" w:rsidP="00410AB2">
      <w:pPr>
        <w:pStyle w:val="Heading2"/>
      </w:pPr>
      <w:bookmarkStart w:id="64" w:name="_Toc118927204"/>
      <w:bookmarkStart w:id="65" w:name="_Toc121906377"/>
      <w:r>
        <w:t>1</w:t>
      </w:r>
      <w:r w:rsidR="00D71DCB">
        <w:t>5</w:t>
      </w:r>
      <w:r>
        <w:t>.</w:t>
      </w:r>
      <w:r>
        <w:tab/>
        <w:t>Committee-in-confidence information</w:t>
      </w:r>
      <w:bookmarkEnd w:id="64"/>
      <w:bookmarkEnd w:id="65"/>
    </w:p>
    <w:p w14:paraId="604E22FA" w14:textId="65E3F997" w:rsidR="00930480" w:rsidRPr="008F722B" w:rsidRDefault="003C1281" w:rsidP="00930480">
      <w:r w:rsidRPr="008F722B">
        <w:t>REDACTED</w:t>
      </w:r>
    </w:p>
    <w:p w14:paraId="44314400" w14:textId="7668A6FB" w:rsidR="00C065D7" w:rsidRDefault="00C065D7" w:rsidP="00C065D7">
      <w:pPr>
        <w:pStyle w:val="Heading2"/>
      </w:pPr>
      <w:r>
        <w:t>16.</w:t>
      </w:r>
      <w:r>
        <w:tab/>
      </w:r>
      <w:r w:rsidR="00B526E6">
        <w:t>Key issues from ESC to MSAC</w:t>
      </w:r>
    </w:p>
    <w:tbl>
      <w:tblPr>
        <w:tblStyle w:val="TableGrid"/>
        <w:tblW w:w="0" w:type="auto"/>
        <w:tblLook w:val="04A0" w:firstRow="1" w:lastRow="0" w:firstColumn="1" w:lastColumn="0" w:noHBand="0" w:noVBand="1"/>
      </w:tblPr>
      <w:tblGrid>
        <w:gridCol w:w="9016"/>
      </w:tblGrid>
      <w:tr w:rsidR="00B526E6" w:rsidRPr="00CE28E3" w14:paraId="6D86F1E0" w14:textId="77777777" w:rsidTr="004D3912">
        <w:tc>
          <w:tcPr>
            <w:tcW w:w="9016" w:type="dxa"/>
          </w:tcPr>
          <w:p w14:paraId="1B3A85E1" w14:textId="77777777" w:rsidR="00B526E6" w:rsidRDefault="00B526E6" w:rsidP="004D3912">
            <w:bookmarkStart w:id="66" w:name="_Hlk69734340"/>
            <w:r w:rsidRPr="008A0FB3">
              <w:rPr>
                <w:b/>
                <w:bCs/>
                <w:sz w:val="24"/>
                <w:szCs w:val="24"/>
              </w:rPr>
              <w:t xml:space="preserve">Main issues for MSAC consideration </w:t>
            </w:r>
          </w:p>
          <w:p w14:paraId="2F2EBFF6" w14:textId="77777777" w:rsidR="00B526E6" w:rsidRDefault="00B526E6" w:rsidP="004D3912">
            <w:pPr>
              <w:rPr>
                <w:b/>
              </w:rPr>
            </w:pPr>
            <w:r>
              <w:rPr>
                <w:b/>
              </w:rPr>
              <w:t>Clinical issues:</w:t>
            </w:r>
          </w:p>
          <w:p w14:paraId="2F871530" w14:textId="77777777" w:rsidR="00B526E6" w:rsidRPr="000D5CD5" w:rsidRDefault="00B526E6" w:rsidP="009911BE">
            <w:pPr>
              <w:pStyle w:val="ListParagraph"/>
              <w:numPr>
                <w:ilvl w:val="0"/>
                <w:numId w:val="20"/>
              </w:numPr>
              <w:rPr>
                <w:bCs/>
              </w:rPr>
            </w:pPr>
            <w:r>
              <w:rPr>
                <w:bCs/>
              </w:rPr>
              <w:t xml:space="preserve">At its November 2022 meeting </w:t>
            </w:r>
            <w:r w:rsidRPr="000D5CD5">
              <w:rPr>
                <w:bCs/>
              </w:rPr>
              <w:t xml:space="preserve">MSAC </w:t>
            </w:r>
            <w:r>
              <w:rPr>
                <w:bCs/>
              </w:rPr>
              <w:t>supported measurable residual disease (</w:t>
            </w:r>
            <w:r w:rsidRPr="000D5CD5">
              <w:rPr>
                <w:bCs/>
              </w:rPr>
              <w:t>MRD</w:t>
            </w:r>
            <w:r>
              <w:rPr>
                <w:bCs/>
              </w:rPr>
              <w:t>)</w:t>
            </w:r>
            <w:r w:rsidRPr="000D5CD5">
              <w:rPr>
                <w:bCs/>
              </w:rPr>
              <w:t xml:space="preserve"> </w:t>
            </w:r>
            <w:r>
              <w:rPr>
                <w:bCs/>
              </w:rPr>
              <w:t xml:space="preserve">testing using </w:t>
            </w:r>
            <w:proofErr w:type="spellStart"/>
            <w:r>
              <w:rPr>
                <w:bCs/>
              </w:rPr>
              <w:t>mpFC</w:t>
            </w:r>
            <w:proofErr w:type="spellEnd"/>
            <w:r>
              <w:rPr>
                <w:bCs/>
              </w:rPr>
              <w:t xml:space="preserve"> and NGS methods under application 1707,</w:t>
            </w:r>
            <w:r w:rsidRPr="000D5CD5">
              <w:rPr>
                <w:bCs/>
              </w:rPr>
              <w:t xml:space="preserve"> </w:t>
            </w:r>
            <w:r>
              <w:rPr>
                <w:bCs/>
              </w:rPr>
              <w:t>therefore only MRD testing using other molecular methods, including</w:t>
            </w:r>
            <w:r w:rsidRPr="000D5CD5">
              <w:rPr>
                <w:bCs/>
              </w:rPr>
              <w:t xml:space="preserve"> </w:t>
            </w:r>
            <w:r>
              <w:rPr>
                <w:bCs/>
              </w:rPr>
              <w:t>ASO-</w:t>
            </w:r>
            <w:r w:rsidRPr="000D5CD5">
              <w:rPr>
                <w:bCs/>
              </w:rPr>
              <w:t>qPCR</w:t>
            </w:r>
            <w:r>
              <w:rPr>
                <w:bCs/>
              </w:rPr>
              <w:t>, remains for MSAC’s consideration</w:t>
            </w:r>
            <w:r w:rsidRPr="000D5CD5">
              <w:rPr>
                <w:bCs/>
              </w:rPr>
              <w:t>.</w:t>
            </w:r>
          </w:p>
          <w:p w14:paraId="6C449D97" w14:textId="77777777" w:rsidR="00B526E6" w:rsidRDefault="00B526E6" w:rsidP="009911BE">
            <w:pPr>
              <w:pStyle w:val="ListParagraph"/>
              <w:numPr>
                <w:ilvl w:val="0"/>
                <w:numId w:val="20"/>
              </w:numPr>
              <w:rPr>
                <w:bCs/>
              </w:rPr>
            </w:pPr>
            <w:r>
              <w:rPr>
                <w:bCs/>
              </w:rPr>
              <w:t xml:space="preserve">The clinical need for MRD testing using molecular methods (and </w:t>
            </w:r>
            <w:proofErr w:type="spellStart"/>
            <w:r>
              <w:rPr>
                <w:bCs/>
              </w:rPr>
              <w:t>mpFC</w:t>
            </w:r>
            <w:proofErr w:type="spellEnd"/>
            <w:r>
              <w:rPr>
                <w:bCs/>
              </w:rPr>
              <w:t>) is clear, and this is already standard of care in Australia.</w:t>
            </w:r>
          </w:p>
          <w:p w14:paraId="1F5E8AD1" w14:textId="77777777" w:rsidR="00B526E6" w:rsidRDefault="00B526E6" w:rsidP="009911BE">
            <w:pPr>
              <w:pStyle w:val="ListParagraph"/>
              <w:numPr>
                <w:ilvl w:val="0"/>
                <w:numId w:val="20"/>
              </w:numPr>
              <w:rPr>
                <w:bCs/>
              </w:rPr>
            </w:pPr>
            <w:r>
              <w:rPr>
                <w:bCs/>
              </w:rPr>
              <w:t xml:space="preserve">MRD testing using qPCR is </w:t>
            </w:r>
            <w:r w:rsidRPr="000D5CD5">
              <w:rPr>
                <w:bCs/>
              </w:rPr>
              <w:t>complementary</w:t>
            </w:r>
            <w:r>
              <w:rPr>
                <w:bCs/>
              </w:rPr>
              <w:t xml:space="preserve"> to other methodologies</w:t>
            </w:r>
            <w:r w:rsidRPr="000D5CD5">
              <w:rPr>
                <w:bCs/>
              </w:rPr>
              <w:t>,</w:t>
            </w:r>
            <w:r>
              <w:rPr>
                <w:bCs/>
              </w:rPr>
              <w:t xml:space="preserve"> and all are sufficiently sensitive to detect MRD for clinical purposes.</w:t>
            </w:r>
            <w:r w:rsidRPr="000D5CD5">
              <w:rPr>
                <w:bCs/>
              </w:rPr>
              <w:t xml:space="preserve"> </w:t>
            </w:r>
            <w:r>
              <w:rPr>
                <w:bCs/>
              </w:rPr>
              <w:t>T</w:t>
            </w:r>
            <w:r w:rsidRPr="000D5CD5">
              <w:rPr>
                <w:bCs/>
              </w:rPr>
              <w:t xml:space="preserve">here are clinical, </w:t>
            </w:r>
            <w:proofErr w:type="gramStart"/>
            <w:r w:rsidRPr="000D5CD5">
              <w:rPr>
                <w:bCs/>
              </w:rPr>
              <w:t>technical</w:t>
            </w:r>
            <w:proofErr w:type="gramEnd"/>
            <w:r w:rsidRPr="000D5CD5">
              <w:rPr>
                <w:bCs/>
              </w:rPr>
              <w:t xml:space="preserve"> and logistical reasons laboratories may wish to </w:t>
            </w:r>
            <w:r>
              <w:rPr>
                <w:bCs/>
              </w:rPr>
              <w:t>have</w:t>
            </w:r>
            <w:r w:rsidRPr="000D5CD5">
              <w:rPr>
                <w:bCs/>
              </w:rPr>
              <w:t xml:space="preserve"> more than one method</w:t>
            </w:r>
            <w:r>
              <w:rPr>
                <w:bCs/>
              </w:rPr>
              <w:t xml:space="preserve"> available</w:t>
            </w:r>
            <w:r w:rsidRPr="000D5CD5">
              <w:rPr>
                <w:bCs/>
              </w:rPr>
              <w:t>.</w:t>
            </w:r>
          </w:p>
          <w:p w14:paraId="09002934" w14:textId="77777777" w:rsidR="00B526E6" w:rsidRDefault="00B526E6" w:rsidP="009911BE">
            <w:pPr>
              <w:pStyle w:val="ListParagraph"/>
              <w:numPr>
                <w:ilvl w:val="0"/>
                <w:numId w:val="20"/>
              </w:numPr>
              <w:rPr>
                <w:bCs/>
              </w:rPr>
            </w:pPr>
            <w:r>
              <w:rPr>
                <w:bCs/>
              </w:rPr>
              <w:t>Supporting MRD testing using molecular methods may improve equity of access.</w:t>
            </w:r>
          </w:p>
          <w:p w14:paraId="663968FC" w14:textId="77777777" w:rsidR="00B526E6" w:rsidRDefault="00B526E6" w:rsidP="009911BE">
            <w:pPr>
              <w:pStyle w:val="ListParagraph"/>
              <w:numPr>
                <w:ilvl w:val="0"/>
                <w:numId w:val="20"/>
              </w:numPr>
              <w:rPr>
                <w:bCs/>
              </w:rPr>
            </w:pPr>
            <w:r>
              <w:rPr>
                <w:bCs/>
              </w:rPr>
              <w:t>Bone marrow samples are preferred and usually available, but MSAC may want to consider not excluding the use of peripheral blood samples, especially for initial development of the patient-specific qPCR assay (item CCCC). Clinical expert advice should be sought to support MSAC’s consideration of this issue.</w:t>
            </w:r>
          </w:p>
          <w:p w14:paraId="437D751F" w14:textId="77777777" w:rsidR="00B526E6" w:rsidRDefault="00B526E6" w:rsidP="009911BE">
            <w:pPr>
              <w:pStyle w:val="ListParagraph"/>
              <w:numPr>
                <w:ilvl w:val="0"/>
                <w:numId w:val="20"/>
              </w:numPr>
              <w:rPr>
                <w:bCs/>
              </w:rPr>
            </w:pPr>
            <w:r w:rsidRPr="00AB515E">
              <w:rPr>
                <w:bCs/>
              </w:rPr>
              <w:t>It was difficult to draw</w:t>
            </w:r>
            <w:r>
              <w:rPr>
                <w:bCs/>
              </w:rPr>
              <w:t xml:space="preserve"> conclusions on</w:t>
            </w:r>
            <w:r w:rsidRPr="00AB515E">
              <w:rPr>
                <w:bCs/>
              </w:rPr>
              <w:t xml:space="preserve"> concordance comparisons between </w:t>
            </w:r>
            <w:proofErr w:type="spellStart"/>
            <w:r w:rsidRPr="00AB515E">
              <w:rPr>
                <w:bCs/>
              </w:rPr>
              <w:t>mpFC</w:t>
            </w:r>
            <w:proofErr w:type="spellEnd"/>
            <w:r w:rsidRPr="00AB515E">
              <w:rPr>
                <w:bCs/>
              </w:rPr>
              <w:t>, NGS and ASO-qPCR methodologies due to heterogeneity among studies.</w:t>
            </w:r>
          </w:p>
          <w:p w14:paraId="3F02FD7B" w14:textId="77777777" w:rsidR="00B526E6" w:rsidRPr="00316712" w:rsidRDefault="00B526E6" w:rsidP="009911BE">
            <w:pPr>
              <w:pStyle w:val="ListParagraph"/>
              <w:numPr>
                <w:ilvl w:val="0"/>
                <w:numId w:val="20"/>
              </w:numPr>
              <w:rPr>
                <w:b/>
              </w:rPr>
            </w:pPr>
            <w:r w:rsidRPr="00AB515E">
              <w:rPr>
                <w:bCs/>
              </w:rPr>
              <w:t>It is unclear if effectiveness was compromised</w:t>
            </w:r>
            <w:r>
              <w:rPr>
                <w:bCs/>
              </w:rPr>
              <w:t xml:space="preserve"> by the variation in definition of this methodology (i.e., whether it is defined as ASO-PCR, qPCR, or PCR)</w:t>
            </w:r>
            <w:r w:rsidRPr="00AB515E">
              <w:rPr>
                <w:bCs/>
              </w:rPr>
              <w:t>. If the clinical evidence was based on qPCR more broadly, then the assessment relied on indirect effectiveness data.</w:t>
            </w:r>
          </w:p>
          <w:p w14:paraId="70C31BA4" w14:textId="77777777" w:rsidR="00B526E6" w:rsidRPr="000F279A" w:rsidRDefault="00B526E6" w:rsidP="004D3912">
            <w:pPr>
              <w:rPr>
                <w:b/>
              </w:rPr>
            </w:pPr>
            <w:r w:rsidRPr="000F279A">
              <w:rPr>
                <w:b/>
              </w:rPr>
              <w:t>Economic issues</w:t>
            </w:r>
          </w:p>
          <w:p w14:paraId="0808591E" w14:textId="77777777" w:rsidR="00B526E6" w:rsidRDefault="00B526E6" w:rsidP="009911BE">
            <w:pPr>
              <w:pStyle w:val="ListParagraph"/>
              <w:numPr>
                <w:ilvl w:val="0"/>
                <w:numId w:val="20"/>
              </w:numPr>
            </w:pPr>
            <w:r>
              <w:lastRenderedPageBreak/>
              <w:t xml:space="preserve">The economic model was detailed and well thought through. Most assumptions made in the model seemed reasonable, and sensitivity analyses showed the ICER was robust. </w:t>
            </w:r>
            <w:proofErr w:type="gramStart"/>
            <w:r>
              <w:t>However</w:t>
            </w:r>
            <w:proofErr w:type="gramEnd"/>
            <w:r>
              <w:t xml:space="preserve"> the model should be interpreted with caution as it involved multiple indirect comparisons, and was not completely validated.</w:t>
            </w:r>
          </w:p>
          <w:p w14:paraId="434F9529" w14:textId="77777777" w:rsidR="00B526E6" w:rsidRDefault="00B526E6" w:rsidP="009911BE">
            <w:pPr>
              <w:pStyle w:val="ListParagraph"/>
              <w:numPr>
                <w:ilvl w:val="0"/>
                <w:numId w:val="20"/>
              </w:numPr>
            </w:pPr>
            <w:r>
              <w:t>The applicant had advised for the PICO that there are rare instances where there is insufficient tissue and a re-biopsy is required specifically for MRD testing, although a re-biopsy rate was not included in the model.</w:t>
            </w:r>
          </w:p>
          <w:p w14:paraId="5F1A27C0" w14:textId="77777777" w:rsidR="00B526E6" w:rsidRDefault="00B526E6" w:rsidP="009911BE">
            <w:pPr>
              <w:pStyle w:val="ListParagraph"/>
              <w:numPr>
                <w:ilvl w:val="0"/>
                <w:numId w:val="20"/>
              </w:numPr>
            </w:pPr>
            <w:r>
              <w:t xml:space="preserve">Limited data exist to support the proportions of MRD testing using each method (the DCAR estimated 24% </w:t>
            </w:r>
            <w:proofErr w:type="spellStart"/>
            <w:r>
              <w:t>mpFC</w:t>
            </w:r>
            <w:proofErr w:type="spellEnd"/>
            <w:r>
              <w:t>, 38% NGS, and 38% qPCR).</w:t>
            </w:r>
          </w:p>
          <w:p w14:paraId="0973D322" w14:textId="77777777" w:rsidR="00B526E6" w:rsidRDefault="00B526E6" w:rsidP="009911BE">
            <w:pPr>
              <w:pStyle w:val="ListParagraph"/>
              <w:numPr>
                <w:ilvl w:val="0"/>
                <w:numId w:val="20"/>
              </w:numPr>
            </w:pPr>
            <w:r>
              <w:t xml:space="preserve">There was a misalignment of the definition of the qPCR methodology across clinical, </w:t>
            </w:r>
            <w:proofErr w:type="gramStart"/>
            <w:r>
              <w:t>economic</w:t>
            </w:r>
            <w:proofErr w:type="gramEnd"/>
            <w:r>
              <w:t xml:space="preserve"> and financial analyses, as the applicant may have intended the request for MBS funding to be for ASO-qPCR specifically (and the CCCC/DDDD fees proposed based on ASO-qPCR costs were used), however studies used to inform the economic model were for qPCR more broadly. </w:t>
            </w:r>
          </w:p>
          <w:p w14:paraId="3B7785C9" w14:textId="77777777" w:rsidR="00B526E6" w:rsidRDefault="00B526E6" w:rsidP="004D3912">
            <w:pPr>
              <w:rPr>
                <w:b/>
              </w:rPr>
            </w:pPr>
            <w:r>
              <w:rPr>
                <w:b/>
              </w:rPr>
              <w:t>Financial issues:</w:t>
            </w:r>
          </w:p>
          <w:p w14:paraId="73543FF7" w14:textId="77777777" w:rsidR="00B526E6" w:rsidRDefault="00B526E6" w:rsidP="009911BE">
            <w:pPr>
              <w:pStyle w:val="ListParagraph"/>
              <w:numPr>
                <w:ilvl w:val="0"/>
                <w:numId w:val="20"/>
              </w:numPr>
            </w:pPr>
            <w:r>
              <w:t>The estimated utilisation of MRD testing was lower than under application 1707, and the figures in application 1703 appeared more appropriate.</w:t>
            </w:r>
          </w:p>
          <w:p w14:paraId="285F5D31" w14:textId="55934D74" w:rsidR="00B526E6" w:rsidRPr="0070319A" w:rsidRDefault="00B526E6" w:rsidP="009911BE">
            <w:pPr>
              <w:pStyle w:val="ListParagraph"/>
              <w:numPr>
                <w:ilvl w:val="0"/>
                <w:numId w:val="20"/>
              </w:numPr>
            </w:pPr>
            <w:r w:rsidRPr="000D5CD5">
              <w:t xml:space="preserve">The financial impact </w:t>
            </w:r>
            <w:r>
              <w:t>to the MBS was $2.4-$2.7 million per year, depending on relapse rate</w:t>
            </w:r>
            <w:r w:rsidRPr="000D5CD5">
              <w:t xml:space="preserve">. </w:t>
            </w:r>
          </w:p>
        </w:tc>
      </w:tr>
    </w:tbl>
    <w:bookmarkEnd w:id="66"/>
    <w:p w14:paraId="1FEBF676" w14:textId="77777777" w:rsidR="00B526E6" w:rsidRDefault="00B526E6" w:rsidP="00C37F10">
      <w:pPr>
        <w:spacing w:before="240"/>
        <w:rPr>
          <w:rFonts w:eastAsia="Times New Roman" w:cs="Arial"/>
          <w:b/>
          <w:bCs/>
          <w:iCs/>
          <w:color w:val="000000"/>
          <w:sz w:val="24"/>
          <w:szCs w:val="28"/>
          <w:lang w:eastAsia="en-AU"/>
        </w:rPr>
      </w:pPr>
      <w:r>
        <w:rPr>
          <w:rFonts w:eastAsia="Times New Roman" w:cs="Arial"/>
          <w:b/>
          <w:bCs/>
          <w:iCs/>
          <w:color w:val="000000"/>
          <w:sz w:val="24"/>
          <w:szCs w:val="28"/>
          <w:lang w:eastAsia="en-AU"/>
        </w:rPr>
        <w:lastRenderedPageBreak/>
        <w:t>ESC discussion</w:t>
      </w:r>
    </w:p>
    <w:p w14:paraId="7B27D535" w14:textId="1BE0F38C" w:rsidR="00B526E6" w:rsidRDefault="00B526E6" w:rsidP="00B526E6">
      <w:r>
        <w:t>ESC noted that this application from the Royal College of Pathologists of Australasia (RCPA) was for Medicare Benefits Schedule (MBS) listing of measurable residual disease (MRD, formerly known as ‘minimal residual disease’) testing in patients with acute lymphoblastic leukemia (ALL).</w:t>
      </w:r>
    </w:p>
    <w:p w14:paraId="422B5B4C" w14:textId="12645936" w:rsidR="00B526E6" w:rsidRDefault="00B526E6" w:rsidP="00B526E6">
      <w:r>
        <w:t>ESC noted the PICO proposed MBS items for measurement of MRD using multiparametric flow cytometry (</w:t>
      </w:r>
      <w:proofErr w:type="spellStart"/>
      <w:r>
        <w:t>mpFC</w:t>
      </w:r>
      <w:proofErr w:type="spellEnd"/>
      <w:r>
        <w:t xml:space="preserve">; item AAAA), next-generation sequencing (NGS; item BBBB), as well as the development and first use (item CCCC) and subsequent use (item DDDD) of a patient-specific quantitative polymerase chain reaction (qPCR) MRD assay. ESC noted MSAC had supported public funding for MRD testing using </w:t>
      </w:r>
      <w:proofErr w:type="spellStart"/>
      <w:r>
        <w:t>mpFC</w:t>
      </w:r>
      <w:proofErr w:type="spellEnd"/>
      <w:r>
        <w:t xml:space="preserve"> and generic NGS methods under previous </w:t>
      </w:r>
      <w:hyperlink r:id="rId9" w:history="1">
        <w:r>
          <w:rPr>
            <w:rStyle w:val="Hyperlink"/>
          </w:rPr>
          <w:t>Application</w:t>
        </w:r>
        <w:r w:rsidR="00C37F10">
          <w:rPr>
            <w:rStyle w:val="Hyperlink"/>
          </w:rPr>
          <w:t> </w:t>
        </w:r>
        <w:r>
          <w:rPr>
            <w:rStyle w:val="Hyperlink"/>
          </w:rPr>
          <w:t>1707</w:t>
        </w:r>
      </w:hyperlink>
      <w:r>
        <w:t xml:space="preserve"> at its November 2022 meeting, so considered that effectively </w:t>
      </w:r>
      <w:r w:rsidRPr="00AE3E98">
        <w:t xml:space="preserve">only MRD testing using other molecular methods including </w:t>
      </w:r>
      <w:r>
        <w:t>allele-specific oligonucleotide quantitative polymerase chain reaction (ASO-qPCR)</w:t>
      </w:r>
      <w:r w:rsidRPr="00AE3E98">
        <w:t xml:space="preserve"> (i.e., items CCCC and DDDD) remains for MSAC’s consideration under application 1703</w:t>
      </w:r>
      <w:r>
        <w:t>.</w:t>
      </w:r>
    </w:p>
    <w:p w14:paraId="145A54FE" w14:textId="77777777" w:rsidR="00B526E6" w:rsidRDefault="00B526E6" w:rsidP="00B526E6">
      <w:r>
        <w:t>ESC considered that MRD testing is already standard of care for these patients, and that it is currently paid for by hospital departments</w:t>
      </w:r>
      <w:r w:rsidRPr="00D00A2C">
        <w:t xml:space="preserve"> </w:t>
      </w:r>
      <w:r>
        <w:t>or out-of-pocket by patients, and that the current lack of MBS funding creates inequity of access</w:t>
      </w:r>
      <w:r w:rsidRPr="00502CE8">
        <w:t xml:space="preserve">. ESC also </w:t>
      </w:r>
      <w:r w:rsidRPr="00EB5AD2">
        <w:t xml:space="preserve">considered that if the sample could be sent </w:t>
      </w:r>
      <w:r>
        <w:t xml:space="preserve">away by the treating unit </w:t>
      </w:r>
      <w:r w:rsidRPr="00EB5AD2">
        <w:t xml:space="preserve">for </w:t>
      </w:r>
      <w:proofErr w:type="gramStart"/>
      <w:r w:rsidRPr="00EB5AD2">
        <w:t>testing</w:t>
      </w:r>
      <w:proofErr w:type="gramEnd"/>
      <w:r w:rsidRPr="00EB5AD2">
        <w:t xml:space="preserve"> then the patient may not have to travel, </w:t>
      </w:r>
      <w:r>
        <w:t>noting</w:t>
      </w:r>
      <w:r w:rsidRPr="00EB5AD2">
        <w:t xml:space="preserve"> travel </w:t>
      </w:r>
      <w:r>
        <w:t>is</w:t>
      </w:r>
      <w:r w:rsidRPr="00EB5AD2">
        <w:t xml:space="preserve"> another potential</w:t>
      </w:r>
      <w:r w:rsidRPr="00502CE8">
        <w:t xml:space="preserve"> equity </w:t>
      </w:r>
      <w:r>
        <w:t>concern</w:t>
      </w:r>
      <w:r w:rsidRPr="00502CE8">
        <w:t>.</w:t>
      </w:r>
      <w:r>
        <w:t xml:space="preserve"> </w:t>
      </w:r>
    </w:p>
    <w:p w14:paraId="687B5AB4" w14:textId="77777777" w:rsidR="00B526E6" w:rsidRDefault="00B526E6" w:rsidP="00B526E6">
      <w:r>
        <w:t>ESC noted consultation feedback had queried whether MRD testing could be extended to include patients with acute myeloid leukemia (AML). ESC considered that MRD testing in patients with ALL primarily looks for variants in the immunoglobulin genes, whereas the genetic arrangements found in AML patients are different, so the tests proposed in this application are not suitable for patients with AML. ESC considered that sufficient evidence for MRD testing in patients with AML likely did not exist yet, although this could be proposed in a future application.</w:t>
      </w:r>
    </w:p>
    <w:p w14:paraId="5F53A1B3" w14:textId="77777777" w:rsidR="00B526E6" w:rsidRDefault="00B526E6" w:rsidP="00B526E6">
      <w:r>
        <w:t xml:space="preserve">ESC noted that in the MRD testing items supported under application 1707 MSAC had agreed that the frequency of testing should be moved to a practice note, and considered the same was </w:t>
      </w:r>
      <w:r>
        <w:lastRenderedPageBreak/>
        <w:t>likely appropriate here. ESC also noted consultation feedback stated that “episode of disease” (as per the PICO Confirmation and MSAC-supported practice note under 1707) was unclear, and considered that further clarification of this term may be needed.</w:t>
      </w:r>
    </w:p>
    <w:p w14:paraId="266F48F7" w14:textId="77777777" w:rsidR="00B526E6" w:rsidRDefault="00B526E6" w:rsidP="00B526E6">
      <w:r>
        <w:t>ESC noted the development of the item descriptors was described in the PICO Confirmation and that the applicant had proposed fees for CCCC and DDDD based on the costings for ASO-qPCR specifically (see PICO Table 7), and considered that the applicant appeared to have intended only ASO-qPCR to be included under proposed MBS items CCCC and DDDD. However, as the final item descriptors in the PICO did not specify “using ASO-qPCR” or similar, the DCAR’s clinical and economic evaluations combined evidence from different types of PCR: qPCR (in general), ASO-qPCR (specifically) and RT-PCR (which uses reverse transcription to look for gene fusions in RNA rather than in DNA and is not quantitative). ESC considered it was uncertain whether it was appropriate or necessary to include other types of PCR under MBS items CCCC and DDDD. ESC also considered that it would be more consistent to have “quantitative patient-specific” in the same order across CCCC and DDDD.</w:t>
      </w:r>
    </w:p>
    <w:p w14:paraId="164EE5A7" w14:textId="77777777" w:rsidR="00B526E6" w:rsidRDefault="00B526E6" w:rsidP="00B526E6">
      <w:r>
        <w:t xml:space="preserve">ESC noted that MSAC’s supported item descriptors for MRD testing using </w:t>
      </w:r>
      <w:proofErr w:type="spellStart"/>
      <w:r>
        <w:t>mpFC</w:t>
      </w:r>
      <w:proofErr w:type="spellEnd"/>
      <w:r>
        <w:t xml:space="preserve"> and NGS methods stated the method within the item descriptor, but that the descriptor for development of a patient-specific assay (item CCCC) did not state the method to be used. ESC considered this presented a risk that less expensive methods could be conducted at the higher fee. ESC recommended molecular methods should be specified in CCCC and DDDD, for clarity and to be consistent with the method being stated in the MRD item descriptors supported by MSAC under Application 1707.</w:t>
      </w:r>
    </w:p>
    <w:p w14:paraId="6BCCFACD" w14:textId="77777777" w:rsidR="00B526E6" w:rsidRDefault="00B526E6" w:rsidP="00B526E6">
      <w:r>
        <w:t>ESC’s proposed revisions to the MBS item descriptors are shown below.</w:t>
      </w:r>
    </w:p>
    <w:p w14:paraId="31BE8116" w14:textId="716F6383" w:rsidR="00B526E6" w:rsidRPr="002A02DC" w:rsidRDefault="00B526E6" w:rsidP="00B526E6">
      <w:pPr>
        <w:pStyle w:val="Caption"/>
      </w:pPr>
      <w:r w:rsidRPr="002A02DC">
        <w:t xml:space="preserve">Table </w:t>
      </w:r>
      <w:r>
        <w:fldChar w:fldCharType="begin"/>
      </w:r>
      <w:r>
        <w:instrText>SEQ Table \* ARABIC</w:instrText>
      </w:r>
      <w:r>
        <w:fldChar w:fldCharType="separate"/>
      </w:r>
      <w:r w:rsidR="00A922D7">
        <w:rPr>
          <w:noProof/>
        </w:rPr>
        <w:t>14</w:t>
      </w:r>
      <w:r>
        <w:fldChar w:fldCharType="end"/>
      </w:r>
      <w:r w:rsidRPr="002A02DC">
        <w:tab/>
      </w:r>
      <w:r>
        <w:t xml:space="preserve">ESC’s </w:t>
      </w:r>
      <w:r w:rsidRPr="002A02DC">
        <w:t xml:space="preserve">proposed </w:t>
      </w:r>
      <w:r>
        <w:t xml:space="preserve">revisions to the </w:t>
      </w:r>
      <w:r w:rsidRPr="002A02DC">
        <w:t>MBS items for MRD testing</w:t>
      </w:r>
      <w:r>
        <w:t xml:space="preserve"> using molecular methods other than NGS</w:t>
      </w:r>
    </w:p>
    <w:tbl>
      <w:tblPr>
        <w:tblStyle w:val="TableGrid"/>
        <w:tblW w:w="0" w:type="auto"/>
        <w:tblLook w:val="04A0" w:firstRow="1" w:lastRow="0" w:firstColumn="1" w:lastColumn="0" w:noHBand="0" w:noVBand="1"/>
      </w:tblPr>
      <w:tblGrid>
        <w:gridCol w:w="9016"/>
      </w:tblGrid>
      <w:tr w:rsidR="00B526E6" w:rsidRPr="005771DC" w14:paraId="45B21592" w14:textId="77777777" w:rsidTr="004D3912">
        <w:trPr>
          <w:cantSplit/>
          <w:tblHeader/>
        </w:trPr>
        <w:tc>
          <w:tcPr>
            <w:tcW w:w="9016" w:type="dxa"/>
            <w:tcBorders>
              <w:top w:val="single" w:sz="4" w:space="0" w:color="auto"/>
              <w:left w:val="single" w:sz="4" w:space="0" w:color="auto"/>
              <w:bottom w:val="single" w:sz="4" w:space="0" w:color="auto"/>
              <w:right w:val="single" w:sz="4" w:space="0" w:color="auto"/>
            </w:tcBorders>
          </w:tcPr>
          <w:p w14:paraId="746AF125" w14:textId="77777777" w:rsidR="00B526E6" w:rsidRPr="00DE762F" w:rsidRDefault="00B526E6" w:rsidP="004D3912">
            <w:pPr>
              <w:tabs>
                <w:tab w:val="left" w:pos="6826"/>
              </w:tabs>
              <w:spacing w:before="40" w:after="40"/>
              <w:rPr>
                <w:rFonts w:ascii="Arial Narrow" w:hAnsi="Arial Narrow"/>
                <w:sz w:val="20"/>
                <w:szCs w:val="20"/>
              </w:rPr>
            </w:pPr>
            <w:r w:rsidRPr="00DE762F">
              <w:rPr>
                <w:rFonts w:ascii="Arial Narrow" w:hAnsi="Arial Narrow"/>
                <w:sz w:val="20"/>
                <w:szCs w:val="20"/>
              </w:rPr>
              <w:t xml:space="preserve">Category </w:t>
            </w:r>
            <w:r w:rsidRPr="00F561C1">
              <w:rPr>
                <w:rFonts w:ascii="Arial Narrow" w:hAnsi="Arial Narrow"/>
                <w:sz w:val="20"/>
                <w:szCs w:val="20"/>
              </w:rPr>
              <w:t xml:space="preserve">6 – </w:t>
            </w:r>
            <w:r>
              <w:rPr>
                <w:rFonts w:ascii="Arial Narrow" w:hAnsi="Arial Narrow"/>
                <w:sz w:val="20"/>
                <w:szCs w:val="20"/>
              </w:rPr>
              <w:t xml:space="preserve">Pathology services </w:t>
            </w:r>
            <w:r>
              <w:rPr>
                <w:rFonts w:ascii="Arial Narrow" w:hAnsi="Arial Narrow"/>
                <w:sz w:val="20"/>
                <w:szCs w:val="20"/>
              </w:rPr>
              <w:tab/>
              <w:t>Group P7 Genetics</w:t>
            </w:r>
          </w:p>
        </w:tc>
      </w:tr>
      <w:tr w:rsidR="00B526E6" w:rsidRPr="005771DC" w14:paraId="40B6A9BB" w14:textId="77777777" w:rsidTr="004D3912">
        <w:trPr>
          <w:cantSplit/>
          <w:tblHeader/>
        </w:trPr>
        <w:tc>
          <w:tcPr>
            <w:tcW w:w="9016" w:type="dxa"/>
            <w:tcBorders>
              <w:top w:val="single" w:sz="4" w:space="0" w:color="auto"/>
              <w:left w:val="single" w:sz="4" w:space="0" w:color="auto"/>
              <w:bottom w:val="single" w:sz="4" w:space="0" w:color="auto"/>
              <w:right w:val="single" w:sz="4" w:space="0" w:color="auto"/>
            </w:tcBorders>
            <w:vAlign w:val="center"/>
          </w:tcPr>
          <w:p w14:paraId="5BF26910" w14:textId="77777777" w:rsidR="00B526E6" w:rsidRDefault="00B526E6" w:rsidP="004D3912">
            <w:pPr>
              <w:spacing w:after="120"/>
              <w:rPr>
                <w:rFonts w:ascii="Arial Narrow" w:hAnsi="Arial Narrow"/>
                <w:sz w:val="20"/>
                <w:szCs w:val="20"/>
              </w:rPr>
            </w:pPr>
            <w:r>
              <w:rPr>
                <w:rFonts w:ascii="Arial Narrow" w:hAnsi="Arial Narrow"/>
                <w:sz w:val="20"/>
                <w:szCs w:val="20"/>
              </w:rPr>
              <w:t>MBS item CCCC</w:t>
            </w:r>
          </w:p>
          <w:p w14:paraId="7DB581A5" w14:textId="77777777" w:rsidR="00B526E6" w:rsidRDefault="00B526E6" w:rsidP="004D3912">
            <w:pPr>
              <w:spacing w:after="120"/>
              <w:rPr>
                <w:rFonts w:ascii="Arial Narrow" w:hAnsi="Arial Narrow"/>
                <w:sz w:val="20"/>
                <w:szCs w:val="20"/>
              </w:rPr>
            </w:pPr>
            <w:r>
              <w:rPr>
                <w:rFonts w:ascii="Arial Narrow" w:hAnsi="Arial Narrow"/>
                <w:sz w:val="20"/>
                <w:szCs w:val="20"/>
              </w:rPr>
              <w:t xml:space="preserve">Development of a </w:t>
            </w:r>
            <w:r w:rsidRPr="00F414ED">
              <w:rPr>
                <w:rFonts w:ascii="Arial Narrow" w:hAnsi="Arial Narrow"/>
                <w:i/>
                <w:iCs/>
                <w:color w:val="00B050"/>
                <w:sz w:val="20"/>
                <w:szCs w:val="20"/>
              </w:rPr>
              <w:t>quantitative</w:t>
            </w:r>
            <w:r w:rsidRPr="00F414ED">
              <w:rPr>
                <w:rFonts w:ascii="Arial Narrow" w:hAnsi="Arial Narrow"/>
                <w:color w:val="00B050"/>
                <w:sz w:val="20"/>
                <w:szCs w:val="20"/>
              </w:rPr>
              <w:t xml:space="preserve"> </w:t>
            </w:r>
            <w:r>
              <w:rPr>
                <w:rFonts w:ascii="Arial Narrow" w:hAnsi="Arial Narrow"/>
                <w:sz w:val="20"/>
                <w:szCs w:val="20"/>
              </w:rPr>
              <w:t xml:space="preserve">patient-specific </w:t>
            </w:r>
            <w:r w:rsidRPr="00F414ED">
              <w:rPr>
                <w:rFonts w:ascii="Arial Narrow" w:hAnsi="Arial Narrow"/>
                <w:strike/>
                <w:sz w:val="20"/>
                <w:szCs w:val="20"/>
              </w:rPr>
              <w:t>quantitative</w:t>
            </w:r>
            <w:r>
              <w:rPr>
                <w:rFonts w:ascii="Arial Narrow" w:hAnsi="Arial Narrow"/>
                <w:sz w:val="20"/>
                <w:szCs w:val="20"/>
              </w:rPr>
              <w:t xml:space="preserve"> </w:t>
            </w:r>
            <w:r w:rsidRPr="00F414ED">
              <w:rPr>
                <w:rFonts w:ascii="Arial Narrow" w:hAnsi="Arial Narrow"/>
                <w:i/>
                <w:iCs/>
                <w:color w:val="00B050"/>
                <w:sz w:val="20"/>
                <w:szCs w:val="20"/>
              </w:rPr>
              <w:t>molecular</w:t>
            </w:r>
            <w:r w:rsidRPr="00F414ED">
              <w:rPr>
                <w:rFonts w:ascii="Arial Narrow" w:hAnsi="Arial Narrow"/>
                <w:color w:val="00B050"/>
                <w:sz w:val="20"/>
                <w:szCs w:val="20"/>
              </w:rPr>
              <w:t xml:space="preserve"> </w:t>
            </w:r>
            <w:r>
              <w:rPr>
                <w:rFonts w:ascii="Arial Narrow" w:hAnsi="Arial Narrow"/>
                <w:sz w:val="20"/>
                <w:szCs w:val="20"/>
              </w:rPr>
              <w:t xml:space="preserve">assay for measurable residual disease (MRD) based on the diagnostic bone marrow specimen from a patient diagnosed with acute lymphoblastic leukaemia (ALL) </w:t>
            </w:r>
            <w:r w:rsidRPr="00B109B7">
              <w:rPr>
                <w:rFonts w:ascii="Arial Narrow" w:hAnsi="Arial Narrow"/>
                <w:sz w:val="20"/>
                <w:szCs w:val="20"/>
              </w:rPr>
              <w:t>treated with combination chemotherapy or after salvage therapy</w:t>
            </w:r>
            <w:r>
              <w:rPr>
                <w:rFonts w:ascii="Arial Narrow" w:hAnsi="Arial Narrow"/>
                <w:sz w:val="20"/>
                <w:szCs w:val="20"/>
              </w:rPr>
              <w:t xml:space="preserve">, requested by a </w:t>
            </w:r>
            <w:r w:rsidRPr="001A295C">
              <w:rPr>
                <w:rFonts w:ascii="Arial Narrow" w:hAnsi="Arial Narrow"/>
                <w:sz w:val="20"/>
                <w:szCs w:val="20"/>
              </w:rPr>
              <w:t xml:space="preserve">specialist or consultant physician </w:t>
            </w:r>
            <w:r>
              <w:rPr>
                <w:rFonts w:ascii="Arial Narrow" w:hAnsi="Arial Narrow"/>
                <w:sz w:val="20"/>
                <w:szCs w:val="20"/>
              </w:rPr>
              <w:t>practising as a haematologist or oncologist, and use on the first MRD specimen for one test described in item DDDD.</w:t>
            </w:r>
          </w:p>
          <w:p w14:paraId="373B9A4B" w14:textId="77777777" w:rsidR="00B526E6" w:rsidRPr="00F414ED" w:rsidRDefault="00B526E6" w:rsidP="004D3912">
            <w:pPr>
              <w:spacing w:after="120"/>
              <w:rPr>
                <w:rFonts w:ascii="Arial Narrow" w:hAnsi="Arial Narrow"/>
                <w:i/>
                <w:iCs/>
                <w:sz w:val="20"/>
                <w:szCs w:val="20"/>
              </w:rPr>
            </w:pPr>
            <w:r>
              <w:rPr>
                <w:rFonts w:ascii="Arial Narrow" w:hAnsi="Arial Narrow"/>
                <w:sz w:val="20"/>
                <w:szCs w:val="20"/>
              </w:rPr>
              <w:t xml:space="preserve">Applicable not more than once per patient per </w:t>
            </w:r>
            <w:r w:rsidRPr="00F414ED">
              <w:rPr>
                <w:rFonts w:ascii="Arial Narrow" w:hAnsi="Arial Narrow"/>
                <w:strike/>
                <w:sz w:val="20"/>
                <w:szCs w:val="20"/>
              </w:rPr>
              <w:t>course</w:t>
            </w:r>
            <w:r>
              <w:rPr>
                <w:rFonts w:ascii="Arial Narrow" w:hAnsi="Arial Narrow"/>
                <w:sz w:val="20"/>
                <w:szCs w:val="20"/>
              </w:rPr>
              <w:t xml:space="preserve"> </w:t>
            </w:r>
            <w:r w:rsidRPr="00F414ED">
              <w:rPr>
                <w:rFonts w:ascii="Arial Narrow" w:hAnsi="Arial Narrow"/>
                <w:i/>
                <w:iCs/>
                <w:color w:val="00B050"/>
                <w:sz w:val="20"/>
                <w:szCs w:val="20"/>
              </w:rPr>
              <w:t>episode</w:t>
            </w:r>
            <w:r w:rsidRPr="00F414ED">
              <w:rPr>
                <w:rFonts w:ascii="Arial Narrow" w:hAnsi="Arial Narrow"/>
                <w:color w:val="00B050"/>
                <w:sz w:val="20"/>
                <w:szCs w:val="20"/>
              </w:rPr>
              <w:t xml:space="preserve"> </w:t>
            </w:r>
            <w:r>
              <w:rPr>
                <w:rFonts w:ascii="Arial Narrow" w:hAnsi="Arial Narrow"/>
                <w:sz w:val="20"/>
                <w:szCs w:val="20"/>
              </w:rPr>
              <w:t xml:space="preserve">of disease </w:t>
            </w:r>
            <w:r w:rsidRPr="00F414ED">
              <w:rPr>
                <w:rFonts w:ascii="Arial Narrow" w:hAnsi="Arial Narrow"/>
                <w:i/>
                <w:iCs/>
                <w:color w:val="00B050"/>
                <w:sz w:val="20"/>
                <w:szCs w:val="20"/>
              </w:rPr>
              <w:t>or per relapse</w:t>
            </w:r>
            <w:r>
              <w:rPr>
                <w:rFonts w:ascii="Arial Narrow" w:hAnsi="Arial Narrow"/>
                <w:i/>
                <w:iCs/>
                <w:color w:val="00B050"/>
                <w:sz w:val="20"/>
                <w:szCs w:val="20"/>
              </w:rPr>
              <w:t>.</w:t>
            </w:r>
          </w:p>
          <w:p w14:paraId="049AF2C3" w14:textId="77777777" w:rsidR="00B526E6" w:rsidRPr="00F414ED" w:rsidRDefault="00B526E6" w:rsidP="004D3912">
            <w:pPr>
              <w:spacing w:after="120"/>
              <w:rPr>
                <w:rFonts w:ascii="Arial Narrow" w:hAnsi="Arial Narrow"/>
                <w:strike/>
                <w:sz w:val="20"/>
                <w:szCs w:val="20"/>
              </w:rPr>
            </w:pPr>
            <w:r w:rsidRPr="00F414ED">
              <w:rPr>
                <w:rFonts w:ascii="Arial Narrow" w:hAnsi="Arial Narrow"/>
                <w:strike/>
                <w:sz w:val="20"/>
                <w:szCs w:val="20"/>
              </w:rPr>
              <w:t>Maximum of 12 per course of disease for AAAA, BBBB, CCCC, DDDD, and EEEE combined</w:t>
            </w:r>
          </w:p>
          <w:p w14:paraId="475FC934" w14:textId="77777777" w:rsidR="00B526E6" w:rsidRPr="00DE762F" w:rsidRDefault="00B526E6" w:rsidP="004D3912">
            <w:pPr>
              <w:spacing w:after="120"/>
              <w:rPr>
                <w:rFonts w:ascii="Arial Narrow" w:hAnsi="Arial Narrow"/>
                <w:sz w:val="20"/>
                <w:szCs w:val="20"/>
              </w:rPr>
            </w:pPr>
            <w:r>
              <w:rPr>
                <w:rFonts w:ascii="Arial Narrow" w:hAnsi="Arial Narrow"/>
                <w:sz w:val="20"/>
                <w:szCs w:val="20"/>
              </w:rPr>
              <w:t>Fee: $</w:t>
            </w:r>
            <w:proofErr w:type="gramStart"/>
            <w:r>
              <w:rPr>
                <w:rFonts w:ascii="Arial Narrow" w:hAnsi="Arial Narrow"/>
                <w:sz w:val="20"/>
                <w:szCs w:val="20"/>
              </w:rPr>
              <w:t>3,000.00  Benefit</w:t>
            </w:r>
            <w:proofErr w:type="gramEnd"/>
            <w:r>
              <w:rPr>
                <w:rFonts w:ascii="Arial Narrow" w:hAnsi="Arial Narrow"/>
                <w:sz w:val="20"/>
                <w:szCs w:val="20"/>
              </w:rPr>
              <w:t>: 75% = $2,250.00  85% = $2,906.80</w:t>
            </w:r>
            <w:r w:rsidRPr="00190F01">
              <w:rPr>
                <w:rFonts w:ascii="Arial Narrow" w:hAnsi="Arial Narrow"/>
                <w:sz w:val="20"/>
                <w:szCs w:val="20"/>
              </w:rPr>
              <w:t>*</w:t>
            </w:r>
          </w:p>
        </w:tc>
      </w:tr>
      <w:tr w:rsidR="00B526E6" w:rsidRPr="005771DC" w14:paraId="43366B33" w14:textId="77777777" w:rsidTr="004D3912">
        <w:trPr>
          <w:cantSplit/>
          <w:tblHeader/>
        </w:trPr>
        <w:tc>
          <w:tcPr>
            <w:tcW w:w="9016" w:type="dxa"/>
            <w:tcBorders>
              <w:top w:val="single" w:sz="4" w:space="0" w:color="auto"/>
              <w:left w:val="single" w:sz="4" w:space="0" w:color="auto"/>
              <w:bottom w:val="single" w:sz="4" w:space="0" w:color="auto"/>
              <w:right w:val="single" w:sz="4" w:space="0" w:color="auto"/>
            </w:tcBorders>
            <w:vAlign w:val="center"/>
          </w:tcPr>
          <w:p w14:paraId="3A9A3C9B" w14:textId="77777777" w:rsidR="00B526E6" w:rsidRDefault="00B526E6" w:rsidP="004D3912">
            <w:pPr>
              <w:spacing w:after="120"/>
              <w:rPr>
                <w:rFonts w:ascii="Arial Narrow" w:hAnsi="Arial Narrow"/>
                <w:sz w:val="20"/>
                <w:szCs w:val="20"/>
              </w:rPr>
            </w:pPr>
            <w:r>
              <w:rPr>
                <w:rFonts w:ascii="Arial Narrow" w:hAnsi="Arial Narrow"/>
                <w:sz w:val="20"/>
                <w:szCs w:val="20"/>
              </w:rPr>
              <w:t>MBS item DDDD</w:t>
            </w:r>
          </w:p>
          <w:p w14:paraId="4A13DFB3" w14:textId="77777777" w:rsidR="00B526E6" w:rsidRPr="00B109B7" w:rsidRDefault="00B526E6" w:rsidP="004D3912">
            <w:pPr>
              <w:spacing w:after="120"/>
              <w:rPr>
                <w:rFonts w:ascii="Arial Narrow" w:hAnsi="Arial Narrow"/>
                <w:sz w:val="20"/>
                <w:szCs w:val="20"/>
              </w:rPr>
            </w:pPr>
            <w:r>
              <w:rPr>
                <w:rFonts w:ascii="Arial Narrow" w:hAnsi="Arial Narrow"/>
                <w:sz w:val="20"/>
                <w:szCs w:val="20"/>
              </w:rPr>
              <w:t>Measurable</w:t>
            </w:r>
            <w:r w:rsidRPr="00B109B7">
              <w:rPr>
                <w:rFonts w:ascii="Arial Narrow" w:hAnsi="Arial Narrow"/>
                <w:sz w:val="20"/>
                <w:szCs w:val="20"/>
              </w:rPr>
              <w:t xml:space="preserve"> residual disease testing by a </w:t>
            </w:r>
            <w:r>
              <w:rPr>
                <w:rFonts w:ascii="Arial Narrow" w:hAnsi="Arial Narrow"/>
                <w:sz w:val="20"/>
                <w:szCs w:val="20"/>
              </w:rPr>
              <w:t xml:space="preserve">quantitative patient-specific </w:t>
            </w:r>
            <w:r w:rsidRPr="00AE1B23">
              <w:rPr>
                <w:rFonts w:ascii="Arial Narrow" w:hAnsi="Arial Narrow"/>
                <w:i/>
                <w:iCs/>
                <w:color w:val="00B050"/>
                <w:sz w:val="20"/>
                <w:szCs w:val="20"/>
              </w:rPr>
              <w:t>molecular</w:t>
            </w:r>
            <w:r w:rsidRPr="00AE1B23">
              <w:rPr>
                <w:rFonts w:ascii="Arial Narrow" w:hAnsi="Arial Narrow"/>
                <w:color w:val="00B050"/>
                <w:sz w:val="20"/>
                <w:szCs w:val="20"/>
              </w:rPr>
              <w:t xml:space="preserve"> </w:t>
            </w:r>
            <w:r>
              <w:rPr>
                <w:rFonts w:ascii="Arial Narrow" w:hAnsi="Arial Narrow"/>
                <w:sz w:val="20"/>
                <w:szCs w:val="20"/>
              </w:rPr>
              <w:t>assay</w:t>
            </w:r>
            <w:r w:rsidRPr="00B109B7">
              <w:rPr>
                <w:rFonts w:ascii="Arial Narrow" w:hAnsi="Arial Narrow"/>
                <w:sz w:val="20"/>
                <w:szCs w:val="20"/>
              </w:rPr>
              <w:t xml:space="preserve"> </w:t>
            </w:r>
            <w:r>
              <w:rPr>
                <w:rFonts w:ascii="Arial Narrow" w:hAnsi="Arial Narrow"/>
                <w:sz w:val="20"/>
                <w:szCs w:val="20"/>
              </w:rPr>
              <w:t>on bone marrow</w:t>
            </w:r>
            <w:r w:rsidRPr="00F561C1">
              <w:rPr>
                <w:rFonts w:ascii="Arial Narrow" w:hAnsi="Arial Narrow"/>
                <w:sz w:val="20"/>
                <w:szCs w:val="20"/>
              </w:rPr>
              <w:t xml:space="preserve"> </w:t>
            </w:r>
            <w:r>
              <w:rPr>
                <w:rFonts w:ascii="Arial Narrow" w:hAnsi="Arial Narrow"/>
                <w:sz w:val="20"/>
                <w:szCs w:val="20"/>
              </w:rPr>
              <w:t xml:space="preserve">from a patient </w:t>
            </w:r>
            <w:r w:rsidRPr="00B109B7">
              <w:rPr>
                <w:rFonts w:ascii="Arial Narrow" w:hAnsi="Arial Narrow"/>
                <w:sz w:val="20"/>
                <w:szCs w:val="20"/>
              </w:rPr>
              <w:t>diagnosed with acute lymphoblastic leukaemia (ALL) treated with combination chemotherapy or after salvage therapy</w:t>
            </w:r>
            <w:r>
              <w:rPr>
                <w:rFonts w:ascii="Arial Narrow" w:hAnsi="Arial Narrow"/>
                <w:sz w:val="20"/>
                <w:szCs w:val="20"/>
              </w:rPr>
              <w:t xml:space="preserve">, requested by a </w:t>
            </w:r>
            <w:r w:rsidRPr="001A295C">
              <w:rPr>
                <w:rFonts w:ascii="Arial Narrow" w:hAnsi="Arial Narrow"/>
                <w:sz w:val="20"/>
                <w:szCs w:val="20"/>
              </w:rPr>
              <w:t xml:space="preserve">specialist or consultant physician </w:t>
            </w:r>
            <w:r>
              <w:rPr>
                <w:rFonts w:ascii="Arial Narrow" w:hAnsi="Arial Narrow"/>
                <w:sz w:val="20"/>
                <w:szCs w:val="20"/>
              </w:rPr>
              <w:t>practising as a haematologist or oncologist.</w:t>
            </w:r>
          </w:p>
          <w:p w14:paraId="7779A440" w14:textId="77777777" w:rsidR="00B526E6" w:rsidRPr="00F414ED" w:rsidRDefault="00B526E6" w:rsidP="004D3912">
            <w:pPr>
              <w:spacing w:after="120"/>
              <w:rPr>
                <w:rFonts w:ascii="Arial Narrow" w:hAnsi="Arial Narrow"/>
                <w:strike/>
                <w:sz w:val="20"/>
                <w:szCs w:val="20"/>
              </w:rPr>
            </w:pPr>
            <w:r w:rsidRPr="00F414ED">
              <w:rPr>
                <w:rFonts w:ascii="Arial Narrow" w:hAnsi="Arial Narrow"/>
                <w:strike/>
                <w:sz w:val="20"/>
                <w:szCs w:val="20"/>
              </w:rPr>
              <w:t>Maximum of 12 per course of disease for AAAA, BBBB, CCCC, DDDD, and EEEE combined</w:t>
            </w:r>
          </w:p>
          <w:p w14:paraId="109F1D5E" w14:textId="77777777" w:rsidR="00B526E6" w:rsidRPr="00DE762F" w:rsidRDefault="00B526E6" w:rsidP="004D3912">
            <w:pPr>
              <w:spacing w:after="120"/>
              <w:rPr>
                <w:rFonts w:ascii="Arial Narrow" w:hAnsi="Arial Narrow"/>
                <w:sz w:val="20"/>
                <w:szCs w:val="20"/>
              </w:rPr>
            </w:pPr>
            <w:r>
              <w:rPr>
                <w:rFonts w:ascii="Arial Narrow" w:hAnsi="Arial Narrow"/>
                <w:sz w:val="20"/>
                <w:szCs w:val="20"/>
              </w:rPr>
              <w:t>Fee: $780.</w:t>
            </w:r>
            <w:proofErr w:type="gramStart"/>
            <w:r>
              <w:rPr>
                <w:rFonts w:ascii="Arial Narrow" w:hAnsi="Arial Narrow"/>
                <w:sz w:val="20"/>
                <w:szCs w:val="20"/>
              </w:rPr>
              <w:t>00  Benefit</w:t>
            </w:r>
            <w:proofErr w:type="gramEnd"/>
            <w:r>
              <w:rPr>
                <w:rFonts w:ascii="Arial Narrow" w:hAnsi="Arial Narrow"/>
                <w:sz w:val="20"/>
                <w:szCs w:val="20"/>
              </w:rPr>
              <w:t>: 75% = $585.00  $85% = $686.80*</w:t>
            </w:r>
          </w:p>
        </w:tc>
      </w:tr>
    </w:tbl>
    <w:p w14:paraId="19BB6B61" w14:textId="77777777" w:rsidR="00B526E6" w:rsidRPr="00F414ED" w:rsidRDefault="00B526E6" w:rsidP="00B526E6">
      <w:pPr>
        <w:rPr>
          <w:i/>
          <w:iCs/>
          <w:color w:val="00B050"/>
        </w:rPr>
      </w:pPr>
      <w:r w:rsidRPr="00F414ED">
        <w:rPr>
          <w:i/>
          <w:iCs/>
          <w:color w:val="00B050"/>
        </w:rPr>
        <w:t xml:space="preserve">New </w:t>
      </w:r>
      <w:r>
        <w:rPr>
          <w:i/>
          <w:iCs/>
          <w:color w:val="00B050"/>
        </w:rPr>
        <w:t>P</w:t>
      </w:r>
      <w:r w:rsidRPr="00F414ED">
        <w:rPr>
          <w:i/>
          <w:iCs/>
          <w:color w:val="00B050"/>
        </w:rPr>
        <w:t xml:space="preserve">ractice </w:t>
      </w:r>
      <w:r>
        <w:rPr>
          <w:i/>
          <w:iCs/>
          <w:color w:val="00B050"/>
        </w:rPr>
        <w:t>N</w:t>
      </w:r>
      <w:r w:rsidRPr="00F414ED">
        <w:rPr>
          <w:i/>
          <w:iCs/>
          <w:color w:val="00B050"/>
        </w:rPr>
        <w:t>ote (CCCC, DDDD): The number of measurable residual disease (MRD) tests per patient, per episode of disease or per relapse is not expected to exceed 12, inclusive of a baseline assessment.</w:t>
      </w:r>
    </w:p>
    <w:p w14:paraId="461338A3" w14:textId="77777777" w:rsidR="00B526E6" w:rsidRDefault="00B526E6" w:rsidP="00B526E6">
      <w:pPr>
        <w:pStyle w:val="Tablenotes"/>
      </w:pPr>
      <w:r>
        <w:t>ESC’s additions are shown in green italics, and deletions in strikethrough.</w:t>
      </w:r>
    </w:p>
    <w:p w14:paraId="6A709B3B" w14:textId="77777777" w:rsidR="00B526E6" w:rsidRDefault="00B526E6" w:rsidP="00B526E6">
      <w:pPr>
        <w:pStyle w:val="Tablenotes"/>
        <w:spacing w:after="240"/>
      </w:pPr>
      <w:r w:rsidRPr="00A76FBB">
        <w:t xml:space="preserve">* </w:t>
      </w:r>
      <w:r>
        <w:t xml:space="preserve">85% benefit reflects the 1 November 2022 Greatest Permissible Gap (GPG) of $93.20. All out-of-hospital Medicare services that have an MBS fee of $621.50 or more will attract a benefit that is greater than 85% of the MBS fee – being the schedule fee less the GPG amount. </w:t>
      </w:r>
      <w:r>
        <w:lastRenderedPageBreak/>
        <w:t>The GPG amount is indexed annually on 1 November in line with the Consumer Price Index (CPI) (June quarter).</w:t>
      </w:r>
      <w:r w:rsidDel="003E389E">
        <w:t xml:space="preserve"> </w:t>
      </w:r>
      <w:r>
        <w:t>Source: MSAC Application 1703 and Ratified PICO 1703</w:t>
      </w:r>
    </w:p>
    <w:p w14:paraId="7D00145A" w14:textId="77777777" w:rsidR="00B526E6" w:rsidRDefault="00B526E6" w:rsidP="00B526E6">
      <w:r>
        <w:t xml:space="preserve">ESC considered that the reasons to use ASO-qPCR methodology specifically are because this method uses a patient-specific assay to target the genetic mutation in each patient’s dominant </w:t>
      </w:r>
      <w:proofErr w:type="spellStart"/>
      <w:r>
        <w:t>leukaemic</w:t>
      </w:r>
      <w:proofErr w:type="spellEnd"/>
      <w:r>
        <w:t xml:space="preserve"> clone, and it is a very sensitive method of MRD detection (more sensitive than </w:t>
      </w:r>
      <w:proofErr w:type="spellStart"/>
      <w:r>
        <w:t>mpFC</w:t>
      </w:r>
      <w:proofErr w:type="spellEnd"/>
      <w:r>
        <w:t xml:space="preserve"> but less sensitive than NGS). ESC noted that qPCR MRD testing is standardised for multi-site clinical trials through the </w:t>
      </w:r>
      <w:proofErr w:type="spellStart"/>
      <w:r>
        <w:t>EuroMRD</w:t>
      </w:r>
      <w:proofErr w:type="spellEnd"/>
      <w:r>
        <w:t xml:space="preserve"> group, and it is currently the method of choice for large international ALL trials registered in Europe.</w:t>
      </w:r>
      <w:r w:rsidRPr="00AE3E98">
        <w:t xml:space="preserve"> </w:t>
      </w:r>
      <w:r>
        <w:t xml:space="preserve">ESC noted the evidence suggested that </w:t>
      </w:r>
      <w:proofErr w:type="spellStart"/>
      <w:r>
        <w:t>mpFC</w:t>
      </w:r>
      <w:proofErr w:type="spellEnd"/>
      <w:r>
        <w:t xml:space="preserve"> and qPCR may be used as complementary MRD methodologies in early stages as well as in late stages after therapy, and there are clinical, </w:t>
      </w:r>
      <w:proofErr w:type="gramStart"/>
      <w:r>
        <w:t>technical</w:t>
      </w:r>
      <w:proofErr w:type="gramEnd"/>
      <w:r>
        <w:t xml:space="preserve"> and logistical reasons why laboratories may wish to have more than one publicly funded method available.</w:t>
      </w:r>
    </w:p>
    <w:p w14:paraId="0719AC72" w14:textId="695BD81C" w:rsidR="00B526E6" w:rsidRDefault="00B526E6" w:rsidP="00B526E6">
      <w:r>
        <w:t xml:space="preserve">ESC noted that bone marrow (usually aspirate or occasionally biopsy) is the preferred sample type to perform MRD testing, and that PASC had considered the use of peripheral blood but had advised the assessment should be limited to bone marrow samples. ESC noted that at initial diagnosis the proportion of blasts in peripheral blood is typically high, so considered that restricting the sample to be used for assay development (item CCCC) to bone marrow samples may not be necessary. </w:t>
      </w:r>
      <w:r w:rsidRPr="000D2AD5">
        <w:t>ESC further noted scientific literature</w:t>
      </w:r>
      <w:r>
        <w:t xml:space="preserve"> that</w:t>
      </w:r>
      <w:r w:rsidRPr="000D2AD5">
        <w:t xml:space="preserve"> support</w:t>
      </w:r>
      <w:r>
        <w:t>ed</w:t>
      </w:r>
      <w:r w:rsidRPr="000D2AD5">
        <w:t xml:space="preserve"> that peripheral blood may alternatively be used for MRD</w:t>
      </w:r>
      <w:r>
        <w:t xml:space="preserve"> testing</w:t>
      </w:r>
      <w:r>
        <w:rPr>
          <w:rStyle w:val="FootnoteReference"/>
        </w:rPr>
        <w:footnoteReference w:id="17"/>
      </w:r>
      <w:r w:rsidRPr="00EB5AD2">
        <w:rPr>
          <w:vertAlign w:val="superscript"/>
        </w:rPr>
        <w:t>,</w:t>
      </w:r>
      <w:r>
        <w:rPr>
          <w:rStyle w:val="FootnoteReference"/>
        </w:rPr>
        <w:footnoteReference w:id="18"/>
      </w:r>
      <w:r>
        <w:t>, especially for patients with T-ALL</w:t>
      </w:r>
      <w:r>
        <w:rPr>
          <w:rStyle w:val="FootnoteReference"/>
        </w:rPr>
        <w:footnoteReference w:id="19"/>
      </w:r>
      <w:r w:rsidRPr="00EB5AD2">
        <w:rPr>
          <w:vertAlign w:val="superscript"/>
        </w:rPr>
        <w:t>,</w:t>
      </w:r>
      <w:r>
        <w:rPr>
          <w:rStyle w:val="FootnoteReference"/>
        </w:rPr>
        <w:footnoteReference w:id="20"/>
      </w:r>
      <w:r>
        <w:t>, and that in its experience peripheral blood samples were occasionally used when a bone marrow sample was unavailable, and that a positive MRD result from peripheral blood was likely a true positive, although the converse was not necessarily true</w:t>
      </w:r>
      <w:r w:rsidRPr="000D2AD5">
        <w:t xml:space="preserve">. ESC noted that MRD levels tend to be higher in bone marrow than in peripheral </w:t>
      </w:r>
      <w:proofErr w:type="gramStart"/>
      <w:r w:rsidRPr="000D2AD5">
        <w:t>blood</w:t>
      </w:r>
      <w:r>
        <w:t>,</w:t>
      </w:r>
      <w:r w:rsidRPr="000D2AD5">
        <w:t xml:space="preserve"> but</w:t>
      </w:r>
      <w:proofErr w:type="gramEnd"/>
      <w:r w:rsidRPr="000D2AD5">
        <w:t xml:space="preserve"> </w:t>
      </w:r>
      <w:r>
        <w:t xml:space="preserve">considered that </w:t>
      </w:r>
      <w:r w:rsidRPr="000D2AD5">
        <w:t xml:space="preserve">for some patients a bone marrow specimen may not be available and a peripheral blood sample could potentially be used to </w:t>
      </w:r>
      <w:r>
        <w:t>provide</w:t>
      </w:r>
      <w:r w:rsidRPr="000D2AD5">
        <w:t xml:space="preserve"> a positive MRD result. </w:t>
      </w:r>
      <w:r>
        <w:t xml:space="preserve">ESC considered there is a chance that the biomarker could differ between tissues, and while this was not examined by the assessment, noted that </w:t>
      </w:r>
      <w:proofErr w:type="spellStart"/>
      <w:r>
        <w:t>Coustan</w:t>
      </w:r>
      <w:proofErr w:type="spellEnd"/>
      <w:r>
        <w:t>-Smith 2002 reported MRD testing in blood samples detected 100% (n=35) of bone marrow positives in patients with T-ALL, although only 36% (37/104) of bone marrow positives in patients with B-ALL. ESC requested the Department seek expert advice from organisations such as the HSANZ</w:t>
      </w:r>
      <w:r w:rsidRPr="00E0692D">
        <w:t xml:space="preserve"> </w:t>
      </w:r>
      <w:r>
        <w:t>to inform MSAC’s consideration of whether ASO-qPCR assay design and/or subsequent MRD testing could also use peripheral blood samples.</w:t>
      </w:r>
      <w:r w:rsidRPr="0020108F">
        <w:t xml:space="preserve"> </w:t>
      </w:r>
      <w:r>
        <w:t>ESC noted that occasionally when sampling bone marrow a “dry tap” occurs where no bone marrow cells are collected, and considered that it was reasonable to perform MRD testing on the sample collected by a bone marrow biopsy even if the sample was a dry tap.</w:t>
      </w:r>
    </w:p>
    <w:p w14:paraId="7EF94CAE" w14:textId="77777777" w:rsidR="00B526E6" w:rsidRDefault="00B526E6" w:rsidP="00B526E6">
      <w:r>
        <w:t xml:space="preserve">On test sensitivity and accuracy, ESC noted MSAC had already accepted under application 1707 that MRD testing using </w:t>
      </w:r>
      <w:proofErr w:type="spellStart"/>
      <w:r>
        <w:t>mpFC</w:t>
      </w:r>
      <w:proofErr w:type="spellEnd"/>
      <w:r>
        <w:t xml:space="preserve"> or NGS was vastly more sensitive than morphological assessment (+/- cytogenetics) in patients with ALL. ESC noted the DCAR’s analysis of 35 cohort studies showed poor concordance between qPCR and morphological assessment (average concordance 58%), and high concordance between qPCR and </w:t>
      </w:r>
      <w:proofErr w:type="spellStart"/>
      <w:r>
        <w:t>mpFC</w:t>
      </w:r>
      <w:proofErr w:type="spellEnd"/>
      <w:r>
        <w:t xml:space="preserve"> (average concordance 84%). ESC considered the limited available evidence showed qPCR performed better than morphological assessment in detecting MRD, although was insufficient to determine whether NGS or qPCR was superior as it was comprised of studies with small samples sizes that reported variable concordance rates. ESC noted the heterogeneity between studies made it difficult to conclude the most effective threshold of sensitivity for qPCR, although it showed that qPCR was more effective at higher thresholds of sensitivity of detection rather than lower when compared with morphological assessment.</w:t>
      </w:r>
    </w:p>
    <w:p w14:paraId="3CFFA30D" w14:textId="77777777" w:rsidR="00B526E6" w:rsidRDefault="00B526E6" w:rsidP="00B526E6">
      <w:r>
        <w:t>ESC noted that the applicant had claimed that MRD testing is superior to bone marrow morphological assessment because it allows more appropriate treatment allocation. ESC agreed that the clinical utility of MRD testing is well established, and noted that in relation to application 1707 MSAC had already accepted “</w:t>
      </w:r>
      <w:r>
        <w:rPr>
          <w:i/>
          <w:iCs/>
        </w:rPr>
        <w:t>that i</w:t>
      </w:r>
      <w:r w:rsidRPr="00CB4C6A">
        <w:rPr>
          <w:i/>
          <w:iCs/>
        </w:rPr>
        <w:t>ncorporation of MRD testing into the care pathway was of prognostic significance and that the MRD test results changed patient management</w:t>
      </w:r>
      <w:r>
        <w:t>”</w:t>
      </w:r>
      <w:r>
        <w:rPr>
          <w:rStyle w:val="FootnoteReference"/>
        </w:rPr>
        <w:footnoteReference w:id="21"/>
      </w:r>
      <w:r>
        <w:t>. ESC considered the DCAR presented evidence supporting the improved prognostic accuracy, changes in management and improved health outcomes with MRD testing compared to no MRD testing.</w:t>
      </w:r>
    </w:p>
    <w:p w14:paraId="361EFCAB" w14:textId="77777777" w:rsidR="00B526E6" w:rsidRDefault="00B526E6" w:rsidP="00B526E6">
      <w:r>
        <w:t xml:space="preserve">ESC noted that the MBS fee proposed for item CCCC was $3,000 and that the costing in the PICO showed this was mainly due to the high scientific labour cost to develop a patient-specific ASO-qPCR assay. ESC noted the fee for MBS item DDDD was lower at $780 to reflect the subsequent lower cost of running the developed patient-specific assay. ESC considered that ASO-qPCR is more expensive than other molecular methods because unique primers need to be developed for each patient to monitor the presence of disease. </w:t>
      </w:r>
      <w:r w:rsidRPr="00821E78">
        <w:t xml:space="preserve">ESC considered it was uncertain whether the </w:t>
      </w:r>
      <w:r>
        <w:t xml:space="preserve">higher proposed </w:t>
      </w:r>
      <w:r w:rsidRPr="00821E78">
        <w:t>fees for ASO-qPCR would also be appropriate for other qPCR methods</w:t>
      </w:r>
      <w:r>
        <w:t xml:space="preserve">. ESC also noted that ASO-qPCR is more labour-intensive than methods such as NGS and </w:t>
      </w:r>
      <w:proofErr w:type="spellStart"/>
      <w:r>
        <w:t>mpFC</w:t>
      </w:r>
      <w:proofErr w:type="spellEnd"/>
      <w:r>
        <w:t>, and that not all laboratories will have the capacity to offer MRD testing using ASO</w:t>
      </w:r>
      <w:r w:rsidRPr="000506E2">
        <w:t xml:space="preserve">-qPCR. </w:t>
      </w:r>
      <w:r w:rsidRPr="00113186">
        <w:t xml:space="preserve">ESC also noted that the specific primers and probes required for ASO-qPCR </w:t>
      </w:r>
      <w:r>
        <w:t>are</w:t>
      </w:r>
      <w:r w:rsidRPr="00113186">
        <w:t xml:space="preserve"> not universal</w:t>
      </w:r>
      <w:r>
        <w:t>ly available,</w:t>
      </w:r>
      <w:r w:rsidRPr="00113186">
        <w:t xml:space="preserve"> </w:t>
      </w:r>
      <w:r>
        <w:t>which</w:t>
      </w:r>
      <w:r w:rsidRPr="00113186">
        <w:t xml:space="preserve"> could</w:t>
      </w:r>
      <w:r>
        <w:t xml:space="preserve"> contribute</w:t>
      </w:r>
      <w:r w:rsidRPr="00113186">
        <w:t xml:space="preserve"> to equity-of-access issues.</w:t>
      </w:r>
    </w:p>
    <w:p w14:paraId="5DD008E1" w14:textId="77777777" w:rsidR="00B526E6" w:rsidRDefault="00B526E6" w:rsidP="00B526E6">
      <w:r>
        <w:t>ESC noted that the economic evaluation was a cost-effectiveness analysis and a cost-utility analysis, and that the MRD testing methodology for items CCCC/DDDD was described as “PCR”, which it considered was broad and encompassed any type of PCR. Overall, ESC considered the economic model was detailed and well considered, and most of its assumptions seemed reasonable. ESC compared the economic model against that from 1707, and noted that there were many similarities. The differences were that the intervention for 1703 also included PCR, and the 1703 model was a partitioned survival analysis using proportional hazards modelling. ESC noted there was no direct comparative evidence, so the DCAR had instead constructed a large network of multiple indirect comparisons. ESC also noted that the 1703 model had more health states, which it considered was appropriate. ESC considered the model was very detailed. ESC noted there had only been one previous published model: a Canadian model in 2016</w:t>
      </w:r>
      <w:r>
        <w:rPr>
          <w:rStyle w:val="FootnoteReference"/>
        </w:rPr>
        <w:footnoteReference w:id="22"/>
      </w:r>
      <w:r>
        <w:t xml:space="preserve"> that was more straightforward with only nine health states, and which did not include updated therapies. ESC considered the DCAR’s model was therefore an improvement on previous published models.</w:t>
      </w:r>
    </w:p>
    <w:p w14:paraId="10F19B00" w14:textId="77777777" w:rsidR="00B526E6" w:rsidRDefault="00B526E6" w:rsidP="00B526E6">
      <w:r>
        <w:t xml:space="preserve">ESC considered that the model’s approach to model transition probabilities was unique, in that it digitised Kaplan-Meier curve data to derive the transition probabilities, then applied hazard ratios to those rates, and did so for relapse-free survival (RFS) for both adult and paediatric populations. ESC considered this approach was robust, </w:t>
      </w:r>
      <w:proofErr w:type="gramStart"/>
      <w:r>
        <w:t>valid</w:t>
      </w:r>
      <w:proofErr w:type="gramEnd"/>
      <w:r>
        <w:t xml:space="preserve"> and detailed. ESC noted b</w:t>
      </w:r>
      <w:r w:rsidRPr="00D9593A">
        <w:t xml:space="preserve">aseline survival curves were validated against the model survival output. </w:t>
      </w:r>
    </w:p>
    <w:p w14:paraId="1FD3FAC3" w14:textId="77777777" w:rsidR="00B526E6" w:rsidRDefault="00B526E6" w:rsidP="00B526E6">
      <w:r>
        <w:t xml:space="preserve">ESC considered that other limitations of the model </w:t>
      </w:r>
      <w:r w:rsidRPr="00D9593A">
        <w:t xml:space="preserve">included that </w:t>
      </w:r>
      <w:r>
        <w:t>using this approach it</w:t>
      </w:r>
      <w:r w:rsidRPr="00D9593A">
        <w:t xml:space="preserve"> could only </w:t>
      </w:r>
      <w:r>
        <w:t>include</w:t>
      </w:r>
      <w:r w:rsidRPr="00D9593A">
        <w:t xml:space="preserve"> </w:t>
      </w:r>
      <w:r>
        <w:t>published data that contained</w:t>
      </w:r>
      <w:r w:rsidRPr="00D9593A">
        <w:t xml:space="preserve"> Kaplan–Meier curves</w:t>
      </w:r>
      <w:r>
        <w:t xml:space="preserve">. ESC also considered that the model made assumptions, although most of these were reasonable. Assumptions included: that event-free survival (EFS) was interchangeable with RFS; </w:t>
      </w:r>
      <w:proofErr w:type="gramStart"/>
      <w:r>
        <w:t>that studies</w:t>
      </w:r>
      <w:proofErr w:type="gramEnd"/>
      <w:r>
        <w:t xml:space="preserve"> reporting health outcomes in adults or children can be used for the other population when no data are available; and that disease progression with each therapy is independent of line of therapy. ESC considered that the relapse rates used in the model were quite high (29%) and uncertain given the applicant had estimated 50% relapse in infants aged under 12 months and 10% for patients aged 1-18 (PICO, page 5), although not per MRD test and the period to which the stated rates referred was uncertain. ESC noted the model had assumed a relapse rate in the paediatric population in year 3 from morphological analysis of 73%, which was higher than the applicant’s advice. However, ESC considered that sensitivity analyses showed that the relapse rates did not significantly affect the ICERs. ESC also queried how the 6-month terminal care costs had been applied, and noted that the utilities for “high risk” patients were assumed to be half that of “standard risk” patients, which it considered to be uncertain.</w:t>
      </w:r>
    </w:p>
    <w:p w14:paraId="2247C151" w14:textId="77777777" w:rsidR="00B526E6" w:rsidRDefault="00B526E6" w:rsidP="00B526E6">
      <w:r>
        <w:t>Another l</w:t>
      </w:r>
      <w:r w:rsidRPr="00D9593A">
        <w:t xml:space="preserve">imitation of the model </w:t>
      </w:r>
      <w:r>
        <w:t>was that it assumed there would be no relapsed patients in year 1 or 2, from patients diagnosed prior to year 1 or incident patients, which ESC considered was likely not realistic given the high relapse rates in some types of ALL</w:t>
      </w:r>
      <w:r w:rsidRPr="00D9593A">
        <w:t>.</w:t>
      </w:r>
      <w:r>
        <w:t xml:space="preserve"> ESC also noted that very young and very old patients are more likely to relapse within two years. ESC considered that the proportion of patients who would relapse within the first two years should be included, as while it would likely not make a significant impact on the ICERs it would affect the financial impact.</w:t>
      </w:r>
    </w:p>
    <w:p w14:paraId="35CFF5ED" w14:textId="77777777" w:rsidR="00B526E6" w:rsidRDefault="00B526E6" w:rsidP="00B526E6">
      <w:r>
        <w:t xml:space="preserve">ESC noted other limitations of the model, including the heterogeneous outcomes from the indirect comparisons and the assumptions used for the proportional hazards modelling approach, but considered the sensitivity analyses demonstrated that the ICERs were robust and none of the variations to inputs significantly affected the ICERs, or the financial analyses. However, due to the assumptions, there was still uncertainty associated with the model and the results should be interpreted with caution. </w:t>
      </w:r>
    </w:p>
    <w:p w14:paraId="061A531A" w14:textId="77777777" w:rsidR="00B526E6" w:rsidRDefault="00B526E6" w:rsidP="00B526E6">
      <w:r>
        <w:t>ESC noted stepped incremental cost-effectiveness ratios (ICERs) were presented separately by MRD testing method (</w:t>
      </w:r>
      <w:r>
        <w:fldChar w:fldCharType="begin"/>
      </w:r>
      <w:r>
        <w:instrText>REF _Ref118923687</w:instrText>
      </w:r>
      <w:r>
        <w:fldChar w:fldCharType="separate"/>
      </w:r>
      <w:r>
        <w:t xml:space="preserve">Table </w:t>
      </w:r>
      <w:r>
        <w:rPr>
          <w:noProof/>
        </w:rPr>
        <w:t>7</w:t>
      </w:r>
      <w:r>
        <w:fldChar w:fldCharType="end"/>
      </w:r>
      <w:r>
        <w:t>)</w:t>
      </w:r>
      <w:r w:rsidRPr="00F414ED">
        <w:t>.</w:t>
      </w:r>
      <w:r>
        <w:t xml:space="preserve"> ESC noted that the effectiveness result for qPCR for adults in step 1 represented a 5-year survival of 67.5%, which it considered aligned very closely with the reported 69% 5-year survival. ESC also compared the CUA results between the different MRD testing </w:t>
      </w:r>
      <w:proofErr w:type="gramStart"/>
      <w:r>
        <w:t>methods, and</w:t>
      </w:r>
      <w:proofErr w:type="gramEnd"/>
      <w:r>
        <w:t xml:space="preserve"> noted that </w:t>
      </w:r>
      <w:r w:rsidRPr="00964596">
        <w:t>inc</w:t>
      </w:r>
      <w:r>
        <w:t>remental</w:t>
      </w:r>
      <w:r w:rsidRPr="00964596">
        <w:t xml:space="preserve"> QALYs</w:t>
      </w:r>
      <w:r>
        <w:t xml:space="preserve"> for</w:t>
      </w:r>
      <w:r w:rsidRPr="00964596">
        <w:t xml:space="preserve"> PCR </w:t>
      </w:r>
      <w:r>
        <w:t>were</w:t>
      </w:r>
      <w:r w:rsidRPr="00964596">
        <w:t xml:space="preserve"> higher </w:t>
      </w:r>
      <w:r>
        <w:t xml:space="preserve">than other methods </w:t>
      </w:r>
      <w:r w:rsidRPr="00964596">
        <w:t>in adults but lowe</w:t>
      </w:r>
      <w:r>
        <w:t>r</w:t>
      </w:r>
      <w:r w:rsidRPr="00964596">
        <w:t xml:space="preserve"> </w:t>
      </w:r>
      <w:r>
        <w:t xml:space="preserve">than other methods </w:t>
      </w:r>
      <w:r w:rsidRPr="00964596">
        <w:t xml:space="preserve">in </w:t>
      </w:r>
      <w:r>
        <w:t>children, whereas incremental costs for PCR were h</w:t>
      </w:r>
      <w:r w:rsidRPr="00964596">
        <w:t xml:space="preserve">igher </w:t>
      </w:r>
      <w:r>
        <w:t xml:space="preserve">than other methods </w:t>
      </w:r>
      <w:r w:rsidRPr="00964596">
        <w:t xml:space="preserve">in </w:t>
      </w:r>
      <w:r>
        <w:t xml:space="preserve">children and between those of </w:t>
      </w:r>
      <w:proofErr w:type="spellStart"/>
      <w:r>
        <w:t>mpFC</w:t>
      </w:r>
      <w:proofErr w:type="spellEnd"/>
      <w:r>
        <w:t xml:space="preserve"> and NGS</w:t>
      </w:r>
      <w:r w:rsidRPr="00964596">
        <w:t xml:space="preserve"> for adults</w:t>
      </w:r>
      <w:r>
        <w:t xml:space="preserve"> (</w:t>
      </w:r>
      <w:r>
        <w:fldChar w:fldCharType="begin"/>
      </w:r>
      <w:r>
        <w:instrText>REF _Ref69725870</w:instrText>
      </w:r>
      <w:r>
        <w:fldChar w:fldCharType="separate"/>
      </w:r>
      <w:r w:rsidRPr="00CE28E3">
        <w:t>Table</w:t>
      </w:r>
      <w:r>
        <w:t> </w:t>
      </w:r>
      <w:r>
        <w:rPr>
          <w:noProof/>
        </w:rPr>
        <w:t>8</w:t>
      </w:r>
      <w:r>
        <w:fldChar w:fldCharType="end"/>
      </w:r>
      <w:r>
        <w:t>)</w:t>
      </w:r>
      <w:r w:rsidRPr="00964596">
        <w:t>.</w:t>
      </w:r>
      <w:r>
        <w:t xml:space="preserve"> </w:t>
      </w:r>
    </w:p>
    <w:p w14:paraId="3AF2C34B" w14:textId="574E1D0C" w:rsidR="00B526E6" w:rsidRDefault="00B526E6" w:rsidP="00B526E6">
      <w:r>
        <w:t>ESC noted the possibility of insufficient sample requiring a re-biopsy had not been considered by the DCAR, though the applicant had previously commented that “</w:t>
      </w:r>
      <w:proofErr w:type="spellStart"/>
      <w:r w:rsidRPr="00F23829">
        <w:t>rebiopsies</w:t>
      </w:r>
      <w:proofErr w:type="spellEnd"/>
      <w:r w:rsidRPr="00F23829">
        <w:t xml:space="preserve"> occur in very rare circumstances, and could occur for MRD testing alone</w:t>
      </w:r>
      <w:r>
        <w:t>” (PICO, page 8), and in relation to application 1707 MSAC had advised that “</w:t>
      </w:r>
      <w:r w:rsidRPr="006A32BD">
        <w:rPr>
          <w:i/>
          <w:iCs/>
        </w:rPr>
        <w:t>typically no additional clinical procedures are needed to allow MRD testing to take place</w:t>
      </w:r>
      <w:r>
        <w:t xml:space="preserve">” (1707 PSD, page 5). ESC considered that additional bone marrow sampling may be required to support the proposed services, though likely this would be rare and would not have a large impact on the </w:t>
      </w:r>
      <w:r w:rsidRPr="001E3A1D">
        <w:t xml:space="preserve">ICERs. </w:t>
      </w:r>
      <w:r w:rsidRPr="006A32BD">
        <w:t>Post-ESC, the HTA group provided updated</w:t>
      </w:r>
      <w:r w:rsidRPr="001E3A1D">
        <w:t xml:space="preserve"> economic result</w:t>
      </w:r>
      <w:r w:rsidRPr="006A32BD">
        <w:t>s for PCR methods including a re-biopsy rate of 4% per annum</w:t>
      </w:r>
      <w:r w:rsidRPr="001E3A1D">
        <w:t>: these showed the</w:t>
      </w:r>
      <w:r>
        <w:t xml:space="preserve"> IC</w:t>
      </w:r>
      <w:r w:rsidR="0089008B">
        <w:t>E</w:t>
      </w:r>
      <w:r>
        <w:t>R for adults increased from $7,318 to $7,334 per QALY (0.22% increase), and the IC</w:t>
      </w:r>
      <w:r w:rsidR="00C53DC5">
        <w:t>E</w:t>
      </w:r>
      <w:r>
        <w:t>R for the paediatric population increased from $30,788 to $30,821 per QALY (0.11% increase) (</w:t>
      </w:r>
      <w:r>
        <w:fldChar w:fldCharType="begin"/>
      </w:r>
      <w:r>
        <w:instrText>REF _Ref69725870</w:instrText>
      </w:r>
      <w:r>
        <w:fldChar w:fldCharType="separate"/>
      </w:r>
      <w:r w:rsidRPr="00CE28E3">
        <w:t>Table</w:t>
      </w:r>
      <w:r>
        <w:t> </w:t>
      </w:r>
      <w:r>
        <w:rPr>
          <w:noProof/>
        </w:rPr>
        <w:t>8</w:t>
      </w:r>
      <w:r>
        <w:fldChar w:fldCharType="end"/>
      </w:r>
      <w:r>
        <w:t>).</w:t>
      </w:r>
    </w:p>
    <w:p w14:paraId="0E3AEC97" w14:textId="77777777" w:rsidR="00B526E6" w:rsidRDefault="00B526E6" w:rsidP="00B526E6">
      <w:r>
        <w:t>ESC noted that the sensitivity analyses showed that the ICERs were overall very stable; the main drivers were the hazard ratios and clinical parameters. ESC noted that the PICO defined the primary comparator as “m</w:t>
      </w:r>
      <w:r w:rsidRPr="00DC1FD8">
        <w:t>orphological assessment ± cytogenetic analysis</w:t>
      </w:r>
      <w:r>
        <w:t>”, and that the DCAR had mainly used morphological assessment without cytogenetics. ESC noted that the comparator ‘morphological assessment plus cytogenetics’ had been addressed through sensitivity analyses, and that using this comparator increased the ICER by 54.5% in adults and 75.4% in children. ESC considered that the additional value of cytogenetic testing was uncertain, and that given MRD testing is commonly used this comparison may not be highly relevant. ESC noted that threshold analyses showed uptake rates and the proportion of patients eligible for testing changed the economic results by 15-20%.</w:t>
      </w:r>
    </w:p>
    <w:p w14:paraId="05931641" w14:textId="77777777" w:rsidR="00B526E6" w:rsidRDefault="00B526E6" w:rsidP="00B526E6">
      <w:r>
        <w:t xml:space="preserve">ESC also compared the weighted cost-utility analysis results (for </w:t>
      </w:r>
      <w:proofErr w:type="spellStart"/>
      <w:r>
        <w:t>mpFC</w:t>
      </w:r>
      <w:proofErr w:type="spellEnd"/>
      <w:r>
        <w:t xml:space="preserve">, PCR and NGS) against those from application 1707 (for </w:t>
      </w:r>
      <w:proofErr w:type="spellStart"/>
      <w:r>
        <w:t>mpFC</w:t>
      </w:r>
      <w:proofErr w:type="spellEnd"/>
      <w:r>
        <w:t xml:space="preserve"> and NGS), and considered that there were many differences between the two economic models. ESC noted that the adult and paediatric ICERs estimated in 1703 were approximately one third of those estimated in 1707.</w:t>
      </w:r>
    </w:p>
    <w:p w14:paraId="76C97455" w14:textId="77777777" w:rsidR="00B526E6" w:rsidRDefault="00B526E6" w:rsidP="00B526E6">
      <w:r>
        <w:t xml:space="preserve">ESC noted that the proportion of patients estimated to use each method of MRD testing was estimated by the DCAR to be 24% </w:t>
      </w:r>
      <w:proofErr w:type="spellStart"/>
      <w:r>
        <w:t>mpFC</w:t>
      </w:r>
      <w:proofErr w:type="spellEnd"/>
      <w:r>
        <w:t xml:space="preserve"> / 38% NGS /38% qPCR, although evidence for this was limited. The DCAR had based its estimated proportions on only 90% of the 85% of patients with B-ALL having sequences identifiable by the </w:t>
      </w:r>
      <w:proofErr w:type="spellStart"/>
      <w:r>
        <w:t>clonoSEQ</w:t>
      </w:r>
      <w:proofErr w:type="spellEnd"/>
      <w:r w:rsidRPr="00EB5AD2">
        <w:rPr>
          <w:vertAlign w:val="superscript"/>
        </w:rPr>
        <w:t>®</w:t>
      </w:r>
      <w:r>
        <w:t xml:space="preserve"> NGS assay according to the 1707 ADAR (and therefore the remaining patients could only receive </w:t>
      </w:r>
      <w:proofErr w:type="spellStart"/>
      <w:r>
        <w:t>mpFC</w:t>
      </w:r>
      <w:proofErr w:type="spellEnd"/>
      <w:r>
        <w:t xml:space="preserve"> MRD testing in the 1707 assessment as it did not include PCR), giving an estimated 23.5% of patients with ALL that were assumed in the 1703 DCAR to not be able to use NGS or ASO-qPCR methods, then dividing the remainder of patients equally between NGS and qPCR methods. However, ESC noted that in relation to application 1707 MSAC had considered the 15% of patients who have T-ALL would not be ineligible for MRD testing using generic NGS methods.</w:t>
      </w:r>
    </w:p>
    <w:p w14:paraId="2980CDFA" w14:textId="77777777" w:rsidR="00B526E6" w:rsidRDefault="00B526E6" w:rsidP="00B526E6">
      <w:r>
        <w:t xml:space="preserve">ESC noted that the estimated number of MRD services was lower than that previously reported in application 1707, and considered that the numbers of services presented in application 1703 were more accurate because they used an average growth rate of 1.7% based on the ALL-specific incidence, whereas 1707 had used an average growth rate of 3% based on all haematological cancers. However, ESC also considered that the omission of patients relapsing within years 1 and 2 as described above meant the utilisation and financial impact would have been underestimated in those </w:t>
      </w:r>
      <w:r w:rsidRPr="0003093F">
        <w:t>years.</w:t>
      </w:r>
      <w:r w:rsidRPr="00EB5AD2">
        <w:t xml:space="preserve"> Post-ESC, the HTA group provided financial analyses updated to include patients relapsing within years 1 and 2 </w:t>
      </w:r>
      <w:r w:rsidRPr="0003093F">
        <w:t>as well as a re-biopsy rat</w:t>
      </w:r>
      <w:r w:rsidRPr="00EB5AD2">
        <w:t>e of 4% per annum</w:t>
      </w:r>
      <w:r w:rsidRPr="0003093F">
        <w:t>: these showed that the cost to the MBS</w:t>
      </w:r>
      <w:r>
        <w:t xml:space="preserve"> would be approximately $100,000 per year higher in years </w:t>
      </w:r>
      <w:proofErr w:type="gramStart"/>
      <w:r>
        <w:t>3-6, and</w:t>
      </w:r>
      <w:proofErr w:type="gramEnd"/>
      <w:r>
        <w:t xml:space="preserve"> depending on the relapse rate $200,000-$425,000 higher in years 1-2 (</w:t>
      </w:r>
      <w:r>
        <w:fldChar w:fldCharType="begin"/>
      </w:r>
      <w:r>
        <w:instrText>REF _Ref121906676</w:instrText>
      </w:r>
      <w:r>
        <w:fldChar w:fldCharType="separate"/>
      </w:r>
      <w:r>
        <w:t xml:space="preserve">Table </w:t>
      </w:r>
      <w:r>
        <w:rPr>
          <w:noProof/>
        </w:rPr>
        <w:t>10</w:t>
      </w:r>
      <w:r>
        <w:fldChar w:fldCharType="end"/>
      </w:r>
      <w:r>
        <w:t>). ESC noted relapse rates were based on the applicant’s estimated relapse rates as stated in the PICO, although because it was unclear what timeframe those rates were measured across scenarios were provided for year 1 and 2 relapse rates of either 3% and 17% per annum (for a 3-year relapse rate), or 10% and 50% per annum (for a 1-year relapse rate). ESC noted the revised financial impact to the MBS was approximately $2.4-$2.7 million per year, depending on relapse rate (</w:t>
      </w:r>
      <w:r>
        <w:fldChar w:fldCharType="begin"/>
      </w:r>
      <w:r>
        <w:instrText>REF _Ref121906676</w:instrText>
      </w:r>
      <w:r>
        <w:fldChar w:fldCharType="separate"/>
      </w:r>
      <w:r>
        <w:t xml:space="preserve">Table </w:t>
      </w:r>
      <w:r>
        <w:rPr>
          <w:noProof/>
        </w:rPr>
        <w:t>10</w:t>
      </w:r>
      <w:r>
        <w:fldChar w:fldCharType="end"/>
      </w:r>
      <w:r>
        <w:t>).</w:t>
      </w:r>
    </w:p>
    <w:p w14:paraId="4D6AB547" w14:textId="77777777" w:rsidR="00B526E6" w:rsidRDefault="00B526E6" w:rsidP="00B526E6">
      <w:r>
        <w:t>Because the fees for MBS items CCCC and DDDD were proposed specifically for ASO-qPCR, ESC considered the financial analysis was therefore specific to ASO-qPCR, which may be misaligned with the broader set of PCR methodologies included in the clinical and economic evaluations.</w:t>
      </w:r>
    </w:p>
    <w:p w14:paraId="27DADF66" w14:textId="626FA736" w:rsidR="00B526E6" w:rsidRPr="00B526E6" w:rsidRDefault="00B526E6" w:rsidP="00B526E6">
      <w:r>
        <w:t>ESC noted that the NPAAC had advised that the MRD assay needs to be validated so that it meets the required sensitivity level according to NPAAC’s in-house in vitro diagnostic assay standard, and overseen by the TGA and NATA. ESC noted that NPAAC could not confirm whether an external quality assurance (EQA) program was available internationally.</w:t>
      </w:r>
    </w:p>
    <w:p w14:paraId="0E3E8C03" w14:textId="38F0B514" w:rsidR="00B526E6" w:rsidRDefault="00B526E6" w:rsidP="00B526E6">
      <w:pPr>
        <w:pStyle w:val="Heading2"/>
      </w:pPr>
      <w:r>
        <w:t>17.</w:t>
      </w:r>
      <w:r>
        <w:tab/>
        <w:t>Applicant comments on MSAC’s Public Summary Document</w:t>
      </w:r>
    </w:p>
    <w:p w14:paraId="737BB935" w14:textId="278623D5" w:rsidR="0012000F" w:rsidRPr="0012000F" w:rsidRDefault="00436FA8" w:rsidP="0012000F">
      <w:r w:rsidRPr="00436FA8">
        <w:t xml:space="preserve">The College’s Working Party would like to express their delight in MSAC approving public funding of </w:t>
      </w:r>
      <w:r w:rsidR="00E46A55" w:rsidRPr="00E46A55">
        <w:t>measurable residual disease in patients with acute lymphoblastic leukaemia</w:t>
      </w:r>
      <w:r w:rsidR="00E46A55">
        <w:t xml:space="preserve">, </w:t>
      </w:r>
      <w:r w:rsidRPr="00436FA8">
        <w:t>and would like to take this opportunity to thank the Department for its assistance throughout the assessment process.</w:t>
      </w:r>
      <w:r w:rsidR="00CF0B70">
        <w:t xml:space="preserve"> </w:t>
      </w:r>
    </w:p>
    <w:p w14:paraId="108E1A3F" w14:textId="74244609" w:rsidR="00B526E6" w:rsidRDefault="00B526E6" w:rsidP="00B526E6">
      <w:pPr>
        <w:pStyle w:val="Heading2"/>
      </w:pPr>
      <w:r>
        <w:t>18.</w:t>
      </w:r>
      <w:r>
        <w:tab/>
        <w:t xml:space="preserve">Further information </w:t>
      </w:r>
      <w:r w:rsidR="006D59CE">
        <w:t>o</w:t>
      </w:r>
      <w:r>
        <w:t>n MSAC</w:t>
      </w:r>
    </w:p>
    <w:p w14:paraId="3C1DE034" w14:textId="3E299222" w:rsidR="00BB4782" w:rsidRPr="00C359F6" w:rsidRDefault="00B526E6" w:rsidP="00C359F6">
      <w:pPr>
        <w:pStyle w:val="BodyText"/>
        <w:rPr>
          <w:b/>
          <w:bCs/>
          <w:i/>
          <w:iCs/>
        </w:rPr>
      </w:pPr>
      <w:r w:rsidRPr="00F309FA">
        <w:rPr>
          <w:bCs/>
          <w:iCs/>
        </w:rPr>
        <w:t xml:space="preserve">MSAC Terms of Reference and other information are available on the MSAC Website: </w:t>
      </w:r>
      <w:hyperlink r:id="rId10" w:tooltip="Link to the MSAC website" w:history="1">
        <w:r w:rsidRPr="00F309FA">
          <w:rPr>
            <w:rStyle w:val="Hyperlink"/>
            <w:bCs/>
            <w:iCs/>
          </w:rPr>
          <w:t>visit the MSAC website</w:t>
        </w:r>
      </w:hyperlink>
    </w:p>
    <w:sectPr w:rsidR="00BB4782" w:rsidRPr="00C359F6" w:rsidSect="00052DD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CBB79" w14:textId="77777777" w:rsidR="00D81906" w:rsidRDefault="00D81906" w:rsidP="00B62DF2">
      <w:pPr>
        <w:spacing w:after="0" w:line="240" w:lineRule="auto"/>
      </w:pPr>
      <w:r>
        <w:separator/>
      </w:r>
    </w:p>
  </w:endnote>
  <w:endnote w:type="continuationSeparator" w:id="0">
    <w:p w14:paraId="007BE968" w14:textId="77777777" w:rsidR="00D81906" w:rsidRDefault="00D81906" w:rsidP="00B62DF2">
      <w:pPr>
        <w:spacing w:after="0" w:line="240" w:lineRule="auto"/>
      </w:pPr>
      <w:r>
        <w:continuationSeparator/>
      </w:r>
    </w:p>
  </w:endnote>
  <w:endnote w:type="continuationNotice" w:id="1">
    <w:p w14:paraId="5A7C6BE8" w14:textId="77777777" w:rsidR="00D81906" w:rsidRDefault="00D8190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hnschrift SemiLight SemiConde">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2750" w14:textId="77777777" w:rsidR="00360576" w:rsidRDefault="00360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2657"/>
      <w:docPartObj>
        <w:docPartGallery w:val="Page Numbers (Bottom of Page)"/>
        <w:docPartUnique/>
      </w:docPartObj>
    </w:sdtPr>
    <w:sdtEndPr>
      <w:rPr>
        <w:noProof/>
      </w:rPr>
    </w:sdtEndPr>
    <w:sdtContent>
      <w:p w14:paraId="55704ADB" w14:textId="7587E0B6" w:rsidR="00FB101D" w:rsidRDefault="00FB101D" w:rsidP="007F19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DD99" w14:textId="48896675" w:rsidR="007F19F2" w:rsidRDefault="005A1FE2" w:rsidP="005A1FE2">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C5E10" w14:textId="77777777" w:rsidR="00D81906" w:rsidRDefault="00D81906" w:rsidP="00B62DF2">
      <w:pPr>
        <w:spacing w:after="0" w:line="240" w:lineRule="auto"/>
      </w:pPr>
      <w:r>
        <w:separator/>
      </w:r>
    </w:p>
  </w:footnote>
  <w:footnote w:type="continuationSeparator" w:id="0">
    <w:p w14:paraId="0B68FC4C" w14:textId="77777777" w:rsidR="00D81906" w:rsidRDefault="00D81906" w:rsidP="00B62DF2">
      <w:pPr>
        <w:spacing w:after="0" w:line="240" w:lineRule="auto"/>
      </w:pPr>
      <w:r>
        <w:continuationSeparator/>
      </w:r>
    </w:p>
  </w:footnote>
  <w:footnote w:type="continuationNotice" w:id="1">
    <w:p w14:paraId="03803FFA" w14:textId="77777777" w:rsidR="00D81906" w:rsidRDefault="00D81906">
      <w:pPr>
        <w:spacing w:before="0" w:after="0" w:line="240" w:lineRule="auto"/>
      </w:pPr>
    </w:p>
  </w:footnote>
  <w:footnote w:id="2">
    <w:p w14:paraId="7BD3BE0C" w14:textId="7203AE73" w:rsidR="000A0AB0" w:rsidRDefault="000A0AB0">
      <w:pPr>
        <w:pStyle w:val="FootnoteText"/>
      </w:pPr>
      <w:r>
        <w:rPr>
          <w:rStyle w:val="FootnoteReference"/>
        </w:rPr>
        <w:footnoteRef/>
      </w:r>
      <w:r>
        <w:t xml:space="preserve"> MSAC 1707 PSD, available at: </w:t>
      </w:r>
      <w:hyperlink r:id="rId1" w:history="1">
        <w:r w:rsidRPr="00184BDF">
          <w:rPr>
            <w:rStyle w:val="Hyperlink"/>
          </w:rPr>
          <w:t>http://www.msac.gov.au/internet/msac/publishing.nsf/Content/1707-public</w:t>
        </w:r>
      </w:hyperlink>
      <w:r>
        <w:t xml:space="preserve"> </w:t>
      </w:r>
    </w:p>
  </w:footnote>
  <w:footnote w:id="3">
    <w:p w14:paraId="255B6E96" w14:textId="69786545" w:rsidR="00A1412C" w:rsidRPr="00A1412C" w:rsidRDefault="00A1412C">
      <w:pPr>
        <w:pStyle w:val="FootnoteText"/>
        <w:rPr>
          <w:rFonts w:cstheme="minorHAnsi"/>
          <w:szCs w:val="18"/>
        </w:rPr>
      </w:pPr>
      <w:r w:rsidRPr="00A1412C">
        <w:rPr>
          <w:rStyle w:val="FootnoteReference"/>
          <w:rFonts w:cstheme="minorHAnsi"/>
          <w:szCs w:val="18"/>
        </w:rPr>
        <w:footnoteRef/>
      </w:r>
      <w:r w:rsidRPr="00A1412C">
        <w:rPr>
          <w:rFonts w:cstheme="minorHAnsi"/>
          <w:szCs w:val="18"/>
        </w:rPr>
        <w:t xml:space="preserve"> </w:t>
      </w:r>
      <w:r w:rsidRPr="00F414ED">
        <w:rPr>
          <w:rFonts w:cstheme="minorHAnsi"/>
          <w:color w:val="222222"/>
          <w:szCs w:val="18"/>
          <w:shd w:val="clear" w:color="auto" w:fill="FFFFFF"/>
        </w:rPr>
        <w:t>van Tilburg (2011), et al. Reduced versus intensive chemotherapy for childhood acute lymphoblastic leukemia: impact on lymphocyte compartment composition. </w:t>
      </w:r>
      <w:r w:rsidRPr="00F414ED">
        <w:rPr>
          <w:rFonts w:cstheme="minorHAnsi"/>
          <w:i/>
          <w:iCs/>
          <w:color w:val="222222"/>
          <w:szCs w:val="18"/>
          <w:shd w:val="clear" w:color="auto" w:fill="FFFFFF"/>
        </w:rPr>
        <w:t xml:space="preserve">Leuk </w:t>
      </w:r>
      <w:r>
        <w:rPr>
          <w:rFonts w:cstheme="minorHAnsi"/>
          <w:i/>
          <w:iCs/>
          <w:color w:val="222222"/>
          <w:szCs w:val="18"/>
          <w:shd w:val="clear" w:color="auto" w:fill="FFFFFF"/>
        </w:rPr>
        <w:t>Res.</w:t>
      </w:r>
      <w:r w:rsidRPr="00F414ED">
        <w:rPr>
          <w:rFonts w:cstheme="minorHAnsi"/>
          <w:color w:val="222222"/>
          <w:szCs w:val="18"/>
          <w:shd w:val="clear" w:color="auto" w:fill="FFFFFF"/>
        </w:rPr>
        <w:t xml:space="preserve"> 35.4 484-491. </w:t>
      </w:r>
    </w:p>
  </w:footnote>
  <w:footnote w:id="4">
    <w:p w14:paraId="45B77FED" w14:textId="20802B7A" w:rsidR="00FB101D" w:rsidRDefault="00FB101D">
      <w:pPr>
        <w:pStyle w:val="FootnoteText"/>
      </w:pPr>
      <w:r>
        <w:rPr>
          <w:rStyle w:val="FootnoteReference"/>
        </w:rPr>
        <w:footnoteRef/>
      </w:r>
      <w:r>
        <w:t xml:space="preserve"> </w:t>
      </w:r>
      <w:r w:rsidRPr="00FB101D">
        <w:rPr>
          <w:lang w:val="en-US"/>
        </w:rPr>
        <w:t>Moorman AV</w:t>
      </w:r>
      <w:r>
        <w:rPr>
          <w:lang w:val="en-US"/>
        </w:rPr>
        <w:t xml:space="preserve"> et al</w:t>
      </w:r>
      <w:r w:rsidRPr="00FB101D">
        <w:rPr>
          <w:lang w:val="en-US"/>
        </w:rPr>
        <w:t xml:space="preserve">. (2022). Time to Cure for Childhood and Young Adult Acute Lymphoblastic Leukemia Is Independent of Early Risk Factors: Long-Term Follow-Up of the UKALL2003 Trial. </w:t>
      </w:r>
      <w:r w:rsidRPr="00FB101D">
        <w:rPr>
          <w:i/>
          <w:lang w:val="en-US"/>
        </w:rPr>
        <w:t xml:space="preserve">Journal of </w:t>
      </w:r>
      <w:r>
        <w:rPr>
          <w:i/>
          <w:lang w:val="en-US"/>
        </w:rPr>
        <w:t>C</w:t>
      </w:r>
      <w:r w:rsidRPr="00FB101D">
        <w:rPr>
          <w:i/>
          <w:lang w:val="en-US"/>
        </w:rPr>
        <w:t xml:space="preserve">linical </w:t>
      </w:r>
      <w:r>
        <w:rPr>
          <w:i/>
          <w:lang w:val="en-US"/>
        </w:rPr>
        <w:t>O</w:t>
      </w:r>
      <w:r w:rsidRPr="00FB101D">
        <w:rPr>
          <w:i/>
          <w:lang w:val="en-US"/>
        </w:rPr>
        <w:t>ncology</w:t>
      </w:r>
      <w:r w:rsidRPr="00FB101D">
        <w:rPr>
          <w:lang w:val="en-US"/>
        </w:rPr>
        <w:t>, JCO2200245.</w:t>
      </w:r>
    </w:p>
  </w:footnote>
  <w:footnote w:id="5">
    <w:p w14:paraId="1C1B06BC" w14:textId="38C47B1D" w:rsidR="00D57761" w:rsidRPr="00D57761" w:rsidRDefault="00D57761">
      <w:pPr>
        <w:pStyle w:val="FootnoteText"/>
        <w:rPr>
          <w:rFonts w:cstheme="minorHAnsi"/>
        </w:rPr>
      </w:pPr>
      <w:r w:rsidRPr="00D57761">
        <w:rPr>
          <w:rStyle w:val="FootnoteReference"/>
          <w:rFonts w:cstheme="minorHAnsi"/>
        </w:rPr>
        <w:footnoteRef/>
      </w:r>
      <w:r w:rsidRPr="00D57761">
        <w:rPr>
          <w:rFonts w:cstheme="minorHAnsi"/>
        </w:rPr>
        <w:t xml:space="preserve"> </w:t>
      </w:r>
      <w:r w:rsidRPr="00F414ED">
        <w:rPr>
          <w:rFonts w:cstheme="minorHAnsi"/>
          <w:color w:val="212121"/>
          <w:shd w:val="clear" w:color="auto" w:fill="FFFFFF"/>
        </w:rPr>
        <w:t xml:space="preserve">Vora A et al (2014) Augmented post-remission therapy for a minimal residual disease-defined high-risk subgroup of children and young people with clinical standard-risk and intermediate-risk acute lymphoblastic leukaemia (UKALL 2003): a randomised controlled trial. </w:t>
      </w:r>
      <w:r w:rsidRPr="00F414ED">
        <w:rPr>
          <w:rFonts w:cstheme="minorHAnsi"/>
          <w:i/>
          <w:iCs/>
          <w:color w:val="212121"/>
          <w:shd w:val="clear" w:color="auto" w:fill="FFFFFF"/>
        </w:rPr>
        <w:t>Lancet Oncol.</w:t>
      </w:r>
      <w:r w:rsidRPr="00F414ED">
        <w:rPr>
          <w:rFonts w:cstheme="minorHAnsi"/>
          <w:color w:val="212121"/>
          <w:shd w:val="clear" w:color="auto" w:fill="FFFFFF"/>
        </w:rPr>
        <w:t xml:space="preserve"> Jul;15(8):809-18. </w:t>
      </w:r>
    </w:p>
  </w:footnote>
  <w:footnote w:id="6">
    <w:p w14:paraId="664DF952" w14:textId="6CA4B32B" w:rsidR="00D57761" w:rsidRPr="00D57761" w:rsidRDefault="00D57761">
      <w:pPr>
        <w:pStyle w:val="FootnoteText"/>
        <w:rPr>
          <w:rFonts w:cstheme="minorHAnsi"/>
        </w:rPr>
      </w:pPr>
      <w:r w:rsidRPr="00D57761">
        <w:rPr>
          <w:rStyle w:val="FootnoteReference"/>
          <w:rFonts w:cstheme="minorHAnsi"/>
        </w:rPr>
        <w:footnoteRef/>
      </w:r>
      <w:r w:rsidRPr="00D57761">
        <w:rPr>
          <w:rFonts w:cstheme="minorHAnsi"/>
        </w:rPr>
        <w:t xml:space="preserve"> </w:t>
      </w:r>
      <w:r w:rsidRPr="00F414ED">
        <w:rPr>
          <w:rFonts w:cstheme="minorHAnsi"/>
          <w:color w:val="212121"/>
          <w:shd w:val="clear" w:color="auto" w:fill="FFFFFF"/>
        </w:rPr>
        <w:t xml:space="preserve">Vora A, et al. (2013) Treatment reduction for children and young adults with low-risk acute lymphoblastic leukaemia defined by minimal residual disease (UKALL 2003): a randomised controlled trial. </w:t>
      </w:r>
      <w:r w:rsidRPr="00F414ED">
        <w:rPr>
          <w:rFonts w:cstheme="minorHAnsi"/>
          <w:i/>
          <w:iCs/>
          <w:color w:val="212121"/>
          <w:shd w:val="clear" w:color="auto" w:fill="FFFFFF"/>
        </w:rPr>
        <w:t>Lancet Oncol</w:t>
      </w:r>
      <w:r w:rsidRPr="00F414ED">
        <w:rPr>
          <w:rFonts w:cstheme="minorHAnsi"/>
          <w:color w:val="212121"/>
          <w:shd w:val="clear" w:color="auto" w:fill="FFFFFF"/>
        </w:rPr>
        <w:t xml:space="preserve">. Mar;14(3):199-209. </w:t>
      </w:r>
    </w:p>
  </w:footnote>
  <w:footnote w:id="7">
    <w:p w14:paraId="34F8A9F8" w14:textId="440D0CD4" w:rsidR="005A38FF" w:rsidRDefault="005A38FF">
      <w:pPr>
        <w:pStyle w:val="FootnoteText"/>
      </w:pPr>
      <w:r>
        <w:rPr>
          <w:rStyle w:val="FootnoteReference"/>
        </w:rPr>
        <w:footnoteRef/>
      </w:r>
      <w:r>
        <w:t xml:space="preserve"> </w:t>
      </w:r>
      <w:r w:rsidRPr="005B3E2E">
        <w:t xml:space="preserve">Eckert, C et al (2013). 'Use of allogeneic hematopoietic stem-cell transplantation based on minimal residual disease response improves outcomes for children with relapsed acute lymphoblastic leukemia in the intermediate-risk group'. </w:t>
      </w:r>
      <w:r w:rsidRPr="005B3E2E">
        <w:rPr>
          <w:i/>
        </w:rPr>
        <w:t>J Clin Oncol</w:t>
      </w:r>
      <w:r w:rsidRPr="005B3E2E">
        <w:t>, 31 (21), 2736-42</w:t>
      </w:r>
    </w:p>
  </w:footnote>
  <w:footnote w:id="8">
    <w:p w14:paraId="02BC73A9" w14:textId="43B1F1DD" w:rsidR="005A38FF" w:rsidRDefault="005A38FF">
      <w:pPr>
        <w:pStyle w:val="FootnoteText"/>
      </w:pPr>
      <w:r>
        <w:rPr>
          <w:rStyle w:val="FootnoteReference"/>
        </w:rPr>
        <w:footnoteRef/>
      </w:r>
      <w:r>
        <w:t xml:space="preserve"> </w:t>
      </w:r>
      <w:r w:rsidRPr="005B3E2E">
        <w:t xml:space="preserve">Pieters, R (2016). 'Successful Therapy Reduction and Intensification for Childhood Acute Lymphoblastic Leukemia Based on Minimal Residual Disease Monitoring: Study ALL10 From the Dutch Childhood Oncology Group'. </w:t>
      </w:r>
      <w:r w:rsidRPr="005B3E2E">
        <w:rPr>
          <w:i/>
        </w:rPr>
        <w:t>J Clin Oncol</w:t>
      </w:r>
      <w:r w:rsidRPr="005B3E2E">
        <w:t>, 34 (22), 2591-601.</w:t>
      </w:r>
    </w:p>
  </w:footnote>
  <w:footnote w:id="9">
    <w:p w14:paraId="66C805EE" w14:textId="77777777" w:rsidR="00EB5AD2" w:rsidRPr="00A1412C" w:rsidRDefault="00EB5AD2" w:rsidP="00EB5AD2">
      <w:pPr>
        <w:pStyle w:val="FootnoteText"/>
        <w:rPr>
          <w:rFonts w:cstheme="minorHAnsi"/>
          <w:szCs w:val="18"/>
        </w:rPr>
      </w:pPr>
      <w:r w:rsidRPr="00A1412C">
        <w:rPr>
          <w:rStyle w:val="FootnoteReference"/>
          <w:rFonts w:cstheme="minorHAnsi"/>
          <w:szCs w:val="18"/>
        </w:rPr>
        <w:footnoteRef/>
      </w:r>
      <w:r w:rsidRPr="00A1412C">
        <w:rPr>
          <w:rFonts w:cstheme="minorHAnsi"/>
          <w:szCs w:val="18"/>
        </w:rPr>
        <w:t xml:space="preserve"> </w:t>
      </w:r>
      <w:r w:rsidRPr="00F414ED">
        <w:rPr>
          <w:rFonts w:cstheme="minorHAnsi"/>
          <w:color w:val="222222"/>
          <w:szCs w:val="18"/>
          <w:shd w:val="clear" w:color="auto" w:fill="FFFFFF"/>
        </w:rPr>
        <w:t>van Tilburg (2011), et al. Reduced versus intensive chemotherapy for childhood acute lymphoblastic leukemia: impact on lymphocyte compartment composition. </w:t>
      </w:r>
      <w:r w:rsidRPr="00F414ED">
        <w:rPr>
          <w:rFonts w:cstheme="minorHAnsi"/>
          <w:i/>
          <w:iCs/>
          <w:color w:val="222222"/>
          <w:szCs w:val="18"/>
          <w:shd w:val="clear" w:color="auto" w:fill="FFFFFF"/>
        </w:rPr>
        <w:t xml:space="preserve">Leuk </w:t>
      </w:r>
      <w:r>
        <w:rPr>
          <w:rFonts w:cstheme="minorHAnsi"/>
          <w:i/>
          <w:iCs/>
          <w:color w:val="222222"/>
          <w:szCs w:val="18"/>
          <w:shd w:val="clear" w:color="auto" w:fill="FFFFFF"/>
        </w:rPr>
        <w:t>Res.</w:t>
      </w:r>
      <w:r w:rsidRPr="00F414ED">
        <w:rPr>
          <w:rFonts w:cstheme="minorHAnsi"/>
          <w:color w:val="222222"/>
          <w:szCs w:val="18"/>
          <w:shd w:val="clear" w:color="auto" w:fill="FFFFFF"/>
        </w:rPr>
        <w:t xml:space="preserve"> 35.4 484-491. </w:t>
      </w:r>
    </w:p>
  </w:footnote>
  <w:footnote w:id="10">
    <w:p w14:paraId="4595AA83" w14:textId="29872E0E" w:rsidR="00EB5AD2" w:rsidRPr="00EB5AD2" w:rsidRDefault="00EB5AD2">
      <w:pPr>
        <w:pStyle w:val="FootnoteText"/>
        <w:rPr>
          <w:lang w:val="en-US"/>
        </w:rPr>
      </w:pPr>
      <w:r>
        <w:rPr>
          <w:rStyle w:val="FootnoteReference"/>
        </w:rPr>
        <w:footnoteRef/>
      </w:r>
      <w:r>
        <w:t xml:space="preserve"> </w:t>
      </w:r>
      <w:r w:rsidRPr="00EB5AD2">
        <w:rPr>
          <w:lang w:val="en-US"/>
        </w:rPr>
        <w:t xml:space="preserve">NCCN. (2021). Acute Lymphoblastic Leukemia. Retrieved from </w:t>
      </w:r>
      <w:hyperlink r:id="rId2" w:history="1">
        <w:r w:rsidRPr="0067597F">
          <w:rPr>
            <w:rStyle w:val="Hyperlink"/>
            <w:lang w:val="en-US"/>
          </w:rPr>
          <w:t>https://www.nccn.org/professionals/physician_gls/pdf/all.pdf</w:t>
        </w:r>
      </w:hyperlink>
    </w:p>
  </w:footnote>
  <w:footnote w:id="11">
    <w:p w14:paraId="031D9E09" w14:textId="6C2CCDDD" w:rsidR="005A38FF" w:rsidRDefault="005A38FF">
      <w:pPr>
        <w:pStyle w:val="FootnoteText"/>
      </w:pPr>
      <w:r>
        <w:rPr>
          <w:rStyle w:val="FootnoteReference"/>
        </w:rPr>
        <w:footnoteRef/>
      </w:r>
      <w:r>
        <w:t xml:space="preserve"> </w:t>
      </w:r>
      <w:r w:rsidRPr="005A38FF">
        <w:t xml:space="preserve">Hoelzer, D., Bassan, R. et al (2016). 'Acute lymphoblastic leukaemia in adult patients: ESMO Clinical Practice Guidelines for diagnosis, treatment and follow-up'. </w:t>
      </w:r>
      <w:r w:rsidRPr="00EB5AD2">
        <w:rPr>
          <w:i/>
          <w:iCs/>
        </w:rPr>
        <w:t>Ann Oncol</w:t>
      </w:r>
      <w:r w:rsidRPr="005A38FF">
        <w:t>, 27 (suppl 5), v69-v82.</w:t>
      </w:r>
    </w:p>
  </w:footnote>
  <w:footnote w:id="12">
    <w:p w14:paraId="1203B312" w14:textId="034A3BAB" w:rsidR="008862D5" w:rsidRDefault="008862D5">
      <w:pPr>
        <w:pStyle w:val="FootnoteText"/>
      </w:pPr>
      <w:r>
        <w:rPr>
          <w:rStyle w:val="FootnoteReference"/>
        </w:rPr>
        <w:footnoteRef/>
      </w:r>
      <w:r>
        <w:t xml:space="preserve"> </w:t>
      </w:r>
      <w:r w:rsidRPr="008862D5">
        <w:t>van der Velden VH</w:t>
      </w:r>
      <w:r>
        <w:t xml:space="preserve"> et al (2007)</w:t>
      </w:r>
      <w:r w:rsidRPr="008862D5">
        <w:t xml:space="preserve"> European Study Group on MRD detection in ALL (ESG-MRD-ALL). Analysis of minimal residual disease by Ig/TCR gene rearrangements: guidelines for interpretation of real-time quantitative PCR data. </w:t>
      </w:r>
      <w:r w:rsidRPr="00EB5AD2">
        <w:rPr>
          <w:i/>
          <w:iCs/>
        </w:rPr>
        <w:t>Leukemia.</w:t>
      </w:r>
      <w:r w:rsidRPr="008862D5">
        <w:t xml:space="preserve"> 21(4):604-11.</w:t>
      </w:r>
    </w:p>
  </w:footnote>
  <w:footnote w:id="13">
    <w:p w14:paraId="48BC690A" w14:textId="21F67B71" w:rsidR="008862D5" w:rsidRDefault="008862D5">
      <w:pPr>
        <w:pStyle w:val="FootnoteText"/>
      </w:pPr>
      <w:r>
        <w:rPr>
          <w:rStyle w:val="FootnoteReference"/>
        </w:rPr>
        <w:footnoteRef/>
      </w:r>
      <w:r>
        <w:t xml:space="preserve"> </w:t>
      </w:r>
      <w:r w:rsidRPr="008862D5">
        <w:t>Brown PA</w:t>
      </w:r>
      <w:r>
        <w:t xml:space="preserve"> et al (2021)</w:t>
      </w:r>
      <w:r w:rsidR="00F414ED">
        <w:t xml:space="preserve"> </w:t>
      </w:r>
      <w:r w:rsidRPr="008862D5">
        <w:t xml:space="preserve">Acute Lymphoblastic Leukemia, Version 2.2021, NCCN Clinical Practice Guidelines in Oncology. </w:t>
      </w:r>
      <w:r w:rsidRPr="00EB5AD2">
        <w:rPr>
          <w:i/>
          <w:iCs/>
        </w:rPr>
        <w:t xml:space="preserve">J Natl </w:t>
      </w:r>
      <w:r w:rsidRPr="00EB5AD2">
        <w:rPr>
          <w:i/>
          <w:iCs/>
        </w:rPr>
        <w:t>Compr Canc Netw</w:t>
      </w:r>
      <w:r w:rsidRPr="008862D5">
        <w:t>.</w:t>
      </w:r>
      <w:r>
        <w:t xml:space="preserve"> </w:t>
      </w:r>
      <w:r w:rsidRPr="008862D5">
        <w:t>;19(9):1079-1109.</w:t>
      </w:r>
    </w:p>
  </w:footnote>
  <w:footnote w:id="14">
    <w:p w14:paraId="7A1F8AC3" w14:textId="510778BD" w:rsidR="008862D5" w:rsidRDefault="008862D5">
      <w:pPr>
        <w:pStyle w:val="FootnoteText"/>
      </w:pPr>
      <w:r>
        <w:rPr>
          <w:rStyle w:val="FootnoteReference"/>
        </w:rPr>
        <w:footnoteRef/>
      </w:r>
      <w:r>
        <w:t xml:space="preserve"> </w:t>
      </w:r>
      <w:r w:rsidRPr="008862D5">
        <w:t xml:space="preserve">Pulsipher </w:t>
      </w:r>
      <w:r>
        <w:t>et al (2022)</w:t>
      </w:r>
      <w:r w:rsidRPr="008862D5">
        <w:t xml:space="preserve"> Next-Generation Sequencing of Minimal Residual Disease for Predicting Relapse after </w:t>
      </w:r>
      <w:r w:rsidRPr="008862D5">
        <w:t xml:space="preserve">Tisagenlecleucel in Children and Young Adults with Acute Lymphoblastic Leukemia. </w:t>
      </w:r>
      <w:r w:rsidRPr="00EB5AD2">
        <w:rPr>
          <w:i/>
          <w:iCs/>
        </w:rPr>
        <w:t>Blood Cancer Discov</w:t>
      </w:r>
      <w:r w:rsidRPr="008862D5">
        <w:t>.3(1):66-81.</w:t>
      </w:r>
    </w:p>
  </w:footnote>
  <w:footnote w:id="15">
    <w:p w14:paraId="5A936D41" w14:textId="366D118F" w:rsidR="00696C55" w:rsidRDefault="00696C55">
      <w:pPr>
        <w:pStyle w:val="FootnoteText"/>
      </w:pPr>
      <w:r>
        <w:rPr>
          <w:rStyle w:val="FootnoteReference"/>
        </w:rPr>
        <w:footnoteRef/>
      </w:r>
      <w:r>
        <w:t xml:space="preserve"> </w:t>
      </w:r>
      <w:r w:rsidRPr="005B3E2E">
        <w:t xml:space="preserve">Berry, D. A., Zhou, S. et al (2017). 'Association of Minimal Residual Disease </w:t>
      </w:r>
      <w:r w:rsidRPr="005B3E2E">
        <w:t xml:space="preserve">With Clinical Outcome in </w:t>
      </w:r>
      <w:r w:rsidRPr="005B3E2E">
        <w:t xml:space="preserve">Pediatric and Adult Acute Lymphoblastic Leukemia: A Meta-analysis'. </w:t>
      </w:r>
      <w:r w:rsidRPr="005B3E2E">
        <w:rPr>
          <w:i/>
        </w:rPr>
        <w:t>JAMA Oncol</w:t>
      </w:r>
      <w:r w:rsidRPr="005B3E2E">
        <w:t>, 3 (7), e170580.</w:t>
      </w:r>
      <w:r>
        <w:t xml:space="preserve"> </w:t>
      </w:r>
    </w:p>
  </w:footnote>
  <w:footnote w:id="16">
    <w:p w14:paraId="6E880A82" w14:textId="67ABAE51" w:rsidR="00696C55" w:rsidRDefault="00696C55">
      <w:pPr>
        <w:pStyle w:val="FootnoteText"/>
      </w:pPr>
      <w:r>
        <w:rPr>
          <w:rStyle w:val="FootnoteReference"/>
        </w:rPr>
        <w:footnoteRef/>
      </w:r>
      <w:r>
        <w:t xml:space="preserve"> </w:t>
      </w:r>
      <w:r w:rsidRPr="00696C55">
        <w:t xml:space="preserve">Greenwood, M., </w:t>
      </w:r>
      <w:r w:rsidRPr="00696C55">
        <w:t xml:space="preserve">Trahair, T. et al (2021). 'An MRD-stratified pediatric protocol is as deliverable in adolescents and young adults as children with ALL '. </w:t>
      </w:r>
      <w:r w:rsidRPr="00696C55">
        <w:rPr>
          <w:i/>
        </w:rPr>
        <w:t xml:space="preserve">Blood Adv </w:t>
      </w:r>
      <w:r w:rsidRPr="00696C55">
        <w:t>(Online ahead of print)</w:t>
      </w:r>
      <w:r>
        <w:t xml:space="preserve"> </w:t>
      </w:r>
    </w:p>
  </w:footnote>
  <w:footnote w:id="17">
    <w:p w14:paraId="0CD5254F" w14:textId="77777777" w:rsidR="00B526E6" w:rsidRDefault="00B526E6" w:rsidP="00B526E6">
      <w:pPr>
        <w:pStyle w:val="FootnoteText"/>
      </w:pPr>
      <w:r>
        <w:rPr>
          <w:rStyle w:val="FootnoteReference"/>
        </w:rPr>
        <w:footnoteRef/>
      </w:r>
      <w:r>
        <w:t xml:space="preserve"> </w:t>
      </w:r>
      <w:r w:rsidRPr="000D2AD5">
        <w:t xml:space="preserve">van der Velden VH et al </w:t>
      </w:r>
      <w:r>
        <w:t>(</w:t>
      </w:r>
      <w:r w:rsidRPr="000D2AD5">
        <w:t>2002</w:t>
      </w:r>
      <w:r>
        <w:t>)</w:t>
      </w:r>
      <w:r w:rsidRPr="000D2AD5">
        <w:t xml:space="preserve"> Minimal residual disease levels in bone marrow and peripheral blood are comparable in children with T cell acute lymphoblastic leukemia (ALL), but not in precursor-B-ALL. </w:t>
      </w:r>
      <w:r w:rsidRPr="00EB5AD2">
        <w:rPr>
          <w:i/>
          <w:iCs/>
        </w:rPr>
        <w:t>Leukemia</w:t>
      </w:r>
      <w:r>
        <w:t xml:space="preserve">, </w:t>
      </w:r>
      <w:r w:rsidRPr="00EB5AD2">
        <w:rPr>
          <w:b/>
          <w:bCs/>
        </w:rPr>
        <w:t>16</w:t>
      </w:r>
      <w:r w:rsidRPr="000D2AD5">
        <w:t>(8):1432-6.</w:t>
      </w:r>
    </w:p>
  </w:footnote>
  <w:footnote w:id="18">
    <w:p w14:paraId="6804FCBF" w14:textId="77777777" w:rsidR="00B526E6" w:rsidRDefault="00B526E6" w:rsidP="00B526E6">
      <w:pPr>
        <w:pStyle w:val="FootnoteText"/>
      </w:pPr>
      <w:r>
        <w:rPr>
          <w:rStyle w:val="FootnoteReference"/>
        </w:rPr>
        <w:footnoteRef/>
      </w:r>
      <w:r>
        <w:t xml:space="preserve"> </w:t>
      </w:r>
      <w:r w:rsidRPr="000D2AD5">
        <w:t xml:space="preserve">Muffly L et al </w:t>
      </w:r>
      <w:r>
        <w:t>(</w:t>
      </w:r>
      <w:r w:rsidRPr="000D2AD5">
        <w:t>2021</w:t>
      </w:r>
      <w:r>
        <w:t>)</w:t>
      </w:r>
      <w:r w:rsidRPr="000D2AD5">
        <w:t xml:space="preserve"> Concordance of peripheral blood and bone marrow measurable residual disease in adult acute lymphoblastic leukemia. </w:t>
      </w:r>
      <w:r w:rsidRPr="00EB5AD2">
        <w:rPr>
          <w:i/>
          <w:iCs/>
        </w:rPr>
        <w:t>Blood Adv</w:t>
      </w:r>
      <w:r>
        <w:t>,</w:t>
      </w:r>
      <w:r w:rsidRPr="000D2AD5">
        <w:t xml:space="preserve"> </w:t>
      </w:r>
      <w:r w:rsidRPr="00EB5AD2">
        <w:rPr>
          <w:b/>
          <w:bCs/>
        </w:rPr>
        <w:t>5</w:t>
      </w:r>
      <w:r w:rsidRPr="000D2AD5">
        <w:t>(16):3147-3151.</w:t>
      </w:r>
    </w:p>
  </w:footnote>
  <w:footnote w:id="19">
    <w:p w14:paraId="22611C4E" w14:textId="77777777" w:rsidR="00B526E6" w:rsidRDefault="00B526E6" w:rsidP="00B526E6">
      <w:pPr>
        <w:pStyle w:val="FootnoteText"/>
      </w:pPr>
      <w:r>
        <w:rPr>
          <w:rStyle w:val="FootnoteReference"/>
        </w:rPr>
        <w:footnoteRef/>
      </w:r>
      <w:r>
        <w:t xml:space="preserve"> </w:t>
      </w:r>
      <w:r w:rsidRPr="00177411">
        <w:t>Coustan-Smith</w:t>
      </w:r>
      <w:r>
        <w:t xml:space="preserve"> E et al (2002)</w:t>
      </w:r>
      <w:r w:rsidRPr="00177411">
        <w:t xml:space="preserve"> Use of peripheral blood instead of bone marrow to monitor residual disease in children with acute lymphoblastic leukemia. </w:t>
      </w:r>
      <w:r w:rsidRPr="00177411">
        <w:rPr>
          <w:i/>
          <w:iCs/>
        </w:rPr>
        <w:t>Blood</w:t>
      </w:r>
      <w:r>
        <w:t>,</w:t>
      </w:r>
      <w:r w:rsidRPr="00177411">
        <w:t xml:space="preserve"> </w:t>
      </w:r>
      <w:r w:rsidRPr="00EB5AD2">
        <w:rPr>
          <w:b/>
          <w:bCs/>
        </w:rPr>
        <w:t>100</w:t>
      </w:r>
      <w:r w:rsidRPr="00177411">
        <w:t>(7): 2399</w:t>
      </w:r>
      <w:r>
        <w:t>-</w:t>
      </w:r>
      <w:r w:rsidRPr="00177411">
        <w:t>2402.</w:t>
      </w:r>
    </w:p>
  </w:footnote>
  <w:footnote w:id="20">
    <w:p w14:paraId="0287ABEA" w14:textId="77777777" w:rsidR="00B526E6" w:rsidRDefault="00B526E6" w:rsidP="00B526E6">
      <w:pPr>
        <w:pStyle w:val="FootnoteText"/>
      </w:pPr>
      <w:r>
        <w:rPr>
          <w:rStyle w:val="FootnoteReference"/>
        </w:rPr>
        <w:footnoteRef/>
      </w:r>
      <w:r>
        <w:t xml:space="preserve"> </w:t>
      </w:r>
      <w:r w:rsidRPr="00177411">
        <w:t>Kotrova M </w:t>
      </w:r>
      <w:r w:rsidRPr="00EB5AD2">
        <w:t>et al</w:t>
      </w:r>
      <w:r>
        <w:t xml:space="preserve"> (2020) </w:t>
      </w:r>
      <w:r w:rsidRPr="00177411">
        <w:t>Comparison of minimal residual disease levels in bone marrow and peripheral blood in adult acute lymphoblastic leukemia. </w:t>
      </w:r>
      <w:r w:rsidRPr="00177411">
        <w:rPr>
          <w:i/>
          <w:iCs/>
        </w:rPr>
        <w:t>Leukemia</w:t>
      </w:r>
      <w:r>
        <w:t>,</w:t>
      </w:r>
      <w:r w:rsidRPr="00177411">
        <w:t> </w:t>
      </w:r>
      <w:r w:rsidRPr="00177411">
        <w:rPr>
          <w:b/>
          <w:bCs/>
        </w:rPr>
        <w:t>34</w:t>
      </w:r>
      <w:r w:rsidRPr="00EB5AD2">
        <w:t>:</w:t>
      </w:r>
      <w:r w:rsidRPr="00177411">
        <w:t>1154–1157.</w:t>
      </w:r>
    </w:p>
  </w:footnote>
  <w:footnote w:id="21">
    <w:p w14:paraId="29DADFBD" w14:textId="77777777" w:rsidR="00B526E6" w:rsidRDefault="00B526E6" w:rsidP="00B526E6">
      <w:pPr>
        <w:pStyle w:val="FootnoteText"/>
      </w:pPr>
      <w:r>
        <w:rPr>
          <w:rStyle w:val="FootnoteReference"/>
        </w:rPr>
        <w:footnoteRef/>
      </w:r>
      <w:r>
        <w:t xml:space="preserve"> </w:t>
      </w:r>
      <w:hyperlink r:id="rId3" w:history="1">
        <w:r>
          <w:rPr>
            <w:rStyle w:val="Hyperlink"/>
          </w:rPr>
          <w:t>MSAC p</w:t>
        </w:r>
        <w:r w:rsidRPr="0058178B">
          <w:rPr>
            <w:rStyle w:val="Hyperlink"/>
          </w:rPr>
          <w:t>ublic summary document (PSD) for application 1707</w:t>
        </w:r>
      </w:hyperlink>
      <w:r>
        <w:t xml:space="preserve"> - </w:t>
      </w:r>
      <w:r w:rsidRPr="0058178B">
        <w:t>clonoSEQ® and mpFC for the detection of measurable residual disease (MRD) in acute lymphoblastic leukaemia (ALL)</w:t>
      </w:r>
      <w:r>
        <w:t>.</w:t>
      </w:r>
    </w:p>
  </w:footnote>
  <w:footnote w:id="22">
    <w:p w14:paraId="4CC62430" w14:textId="77777777" w:rsidR="00B526E6" w:rsidRPr="00EB5AD2" w:rsidRDefault="00B526E6" w:rsidP="00B526E6">
      <w:pPr>
        <w:pStyle w:val="FootnoteText"/>
        <w:rPr>
          <w:lang w:val="en-US"/>
        </w:rPr>
      </w:pPr>
      <w:r>
        <w:rPr>
          <w:rStyle w:val="FootnoteReference"/>
        </w:rPr>
        <w:footnoteRef/>
      </w:r>
      <w:r>
        <w:t xml:space="preserve"> </w:t>
      </w:r>
      <w:r w:rsidRPr="00D24138">
        <w:rPr>
          <w:lang w:val="en-US"/>
        </w:rPr>
        <w:t>Health Quality O</w:t>
      </w:r>
      <w:r>
        <w:rPr>
          <w:lang w:val="en-US"/>
        </w:rPr>
        <w:t>ntario</w:t>
      </w:r>
      <w:r w:rsidRPr="00D24138">
        <w:rPr>
          <w:lang w:val="en-US"/>
        </w:rPr>
        <w:t xml:space="preserve"> (2016). Minimal Residual Disease Evaluation in Childhood Acute Lymphoblastic Leukemia: An Economic Analysis. </w:t>
      </w:r>
      <w:r w:rsidRPr="00D24138">
        <w:rPr>
          <w:i/>
          <w:lang w:val="en-US"/>
        </w:rPr>
        <w:t xml:space="preserve">Ontario Health Technology Assessment Series, </w:t>
      </w:r>
      <w:r w:rsidRPr="00EB5AD2">
        <w:rPr>
          <w:b/>
          <w:bCs/>
          <w:iCs/>
          <w:lang w:val="en-US"/>
        </w:rPr>
        <w:t>16</w:t>
      </w:r>
      <w:r w:rsidRPr="00D24138">
        <w:rPr>
          <w:lang w:val="en-US"/>
        </w:rPr>
        <w:t>(8), 1-83.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2DA7" w14:textId="77777777" w:rsidR="00360576" w:rsidRDefault="00360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BA5A" w14:textId="77777777" w:rsidR="001311D7" w:rsidRDefault="001311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D724" w14:textId="77777777" w:rsidR="00360576" w:rsidRDefault="00360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B2E"/>
    <w:multiLevelType w:val="hybridMultilevel"/>
    <w:tmpl w:val="D55A5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5C20E6"/>
    <w:multiLevelType w:val="hybridMultilevel"/>
    <w:tmpl w:val="AC282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C418F4"/>
    <w:multiLevelType w:val="hybridMultilevel"/>
    <w:tmpl w:val="2940F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46399F"/>
    <w:multiLevelType w:val="hybridMultilevel"/>
    <w:tmpl w:val="FFFFFFFF"/>
    <w:lvl w:ilvl="0" w:tplc="9D4C1AF6">
      <w:start w:val="1"/>
      <w:numFmt w:val="bullet"/>
      <w:lvlText w:val=""/>
      <w:lvlJc w:val="left"/>
      <w:pPr>
        <w:ind w:left="720" w:hanging="360"/>
      </w:pPr>
      <w:rPr>
        <w:rFonts w:ascii="Symbol" w:hAnsi="Symbol" w:hint="default"/>
      </w:rPr>
    </w:lvl>
    <w:lvl w:ilvl="1" w:tplc="BDF05884">
      <w:start w:val="1"/>
      <w:numFmt w:val="bullet"/>
      <w:lvlText w:val="o"/>
      <w:lvlJc w:val="left"/>
      <w:pPr>
        <w:ind w:left="1440" w:hanging="360"/>
      </w:pPr>
      <w:rPr>
        <w:rFonts w:ascii="Courier New" w:hAnsi="Courier New" w:hint="default"/>
      </w:rPr>
    </w:lvl>
    <w:lvl w:ilvl="2" w:tplc="514898F6">
      <w:start w:val="1"/>
      <w:numFmt w:val="bullet"/>
      <w:lvlText w:val=""/>
      <w:lvlJc w:val="left"/>
      <w:pPr>
        <w:ind w:left="2160" w:hanging="360"/>
      </w:pPr>
      <w:rPr>
        <w:rFonts w:ascii="Wingdings" w:hAnsi="Wingdings" w:hint="default"/>
      </w:rPr>
    </w:lvl>
    <w:lvl w:ilvl="3" w:tplc="92FEA970">
      <w:start w:val="1"/>
      <w:numFmt w:val="bullet"/>
      <w:lvlText w:val=""/>
      <w:lvlJc w:val="left"/>
      <w:pPr>
        <w:ind w:left="2880" w:hanging="360"/>
      </w:pPr>
      <w:rPr>
        <w:rFonts w:ascii="Symbol" w:hAnsi="Symbol" w:hint="default"/>
      </w:rPr>
    </w:lvl>
    <w:lvl w:ilvl="4" w:tplc="E03AC14A">
      <w:start w:val="1"/>
      <w:numFmt w:val="bullet"/>
      <w:lvlText w:val="o"/>
      <w:lvlJc w:val="left"/>
      <w:pPr>
        <w:ind w:left="3600" w:hanging="360"/>
      </w:pPr>
      <w:rPr>
        <w:rFonts w:ascii="Courier New" w:hAnsi="Courier New" w:hint="default"/>
      </w:rPr>
    </w:lvl>
    <w:lvl w:ilvl="5" w:tplc="DA2AFAD0">
      <w:start w:val="1"/>
      <w:numFmt w:val="bullet"/>
      <w:lvlText w:val=""/>
      <w:lvlJc w:val="left"/>
      <w:pPr>
        <w:ind w:left="4320" w:hanging="360"/>
      </w:pPr>
      <w:rPr>
        <w:rFonts w:ascii="Wingdings" w:hAnsi="Wingdings" w:hint="default"/>
      </w:rPr>
    </w:lvl>
    <w:lvl w:ilvl="6" w:tplc="A2088092">
      <w:start w:val="1"/>
      <w:numFmt w:val="bullet"/>
      <w:lvlText w:val=""/>
      <w:lvlJc w:val="left"/>
      <w:pPr>
        <w:ind w:left="5040" w:hanging="360"/>
      </w:pPr>
      <w:rPr>
        <w:rFonts w:ascii="Symbol" w:hAnsi="Symbol" w:hint="default"/>
      </w:rPr>
    </w:lvl>
    <w:lvl w:ilvl="7" w:tplc="C4941DEE">
      <w:start w:val="1"/>
      <w:numFmt w:val="bullet"/>
      <w:lvlText w:val="o"/>
      <w:lvlJc w:val="left"/>
      <w:pPr>
        <w:ind w:left="5760" w:hanging="360"/>
      </w:pPr>
      <w:rPr>
        <w:rFonts w:ascii="Courier New" w:hAnsi="Courier New" w:hint="default"/>
      </w:rPr>
    </w:lvl>
    <w:lvl w:ilvl="8" w:tplc="A97C70FC">
      <w:start w:val="1"/>
      <w:numFmt w:val="bullet"/>
      <w:lvlText w:val=""/>
      <w:lvlJc w:val="left"/>
      <w:pPr>
        <w:ind w:left="6480" w:hanging="360"/>
      </w:pPr>
      <w:rPr>
        <w:rFonts w:ascii="Wingdings" w:hAnsi="Wingdings" w:hint="default"/>
      </w:rPr>
    </w:lvl>
  </w:abstractNum>
  <w:abstractNum w:abstractNumId="4"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AB43E0"/>
    <w:multiLevelType w:val="hybridMultilevel"/>
    <w:tmpl w:val="9D544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3E20C3"/>
    <w:multiLevelType w:val="hybridMultilevel"/>
    <w:tmpl w:val="AC70AF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6F55BB"/>
    <w:multiLevelType w:val="hybridMultilevel"/>
    <w:tmpl w:val="4F6A0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213452"/>
    <w:multiLevelType w:val="hybridMultilevel"/>
    <w:tmpl w:val="78861CA4"/>
    <w:lvl w:ilvl="0" w:tplc="7F60F548">
      <w:start w:val="1"/>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9738ED"/>
    <w:multiLevelType w:val="multilevel"/>
    <w:tmpl w:val="177A0B5E"/>
    <w:lvl w:ilvl="0">
      <w:start w:val="1"/>
      <w:numFmt w:val="bullet"/>
      <w:lvlText w:val=""/>
      <w:lvlJc w:val="left"/>
      <w:pPr>
        <w:ind w:left="786" w:hanging="360"/>
      </w:pPr>
      <w:rPr>
        <w:rFonts w:ascii="Symbol" w:hAnsi="Symbol" w:hint="default"/>
      </w:rPr>
    </w:lvl>
    <w:lvl w:ilvl="1">
      <w:start w:val="1"/>
      <w:numFmt w:val="decimal"/>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C25AC9"/>
    <w:multiLevelType w:val="hybridMultilevel"/>
    <w:tmpl w:val="387AF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BA6C1C"/>
    <w:multiLevelType w:val="hybridMultilevel"/>
    <w:tmpl w:val="20E2DF4C"/>
    <w:lvl w:ilvl="0" w:tplc="B9CC74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3" w15:restartNumberingAfterBreak="0">
    <w:nsid w:val="272902A0"/>
    <w:multiLevelType w:val="hybridMultilevel"/>
    <w:tmpl w:val="AD60C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7AA30CE"/>
    <w:multiLevelType w:val="hybridMultilevel"/>
    <w:tmpl w:val="CF20A13A"/>
    <w:lvl w:ilvl="0" w:tplc="0C090001">
      <w:start w:val="1"/>
      <w:numFmt w:val="bullet"/>
      <w:lvlText w:val=""/>
      <w:lvlJc w:val="left"/>
      <w:pPr>
        <w:ind w:left="720" w:hanging="360"/>
      </w:pPr>
      <w:rPr>
        <w:rFonts w:ascii="Symbol" w:hAnsi="Symbol" w:hint="default"/>
      </w:rPr>
    </w:lvl>
    <w:lvl w:ilvl="1" w:tplc="9C2015C4">
      <w:numFmt w:val="bullet"/>
      <w:lvlText w:val="-"/>
      <w:lvlJc w:val="left"/>
      <w:pPr>
        <w:ind w:left="1440" w:hanging="360"/>
      </w:pPr>
      <w:rPr>
        <w:rFonts w:ascii="Franklin Gothic Book" w:eastAsiaTheme="minorHAnsi" w:hAnsi="Franklin Gothic Book"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CB3472"/>
    <w:multiLevelType w:val="hybridMultilevel"/>
    <w:tmpl w:val="6ADE5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1C5F04"/>
    <w:multiLevelType w:val="multilevel"/>
    <w:tmpl w:val="BA3864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D214EF8"/>
    <w:multiLevelType w:val="hybridMultilevel"/>
    <w:tmpl w:val="57F00C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DA25EE"/>
    <w:multiLevelType w:val="hybridMultilevel"/>
    <w:tmpl w:val="A936F704"/>
    <w:lvl w:ilvl="0" w:tplc="7F60F548">
      <w:start w:val="1"/>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1C6A47"/>
    <w:multiLevelType w:val="hybridMultilevel"/>
    <w:tmpl w:val="7818928C"/>
    <w:lvl w:ilvl="0" w:tplc="C128B33A">
      <w:start w:val="1"/>
      <w:numFmt w:val="upperLetter"/>
      <w:pStyle w:val="HeadingAppendix"/>
      <w:lvlText w:val="Appendix %1"/>
      <w:lvlJc w:val="left"/>
      <w:pPr>
        <w:ind w:left="1434" w:hanging="360"/>
      </w:pPr>
      <w:rPr>
        <w:rFonts w:hint="default"/>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23" w15:restartNumberingAfterBreak="0">
    <w:nsid w:val="42BF6BA7"/>
    <w:multiLevelType w:val="multilevel"/>
    <w:tmpl w:val="37B0CA18"/>
    <w:lvl w:ilvl="0">
      <w:start w:val="1"/>
      <w:numFmt w:val="none"/>
      <w:pStyle w:val="ESSectionHeading-numbered0"/>
      <w:lvlText w:val="A.1"/>
      <w:lvlJc w:val="left"/>
      <w:pPr>
        <w:ind w:left="1134" w:hanging="1134"/>
      </w:pPr>
      <w:rPr>
        <w:rFonts w:ascii="Calibri" w:hAnsi="Calibri" w:hint="default"/>
        <w:b/>
        <w:i w:val="0"/>
        <w:color w:val="auto"/>
        <w:sz w:val="24"/>
      </w:rPr>
    </w:lvl>
    <w:lvl w:ilvl="1">
      <w:start w:val="2"/>
      <w:numFmt w:val="decimal"/>
      <w:lvlText w:val="B.%2"/>
      <w:lvlJc w:val="left"/>
      <w:pPr>
        <w:ind w:left="1134" w:hanging="1134"/>
      </w:pPr>
      <w:rPr>
        <w:rFonts w:ascii="Calibri" w:hAnsi="Calibri" w:hint="default"/>
        <w:b/>
        <w:i w:val="0"/>
        <w:color w:val="auto"/>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24" w15:restartNumberingAfterBreak="0">
    <w:nsid w:val="46C949D3"/>
    <w:multiLevelType w:val="hybridMultilevel"/>
    <w:tmpl w:val="FABECC4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095746"/>
    <w:multiLevelType w:val="hybridMultilevel"/>
    <w:tmpl w:val="42900988"/>
    <w:lvl w:ilvl="0" w:tplc="EF4E0AB6">
      <w:start w:val="1"/>
      <w:numFmt w:val="bullet"/>
      <w:pStyle w:val="Instructionaltext-bullet"/>
      <w:lvlText w:val=""/>
      <w:lvlJc w:val="left"/>
      <w:pPr>
        <w:ind w:left="720" w:hanging="360"/>
      </w:pPr>
      <w:rPr>
        <w:rFonts w:ascii="Symbol" w:hAnsi="Symbol" w:cs="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9C122F9"/>
    <w:multiLevelType w:val="hybridMultilevel"/>
    <w:tmpl w:val="B79C7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2C444C"/>
    <w:multiLevelType w:val="hybridMultilevel"/>
    <w:tmpl w:val="4D1A4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FF32E8"/>
    <w:multiLevelType w:val="hybridMultilevel"/>
    <w:tmpl w:val="39D4C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8316C4"/>
    <w:multiLevelType w:val="hybridMultilevel"/>
    <w:tmpl w:val="0B6EF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AC4037"/>
    <w:multiLevelType w:val="multilevel"/>
    <w:tmpl w:val="37B0CA18"/>
    <w:styleLink w:val="MSAC"/>
    <w:lvl w:ilvl="0">
      <w:start w:val="1"/>
      <w:numFmt w:val="none"/>
      <w:pStyle w:val="Heading12B"/>
      <w:lvlText w:val="A.1"/>
      <w:lvlJc w:val="left"/>
      <w:pPr>
        <w:ind w:left="1134" w:hanging="1134"/>
      </w:pPr>
      <w:rPr>
        <w:rFonts w:ascii="Calibri" w:hAnsi="Calibri" w:hint="default"/>
        <w:b/>
        <w:i w:val="0"/>
        <w:color w:val="auto"/>
        <w:sz w:val="24"/>
      </w:rPr>
    </w:lvl>
    <w:lvl w:ilvl="1">
      <w:start w:val="2"/>
      <w:numFmt w:val="decimal"/>
      <w:lvlText w:val="B.%2"/>
      <w:lvlJc w:val="left"/>
      <w:pPr>
        <w:ind w:left="1134" w:hanging="1134"/>
      </w:pPr>
      <w:rPr>
        <w:rFonts w:ascii="Calibri" w:hAnsi="Calibri" w:hint="default"/>
        <w:b/>
        <w:i w:val="0"/>
        <w:color w:val="auto"/>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31" w15:restartNumberingAfterBreak="0">
    <w:nsid w:val="5B7437AE"/>
    <w:multiLevelType w:val="hybridMultilevel"/>
    <w:tmpl w:val="7BE68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D84703"/>
    <w:multiLevelType w:val="hybridMultilevel"/>
    <w:tmpl w:val="DF8EF3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01C65E0"/>
    <w:multiLevelType w:val="hybridMultilevel"/>
    <w:tmpl w:val="4524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724570"/>
    <w:multiLevelType w:val="hybridMultilevel"/>
    <w:tmpl w:val="2104FDB8"/>
    <w:lvl w:ilvl="0" w:tplc="44725ACA">
      <w:start w:val="1"/>
      <w:numFmt w:val="decimal"/>
      <w:pStyle w:val="HeadingforS4"/>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19E44EB"/>
    <w:multiLevelType w:val="multilevel"/>
    <w:tmpl w:val="11F2F74C"/>
    <w:lvl w:ilvl="0">
      <w:start w:val="3"/>
      <w:numFmt w:val="decimal"/>
      <w:pStyle w:val="Heading13A"/>
      <w:lvlText w:val="Section %1A"/>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pStyle w:val="Heading23A"/>
      <w:lvlText w:val="%1A.%2"/>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Heading33A"/>
      <w:lvlText w:val="%1A.%2.%3"/>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pStyle w:val="Heading43A"/>
      <w:lvlText w:val="%1A.%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61E2925E"/>
    <w:multiLevelType w:val="hybridMultilevel"/>
    <w:tmpl w:val="FFFFFFFF"/>
    <w:lvl w:ilvl="0" w:tplc="16B6B5AC">
      <w:start w:val="1"/>
      <w:numFmt w:val="bullet"/>
      <w:lvlText w:val=""/>
      <w:lvlJc w:val="left"/>
      <w:pPr>
        <w:ind w:left="720" w:hanging="360"/>
      </w:pPr>
      <w:rPr>
        <w:rFonts w:ascii="Symbol" w:hAnsi="Symbol" w:hint="default"/>
      </w:rPr>
    </w:lvl>
    <w:lvl w:ilvl="1" w:tplc="3626E210">
      <w:start w:val="1"/>
      <w:numFmt w:val="bullet"/>
      <w:lvlText w:val="o"/>
      <w:lvlJc w:val="left"/>
      <w:pPr>
        <w:ind w:left="1440" w:hanging="360"/>
      </w:pPr>
      <w:rPr>
        <w:rFonts w:ascii="Courier New" w:hAnsi="Courier New" w:hint="default"/>
      </w:rPr>
    </w:lvl>
    <w:lvl w:ilvl="2" w:tplc="14461FC4">
      <w:start w:val="1"/>
      <w:numFmt w:val="bullet"/>
      <w:lvlText w:val=""/>
      <w:lvlJc w:val="left"/>
      <w:pPr>
        <w:ind w:left="2160" w:hanging="360"/>
      </w:pPr>
      <w:rPr>
        <w:rFonts w:ascii="Wingdings" w:hAnsi="Wingdings" w:hint="default"/>
      </w:rPr>
    </w:lvl>
    <w:lvl w:ilvl="3" w:tplc="E2C89590">
      <w:start w:val="1"/>
      <w:numFmt w:val="bullet"/>
      <w:lvlText w:val=""/>
      <w:lvlJc w:val="left"/>
      <w:pPr>
        <w:ind w:left="2880" w:hanging="360"/>
      </w:pPr>
      <w:rPr>
        <w:rFonts w:ascii="Symbol" w:hAnsi="Symbol" w:hint="default"/>
      </w:rPr>
    </w:lvl>
    <w:lvl w:ilvl="4" w:tplc="5AAC0300">
      <w:start w:val="1"/>
      <w:numFmt w:val="bullet"/>
      <w:lvlText w:val="o"/>
      <w:lvlJc w:val="left"/>
      <w:pPr>
        <w:ind w:left="3600" w:hanging="360"/>
      </w:pPr>
      <w:rPr>
        <w:rFonts w:ascii="Courier New" w:hAnsi="Courier New" w:hint="default"/>
      </w:rPr>
    </w:lvl>
    <w:lvl w:ilvl="5" w:tplc="786AE140">
      <w:start w:val="1"/>
      <w:numFmt w:val="bullet"/>
      <w:lvlText w:val=""/>
      <w:lvlJc w:val="left"/>
      <w:pPr>
        <w:ind w:left="4320" w:hanging="360"/>
      </w:pPr>
      <w:rPr>
        <w:rFonts w:ascii="Wingdings" w:hAnsi="Wingdings" w:hint="default"/>
      </w:rPr>
    </w:lvl>
    <w:lvl w:ilvl="6" w:tplc="DEC614EE">
      <w:start w:val="1"/>
      <w:numFmt w:val="bullet"/>
      <w:lvlText w:val=""/>
      <w:lvlJc w:val="left"/>
      <w:pPr>
        <w:ind w:left="5040" w:hanging="360"/>
      </w:pPr>
      <w:rPr>
        <w:rFonts w:ascii="Symbol" w:hAnsi="Symbol" w:hint="default"/>
      </w:rPr>
    </w:lvl>
    <w:lvl w:ilvl="7" w:tplc="481E026C">
      <w:start w:val="1"/>
      <w:numFmt w:val="bullet"/>
      <w:lvlText w:val="o"/>
      <w:lvlJc w:val="left"/>
      <w:pPr>
        <w:ind w:left="5760" w:hanging="360"/>
      </w:pPr>
      <w:rPr>
        <w:rFonts w:ascii="Courier New" w:hAnsi="Courier New" w:hint="default"/>
      </w:rPr>
    </w:lvl>
    <w:lvl w:ilvl="8" w:tplc="33C456A8">
      <w:start w:val="1"/>
      <w:numFmt w:val="bullet"/>
      <w:lvlText w:val=""/>
      <w:lvlJc w:val="left"/>
      <w:pPr>
        <w:ind w:left="6480" w:hanging="360"/>
      </w:pPr>
      <w:rPr>
        <w:rFonts w:ascii="Wingdings" w:hAnsi="Wingdings" w:hint="default"/>
      </w:rPr>
    </w:lvl>
  </w:abstractNum>
  <w:abstractNum w:abstractNumId="37" w15:restartNumberingAfterBreak="0">
    <w:nsid w:val="62855E40"/>
    <w:multiLevelType w:val="hybridMultilevel"/>
    <w:tmpl w:val="145A2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437506"/>
    <w:multiLevelType w:val="hybridMultilevel"/>
    <w:tmpl w:val="6FFEDE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97509FE"/>
    <w:multiLevelType w:val="hybridMultilevel"/>
    <w:tmpl w:val="19F2C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037A6A"/>
    <w:multiLevelType w:val="hybridMultilevel"/>
    <w:tmpl w:val="001EE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997A78"/>
    <w:multiLevelType w:val="hybridMultilevel"/>
    <w:tmpl w:val="30405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E241F4E"/>
    <w:multiLevelType w:val="hybridMultilevel"/>
    <w:tmpl w:val="5FE0A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6B1494"/>
    <w:multiLevelType w:val="hybridMultilevel"/>
    <w:tmpl w:val="D0BEA198"/>
    <w:lvl w:ilvl="0" w:tplc="86DE7228">
      <w:start w:val="6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abstractNum w:abstractNumId="47" w15:restartNumberingAfterBreak="0">
    <w:nsid w:val="7FEB31E1"/>
    <w:multiLevelType w:val="hybridMultilevel"/>
    <w:tmpl w:val="79543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46"/>
  </w:num>
  <w:num w:numId="3">
    <w:abstractNumId w:val="4"/>
  </w:num>
  <w:num w:numId="4">
    <w:abstractNumId w:val="12"/>
  </w:num>
  <w:num w:numId="5">
    <w:abstractNumId w:val="44"/>
  </w:num>
  <w:num w:numId="6">
    <w:abstractNumId w:val="14"/>
  </w:num>
  <w:num w:numId="7">
    <w:abstractNumId w:val="15"/>
  </w:num>
  <w:num w:numId="8">
    <w:abstractNumId w:val="25"/>
  </w:num>
  <w:num w:numId="9">
    <w:abstractNumId w:val="30"/>
  </w:num>
  <w:num w:numId="10">
    <w:abstractNumId w:val="35"/>
  </w:num>
  <w:num w:numId="11">
    <w:abstractNumId w:val="22"/>
  </w:num>
  <w:num w:numId="12">
    <w:abstractNumId w:val="34"/>
  </w:num>
  <w:num w:numId="13">
    <w:abstractNumId w:val="17"/>
  </w:num>
  <w:num w:numId="14">
    <w:abstractNumId w:val="40"/>
  </w:num>
  <w:num w:numId="15">
    <w:abstractNumId w:val="2"/>
  </w:num>
  <w:num w:numId="16">
    <w:abstractNumId w:val="31"/>
  </w:num>
  <w:num w:numId="17">
    <w:abstractNumId w:val="23"/>
  </w:num>
  <w:num w:numId="18">
    <w:abstractNumId w:val="3"/>
  </w:num>
  <w:num w:numId="19">
    <w:abstractNumId w:val="18"/>
  </w:num>
  <w:num w:numId="20">
    <w:abstractNumId w:val="5"/>
  </w:num>
  <w:num w:numId="21">
    <w:abstractNumId w:val="42"/>
  </w:num>
  <w:num w:numId="22">
    <w:abstractNumId w:val="45"/>
  </w:num>
  <w:num w:numId="23">
    <w:abstractNumId w:val="26"/>
  </w:num>
  <w:num w:numId="24">
    <w:abstractNumId w:val="24"/>
  </w:num>
  <w:num w:numId="25">
    <w:abstractNumId w:val="8"/>
  </w:num>
  <w:num w:numId="26">
    <w:abstractNumId w:val="27"/>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9"/>
  </w:num>
  <w:num w:numId="30">
    <w:abstractNumId w:val="37"/>
  </w:num>
  <w:num w:numId="31">
    <w:abstractNumId w:val="36"/>
  </w:num>
  <w:num w:numId="32">
    <w:abstractNumId w:val="20"/>
  </w:num>
  <w:num w:numId="33">
    <w:abstractNumId w:val="21"/>
  </w:num>
  <w:num w:numId="34">
    <w:abstractNumId w:val="0"/>
  </w:num>
  <w:num w:numId="35">
    <w:abstractNumId w:val="6"/>
  </w:num>
  <w:num w:numId="36">
    <w:abstractNumId w:val="38"/>
  </w:num>
  <w:num w:numId="37">
    <w:abstractNumId w:val="13"/>
  </w:num>
  <w:num w:numId="38">
    <w:abstractNumId w:val="41"/>
  </w:num>
  <w:num w:numId="39">
    <w:abstractNumId w:val="29"/>
  </w:num>
  <w:num w:numId="40">
    <w:abstractNumId w:val="43"/>
  </w:num>
  <w:num w:numId="41">
    <w:abstractNumId w:val="32"/>
  </w:num>
  <w:num w:numId="42">
    <w:abstractNumId w:val="19"/>
  </w:num>
  <w:num w:numId="43">
    <w:abstractNumId w:val="33"/>
  </w:num>
  <w:num w:numId="44">
    <w:abstractNumId w:val="47"/>
  </w:num>
  <w:num w:numId="45">
    <w:abstractNumId w:val="39"/>
  </w:num>
  <w:num w:numId="46">
    <w:abstractNumId w:val="1"/>
  </w:num>
  <w:num w:numId="47">
    <w:abstractNumId w:val="28"/>
  </w:num>
  <w:num w:numId="48">
    <w:abstractNumId w:val="10"/>
  </w:num>
  <w:num w:numId="49">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Franklin Gothic Book&lt;/FontName&gt;&lt;FontSize&gt;11&lt;/FontSize&gt;&lt;ReflistTitle&gt;&lt;/ReflistTitle&gt;&lt;StartingRefnum&gt;1&lt;/StartingRefnum&gt;&lt;FirstLineIndent&gt;0&lt;/FirstLineIndent&gt;&lt;HangingIndent&gt;0&lt;/HangingIndent&gt;&lt;LineSpacing&gt;0&lt;/LineSpacing&gt;&lt;SpaceAfter&gt;2&lt;/SpaceAfter&gt;&lt;HyperlinksEnabled&gt;0&lt;/HyperlinksEnabled&gt;&lt;HyperlinksVisible&gt;0&lt;/HyperlinksVisible&gt;&lt;EnableBibliographyCategories&gt;0&lt;/EnableBibliographyCategories&gt;&lt;/ENLayout&gt;"/>
    <w:docVar w:name="EN.Libraries" w:val="&lt;Libraries&gt;&lt;item db-id=&quot;095wrfpz6de5sxe9zptpvwvox2zev2fs0p9z&quot;&gt;1703_Sections1and4&lt;record-ids&gt;&lt;item&gt;1&lt;/item&gt;&lt;item&gt;3&lt;/item&gt;&lt;item&gt;4&lt;/item&gt;&lt;item&gt;5&lt;/item&gt;&lt;item&gt;6&lt;/item&gt;&lt;item&gt;7&lt;/item&gt;&lt;item&gt;8&lt;/item&gt;&lt;item&gt;9&lt;/item&gt;&lt;item&gt;10&lt;/item&gt;&lt;item&gt;11&lt;/item&gt;&lt;item&gt;12&lt;/item&gt;&lt;item&gt;14&lt;/item&gt;&lt;item&gt;16&lt;/item&gt;&lt;item&gt;19&lt;/item&gt;&lt;item&gt;20&lt;/item&gt;&lt;item&gt;21&lt;/item&gt;&lt;item&gt;22&lt;/item&gt;&lt;item&gt;23&lt;/item&gt;&lt;item&gt;24&lt;/item&gt;&lt;item&gt;26&lt;/item&gt;&lt;item&gt;28&lt;/item&gt;&lt;item&gt;30&lt;/item&gt;&lt;item&gt;31&lt;/item&gt;&lt;item&gt;32&lt;/item&gt;&lt;item&gt;36&lt;/item&gt;&lt;item&gt;43&lt;/item&gt;&lt;item&gt;45&lt;/item&gt;&lt;item&gt;46&lt;/item&gt;&lt;item&gt;47&lt;/item&gt;&lt;item&gt;48&lt;/item&gt;&lt;item&gt;49&lt;/item&gt;&lt;item&gt;50&lt;/item&gt;&lt;item&gt;51&lt;/item&gt;&lt;item&gt;52&lt;/item&gt;&lt;item&gt;54&lt;/item&gt;&lt;item&gt;55&lt;/item&gt;&lt;item&gt;56&lt;/item&gt;&lt;item&gt;58&lt;/item&gt;&lt;item&gt;59&lt;/item&gt;&lt;item&gt;60&lt;/item&gt;&lt;item&gt;62&lt;/item&gt;&lt;item&gt;63&lt;/item&gt;&lt;item&gt;69&lt;/item&gt;&lt;item&gt;73&lt;/item&gt;&lt;item&gt;74&lt;/item&gt;&lt;item&gt;76&lt;/item&gt;&lt;item&gt;77&lt;/item&gt;&lt;item&gt;80&lt;/item&gt;&lt;item&gt;81&lt;/item&gt;&lt;item&gt;82&lt;/item&gt;&lt;item&gt;84&lt;/item&gt;&lt;item&gt;86&lt;/item&gt;&lt;item&gt;87&lt;/item&gt;&lt;item&gt;88&lt;/item&gt;&lt;item&gt;90&lt;/item&gt;&lt;item&gt;93&lt;/item&gt;&lt;item&gt;98&lt;/item&gt;&lt;item&gt;100&lt;/item&gt;&lt;item&gt;105&lt;/item&gt;&lt;item&gt;107&lt;/item&gt;&lt;item&gt;111&lt;/item&gt;&lt;item&gt;113&lt;/item&gt;&lt;item&gt;114&lt;/item&gt;&lt;item&gt;116&lt;/item&gt;&lt;item&gt;117&lt;/item&gt;&lt;item&gt;119&lt;/item&gt;&lt;item&gt;120&lt;/item&gt;&lt;item&gt;121&lt;/item&gt;&lt;item&gt;122&lt;/item&gt;&lt;item&gt;124&lt;/item&gt;&lt;item&gt;125&lt;/item&gt;&lt;item&gt;132&lt;/item&gt;&lt;item&gt;137&lt;/item&gt;&lt;item&gt;152&lt;/item&gt;&lt;item&gt;161&lt;/item&gt;&lt;item&gt;168&lt;/item&gt;&lt;item&gt;170&lt;/item&gt;&lt;item&gt;171&lt;/item&gt;&lt;item&gt;172&lt;/item&gt;&lt;item&gt;224&lt;/item&gt;&lt;item&gt;243&lt;/item&gt;&lt;item&gt;244&lt;/item&gt;&lt;item&gt;248&lt;/item&gt;&lt;item&gt;256&lt;/item&gt;&lt;item&gt;265&lt;/item&gt;&lt;item&gt;272&lt;/item&gt;&lt;item&gt;278&lt;/item&gt;&lt;item&gt;293&lt;/item&gt;&lt;item&gt;302&lt;/item&gt;&lt;item&gt;305&lt;/item&gt;&lt;item&gt;309&lt;/item&gt;&lt;item&gt;350&lt;/item&gt;&lt;item&gt;387&lt;/item&gt;&lt;item&gt;391&lt;/item&gt;&lt;item&gt;392&lt;/item&gt;&lt;item&gt;404&lt;/item&gt;&lt;item&gt;414&lt;/item&gt;&lt;item&gt;418&lt;/item&gt;&lt;item&gt;419&lt;/item&gt;&lt;item&gt;420&lt;/item&gt;&lt;item&gt;421&lt;/item&gt;&lt;item&gt;422&lt;/item&gt;&lt;item&gt;423&lt;/item&gt;&lt;item&gt;424&lt;/item&gt;&lt;item&gt;425&lt;/item&gt;&lt;item&gt;426&lt;/item&gt;&lt;item&gt;427&lt;/item&gt;&lt;item&gt;428&lt;/item&gt;&lt;item&gt;429&lt;/item&gt;&lt;item&gt;430&lt;/item&gt;&lt;item&gt;431&lt;/item&gt;&lt;item&gt;432&lt;/item&gt;&lt;item&gt;433&lt;/item&gt;&lt;item&gt;434&lt;/item&gt;&lt;item&gt;435&lt;/item&gt;&lt;item&gt;436&lt;/item&gt;&lt;item&gt;437&lt;/item&gt;&lt;item&gt;438&lt;/item&gt;&lt;item&gt;439&lt;/item&gt;&lt;item&gt;440&lt;/item&gt;&lt;item&gt;441&lt;/item&gt;&lt;item&gt;442&lt;/item&gt;&lt;item&gt;443&lt;/item&gt;&lt;item&gt;445&lt;/item&gt;&lt;item&gt;446&lt;/item&gt;&lt;item&gt;447&lt;/item&gt;&lt;item&gt;449&lt;/item&gt;&lt;item&gt;450&lt;/item&gt;&lt;item&gt;453&lt;/item&gt;&lt;item&gt;454&lt;/item&gt;&lt;/record-ids&gt;&lt;/item&gt;&lt;/Libraries&gt;"/>
  </w:docVars>
  <w:rsids>
    <w:rsidRoot w:val="008157F1"/>
    <w:rsid w:val="00000041"/>
    <w:rsid w:val="000000E5"/>
    <w:rsid w:val="000001FB"/>
    <w:rsid w:val="00000397"/>
    <w:rsid w:val="000007C8"/>
    <w:rsid w:val="00000A58"/>
    <w:rsid w:val="00000B57"/>
    <w:rsid w:val="00000BC0"/>
    <w:rsid w:val="00000C9D"/>
    <w:rsid w:val="0000109A"/>
    <w:rsid w:val="000011E0"/>
    <w:rsid w:val="000012EB"/>
    <w:rsid w:val="0000133F"/>
    <w:rsid w:val="00001476"/>
    <w:rsid w:val="000014FF"/>
    <w:rsid w:val="00001590"/>
    <w:rsid w:val="00001636"/>
    <w:rsid w:val="0000182E"/>
    <w:rsid w:val="0000197A"/>
    <w:rsid w:val="00001ACE"/>
    <w:rsid w:val="00001AE6"/>
    <w:rsid w:val="00001B00"/>
    <w:rsid w:val="00001B46"/>
    <w:rsid w:val="00001CF6"/>
    <w:rsid w:val="00001F7B"/>
    <w:rsid w:val="0000208D"/>
    <w:rsid w:val="00002156"/>
    <w:rsid w:val="00002168"/>
    <w:rsid w:val="0000235F"/>
    <w:rsid w:val="000023C0"/>
    <w:rsid w:val="0000256F"/>
    <w:rsid w:val="000025CF"/>
    <w:rsid w:val="00002755"/>
    <w:rsid w:val="000029C2"/>
    <w:rsid w:val="000029CB"/>
    <w:rsid w:val="00002B12"/>
    <w:rsid w:val="00002B21"/>
    <w:rsid w:val="00002CC3"/>
    <w:rsid w:val="00002F0A"/>
    <w:rsid w:val="00002FB9"/>
    <w:rsid w:val="00003237"/>
    <w:rsid w:val="00003476"/>
    <w:rsid w:val="00003687"/>
    <w:rsid w:val="00003792"/>
    <w:rsid w:val="00003AA7"/>
    <w:rsid w:val="00003B56"/>
    <w:rsid w:val="00003E97"/>
    <w:rsid w:val="0000423A"/>
    <w:rsid w:val="00004325"/>
    <w:rsid w:val="00004441"/>
    <w:rsid w:val="000047C8"/>
    <w:rsid w:val="00004A13"/>
    <w:rsid w:val="00004A72"/>
    <w:rsid w:val="00004D69"/>
    <w:rsid w:val="00004F4C"/>
    <w:rsid w:val="00004F7F"/>
    <w:rsid w:val="00004FF9"/>
    <w:rsid w:val="00005044"/>
    <w:rsid w:val="000050D6"/>
    <w:rsid w:val="000053E4"/>
    <w:rsid w:val="0000542B"/>
    <w:rsid w:val="000054C9"/>
    <w:rsid w:val="0000585F"/>
    <w:rsid w:val="000058D9"/>
    <w:rsid w:val="000058EC"/>
    <w:rsid w:val="00005AA8"/>
    <w:rsid w:val="00005B6B"/>
    <w:rsid w:val="00005C32"/>
    <w:rsid w:val="00005C39"/>
    <w:rsid w:val="00005D23"/>
    <w:rsid w:val="00005EF9"/>
    <w:rsid w:val="00005FE7"/>
    <w:rsid w:val="0000612D"/>
    <w:rsid w:val="00006449"/>
    <w:rsid w:val="000064F4"/>
    <w:rsid w:val="00006777"/>
    <w:rsid w:val="00007092"/>
    <w:rsid w:val="000071EC"/>
    <w:rsid w:val="0000742F"/>
    <w:rsid w:val="000074CC"/>
    <w:rsid w:val="000075C6"/>
    <w:rsid w:val="00007837"/>
    <w:rsid w:val="00007903"/>
    <w:rsid w:val="0000792B"/>
    <w:rsid w:val="00007B0E"/>
    <w:rsid w:val="00007BE8"/>
    <w:rsid w:val="00007C23"/>
    <w:rsid w:val="00007C62"/>
    <w:rsid w:val="00007D4D"/>
    <w:rsid w:val="00007F8B"/>
    <w:rsid w:val="00007FB1"/>
    <w:rsid w:val="00010023"/>
    <w:rsid w:val="000103FB"/>
    <w:rsid w:val="000106E6"/>
    <w:rsid w:val="000108A9"/>
    <w:rsid w:val="00010B23"/>
    <w:rsid w:val="00010B51"/>
    <w:rsid w:val="00010B86"/>
    <w:rsid w:val="00010C3F"/>
    <w:rsid w:val="00011004"/>
    <w:rsid w:val="0001104E"/>
    <w:rsid w:val="000110F0"/>
    <w:rsid w:val="000110F3"/>
    <w:rsid w:val="0001113F"/>
    <w:rsid w:val="00011291"/>
    <w:rsid w:val="00011381"/>
    <w:rsid w:val="00011568"/>
    <w:rsid w:val="00011570"/>
    <w:rsid w:val="000115D6"/>
    <w:rsid w:val="00011659"/>
    <w:rsid w:val="00011755"/>
    <w:rsid w:val="00011E3D"/>
    <w:rsid w:val="0001239B"/>
    <w:rsid w:val="00012512"/>
    <w:rsid w:val="000126CF"/>
    <w:rsid w:val="00012847"/>
    <w:rsid w:val="0001286B"/>
    <w:rsid w:val="000129E8"/>
    <w:rsid w:val="00012AC0"/>
    <w:rsid w:val="00012AF0"/>
    <w:rsid w:val="00012AF9"/>
    <w:rsid w:val="00012C26"/>
    <w:rsid w:val="00012E7D"/>
    <w:rsid w:val="00012F60"/>
    <w:rsid w:val="00012FA3"/>
    <w:rsid w:val="0001307C"/>
    <w:rsid w:val="0001330D"/>
    <w:rsid w:val="00013453"/>
    <w:rsid w:val="000135E8"/>
    <w:rsid w:val="00013979"/>
    <w:rsid w:val="00013AD6"/>
    <w:rsid w:val="00013CBA"/>
    <w:rsid w:val="00013DDD"/>
    <w:rsid w:val="00013DEE"/>
    <w:rsid w:val="00013E63"/>
    <w:rsid w:val="00013F73"/>
    <w:rsid w:val="0001404B"/>
    <w:rsid w:val="0001407F"/>
    <w:rsid w:val="000140C7"/>
    <w:rsid w:val="000140DB"/>
    <w:rsid w:val="000143DE"/>
    <w:rsid w:val="00014565"/>
    <w:rsid w:val="00014633"/>
    <w:rsid w:val="00014974"/>
    <w:rsid w:val="000149D6"/>
    <w:rsid w:val="00014CD0"/>
    <w:rsid w:val="00015085"/>
    <w:rsid w:val="000152BC"/>
    <w:rsid w:val="000156AA"/>
    <w:rsid w:val="00015989"/>
    <w:rsid w:val="00015B81"/>
    <w:rsid w:val="00015C8A"/>
    <w:rsid w:val="00015D33"/>
    <w:rsid w:val="00015FA3"/>
    <w:rsid w:val="00016002"/>
    <w:rsid w:val="000160BA"/>
    <w:rsid w:val="0001631E"/>
    <w:rsid w:val="00016632"/>
    <w:rsid w:val="00016758"/>
    <w:rsid w:val="0001686E"/>
    <w:rsid w:val="00016A7D"/>
    <w:rsid w:val="0001705C"/>
    <w:rsid w:val="000173F0"/>
    <w:rsid w:val="00017471"/>
    <w:rsid w:val="000175D5"/>
    <w:rsid w:val="000175FC"/>
    <w:rsid w:val="00017AB6"/>
    <w:rsid w:val="00017BA0"/>
    <w:rsid w:val="00017D58"/>
    <w:rsid w:val="00017D9D"/>
    <w:rsid w:val="0002009F"/>
    <w:rsid w:val="00020384"/>
    <w:rsid w:val="0002038F"/>
    <w:rsid w:val="0002049A"/>
    <w:rsid w:val="00020586"/>
    <w:rsid w:val="000209E7"/>
    <w:rsid w:val="00020B80"/>
    <w:rsid w:val="00020C5A"/>
    <w:rsid w:val="00020FB5"/>
    <w:rsid w:val="00021175"/>
    <w:rsid w:val="0002132D"/>
    <w:rsid w:val="00021441"/>
    <w:rsid w:val="00021564"/>
    <w:rsid w:val="000215ED"/>
    <w:rsid w:val="00021906"/>
    <w:rsid w:val="00021A5C"/>
    <w:rsid w:val="00021BF5"/>
    <w:rsid w:val="00021C66"/>
    <w:rsid w:val="00021D4D"/>
    <w:rsid w:val="00021E1F"/>
    <w:rsid w:val="00022101"/>
    <w:rsid w:val="00022208"/>
    <w:rsid w:val="00022387"/>
    <w:rsid w:val="0002269D"/>
    <w:rsid w:val="000226B5"/>
    <w:rsid w:val="00022716"/>
    <w:rsid w:val="000228B8"/>
    <w:rsid w:val="0002299E"/>
    <w:rsid w:val="00022B7A"/>
    <w:rsid w:val="00022BCE"/>
    <w:rsid w:val="00022CF7"/>
    <w:rsid w:val="00022F24"/>
    <w:rsid w:val="000230F9"/>
    <w:rsid w:val="00023294"/>
    <w:rsid w:val="00023315"/>
    <w:rsid w:val="000237D6"/>
    <w:rsid w:val="0002381B"/>
    <w:rsid w:val="00023E06"/>
    <w:rsid w:val="00023E96"/>
    <w:rsid w:val="00023EE3"/>
    <w:rsid w:val="00023F7A"/>
    <w:rsid w:val="000244B7"/>
    <w:rsid w:val="0002483E"/>
    <w:rsid w:val="00024992"/>
    <w:rsid w:val="00024AED"/>
    <w:rsid w:val="00024BDD"/>
    <w:rsid w:val="00024EA5"/>
    <w:rsid w:val="00024F62"/>
    <w:rsid w:val="00025121"/>
    <w:rsid w:val="000251B1"/>
    <w:rsid w:val="0002551C"/>
    <w:rsid w:val="00025573"/>
    <w:rsid w:val="00025970"/>
    <w:rsid w:val="00025A41"/>
    <w:rsid w:val="00025B2C"/>
    <w:rsid w:val="00025B8C"/>
    <w:rsid w:val="00025BC1"/>
    <w:rsid w:val="00026075"/>
    <w:rsid w:val="0002611B"/>
    <w:rsid w:val="000262F3"/>
    <w:rsid w:val="00026560"/>
    <w:rsid w:val="000266C1"/>
    <w:rsid w:val="000266DA"/>
    <w:rsid w:val="00026730"/>
    <w:rsid w:val="0002684C"/>
    <w:rsid w:val="00026894"/>
    <w:rsid w:val="00026ADB"/>
    <w:rsid w:val="00026F3C"/>
    <w:rsid w:val="00026FE8"/>
    <w:rsid w:val="00027012"/>
    <w:rsid w:val="0002711D"/>
    <w:rsid w:val="0002712C"/>
    <w:rsid w:val="0002755F"/>
    <w:rsid w:val="000275EB"/>
    <w:rsid w:val="00027635"/>
    <w:rsid w:val="00027698"/>
    <w:rsid w:val="000276BF"/>
    <w:rsid w:val="000277E2"/>
    <w:rsid w:val="00027A1C"/>
    <w:rsid w:val="00027A4D"/>
    <w:rsid w:val="00027B3C"/>
    <w:rsid w:val="00027B56"/>
    <w:rsid w:val="00027B77"/>
    <w:rsid w:val="00027DCA"/>
    <w:rsid w:val="000302BB"/>
    <w:rsid w:val="0003036D"/>
    <w:rsid w:val="000303D2"/>
    <w:rsid w:val="0003070F"/>
    <w:rsid w:val="000307FD"/>
    <w:rsid w:val="0003093F"/>
    <w:rsid w:val="00030B3E"/>
    <w:rsid w:val="00030C23"/>
    <w:rsid w:val="000310E2"/>
    <w:rsid w:val="000313A1"/>
    <w:rsid w:val="0003157A"/>
    <w:rsid w:val="00031803"/>
    <w:rsid w:val="00031AC8"/>
    <w:rsid w:val="00031BAE"/>
    <w:rsid w:val="00031C74"/>
    <w:rsid w:val="00031C94"/>
    <w:rsid w:val="00031CD5"/>
    <w:rsid w:val="00031F1F"/>
    <w:rsid w:val="000322DF"/>
    <w:rsid w:val="00032464"/>
    <w:rsid w:val="0003258F"/>
    <w:rsid w:val="0003259D"/>
    <w:rsid w:val="00032652"/>
    <w:rsid w:val="000327D8"/>
    <w:rsid w:val="00032B21"/>
    <w:rsid w:val="00032D55"/>
    <w:rsid w:val="00032E20"/>
    <w:rsid w:val="000332EA"/>
    <w:rsid w:val="0003333D"/>
    <w:rsid w:val="000335C7"/>
    <w:rsid w:val="000337BC"/>
    <w:rsid w:val="000337E4"/>
    <w:rsid w:val="00033882"/>
    <w:rsid w:val="00033978"/>
    <w:rsid w:val="00033BB0"/>
    <w:rsid w:val="00033C5F"/>
    <w:rsid w:val="00033FB6"/>
    <w:rsid w:val="00034087"/>
    <w:rsid w:val="0003423A"/>
    <w:rsid w:val="000342A3"/>
    <w:rsid w:val="000346A6"/>
    <w:rsid w:val="0003477F"/>
    <w:rsid w:val="000349F1"/>
    <w:rsid w:val="00034A56"/>
    <w:rsid w:val="00034A91"/>
    <w:rsid w:val="00034B6E"/>
    <w:rsid w:val="00034B8B"/>
    <w:rsid w:val="00034C4B"/>
    <w:rsid w:val="00034E05"/>
    <w:rsid w:val="00034E85"/>
    <w:rsid w:val="00034F18"/>
    <w:rsid w:val="00034F46"/>
    <w:rsid w:val="00034F52"/>
    <w:rsid w:val="000353B3"/>
    <w:rsid w:val="00035531"/>
    <w:rsid w:val="00035635"/>
    <w:rsid w:val="00035748"/>
    <w:rsid w:val="00035BF2"/>
    <w:rsid w:val="00035C1D"/>
    <w:rsid w:val="000363DB"/>
    <w:rsid w:val="000363F4"/>
    <w:rsid w:val="00036557"/>
    <w:rsid w:val="000365C0"/>
    <w:rsid w:val="00036AD8"/>
    <w:rsid w:val="00036D06"/>
    <w:rsid w:val="00036D87"/>
    <w:rsid w:val="00036DBD"/>
    <w:rsid w:val="00036EEA"/>
    <w:rsid w:val="00037037"/>
    <w:rsid w:val="00037302"/>
    <w:rsid w:val="0003741F"/>
    <w:rsid w:val="0003742D"/>
    <w:rsid w:val="000377C5"/>
    <w:rsid w:val="000377DB"/>
    <w:rsid w:val="000378A4"/>
    <w:rsid w:val="000378BB"/>
    <w:rsid w:val="00040042"/>
    <w:rsid w:val="0004005D"/>
    <w:rsid w:val="00040086"/>
    <w:rsid w:val="0004014E"/>
    <w:rsid w:val="000404F8"/>
    <w:rsid w:val="000408C5"/>
    <w:rsid w:val="00040974"/>
    <w:rsid w:val="000409D8"/>
    <w:rsid w:val="00040ADF"/>
    <w:rsid w:val="00040B18"/>
    <w:rsid w:val="00040B86"/>
    <w:rsid w:val="00040C69"/>
    <w:rsid w:val="00040DB1"/>
    <w:rsid w:val="00040E6F"/>
    <w:rsid w:val="00040FB4"/>
    <w:rsid w:val="00041590"/>
    <w:rsid w:val="00041619"/>
    <w:rsid w:val="0004178C"/>
    <w:rsid w:val="000419AF"/>
    <w:rsid w:val="00041BAB"/>
    <w:rsid w:val="00041C5E"/>
    <w:rsid w:val="00041CA1"/>
    <w:rsid w:val="00041F5D"/>
    <w:rsid w:val="00042020"/>
    <w:rsid w:val="00042081"/>
    <w:rsid w:val="0004210E"/>
    <w:rsid w:val="00042153"/>
    <w:rsid w:val="0004221A"/>
    <w:rsid w:val="000423B1"/>
    <w:rsid w:val="00042478"/>
    <w:rsid w:val="00042596"/>
    <w:rsid w:val="00042A6B"/>
    <w:rsid w:val="00042B8F"/>
    <w:rsid w:val="00042BBB"/>
    <w:rsid w:val="00042BDF"/>
    <w:rsid w:val="000431EB"/>
    <w:rsid w:val="000434B3"/>
    <w:rsid w:val="000434E0"/>
    <w:rsid w:val="000435B8"/>
    <w:rsid w:val="0004370D"/>
    <w:rsid w:val="0004378E"/>
    <w:rsid w:val="00043B0D"/>
    <w:rsid w:val="00043B9C"/>
    <w:rsid w:val="00043BBA"/>
    <w:rsid w:val="00043C99"/>
    <w:rsid w:val="00043D57"/>
    <w:rsid w:val="00043DC8"/>
    <w:rsid w:val="00043E3B"/>
    <w:rsid w:val="00043FA2"/>
    <w:rsid w:val="00043FB2"/>
    <w:rsid w:val="000443A6"/>
    <w:rsid w:val="000448B3"/>
    <w:rsid w:val="000449D1"/>
    <w:rsid w:val="00044B29"/>
    <w:rsid w:val="00044DCA"/>
    <w:rsid w:val="000451AB"/>
    <w:rsid w:val="000452D9"/>
    <w:rsid w:val="00045433"/>
    <w:rsid w:val="00045681"/>
    <w:rsid w:val="00045715"/>
    <w:rsid w:val="00045834"/>
    <w:rsid w:val="000458A3"/>
    <w:rsid w:val="00045B8D"/>
    <w:rsid w:val="00045CB0"/>
    <w:rsid w:val="00045CC5"/>
    <w:rsid w:val="00045D51"/>
    <w:rsid w:val="00045DF1"/>
    <w:rsid w:val="00045FD5"/>
    <w:rsid w:val="00046006"/>
    <w:rsid w:val="00046301"/>
    <w:rsid w:val="0004637B"/>
    <w:rsid w:val="000464B3"/>
    <w:rsid w:val="0004664E"/>
    <w:rsid w:val="00046839"/>
    <w:rsid w:val="00046844"/>
    <w:rsid w:val="00046B6A"/>
    <w:rsid w:val="00046B9B"/>
    <w:rsid w:val="00046C27"/>
    <w:rsid w:val="00046C2B"/>
    <w:rsid w:val="00046C52"/>
    <w:rsid w:val="00046E5B"/>
    <w:rsid w:val="000472D4"/>
    <w:rsid w:val="000472EF"/>
    <w:rsid w:val="000475AB"/>
    <w:rsid w:val="000475CC"/>
    <w:rsid w:val="000475E9"/>
    <w:rsid w:val="000477DA"/>
    <w:rsid w:val="0004780C"/>
    <w:rsid w:val="00047996"/>
    <w:rsid w:val="00047A41"/>
    <w:rsid w:val="00047D5F"/>
    <w:rsid w:val="00047FE2"/>
    <w:rsid w:val="000502F2"/>
    <w:rsid w:val="00050498"/>
    <w:rsid w:val="00050590"/>
    <w:rsid w:val="0005059D"/>
    <w:rsid w:val="000506E2"/>
    <w:rsid w:val="0005078F"/>
    <w:rsid w:val="0005082C"/>
    <w:rsid w:val="0005090B"/>
    <w:rsid w:val="000509B8"/>
    <w:rsid w:val="00050A2E"/>
    <w:rsid w:val="00050CBF"/>
    <w:rsid w:val="00051039"/>
    <w:rsid w:val="00051128"/>
    <w:rsid w:val="00051533"/>
    <w:rsid w:val="00051590"/>
    <w:rsid w:val="000518E6"/>
    <w:rsid w:val="0005192A"/>
    <w:rsid w:val="000519DB"/>
    <w:rsid w:val="00051CB0"/>
    <w:rsid w:val="0005238F"/>
    <w:rsid w:val="00052410"/>
    <w:rsid w:val="000524F3"/>
    <w:rsid w:val="0005290C"/>
    <w:rsid w:val="00052A75"/>
    <w:rsid w:val="00052BBB"/>
    <w:rsid w:val="00052C14"/>
    <w:rsid w:val="00052DAD"/>
    <w:rsid w:val="00052DD3"/>
    <w:rsid w:val="0005326D"/>
    <w:rsid w:val="00053274"/>
    <w:rsid w:val="000532B0"/>
    <w:rsid w:val="000535AB"/>
    <w:rsid w:val="00053699"/>
    <w:rsid w:val="00053CBC"/>
    <w:rsid w:val="00053D1A"/>
    <w:rsid w:val="00053D7F"/>
    <w:rsid w:val="00053E16"/>
    <w:rsid w:val="00053E64"/>
    <w:rsid w:val="00053EC9"/>
    <w:rsid w:val="00053F31"/>
    <w:rsid w:val="00053F6C"/>
    <w:rsid w:val="00053F72"/>
    <w:rsid w:val="00053FB0"/>
    <w:rsid w:val="0005435B"/>
    <w:rsid w:val="0005450E"/>
    <w:rsid w:val="0005451F"/>
    <w:rsid w:val="0005459F"/>
    <w:rsid w:val="00054610"/>
    <w:rsid w:val="0005477A"/>
    <w:rsid w:val="000548BF"/>
    <w:rsid w:val="000549C7"/>
    <w:rsid w:val="00054B2E"/>
    <w:rsid w:val="00054E79"/>
    <w:rsid w:val="000550DA"/>
    <w:rsid w:val="000552A5"/>
    <w:rsid w:val="0005536F"/>
    <w:rsid w:val="0005540B"/>
    <w:rsid w:val="000554A0"/>
    <w:rsid w:val="000555B6"/>
    <w:rsid w:val="00055604"/>
    <w:rsid w:val="00055A74"/>
    <w:rsid w:val="0005602F"/>
    <w:rsid w:val="00056046"/>
    <w:rsid w:val="0005634B"/>
    <w:rsid w:val="00056458"/>
    <w:rsid w:val="00056588"/>
    <w:rsid w:val="000565E3"/>
    <w:rsid w:val="00056767"/>
    <w:rsid w:val="00056898"/>
    <w:rsid w:val="000568FB"/>
    <w:rsid w:val="0005694D"/>
    <w:rsid w:val="000569D2"/>
    <w:rsid w:val="00056AEC"/>
    <w:rsid w:val="00056B9B"/>
    <w:rsid w:val="0005716A"/>
    <w:rsid w:val="00057334"/>
    <w:rsid w:val="000573BB"/>
    <w:rsid w:val="000573C0"/>
    <w:rsid w:val="0005744B"/>
    <w:rsid w:val="00057516"/>
    <w:rsid w:val="0005761E"/>
    <w:rsid w:val="0005786B"/>
    <w:rsid w:val="00057979"/>
    <w:rsid w:val="00057A39"/>
    <w:rsid w:val="00057BF6"/>
    <w:rsid w:val="00057D1A"/>
    <w:rsid w:val="00057F2D"/>
    <w:rsid w:val="000600C2"/>
    <w:rsid w:val="0006016F"/>
    <w:rsid w:val="000605C1"/>
    <w:rsid w:val="00060639"/>
    <w:rsid w:val="00060919"/>
    <w:rsid w:val="0006098C"/>
    <w:rsid w:val="000609F1"/>
    <w:rsid w:val="00060EC4"/>
    <w:rsid w:val="00060EEC"/>
    <w:rsid w:val="00060FA2"/>
    <w:rsid w:val="000612EB"/>
    <w:rsid w:val="000613B7"/>
    <w:rsid w:val="00061497"/>
    <w:rsid w:val="000614D5"/>
    <w:rsid w:val="00061A02"/>
    <w:rsid w:val="00061A4A"/>
    <w:rsid w:val="00061C79"/>
    <w:rsid w:val="00061D22"/>
    <w:rsid w:val="00061D6F"/>
    <w:rsid w:val="00062099"/>
    <w:rsid w:val="000621C6"/>
    <w:rsid w:val="00062477"/>
    <w:rsid w:val="00062681"/>
    <w:rsid w:val="000626DF"/>
    <w:rsid w:val="00062806"/>
    <w:rsid w:val="00062BF4"/>
    <w:rsid w:val="00062C6C"/>
    <w:rsid w:val="00062DBF"/>
    <w:rsid w:val="00062DD3"/>
    <w:rsid w:val="00062FEA"/>
    <w:rsid w:val="000630C8"/>
    <w:rsid w:val="0006339C"/>
    <w:rsid w:val="0006377E"/>
    <w:rsid w:val="0006385A"/>
    <w:rsid w:val="000638EE"/>
    <w:rsid w:val="00063A0A"/>
    <w:rsid w:val="00063C69"/>
    <w:rsid w:val="00063E94"/>
    <w:rsid w:val="00063EF1"/>
    <w:rsid w:val="00064299"/>
    <w:rsid w:val="00064323"/>
    <w:rsid w:val="000643EE"/>
    <w:rsid w:val="00064429"/>
    <w:rsid w:val="00064783"/>
    <w:rsid w:val="000647C2"/>
    <w:rsid w:val="00064951"/>
    <w:rsid w:val="000649A5"/>
    <w:rsid w:val="00064AF8"/>
    <w:rsid w:val="00064B74"/>
    <w:rsid w:val="00064D90"/>
    <w:rsid w:val="00064DC9"/>
    <w:rsid w:val="00064DF3"/>
    <w:rsid w:val="00064EE4"/>
    <w:rsid w:val="00064FB4"/>
    <w:rsid w:val="00065033"/>
    <w:rsid w:val="00065284"/>
    <w:rsid w:val="00065376"/>
    <w:rsid w:val="00065393"/>
    <w:rsid w:val="00065485"/>
    <w:rsid w:val="0006548A"/>
    <w:rsid w:val="0006558D"/>
    <w:rsid w:val="000655B8"/>
    <w:rsid w:val="0006580A"/>
    <w:rsid w:val="00065892"/>
    <w:rsid w:val="00065911"/>
    <w:rsid w:val="00065AA5"/>
    <w:rsid w:val="00065D52"/>
    <w:rsid w:val="00065EB8"/>
    <w:rsid w:val="00066183"/>
    <w:rsid w:val="0006624D"/>
    <w:rsid w:val="0006635A"/>
    <w:rsid w:val="00066A7E"/>
    <w:rsid w:val="00066B30"/>
    <w:rsid w:val="00066D8C"/>
    <w:rsid w:val="00066F15"/>
    <w:rsid w:val="000670CA"/>
    <w:rsid w:val="000670E3"/>
    <w:rsid w:val="0006711F"/>
    <w:rsid w:val="00067314"/>
    <w:rsid w:val="00067538"/>
    <w:rsid w:val="00067545"/>
    <w:rsid w:val="000676DE"/>
    <w:rsid w:val="00067761"/>
    <w:rsid w:val="000677A1"/>
    <w:rsid w:val="00067848"/>
    <w:rsid w:val="00067867"/>
    <w:rsid w:val="00067DD3"/>
    <w:rsid w:val="00067E15"/>
    <w:rsid w:val="0007021F"/>
    <w:rsid w:val="00070595"/>
    <w:rsid w:val="00070627"/>
    <w:rsid w:val="00070791"/>
    <w:rsid w:val="00070879"/>
    <w:rsid w:val="000709A0"/>
    <w:rsid w:val="00070CD1"/>
    <w:rsid w:val="00070D14"/>
    <w:rsid w:val="00070D17"/>
    <w:rsid w:val="00070DF1"/>
    <w:rsid w:val="00070F06"/>
    <w:rsid w:val="00071001"/>
    <w:rsid w:val="000715D4"/>
    <w:rsid w:val="00071792"/>
    <w:rsid w:val="000718D2"/>
    <w:rsid w:val="00071D49"/>
    <w:rsid w:val="00071E53"/>
    <w:rsid w:val="00072025"/>
    <w:rsid w:val="00072118"/>
    <w:rsid w:val="000721BB"/>
    <w:rsid w:val="000721F5"/>
    <w:rsid w:val="00072312"/>
    <w:rsid w:val="0007237C"/>
    <w:rsid w:val="0007243D"/>
    <w:rsid w:val="000724E3"/>
    <w:rsid w:val="00072757"/>
    <w:rsid w:val="0007290D"/>
    <w:rsid w:val="00072A63"/>
    <w:rsid w:val="00072E09"/>
    <w:rsid w:val="0007301E"/>
    <w:rsid w:val="000732F0"/>
    <w:rsid w:val="00073437"/>
    <w:rsid w:val="000734C3"/>
    <w:rsid w:val="00073533"/>
    <w:rsid w:val="000737A8"/>
    <w:rsid w:val="00073E95"/>
    <w:rsid w:val="00074176"/>
    <w:rsid w:val="00074199"/>
    <w:rsid w:val="0007426F"/>
    <w:rsid w:val="000742FC"/>
    <w:rsid w:val="00074481"/>
    <w:rsid w:val="000749D8"/>
    <w:rsid w:val="00074B6F"/>
    <w:rsid w:val="00074C13"/>
    <w:rsid w:val="00074E0D"/>
    <w:rsid w:val="00074EB6"/>
    <w:rsid w:val="00074F64"/>
    <w:rsid w:val="00074F85"/>
    <w:rsid w:val="00075101"/>
    <w:rsid w:val="000751ED"/>
    <w:rsid w:val="000754B5"/>
    <w:rsid w:val="00075632"/>
    <w:rsid w:val="000758A2"/>
    <w:rsid w:val="00075E34"/>
    <w:rsid w:val="00075E49"/>
    <w:rsid w:val="00075F1F"/>
    <w:rsid w:val="00075F74"/>
    <w:rsid w:val="00076124"/>
    <w:rsid w:val="000761EE"/>
    <w:rsid w:val="00076206"/>
    <w:rsid w:val="0007625E"/>
    <w:rsid w:val="00076891"/>
    <w:rsid w:val="000768FA"/>
    <w:rsid w:val="00076999"/>
    <w:rsid w:val="00076A1C"/>
    <w:rsid w:val="00076B02"/>
    <w:rsid w:val="00076BFE"/>
    <w:rsid w:val="00076C86"/>
    <w:rsid w:val="00076C8E"/>
    <w:rsid w:val="00077409"/>
    <w:rsid w:val="00077595"/>
    <w:rsid w:val="00077621"/>
    <w:rsid w:val="0007768B"/>
    <w:rsid w:val="00077894"/>
    <w:rsid w:val="00077B66"/>
    <w:rsid w:val="00077FD8"/>
    <w:rsid w:val="000800D3"/>
    <w:rsid w:val="00080219"/>
    <w:rsid w:val="00080241"/>
    <w:rsid w:val="00080880"/>
    <w:rsid w:val="00080C8C"/>
    <w:rsid w:val="00080CBB"/>
    <w:rsid w:val="00080F33"/>
    <w:rsid w:val="00080F59"/>
    <w:rsid w:val="000811A4"/>
    <w:rsid w:val="000813C2"/>
    <w:rsid w:val="00081778"/>
    <w:rsid w:val="000818AB"/>
    <w:rsid w:val="00081974"/>
    <w:rsid w:val="00081ADB"/>
    <w:rsid w:val="000822EF"/>
    <w:rsid w:val="000823CF"/>
    <w:rsid w:val="0008250D"/>
    <w:rsid w:val="00082686"/>
    <w:rsid w:val="000826A9"/>
    <w:rsid w:val="000827A8"/>
    <w:rsid w:val="000828EE"/>
    <w:rsid w:val="00082928"/>
    <w:rsid w:val="000829A4"/>
    <w:rsid w:val="00082BD8"/>
    <w:rsid w:val="00082DA1"/>
    <w:rsid w:val="00082EF0"/>
    <w:rsid w:val="00082F7D"/>
    <w:rsid w:val="00083103"/>
    <w:rsid w:val="0008317F"/>
    <w:rsid w:val="00083234"/>
    <w:rsid w:val="00083244"/>
    <w:rsid w:val="00083574"/>
    <w:rsid w:val="00083720"/>
    <w:rsid w:val="000838B6"/>
    <w:rsid w:val="00083932"/>
    <w:rsid w:val="000839C2"/>
    <w:rsid w:val="00083A95"/>
    <w:rsid w:val="00083CA6"/>
    <w:rsid w:val="0008408A"/>
    <w:rsid w:val="000840D2"/>
    <w:rsid w:val="000840E8"/>
    <w:rsid w:val="00084298"/>
    <w:rsid w:val="00084324"/>
    <w:rsid w:val="000847AD"/>
    <w:rsid w:val="00084B2E"/>
    <w:rsid w:val="00084CDF"/>
    <w:rsid w:val="00084D29"/>
    <w:rsid w:val="00084E41"/>
    <w:rsid w:val="00085012"/>
    <w:rsid w:val="00085140"/>
    <w:rsid w:val="00085222"/>
    <w:rsid w:val="0008540C"/>
    <w:rsid w:val="00085481"/>
    <w:rsid w:val="000854D5"/>
    <w:rsid w:val="00085543"/>
    <w:rsid w:val="000855B6"/>
    <w:rsid w:val="000856A2"/>
    <w:rsid w:val="00085736"/>
    <w:rsid w:val="00085757"/>
    <w:rsid w:val="00085A60"/>
    <w:rsid w:val="00085B3B"/>
    <w:rsid w:val="00085D0D"/>
    <w:rsid w:val="00085E12"/>
    <w:rsid w:val="00085EA1"/>
    <w:rsid w:val="00085EAD"/>
    <w:rsid w:val="00085FBF"/>
    <w:rsid w:val="000862B3"/>
    <w:rsid w:val="000862D5"/>
    <w:rsid w:val="00086346"/>
    <w:rsid w:val="0008667C"/>
    <w:rsid w:val="00086BCA"/>
    <w:rsid w:val="00086CFB"/>
    <w:rsid w:val="00086EAF"/>
    <w:rsid w:val="000870B6"/>
    <w:rsid w:val="00087116"/>
    <w:rsid w:val="00087131"/>
    <w:rsid w:val="00087166"/>
    <w:rsid w:val="00087459"/>
    <w:rsid w:val="000878C9"/>
    <w:rsid w:val="00087E61"/>
    <w:rsid w:val="00087EA7"/>
    <w:rsid w:val="00090393"/>
    <w:rsid w:val="00090530"/>
    <w:rsid w:val="000905C2"/>
    <w:rsid w:val="00090613"/>
    <w:rsid w:val="000906D3"/>
    <w:rsid w:val="00090759"/>
    <w:rsid w:val="00090783"/>
    <w:rsid w:val="00090786"/>
    <w:rsid w:val="00090884"/>
    <w:rsid w:val="0009089B"/>
    <w:rsid w:val="00090BD1"/>
    <w:rsid w:val="00090D01"/>
    <w:rsid w:val="00090DFB"/>
    <w:rsid w:val="00090E2F"/>
    <w:rsid w:val="00090FD0"/>
    <w:rsid w:val="00091023"/>
    <w:rsid w:val="0009108B"/>
    <w:rsid w:val="0009119F"/>
    <w:rsid w:val="00091421"/>
    <w:rsid w:val="00091428"/>
    <w:rsid w:val="0009143C"/>
    <w:rsid w:val="000914D8"/>
    <w:rsid w:val="0009158E"/>
    <w:rsid w:val="00091757"/>
    <w:rsid w:val="00091857"/>
    <w:rsid w:val="000918D5"/>
    <w:rsid w:val="0009198B"/>
    <w:rsid w:val="00091A25"/>
    <w:rsid w:val="00091A82"/>
    <w:rsid w:val="00091C59"/>
    <w:rsid w:val="00091CD7"/>
    <w:rsid w:val="00091D4B"/>
    <w:rsid w:val="00091EB5"/>
    <w:rsid w:val="00092136"/>
    <w:rsid w:val="000921AB"/>
    <w:rsid w:val="000924E4"/>
    <w:rsid w:val="000928BA"/>
    <w:rsid w:val="000929A8"/>
    <w:rsid w:val="00092A21"/>
    <w:rsid w:val="00092D9C"/>
    <w:rsid w:val="00092E5D"/>
    <w:rsid w:val="00092F05"/>
    <w:rsid w:val="000932D8"/>
    <w:rsid w:val="0009334B"/>
    <w:rsid w:val="0009340B"/>
    <w:rsid w:val="00093999"/>
    <w:rsid w:val="00093AA6"/>
    <w:rsid w:val="00093D9A"/>
    <w:rsid w:val="00094043"/>
    <w:rsid w:val="000940D0"/>
    <w:rsid w:val="00094402"/>
    <w:rsid w:val="0009441C"/>
    <w:rsid w:val="00094447"/>
    <w:rsid w:val="00094656"/>
    <w:rsid w:val="000946B4"/>
    <w:rsid w:val="00094749"/>
    <w:rsid w:val="000948ED"/>
    <w:rsid w:val="00094C05"/>
    <w:rsid w:val="00094D80"/>
    <w:rsid w:val="00094DB8"/>
    <w:rsid w:val="00094DF5"/>
    <w:rsid w:val="00094E85"/>
    <w:rsid w:val="00095206"/>
    <w:rsid w:val="000952CF"/>
    <w:rsid w:val="0009539E"/>
    <w:rsid w:val="000955E4"/>
    <w:rsid w:val="0009570C"/>
    <w:rsid w:val="000957DF"/>
    <w:rsid w:val="00095DDB"/>
    <w:rsid w:val="00096733"/>
    <w:rsid w:val="00096756"/>
    <w:rsid w:val="00096B52"/>
    <w:rsid w:val="00096C3D"/>
    <w:rsid w:val="00096D1C"/>
    <w:rsid w:val="00096D4D"/>
    <w:rsid w:val="00097158"/>
    <w:rsid w:val="0009741B"/>
    <w:rsid w:val="000974DE"/>
    <w:rsid w:val="00097544"/>
    <w:rsid w:val="0009795D"/>
    <w:rsid w:val="00097A83"/>
    <w:rsid w:val="00097DD7"/>
    <w:rsid w:val="00097EF1"/>
    <w:rsid w:val="00097FA4"/>
    <w:rsid w:val="000A00ED"/>
    <w:rsid w:val="000A04C8"/>
    <w:rsid w:val="000A0531"/>
    <w:rsid w:val="000A0677"/>
    <w:rsid w:val="000A08EF"/>
    <w:rsid w:val="000A0A82"/>
    <w:rsid w:val="000A0AB0"/>
    <w:rsid w:val="000A0C08"/>
    <w:rsid w:val="000A0CE2"/>
    <w:rsid w:val="000A1057"/>
    <w:rsid w:val="000A10BF"/>
    <w:rsid w:val="000A1464"/>
    <w:rsid w:val="000A17D0"/>
    <w:rsid w:val="000A1839"/>
    <w:rsid w:val="000A18F3"/>
    <w:rsid w:val="000A1F81"/>
    <w:rsid w:val="000A1FFB"/>
    <w:rsid w:val="000A2186"/>
    <w:rsid w:val="000A2194"/>
    <w:rsid w:val="000A2206"/>
    <w:rsid w:val="000A2443"/>
    <w:rsid w:val="000A250C"/>
    <w:rsid w:val="000A2691"/>
    <w:rsid w:val="000A2ACD"/>
    <w:rsid w:val="000A2B65"/>
    <w:rsid w:val="000A2D6D"/>
    <w:rsid w:val="000A2DA8"/>
    <w:rsid w:val="000A2E93"/>
    <w:rsid w:val="000A2EE4"/>
    <w:rsid w:val="000A2FB9"/>
    <w:rsid w:val="000A3107"/>
    <w:rsid w:val="000A32B9"/>
    <w:rsid w:val="000A32E5"/>
    <w:rsid w:val="000A3538"/>
    <w:rsid w:val="000A35CA"/>
    <w:rsid w:val="000A36B5"/>
    <w:rsid w:val="000A385B"/>
    <w:rsid w:val="000A38EC"/>
    <w:rsid w:val="000A39A6"/>
    <w:rsid w:val="000A39DE"/>
    <w:rsid w:val="000A3AEC"/>
    <w:rsid w:val="000A3B10"/>
    <w:rsid w:val="000A3CC0"/>
    <w:rsid w:val="000A3D82"/>
    <w:rsid w:val="000A430D"/>
    <w:rsid w:val="000A4413"/>
    <w:rsid w:val="000A449F"/>
    <w:rsid w:val="000A4569"/>
    <w:rsid w:val="000A45EA"/>
    <w:rsid w:val="000A46FA"/>
    <w:rsid w:val="000A481C"/>
    <w:rsid w:val="000A49E3"/>
    <w:rsid w:val="000A4CBB"/>
    <w:rsid w:val="000A4EA9"/>
    <w:rsid w:val="000A4F58"/>
    <w:rsid w:val="000A50EA"/>
    <w:rsid w:val="000A52C5"/>
    <w:rsid w:val="000A546A"/>
    <w:rsid w:val="000A5660"/>
    <w:rsid w:val="000A5844"/>
    <w:rsid w:val="000A5A57"/>
    <w:rsid w:val="000A5C47"/>
    <w:rsid w:val="000A5C57"/>
    <w:rsid w:val="000A5DBD"/>
    <w:rsid w:val="000A629E"/>
    <w:rsid w:val="000A630B"/>
    <w:rsid w:val="000A63DC"/>
    <w:rsid w:val="000A695A"/>
    <w:rsid w:val="000A6B30"/>
    <w:rsid w:val="000A6B87"/>
    <w:rsid w:val="000A6BCD"/>
    <w:rsid w:val="000A6C00"/>
    <w:rsid w:val="000A6EA0"/>
    <w:rsid w:val="000A6EB0"/>
    <w:rsid w:val="000A6EF6"/>
    <w:rsid w:val="000A70FE"/>
    <w:rsid w:val="000A71C2"/>
    <w:rsid w:val="000A7296"/>
    <w:rsid w:val="000A7488"/>
    <w:rsid w:val="000A7523"/>
    <w:rsid w:val="000A7648"/>
    <w:rsid w:val="000A76E3"/>
    <w:rsid w:val="000A789A"/>
    <w:rsid w:val="000A79F6"/>
    <w:rsid w:val="000A7E44"/>
    <w:rsid w:val="000A7FA1"/>
    <w:rsid w:val="000B01F8"/>
    <w:rsid w:val="000B0423"/>
    <w:rsid w:val="000B05C7"/>
    <w:rsid w:val="000B06BE"/>
    <w:rsid w:val="000B072F"/>
    <w:rsid w:val="000B07C5"/>
    <w:rsid w:val="000B07E1"/>
    <w:rsid w:val="000B09B2"/>
    <w:rsid w:val="000B0A8F"/>
    <w:rsid w:val="000B0C43"/>
    <w:rsid w:val="000B0F19"/>
    <w:rsid w:val="000B0F84"/>
    <w:rsid w:val="000B0FB6"/>
    <w:rsid w:val="000B138E"/>
    <w:rsid w:val="000B13CF"/>
    <w:rsid w:val="000B142D"/>
    <w:rsid w:val="000B14C4"/>
    <w:rsid w:val="000B167D"/>
    <w:rsid w:val="000B190B"/>
    <w:rsid w:val="000B1BBB"/>
    <w:rsid w:val="000B1F83"/>
    <w:rsid w:val="000B212C"/>
    <w:rsid w:val="000B23E9"/>
    <w:rsid w:val="000B23EA"/>
    <w:rsid w:val="000B26C6"/>
    <w:rsid w:val="000B2739"/>
    <w:rsid w:val="000B2872"/>
    <w:rsid w:val="000B294B"/>
    <w:rsid w:val="000B2955"/>
    <w:rsid w:val="000B295D"/>
    <w:rsid w:val="000B2DB5"/>
    <w:rsid w:val="000B2DF4"/>
    <w:rsid w:val="000B2F64"/>
    <w:rsid w:val="000B311E"/>
    <w:rsid w:val="000B3330"/>
    <w:rsid w:val="000B3352"/>
    <w:rsid w:val="000B3413"/>
    <w:rsid w:val="000B3627"/>
    <w:rsid w:val="000B3693"/>
    <w:rsid w:val="000B3714"/>
    <w:rsid w:val="000B3851"/>
    <w:rsid w:val="000B3A94"/>
    <w:rsid w:val="000B3B29"/>
    <w:rsid w:val="000B3B60"/>
    <w:rsid w:val="000B3B74"/>
    <w:rsid w:val="000B3D5A"/>
    <w:rsid w:val="000B3F01"/>
    <w:rsid w:val="000B3F23"/>
    <w:rsid w:val="000B3F3B"/>
    <w:rsid w:val="000B417C"/>
    <w:rsid w:val="000B41C5"/>
    <w:rsid w:val="000B43D7"/>
    <w:rsid w:val="000B443B"/>
    <w:rsid w:val="000B45C8"/>
    <w:rsid w:val="000B4671"/>
    <w:rsid w:val="000B48ED"/>
    <w:rsid w:val="000B4CAA"/>
    <w:rsid w:val="000B4D63"/>
    <w:rsid w:val="000B4E59"/>
    <w:rsid w:val="000B4EA7"/>
    <w:rsid w:val="000B4EE6"/>
    <w:rsid w:val="000B4FA4"/>
    <w:rsid w:val="000B5107"/>
    <w:rsid w:val="000B51D1"/>
    <w:rsid w:val="000B54A1"/>
    <w:rsid w:val="000B573F"/>
    <w:rsid w:val="000B578A"/>
    <w:rsid w:val="000B5805"/>
    <w:rsid w:val="000B5A8C"/>
    <w:rsid w:val="000B5DB5"/>
    <w:rsid w:val="000B5E74"/>
    <w:rsid w:val="000B60A3"/>
    <w:rsid w:val="000B61B4"/>
    <w:rsid w:val="000B62FF"/>
    <w:rsid w:val="000B6866"/>
    <w:rsid w:val="000B693A"/>
    <w:rsid w:val="000B6A6A"/>
    <w:rsid w:val="000B6A9B"/>
    <w:rsid w:val="000B6C79"/>
    <w:rsid w:val="000B6CAF"/>
    <w:rsid w:val="000B6CF0"/>
    <w:rsid w:val="000B6E51"/>
    <w:rsid w:val="000B6F9C"/>
    <w:rsid w:val="000B6FA4"/>
    <w:rsid w:val="000B6FD4"/>
    <w:rsid w:val="000B71F9"/>
    <w:rsid w:val="000B720C"/>
    <w:rsid w:val="000B7231"/>
    <w:rsid w:val="000B7267"/>
    <w:rsid w:val="000B7295"/>
    <w:rsid w:val="000B74E3"/>
    <w:rsid w:val="000B7598"/>
    <w:rsid w:val="000B760F"/>
    <w:rsid w:val="000B7665"/>
    <w:rsid w:val="000B7743"/>
    <w:rsid w:val="000B785E"/>
    <w:rsid w:val="000B78A0"/>
    <w:rsid w:val="000B7BC2"/>
    <w:rsid w:val="000B7CF5"/>
    <w:rsid w:val="000B7EC7"/>
    <w:rsid w:val="000B7FDF"/>
    <w:rsid w:val="000C0059"/>
    <w:rsid w:val="000C01C5"/>
    <w:rsid w:val="000C0594"/>
    <w:rsid w:val="000C0757"/>
    <w:rsid w:val="000C090B"/>
    <w:rsid w:val="000C0F76"/>
    <w:rsid w:val="000C11EA"/>
    <w:rsid w:val="000C1382"/>
    <w:rsid w:val="000C14B9"/>
    <w:rsid w:val="000C1605"/>
    <w:rsid w:val="000C176E"/>
    <w:rsid w:val="000C17A0"/>
    <w:rsid w:val="000C1A5F"/>
    <w:rsid w:val="000C1D82"/>
    <w:rsid w:val="000C1E44"/>
    <w:rsid w:val="000C202A"/>
    <w:rsid w:val="000C2487"/>
    <w:rsid w:val="000C25AF"/>
    <w:rsid w:val="000C2728"/>
    <w:rsid w:val="000C2758"/>
    <w:rsid w:val="000C2CE9"/>
    <w:rsid w:val="000C2D67"/>
    <w:rsid w:val="000C30AA"/>
    <w:rsid w:val="000C32A4"/>
    <w:rsid w:val="000C3739"/>
    <w:rsid w:val="000C3754"/>
    <w:rsid w:val="000C3791"/>
    <w:rsid w:val="000C3DFC"/>
    <w:rsid w:val="000C3F6F"/>
    <w:rsid w:val="000C4049"/>
    <w:rsid w:val="000C409B"/>
    <w:rsid w:val="000C4141"/>
    <w:rsid w:val="000C4295"/>
    <w:rsid w:val="000C44D2"/>
    <w:rsid w:val="000C46B0"/>
    <w:rsid w:val="000C489A"/>
    <w:rsid w:val="000C490C"/>
    <w:rsid w:val="000C49F6"/>
    <w:rsid w:val="000C4A6D"/>
    <w:rsid w:val="000C4CBC"/>
    <w:rsid w:val="000C4D13"/>
    <w:rsid w:val="000C4F55"/>
    <w:rsid w:val="000C4FBC"/>
    <w:rsid w:val="000C525D"/>
    <w:rsid w:val="000C531C"/>
    <w:rsid w:val="000C5709"/>
    <w:rsid w:val="000C575C"/>
    <w:rsid w:val="000C581F"/>
    <w:rsid w:val="000C5913"/>
    <w:rsid w:val="000C5B57"/>
    <w:rsid w:val="000C5C31"/>
    <w:rsid w:val="000C5CA0"/>
    <w:rsid w:val="000C60FB"/>
    <w:rsid w:val="000C614B"/>
    <w:rsid w:val="000C6247"/>
    <w:rsid w:val="000C6537"/>
    <w:rsid w:val="000C6727"/>
    <w:rsid w:val="000C672C"/>
    <w:rsid w:val="000C67A6"/>
    <w:rsid w:val="000C6960"/>
    <w:rsid w:val="000C6B39"/>
    <w:rsid w:val="000C6BAA"/>
    <w:rsid w:val="000C7062"/>
    <w:rsid w:val="000C71D2"/>
    <w:rsid w:val="000C72C2"/>
    <w:rsid w:val="000C73B1"/>
    <w:rsid w:val="000C7422"/>
    <w:rsid w:val="000C743C"/>
    <w:rsid w:val="000C754E"/>
    <w:rsid w:val="000C7619"/>
    <w:rsid w:val="000C778D"/>
    <w:rsid w:val="000C7848"/>
    <w:rsid w:val="000C7B82"/>
    <w:rsid w:val="000C7C46"/>
    <w:rsid w:val="000C7CE1"/>
    <w:rsid w:val="000C7CEE"/>
    <w:rsid w:val="000C7FA5"/>
    <w:rsid w:val="000C7FF5"/>
    <w:rsid w:val="000D017C"/>
    <w:rsid w:val="000D0398"/>
    <w:rsid w:val="000D09C1"/>
    <w:rsid w:val="000D0FEB"/>
    <w:rsid w:val="000D1172"/>
    <w:rsid w:val="000D12E4"/>
    <w:rsid w:val="000D12FC"/>
    <w:rsid w:val="000D14A5"/>
    <w:rsid w:val="000D1857"/>
    <w:rsid w:val="000D1A1F"/>
    <w:rsid w:val="000D1B52"/>
    <w:rsid w:val="000D1C46"/>
    <w:rsid w:val="000D205A"/>
    <w:rsid w:val="000D2224"/>
    <w:rsid w:val="000D243C"/>
    <w:rsid w:val="000D26F0"/>
    <w:rsid w:val="000D2A75"/>
    <w:rsid w:val="000D2AD5"/>
    <w:rsid w:val="000D2B1A"/>
    <w:rsid w:val="000D2BC2"/>
    <w:rsid w:val="000D2CCD"/>
    <w:rsid w:val="000D2D0A"/>
    <w:rsid w:val="000D2DBD"/>
    <w:rsid w:val="000D2FA4"/>
    <w:rsid w:val="000D3142"/>
    <w:rsid w:val="000D31B4"/>
    <w:rsid w:val="000D326B"/>
    <w:rsid w:val="000D34E0"/>
    <w:rsid w:val="000D35AF"/>
    <w:rsid w:val="000D35DB"/>
    <w:rsid w:val="000D36C8"/>
    <w:rsid w:val="000D3831"/>
    <w:rsid w:val="000D3962"/>
    <w:rsid w:val="000D3983"/>
    <w:rsid w:val="000D3A27"/>
    <w:rsid w:val="000D3E31"/>
    <w:rsid w:val="000D3F21"/>
    <w:rsid w:val="000D3F81"/>
    <w:rsid w:val="000D4023"/>
    <w:rsid w:val="000D410D"/>
    <w:rsid w:val="000D425D"/>
    <w:rsid w:val="000D48E1"/>
    <w:rsid w:val="000D492E"/>
    <w:rsid w:val="000D4C1B"/>
    <w:rsid w:val="000D4D9D"/>
    <w:rsid w:val="000D4DA7"/>
    <w:rsid w:val="000D4E1D"/>
    <w:rsid w:val="000D4FED"/>
    <w:rsid w:val="000D52BF"/>
    <w:rsid w:val="000D5523"/>
    <w:rsid w:val="000D555A"/>
    <w:rsid w:val="000D5621"/>
    <w:rsid w:val="000D5674"/>
    <w:rsid w:val="000D5677"/>
    <w:rsid w:val="000D580E"/>
    <w:rsid w:val="000D585C"/>
    <w:rsid w:val="000D5CD5"/>
    <w:rsid w:val="000D5E2B"/>
    <w:rsid w:val="000D6140"/>
    <w:rsid w:val="000D618E"/>
    <w:rsid w:val="000D62F7"/>
    <w:rsid w:val="000D6326"/>
    <w:rsid w:val="000D64D2"/>
    <w:rsid w:val="000D64F2"/>
    <w:rsid w:val="000D653B"/>
    <w:rsid w:val="000D66B8"/>
    <w:rsid w:val="000D6830"/>
    <w:rsid w:val="000D6958"/>
    <w:rsid w:val="000D695F"/>
    <w:rsid w:val="000D6A3B"/>
    <w:rsid w:val="000D6B1D"/>
    <w:rsid w:val="000D6CFE"/>
    <w:rsid w:val="000D6D23"/>
    <w:rsid w:val="000D6DFE"/>
    <w:rsid w:val="000D7056"/>
    <w:rsid w:val="000D72D2"/>
    <w:rsid w:val="000D7770"/>
    <w:rsid w:val="000D7BF7"/>
    <w:rsid w:val="000D7CFF"/>
    <w:rsid w:val="000D7D08"/>
    <w:rsid w:val="000D7D8F"/>
    <w:rsid w:val="000D7DCE"/>
    <w:rsid w:val="000E001F"/>
    <w:rsid w:val="000E01BC"/>
    <w:rsid w:val="000E02D7"/>
    <w:rsid w:val="000E03DC"/>
    <w:rsid w:val="000E0940"/>
    <w:rsid w:val="000E0DD2"/>
    <w:rsid w:val="000E0E14"/>
    <w:rsid w:val="000E0FD1"/>
    <w:rsid w:val="000E10DB"/>
    <w:rsid w:val="000E10F2"/>
    <w:rsid w:val="000E1110"/>
    <w:rsid w:val="000E1124"/>
    <w:rsid w:val="000E15CC"/>
    <w:rsid w:val="000E15F6"/>
    <w:rsid w:val="000E164E"/>
    <w:rsid w:val="000E171A"/>
    <w:rsid w:val="000E17CA"/>
    <w:rsid w:val="000E18F0"/>
    <w:rsid w:val="000E19DD"/>
    <w:rsid w:val="000E1B1D"/>
    <w:rsid w:val="000E1B55"/>
    <w:rsid w:val="000E1BD9"/>
    <w:rsid w:val="000E20BE"/>
    <w:rsid w:val="000E219C"/>
    <w:rsid w:val="000E21DA"/>
    <w:rsid w:val="000E2242"/>
    <w:rsid w:val="000E227C"/>
    <w:rsid w:val="000E242B"/>
    <w:rsid w:val="000E24AA"/>
    <w:rsid w:val="000E2812"/>
    <w:rsid w:val="000E2874"/>
    <w:rsid w:val="000E29D4"/>
    <w:rsid w:val="000E2CFD"/>
    <w:rsid w:val="000E2F70"/>
    <w:rsid w:val="000E2F7E"/>
    <w:rsid w:val="000E2F92"/>
    <w:rsid w:val="000E2FB9"/>
    <w:rsid w:val="000E3162"/>
    <w:rsid w:val="000E3186"/>
    <w:rsid w:val="000E384F"/>
    <w:rsid w:val="000E3887"/>
    <w:rsid w:val="000E3942"/>
    <w:rsid w:val="000E3983"/>
    <w:rsid w:val="000E399E"/>
    <w:rsid w:val="000E3A1D"/>
    <w:rsid w:val="000E3A8D"/>
    <w:rsid w:val="000E3B73"/>
    <w:rsid w:val="000E3BCC"/>
    <w:rsid w:val="000E3C03"/>
    <w:rsid w:val="000E3C66"/>
    <w:rsid w:val="000E3E38"/>
    <w:rsid w:val="000E4040"/>
    <w:rsid w:val="000E415F"/>
    <w:rsid w:val="000E41F8"/>
    <w:rsid w:val="000E4428"/>
    <w:rsid w:val="000E44A6"/>
    <w:rsid w:val="000E478E"/>
    <w:rsid w:val="000E4B2D"/>
    <w:rsid w:val="000E4D32"/>
    <w:rsid w:val="000E4E19"/>
    <w:rsid w:val="000E4E1A"/>
    <w:rsid w:val="000E51AE"/>
    <w:rsid w:val="000E53CD"/>
    <w:rsid w:val="000E5531"/>
    <w:rsid w:val="000E5603"/>
    <w:rsid w:val="000E56D9"/>
    <w:rsid w:val="000E5781"/>
    <w:rsid w:val="000E5819"/>
    <w:rsid w:val="000E58E1"/>
    <w:rsid w:val="000E5BE9"/>
    <w:rsid w:val="000E5DA5"/>
    <w:rsid w:val="000E60BC"/>
    <w:rsid w:val="000E616F"/>
    <w:rsid w:val="000E63CA"/>
    <w:rsid w:val="000E6410"/>
    <w:rsid w:val="000E66E6"/>
    <w:rsid w:val="000E678B"/>
    <w:rsid w:val="000E687C"/>
    <w:rsid w:val="000E6901"/>
    <w:rsid w:val="000E6B98"/>
    <w:rsid w:val="000E6CF4"/>
    <w:rsid w:val="000E6D2D"/>
    <w:rsid w:val="000E6E2A"/>
    <w:rsid w:val="000E6E37"/>
    <w:rsid w:val="000E741C"/>
    <w:rsid w:val="000E7705"/>
    <w:rsid w:val="000E79FD"/>
    <w:rsid w:val="000E7CF1"/>
    <w:rsid w:val="000F022A"/>
    <w:rsid w:val="000F0331"/>
    <w:rsid w:val="000F03AF"/>
    <w:rsid w:val="000F06B6"/>
    <w:rsid w:val="000F08A8"/>
    <w:rsid w:val="000F0948"/>
    <w:rsid w:val="000F0952"/>
    <w:rsid w:val="000F0A3F"/>
    <w:rsid w:val="000F0B20"/>
    <w:rsid w:val="000F0BB6"/>
    <w:rsid w:val="000F0C15"/>
    <w:rsid w:val="000F0D42"/>
    <w:rsid w:val="000F0E95"/>
    <w:rsid w:val="000F1030"/>
    <w:rsid w:val="000F1096"/>
    <w:rsid w:val="000F11A6"/>
    <w:rsid w:val="000F11F1"/>
    <w:rsid w:val="000F14FE"/>
    <w:rsid w:val="000F19AB"/>
    <w:rsid w:val="000F1A90"/>
    <w:rsid w:val="000F1C32"/>
    <w:rsid w:val="000F1CA2"/>
    <w:rsid w:val="000F1DDB"/>
    <w:rsid w:val="000F1E0B"/>
    <w:rsid w:val="000F1F4A"/>
    <w:rsid w:val="000F2477"/>
    <w:rsid w:val="000F24C2"/>
    <w:rsid w:val="000F2710"/>
    <w:rsid w:val="000F2779"/>
    <w:rsid w:val="000F279A"/>
    <w:rsid w:val="000F28B3"/>
    <w:rsid w:val="000F2B3E"/>
    <w:rsid w:val="000F2BE8"/>
    <w:rsid w:val="000F2C81"/>
    <w:rsid w:val="000F2D46"/>
    <w:rsid w:val="000F2E01"/>
    <w:rsid w:val="000F30D3"/>
    <w:rsid w:val="000F354B"/>
    <w:rsid w:val="000F372B"/>
    <w:rsid w:val="000F3B0B"/>
    <w:rsid w:val="000F3E72"/>
    <w:rsid w:val="000F3FB1"/>
    <w:rsid w:val="000F4080"/>
    <w:rsid w:val="000F431E"/>
    <w:rsid w:val="000F4321"/>
    <w:rsid w:val="000F4338"/>
    <w:rsid w:val="000F45E2"/>
    <w:rsid w:val="000F4BE4"/>
    <w:rsid w:val="000F4BEB"/>
    <w:rsid w:val="000F4C4A"/>
    <w:rsid w:val="000F4D99"/>
    <w:rsid w:val="000F4F53"/>
    <w:rsid w:val="000F5392"/>
    <w:rsid w:val="000F5450"/>
    <w:rsid w:val="000F552B"/>
    <w:rsid w:val="000F5565"/>
    <w:rsid w:val="000F5597"/>
    <w:rsid w:val="000F559F"/>
    <w:rsid w:val="000F5613"/>
    <w:rsid w:val="000F5731"/>
    <w:rsid w:val="000F5A54"/>
    <w:rsid w:val="000F5C62"/>
    <w:rsid w:val="000F5D52"/>
    <w:rsid w:val="000F5E17"/>
    <w:rsid w:val="000F5E74"/>
    <w:rsid w:val="000F5EB2"/>
    <w:rsid w:val="000F5EE3"/>
    <w:rsid w:val="000F604F"/>
    <w:rsid w:val="000F6171"/>
    <w:rsid w:val="000F6313"/>
    <w:rsid w:val="000F643B"/>
    <w:rsid w:val="000F66A9"/>
    <w:rsid w:val="000F66C9"/>
    <w:rsid w:val="000F6763"/>
    <w:rsid w:val="000F67E2"/>
    <w:rsid w:val="000F6F53"/>
    <w:rsid w:val="000F710E"/>
    <w:rsid w:val="000F71CB"/>
    <w:rsid w:val="000F7220"/>
    <w:rsid w:val="000F7278"/>
    <w:rsid w:val="000F74A9"/>
    <w:rsid w:val="000F75B7"/>
    <w:rsid w:val="000F762E"/>
    <w:rsid w:val="000F7636"/>
    <w:rsid w:val="000F78BF"/>
    <w:rsid w:val="000F7987"/>
    <w:rsid w:val="000F7D32"/>
    <w:rsid w:val="000F7D98"/>
    <w:rsid w:val="000F7E42"/>
    <w:rsid w:val="001001EC"/>
    <w:rsid w:val="001003EF"/>
    <w:rsid w:val="00100497"/>
    <w:rsid w:val="0010051C"/>
    <w:rsid w:val="00100668"/>
    <w:rsid w:val="00100A05"/>
    <w:rsid w:val="00100D7E"/>
    <w:rsid w:val="00100E80"/>
    <w:rsid w:val="0010102D"/>
    <w:rsid w:val="0010125D"/>
    <w:rsid w:val="0010134B"/>
    <w:rsid w:val="0010148F"/>
    <w:rsid w:val="0010174E"/>
    <w:rsid w:val="001017F2"/>
    <w:rsid w:val="0010197B"/>
    <w:rsid w:val="00101AE7"/>
    <w:rsid w:val="00101B1E"/>
    <w:rsid w:val="00101C2F"/>
    <w:rsid w:val="00101D36"/>
    <w:rsid w:val="00101EB8"/>
    <w:rsid w:val="00101ED6"/>
    <w:rsid w:val="00101FB4"/>
    <w:rsid w:val="00102086"/>
    <w:rsid w:val="001020B0"/>
    <w:rsid w:val="001020ED"/>
    <w:rsid w:val="001021E0"/>
    <w:rsid w:val="0010222A"/>
    <w:rsid w:val="001023D9"/>
    <w:rsid w:val="00102539"/>
    <w:rsid w:val="001025A4"/>
    <w:rsid w:val="0010263C"/>
    <w:rsid w:val="00102BE6"/>
    <w:rsid w:val="00102C42"/>
    <w:rsid w:val="00102DCE"/>
    <w:rsid w:val="00102ED1"/>
    <w:rsid w:val="001030B1"/>
    <w:rsid w:val="0010327D"/>
    <w:rsid w:val="001032C3"/>
    <w:rsid w:val="001033F1"/>
    <w:rsid w:val="0010340F"/>
    <w:rsid w:val="00103624"/>
    <w:rsid w:val="00103786"/>
    <w:rsid w:val="001037AC"/>
    <w:rsid w:val="00103DDA"/>
    <w:rsid w:val="00103E76"/>
    <w:rsid w:val="00103EB3"/>
    <w:rsid w:val="00103FA2"/>
    <w:rsid w:val="00104170"/>
    <w:rsid w:val="0010417C"/>
    <w:rsid w:val="00104464"/>
    <w:rsid w:val="0010448B"/>
    <w:rsid w:val="00104602"/>
    <w:rsid w:val="001047B8"/>
    <w:rsid w:val="00104A89"/>
    <w:rsid w:val="00104AC4"/>
    <w:rsid w:val="00104B57"/>
    <w:rsid w:val="00104D55"/>
    <w:rsid w:val="0010521F"/>
    <w:rsid w:val="00105224"/>
    <w:rsid w:val="00105265"/>
    <w:rsid w:val="00105330"/>
    <w:rsid w:val="0010561A"/>
    <w:rsid w:val="001058C7"/>
    <w:rsid w:val="0010591B"/>
    <w:rsid w:val="00105D7D"/>
    <w:rsid w:val="00105E2B"/>
    <w:rsid w:val="00105F58"/>
    <w:rsid w:val="00106053"/>
    <w:rsid w:val="0010616D"/>
    <w:rsid w:val="001061C0"/>
    <w:rsid w:val="0010625A"/>
    <w:rsid w:val="0010632E"/>
    <w:rsid w:val="0010638D"/>
    <w:rsid w:val="0010651F"/>
    <w:rsid w:val="00106608"/>
    <w:rsid w:val="00106B26"/>
    <w:rsid w:val="00106B67"/>
    <w:rsid w:val="00106CBE"/>
    <w:rsid w:val="00107091"/>
    <w:rsid w:val="00107334"/>
    <w:rsid w:val="001073A3"/>
    <w:rsid w:val="00107524"/>
    <w:rsid w:val="001077B2"/>
    <w:rsid w:val="00107870"/>
    <w:rsid w:val="00107980"/>
    <w:rsid w:val="001079B5"/>
    <w:rsid w:val="00107B3E"/>
    <w:rsid w:val="00107DC8"/>
    <w:rsid w:val="00107DCD"/>
    <w:rsid w:val="00107EF0"/>
    <w:rsid w:val="00107FDE"/>
    <w:rsid w:val="00110483"/>
    <w:rsid w:val="00110574"/>
    <w:rsid w:val="00110AB8"/>
    <w:rsid w:val="00110C19"/>
    <w:rsid w:val="00110C54"/>
    <w:rsid w:val="00110D25"/>
    <w:rsid w:val="00110D8B"/>
    <w:rsid w:val="00110E3D"/>
    <w:rsid w:val="00111012"/>
    <w:rsid w:val="0011108D"/>
    <w:rsid w:val="001110EA"/>
    <w:rsid w:val="00111121"/>
    <w:rsid w:val="00111266"/>
    <w:rsid w:val="00111390"/>
    <w:rsid w:val="00111417"/>
    <w:rsid w:val="0011146C"/>
    <w:rsid w:val="001115B9"/>
    <w:rsid w:val="00111766"/>
    <w:rsid w:val="00111958"/>
    <w:rsid w:val="00111BF1"/>
    <w:rsid w:val="00111CE0"/>
    <w:rsid w:val="00111CFB"/>
    <w:rsid w:val="00112186"/>
    <w:rsid w:val="001121F9"/>
    <w:rsid w:val="001122DC"/>
    <w:rsid w:val="0011248A"/>
    <w:rsid w:val="0011248C"/>
    <w:rsid w:val="0011277B"/>
    <w:rsid w:val="00112B11"/>
    <w:rsid w:val="00112B42"/>
    <w:rsid w:val="00112C42"/>
    <w:rsid w:val="00112C48"/>
    <w:rsid w:val="00112E32"/>
    <w:rsid w:val="00112FF8"/>
    <w:rsid w:val="0011308F"/>
    <w:rsid w:val="001130A5"/>
    <w:rsid w:val="00113791"/>
    <w:rsid w:val="00113BCB"/>
    <w:rsid w:val="00113C01"/>
    <w:rsid w:val="00113C60"/>
    <w:rsid w:val="00113E41"/>
    <w:rsid w:val="00114087"/>
    <w:rsid w:val="00114178"/>
    <w:rsid w:val="00114362"/>
    <w:rsid w:val="0011445B"/>
    <w:rsid w:val="001148B7"/>
    <w:rsid w:val="001149A6"/>
    <w:rsid w:val="00114C3B"/>
    <w:rsid w:val="00114F78"/>
    <w:rsid w:val="00114FDD"/>
    <w:rsid w:val="0011507C"/>
    <w:rsid w:val="0011510C"/>
    <w:rsid w:val="0011537E"/>
    <w:rsid w:val="001153B3"/>
    <w:rsid w:val="0011544B"/>
    <w:rsid w:val="00115629"/>
    <w:rsid w:val="00115691"/>
    <w:rsid w:val="001157F9"/>
    <w:rsid w:val="00115DA0"/>
    <w:rsid w:val="00115E67"/>
    <w:rsid w:val="00115FCB"/>
    <w:rsid w:val="001160D8"/>
    <w:rsid w:val="001163AF"/>
    <w:rsid w:val="00116712"/>
    <w:rsid w:val="00116831"/>
    <w:rsid w:val="00116894"/>
    <w:rsid w:val="001168B9"/>
    <w:rsid w:val="00116917"/>
    <w:rsid w:val="00116A9A"/>
    <w:rsid w:val="00116B5F"/>
    <w:rsid w:val="00116E3D"/>
    <w:rsid w:val="0011700B"/>
    <w:rsid w:val="00117039"/>
    <w:rsid w:val="001174E4"/>
    <w:rsid w:val="00117535"/>
    <w:rsid w:val="0011786E"/>
    <w:rsid w:val="00117877"/>
    <w:rsid w:val="00117A1F"/>
    <w:rsid w:val="00117AFB"/>
    <w:rsid w:val="00117F04"/>
    <w:rsid w:val="0012000F"/>
    <w:rsid w:val="001202A2"/>
    <w:rsid w:val="001203CD"/>
    <w:rsid w:val="001203E3"/>
    <w:rsid w:val="001204AC"/>
    <w:rsid w:val="001206FF"/>
    <w:rsid w:val="0012088F"/>
    <w:rsid w:val="00120945"/>
    <w:rsid w:val="00120AD1"/>
    <w:rsid w:val="0012132A"/>
    <w:rsid w:val="00121464"/>
    <w:rsid w:val="00121546"/>
    <w:rsid w:val="0012169B"/>
    <w:rsid w:val="0012172A"/>
    <w:rsid w:val="0012186A"/>
    <w:rsid w:val="001218E1"/>
    <w:rsid w:val="001219B1"/>
    <w:rsid w:val="00121AFE"/>
    <w:rsid w:val="00121CB1"/>
    <w:rsid w:val="00121D5D"/>
    <w:rsid w:val="00121F6B"/>
    <w:rsid w:val="00121F6F"/>
    <w:rsid w:val="00121F7E"/>
    <w:rsid w:val="0012209E"/>
    <w:rsid w:val="001220DC"/>
    <w:rsid w:val="00122139"/>
    <w:rsid w:val="00122166"/>
    <w:rsid w:val="0012247E"/>
    <w:rsid w:val="00122663"/>
    <w:rsid w:val="0012276D"/>
    <w:rsid w:val="00122960"/>
    <w:rsid w:val="00122AE3"/>
    <w:rsid w:val="00122D12"/>
    <w:rsid w:val="00122E4F"/>
    <w:rsid w:val="00122EE1"/>
    <w:rsid w:val="00123052"/>
    <w:rsid w:val="00123101"/>
    <w:rsid w:val="00123416"/>
    <w:rsid w:val="0012344A"/>
    <w:rsid w:val="00123462"/>
    <w:rsid w:val="001234BD"/>
    <w:rsid w:val="00123590"/>
    <w:rsid w:val="00123657"/>
    <w:rsid w:val="00123658"/>
    <w:rsid w:val="00123693"/>
    <w:rsid w:val="00123764"/>
    <w:rsid w:val="0012378D"/>
    <w:rsid w:val="001237AF"/>
    <w:rsid w:val="00123C90"/>
    <w:rsid w:val="00123E7A"/>
    <w:rsid w:val="00123E9B"/>
    <w:rsid w:val="001241E1"/>
    <w:rsid w:val="001241F8"/>
    <w:rsid w:val="001243A0"/>
    <w:rsid w:val="0012440E"/>
    <w:rsid w:val="001247B7"/>
    <w:rsid w:val="001247EB"/>
    <w:rsid w:val="0012488D"/>
    <w:rsid w:val="001248E3"/>
    <w:rsid w:val="00124AAE"/>
    <w:rsid w:val="00124BA4"/>
    <w:rsid w:val="00124C5B"/>
    <w:rsid w:val="00124DCC"/>
    <w:rsid w:val="00124F0E"/>
    <w:rsid w:val="00124F3C"/>
    <w:rsid w:val="001252D4"/>
    <w:rsid w:val="001254D3"/>
    <w:rsid w:val="001254E3"/>
    <w:rsid w:val="001254F5"/>
    <w:rsid w:val="00125836"/>
    <w:rsid w:val="0012588B"/>
    <w:rsid w:val="0012599E"/>
    <w:rsid w:val="00125B61"/>
    <w:rsid w:val="00125C69"/>
    <w:rsid w:val="00125D22"/>
    <w:rsid w:val="00125D34"/>
    <w:rsid w:val="00125E3E"/>
    <w:rsid w:val="00125F2B"/>
    <w:rsid w:val="0012604D"/>
    <w:rsid w:val="00126065"/>
    <w:rsid w:val="00126122"/>
    <w:rsid w:val="001262A9"/>
    <w:rsid w:val="0012635B"/>
    <w:rsid w:val="001263A2"/>
    <w:rsid w:val="0012682F"/>
    <w:rsid w:val="0012686E"/>
    <w:rsid w:val="00126A3F"/>
    <w:rsid w:val="00126A49"/>
    <w:rsid w:val="00126A67"/>
    <w:rsid w:val="00126C41"/>
    <w:rsid w:val="00126DF7"/>
    <w:rsid w:val="0012724C"/>
    <w:rsid w:val="00127425"/>
    <w:rsid w:val="001274DF"/>
    <w:rsid w:val="0012755C"/>
    <w:rsid w:val="0012769D"/>
    <w:rsid w:val="00127A1C"/>
    <w:rsid w:val="00127B3C"/>
    <w:rsid w:val="00127D86"/>
    <w:rsid w:val="00127DB5"/>
    <w:rsid w:val="00127DCD"/>
    <w:rsid w:val="00127F07"/>
    <w:rsid w:val="00127F4B"/>
    <w:rsid w:val="00127F54"/>
    <w:rsid w:val="00130003"/>
    <w:rsid w:val="001300B4"/>
    <w:rsid w:val="001301BC"/>
    <w:rsid w:val="001301EE"/>
    <w:rsid w:val="00130620"/>
    <w:rsid w:val="00130AE3"/>
    <w:rsid w:val="00130C7E"/>
    <w:rsid w:val="00130EB7"/>
    <w:rsid w:val="00130EFA"/>
    <w:rsid w:val="001311D7"/>
    <w:rsid w:val="00131202"/>
    <w:rsid w:val="00131389"/>
    <w:rsid w:val="001314E8"/>
    <w:rsid w:val="001315AC"/>
    <w:rsid w:val="001316D4"/>
    <w:rsid w:val="001317FD"/>
    <w:rsid w:val="00131860"/>
    <w:rsid w:val="001319A7"/>
    <w:rsid w:val="00131C13"/>
    <w:rsid w:val="00131C81"/>
    <w:rsid w:val="00131D45"/>
    <w:rsid w:val="00131D48"/>
    <w:rsid w:val="00131E19"/>
    <w:rsid w:val="00131E4D"/>
    <w:rsid w:val="00131EBF"/>
    <w:rsid w:val="00132024"/>
    <w:rsid w:val="001320F0"/>
    <w:rsid w:val="0013215B"/>
    <w:rsid w:val="00132522"/>
    <w:rsid w:val="0013275D"/>
    <w:rsid w:val="0013294C"/>
    <w:rsid w:val="00132971"/>
    <w:rsid w:val="001329F7"/>
    <w:rsid w:val="00132BF5"/>
    <w:rsid w:val="00132FAE"/>
    <w:rsid w:val="00132FEF"/>
    <w:rsid w:val="001330F2"/>
    <w:rsid w:val="0013317E"/>
    <w:rsid w:val="00133188"/>
    <w:rsid w:val="00133263"/>
    <w:rsid w:val="001332D6"/>
    <w:rsid w:val="001332E6"/>
    <w:rsid w:val="00133485"/>
    <w:rsid w:val="00133558"/>
    <w:rsid w:val="001336E0"/>
    <w:rsid w:val="001337CC"/>
    <w:rsid w:val="00133916"/>
    <w:rsid w:val="00133F34"/>
    <w:rsid w:val="001341A1"/>
    <w:rsid w:val="00134289"/>
    <w:rsid w:val="001344C1"/>
    <w:rsid w:val="001345AA"/>
    <w:rsid w:val="00134B4A"/>
    <w:rsid w:val="00134BDE"/>
    <w:rsid w:val="00134CFD"/>
    <w:rsid w:val="00134D41"/>
    <w:rsid w:val="00134DB5"/>
    <w:rsid w:val="00134F46"/>
    <w:rsid w:val="00135155"/>
    <w:rsid w:val="00135198"/>
    <w:rsid w:val="00135273"/>
    <w:rsid w:val="001356B4"/>
    <w:rsid w:val="0013590D"/>
    <w:rsid w:val="00135ED5"/>
    <w:rsid w:val="00135FC9"/>
    <w:rsid w:val="0013600F"/>
    <w:rsid w:val="00136146"/>
    <w:rsid w:val="001362F4"/>
    <w:rsid w:val="00136571"/>
    <w:rsid w:val="0013669C"/>
    <w:rsid w:val="001368C8"/>
    <w:rsid w:val="00136BA2"/>
    <w:rsid w:val="00136BFE"/>
    <w:rsid w:val="00136DEF"/>
    <w:rsid w:val="00136FB9"/>
    <w:rsid w:val="00137057"/>
    <w:rsid w:val="0013739D"/>
    <w:rsid w:val="001376DA"/>
    <w:rsid w:val="001376F4"/>
    <w:rsid w:val="001378BB"/>
    <w:rsid w:val="00137A12"/>
    <w:rsid w:val="00137BE5"/>
    <w:rsid w:val="00137E08"/>
    <w:rsid w:val="00137F63"/>
    <w:rsid w:val="0014005B"/>
    <w:rsid w:val="001401FC"/>
    <w:rsid w:val="001403B8"/>
    <w:rsid w:val="001404B9"/>
    <w:rsid w:val="00140584"/>
    <w:rsid w:val="00140782"/>
    <w:rsid w:val="001408F0"/>
    <w:rsid w:val="00140C18"/>
    <w:rsid w:val="001410E0"/>
    <w:rsid w:val="00141177"/>
    <w:rsid w:val="001411C5"/>
    <w:rsid w:val="0014159B"/>
    <w:rsid w:val="001415B1"/>
    <w:rsid w:val="00141744"/>
    <w:rsid w:val="00141987"/>
    <w:rsid w:val="001419EA"/>
    <w:rsid w:val="00141A39"/>
    <w:rsid w:val="00141C39"/>
    <w:rsid w:val="00141DFB"/>
    <w:rsid w:val="00141F0F"/>
    <w:rsid w:val="00141F9F"/>
    <w:rsid w:val="00142533"/>
    <w:rsid w:val="00142577"/>
    <w:rsid w:val="0014277D"/>
    <w:rsid w:val="00142C56"/>
    <w:rsid w:val="00142E7A"/>
    <w:rsid w:val="00142F3B"/>
    <w:rsid w:val="00142F4D"/>
    <w:rsid w:val="00142FF9"/>
    <w:rsid w:val="00143456"/>
    <w:rsid w:val="00143478"/>
    <w:rsid w:val="0014353E"/>
    <w:rsid w:val="00143763"/>
    <w:rsid w:val="001438DE"/>
    <w:rsid w:val="00143A79"/>
    <w:rsid w:val="00143AEF"/>
    <w:rsid w:val="00143C3E"/>
    <w:rsid w:val="00143EFC"/>
    <w:rsid w:val="00143F2F"/>
    <w:rsid w:val="00143F36"/>
    <w:rsid w:val="00143F7C"/>
    <w:rsid w:val="0014436C"/>
    <w:rsid w:val="0014449B"/>
    <w:rsid w:val="001445E0"/>
    <w:rsid w:val="001446E2"/>
    <w:rsid w:val="00144892"/>
    <w:rsid w:val="00144A37"/>
    <w:rsid w:val="00144AF7"/>
    <w:rsid w:val="00144BF0"/>
    <w:rsid w:val="00144F4C"/>
    <w:rsid w:val="0014516B"/>
    <w:rsid w:val="001457B1"/>
    <w:rsid w:val="001457E6"/>
    <w:rsid w:val="00145C3F"/>
    <w:rsid w:val="00145D50"/>
    <w:rsid w:val="00145D94"/>
    <w:rsid w:val="00145E9C"/>
    <w:rsid w:val="00145F4F"/>
    <w:rsid w:val="001460CF"/>
    <w:rsid w:val="001462B8"/>
    <w:rsid w:val="0014644C"/>
    <w:rsid w:val="00146555"/>
    <w:rsid w:val="00146624"/>
    <w:rsid w:val="001468E5"/>
    <w:rsid w:val="00146B8C"/>
    <w:rsid w:val="00146DCB"/>
    <w:rsid w:val="00146F5D"/>
    <w:rsid w:val="001470D4"/>
    <w:rsid w:val="0014731F"/>
    <w:rsid w:val="00147469"/>
    <w:rsid w:val="001474A1"/>
    <w:rsid w:val="001474E3"/>
    <w:rsid w:val="00147602"/>
    <w:rsid w:val="001476C6"/>
    <w:rsid w:val="001478F9"/>
    <w:rsid w:val="00147BDE"/>
    <w:rsid w:val="00147C49"/>
    <w:rsid w:val="00147CA9"/>
    <w:rsid w:val="00147D3B"/>
    <w:rsid w:val="00147F54"/>
    <w:rsid w:val="00150039"/>
    <w:rsid w:val="00150376"/>
    <w:rsid w:val="00150389"/>
    <w:rsid w:val="001504FC"/>
    <w:rsid w:val="001505D1"/>
    <w:rsid w:val="001508C0"/>
    <w:rsid w:val="00150968"/>
    <w:rsid w:val="00150B4B"/>
    <w:rsid w:val="00150C04"/>
    <w:rsid w:val="00150D4F"/>
    <w:rsid w:val="00151051"/>
    <w:rsid w:val="00151152"/>
    <w:rsid w:val="00151487"/>
    <w:rsid w:val="001514DA"/>
    <w:rsid w:val="001515A2"/>
    <w:rsid w:val="001515B4"/>
    <w:rsid w:val="001519FF"/>
    <w:rsid w:val="00151B28"/>
    <w:rsid w:val="00151C18"/>
    <w:rsid w:val="00151DBD"/>
    <w:rsid w:val="00151FFF"/>
    <w:rsid w:val="00152231"/>
    <w:rsid w:val="0015258C"/>
    <w:rsid w:val="00152664"/>
    <w:rsid w:val="00152702"/>
    <w:rsid w:val="0015273C"/>
    <w:rsid w:val="001527E3"/>
    <w:rsid w:val="00152819"/>
    <w:rsid w:val="00152A8C"/>
    <w:rsid w:val="00152CD4"/>
    <w:rsid w:val="00152F4B"/>
    <w:rsid w:val="00152FAA"/>
    <w:rsid w:val="001531D6"/>
    <w:rsid w:val="00153618"/>
    <w:rsid w:val="00153844"/>
    <w:rsid w:val="0015388A"/>
    <w:rsid w:val="001539B9"/>
    <w:rsid w:val="00153B25"/>
    <w:rsid w:val="00153C5B"/>
    <w:rsid w:val="00153CCF"/>
    <w:rsid w:val="00153CD8"/>
    <w:rsid w:val="00153F30"/>
    <w:rsid w:val="0015456E"/>
    <w:rsid w:val="001546DE"/>
    <w:rsid w:val="00154757"/>
    <w:rsid w:val="001547F8"/>
    <w:rsid w:val="0015489E"/>
    <w:rsid w:val="00154B79"/>
    <w:rsid w:val="00154C67"/>
    <w:rsid w:val="00154E54"/>
    <w:rsid w:val="00154F6E"/>
    <w:rsid w:val="001553E1"/>
    <w:rsid w:val="00155434"/>
    <w:rsid w:val="001554F5"/>
    <w:rsid w:val="001557F6"/>
    <w:rsid w:val="00155833"/>
    <w:rsid w:val="00155AF3"/>
    <w:rsid w:val="00155BDA"/>
    <w:rsid w:val="00155CE9"/>
    <w:rsid w:val="00155D2F"/>
    <w:rsid w:val="00155EC2"/>
    <w:rsid w:val="001560CF"/>
    <w:rsid w:val="001560EC"/>
    <w:rsid w:val="001565C5"/>
    <w:rsid w:val="001566C6"/>
    <w:rsid w:val="0015692A"/>
    <w:rsid w:val="00156934"/>
    <w:rsid w:val="00156987"/>
    <w:rsid w:val="00156C25"/>
    <w:rsid w:val="00156C79"/>
    <w:rsid w:val="00156E18"/>
    <w:rsid w:val="00156FA7"/>
    <w:rsid w:val="0015700F"/>
    <w:rsid w:val="001572BD"/>
    <w:rsid w:val="001572E2"/>
    <w:rsid w:val="0015739F"/>
    <w:rsid w:val="0015741C"/>
    <w:rsid w:val="00157743"/>
    <w:rsid w:val="00157799"/>
    <w:rsid w:val="0015786C"/>
    <w:rsid w:val="00157980"/>
    <w:rsid w:val="00157C42"/>
    <w:rsid w:val="00157D04"/>
    <w:rsid w:val="00157D65"/>
    <w:rsid w:val="00157F55"/>
    <w:rsid w:val="00157F7D"/>
    <w:rsid w:val="00160041"/>
    <w:rsid w:val="00160068"/>
    <w:rsid w:val="0016017A"/>
    <w:rsid w:val="0016023A"/>
    <w:rsid w:val="0016029A"/>
    <w:rsid w:val="00160413"/>
    <w:rsid w:val="001605AB"/>
    <w:rsid w:val="001605E5"/>
    <w:rsid w:val="00160617"/>
    <w:rsid w:val="00160763"/>
    <w:rsid w:val="0016083F"/>
    <w:rsid w:val="001608B2"/>
    <w:rsid w:val="001609DE"/>
    <w:rsid w:val="00160BAE"/>
    <w:rsid w:val="00160BE9"/>
    <w:rsid w:val="00161191"/>
    <w:rsid w:val="001612B1"/>
    <w:rsid w:val="00161758"/>
    <w:rsid w:val="00161823"/>
    <w:rsid w:val="00161856"/>
    <w:rsid w:val="00161862"/>
    <w:rsid w:val="00161AAC"/>
    <w:rsid w:val="00161D59"/>
    <w:rsid w:val="00161E14"/>
    <w:rsid w:val="00161FB3"/>
    <w:rsid w:val="00161FD4"/>
    <w:rsid w:val="001622A0"/>
    <w:rsid w:val="00162408"/>
    <w:rsid w:val="00162531"/>
    <w:rsid w:val="00162609"/>
    <w:rsid w:val="0016267A"/>
    <w:rsid w:val="001626B4"/>
    <w:rsid w:val="0016297B"/>
    <w:rsid w:val="00162C82"/>
    <w:rsid w:val="00162CFE"/>
    <w:rsid w:val="00162CFF"/>
    <w:rsid w:val="00162DBF"/>
    <w:rsid w:val="00162E64"/>
    <w:rsid w:val="00162FD1"/>
    <w:rsid w:val="0016318E"/>
    <w:rsid w:val="001632C8"/>
    <w:rsid w:val="001633D7"/>
    <w:rsid w:val="0016340A"/>
    <w:rsid w:val="00163626"/>
    <w:rsid w:val="0016366E"/>
    <w:rsid w:val="001637D2"/>
    <w:rsid w:val="00163A3B"/>
    <w:rsid w:val="00163ADC"/>
    <w:rsid w:val="00163C04"/>
    <w:rsid w:val="00163CFA"/>
    <w:rsid w:val="00163E5F"/>
    <w:rsid w:val="00163E65"/>
    <w:rsid w:val="00163EDB"/>
    <w:rsid w:val="00163EE1"/>
    <w:rsid w:val="00163FE9"/>
    <w:rsid w:val="00164252"/>
    <w:rsid w:val="00164261"/>
    <w:rsid w:val="001643FE"/>
    <w:rsid w:val="001644E4"/>
    <w:rsid w:val="0016456D"/>
    <w:rsid w:val="0016468E"/>
    <w:rsid w:val="00164B44"/>
    <w:rsid w:val="00164C10"/>
    <w:rsid w:val="00164C2A"/>
    <w:rsid w:val="00164C4B"/>
    <w:rsid w:val="00164C8E"/>
    <w:rsid w:val="00164CF8"/>
    <w:rsid w:val="00164DDB"/>
    <w:rsid w:val="001653AE"/>
    <w:rsid w:val="0016559F"/>
    <w:rsid w:val="0016573E"/>
    <w:rsid w:val="0016579D"/>
    <w:rsid w:val="00165CA9"/>
    <w:rsid w:val="00165E2A"/>
    <w:rsid w:val="001660FE"/>
    <w:rsid w:val="00166110"/>
    <w:rsid w:val="001661A5"/>
    <w:rsid w:val="0016651E"/>
    <w:rsid w:val="00166561"/>
    <w:rsid w:val="00166764"/>
    <w:rsid w:val="00166795"/>
    <w:rsid w:val="001669E5"/>
    <w:rsid w:val="001669EC"/>
    <w:rsid w:val="00166B58"/>
    <w:rsid w:val="00167781"/>
    <w:rsid w:val="00167B07"/>
    <w:rsid w:val="00167B5E"/>
    <w:rsid w:val="00167C4B"/>
    <w:rsid w:val="00167E0D"/>
    <w:rsid w:val="001700F8"/>
    <w:rsid w:val="00170449"/>
    <w:rsid w:val="001705DC"/>
    <w:rsid w:val="001708F1"/>
    <w:rsid w:val="00170900"/>
    <w:rsid w:val="00170D3E"/>
    <w:rsid w:val="00170D5B"/>
    <w:rsid w:val="001710E3"/>
    <w:rsid w:val="00171416"/>
    <w:rsid w:val="00171490"/>
    <w:rsid w:val="00171559"/>
    <w:rsid w:val="001715E2"/>
    <w:rsid w:val="0017190C"/>
    <w:rsid w:val="00171A29"/>
    <w:rsid w:val="00171D7D"/>
    <w:rsid w:val="00171DE4"/>
    <w:rsid w:val="00171E82"/>
    <w:rsid w:val="00171F2F"/>
    <w:rsid w:val="00172151"/>
    <w:rsid w:val="0017217A"/>
    <w:rsid w:val="001722DA"/>
    <w:rsid w:val="001726A0"/>
    <w:rsid w:val="00172B15"/>
    <w:rsid w:val="00172B8F"/>
    <w:rsid w:val="00172C71"/>
    <w:rsid w:val="00172C7E"/>
    <w:rsid w:val="00172D6F"/>
    <w:rsid w:val="00172E9A"/>
    <w:rsid w:val="00172ECC"/>
    <w:rsid w:val="001732C3"/>
    <w:rsid w:val="001735F2"/>
    <w:rsid w:val="00173650"/>
    <w:rsid w:val="00173668"/>
    <w:rsid w:val="001736F8"/>
    <w:rsid w:val="001737B1"/>
    <w:rsid w:val="00173882"/>
    <w:rsid w:val="00173ADF"/>
    <w:rsid w:val="00173B99"/>
    <w:rsid w:val="00173D85"/>
    <w:rsid w:val="00173E67"/>
    <w:rsid w:val="00174020"/>
    <w:rsid w:val="00174366"/>
    <w:rsid w:val="00174582"/>
    <w:rsid w:val="001745E1"/>
    <w:rsid w:val="00174653"/>
    <w:rsid w:val="00174777"/>
    <w:rsid w:val="0017482B"/>
    <w:rsid w:val="00174A31"/>
    <w:rsid w:val="00174A99"/>
    <w:rsid w:val="00174B41"/>
    <w:rsid w:val="00174C3D"/>
    <w:rsid w:val="00174D82"/>
    <w:rsid w:val="00174FD4"/>
    <w:rsid w:val="001752C1"/>
    <w:rsid w:val="001752F1"/>
    <w:rsid w:val="0017531C"/>
    <w:rsid w:val="001756A6"/>
    <w:rsid w:val="0017570E"/>
    <w:rsid w:val="0017584E"/>
    <w:rsid w:val="00175BB1"/>
    <w:rsid w:val="00175D9B"/>
    <w:rsid w:val="00175EE4"/>
    <w:rsid w:val="00175F36"/>
    <w:rsid w:val="0017606B"/>
    <w:rsid w:val="00176080"/>
    <w:rsid w:val="0017619A"/>
    <w:rsid w:val="001761E0"/>
    <w:rsid w:val="001762AA"/>
    <w:rsid w:val="0017658F"/>
    <w:rsid w:val="0017660F"/>
    <w:rsid w:val="00176703"/>
    <w:rsid w:val="00176A6D"/>
    <w:rsid w:val="00176B0D"/>
    <w:rsid w:val="00176C7B"/>
    <w:rsid w:val="00176E82"/>
    <w:rsid w:val="00177350"/>
    <w:rsid w:val="001773BE"/>
    <w:rsid w:val="00177411"/>
    <w:rsid w:val="00177810"/>
    <w:rsid w:val="001779D8"/>
    <w:rsid w:val="00177E73"/>
    <w:rsid w:val="00180490"/>
    <w:rsid w:val="00180DDB"/>
    <w:rsid w:val="00180F8C"/>
    <w:rsid w:val="00180FC3"/>
    <w:rsid w:val="00181170"/>
    <w:rsid w:val="001811D3"/>
    <w:rsid w:val="00181221"/>
    <w:rsid w:val="0018137B"/>
    <w:rsid w:val="00181664"/>
    <w:rsid w:val="00181756"/>
    <w:rsid w:val="00181B23"/>
    <w:rsid w:val="00181C07"/>
    <w:rsid w:val="00181DAE"/>
    <w:rsid w:val="00181FB7"/>
    <w:rsid w:val="001822AC"/>
    <w:rsid w:val="001822B3"/>
    <w:rsid w:val="00182749"/>
    <w:rsid w:val="001829B7"/>
    <w:rsid w:val="00182B43"/>
    <w:rsid w:val="00182B86"/>
    <w:rsid w:val="00182BD4"/>
    <w:rsid w:val="00182C92"/>
    <w:rsid w:val="00182DF4"/>
    <w:rsid w:val="00182E24"/>
    <w:rsid w:val="00182F30"/>
    <w:rsid w:val="001830E6"/>
    <w:rsid w:val="00183601"/>
    <w:rsid w:val="00183961"/>
    <w:rsid w:val="00183AFC"/>
    <w:rsid w:val="00183C4E"/>
    <w:rsid w:val="00183CC3"/>
    <w:rsid w:val="001840FF"/>
    <w:rsid w:val="0018410B"/>
    <w:rsid w:val="0018413E"/>
    <w:rsid w:val="001842D4"/>
    <w:rsid w:val="0018462F"/>
    <w:rsid w:val="00184736"/>
    <w:rsid w:val="00184AB5"/>
    <w:rsid w:val="00184BAE"/>
    <w:rsid w:val="00184F91"/>
    <w:rsid w:val="001850C2"/>
    <w:rsid w:val="001852D2"/>
    <w:rsid w:val="00185753"/>
    <w:rsid w:val="001858E8"/>
    <w:rsid w:val="001859CB"/>
    <w:rsid w:val="00185BE7"/>
    <w:rsid w:val="00185CB5"/>
    <w:rsid w:val="00186144"/>
    <w:rsid w:val="0018628F"/>
    <w:rsid w:val="001862A9"/>
    <w:rsid w:val="001863CA"/>
    <w:rsid w:val="0018642F"/>
    <w:rsid w:val="00186554"/>
    <w:rsid w:val="00186CD8"/>
    <w:rsid w:val="00187032"/>
    <w:rsid w:val="001871E5"/>
    <w:rsid w:val="001872B0"/>
    <w:rsid w:val="0018730B"/>
    <w:rsid w:val="00187322"/>
    <w:rsid w:val="0018734E"/>
    <w:rsid w:val="001874E0"/>
    <w:rsid w:val="001876B8"/>
    <w:rsid w:val="00187874"/>
    <w:rsid w:val="00187BE2"/>
    <w:rsid w:val="00187D1C"/>
    <w:rsid w:val="00187D47"/>
    <w:rsid w:val="001903A4"/>
    <w:rsid w:val="001906A0"/>
    <w:rsid w:val="001906BE"/>
    <w:rsid w:val="00190E07"/>
    <w:rsid w:val="00190EB4"/>
    <w:rsid w:val="0019115A"/>
    <w:rsid w:val="001911E2"/>
    <w:rsid w:val="001912E5"/>
    <w:rsid w:val="00191390"/>
    <w:rsid w:val="00191528"/>
    <w:rsid w:val="00191547"/>
    <w:rsid w:val="00191556"/>
    <w:rsid w:val="001916B2"/>
    <w:rsid w:val="00191BA2"/>
    <w:rsid w:val="00191D82"/>
    <w:rsid w:val="00191E7D"/>
    <w:rsid w:val="00192026"/>
    <w:rsid w:val="00192041"/>
    <w:rsid w:val="0019215A"/>
    <w:rsid w:val="0019286C"/>
    <w:rsid w:val="00192A13"/>
    <w:rsid w:val="00192B32"/>
    <w:rsid w:val="00192B78"/>
    <w:rsid w:val="00192ED4"/>
    <w:rsid w:val="0019305B"/>
    <w:rsid w:val="00193493"/>
    <w:rsid w:val="0019362A"/>
    <w:rsid w:val="00193C91"/>
    <w:rsid w:val="00193C9A"/>
    <w:rsid w:val="00193FF0"/>
    <w:rsid w:val="0019407A"/>
    <w:rsid w:val="001940D4"/>
    <w:rsid w:val="00194355"/>
    <w:rsid w:val="001943E2"/>
    <w:rsid w:val="00194604"/>
    <w:rsid w:val="0019474E"/>
    <w:rsid w:val="00194809"/>
    <w:rsid w:val="0019485C"/>
    <w:rsid w:val="00194B54"/>
    <w:rsid w:val="00194CEC"/>
    <w:rsid w:val="00194E86"/>
    <w:rsid w:val="00195169"/>
    <w:rsid w:val="001951E4"/>
    <w:rsid w:val="0019553D"/>
    <w:rsid w:val="001955DB"/>
    <w:rsid w:val="00195728"/>
    <w:rsid w:val="00195914"/>
    <w:rsid w:val="001959AA"/>
    <w:rsid w:val="001959C7"/>
    <w:rsid w:val="001961A7"/>
    <w:rsid w:val="001962D7"/>
    <w:rsid w:val="00196408"/>
    <w:rsid w:val="00196500"/>
    <w:rsid w:val="001966C2"/>
    <w:rsid w:val="00196BC8"/>
    <w:rsid w:val="00196BFC"/>
    <w:rsid w:val="00196CDE"/>
    <w:rsid w:val="00196E43"/>
    <w:rsid w:val="00196F84"/>
    <w:rsid w:val="001970C0"/>
    <w:rsid w:val="00197106"/>
    <w:rsid w:val="00197294"/>
    <w:rsid w:val="00197303"/>
    <w:rsid w:val="00197379"/>
    <w:rsid w:val="0019739C"/>
    <w:rsid w:val="00197451"/>
    <w:rsid w:val="00197466"/>
    <w:rsid w:val="0019748B"/>
    <w:rsid w:val="001976F1"/>
    <w:rsid w:val="00197784"/>
    <w:rsid w:val="00197AFA"/>
    <w:rsid w:val="00197C08"/>
    <w:rsid w:val="00197D5F"/>
    <w:rsid w:val="00197D6D"/>
    <w:rsid w:val="00197E8E"/>
    <w:rsid w:val="001A0214"/>
    <w:rsid w:val="001A02E5"/>
    <w:rsid w:val="001A03A7"/>
    <w:rsid w:val="001A03DB"/>
    <w:rsid w:val="001A0511"/>
    <w:rsid w:val="001A0A47"/>
    <w:rsid w:val="001A0B54"/>
    <w:rsid w:val="001A0C7D"/>
    <w:rsid w:val="001A0CD5"/>
    <w:rsid w:val="001A0CF5"/>
    <w:rsid w:val="001A0D02"/>
    <w:rsid w:val="001A0E1A"/>
    <w:rsid w:val="001A0FFB"/>
    <w:rsid w:val="001A15BD"/>
    <w:rsid w:val="001A15ED"/>
    <w:rsid w:val="001A16C4"/>
    <w:rsid w:val="001A1727"/>
    <w:rsid w:val="001A175A"/>
    <w:rsid w:val="001A177C"/>
    <w:rsid w:val="001A1CB5"/>
    <w:rsid w:val="001A1CB7"/>
    <w:rsid w:val="001A1E04"/>
    <w:rsid w:val="001A1E1A"/>
    <w:rsid w:val="001A1F2D"/>
    <w:rsid w:val="001A201A"/>
    <w:rsid w:val="001A2122"/>
    <w:rsid w:val="001A21DF"/>
    <w:rsid w:val="001A24DF"/>
    <w:rsid w:val="001A2588"/>
    <w:rsid w:val="001A2705"/>
    <w:rsid w:val="001A2B63"/>
    <w:rsid w:val="001A2BDF"/>
    <w:rsid w:val="001A2BF5"/>
    <w:rsid w:val="001A2D6F"/>
    <w:rsid w:val="001A313A"/>
    <w:rsid w:val="001A31CF"/>
    <w:rsid w:val="001A37F1"/>
    <w:rsid w:val="001A38DC"/>
    <w:rsid w:val="001A39FA"/>
    <w:rsid w:val="001A4020"/>
    <w:rsid w:val="001A40BA"/>
    <w:rsid w:val="001A420B"/>
    <w:rsid w:val="001A4241"/>
    <w:rsid w:val="001A4262"/>
    <w:rsid w:val="001A4312"/>
    <w:rsid w:val="001A4363"/>
    <w:rsid w:val="001A45CA"/>
    <w:rsid w:val="001A48B8"/>
    <w:rsid w:val="001A4909"/>
    <w:rsid w:val="001A49E9"/>
    <w:rsid w:val="001A4A9A"/>
    <w:rsid w:val="001A4B97"/>
    <w:rsid w:val="001A4BB7"/>
    <w:rsid w:val="001A4F7D"/>
    <w:rsid w:val="001A4FA1"/>
    <w:rsid w:val="001A5049"/>
    <w:rsid w:val="001A519D"/>
    <w:rsid w:val="001A53AE"/>
    <w:rsid w:val="001A5474"/>
    <w:rsid w:val="001A54B8"/>
    <w:rsid w:val="001A54FC"/>
    <w:rsid w:val="001A5552"/>
    <w:rsid w:val="001A5582"/>
    <w:rsid w:val="001A58F9"/>
    <w:rsid w:val="001A5AC2"/>
    <w:rsid w:val="001A5B0F"/>
    <w:rsid w:val="001A5EF0"/>
    <w:rsid w:val="001A636D"/>
    <w:rsid w:val="001A6933"/>
    <w:rsid w:val="001A693C"/>
    <w:rsid w:val="001A69F1"/>
    <w:rsid w:val="001A6B63"/>
    <w:rsid w:val="001A6C1E"/>
    <w:rsid w:val="001A6C27"/>
    <w:rsid w:val="001A6CC3"/>
    <w:rsid w:val="001A6E09"/>
    <w:rsid w:val="001A6E38"/>
    <w:rsid w:val="001A6E79"/>
    <w:rsid w:val="001A7320"/>
    <w:rsid w:val="001A7339"/>
    <w:rsid w:val="001A7369"/>
    <w:rsid w:val="001A7917"/>
    <w:rsid w:val="001A79A1"/>
    <w:rsid w:val="001A79D4"/>
    <w:rsid w:val="001A7B42"/>
    <w:rsid w:val="001A7CA3"/>
    <w:rsid w:val="001A7CAF"/>
    <w:rsid w:val="001A7D8F"/>
    <w:rsid w:val="001A7DAC"/>
    <w:rsid w:val="001A7E71"/>
    <w:rsid w:val="001B01DE"/>
    <w:rsid w:val="001B029C"/>
    <w:rsid w:val="001B03E7"/>
    <w:rsid w:val="001B04FD"/>
    <w:rsid w:val="001B05E3"/>
    <w:rsid w:val="001B0810"/>
    <w:rsid w:val="001B08BA"/>
    <w:rsid w:val="001B08F6"/>
    <w:rsid w:val="001B0973"/>
    <w:rsid w:val="001B0A1A"/>
    <w:rsid w:val="001B0B04"/>
    <w:rsid w:val="001B0B67"/>
    <w:rsid w:val="001B0B91"/>
    <w:rsid w:val="001B0BDB"/>
    <w:rsid w:val="001B0FB3"/>
    <w:rsid w:val="001B1324"/>
    <w:rsid w:val="001B153D"/>
    <w:rsid w:val="001B1551"/>
    <w:rsid w:val="001B1767"/>
    <w:rsid w:val="001B18B7"/>
    <w:rsid w:val="001B19A2"/>
    <w:rsid w:val="001B19F7"/>
    <w:rsid w:val="001B1A1D"/>
    <w:rsid w:val="001B1AEB"/>
    <w:rsid w:val="001B1BC1"/>
    <w:rsid w:val="001B1DE6"/>
    <w:rsid w:val="001B1E7C"/>
    <w:rsid w:val="001B1EB2"/>
    <w:rsid w:val="001B2053"/>
    <w:rsid w:val="001B22BC"/>
    <w:rsid w:val="001B235F"/>
    <w:rsid w:val="001B2407"/>
    <w:rsid w:val="001B2506"/>
    <w:rsid w:val="001B28B0"/>
    <w:rsid w:val="001B2927"/>
    <w:rsid w:val="001B292E"/>
    <w:rsid w:val="001B29D0"/>
    <w:rsid w:val="001B29F9"/>
    <w:rsid w:val="001B2A97"/>
    <w:rsid w:val="001B2CB0"/>
    <w:rsid w:val="001B2CD4"/>
    <w:rsid w:val="001B2E9D"/>
    <w:rsid w:val="001B3070"/>
    <w:rsid w:val="001B30D2"/>
    <w:rsid w:val="001B3173"/>
    <w:rsid w:val="001B34BD"/>
    <w:rsid w:val="001B3567"/>
    <w:rsid w:val="001B35CB"/>
    <w:rsid w:val="001B3738"/>
    <w:rsid w:val="001B3791"/>
    <w:rsid w:val="001B3D35"/>
    <w:rsid w:val="001B3E32"/>
    <w:rsid w:val="001B429E"/>
    <w:rsid w:val="001B43D2"/>
    <w:rsid w:val="001B45BF"/>
    <w:rsid w:val="001B4611"/>
    <w:rsid w:val="001B4628"/>
    <w:rsid w:val="001B4854"/>
    <w:rsid w:val="001B4A2A"/>
    <w:rsid w:val="001B4EAF"/>
    <w:rsid w:val="001B5026"/>
    <w:rsid w:val="001B507B"/>
    <w:rsid w:val="001B50A3"/>
    <w:rsid w:val="001B5273"/>
    <w:rsid w:val="001B54AB"/>
    <w:rsid w:val="001B54CD"/>
    <w:rsid w:val="001B5623"/>
    <w:rsid w:val="001B564F"/>
    <w:rsid w:val="001B5764"/>
    <w:rsid w:val="001B5B09"/>
    <w:rsid w:val="001B5CFE"/>
    <w:rsid w:val="001B60A3"/>
    <w:rsid w:val="001B6161"/>
    <w:rsid w:val="001B628D"/>
    <w:rsid w:val="001B633A"/>
    <w:rsid w:val="001B6387"/>
    <w:rsid w:val="001B645B"/>
    <w:rsid w:val="001B6771"/>
    <w:rsid w:val="001B6AF1"/>
    <w:rsid w:val="001B6D95"/>
    <w:rsid w:val="001B6D9A"/>
    <w:rsid w:val="001B6DC6"/>
    <w:rsid w:val="001B6E86"/>
    <w:rsid w:val="001B6EC9"/>
    <w:rsid w:val="001B7056"/>
    <w:rsid w:val="001B7329"/>
    <w:rsid w:val="001B7796"/>
    <w:rsid w:val="001B77B7"/>
    <w:rsid w:val="001B7A1A"/>
    <w:rsid w:val="001B7ABE"/>
    <w:rsid w:val="001B7BD5"/>
    <w:rsid w:val="001C0325"/>
    <w:rsid w:val="001C06C1"/>
    <w:rsid w:val="001C06E3"/>
    <w:rsid w:val="001C0774"/>
    <w:rsid w:val="001C0861"/>
    <w:rsid w:val="001C0A0E"/>
    <w:rsid w:val="001C0BC8"/>
    <w:rsid w:val="001C10D3"/>
    <w:rsid w:val="001C12E6"/>
    <w:rsid w:val="001C1396"/>
    <w:rsid w:val="001C145E"/>
    <w:rsid w:val="001C1507"/>
    <w:rsid w:val="001C1603"/>
    <w:rsid w:val="001C174A"/>
    <w:rsid w:val="001C18F8"/>
    <w:rsid w:val="001C1C68"/>
    <w:rsid w:val="001C1C74"/>
    <w:rsid w:val="001C1D05"/>
    <w:rsid w:val="001C1D2F"/>
    <w:rsid w:val="001C1D38"/>
    <w:rsid w:val="001C1E60"/>
    <w:rsid w:val="001C20B0"/>
    <w:rsid w:val="001C20BD"/>
    <w:rsid w:val="001C219E"/>
    <w:rsid w:val="001C2324"/>
    <w:rsid w:val="001C235D"/>
    <w:rsid w:val="001C2592"/>
    <w:rsid w:val="001C26B9"/>
    <w:rsid w:val="001C2A48"/>
    <w:rsid w:val="001C2B9E"/>
    <w:rsid w:val="001C2C86"/>
    <w:rsid w:val="001C2E5D"/>
    <w:rsid w:val="001C2F05"/>
    <w:rsid w:val="001C3006"/>
    <w:rsid w:val="001C31AF"/>
    <w:rsid w:val="001C39CA"/>
    <w:rsid w:val="001C3BAB"/>
    <w:rsid w:val="001C3DC1"/>
    <w:rsid w:val="001C4596"/>
    <w:rsid w:val="001C47D5"/>
    <w:rsid w:val="001C48E6"/>
    <w:rsid w:val="001C492D"/>
    <w:rsid w:val="001C4B38"/>
    <w:rsid w:val="001C4B8E"/>
    <w:rsid w:val="001C4BE2"/>
    <w:rsid w:val="001C4CD1"/>
    <w:rsid w:val="001C4CED"/>
    <w:rsid w:val="001C4E11"/>
    <w:rsid w:val="001C4EA8"/>
    <w:rsid w:val="001C535E"/>
    <w:rsid w:val="001C54B5"/>
    <w:rsid w:val="001C54C4"/>
    <w:rsid w:val="001C5790"/>
    <w:rsid w:val="001C593B"/>
    <w:rsid w:val="001C59F1"/>
    <w:rsid w:val="001C5B42"/>
    <w:rsid w:val="001C5E92"/>
    <w:rsid w:val="001C625D"/>
    <w:rsid w:val="001C628D"/>
    <w:rsid w:val="001C6378"/>
    <w:rsid w:val="001C637E"/>
    <w:rsid w:val="001C63F3"/>
    <w:rsid w:val="001C64BC"/>
    <w:rsid w:val="001C6923"/>
    <w:rsid w:val="001C69CC"/>
    <w:rsid w:val="001C69E3"/>
    <w:rsid w:val="001C6AF3"/>
    <w:rsid w:val="001C6B3F"/>
    <w:rsid w:val="001C6C17"/>
    <w:rsid w:val="001C6D56"/>
    <w:rsid w:val="001C6DFD"/>
    <w:rsid w:val="001C6F46"/>
    <w:rsid w:val="001C7679"/>
    <w:rsid w:val="001C76E9"/>
    <w:rsid w:val="001C76F8"/>
    <w:rsid w:val="001C76FE"/>
    <w:rsid w:val="001C7B10"/>
    <w:rsid w:val="001C7CB6"/>
    <w:rsid w:val="001D00EC"/>
    <w:rsid w:val="001D03CA"/>
    <w:rsid w:val="001D0474"/>
    <w:rsid w:val="001D056E"/>
    <w:rsid w:val="001D0882"/>
    <w:rsid w:val="001D08EA"/>
    <w:rsid w:val="001D091F"/>
    <w:rsid w:val="001D0A4B"/>
    <w:rsid w:val="001D0BC5"/>
    <w:rsid w:val="001D101D"/>
    <w:rsid w:val="001D1531"/>
    <w:rsid w:val="001D1611"/>
    <w:rsid w:val="001D16B3"/>
    <w:rsid w:val="001D1A2C"/>
    <w:rsid w:val="001D1B37"/>
    <w:rsid w:val="001D1B5D"/>
    <w:rsid w:val="001D1D8B"/>
    <w:rsid w:val="001D1E53"/>
    <w:rsid w:val="001D1FC5"/>
    <w:rsid w:val="001D211A"/>
    <w:rsid w:val="001D213A"/>
    <w:rsid w:val="001D2257"/>
    <w:rsid w:val="001D23C7"/>
    <w:rsid w:val="001D26C5"/>
    <w:rsid w:val="001D2854"/>
    <w:rsid w:val="001D2E13"/>
    <w:rsid w:val="001D2E1E"/>
    <w:rsid w:val="001D312D"/>
    <w:rsid w:val="001D32C0"/>
    <w:rsid w:val="001D334D"/>
    <w:rsid w:val="001D33F2"/>
    <w:rsid w:val="001D36A1"/>
    <w:rsid w:val="001D3A64"/>
    <w:rsid w:val="001D3ACC"/>
    <w:rsid w:val="001D3B73"/>
    <w:rsid w:val="001D3C94"/>
    <w:rsid w:val="001D3CF3"/>
    <w:rsid w:val="001D3F0A"/>
    <w:rsid w:val="001D4073"/>
    <w:rsid w:val="001D407B"/>
    <w:rsid w:val="001D451B"/>
    <w:rsid w:val="001D4778"/>
    <w:rsid w:val="001D49C2"/>
    <w:rsid w:val="001D4A74"/>
    <w:rsid w:val="001D4A91"/>
    <w:rsid w:val="001D4D22"/>
    <w:rsid w:val="001D4D85"/>
    <w:rsid w:val="001D4DD6"/>
    <w:rsid w:val="001D4E17"/>
    <w:rsid w:val="001D50F7"/>
    <w:rsid w:val="001D5262"/>
    <w:rsid w:val="001D53E4"/>
    <w:rsid w:val="001D56D6"/>
    <w:rsid w:val="001D5793"/>
    <w:rsid w:val="001D59CC"/>
    <w:rsid w:val="001D5DFD"/>
    <w:rsid w:val="001D5E16"/>
    <w:rsid w:val="001D5F2C"/>
    <w:rsid w:val="001D5F84"/>
    <w:rsid w:val="001D627A"/>
    <w:rsid w:val="001D6711"/>
    <w:rsid w:val="001D6988"/>
    <w:rsid w:val="001D6A60"/>
    <w:rsid w:val="001D6A82"/>
    <w:rsid w:val="001D6B4E"/>
    <w:rsid w:val="001D6BF9"/>
    <w:rsid w:val="001D6D2A"/>
    <w:rsid w:val="001D6D9C"/>
    <w:rsid w:val="001D6DE0"/>
    <w:rsid w:val="001D6FC2"/>
    <w:rsid w:val="001D70A7"/>
    <w:rsid w:val="001D71BD"/>
    <w:rsid w:val="001D7281"/>
    <w:rsid w:val="001D74A7"/>
    <w:rsid w:val="001D75B2"/>
    <w:rsid w:val="001D7805"/>
    <w:rsid w:val="001D79CE"/>
    <w:rsid w:val="001D7BE6"/>
    <w:rsid w:val="001D7CCA"/>
    <w:rsid w:val="001D7E93"/>
    <w:rsid w:val="001E001C"/>
    <w:rsid w:val="001E0253"/>
    <w:rsid w:val="001E0279"/>
    <w:rsid w:val="001E02EF"/>
    <w:rsid w:val="001E054A"/>
    <w:rsid w:val="001E0747"/>
    <w:rsid w:val="001E0A1E"/>
    <w:rsid w:val="001E0C5A"/>
    <w:rsid w:val="001E0DD2"/>
    <w:rsid w:val="001E0FCF"/>
    <w:rsid w:val="001E10BC"/>
    <w:rsid w:val="001E11A2"/>
    <w:rsid w:val="001E130A"/>
    <w:rsid w:val="001E1381"/>
    <w:rsid w:val="001E13F0"/>
    <w:rsid w:val="001E15F2"/>
    <w:rsid w:val="001E1710"/>
    <w:rsid w:val="001E18F3"/>
    <w:rsid w:val="001E1B77"/>
    <w:rsid w:val="001E203A"/>
    <w:rsid w:val="001E20A3"/>
    <w:rsid w:val="001E22F7"/>
    <w:rsid w:val="001E232E"/>
    <w:rsid w:val="001E288C"/>
    <w:rsid w:val="001E29BF"/>
    <w:rsid w:val="001E2C8F"/>
    <w:rsid w:val="001E2F4F"/>
    <w:rsid w:val="001E3069"/>
    <w:rsid w:val="001E307C"/>
    <w:rsid w:val="001E31F9"/>
    <w:rsid w:val="001E342E"/>
    <w:rsid w:val="001E3691"/>
    <w:rsid w:val="001E38C9"/>
    <w:rsid w:val="001E3A1D"/>
    <w:rsid w:val="001E3B2B"/>
    <w:rsid w:val="001E3BB4"/>
    <w:rsid w:val="001E3D27"/>
    <w:rsid w:val="001E3FAE"/>
    <w:rsid w:val="001E404A"/>
    <w:rsid w:val="001E4305"/>
    <w:rsid w:val="001E43DA"/>
    <w:rsid w:val="001E4411"/>
    <w:rsid w:val="001E465F"/>
    <w:rsid w:val="001E46DA"/>
    <w:rsid w:val="001E473C"/>
    <w:rsid w:val="001E4849"/>
    <w:rsid w:val="001E4956"/>
    <w:rsid w:val="001E4B74"/>
    <w:rsid w:val="001E4C1C"/>
    <w:rsid w:val="001E4D50"/>
    <w:rsid w:val="001E4DD3"/>
    <w:rsid w:val="001E4F7F"/>
    <w:rsid w:val="001E4F93"/>
    <w:rsid w:val="001E4F9E"/>
    <w:rsid w:val="001E50F8"/>
    <w:rsid w:val="001E51F6"/>
    <w:rsid w:val="001E53C2"/>
    <w:rsid w:val="001E5572"/>
    <w:rsid w:val="001E56EE"/>
    <w:rsid w:val="001E58F9"/>
    <w:rsid w:val="001E5A08"/>
    <w:rsid w:val="001E5A51"/>
    <w:rsid w:val="001E5D44"/>
    <w:rsid w:val="001E5E58"/>
    <w:rsid w:val="001E5F06"/>
    <w:rsid w:val="001E600B"/>
    <w:rsid w:val="001E6033"/>
    <w:rsid w:val="001E69AB"/>
    <w:rsid w:val="001E6C9D"/>
    <w:rsid w:val="001E6CFD"/>
    <w:rsid w:val="001E6EEA"/>
    <w:rsid w:val="001E6FE5"/>
    <w:rsid w:val="001E7158"/>
    <w:rsid w:val="001E71C8"/>
    <w:rsid w:val="001E72AA"/>
    <w:rsid w:val="001E72B5"/>
    <w:rsid w:val="001E72BC"/>
    <w:rsid w:val="001E78A5"/>
    <w:rsid w:val="001F0484"/>
    <w:rsid w:val="001F0876"/>
    <w:rsid w:val="001F0AF7"/>
    <w:rsid w:val="001F0B75"/>
    <w:rsid w:val="001F0BAA"/>
    <w:rsid w:val="001F0C03"/>
    <w:rsid w:val="001F0C2C"/>
    <w:rsid w:val="001F0C35"/>
    <w:rsid w:val="001F0C69"/>
    <w:rsid w:val="001F0FA3"/>
    <w:rsid w:val="001F0FA8"/>
    <w:rsid w:val="001F10ED"/>
    <w:rsid w:val="001F1106"/>
    <w:rsid w:val="001F11E3"/>
    <w:rsid w:val="001F147C"/>
    <w:rsid w:val="001F17D1"/>
    <w:rsid w:val="001F1A0D"/>
    <w:rsid w:val="001F1AF8"/>
    <w:rsid w:val="001F1DD3"/>
    <w:rsid w:val="001F1F37"/>
    <w:rsid w:val="001F207C"/>
    <w:rsid w:val="001F21D5"/>
    <w:rsid w:val="001F253B"/>
    <w:rsid w:val="001F25AB"/>
    <w:rsid w:val="001F2902"/>
    <w:rsid w:val="001F29A7"/>
    <w:rsid w:val="001F2A88"/>
    <w:rsid w:val="001F2ABD"/>
    <w:rsid w:val="001F2AF2"/>
    <w:rsid w:val="001F2C1C"/>
    <w:rsid w:val="001F2D6F"/>
    <w:rsid w:val="001F2E2C"/>
    <w:rsid w:val="001F2FF2"/>
    <w:rsid w:val="001F3117"/>
    <w:rsid w:val="001F3466"/>
    <w:rsid w:val="001F34B6"/>
    <w:rsid w:val="001F35C4"/>
    <w:rsid w:val="001F365C"/>
    <w:rsid w:val="001F3751"/>
    <w:rsid w:val="001F385A"/>
    <w:rsid w:val="001F3BA9"/>
    <w:rsid w:val="001F3D41"/>
    <w:rsid w:val="001F3E62"/>
    <w:rsid w:val="001F3F36"/>
    <w:rsid w:val="001F3F85"/>
    <w:rsid w:val="001F415C"/>
    <w:rsid w:val="001F42A2"/>
    <w:rsid w:val="001F43BF"/>
    <w:rsid w:val="001F43E9"/>
    <w:rsid w:val="001F44AC"/>
    <w:rsid w:val="001F4772"/>
    <w:rsid w:val="001F4C7F"/>
    <w:rsid w:val="001F4D92"/>
    <w:rsid w:val="001F50FA"/>
    <w:rsid w:val="001F5149"/>
    <w:rsid w:val="001F51F6"/>
    <w:rsid w:val="001F54A1"/>
    <w:rsid w:val="001F54B6"/>
    <w:rsid w:val="001F54F1"/>
    <w:rsid w:val="001F579C"/>
    <w:rsid w:val="001F5819"/>
    <w:rsid w:val="001F583C"/>
    <w:rsid w:val="001F5992"/>
    <w:rsid w:val="001F59E8"/>
    <w:rsid w:val="001F5B6A"/>
    <w:rsid w:val="001F5C8C"/>
    <w:rsid w:val="001F5CC9"/>
    <w:rsid w:val="001F5E98"/>
    <w:rsid w:val="001F6108"/>
    <w:rsid w:val="001F6137"/>
    <w:rsid w:val="001F63D7"/>
    <w:rsid w:val="001F6411"/>
    <w:rsid w:val="001F6484"/>
    <w:rsid w:val="001F658C"/>
    <w:rsid w:val="001F675C"/>
    <w:rsid w:val="001F68A9"/>
    <w:rsid w:val="001F6947"/>
    <w:rsid w:val="001F69AE"/>
    <w:rsid w:val="001F6AD6"/>
    <w:rsid w:val="001F6BD4"/>
    <w:rsid w:val="001F6C12"/>
    <w:rsid w:val="001F6CF3"/>
    <w:rsid w:val="001F6DC1"/>
    <w:rsid w:val="001F6E1D"/>
    <w:rsid w:val="001F6F44"/>
    <w:rsid w:val="001F6FA9"/>
    <w:rsid w:val="001F71C5"/>
    <w:rsid w:val="001F7563"/>
    <w:rsid w:val="001F76A2"/>
    <w:rsid w:val="001F7727"/>
    <w:rsid w:val="001F77AF"/>
    <w:rsid w:val="001F788B"/>
    <w:rsid w:val="001F7BD0"/>
    <w:rsid w:val="001F7BDB"/>
    <w:rsid w:val="00200178"/>
    <w:rsid w:val="00200201"/>
    <w:rsid w:val="00200448"/>
    <w:rsid w:val="00200696"/>
    <w:rsid w:val="0020076A"/>
    <w:rsid w:val="002007F3"/>
    <w:rsid w:val="00200935"/>
    <w:rsid w:val="00200A50"/>
    <w:rsid w:val="00200BA3"/>
    <w:rsid w:val="00200CFB"/>
    <w:rsid w:val="0020108F"/>
    <w:rsid w:val="00201174"/>
    <w:rsid w:val="00201583"/>
    <w:rsid w:val="00201646"/>
    <w:rsid w:val="00201A15"/>
    <w:rsid w:val="00201AC3"/>
    <w:rsid w:val="00201FC0"/>
    <w:rsid w:val="002022C7"/>
    <w:rsid w:val="00202308"/>
    <w:rsid w:val="00202892"/>
    <w:rsid w:val="00202967"/>
    <w:rsid w:val="002029C8"/>
    <w:rsid w:val="00202A72"/>
    <w:rsid w:val="00202B17"/>
    <w:rsid w:val="00202FEA"/>
    <w:rsid w:val="002032C5"/>
    <w:rsid w:val="0020330B"/>
    <w:rsid w:val="002033D8"/>
    <w:rsid w:val="002033F3"/>
    <w:rsid w:val="00203431"/>
    <w:rsid w:val="00203897"/>
    <w:rsid w:val="002038B9"/>
    <w:rsid w:val="00203C2E"/>
    <w:rsid w:val="00203C32"/>
    <w:rsid w:val="00203E84"/>
    <w:rsid w:val="002040C0"/>
    <w:rsid w:val="00204260"/>
    <w:rsid w:val="0020438C"/>
    <w:rsid w:val="002043AD"/>
    <w:rsid w:val="00204E11"/>
    <w:rsid w:val="00205114"/>
    <w:rsid w:val="002052CD"/>
    <w:rsid w:val="00205621"/>
    <w:rsid w:val="00205639"/>
    <w:rsid w:val="00205771"/>
    <w:rsid w:val="00205846"/>
    <w:rsid w:val="0020589E"/>
    <w:rsid w:val="00205F65"/>
    <w:rsid w:val="00205FEA"/>
    <w:rsid w:val="00206211"/>
    <w:rsid w:val="00206218"/>
    <w:rsid w:val="002062C1"/>
    <w:rsid w:val="002063FD"/>
    <w:rsid w:val="00206624"/>
    <w:rsid w:val="00206653"/>
    <w:rsid w:val="002066B2"/>
    <w:rsid w:val="00206875"/>
    <w:rsid w:val="002068ED"/>
    <w:rsid w:val="00206C3A"/>
    <w:rsid w:val="00206DF3"/>
    <w:rsid w:val="00206F32"/>
    <w:rsid w:val="00207266"/>
    <w:rsid w:val="00207304"/>
    <w:rsid w:val="00207680"/>
    <w:rsid w:val="0020770B"/>
    <w:rsid w:val="00207934"/>
    <w:rsid w:val="00207A7E"/>
    <w:rsid w:val="00207AF1"/>
    <w:rsid w:val="00207B55"/>
    <w:rsid w:val="00207DB0"/>
    <w:rsid w:val="00207DD4"/>
    <w:rsid w:val="00207E51"/>
    <w:rsid w:val="00207F59"/>
    <w:rsid w:val="00207F9C"/>
    <w:rsid w:val="0021030A"/>
    <w:rsid w:val="0021059E"/>
    <w:rsid w:val="002106AD"/>
    <w:rsid w:val="002106BF"/>
    <w:rsid w:val="002106E7"/>
    <w:rsid w:val="002107A0"/>
    <w:rsid w:val="002107D9"/>
    <w:rsid w:val="00210B72"/>
    <w:rsid w:val="00210BD0"/>
    <w:rsid w:val="00210D1F"/>
    <w:rsid w:val="00210E7B"/>
    <w:rsid w:val="00211066"/>
    <w:rsid w:val="00211262"/>
    <w:rsid w:val="00211291"/>
    <w:rsid w:val="0021133B"/>
    <w:rsid w:val="00211603"/>
    <w:rsid w:val="0021169F"/>
    <w:rsid w:val="00211A8C"/>
    <w:rsid w:val="00211BB8"/>
    <w:rsid w:val="00211BD1"/>
    <w:rsid w:val="00211C06"/>
    <w:rsid w:val="00211DC3"/>
    <w:rsid w:val="00212174"/>
    <w:rsid w:val="002123B0"/>
    <w:rsid w:val="002127D6"/>
    <w:rsid w:val="002127E9"/>
    <w:rsid w:val="00212D8E"/>
    <w:rsid w:val="002130B3"/>
    <w:rsid w:val="002130FF"/>
    <w:rsid w:val="00213133"/>
    <w:rsid w:val="00213385"/>
    <w:rsid w:val="00213512"/>
    <w:rsid w:val="00213555"/>
    <w:rsid w:val="00213833"/>
    <w:rsid w:val="002138CA"/>
    <w:rsid w:val="002138D3"/>
    <w:rsid w:val="002139FC"/>
    <w:rsid w:val="00213AC1"/>
    <w:rsid w:val="00213DCC"/>
    <w:rsid w:val="00213EB6"/>
    <w:rsid w:val="002140A5"/>
    <w:rsid w:val="0021415B"/>
    <w:rsid w:val="002142B2"/>
    <w:rsid w:val="00214438"/>
    <w:rsid w:val="0021470D"/>
    <w:rsid w:val="00214AC5"/>
    <w:rsid w:val="00214B33"/>
    <w:rsid w:val="00214E55"/>
    <w:rsid w:val="00214EAB"/>
    <w:rsid w:val="00214EFC"/>
    <w:rsid w:val="00214F34"/>
    <w:rsid w:val="0021510A"/>
    <w:rsid w:val="002155B6"/>
    <w:rsid w:val="0021564B"/>
    <w:rsid w:val="00215739"/>
    <w:rsid w:val="002157E4"/>
    <w:rsid w:val="00215AB2"/>
    <w:rsid w:val="00215AFB"/>
    <w:rsid w:val="00215BF4"/>
    <w:rsid w:val="00215DEA"/>
    <w:rsid w:val="00215E13"/>
    <w:rsid w:val="002164F2"/>
    <w:rsid w:val="00216762"/>
    <w:rsid w:val="0021692C"/>
    <w:rsid w:val="0021698E"/>
    <w:rsid w:val="00216995"/>
    <w:rsid w:val="00216B41"/>
    <w:rsid w:val="00216F89"/>
    <w:rsid w:val="00216FC9"/>
    <w:rsid w:val="002171AD"/>
    <w:rsid w:val="002172C3"/>
    <w:rsid w:val="0021732B"/>
    <w:rsid w:val="002173D4"/>
    <w:rsid w:val="00217900"/>
    <w:rsid w:val="00217AC4"/>
    <w:rsid w:val="00217F01"/>
    <w:rsid w:val="00217F82"/>
    <w:rsid w:val="002200D8"/>
    <w:rsid w:val="00220264"/>
    <w:rsid w:val="0022029F"/>
    <w:rsid w:val="002203B9"/>
    <w:rsid w:val="00220786"/>
    <w:rsid w:val="002207E1"/>
    <w:rsid w:val="002208B7"/>
    <w:rsid w:val="00220909"/>
    <w:rsid w:val="00220C56"/>
    <w:rsid w:val="00220E35"/>
    <w:rsid w:val="00221092"/>
    <w:rsid w:val="002210B7"/>
    <w:rsid w:val="002212EF"/>
    <w:rsid w:val="00221433"/>
    <w:rsid w:val="00221514"/>
    <w:rsid w:val="0022168B"/>
    <w:rsid w:val="002218D9"/>
    <w:rsid w:val="002219B6"/>
    <w:rsid w:val="00221C39"/>
    <w:rsid w:val="00221C5B"/>
    <w:rsid w:val="00221F6E"/>
    <w:rsid w:val="00222267"/>
    <w:rsid w:val="002222E4"/>
    <w:rsid w:val="0022238E"/>
    <w:rsid w:val="002223F5"/>
    <w:rsid w:val="002224F0"/>
    <w:rsid w:val="00222771"/>
    <w:rsid w:val="00222D7E"/>
    <w:rsid w:val="00222E05"/>
    <w:rsid w:val="00222E91"/>
    <w:rsid w:val="00222EA6"/>
    <w:rsid w:val="002230A2"/>
    <w:rsid w:val="002230DA"/>
    <w:rsid w:val="00223112"/>
    <w:rsid w:val="002234F1"/>
    <w:rsid w:val="0022361F"/>
    <w:rsid w:val="00223664"/>
    <w:rsid w:val="0022379E"/>
    <w:rsid w:val="00223A56"/>
    <w:rsid w:val="00223B77"/>
    <w:rsid w:val="00223CBA"/>
    <w:rsid w:val="00223E8B"/>
    <w:rsid w:val="002241D5"/>
    <w:rsid w:val="002241DB"/>
    <w:rsid w:val="00224321"/>
    <w:rsid w:val="0022476C"/>
    <w:rsid w:val="002248A0"/>
    <w:rsid w:val="002249B0"/>
    <w:rsid w:val="00224CAE"/>
    <w:rsid w:val="00224EDC"/>
    <w:rsid w:val="00224EFB"/>
    <w:rsid w:val="00224F17"/>
    <w:rsid w:val="002254D9"/>
    <w:rsid w:val="00225833"/>
    <w:rsid w:val="00225919"/>
    <w:rsid w:val="00225947"/>
    <w:rsid w:val="002259DF"/>
    <w:rsid w:val="0022605F"/>
    <w:rsid w:val="00226094"/>
    <w:rsid w:val="00226095"/>
    <w:rsid w:val="00226109"/>
    <w:rsid w:val="002262C3"/>
    <w:rsid w:val="002269A8"/>
    <w:rsid w:val="00226B51"/>
    <w:rsid w:val="00226B54"/>
    <w:rsid w:val="00226CF8"/>
    <w:rsid w:val="00226E00"/>
    <w:rsid w:val="002275B7"/>
    <w:rsid w:val="002275D2"/>
    <w:rsid w:val="00227651"/>
    <w:rsid w:val="00227768"/>
    <w:rsid w:val="00227865"/>
    <w:rsid w:val="00227A3F"/>
    <w:rsid w:val="00227A6B"/>
    <w:rsid w:val="00227A87"/>
    <w:rsid w:val="00227AB8"/>
    <w:rsid w:val="00227B89"/>
    <w:rsid w:val="00227C19"/>
    <w:rsid w:val="00227F43"/>
    <w:rsid w:val="00227F7D"/>
    <w:rsid w:val="00230504"/>
    <w:rsid w:val="0023083F"/>
    <w:rsid w:val="0023095F"/>
    <w:rsid w:val="00231007"/>
    <w:rsid w:val="00231473"/>
    <w:rsid w:val="0023172F"/>
    <w:rsid w:val="002317A4"/>
    <w:rsid w:val="0023182F"/>
    <w:rsid w:val="00231A32"/>
    <w:rsid w:val="00231CA2"/>
    <w:rsid w:val="00231FBE"/>
    <w:rsid w:val="002320ED"/>
    <w:rsid w:val="00232208"/>
    <w:rsid w:val="002324D3"/>
    <w:rsid w:val="002325EC"/>
    <w:rsid w:val="0023267B"/>
    <w:rsid w:val="002327B2"/>
    <w:rsid w:val="002329F5"/>
    <w:rsid w:val="00232A00"/>
    <w:rsid w:val="00232D7E"/>
    <w:rsid w:val="00232DF7"/>
    <w:rsid w:val="002330A3"/>
    <w:rsid w:val="0023328E"/>
    <w:rsid w:val="002332A9"/>
    <w:rsid w:val="002332FD"/>
    <w:rsid w:val="002333A0"/>
    <w:rsid w:val="0023378D"/>
    <w:rsid w:val="00233842"/>
    <w:rsid w:val="00233AC4"/>
    <w:rsid w:val="00233AEA"/>
    <w:rsid w:val="00233D6F"/>
    <w:rsid w:val="00234055"/>
    <w:rsid w:val="002341C3"/>
    <w:rsid w:val="002343D4"/>
    <w:rsid w:val="00234454"/>
    <w:rsid w:val="00234491"/>
    <w:rsid w:val="00234640"/>
    <w:rsid w:val="002349E3"/>
    <w:rsid w:val="00234A86"/>
    <w:rsid w:val="00234B80"/>
    <w:rsid w:val="00234ED4"/>
    <w:rsid w:val="00235237"/>
    <w:rsid w:val="00235298"/>
    <w:rsid w:val="00235353"/>
    <w:rsid w:val="0023551B"/>
    <w:rsid w:val="002356F1"/>
    <w:rsid w:val="002358A6"/>
    <w:rsid w:val="002358AC"/>
    <w:rsid w:val="00235C58"/>
    <w:rsid w:val="00235CE0"/>
    <w:rsid w:val="00235D4F"/>
    <w:rsid w:val="002360B3"/>
    <w:rsid w:val="00236108"/>
    <w:rsid w:val="00236239"/>
    <w:rsid w:val="00236337"/>
    <w:rsid w:val="002363D7"/>
    <w:rsid w:val="002365BD"/>
    <w:rsid w:val="002365C1"/>
    <w:rsid w:val="00236661"/>
    <w:rsid w:val="00236679"/>
    <w:rsid w:val="002367AB"/>
    <w:rsid w:val="002369B0"/>
    <w:rsid w:val="00236AF7"/>
    <w:rsid w:val="00236BCB"/>
    <w:rsid w:val="00236BFB"/>
    <w:rsid w:val="00236CAE"/>
    <w:rsid w:val="00236CEB"/>
    <w:rsid w:val="00236F15"/>
    <w:rsid w:val="00236F54"/>
    <w:rsid w:val="0023718B"/>
    <w:rsid w:val="002372AE"/>
    <w:rsid w:val="002372D8"/>
    <w:rsid w:val="0023732A"/>
    <w:rsid w:val="00237554"/>
    <w:rsid w:val="002375FD"/>
    <w:rsid w:val="002379E7"/>
    <w:rsid w:val="00237AB3"/>
    <w:rsid w:val="00237B45"/>
    <w:rsid w:val="00237BFF"/>
    <w:rsid w:val="00237C88"/>
    <w:rsid w:val="00237D96"/>
    <w:rsid w:val="00237E80"/>
    <w:rsid w:val="00237F5D"/>
    <w:rsid w:val="00240106"/>
    <w:rsid w:val="0024095A"/>
    <w:rsid w:val="00240A57"/>
    <w:rsid w:val="00240E4D"/>
    <w:rsid w:val="00240EF5"/>
    <w:rsid w:val="00240F62"/>
    <w:rsid w:val="00241004"/>
    <w:rsid w:val="002411C7"/>
    <w:rsid w:val="002412B3"/>
    <w:rsid w:val="00241341"/>
    <w:rsid w:val="002413EB"/>
    <w:rsid w:val="002414A2"/>
    <w:rsid w:val="002414E1"/>
    <w:rsid w:val="0024153E"/>
    <w:rsid w:val="002415B7"/>
    <w:rsid w:val="0024168F"/>
    <w:rsid w:val="002416B6"/>
    <w:rsid w:val="002419D4"/>
    <w:rsid w:val="00241C8C"/>
    <w:rsid w:val="00241EE5"/>
    <w:rsid w:val="002420BA"/>
    <w:rsid w:val="0024254C"/>
    <w:rsid w:val="0024261B"/>
    <w:rsid w:val="002426AF"/>
    <w:rsid w:val="00242A08"/>
    <w:rsid w:val="00242ACF"/>
    <w:rsid w:val="00242B41"/>
    <w:rsid w:val="00242BAE"/>
    <w:rsid w:val="00242BEB"/>
    <w:rsid w:val="00242D48"/>
    <w:rsid w:val="00242F4E"/>
    <w:rsid w:val="00242F75"/>
    <w:rsid w:val="0024314C"/>
    <w:rsid w:val="0024321F"/>
    <w:rsid w:val="00243323"/>
    <w:rsid w:val="0024362C"/>
    <w:rsid w:val="00243658"/>
    <w:rsid w:val="00243BA7"/>
    <w:rsid w:val="00243C09"/>
    <w:rsid w:val="00243EA8"/>
    <w:rsid w:val="00243EAF"/>
    <w:rsid w:val="00243FB1"/>
    <w:rsid w:val="00244011"/>
    <w:rsid w:val="00244412"/>
    <w:rsid w:val="00244437"/>
    <w:rsid w:val="0024447E"/>
    <w:rsid w:val="002444E0"/>
    <w:rsid w:val="002449FF"/>
    <w:rsid w:val="00244A5B"/>
    <w:rsid w:val="00244A7A"/>
    <w:rsid w:val="00244D32"/>
    <w:rsid w:val="00245009"/>
    <w:rsid w:val="00245143"/>
    <w:rsid w:val="002452A0"/>
    <w:rsid w:val="002456CA"/>
    <w:rsid w:val="002457AB"/>
    <w:rsid w:val="002457DE"/>
    <w:rsid w:val="002458BD"/>
    <w:rsid w:val="0024591A"/>
    <w:rsid w:val="00245A4E"/>
    <w:rsid w:val="00245EAC"/>
    <w:rsid w:val="002460C2"/>
    <w:rsid w:val="002460FB"/>
    <w:rsid w:val="002461AE"/>
    <w:rsid w:val="0024632F"/>
    <w:rsid w:val="002463A6"/>
    <w:rsid w:val="002464CB"/>
    <w:rsid w:val="00246683"/>
    <w:rsid w:val="002466C3"/>
    <w:rsid w:val="002466CC"/>
    <w:rsid w:val="002467B6"/>
    <w:rsid w:val="00246852"/>
    <w:rsid w:val="002469E0"/>
    <w:rsid w:val="00246A3F"/>
    <w:rsid w:val="00246ADB"/>
    <w:rsid w:val="002470B6"/>
    <w:rsid w:val="00247168"/>
    <w:rsid w:val="00247282"/>
    <w:rsid w:val="002472FD"/>
    <w:rsid w:val="002473B9"/>
    <w:rsid w:val="002475B2"/>
    <w:rsid w:val="002475C8"/>
    <w:rsid w:val="00247A4A"/>
    <w:rsid w:val="00247D1D"/>
    <w:rsid w:val="00247F7A"/>
    <w:rsid w:val="0025009B"/>
    <w:rsid w:val="002501E4"/>
    <w:rsid w:val="0025021C"/>
    <w:rsid w:val="002502B0"/>
    <w:rsid w:val="00250593"/>
    <w:rsid w:val="002505AB"/>
    <w:rsid w:val="0025077E"/>
    <w:rsid w:val="00250A50"/>
    <w:rsid w:val="00250B3F"/>
    <w:rsid w:val="00250FA4"/>
    <w:rsid w:val="002511D7"/>
    <w:rsid w:val="002512F5"/>
    <w:rsid w:val="0025143C"/>
    <w:rsid w:val="0025173C"/>
    <w:rsid w:val="002517A5"/>
    <w:rsid w:val="00251955"/>
    <w:rsid w:val="00251CD6"/>
    <w:rsid w:val="00251D26"/>
    <w:rsid w:val="00251DB1"/>
    <w:rsid w:val="00251F6C"/>
    <w:rsid w:val="00251FBE"/>
    <w:rsid w:val="0025237C"/>
    <w:rsid w:val="0025249C"/>
    <w:rsid w:val="00252686"/>
    <w:rsid w:val="0025270E"/>
    <w:rsid w:val="00252770"/>
    <w:rsid w:val="00252778"/>
    <w:rsid w:val="00252821"/>
    <w:rsid w:val="002528C3"/>
    <w:rsid w:val="00252A06"/>
    <w:rsid w:val="00252A73"/>
    <w:rsid w:val="00252E4F"/>
    <w:rsid w:val="00252F6C"/>
    <w:rsid w:val="002530E6"/>
    <w:rsid w:val="00253109"/>
    <w:rsid w:val="00253147"/>
    <w:rsid w:val="0025318C"/>
    <w:rsid w:val="002535A0"/>
    <w:rsid w:val="00253731"/>
    <w:rsid w:val="00253759"/>
    <w:rsid w:val="00253948"/>
    <w:rsid w:val="002539ED"/>
    <w:rsid w:val="00253A2C"/>
    <w:rsid w:val="00253A8A"/>
    <w:rsid w:val="00253D98"/>
    <w:rsid w:val="00253FC9"/>
    <w:rsid w:val="0025425B"/>
    <w:rsid w:val="0025434F"/>
    <w:rsid w:val="0025440D"/>
    <w:rsid w:val="002544BE"/>
    <w:rsid w:val="002544EE"/>
    <w:rsid w:val="0025450E"/>
    <w:rsid w:val="00254559"/>
    <w:rsid w:val="00254738"/>
    <w:rsid w:val="00254932"/>
    <w:rsid w:val="00254D4A"/>
    <w:rsid w:val="00255036"/>
    <w:rsid w:val="00255152"/>
    <w:rsid w:val="002551A5"/>
    <w:rsid w:val="0025549C"/>
    <w:rsid w:val="0025554E"/>
    <w:rsid w:val="0025589C"/>
    <w:rsid w:val="00255917"/>
    <w:rsid w:val="0025593A"/>
    <w:rsid w:val="00255BA8"/>
    <w:rsid w:val="0025602A"/>
    <w:rsid w:val="002562CD"/>
    <w:rsid w:val="0025650C"/>
    <w:rsid w:val="00256721"/>
    <w:rsid w:val="002567E9"/>
    <w:rsid w:val="00256915"/>
    <w:rsid w:val="002569E2"/>
    <w:rsid w:val="00256BB2"/>
    <w:rsid w:val="00256C48"/>
    <w:rsid w:val="00257374"/>
    <w:rsid w:val="00257493"/>
    <w:rsid w:val="002575C2"/>
    <w:rsid w:val="002575E9"/>
    <w:rsid w:val="0025789C"/>
    <w:rsid w:val="002579DC"/>
    <w:rsid w:val="00257A45"/>
    <w:rsid w:val="00257AD8"/>
    <w:rsid w:val="00257B02"/>
    <w:rsid w:val="00257B76"/>
    <w:rsid w:val="00257BCC"/>
    <w:rsid w:val="00257CA9"/>
    <w:rsid w:val="0026028D"/>
    <w:rsid w:val="00260292"/>
    <w:rsid w:val="00260497"/>
    <w:rsid w:val="002604CF"/>
    <w:rsid w:val="002605A0"/>
    <w:rsid w:val="002606C8"/>
    <w:rsid w:val="00260A57"/>
    <w:rsid w:val="00260AD3"/>
    <w:rsid w:val="00260BB9"/>
    <w:rsid w:val="00260CFD"/>
    <w:rsid w:val="00260DA7"/>
    <w:rsid w:val="0026102E"/>
    <w:rsid w:val="002610C9"/>
    <w:rsid w:val="00261211"/>
    <w:rsid w:val="00261283"/>
    <w:rsid w:val="0026195E"/>
    <w:rsid w:val="00261C3F"/>
    <w:rsid w:val="00261D37"/>
    <w:rsid w:val="00261E9D"/>
    <w:rsid w:val="00261FB6"/>
    <w:rsid w:val="00262120"/>
    <w:rsid w:val="002624B6"/>
    <w:rsid w:val="00262503"/>
    <w:rsid w:val="00262899"/>
    <w:rsid w:val="0026294B"/>
    <w:rsid w:val="00262B3E"/>
    <w:rsid w:val="00262EED"/>
    <w:rsid w:val="00262FA1"/>
    <w:rsid w:val="00263216"/>
    <w:rsid w:val="00263221"/>
    <w:rsid w:val="0026334D"/>
    <w:rsid w:val="002634DC"/>
    <w:rsid w:val="00263704"/>
    <w:rsid w:val="002638F4"/>
    <w:rsid w:val="00263A57"/>
    <w:rsid w:val="00263E61"/>
    <w:rsid w:val="00263E9A"/>
    <w:rsid w:val="00263EB9"/>
    <w:rsid w:val="00264444"/>
    <w:rsid w:val="00264679"/>
    <w:rsid w:val="00264933"/>
    <w:rsid w:val="00264944"/>
    <w:rsid w:val="002649C4"/>
    <w:rsid w:val="00264C3D"/>
    <w:rsid w:val="00264E8F"/>
    <w:rsid w:val="002651C0"/>
    <w:rsid w:val="00265495"/>
    <w:rsid w:val="00265D23"/>
    <w:rsid w:val="00265DAA"/>
    <w:rsid w:val="00266139"/>
    <w:rsid w:val="0026636F"/>
    <w:rsid w:val="0026652A"/>
    <w:rsid w:val="00266574"/>
    <w:rsid w:val="00266650"/>
    <w:rsid w:val="002666F7"/>
    <w:rsid w:val="00266706"/>
    <w:rsid w:val="0026672E"/>
    <w:rsid w:val="002667AF"/>
    <w:rsid w:val="00266823"/>
    <w:rsid w:val="00266867"/>
    <w:rsid w:val="00266B50"/>
    <w:rsid w:val="00266BA7"/>
    <w:rsid w:val="00266C48"/>
    <w:rsid w:val="00266F2C"/>
    <w:rsid w:val="002671D4"/>
    <w:rsid w:val="002671F7"/>
    <w:rsid w:val="00267235"/>
    <w:rsid w:val="0026736F"/>
    <w:rsid w:val="002674FA"/>
    <w:rsid w:val="002674FF"/>
    <w:rsid w:val="002675E2"/>
    <w:rsid w:val="0026761E"/>
    <w:rsid w:val="00267791"/>
    <w:rsid w:val="002677A2"/>
    <w:rsid w:val="00267888"/>
    <w:rsid w:val="002679CF"/>
    <w:rsid w:val="00267BCE"/>
    <w:rsid w:val="00267C55"/>
    <w:rsid w:val="00267CA1"/>
    <w:rsid w:val="00267CCF"/>
    <w:rsid w:val="00267D7F"/>
    <w:rsid w:val="0027001C"/>
    <w:rsid w:val="00270034"/>
    <w:rsid w:val="00270325"/>
    <w:rsid w:val="00270402"/>
    <w:rsid w:val="002705DA"/>
    <w:rsid w:val="002709F4"/>
    <w:rsid w:val="00270C01"/>
    <w:rsid w:val="00270C03"/>
    <w:rsid w:val="00270C21"/>
    <w:rsid w:val="00270E65"/>
    <w:rsid w:val="00270ECC"/>
    <w:rsid w:val="00271100"/>
    <w:rsid w:val="0027116B"/>
    <w:rsid w:val="002711BA"/>
    <w:rsid w:val="002713CF"/>
    <w:rsid w:val="002714AB"/>
    <w:rsid w:val="002715C4"/>
    <w:rsid w:val="0027160C"/>
    <w:rsid w:val="00271A33"/>
    <w:rsid w:val="00271F36"/>
    <w:rsid w:val="002721E5"/>
    <w:rsid w:val="00272341"/>
    <w:rsid w:val="002724A5"/>
    <w:rsid w:val="00272643"/>
    <w:rsid w:val="002726BF"/>
    <w:rsid w:val="0027293C"/>
    <w:rsid w:val="00272A79"/>
    <w:rsid w:val="00272B6E"/>
    <w:rsid w:val="00272C39"/>
    <w:rsid w:val="00272C68"/>
    <w:rsid w:val="00272CC0"/>
    <w:rsid w:val="00272D31"/>
    <w:rsid w:val="002738C7"/>
    <w:rsid w:val="0027397A"/>
    <w:rsid w:val="00273A96"/>
    <w:rsid w:val="00273B62"/>
    <w:rsid w:val="00273BB0"/>
    <w:rsid w:val="00273BC0"/>
    <w:rsid w:val="00273BC1"/>
    <w:rsid w:val="00273F75"/>
    <w:rsid w:val="00274006"/>
    <w:rsid w:val="00274042"/>
    <w:rsid w:val="0027418B"/>
    <w:rsid w:val="002741A5"/>
    <w:rsid w:val="002741DD"/>
    <w:rsid w:val="00274472"/>
    <w:rsid w:val="002744DB"/>
    <w:rsid w:val="00274504"/>
    <w:rsid w:val="00274611"/>
    <w:rsid w:val="0027464B"/>
    <w:rsid w:val="002746BA"/>
    <w:rsid w:val="00274784"/>
    <w:rsid w:val="002747E8"/>
    <w:rsid w:val="00274B81"/>
    <w:rsid w:val="0027519F"/>
    <w:rsid w:val="002751B0"/>
    <w:rsid w:val="002751D1"/>
    <w:rsid w:val="00275209"/>
    <w:rsid w:val="00275210"/>
    <w:rsid w:val="00275303"/>
    <w:rsid w:val="00275313"/>
    <w:rsid w:val="002754BC"/>
    <w:rsid w:val="002758CB"/>
    <w:rsid w:val="00275A8D"/>
    <w:rsid w:val="00275BCB"/>
    <w:rsid w:val="00275DF9"/>
    <w:rsid w:val="00275EC9"/>
    <w:rsid w:val="00275F6A"/>
    <w:rsid w:val="0027664E"/>
    <w:rsid w:val="002767D4"/>
    <w:rsid w:val="00276910"/>
    <w:rsid w:val="00276BAD"/>
    <w:rsid w:val="00276BD2"/>
    <w:rsid w:val="00276F37"/>
    <w:rsid w:val="002770D1"/>
    <w:rsid w:val="00277437"/>
    <w:rsid w:val="00277452"/>
    <w:rsid w:val="002775A1"/>
    <w:rsid w:val="0027760D"/>
    <w:rsid w:val="00277661"/>
    <w:rsid w:val="0027794E"/>
    <w:rsid w:val="00277ABA"/>
    <w:rsid w:val="00280116"/>
    <w:rsid w:val="002801D0"/>
    <w:rsid w:val="0028025B"/>
    <w:rsid w:val="002803CC"/>
    <w:rsid w:val="002805A9"/>
    <w:rsid w:val="002806F9"/>
    <w:rsid w:val="00280812"/>
    <w:rsid w:val="00280E60"/>
    <w:rsid w:val="00280E9D"/>
    <w:rsid w:val="00280E9F"/>
    <w:rsid w:val="00281229"/>
    <w:rsid w:val="00281971"/>
    <w:rsid w:val="00281ADF"/>
    <w:rsid w:val="00281D46"/>
    <w:rsid w:val="00281DA5"/>
    <w:rsid w:val="00281ED8"/>
    <w:rsid w:val="00282042"/>
    <w:rsid w:val="002821BF"/>
    <w:rsid w:val="002821D6"/>
    <w:rsid w:val="002821DE"/>
    <w:rsid w:val="00282496"/>
    <w:rsid w:val="002824AA"/>
    <w:rsid w:val="00282566"/>
    <w:rsid w:val="00282989"/>
    <w:rsid w:val="00282B3C"/>
    <w:rsid w:val="00282EB8"/>
    <w:rsid w:val="00283039"/>
    <w:rsid w:val="002830A0"/>
    <w:rsid w:val="002830EA"/>
    <w:rsid w:val="00283232"/>
    <w:rsid w:val="00283258"/>
    <w:rsid w:val="00283559"/>
    <w:rsid w:val="0028376A"/>
    <w:rsid w:val="00283AE6"/>
    <w:rsid w:val="00284107"/>
    <w:rsid w:val="00284340"/>
    <w:rsid w:val="002849BF"/>
    <w:rsid w:val="00284A18"/>
    <w:rsid w:val="00284B39"/>
    <w:rsid w:val="00284B4E"/>
    <w:rsid w:val="00284F40"/>
    <w:rsid w:val="00285147"/>
    <w:rsid w:val="002851AF"/>
    <w:rsid w:val="002852C1"/>
    <w:rsid w:val="002858A4"/>
    <w:rsid w:val="00285ADA"/>
    <w:rsid w:val="00285AFA"/>
    <w:rsid w:val="00285ED8"/>
    <w:rsid w:val="002861B7"/>
    <w:rsid w:val="002864A1"/>
    <w:rsid w:val="002864BE"/>
    <w:rsid w:val="00286578"/>
    <w:rsid w:val="002868E7"/>
    <w:rsid w:val="002869CE"/>
    <w:rsid w:val="00286B68"/>
    <w:rsid w:val="00286CD7"/>
    <w:rsid w:val="00287044"/>
    <w:rsid w:val="00287267"/>
    <w:rsid w:val="00287404"/>
    <w:rsid w:val="0028751F"/>
    <w:rsid w:val="00287609"/>
    <w:rsid w:val="00287781"/>
    <w:rsid w:val="00287832"/>
    <w:rsid w:val="00287885"/>
    <w:rsid w:val="00287936"/>
    <w:rsid w:val="00287C98"/>
    <w:rsid w:val="00287D2E"/>
    <w:rsid w:val="00287E21"/>
    <w:rsid w:val="00287E78"/>
    <w:rsid w:val="00287F99"/>
    <w:rsid w:val="002901C5"/>
    <w:rsid w:val="002903E5"/>
    <w:rsid w:val="00290461"/>
    <w:rsid w:val="00290562"/>
    <w:rsid w:val="0029056C"/>
    <w:rsid w:val="00290676"/>
    <w:rsid w:val="00290817"/>
    <w:rsid w:val="00290965"/>
    <w:rsid w:val="00290A3F"/>
    <w:rsid w:val="00290B50"/>
    <w:rsid w:val="00290C40"/>
    <w:rsid w:val="00290C9F"/>
    <w:rsid w:val="00291019"/>
    <w:rsid w:val="00291120"/>
    <w:rsid w:val="002911AC"/>
    <w:rsid w:val="002912CE"/>
    <w:rsid w:val="00291413"/>
    <w:rsid w:val="00291462"/>
    <w:rsid w:val="0029152B"/>
    <w:rsid w:val="00291572"/>
    <w:rsid w:val="00291771"/>
    <w:rsid w:val="002917A9"/>
    <w:rsid w:val="00291904"/>
    <w:rsid w:val="00291AED"/>
    <w:rsid w:val="00291B9C"/>
    <w:rsid w:val="00291ECE"/>
    <w:rsid w:val="00291EF9"/>
    <w:rsid w:val="00292007"/>
    <w:rsid w:val="00292013"/>
    <w:rsid w:val="00292025"/>
    <w:rsid w:val="002920F6"/>
    <w:rsid w:val="00292290"/>
    <w:rsid w:val="0029241D"/>
    <w:rsid w:val="00292431"/>
    <w:rsid w:val="002924D1"/>
    <w:rsid w:val="00292686"/>
    <w:rsid w:val="002926D6"/>
    <w:rsid w:val="00292801"/>
    <w:rsid w:val="002928D7"/>
    <w:rsid w:val="00292995"/>
    <w:rsid w:val="00292A63"/>
    <w:rsid w:val="00292B82"/>
    <w:rsid w:val="00292D60"/>
    <w:rsid w:val="00292D68"/>
    <w:rsid w:val="00292D8B"/>
    <w:rsid w:val="00292E09"/>
    <w:rsid w:val="0029321C"/>
    <w:rsid w:val="002933D4"/>
    <w:rsid w:val="00293ACA"/>
    <w:rsid w:val="00293DE2"/>
    <w:rsid w:val="00293FC8"/>
    <w:rsid w:val="00294092"/>
    <w:rsid w:val="002940A3"/>
    <w:rsid w:val="002940C2"/>
    <w:rsid w:val="00294498"/>
    <w:rsid w:val="00294711"/>
    <w:rsid w:val="00294768"/>
    <w:rsid w:val="00294822"/>
    <w:rsid w:val="0029490B"/>
    <w:rsid w:val="002949BC"/>
    <w:rsid w:val="00294A57"/>
    <w:rsid w:val="00294AD1"/>
    <w:rsid w:val="00294C43"/>
    <w:rsid w:val="00294FF2"/>
    <w:rsid w:val="002950B2"/>
    <w:rsid w:val="00295275"/>
    <w:rsid w:val="002952A3"/>
    <w:rsid w:val="0029548E"/>
    <w:rsid w:val="002954BC"/>
    <w:rsid w:val="00295533"/>
    <w:rsid w:val="002958FD"/>
    <w:rsid w:val="0029590B"/>
    <w:rsid w:val="002959F1"/>
    <w:rsid w:val="00295BCB"/>
    <w:rsid w:val="002962EA"/>
    <w:rsid w:val="00296485"/>
    <w:rsid w:val="002966C1"/>
    <w:rsid w:val="002967C0"/>
    <w:rsid w:val="002967FF"/>
    <w:rsid w:val="002968CC"/>
    <w:rsid w:val="00296AF3"/>
    <w:rsid w:val="00296B65"/>
    <w:rsid w:val="00296F0B"/>
    <w:rsid w:val="002970A4"/>
    <w:rsid w:val="0029720F"/>
    <w:rsid w:val="002974FE"/>
    <w:rsid w:val="0029757E"/>
    <w:rsid w:val="00297AF1"/>
    <w:rsid w:val="00297C9A"/>
    <w:rsid w:val="00297E22"/>
    <w:rsid w:val="00297FC1"/>
    <w:rsid w:val="002A0103"/>
    <w:rsid w:val="002A024D"/>
    <w:rsid w:val="002A02DC"/>
    <w:rsid w:val="002A04B4"/>
    <w:rsid w:val="002A0527"/>
    <w:rsid w:val="002A0575"/>
    <w:rsid w:val="002A063E"/>
    <w:rsid w:val="002A06D0"/>
    <w:rsid w:val="002A07E5"/>
    <w:rsid w:val="002A07FC"/>
    <w:rsid w:val="002A097C"/>
    <w:rsid w:val="002A0980"/>
    <w:rsid w:val="002A0B70"/>
    <w:rsid w:val="002A0B96"/>
    <w:rsid w:val="002A0F18"/>
    <w:rsid w:val="002A0F6C"/>
    <w:rsid w:val="002A11B5"/>
    <w:rsid w:val="002A127A"/>
    <w:rsid w:val="002A1422"/>
    <w:rsid w:val="002A145B"/>
    <w:rsid w:val="002A15E0"/>
    <w:rsid w:val="002A17D1"/>
    <w:rsid w:val="002A189A"/>
    <w:rsid w:val="002A18BE"/>
    <w:rsid w:val="002A18E6"/>
    <w:rsid w:val="002A1931"/>
    <w:rsid w:val="002A1A57"/>
    <w:rsid w:val="002A1B5E"/>
    <w:rsid w:val="002A2212"/>
    <w:rsid w:val="002A24CE"/>
    <w:rsid w:val="002A2501"/>
    <w:rsid w:val="002A25C9"/>
    <w:rsid w:val="002A264C"/>
    <w:rsid w:val="002A2814"/>
    <w:rsid w:val="002A287D"/>
    <w:rsid w:val="002A2950"/>
    <w:rsid w:val="002A2B4B"/>
    <w:rsid w:val="002A2B56"/>
    <w:rsid w:val="002A2BD7"/>
    <w:rsid w:val="002A2BFE"/>
    <w:rsid w:val="002A2CA4"/>
    <w:rsid w:val="002A2E30"/>
    <w:rsid w:val="002A2F57"/>
    <w:rsid w:val="002A3458"/>
    <w:rsid w:val="002A35AF"/>
    <w:rsid w:val="002A3637"/>
    <w:rsid w:val="002A36F6"/>
    <w:rsid w:val="002A37B4"/>
    <w:rsid w:val="002A4084"/>
    <w:rsid w:val="002A40C0"/>
    <w:rsid w:val="002A43EC"/>
    <w:rsid w:val="002A4471"/>
    <w:rsid w:val="002A447D"/>
    <w:rsid w:val="002A4630"/>
    <w:rsid w:val="002A463E"/>
    <w:rsid w:val="002A469D"/>
    <w:rsid w:val="002A4982"/>
    <w:rsid w:val="002A4AD6"/>
    <w:rsid w:val="002A4BC9"/>
    <w:rsid w:val="002A4C6B"/>
    <w:rsid w:val="002A5023"/>
    <w:rsid w:val="002A56BD"/>
    <w:rsid w:val="002A579B"/>
    <w:rsid w:val="002A5885"/>
    <w:rsid w:val="002A5957"/>
    <w:rsid w:val="002A5A68"/>
    <w:rsid w:val="002A5B07"/>
    <w:rsid w:val="002A5BB7"/>
    <w:rsid w:val="002A5C54"/>
    <w:rsid w:val="002A5CC7"/>
    <w:rsid w:val="002A5E2A"/>
    <w:rsid w:val="002A5FE0"/>
    <w:rsid w:val="002A6024"/>
    <w:rsid w:val="002A62EA"/>
    <w:rsid w:val="002A64E2"/>
    <w:rsid w:val="002A6A18"/>
    <w:rsid w:val="002A6A50"/>
    <w:rsid w:val="002A6CC5"/>
    <w:rsid w:val="002A7196"/>
    <w:rsid w:val="002A7216"/>
    <w:rsid w:val="002A750E"/>
    <w:rsid w:val="002A76AE"/>
    <w:rsid w:val="002A79B1"/>
    <w:rsid w:val="002A79BF"/>
    <w:rsid w:val="002A79F3"/>
    <w:rsid w:val="002A7B1A"/>
    <w:rsid w:val="002A7C4F"/>
    <w:rsid w:val="002A7C50"/>
    <w:rsid w:val="002A7C74"/>
    <w:rsid w:val="002A7CAB"/>
    <w:rsid w:val="002A7CD1"/>
    <w:rsid w:val="002A7D49"/>
    <w:rsid w:val="002A7F24"/>
    <w:rsid w:val="002B020D"/>
    <w:rsid w:val="002B049B"/>
    <w:rsid w:val="002B0500"/>
    <w:rsid w:val="002B0742"/>
    <w:rsid w:val="002B07F2"/>
    <w:rsid w:val="002B090F"/>
    <w:rsid w:val="002B0FDA"/>
    <w:rsid w:val="002B1157"/>
    <w:rsid w:val="002B1384"/>
    <w:rsid w:val="002B1B71"/>
    <w:rsid w:val="002B1D98"/>
    <w:rsid w:val="002B1F93"/>
    <w:rsid w:val="002B1FFA"/>
    <w:rsid w:val="002B20CC"/>
    <w:rsid w:val="002B20DF"/>
    <w:rsid w:val="002B23D7"/>
    <w:rsid w:val="002B23DA"/>
    <w:rsid w:val="002B2B63"/>
    <w:rsid w:val="002B2B8C"/>
    <w:rsid w:val="002B2D67"/>
    <w:rsid w:val="002B2F0E"/>
    <w:rsid w:val="002B2F65"/>
    <w:rsid w:val="002B32D0"/>
    <w:rsid w:val="002B3334"/>
    <w:rsid w:val="002B33C3"/>
    <w:rsid w:val="002B34F9"/>
    <w:rsid w:val="002B34FC"/>
    <w:rsid w:val="002B3681"/>
    <w:rsid w:val="002B38BE"/>
    <w:rsid w:val="002B3AB3"/>
    <w:rsid w:val="002B3AF1"/>
    <w:rsid w:val="002B3B40"/>
    <w:rsid w:val="002B3EBA"/>
    <w:rsid w:val="002B3EEC"/>
    <w:rsid w:val="002B3EFF"/>
    <w:rsid w:val="002B3FD0"/>
    <w:rsid w:val="002B4161"/>
    <w:rsid w:val="002B4488"/>
    <w:rsid w:val="002B452A"/>
    <w:rsid w:val="002B4634"/>
    <w:rsid w:val="002B4778"/>
    <w:rsid w:val="002B4971"/>
    <w:rsid w:val="002B49C7"/>
    <w:rsid w:val="002B4C66"/>
    <w:rsid w:val="002B516A"/>
    <w:rsid w:val="002B546D"/>
    <w:rsid w:val="002B5558"/>
    <w:rsid w:val="002B55AD"/>
    <w:rsid w:val="002B5653"/>
    <w:rsid w:val="002B592D"/>
    <w:rsid w:val="002B59B6"/>
    <w:rsid w:val="002B59DD"/>
    <w:rsid w:val="002B5B14"/>
    <w:rsid w:val="002B5B48"/>
    <w:rsid w:val="002B5FBD"/>
    <w:rsid w:val="002B6477"/>
    <w:rsid w:val="002B667C"/>
    <w:rsid w:val="002B66DD"/>
    <w:rsid w:val="002B6707"/>
    <w:rsid w:val="002B6930"/>
    <w:rsid w:val="002B6A26"/>
    <w:rsid w:val="002B6A64"/>
    <w:rsid w:val="002B6BF5"/>
    <w:rsid w:val="002B6C20"/>
    <w:rsid w:val="002B6D1C"/>
    <w:rsid w:val="002B6EA1"/>
    <w:rsid w:val="002B6EB9"/>
    <w:rsid w:val="002B70A5"/>
    <w:rsid w:val="002B716B"/>
    <w:rsid w:val="002B7349"/>
    <w:rsid w:val="002B75BF"/>
    <w:rsid w:val="002B7699"/>
    <w:rsid w:val="002B773C"/>
    <w:rsid w:val="002B77A4"/>
    <w:rsid w:val="002B7889"/>
    <w:rsid w:val="002B791C"/>
    <w:rsid w:val="002B79A0"/>
    <w:rsid w:val="002B7CAC"/>
    <w:rsid w:val="002B7D3C"/>
    <w:rsid w:val="002C0099"/>
    <w:rsid w:val="002C0147"/>
    <w:rsid w:val="002C02EB"/>
    <w:rsid w:val="002C05DE"/>
    <w:rsid w:val="002C0DC8"/>
    <w:rsid w:val="002C110C"/>
    <w:rsid w:val="002C11CA"/>
    <w:rsid w:val="002C1261"/>
    <w:rsid w:val="002C146C"/>
    <w:rsid w:val="002C15E1"/>
    <w:rsid w:val="002C1D2E"/>
    <w:rsid w:val="002C1D52"/>
    <w:rsid w:val="002C1EC0"/>
    <w:rsid w:val="002C2018"/>
    <w:rsid w:val="002C202E"/>
    <w:rsid w:val="002C20E7"/>
    <w:rsid w:val="002C2164"/>
    <w:rsid w:val="002C2343"/>
    <w:rsid w:val="002C269D"/>
    <w:rsid w:val="002C27A9"/>
    <w:rsid w:val="002C2AB9"/>
    <w:rsid w:val="002C2AF5"/>
    <w:rsid w:val="002C2B24"/>
    <w:rsid w:val="002C2BBD"/>
    <w:rsid w:val="002C2F5E"/>
    <w:rsid w:val="002C3256"/>
    <w:rsid w:val="002C3322"/>
    <w:rsid w:val="002C33A3"/>
    <w:rsid w:val="002C3453"/>
    <w:rsid w:val="002C3468"/>
    <w:rsid w:val="002C37B5"/>
    <w:rsid w:val="002C37F0"/>
    <w:rsid w:val="002C38F1"/>
    <w:rsid w:val="002C3C01"/>
    <w:rsid w:val="002C3C41"/>
    <w:rsid w:val="002C3C4F"/>
    <w:rsid w:val="002C3C7B"/>
    <w:rsid w:val="002C3DC6"/>
    <w:rsid w:val="002C4016"/>
    <w:rsid w:val="002C4199"/>
    <w:rsid w:val="002C42BF"/>
    <w:rsid w:val="002C4355"/>
    <w:rsid w:val="002C4439"/>
    <w:rsid w:val="002C44D1"/>
    <w:rsid w:val="002C453A"/>
    <w:rsid w:val="002C454D"/>
    <w:rsid w:val="002C45E8"/>
    <w:rsid w:val="002C46B4"/>
    <w:rsid w:val="002C47EF"/>
    <w:rsid w:val="002C4A79"/>
    <w:rsid w:val="002C5255"/>
    <w:rsid w:val="002C52B3"/>
    <w:rsid w:val="002C53B0"/>
    <w:rsid w:val="002C5450"/>
    <w:rsid w:val="002C54F6"/>
    <w:rsid w:val="002C567A"/>
    <w:rsid w:val="002C5725"/>
    <w:rsid w:val="002C5795"/>
    <w:rsid w:val="002C58E7"/>
    <w:rsid w:val="002C5978"/>
    <w:rsid w:val="002C59CC"/>
    <w:rsid w:val="002C60EC"/>
    <w:rsid w:val="002C624F"/>
    <w:rsid w:val="002C627F"/>
    <w:rsid w:val="002C6424"/>
    <w:rsid w:val="002C68A0"/>
    <w:rsid w:val="002C694C"/>
    <w:rsid w:val="002C6A7A"/>
    <w:rsid w:val="002C6B04"/>
    <w:rsid w:val="002C6B15"/>
    <w:rsid w:val="002C6B19"/>
    <w:rsid w:val="002C6E98"/>
    <w:rsid w:val="002C70CE"/>
    <w:rsid w:val="002C717C"/>
    <w:rsid w:val="002C7969"/>
    <w:rsid w:val="002C79AD"/>
    <w:rsid w:val="002C7A28"/>
    <w:rsid w:val="002C7CEF"/>
    <w:rsid w:val="002C7D7F"/>
    <w:rsid w:val="002C7E56"/>
    <w:rsid w:val="002D002C"/>
    <w:rsid w:val="002D0070"/>
    <w:rsid w:val="002D01BC"/>
    <w:rsid w:val="002D0568"/>
    <w:rsid w:val="002D0617"/>
    <w:rsid w:val="002D080E"/>
    <w:rsid w:val="002D09BF"/>
    <w:rsid w:val="002D09E7"/>
    <w:rsid w:val="002D0A2E"/>
    <w:rsid w:val="002D0C05"/>
    <w:rsid w:val="002D0DC2"/>
    <w:rsid w:val="002D0E5D"/>
    <w:rsid w:val="002D0F1E"/>
    <w:rsid w:val="002D0F7D"/>
    <w:rsid w:val="002D1199"/>
    <w:rsid w:val="002D12FD"/>
    <w:rsid w:val="002D15A9"/>
    <w:rsid w:val="002D16A2"/>
    <w:rsid w:val="002D1771"/>
    <w:rsid w:val="002D1812"/>
    <w:rsid w:val="002D197E"/>
    <w:rsid w:val="002D1A9B"/>
    <w:rsid w:val="002D1E0D"/>
    <w:rsid w:val="002D1E76"/>
    <w:rsid w:val="002D206D"/>
    <w:rsid w:val="002D26EC"/>
    <w:rsid w:val="002D26F5"/>
    <w:rsid w:val="002D295C"/>
    <w:rsid w:val="002D2A20"/>
    <w:rsid w:val="002D2B0B"/>
    <w:rsid w:val="002D2C4C"/>
    <w:rsid w:val="002D2C4F"/>
    <w:rsid w:val="002D2C8D"/>
    <w:rsid w:val="002D2E8C"/>
    <w:rsid w:val="002D3127"/>
    <w:rsid w:val="002D3151"/>
    <w:rsid w:val="002D3223"/>
    <w:rsid w:val="002D370A"/>
    <w:rsid w:val="002D3C32"/>
    <w:rsid w:val="002D3C98"/>
    <w:rsid w:val="002D3CA9"/>
    <w:rsid w:val="002D3CB1"/>
    <w:rsid w:val="002D3DA1"/>
    <w:rsid w:val="002D3EA5"/>
    <w:rsid w:val="002D4359"/>
    <w:rsid w:val="002D43B9"/>
    <w:rsid w:val="002D44E0"/>
    <w:rsid w:val="002D455E"/>
    <w:rsid w:val="002D4630"/>
    <w:rsid w:val="002D4726"/>
    <w:rsid w:val="002D4873"/>
    <w:rsid w:val="002D4959"/>
    <w:rsid w:val="002D4A29"/>
    <w:rsid w:val="002D4B35"/>
    <w:rsid w:val="002D4C36"/>
    <w:rsid w:val="002D4DB7"/>
    <w:rsid w:val="002D4E47"/>
    <w:rsid w:val="002D4F78"/>
    <w:rsid w:val="002D5097"/>
    <w:rsid w:val="002D538F"/>
    <w:rsid w:val="002D5393"/>
    <w:rsid w:val="002D54FE"/>
    <w:rsid w:val="002D5510"/>
    <w:rsid w:val="002D55BE"/>
    <w:rsid w:val="002D55E4"/>
    <w:rsid w:val="002D58F6"/>
    <w:rsid w:val="002D5B8F"/>
    <w:rsid w:val="002D5D3F"/>
    <w:rsid w:val="002D5D74"/>
    <w:rsid w:val="002D6215"/>
    <w:rsid w:val="002D65C3"/>
    <w:rsid w:val="002D690D"/>
    <w:rsid w:val="002D6954"/>
    <w:rsid w:val="002D699B"/>
    <w:rsid w:val="002D6CBE"/>
    <w:rsid w:val="002D6FE1"/>
    <w:rsid w:val="002D702D"/>
    <w:rsid w:val="002D7032"/>
    <w:rsid w:val="002D765A"/>
    <w:rsid w:val="002D7849"/>
    <w:rsid w:val="002D7864"/>
    <w:rsid w:val="002D7A5E"/>
    <w:rsid w:val="002D7B28"/>
    <w:rsid w:val="002D7B35"/>
    <w:rsid w:val="002D7D15"/>
    <w:rsid w:val="002D7E32"/>
    <w:rsid w:val="002D7F2D"/>
    <w:rsid w:val="002D7F48"/>
    <w:rsid w:val="002E00C8"/>
    <w:rsid w:val="002E04B2"/>
    <w:rsid w:val="002E0678"/>
    <w:rsid w:val="002E0746"/>
    <w:rsid w:val="002E085E"/>
    <w:rsid w:val="002E08DF"/>
    <w:rsid w:val="002E0B13"/>
    <w:rsid w:val="002E1115"/>
    <w:rsid w:val="002E1271"/>
    <w:rsid w:val="002E12BC"/>
    <w:rsid w:val="002E1402"/>
    <w:rsid w:val="002E148E"/>
    <w:rsid w:val="002E17B6"/>
    <w:rsid w:val="002E188A"/>
    <w:rsid w:val="002E1CAC"/>
    <w:rsid w:val="002E1D01"/>
    <w:rsid w:val="002E2120"/>
    <w:rsid w:val="002E21E6"/>
    <w:rsid w:val="002E2315"/>
    <w:rsid w:val="002E256D"/>
    <w:rsid w:val="002E27DA"/>
    <w:rsid w:val="002E281D"/>
    <w:rsid w:val="002E2838"/>
    <w:rsid w:val="002E2ECA"/>
    <w:rsid w:val="002E2F49"/>
    <w:rsid w:val="002E327E"/>
    <w:rsid w:val="002E3309"/>
    <w:rsid w:val="002E333D"/>
    <w:rsid w:val="002E347E"/>
    <w:rsid w:val="002E358A"/>
    <w:rsid w:val="002E35C8"/>
    <w:rsid w:val="002E361B"/>
    <w:rsid w:val="002E36C9"/>
    <w:rsid w:val="002E3919"/>
    <w:rsid w:val="002E39BA"/>
    <w:rsid w:val="002E3BD2"/>
    <w:rsid w:val="002E3C94"/>
    <w:rsid w:val="002E3C9D"/>
    <w:rsid w:val="002E3D19"/>
    <w:rsid w:val="002E3E1C"/>
    <w:rsid w:val="002E3E82"/>
    <w:rsid w:val="002E3F19"/>
    <w:rsid w:val="002E41B3"/>
    <w:rsid w:val="002E4324"/>
    <w:rsid w:val="002E467F"/>
    <w:rsid w:val="002E47AD"/>
    <w:rsid w:val="002E47C5"/>
    <w:rsid w:val="002E52BC"/>
    <w:rsid w:val="002E5368"/>
    <w:rsid w:val="002E5612"/>
    <w:rsid w:val="002E574C"/>
    <w:rsid w:val="002E57C6"/>
    <w:rsid w:val="002E5878"/>
    <w:rsid w:val="002E590C"/>
    <w:rsid w:val="002E593A"/>
    <w:rsid w:val="002E5A9A"/>
    <w:rsid w:val="002E5CD1"/>
    <w:rsid w:val="002E5D01"/>
    <w:rsid w:val="002E5EB9"/>
    <w:rsid w:val="002E5F64"/>
    <w:rsid w:val="002E5FA3"/>
    <w:rsid w:val="002E6036"/>
    <w:rsid w:val="002E61EF"/>
    <w:rsid w:val="002E62BF"/>
    <w:rsid w:val="002E62D9"/>
    <w:rsid w:val="002E6368"/>
    <w:rsid w:val="002E643C"/>
    <w:rsid w:val="002E65A7"/>
    <w:rsid w:val="002E677D"/>
    <w:rsid w:val="002E6965"/>
    <w:rsid w:val="002E6C16"/>
    <w:rsid w:val="002E6C53"/>
    <w:rsid w:val="002E6C5D"/>
    <w:rsid w:val="002E6CD0"/>
    <w:rsid w:val="002E6CE8"/>
    <w:rsid w:val="002E6D0C"/>
    <w:rsid w:val="002E6E23"/>
    <w:rsid w:val="002E7143"/>
    <w:rsid w:val="002E7147"/>
    <w:rsid w:val="002E7170"/>
    <w:rsid w:val="002E7267"/>
    <w:rsid w:val="002E7303"/>
    <w:rsid w:val="002E7321"/>
    <w:rsid w:val="002E73DC"/>
    <w:rsid w:val="002E7433"/>
    <w:rsid w:val="002E7775"/>
    <w:rsid w:val="002E7801"/>
    <w:rsid w:val="002E780D"/>
    <w:rsid w:val="002E79C5"/>
    <w:rsid w:val="002E7AD2"/>
    <w:rsid w:val="002E7B2E"/>
    <w:rsid w:val="002E7D09"/>
    <w:rsid w:val="002E7F75"/>
    <w:rsid w:val="002F0389"/>
    <w:rsid w:val="002F04DF"/>
    <w:rsid w:val="002F070C"/>
    <w:rsid w:val="002F0A76"/>
    <w:rsid w:val="002F0C9B"/>
    <w:rsid w:val="002F0E7F"/>
    <w:rsid w:val="002F1384"/>
    <w:rsid w:val="002F1399"/>
    <w:rsid w:val="002F1589"/>
    <w:rsid w:val="002F1648"/>
    <w:rsid w:val="002F16A0"/>
    <w:rsid w:val="002F180D"/>
    <w:rsid w:val="002F18AB"/>
    <w:rsid w:val="002F1988"/>
    <w:rsid w:val="002F198A"/>
    <w:rsid w:val="002F1E99"/>
    <w:rsid w:val="002F1EAC"/>
    <w:rsid w:val="002F1ED3"/>
    <w:rsid w:val="002F22F1"/>
    <w:rsid w:val="002F2529"/>
    <w:rsid w:val="002F25C4"/>
    <w:rsid w:val="002F2772"/>
    <w:rsid w:val="002F2952"/>
    <w:rsid w:val="002F29CD"/>
    <w:rsid w:val="002F29D7"/>
    <w:rsid w:val="002F2AF2"/>
    <w:rsid w:val="002F2F8D"/>
    <w:rsid w:val="002F32FB"/>
    <w:rsid w:val="002F3332"/>
    <w:rsid w:val="002F3451"/>
    <w:rsid w:val="002F3469"/>
    <w:rsid w:val="002F3489"/>
    <w:rsid w:val="002F368D"/>
    <w:rsid w:val="002F3862"/>
    <w:rsid w:val="002F3895"/>
    <w:rsid w:val="002F38B9"/>
    <w:rsid w:val="002F3920"/>
    <w:rsid w:val="002F39FC"/>
    <w:rsid w:val="002F3E5E"/>
    <w:rsid w:val="002F4169"/>
    <w:rsid w:val="002F4287"/>
    <w:rsid w:val="002F4355"/>
    <w:rsid w:val="002F4449"/>
    <w:rsid w:val="002F4512"/>
    <w:rsid w:val="002F45C6"/>
    <w:rsid w:val="002F46BC"/>
    <w:rsid w:val="002F4737"/>
    <w:rsid w:val="002F47F4"/>
    <w:rsid w:val="002F492D"/>
    <w:rsid w:val="002F4A04"/>
    <w:rsid w:val="002F4A24"/>
    <w:rsid w:val="002F4E36"/>
    <w:rsid w:val="002F4E55"/>
    <w:rsid w:val="002F4ED7"/>
    <w:rsid w:val="002F4F0F"/>
    <w:rsid w:val="002F53B5"/>
    <w:rsid w:val="002F5611"/>
    <w:rsid w:val="002F5670"/>
    <w:rsid w:val="002F56CA"/>
    <w:rsid w:val="002F5851"/>
    <w:rsid w:val="002F596C"/>
    <w:rsid w:val="002F5A9D"/>
    <w:rsid w:val="002F5DE9"/>
    <w:rsid w:val="002F5F33"/>
    <w:rsid w:val="002F5F5E"/>
    <w:rsid w:val="002F5F85"/>
    <w:rsid w:val="002F613B"/>
    <w:rsid w:val="002F62E0"/>
    <w:rsid w:val="002F634A"/>
    <w:rsid w:val="002F65A4"/>
    <w:rsid w:val="002F66F8"/>
    <w:rsid w:val="002F6730"/>
    <w:rsid w:val="002F693F"/>
    <w:rsid w:val="002F6966"/>
    <w:rsid w:val="002F6B6B"/>
    <w:rsid w:val="002F6C76"/>
    <w:rsid w:val="002F6D10"/>
    <w:rsid w:val="002F6D4F"/>
    <w:rsid w:val="002F6FA8"/>
    <w:rsid w:val="002F734D"/>
    <w:rsid w:val="002F7924"/>
    <w:rsid w:val="002F7970"/>
    <w:rsid w:val="002F79CF"/>
    <w:rsid w:val="002F7B5B"/>
    <w:rsid w:val="002F7E21"/>
    <w:rsid w:val="002F7E5B"/>
    <w:rsid w:val="002F7E84"/>
    <w:rsid w:val="002F7FA5"/>
    <w:rsid w:val="002F7FCA"/>
    <w:rsid w:val="003001A5"/>
    <w:rsid w:val="00300217"/>
    <w:rsid w:val="0030026C"/>
    <w:rsid w:val="003004B1"/>
    <w:rsid w:val="00300786"/>
    <w:rsid w:val="003008CC"/>
    <w:rsid w:val="00300CA8"/>
    <w:rsid w:val="0030104F"/>
    <w:rsid w:val="0030110D"/>
    <w:rsid w:val="00301763"/>
    <w:rsid w:val="003018D5"/>
    <w:rsid w:val="00301A9F"/>
    <w:rsid w:val="00301B80"/>
    <w:rsid w:val="00301E16"/>
    <w:rsid w:val="00301E64"/>
    <w:rsid w:val="00301F66"/>
    <w:rsid w:val="00301FC6"/>
    <w:rsid w:val="0030206A"/>
    <w:rsid w:val="003020C4"/>
    <w:rsid w:val="00302146"/>
    <w:rsid w:val="0030214E"/>
    <w:rsid w:val="00302252"/>
    <w:rsid w:val="00302283"/>
    <w:rsid w:val="003022BD"/>
    <w:rsid w:val="00302AA1"/>
    <w:rsid w:val="00302CBD"/>
    <w:rsid w:val="00302F24"/>
    <w:rsid w:val="00302F90"/>
    <w:rsid w:val="003030D2"/>
    <w:rsid w:val="00303224"/>
    <w:rsid w:val="00303356"/>
    <w:rsid w:val="003035E6"/>
    <w:rsid w:val="00303B5B"/>
    <w:rsid w:val="00303C3E"/>
    <w:rsid w:val="00303C60"/>
    <w:rsid w:val="00303CFA"/>
    <w:rsid w:val="00304002"/>
    <w:rsid w:val="0030442F"/>
    <w:rsid w:val="00304468"/>
    <w:rsid w:val="00304795"/>
    <w:rsid w:val="00304974"/>
    <w:rsid w:val="00304A11"/>
    <w:rsid w:val="00304C84"/>
    <w:rsid w:val="00304FB8"/>
    <w:rsid w:val="00304FD6"/>
    <w:rsid w:val="0030509D"/>
    <w:rsid w:val="003050D9"/>
    <w:rsid w:val="003051E6"/>
    <w:rsid w:val="0030535F"/>
    <w:rsid w:val="0030566D"/>
    <w:rsid w:val="00305B86"/>
    <w:rsid w:val="00305EB4"/>
    <w:rsid w:val="00306273"/>
    <w:rsid w:val="003063BB"/>
    <w:rsid w:val="003064D8"/>
    <w:rsid w:val="0030650B"/>
    <w:rsid w:val="0030653D"/>
    <w:rsid w:val="0030665C"/>
    <w:rsid w:val="003067DC"/>
    <w:rsid w:val="003068B3"/>
    <w:rsid w:val="003069D5"/>
    <w:rsid w:val="003069FF"/>
    <w:rsid w:val="00306A0A"/>
    <w:rsid w:val="00306DE8"/>
    <w:rsid w:val="0030710F"/>
    <w:rsid w:val="00307299"/>
    <w:rsid w:val="003073D5"/>
    <w:rsid w:val="003075D3"/>
    <w:rsid w:val="003076EF"/>
    <w:rsid w:val="0030792B"/>
    <w:rsid w:val="00307967"/>
    <w:rsid w:val="00307A6C"/>
    <w:rsid w:val="00307BFE"/>
    <w:rsid w:val="00307C13"/>
    <w:rsid w:val="00307C8D"/>
    <w:rsid w:val="00307E6D"/>
    <w:rsid w:val="003100B9"/>
    <w:rsid w:val="003100C8"/>
    <w:rsid w:val="003103DB"/>
    <w:rsid w:val="003103F8"/>
    <w:rsid w:val="003105EA"/>
    <w:rsid w:val="003106C9"/>
    <w:rsid w:val="0031078C"/>
    <w:rsid w:val="00310796"/>
    <w:rsid w:val="00310838"/>
    <w:rsid w:val="0031098F"/>
    <w:rsid w:val="003109C4"/>
    <w:rsid w:val="00310A79"/>
    <w:rsid w:val="00310B9B"/>
    <w:rsid w:val="00310C3F"/>
    <w:rsid w:val="00310FB8"/>
    <w:rsid w:val="00311028"/>
    <w:rsid w:val="003111CC"/>
    <w:rsid w:val="00311464"/>
    <w:rsid w:val="003117D0"/>
    <w:rsid w:val="003117F8"/>
    <w:rsid w:val="00311ADB"/>
    <w:rsid w:val="00311B05"/>
    <w:rsid w:val="00311BEE"/>
    <w:rsid w:val="00311E39"/>
    <w:rsid w:val="00312158"/>
    <w:rsid w:val="003126B3"/>
    <w:rsid w:val="00312703"/>
    <w:rsid w:val="00312996"/>
    <w:rsid w:val="00312AC7"/>
    <w:rsid w:val="00312ACE"/>
    <w:rsid w:val="00312B13"/>
    <w:rsid w:val="00312C05"/>
    <w:rsid w:val="00312C49"/>
    <w:rsid w:val="00312D3D"/>
    <w:rsid w:val="00312E82"/>
    <w:rsid w:val="00312F42"/>
    <w:rsid w:val="003131E4"/>
    <w:rsid w:val="00313386"/>
    <w:rsid w:val="0031338C"/>
    <w:rsid w:val="003133EE"/>
    <w:rsid w:val="003133F5"/>
    <w:rsid w:val="00313508"/>
    <w:rsid w:val="003136EC"/>
    <w:rsid w:val="00313AAA"/>
    <w:rsid w:val="00313BDD"/>
    <w:rsid w:val="00313C52"/>
    <w:rsid w:val="00313CAD"/>
    <w:rsid w:val="00313D14"/>
    <w:rsid w:val="00313E8C"/>
    <w:rsid w:val="003140D2"/>
    <w:rsid w:val="003141D8"/>
    <w:rsid w:val="00314275"/>
    <w:rsid w:val="0031438F"/>
    <w:rsid w:val="003143C5"/>
    <w:rsid w:val="003145D1"/>
    <w:rsid w:val="00314821"/>
    <w:rsid w:val="0031493B"/>
    <w:rsid w:val="00314AB9"/>
    <w:rsid w:val="00314D75"/>
    <w:rsid w:val="00314E29"/>
    <w:rsid w:val="00314F73"/>
    <w:rsid w:val="00315011"/>
    <w:rsid w:val="0031528D"/>
    <w:rsid w:val="00315296"/>
    <w:rsid w:val="003153E3"/>
    <w:rsid w:val="003156B9"/>
    <w:rsid w:val="0031597A"/>
    <w:rsid w:val="00315B1B"/>
    <w:rsid w:val="00315D90"/>
    <w:rsid w:val="0031604E"/>
    <w:rsid w:val="00316126"/>
    <w:rsid w:val="003165E4"/>
    <w:rsid w:val="003166FA"/>
    <w:rsid w:val="00316712"/>
    <w:rsid w:val="00316757"/>
    <w:rsid w:val="003169C3"/>
    <w:rsid w:val="00316C6E"/>
    <w:rsid w:val="00316CF0"/>
    <w:rsid w:val="00317072"/>
    <w:rsid w:val="00317266"/>
    <w:rsid w:val="0031745D"/>
    <w:rsid w:val="00317714"/>
    <w:rsid w:val="00317924"/>
    <w:rsid w:val="00317982"/>
    <w:rsid w:val="003179F3"/>
    <w:rsid w:val="00317C2F"/>
    <w:rsid w:val="00317C89"/>
    <w:rsid w:val="003203DC"/>
    <w:rsid w:val="00320466"/>
    <w:rsid w:val="0032046F"/>
    <w:rsid w:val="0032053B"/>
    <w:rsid w:val="0032084C"/>
    <w:rsid w:val="0032087E"/>
    <w:rsid w:val="00320A17"/>
    <w:rsid w:val="00320A39"/>
    <w:rsid w:val="00320EF5"/>
    <w:rsid w:val="00320FBF"/>
    <w:rsid w:val="00320FDE"/>
    <w:rsid w:val="00321134"/>
    <w:rsid w:val="00321345"/>
    <w:rsid w:val="00321559"/>
    <w:rsid w:val="00321735"/>
    <w:rsid w:val="00321897"/>
    <w:rsid w:val="00321B97"/>
    <w:rsid w:val="00321D16"/>
    <w:rsid w:val="00322000"/>
    <w:rsid w:val="003220F5"/>
    <w:rsid w:val="003220F9"/>
    <w:rsid w:val="00322704"/>
    <w:rsid w:val="0032274F"/>
    <w:rsid w:val="0032286E"/>
    <w:rsid w:val="00322A0C"/>
    <w:rsid w:val="00322A95"/>
    <w:rsid w:val="00322AF8"/>
    <w:rsid w:val="00322B0C"/>
    <w:rsid w:val="00322DA9"/>
    <w:rsid w:val="00322E09"/>
    <w:rsid w:val="00323122"/>
    <w:rsid w:val="0032348B"/>
    <w:rsid w:val="003234C9"/>
    <w:rsid w:val="00323944"/>
    <w:rsid w:val="00323AF6"/>
    <w:rsid w:val="00323C59"/>
    <w:rsid w:val="003243B6"/>
    <w:rsid w:val="003243B7"/>
    <w:rsid w:val="00324461"/>
    <w:rsid w:val="003244BF"/>
    <w:rsid w:val="0032480C"/>
    <w:rsid w:val="003248E4"/>
    <w:rsid w:val="003249F1"/>
    <w:rsid w:val="00324A1A"/>
    <w:rsid w:val="00324BAB"/>
    <w:rsid w:val="00324C22"/>
    <w:rsid w:val="0032502B"/>
    <w:rsid w:val="003251A1"/>
    <w:rsid w:val="003251C2"/>
    <w:rsid w:val="003251FA"/>
    <w:rsid w:val="00325453"/>
    <w:rsid w:val="003254C8"/>
    <w:rsid w:val="0032567C"/>
    <w:rsid w:val="003258AB"/>
    <w:rsid w:val="00325947"/>
    <w:rsid w:val="00325977"/>
    <w:rsid w:val="00325B3C"/>
    <w:rsid w:val="00325FA0"/>
    <w:rsid w:val="003260AF"/>
    <w:rsid w:val="00326252"/>
    <w:rsid w:val="0032631F"/>
    <w:rsid w:val="003264ED"/>
    <w:rsid w:val="00326593"/>
    <w:rsid w:val="0032682F"/>
    <w:rsid w:val="003268AA"/>
    <w:rsid w:val="0032694D"/>
    <w:rsid w:val="00326985"/>
    <w:rsid w:val="00326A97"/>
    <w:rsid w:val="00326D9B"/>
    <w:rsid w:val="00326F1C"/>
    <w:rsid w:val="00327162"/>
    <w:rsid w:val="003272F0"/>
    <w:rsid w:val="0032744E"/>
    <w:rsid w:val="003274CF"/>
    <w:rsid w:val="0032756D"/>
    <w:rsid w:val="00327751"/>
    <w:rsid w:val="00327829"/>
    <w:rsid w:val="00327A34"/>
    <w:rsid w:val="00327D53"/>
    <w:rsid w:val="00327FC4"/>
    <w:rsid w:val="003303CE"/>
    <w:rsid w:val="003306D2"/>
    <w:rsid w:val="00330847"/>
    <w:rsid w:val="00330A0A"/>
    <w:rsid w:val="00330A32"/>
    <w:rsid w:val="00330E8A"/>
    <w:rsid w:val="00331161"/>
    <w:rsid w:val="003313D2"/>
    <w:rsid w:val="003315A5"/>
    <w:rsid w:val="0033163E"/>
    <w:rsid w:val="003316F3"/>
    <w:rsid w:val="003317BD"/>
    <w:rsid w:val="00331944"/>
    <w:rsid w:val="00331947"/>
    <w:rsid w:val="00331B30"/>
    <w:rsid w:val="00331B71"/>
    <w:rsid w:val="00331D7A"/>
    <w:rsid w:val="0033204D"/>
    <w:rsid w:val="00332281"/>
    <w:rsid w:val="003322C5"/>
    <w:rsid w:val="0033244C"/>
    <w:rsid w:val="003325F0"/>
    <w:rsid w:val="003327A2"/>
    <w:rsid w:val="003328A9"/>
    <w:rsid w:val="003328CE"/>
    <w:rsid w:val="00332977"/>
    <w:rsid w:val="003329DF"/>
    <w:rsid w:val="00332A34"/>
    <w:rsid w:val="00332A3C"/>
    <w:rsid w:val="00332AAB"/>
    <w:rsid w:val="003330F0"/>
    <w:rsid w:val="00333AA7"/>
    <w:rsid w:val="00333B4D"/>
    <w:rsid w:val="00333BE7"/>
    <w:rsid w:val="00333CC4"/>
    <w:rsid w:val="00333CEB"/>
    <w:rsid w:val="00333FBF"/>
    <w:rsid w:val="0033408C"/>
    <w:rsid w:val="0033439B"/>
    <w:rsid w:val="00334462"/>
    <w:rsid w:val="003344C4"/>
    <w:rsid w:val="003345E1"/>
    <w:rsid w:val="003347AB"/>
    <w:rsid w:val="003348A6"/>
    <w:rsid w:val="003348F6"/>
    <w:rsid w:val="00334A7F"/>
    <w:rsid w:val="00334A85"/>
    <w:rsid w:val="00334A9D"/>
    <w:rsid w:val="00334CAD"/>
    <w:rsid w:val="00334D99"/>
    <w:rsid w:val="00334EA4"/>
    <w:rsid w:val="0033501E"/>
    <w:rsid w:val="003353E5"/>
    <w:rsid w:val="00335464"/>
    <w:rsid w:val="003355F2"/>
    <w:rsid w:val="003356C1"/>
    <w:rsid w:val="00335733"/>
    <w:rsid w:val="00335CB7"/>
    <w:rsid w:val="00335E69"/>
    <w:rsid w:val="003360CF"/>
    <w:rsid w:val="003364CE"/>
    <w:rsid w:val="003364EF"/>
    <w:rsid w:val="00336852"/>
    <w:rsid w:val="00336A82"/>
    <w:rsid w:val="00336AEF"/>
    <w:rsid w:val="00336CE8"/>
    <w:rsid w:val="00336D16"/>
    <w:rsid w:val="00336D45"/>
    <w:rsid w:val="00336D4C"/>
    <w:rsid w:val="00336ECF"/>
    <w:rsid w:val="00336F5B"/>
    <w:rsid w:val="00337039"/>
    <w:rsid w:val="003371B2"/>
    <w:rsid w:val="003371B5"/>
    <w:rsid w:val="003371F0"/>
    <w:rsid w:val="003379AC"/>
    <w:rsid w:val="00337BAF"/>
    <w:rsid w:val="00337BB2"/>
    <w:rsid w:val="00337F15"/>
    <w:rsid w:val="0034012B"/>
    <w:rsid w:val="003402C1"/>
    <w:rsid w:val="003402FE"/>
    <w:rsid w:val="00340341"/>
    <w:rsid w:val="00340411"/>
    <w:rsid w:val="0034068B"/>
    <w:rsid w:val="00340725"/>
    <w:rsid w:val="00340766"/>
    <w:rsid w:val="00340B2B"/>
    <w:rsid w:val="00340BF8"/>
    <w:rsid w:val="00340FA9"/>
    <w:rsid w:val="003411AB"/>
    <w:rsid w:val="0034137B"/>
    <w:rsid w:val="00341441"/>
    <w:rsid w:val="0034158B"/>
    <w:rsid w:val="003417CB"/>
    <w:rsid w:val="00341DB4"/>
    <w:rsid w:val="00341E6C"/>
    <w:rsid w:val="00341ED9"/>
    <w:rsid w:val="003422EF"/>
    <w:rsid w:val="003424F2"/>
    <w:rsid w:val="00342872"/>
    <w:rsid w:val="003429C9"/>
    <w:rsid w:val="003429CC"/>
    <w:rsid w:val="00342F5D"/>
    <w:rsid w:val="003430BA"/>
    <w:rsid w:val="003431EA"/>
    <w:rsid w:val="00343356"/>
    <w:rsid w:val="003434F7"/>
    <w:rsid w:val="003435A9"/>
    <w:rsid w:val="003435BD"/>
    <w:rsid w:val="003437B0"/>
    <w:rsid w:val="00343AA7"/>
    <w:rsid w:val="00343B29"/>
    <w:rsid w:val="00343BD7"/>
    <w:rsid w:val="00343D38"/>
    <w:rsid w:val="00343DB8"/>
    <w:rsid w:val="00343E39"/>
    <w:rsid w:val="00343EA0"/>
    <w:rsid w:val="003440E8"/>
    <w:rsid w:val="00344283"/>
    <w:rsid w:val="00344372"/>
    <w:rsid w:val="0034437D"/>
    <w:rsid w:val="003445AE"/>
    <w:rsid w:val="003445FD"/>
    <w:rsid w:val="00344649"/>
    <w:rsid w:val="00344776"/>
    <w:rsid w:val="00344808"/>
    <w:rsid w:val="003449BE"/>
    <w:rsid w:val="00344A24"/>
    <w:rsid w:val="00344B5D"/>
    <w:rsid w:val="00344B94"/>
    <w:rsid w:val="00344BAF"/>
    <w:rsid w:val="00344BF2"/>
    <w:rsid w:val="00345097"/>
    <w:rsid w:val="003450F9"/>
    <w:rsid w:val="003451CB"/>
    <w:rsid w:val="003453CF"/>
    <w:rsid w:val="00345496"/>
    <w:rsid w:val="003455F9"/>
    <w:rsid w:val="00345667"/>
    <w:rsid w:val="00345772"/>
    <w:rsid w:val="003457CA"/>
    <w:rsid w:val="00345BCF"/>
    <w:rsid w:val="00346089"/>
    <w:rsid w:val="00346153"/>
    <w:rsid w:val="00346155"/>
    <w:rsid w:val="0034637E"/>
    <w:rsid w:val="003466F9"/>
    <w:rsid w:val="0034676C"/>
    <w:rsid w:val="00346877"/>
    <w:rsid w:val="00346CBA"/>
    <w:rsid w:val="00346DE0"/>
    <w:rsid w:val="00346EBC"/>
    <w:rsid w:val="0034705F"/>
    <w:rsid w:val="003470E2"/>
    <w:rsid w:val="00347160"/>
    <w:rsid w:val="0034722F"/>
    <w:rsid w:val="003476A2"/>
    <w:rsid w:val="003477D7"/>
    <w:rsid w:val="003477F3"/>
    <w:rsid w:val="0034792A"/>
    <w:rsid w:val="003479FE"/>
    <w:rsid w:val="00347CC5"/>
    <w:rsid w:val="00347D0A"/>
    <w:rsid w:val="00347E3C"/>
    <w:rsid w:val="00347E80"/>
    <w:rsid w:val="00347ED5"/>
    <w:rsid w:val="00347F59"/>
    <w:rsid w:val="00350092"/>
    <w:rsid w:val="00350260"/>
    <w:rsid w:val="00350334"/>
    <w:rsid w:val="003505AD"/>
    <w:rsid w:val="003505B4"/>
    <w:rsid w:val="0035065F"/>
    <w:rsid w:val="003508AB"/>
    <w:rsid w:val="00350A03"/>
    <w:rsid w:val="00350B59"/>
    <w:rsid w:val="00350BEA"/>
    <w:rsid w:val="00350CE6"/>
    <w:rsid w:val="00350F1A"/>
    <w:rsid w:val="003510A2"/>
    <w:rsid w:val="003510F0"/>
    <w:rsid w:val="00351375"/>
    <w:rsid w:val="003513B2"/>
    <w:rsid w:val="0035149C"/>
    <w:rsid w:val="003514E1"/>
    <w:rsid w:val="00351524"/>
    <w:rsid w:val="00351606"/>
    <w:rsid w:val="00351720"/>
    <w:rsid w:val="003518B8"/>
    <w:rsid w:val="003519AD"/>
    <w:rsid w:val="003519D8"/>
    <w:rsid w:val="00351C44"/>
    <w:rsid w:val="00351CB0"/>
    <w:rsid w:val="00351D07"/>
    <w:rsid w:val="00351D93"/>
    <w:rsid w:val="00351E0E"/>
    <w:rsid w:val="00351E13"/>
    <w:rsid w:val="00351EC9"/>
    <w:rsid w:val="00351FC9"/>
    <w:rsid w:val="0035225B"/>
    <w:rsid w:val="0035227F"/>
    <w:rsid w:val="00352370"/>
    <w:rsid w:val="003524DB"/>
    <w:rsid w:val="0035250A"/>
    <w:rsid w:val="003525D6"/>
    <w:rsid w:val="00352842"/>
    <w:rsid w:val="00352897"/>
    <w:rsid w:val="00352A87"/>
    <w:rsid w:val="00352AE9"/>
    <w:rsid w:val="00352D28"/>
    <w:rsid w:val="00352DB7"/>
    <w:rsid w:val="00352E19"/>
    <w:rsid w:val="00352EBC"/>
    <w:rsid w:val="003530C0"/>
    <w:rsid w:val="003536DB"/>
    <w:rsid w:val="003537A9"/>
    <w:rsid w:val="003539CB"/>
    <w:rsid w:val="003539E8"/>
    <w:rsid w:val="00353A56"/>
    <w:rsid w:val="00353AE5"/>
    <w:rsid w:val="00353B6E"/>
    <w:rsid w:val="00353C34"/>
    <w:rsid w:val="00353D3A"/>
    <w:rsid w:val="00353EB3"/>
    <w:rsid w:val="00354154"/>
    <w:rsid w:val="00354226"/>
    <w:rsid w:val="003544A4"/>
    <w:rsid w:val="0035455A"/>
    <w:rsid w:val="00354661"/>
    <w:rsid w:val="003549C0"/>
    <w:rsid w:val="00354EAB"/>
    <w:rsid w:val="00354EB4"/>
    <w:rsid w:val="00354FA1"/>
    <w:rsid w:val="00354FDD"/>
    <w:rsid w:val="0035531C"/>
    <w:rsid w:val="00355483"/>
    <w:rsid w:val="003556BA"/>
    <w:rsid w:val="0035579B"/>
    <w:rsid w:val="0035585B"/>
    <w:rsid w:val="0035597E"/>
    <w:rsid w:val="00355C17"/>
    <w:rsid w:val="00355C9A"/>
    <w:rsid w:val="00355D99"/>
    <w:rsid w:val="00355ED8"/>
    <w:rsid w:val="003560FF"/>
    <w:rsid w:val="003561A3"/>
    <w:rsid w:val="003561C7"/>
    <w:rsid w:val="00356306"/>
    <w:rsid w:val="00356361"/>
    <w:rsid w:val="00356692"/>
    <w:rsid w:val="003566E4"/>
    <w:rsid w:val="00356990"/>
    <w:rsid w:val="00356B9C"/>
    <w:rsid w:val="00356C2B"/>
    <w:rsid w:val="00356C5E"/>
    <w:rsid w:val="00356D29"/>
    <w:rsid w:val="00356D5D"/>
    <w:rsid w:val="00356EB4"/>
    <w:rsid w:val="00357034"/>
    <w:rsid w:val="00357088"/>
    <w:rsid w:val="003571C2"/>
    <w:rsid w:val="00357278"/>
    <w:rsid w:val="00357358"/>
    <w:rsid w:val="00357801"/>
    <w:rsid w:val="00357813"/>
    <w:rsid w:val="00357C12"/>
    <w:rsid w:val="00357C32"/>
    <w:rsid w:val="00357C82"/>
    <w:rsid w:val="00357CAE"/>
    <w:rsid w:val="00357D39"/>
    <w:rsid w:val="00357DC6"/>
    <w:rsid w:val="00357DE5"/>
    <w:rsid w:val="00357FC7"/>
    <w:rsid w:val="003601A6"/>
    <w:rsid w:val="0036026D"/>
    <w:rsid w:val="003603FB"/>
    <w:rsid w:val="00360576"/>
    <w:rsid w:val="00360708"/>
    <w:rsid w:val="00360B5D"/>
    <w:rsid w:val="00360E28"/>
    <w:rsid w:val="003613E6"/>
    <w:rsid w:val="003615D6"/>
    <w:rsid w:val="00361630"/>
    <w:rsid w:val="00361A8E"/>
    <w:rsid w:val="00361B8B"/>
    <w:rsid w:val="00361D27"/>
    <w:rsid w:val="00361F43"/>
    <w:rsid w:val="00361FD6"/>
    <w:rsid w:val="003622F0"/>
    <w:rsid w:val="003625B1"/>
    <w:rsid w:val="00362B21"/>
    <w:rsid w:val="00362E4D"/>
    <w:rsid w:val="00362E94"/>
    <w:rsid w:val="00362EF9"/>
    <w:rsid w:val="00362FC5"/>
    <w:rsid w:val="00362FD4"/>
    <w:rsid w:val="003630EF"/>
    <w:rsid w:val="00363272"/>
    <w:rsid w:val="0036332C"/>
    <w:rsid w:val="003636AA"/>
    <w:rsid w:val="003639C4"/>
    <w:rsid w:val="00363AC9"/>
    <w:rsid w:val="00363B2C"/>
    <w:rsid w:val="00363B37"/>
    <w:rsid w:val="00363BD3"/>
    <w:rsid w:val="00363CC8"/>
    <w:rsid w:val="00363DD8"/>
    <w:rsid w:val="00363E6E"/>
    <w:rsid w:val="00363EB4"/>
    <w:rsid w:val="00363F8B"/>
    <w:rsid w:val="003640A7"/>
    <w:rsid w:val="003642DC"/>
    <w:rsid w:val="003643B7"/>
    <w:rsid w:val="00364430"/>
    <w:rsid w:val="00364488"/>
    <w:rsid w:val="00364669"/>
    <w:rsid w:val="00364C75"/>
    <w:rsid w:val="00364D61"/>
    <w:rsid w:val="0036516D"/>
    <w:rsid w:val="00365246"/>
    <w:rsid w:val="003652CE"/>
    <w:rsid w:val="00365447"/>
    <w:rsid w:val="003658D5"/>
    <w:rsid w:val="00365B12"/>
    <w:rsid w:val="00365C10"/>
    <w:rsid w:val="00365F4C"/>
    <w:rsid w:val="003662F0"/>
    <w:rsid w:val="0036633C"/>
    <w:rsid w:val="00366394"/>
    <w:rsid w:val="003664B5"/>
    <w:rsid w:val="00366546"/>
    <w:rsid w:val="003668C0"/>
    <w:rsid w:val="00366D5C"/>
    <w:rsid w:val="00366DA1"/>
    <w:rsid w:val="00366DBC"/>
    <w:rsid w:val="00366E59"/>
    <w:rsid w:val="00366F1B"/>
    <w:rsid w:val="00367083"/>
    <w:rsid w:val="003670CF"/>
    <w:rsid w:val="003670FE"/>
    <w:rsid w:val="00367439"/>
    <w:rsid w:val="00367575"/>
    <w:rsid w:val="003677BE"/>
    <w:rsid w:val="0036794E"/>
    <w:rsid w:val="003679D2"/>
    <w:rsid w:val="00367AB6"/>
    <w:rsid w:val="00367B5D"/>
    <w:rsid w:val="00367D82"/>
    <w:rsid w:val="00367EAA"/>
    <w:rsid w:val="00367F69"/>
    <w:rsid w:val="003701CB"/>
    <w:rsid w:val="003702FF"/>
    <w:rsid w:val="00370330"/>
    <w:rsid w:val="003705C9"/>
    <w:rsid w:val="003706FB"/>
    <w:rsid w:val="00370735"/>
    <w:rsid w:val="0037074C"/>
    <w:rsid w:val="003709B4"/>
    <w:rsid w:val="00370CD9"/>
    <w:rsid w:val="00370E4E"/>
    <w:rsid w:val="00370F97"/>
    <w:rsid w:val="00370FFF"/>
    <w:rsid w:val="00371010"/>
    <w:rsid w:val="003712BF"/>
    <w:rsid w:val="0037139A"/>
    <w:rsid w:val="003713DF"/>
    <w:rsid w:val="003719C2"/>
    <w:rsid w:val="00371B07"/>
    <w:rsid w:val="00371B26"/>
    <w:rsid w:val="00371C24"/>
    <w:rsid w:val="00371DDC"/>
    <w:rsid w:val="00371E64"/>
    <w:rsid w:val="00371FDB"/>
    <w:rsid w:val="0037217E"/>
    <w:rsid w:val="003725FC"/>
    <w:rsid w:val="0037280D"/>
    <w:rsid w:val="00372AA4"/>
    <w:rsid w:val="00372B15"/>
    <w:rsid w:val="00372C6D"/>
    <w:rsid w:val="00372D3F"/>
    <w:rsid w:val="00372E0D"/>
    <w:rsid w:val="00372E3B"/>
    <w:rsid w:val="00372FBD"/>
    <w:rsid w:val="003730E9"/>
    <w:rsid w:val="00373424"/>
    <w:rsid w:val="00373454"/>
    <w:rsid w:val="00373577"/>
    <w:rsid w:val="00373646"/>
    <w:rsid w:val="0037375F"/>
    <w:rsid w:val="0037383B"/>
    <w:rsid w:val="00373996"/>
    <w:rsid w:val="003739F3"/>
    <w:rsid w:val="00373A3C"/>
    <w:rsid w:val="00373AD9"/>
    <w:rsid w:val="00373D8E"/>
    <w:rsid w:val="00373EEB"/>
    <w:rsid w:val="003740F7"/>
    <w:rsid w:val="00374209"/>
    <w:rsid w:val="00374368"/>
    <w:rsid w:val="00374370"/>
    <w:rsid w:val="00374704"/>
    <w:rsid w:val="003748C5"/>
    <w:rsid w:val="00374B2C"/>
    <w:rsid w:val="00374B94"/>
    <w:rsid w:val="00374BD3"/>
    <w:rsid w:val="00374D8D"/>
    <w:rsid w:val="00374DB8"/>
    <w:rsid w:val="003751B3"/>
    <w:rsid w:val="00375214"/>
    <w:rsid w:val="003752EE"/>
    <w:rsid w:val="0037531E"/>
    <w:rsid w:val="003753E5"/>
    <w:rsid w:val="00375401"/>
    <w:rsid w:val="0037565F"/>
    <w:rsid w:val="003758F0"/>
    <w:rsid w:val="0037591E"/>
    <w:rsid w:val="00375AB8"/>
    <w:rsid w:val="00375B38"/>
    <w:rsid w:val="00375B68"/>
    <w:rsid w:val="00375FCC"/>
    <w:rsid w:val="00376223"/>
    <w:rsid w:val="003764E1"/>
    <w:rsid w:val="0037674A"/>
    <w:rsid w:val="00376878"/>
    <w:rsid w:val="00376A05"/>
    <w:rsid w:val="00376C60"/>
    <w:rsid w:val="00376C7F"/>
    <w:rsid w:val="003770EA"/>
    <w:rsid w:val="00377260"/>
    <w:rsid w:val="00377526"/>
    <w:rsid w:val="00377602"/>
    <w:rsid w:val="003776F5"/>
    <w:rsid w:val="003776FB"/>
    <w:rsid w:val="0037797F"/>
    <w:rsid w:val="003779E3"/>
    <w:rsid w:val="00377CCC"/>
    <w:rsid w:val="00377EA3"/>
    <w:rsid w:val="00377EFA"/>
    <w:rsid w:val="0038018A"/>
    <w:rsid w:val="003803E3"/>
    <w:rsid w:val="00380674"/>
    <w:rsid w:val="003807D9"/>
    <w:rsid w:val="00380D99"/>
    <w:rsid w:val="00380E1F"/>
    <w:rsid w:val="00380FCE"/>
    <w:rsid w:val="00381053"/>
    <w:rsid w:val="00381150"/>
    <w:rsid w:val="003811D9"/>
    <w:rsid w:val="0038146C"/>
    <w:rsid w:val="00381706"/>
    <w:rsid w:val="00381852"/>
    <w:rsid w:val="00381BC1"/>
    <w:rsid w:val="00381D57"/>
    <w:rsid w:val="00381E08"/>
    <w:rsid w:val="00381FA9"/>
    <w:rsid w:val="00382097"/>
    <w:rsid w:val="003820D6"/>
    <w:rsid w:val="00382101"/>
    <w:rsid w:val="0038236C"/>
    <w:rsid w:val="003825CD"/>
    <w:rsid w:val="00382609"/>
    <w:rsid w:val="0038265A"/>
    <w:rsid w:val="00382780"/>
    <w:rsid w:val="00382870"/>
    <w:rsid w:val="00382B73"/>
    <w:rsid w:val="00382B84"/>
    <w:rsid w:val="00382D4F"/>
    <w:rsid w:val="00382E14"/>
    <w:rsid w:val="00382EF6"/>
    <w:rsid w:val="00382F93"/>
    <w:rsid w:val="0038331F"/>
    <w:rsid w:val="003835F2"/>
    <w:rsid w:val="003836C9"/>
    <w:rsid w:val="0038389E"/>
    <w:rsid w:val="0038391F"/>
    <w:rsid w:val="00383994"/>
    <w:rsid w:val="00383A36"/>
    <w:rsid w:val="00383C5D"/>
    <w:rsid w:val="00383F80"/>
    <w:rsid w:val="0038426C"/>
    <w:rsid w:val="003843CA"/>
    <w:rsid w:val="00384893"/>
    <w:rsid w:val="00384A44"/>
    <w:rsid w:val="00384DBB"/>
    <w:rsid w:val="00384E7A"/>
    <w:rsid w:val="00385005"/>
    <w:rsid w:val="003850D0"/>
    <w:rsid w:val="00385160"/>
    <w:rsid w:val="003855FF"/>
    <w:rsid w:val="003857F6"/>
    <w:rsid w:val="003859DD"/>
    <w:rsid w:val="00385BE8"/>
    <w:rsid w:val="00385F06"/>
    <w:rsid w:val="00386124"/>
    <w:rsid w:val="0038629F"/>
    <w:rsid w:val="003864CB"/>
    <w:rsid w:val="003864D5"/>
    <w:rsid w:val="00386769"/>
    <w:rsid w:val="00386799"/>
    <w:rsid w:val="00386824"/>
    <w:rsid w:val="003868B9"/>
    <w:rsid w:val="00386998"/>
    <w:rsid w:val="0038709D"/>
    <w:rsid w:val="003872EA"/>
    <w:rsid w:val="003874B2"/>
    <w:rsid w:val="003875BB"/>
    <w:rsid w:val="00387A89"/>
    <w:rsid w:val="00387B52"/>
    <w:rsid w:val="00387B58"/>
    <w:rsid w:val="0039001A"/>
    <w:rsid w:val="003904F2"/>
    <w:rsid w:val="00390567"/>
    <w:rsid w:val="0039056D"/>
    <w:rsid w:val="0039065C"/>
    <w:rsid w:val="00390891"/>
    <w:rsid w:val="00390ABE"/>
    <w:rsid w:val="00390C47"/>
    <w:rsid w:val="00390D46"/>
    <w:rsid w:val="00391085"/>
    <w:rsid w:val="0039140C"/>
    <w:rsid w:val="00391751"/>
    <w:rsid w:val="00391B99"/>
    <w:rsid w:val="00391BBC"/>
    <w:rsid w:val="003920D8"/>
    <w:rsid w:val="0039237F"/>
    <w:rsid w:val="0039261D"/>
    <w:rsid w:val="00392652"/>
    <w:rsid w:val="003928B0"/>
    <w:rsid w:val="003928F1"/>
    <w:rsid w:val="00392D10"/>
    <w:rsid w:val="00392EB0"/>
    <w:rsid w:val="0039316A"/>
    <w:rsid w:val="0039328A"/>
    <w:rsid w:val="003932E9"/>
    <w:rsid w:val="00393305"/>
    <w:rsid w:val="00393624"/>
    <w:rsid w:val="00393646"/>
    <w:rsid w:val="003937BD"/>
    <w:rsid w:val="00393999"/>
    <w:rsid w:val="00393A01"/>
    <w:rsid w:val="00393A40"/>
    <w:rsid w:val="00393A68"/>
    <w:rsid w:val="00393A9A"/>
    <w:rsid w:val="00393CF5"/>
    <w:rsid w:val="00393ED5"/>
    <w:rsid w:val="00393FC9"/>
    <w:rsid w:val="003944BA"/>
    <w:rsid w:val="003945E3"/>
    <w:rsid w:val="00394882"/>
    <w:rsid w:val="0039499C"/>
    <w:rsid w:val="00394E2C"/>
    <w:rsid w:val="00394E87"/>
    <w:rsid w:val="003950D5"/>
    <w:rsid w:val="003952A1"/>
    <w:rsid w:val="00395388"/>
    <w:rsid w:val="0039551E"/>
    <w:rsid w:val="003956B8"/>
    <w:rsid w:val="0039573F"/>
    <w:rsid w:val="00395817"/>
    <w:rsid w:val="00395A19"/>
    <w:rsid w:val="00395C08"/>
    <w:rsid w:val="00395DB5"/>
    <w:rsid w:val="00395F4A"/>
    <w:rsid w:val="0039602F"/>
    <w:rsid w:val="00396196"/>
    <w:rsid w:val="0039646B"/>
    <w:rsid w:val="003966F6"/>
    <w:rsid w:val="0039677D"/>
    <w:rsid w:val="0039685D"/>
    <w:rsid w:val="00396AC1"/>
    <w:rsid w:val="00396BB0"/>
    <w:rsid w:val="00396F5E"/>
    <w:rsid w:val="00396FC6"/>
    <w:rsid w:val="003971FB"/>
    <w:rsid w:val="00397236"/>
    <w:rsid w:val="0039753D"/>
    <w:rsid w:val="0039778E"/>
    <w:rsid w:val="00397955"/>
    <w:rsid w:val="00397A82"/>
    <w:rsid w:val="00397BC1"/>
    <w:rsid w:val="00397E93"/>
    <w:rsid w:val="00397FF6"/>
    <w:rsid w:val="003A024C"/>
    <w:rsid w:val="003A0421"/>
    <w:rsid w:val="003A062C"/>
    <w:rsid w:val="003A0657"/>
    <w:rsid w:val="003A0660"/>
    <w:rsid w:val="003A06AC"/>
    <w:rsid w:val="003A06D9"/>
    <w:rsid w:val="003A07BF"/>
    <w:rsid w:val="003A082D"/>
    <w:rsid w:val="003A0A5E"/>
    <w:rsid w:val="003A0D52"/>
    <w:rsid w:val="003A0DBB"/>
    <w:rsid w:val="003A13F2"/>
    <w:rsid w:val="003A157E"/>
    <w:rsid w:val="003A1812"/>
    <w:rsid w:val="003A1827"/>
    <w:rsid w:val="003A18E0"/>
    <w:rsid w:val="003A1A05"/>
    <w:rsid w:val="003A1A07"/>
    <w:rsid w:val="003A1ACF"/>
    <w:rsid w:val="003A1CD7"/>
    <w:rsid w:val="003A24A9"/>
    <w:rsid w:val="003A2829"/>
    <w:rsid w:val="003A2B03"/>
    <w:rsid w:val="003A2B5F"/>
    <w:rsid w:val="003A2CCE"/>
    <w:rsid w:val="003A2ED1"/>
    <w:rsid w:val="003A3080"/>
    <w:rsid w:val="003A3094"/>
    <w:rsid w:val="003A316E"/>
    <w:rsid w:val="003A31CB"/>
    <w:rsid w:val="003A3740"/>
    <w:rsid w:val="003A38D8"/>
    <w:rsid w:val="003A39A3"/>
    <w:rsid w:val="003A3BA1"/>
    <w:rsid w:val="003A3C29"/>
    <w:rsid w:val="003A3D52"/>
    <w:rsid w:val="003A3F24"/>
    <w:rsid w:val="003A3F3C"/>
    <w:rsid w:val="003A41BA"/>
    <w:rsid w:val="003A41FC"/>
    <w:rsid w:val="003A4649"/>
    <w:rsid w:val="003A4797"/>
    <w:rsid w:val="003A4AF6"/>
    <w:rsid w:val="003A4AF7"/>
    <w:rsid w:val="003A4C47"/>
    <w:rsid w:val="003A4EC0"/>
    <w:rsid w:val="003A4EE9"/>
    <w:rsid w:val="003A50E3"/>
    <w:rsid w:val="003A5491"/>
    <w:rsid w:val="003A54EF"/>
    <w:rsid w:val="003A5ADB"/>
    <w:rsid w:val="003A5BE8"/>
    <w:rsid w:val="003A5C2E"/>
    <w:rsid w:val="003A5D89"/>
    <w:rsid w:val="003A5E07"/>
    <w:rsid w:val="003A5F3C"/>
    <w:rsid w:val="003A611A"/>
    <w:rsid w:val="003A64AD"/>
    <w:rsid w:val="003A657B"/>
    <w:rsid w:val="003A65D0"/>
    <w:rsid w:val="003A6724"/>
    <w:rsid w:val="003A6772"/>
    <w:rsid w:val="003A67B5"/>
    <w:rsid w:val="003A6893"/>
    <w:rsid w:val="003A6A5B"/>
    <w:rsid w:val="003A6B07"/>
    <w:rsid w:val="003A6E1A"/>
    <w:rsid w:val="003A6FCB"/>
    <w:rsid w:val="003A707F"/>
    <w:rsid w:val="003A71CE"/>
    <w:rsid w:val="003A732B"/>
    <w:rsid w:val="003A7910"/>
    <w:rsid w:val="003A7B17"/>
    <w:rsid w:val="003A7E0A"/>
    <w:rsid w:val="003A7FB4"/>
    <w:rsid w:val="003B006B"/>
    <w:rsid w:val="003B0095"/>
    <w:rsid w:val="003B022C"/>
    <w:rsid w:val="003B0389"/>
    <w:rsid w:val="003B0518"/>
    <w:rsid w:val="003B094D"/>
    <w:rsid w:val="003B0953"/>
    <w:rsid w:val="003B0BA1"/>
    <w:rsid w:val="003B0BFA"/>
    <w:rsid w:val="003B0D59"/>
    <w:rsid w:val="003B0F00"/>
    <w:rsid w:val="003B0F20"/>
    <w:rsid w:val="003B1151"/>
    <w:rsid w:val="003B11F3"/>
    <w:rsid w:val="003B1202"/>
    <w:rsid w:val="003B125D"/>
    <w:rsid w:val="003B161C"/>
    <w:rsid w:val="003B16F7"/>
    <w:rsid w:val="003B17D5"/>
    <w:rsid w:val="003B1DBD"/>
    <w:rsid w:val="003B1DF1"/>
    <w:rsid w:val="003B2296"/>
    <w:rsid w:val="003B229D"/>
    <w:rsid w:val="003B258E"/>
    <w:rsid w:val="003B281F"/>
    <w:rsid w:val="003B2847"/>
    <w:rsid w:val="003B2A64"/>
    <w:rsid w:val="003B2A9E"/>
    <w:rsid w:val="003B2BDF"/>
    <w:rsid w:val="003B2D08"/>
    <w:rsid w:val="003B2D0C"/>
    <w:rsid w:val="003B2D6C"/>
    <w:rsid w:val="003B2D70"/>
    <w:rsid w:val="003B2DEE"/>
    <w:rsid w:val="003B2E71"/>
    <w:rsid w:val="003B2E7F"/>
    <w:rsid w:val="003B3075"/>
    <w:rsid w:val="003B30CD"/>
    <w:rsid w:val="003B338E"/>
    <w:rsid w:val="003B345C"/>
    <w:rsid w:val="003B35EE"/>
    <w:rsid w:val="003B3674"/>
    <w:rsid w:val="003B370F"/>
    <w:rsid w:val="003B3903"/>
    <w:rsid w:val="003B3A25"/>
    <w:rsid w:val="003B3A32"/>
    <w:rsid w:val="003B3A46"/>
    <w:rsid w:val="003B3D05"/>
    <w:rsid w:val="003B3E76"/>
    <w:rsid w:val="003B3ECC"/>
    <w:rsid w:val="003B40AA"/>
    <w:rsid w:val="003B420A"/>
    <w:rsid w:val="003B44E6"/>
    <w:rsid w:val="003B4599"/>
    <w:rsid w:val="003B477B"/>
    <w:rsid w:val="003B4922"/>
    <w:rsid w:val="003B4D3B"/>
    <w:rsid w:val="003B4E10"/>
    <w:rsid w:val="003B4EED"/>
    <w:rsid w:val="003B50EC"/>
    <w:rsid w:val="003B545A"/>
    <w:rsid w:val="003B54AE"/>
    <w:rsid w:val="003B54C2"/>
    <w:rsid w:val="003B565C"/>
    <w:rsid w:val="003B568A"/>
    <w:rsid w:val="003B5BD0"/>
    <w:rsid w:val="003B5EBE"/>
    <w:rsid w:val="003B61B7"/>
    <w:rsid w:val="003B61E8"/>
    <w:rsid w:val="003B620A"/>
    <w:rsid w:val="003B63A9"/>
    <w:rsid w:val="003B641E"/>
    <w:rsid w:val="003B665F"/>
    <w:rsid w:val="003B6707"/>
    <w:rsid w:val="003B671D"/>
    <w:rsid w:val="003B680D"/>
    <w:rsid w:val="003B6956"/>
    <w:rsid w:val="003B69B2"/>
    <w:rsid w:val="003B6E50"/>
    <w:rsid w:val="003B6E6C"/>
    <w:rsid w:val="003B6EED"/>
    <w:rsid w:val="003B7218"/>
    <w:rsid w:val="003B7267"/>
    <w:rsid w:val="003B7375"/>
    <w:rsid w:val="003B7869"/>
    <w:rsid w:val="003B79A4"/>
    <w:rsid w:val="003B79B4"/>
    <w:rsid w:val="003B7CE6"/>
    <w:rsid w:val="003B7D75"/>
    <w:rsid w:val="003C0194"/>
    <w:rsid w:val="003C01D6"/>
    <w:rsid w:val="003C07C5"/>
    <w:rsid w:val="003C08DC"/>
    <w:rsid w:val="003C09B3"/>
    <w:rsid w:val="003C0F14"/>
    <w:rsid w:val="003C106E"/>
    <w:rsid w:val="003C108E"/>
    <w:rsid w:val="003C10D3"/>
    <w:rsid w:val="003C11D8"/>
    <w:rsid w:val="003C1241"/>
    <w:rsid w:val="003C1281"/>
    <w:rsid w:val="003C12BB"/>
    <w:rsid w:val="003C12CB"/>
    <w:rsid w:val="003C12CF"/>
    <w:rsid w:val="003C1312"/>
    <w:rsid w:val="003C14CA"/>
    <w:rsid w:val="003C19BD"/>
    <w:rsid w:val="003C1A97"/>
    <w:rsid w:val="003C1AE2"/>
    <w:rsid w:val="003C1CDF"/>
    <w:rsid w:val="003C1E9B"/>
    <w:rsid w:val="003C2008"/>
    <w:rsid w:val="003C2057"/>
    <w:rsid w:val="003C2110"/>
    <w:rsid w:val="003C2357"/>
    <w:rsid w:val="003C242D"/>
    <w:rsid w:val="003C2566"/>
    <w:rsid w:val="003C2654"/>
    <w:rsid w:val="003C29F8"/>
    <w:rsid w:val="003C2E44"/>
    <w:rsid w:val="003C2E87"/>
    <w:rsid w:val="003C30B4"/>
    <w:rsid w:val="003C32B1"/>
    <w:rsid w:val="003C35B5"/>
    <w:rsid w:val="003C37D6"/>
    <w:rsid w:val="003C3A74"/>
    <w:rsid w:val="003C3AD3"/>
    <w:rsid w:val="003C3EDE"/>
    <w:rsid w:val="003C3F26"/>
    <w:rsid w:val="003C4141"/>
    <w:rsid w:val="003C4293"/>
    <w:rsid w:val="003C42A4"/>
    <w:rsid w:val="003C4303"/>
    <w:rsid w:val="003C452D"/>
    <w:rsid w:val="003C491E"/>
    <w:rsid w:val="003C4A86"/>
    <w:rsid w:val="003C4AF8"/>
    <w:rsid w:val="003C4C1D"/>
    <w:rsid w:val="003C4CC4"/>
    <w:rsid w:val="003C4F52"/>
    <w:rsid w:val="003C4F8F"/>
    <w:rsid w:val="003C5129"/>
    <w:rsid w:val="003C525D"/>
    <w:rsid w:val="003C53DD"/>
    <w:rsid w:val="003C5586"/>
    <w:rsid w:val="003C5683"/>
    <w:rsid w:val="003C5721"/>
    <w:rsid w:val="003C577F"/>
    <w:rsid w:val="003C583E"/>
    <w:rsid w:val="003C58AF"/>
    <w:rsid w:val="003C5950"/>
    <w:rsid w:val="003C599D"/>
    <w:rsid w:val="003C5A6A"/>
    <w:rsid w:val="003C5ABE"/>
    <w:rsid w:val="003C5B8E"/>
    <w:rsid w:val="003C5E8E"/>
    <w:rsid w:val="003C5EB1"/>
    <w:rsid w:val="003C6167"/>
    <w:rsid w:val="003C64A1"/>
    <w:rsid w:val="003C659C"/>
    <w:rsid w:val="003C6646"/>
    <w:rsid w:val="003C6669"/>
    <w:rsid w:val="003C6675"/>
    <w:rsid w:val="003C675D"/>
    <w:rsid w:val="003C6892"/>
    <w:rsid w:val="003C68F0"/>
    <w:rsid w:val="003C69C0"/>
    <w:rsid w:val="003C69FB"/>
    <w:rsid w:val="003C6B59"/>
    <w:rsid w:val="003C6E3E"/>
    <w:rsid w:val="003C70F1"/>
    <w:rsid w:val="003C7134"/>
    <w:rsid w:val="003C719C"/>
    <w:rsid w:val="003C7321"/>
    <w:rsid w:val="003C73C0"/>
    <w:rsid w:val="003C75F1"/>
    <w:rsid w:val="003C762E"/>
    <w:rsid w:val="003C7665"/>
    <w:rsid w:val="003C76EA"/>
    <w:rsid w:val="003C77A0"/>
    <w:rsid w:val="003C7819"/>
    <w:rsid w:val="003C78CB"/>
    <w:rsid w:val="003C794F"/>
    <w:rsid w:val="003C7AE3"/>
    <w:rsid w:val="003C7BC5"/>
    <w:rsid w:val="003D0078"/>
    <w:rsid w:val="003D00F2"/>
    <w:rsid w:val="003D01C9"/>
    <w:rsid w:val="003D061A"/>
    <w:rsid w:val="003D0BE7"/>
    <w:rsid w:val="003D0C52"/>
    <w:rsid w:val="003D0CCD"/>
    <w:rsid w:val="003D0CD3"/>
    <w:rsid w:val="003D0DF5"/>
    <w:rsid w:val="003D0E8A"/>
    <w:rsid w:val="003D11CF"/>
    <w:rsid w:val="003D11FE"/>
    <w:rsid w:val="003D12A6"/>
    <w:rsid w:val="003D1399"/>
    <w:rsid w:val="003D1467"/>
    <w:rsid w:val="003D1497"/>
    <w:rsid w:val="003D17C1"/>
    <w:rsid w:val="003D1860"/>
    <w:rsid w:val="003D1A51"/>
    <w:rsid w:val="003D1AF6"/>
    <w:rsid w:val="003D1BF8"/>
    <w:rsid w:val="003D1C9F"/>
    <w:rsid w:val="003D1CA5"/>
    <w:rsid w:val="003D1DA3"/>
    <w:rsid w:val="003D1DE3"/>
    <w:rsid w:val="003D21A3"/>
    <w:rsid w:val="003D2285"/>
    <w:rsid w:val="003D22B7"/>
    <w:rsid w:val="003D2313"/>
    <w:rsid w:val="003D239F"/>
    <w:rsid w:val="003D24D7"/>
    <w:rsid w:val="003D2782"/>
    <w:rsid w:val="003D27D2"/>
    <w:rsid w:val="003D299E"/>
    <w:rsid w:val="003D2A66"/>
    <w:rsid w:val="003D2A78"/>
    <w:rsid w:val="003D2AA4"/>
    <w:rsid w:val="003D2BBE"/>
    <w:rsid w:val="003D2EA3"/>
    <w:rsid w:val="003D32F7"/>
    <w:rsid w:val="003D3372"/>
    <w:rsid w:val="003D34D1"/>
    <w:rsid w:val="003D3511"/>
    <w:rsid w:val="003D354F"/>
    <w:rsid w:val="003D3685"/>
    <w:rsid w:val="003D39B4"/>
    <w:rsid w:val="003D3F16"/>
    <w:rsid w:val="003D4049"/>
    <w:rsid w:val="003D42C4"/>
    <w:rsid w:val="003D4318"/>
    <w:rsid w:val="003D4406"/>
    <w:rsid w:val="003D46BC"/>
    <w:rsid w:val="003D4776"/>
    <w:rsid w:val="003D4C96"/>
    <w:rsid w:val="003D502A"/>
    <w:rsid w:val="003D523A"/>
    <w:rsid w:val="003D5249"/>
    <w:rsid w:val="003D55DB"/>
    <w:rsid w:val="003D55E1"/>
    <w:rsid w:val="003D5680"/>
    <w:rsid w:val="003D58C7"/>
    <w:rsid w:val="003D58E3"/>
    <w:rsid w:val="003D59F5"/>
    <w:rsid w:val="003D5AB1"/>
    <w:rsid w:val="003D5C5F"/>
    <w:rsid w:val="003D5DEE"/>
    <w:rsid w:val="003D602E"/>
    <w:rsid w:val="003D6077"/>
    <w:rsid w:val="003D622D"/>
    <w:rsid w:val="003D63D6"/>
    <w:rsid w:val="003D641A"/>
    <w:rsid w:val="003D6707"/>
    <w:rsid w:val="003D675B"/>
    <w:rsid w:val="003D6897"/>
    <w:rsid w:val="003D6ADD"/>
    <w:rsid w:val="003D6B5A"/>
    <w:rsid w:val="003D6DB7"/>
    <w:rsid w:val="003D6FC5"/>
    <w:rsid w:val="003D710C"/>
    <w:rsid w:val="003D71D3"/>
    <w:rsid w:val="003D71DD"/>
    <w:rsid w:val="003D71EB"/>
    <w:rsid w:val="003D722E"/>
    <w:rsid w:val="003D72CE"/>
    <w:rsid w:val="003D7498"/>
    <w:rsid w:val="003D76FD"/>
    <w:rsid w:val="003D7737"/>
    <w:rsid w:val="003D7862"/>
    <w:rsid w:val="003D7B6E"/>
    <w:rsid w:val="003D7CC0"/>
    <w:rsid w:val="003D7DF9"/>
    <w:rsid w:val="003D7E61"/>
    <w:rsid w:val="003D7FD3"/>
    <w:rsid w:val="003D7FE0"/>
    <w:rsid w:val="003E007D"/>
    <w:rsid w:val="003E022C"/>
    <w:rsid w:val="003E02E9"/>
    <w:rsid w:val="003E02FC"/>
    <w:rsid w:val="003E0348"/>
    <w:rsid w:val="003E04C8"/>
    <w:rsid w:val="003E05C2"/>
    <w:rsid w:val="003E068E"/>
    <w:rsid w:val="003E085B"/>
    <w:rsid w:val="003E091C"/>
    <w:rsid w:val="003E0C74"/>
    <w:rsid w:val="003E16BC"/>
    <w:rsid w:val="003E174F"/>
    <w:rsid w:val="003E1839"/>
    <w:rsid w:val="003E19F5"/>
    <w:rsid w:val="003E1BB3"/>
    <w:rsid w:val="003E22CB"/>
    <w:rsid w:val="003E2343"/>
    <w:rsid w:val="003E24BD"/>
    <w:rsid w:val="003E24D9"/>
    <w:rsid w:val="003E285A"/>
    <w:rsid w:val="003E29A6"/>
    <w:rsid w:val="003E2A1F"/>
    <w:rsid w:val="003E2A2D"/>
    <w:rsid w:val="003E2A75"/>
    <w:rsid w:val="003E2AD6"/>
    <w:rsid w:val="003E2B2D"/>
    <w:rsid w:val="003E2BE4"/>
    <w:rsid w:val="003E2CE1"/>
    <w:rsid w:val="003E2D31"/>
    <w:rsid w:val="003E2D92"/>
    <w:rsid w:val="003E2E80"/>
    <w:rsid w:val="003E304D"/>
    <w:rsid w:val="003E3097"/>
    <w:rsid w:val="003E38B7"/>
    <w:rsid w:val="003E3BE8"/>
    <w:rsid w:val="003E3F51"/>
    <w:rsid w:val="003E406B"/>
    <w:rsid w:val="003E41AC"/>
    <w:rsid w:val="003E423E"/>
    <w:rsid w:val="003E42BF"/>
    <w:rsid w:val="003E4412"/>
    <w:rsid w:val="003E4592"/>
    <w:rsid w:val="003E45DE"/>
    <w:rsid w:val="003E4638"/>
    <w:rsid w:val="003E473E"/>
    <w:rsid w:val="003E474F"/>
    <w:rsid w:val="003E477B"/>
    <w:rsid w:val="003E4C12"/>
    <w:rsid w:val="003E4D3F"/>
    <w:rsid w:val="003E4F96"/>
    <w:rsid w:val="003E4FB7"/>
    <w:rsid w:val="003E53B0"/>
    <w:rsid w:val="003E53B7"/>
    <w:rsid w:val="003E5478"/>
    <w:rsid w:val="003E5588"/>
    <w:rsid w:val="003E597D"/>
    <w:rsid w:val="003E5CCA"/>
    <w:rsid w:val="003E5E96"/>
    <w:rsid w:val="003E6012"/>
    <w:rsid w:val="003E6140"/>
    <w:rsid w:val="003E618B"/>
    <w:rsid w:val="003E631B"/>
    <w:rsid w:val="003E63D6"/>
    <w:rsid w:val="003E64BA"/>
    <w:rsid w:val="003E67E2"/>
    <w:rsid w:val="003E6917"/>
    <w:rsid w:val="003E693A"/>
    <w:rsid w:val="003E69D4"/>
    <w:rsid w:val="003E6ED0"/>
    <w:rsid w:val="003E7296"/>
    <w:rsid w:val="003E744E"/>
    <w:rsid w:val="003E7554"/>
    <w:rsid w:val="003E7773"/>
    <w:rsid w:val="003E780B"/>
    <w:rsid w:val="003E791E"/>
    <w:rsid w:val="003E795A"/>
    <w:rsid w:val="003E7A33"/>
    <w:rsid w:val="003E7A46"/>
    <w:rsid w:val="003E7B56"/>
    <w:rsid w:val="003E7C3A"/>
    <w:rsid w:val="003E7C4C"/>
    <w:rsid w:val="003E7C85"/>
    <w:rsid w:val="003E7FF0"/>
    <w:rsid w:val="003F015B"/>
    <w:rsid w:val="003F04EC"/>
    <w:rsid w:val="003F0689"/>
    <w:rsid w:val="003F0793"/>
    <w:rsid w:val="003F08CE"/>
    <w:rsid w:val="003F0A2A"/>
    <w:rsid w:val="003F0AB3"/>
    <w:rsid w:val="003F0F46"/>
    <w:rsid w:val="003F10D4"/>
    <w:rsid w:val="003F115E"/>
    <w:rsid w:val="003F11D0"/>
    <w:rsid w:val="003F11F2"/>
    <w:rsid w:val="003F12D7"/>
    <w:rsid w:val="003F14C2"/>
    <w:rsid w:val="003F1614"/>
    <w:rsid w:val="003F1619"/>
    <w:rsid w:val="003F193B"/>
    <w:rsid w:val="003F1A4E"/>
    <w:rsid w:val="003F1A65"/>
    <w:rsid w:val="003F1B28"/>
    <w:rsid w:val="003F1C56"/>
    <w:rsid w:val="003F1F06"/>
    <w:rsid w:val="003F20A4"/>
    <w:rsid w:val="003F2210"/>
    <w:rsid w:val="003F2226"/>
    <w:rsid w:val="003F27A4"/>
    <w:rsid w:val="003F27DC"/>
    <w:rsid w:val="003F2896"/>
    <w:rsid w:val="003F2F2A"/>
    <w:rsid w:val="003F3333"/>
    <w:rsid w:val="003F33DE"/>
    <w:rsid w:val="003F3606"/>
    <w:rsid w:val="003F374C"/>
    <w:rsid w:val="003F387D"/>
    <w:rsid w:val="003F3CFA"/>
    <w:rsid w:val="003F3D9D"/>
    <w:rsid w:val="003F3E6E"/>
    <w:rsid w:val="003F3EF5"/>
    <w:rsid w:val="003F3FDC"/>
    <w:rsid w:val="003F40E1"/>
    <w:rsid w:val="003F43AB"/>
    <w:rsid w:val="003F43F9"/>
    <w:rsid w:val="003F4891"/>
    <w:rsid w:val="003F4A62"/>
    <w:rsid w:val="003F4D3A"/>
    <w:rsid w:val="003F5042"/>
    <w:rsid w:val="003F5185"/>
    <w:rsid w:val="003F5355"/>
    <w:rsid w:val="003F535C"/>
    <w:rsid w:val="003F591F"/>
    <w:rsid w:val="003F5C1E"/>
    <w:rsid w:val="003F5D14"/>
    <w:rsid w:val="003F5D78"/>
    <w:rsid w:val="003F5E1E"/>
    <w:rsid w:val="003F5EAD"/>
    <w:rsid w:val="003F600D"/>
    <w:rsid w:val="003F61EC"/>
    <w:rsid w:val="003F62D1"/>
    <w:rsid w:val="003F63DC"/>
    <w:rsid w:val="003F66FE"/>
    <w:rsid w:val="003F6724"/>
    <w:rsid w:val="003F691A"/>
    <w:rsid w:val="003F6954"/>
    <w:rsid w:val="003F6A00"/>
    <w:rsid w:val="003F6A5B"/>
    <w:rsid w:val="003F6D99"/>
    <w:rsid w:val="003F6DF2"/>
    <w:rsid w:val="003F6ED0"/>
    <w:rsid w:val="003F7196"/>
    <w:rsid w:val="003F7317"/>
    <w:rsid w:val="003F7367"/>
    <w:rsid w:val="003F7602"/>
    <w:rsid w:val="003F77AF"/>
    <w:rsid w:val="003F780C"/>
    <w:rsid w:val="003F7B36"/>
    <w:rsid w:val="003F7DBB"/>
    <w:rsid w:val="00400051"/>
    <w:rsid w:val="004002AD"/>
    <w:rsid w:val="004003A6"/>
    <w:rsid w:val="00400418"/>
    <w:rsid w:val="004004D1"/>
    <w:rsid w:val="00400659"/>
    <w:rsid w:val="004008AF"/>
    <w:rsid w:val="00400B36"/>
    <w:rsid w:val="00400B4A"/>
    <w:rsid w:val="00400B5F"/>
    <w:rsid w:val="00400BC9"/>
    <w:rsid w:val="00400D2C"/>
    <w:rsid w:val="00400ED0"/>
    <w:rsid w:val="00400F0B"/>
    <w:rsid w:val="00400F22"/>
    <w:rsid w:val="004010EB"/>
    <w:rsid w:val="00401162"/>
    <w:rsid w:val="0040150D"/>
    <w:rsid w:val="004018AF"/>
    <w:rsid w:val="004018CC"/>
    <w:rsid w:val="004018FF"/>
    <w:rsid w:val="00401B49"/>
    <w:rsid w:val="00401D62"/>
    <w:rsid w:val="00401DBF"/>
    <w:rsid w:val="00401E29"/>
    <w:rsid w:val="00401E51"/>
    <w:rsid w:val="00401E8D"/>
    <w:rsid w:val="0040214F"/>
    <w:rsid w:val="004021F4"/>
    <w:rsid w:val="00402313"/>
    <w:rsid w:val="0040251C"/>
    <w:rsid w:val="00402685"/>
    <w:rsid w:val="004026EC"/>
    <w:rsid w:val="0040271E"/>
    <w:rsid w:val="004027C6"/>
    <w:rsid w:val="00402FB9"/>
    <w:rsid w:val="004030D3"/>
    <w:rsid w:val="004030FF"/>
    <w:rsid w:val="004031E3"/>
    <w:rsid w:val="00403207"/>
    <w:rsid w:val="004033D9"/>
    <w:rsid w:val="00403ED3"/>
    <w:rsid w:val="00403F7A"/>
    <w:rsid w:val="004040D3"/>
    <w:rsid w:val="004040F0"/>
    <w:rsid w:val="004041C2"/>
    <w:rsid w:val="004042B7"/>
    <w:rsid w:val="004046D2"/>
    <w:rsid w:val="00404A94"/>
    <w:rsid w:val="00404B5D"/>
    <w:rsid w:val="00404DA0"/>
    <w:rsid w:val="00404E84"/>
    <w:rsid w:val="00405077"/>
    <w:rsid w:val="004054DD"/>
    <w:rsid w:val="0040551F"/>
    <w:rsid w:val="0040567F"/>
    <w:rsid w:val="0040595F"/>
    <w:rsid w:val="00405C24"/>
    <w:rsid w:val="00405E61"/>
    <w:rsid w:val="004060BB"/>
    <w:rsid w:val="004063A3"/>
    <w:rsid w:val="0040640C"/>
    <w:rsid w:val="00406805"/>
    <w:rsid w:val="00406B3C"/>
    <w:rsid w:val="00406D1E"/>
    <w:rsid w:val="00406ECB"/>
    <w:rsid w:val="0040709D"/>
    <w:rsid w:val="0040715F"/>
    <w:rsid w:val="0040771F"/>
    <w:rsid w:val="00407836"/>
    <w:rsid w:val="004078B4"/>
    <w:rsid w:val="00407A2D"/>
    <w:rsid w:val="00407BC5"/>
    <w:rsid w:val="00407D59"/>
    <w:rsid w:val="0041036B"/>
    <w:rsid w:val="0041063F"/>
    <w:rsid w:val="004106E2"/>
    <w:rsid w:val="0041091A"/>
    <w:rsid w:val="00410AB2"/>
    <w:rsid w:val="00410C5A"/>
    <w:rsid w:val="00410D74"/>
    <w:rsid w:val="00410D91"/>
    <w:rsid w:val="00410E22"/>
    <w:rsid w:val="00410F70"/>
    <w:rsid w:val="004110A4"/>
    <w:rsid w:val="004111F7"/>
    <w:rsid w:val="00411391"/>
    <w:rsid w:val="00411695"/>
    <w:rsid w:val="004116CC"/>
    <w:rsid w:val="0041176D"/>
    <w:rsid w:val="004117DD"/>
    <w:rsid w:val="00411859"/>
    <w:rsid w:val="004119F8"/>
    <w:rsid w:val="00411B7A"/>
    <w:rsid w:val="00411BA0"/>
    <w:rsid w:val="00411CD2"/>
    <w:rsid w:val="0041217D"/>
    <w:rsid w:val="004122CE"/>
    <w:rsid w:val="004123C1"/>
    <w:rsid w:val="0041241B"/>
    <w:rsid w:val="004125C6"/>
    <w:rsid w:val="004125C8"/>
    <w:rsid w:val="00412717"/>
    <w:rsid w:val="0041275F"/>
    <w:rsid w:val="004129BC"/>
    <w:rsid w:val="00412C81"/>
    <w:rsid w:val="00412E7A"/>
    <w:rsid w:val="004132ED"/>
    <w:rsid w:val="0041343C"/>
    <w:rsid w:val="00413519"/>
    <w:rsid w:val="004135AC"/>
    <w:rsid w:val="00413613"/>
    <w:rsid w:val="0041366D"/>
    <w:rsid w:val="00413953"/>
    <w:rsid w:val="00413A26"/>
    <w:rsid w:val="00413A91"/>
    <w:rsid w:val="00413E92"/>
    <w:rsid w:val="004141D8"/>
    <w:rsid w:val="00414371"/>
    <w:rsid w:val="00414608"/>
    <w:rsid w:val="00414797"/>
    <w:rsid w:val="004148B4"/>
    <w:rsid w:val="00414A82"/>
    <w:rsid w:val="00414B49"/>
    <w:rsid w:val="0041507C"/>
    <w:rsid w:val="00415381"/>
    <w:rsid w:val="00415426"/>
    <w:rsid w:val="00415719"/>
    <w:rsid w:val="0041574C"/>
    <w:rsid w:val="004157FF"/>
    <w:rsid w:val="00415BBA"/>
    <w:rsid w:val="00415D00"/>
    <w:rsid w:val="00415F41"/>
    <w:rsid w:val="00415F76"/>
    <w:rsid w:val="00416320"/>
    <w:rsid w:val="00416356"/>
    <w:rsid w:val="0041641C"/>
    <w:rsid w:val="00416425"/>
    <w:rsid w:val="00416522"/>
    <w:rsid w:val="00416881"/>
    <w:rsid w:val="00416A97"/>
    <w:rsid w:val="00416E9D"/>
    <w:rsid w:val="00417149"/>
    <w:rsid w:val="0041729A"/>
    <w:rsid w:val="004175C8"/>
    <w:rsid w:val="0041777B"/>
    <w:rsid w:val="0041796E"/>
    <w:rsid w:val="00417AC3"/>
    <w:rsid w:val="00417C5D"/>
    <w:rsid w:val="00417CA5"/>
    <w:rsid w:val="00417D35"/>
    <w:rsid w:val="0042012A"/>
    <w:rsid w:val="00420B66"/>
    <w:rsid w:val="00420E2A"/>
    <w:rsid w:val="00421049"/>
    <w:rsid w:val="004212E8"/>
    <w:rsid w:val="0042167D"/>
    <w:rsid w:val="00421783"/>
    <w:rsid w:val="00421793"/>
    <w:rsid w:val="00421817"/>
    <w:rsid w:val="0042186C"/>
    <w:rsid w:val="00421A4B"/>
    <w:rsid w:val="00421A7C"/>
    <w:rsid w:val="00421A89"/>
    <w:rsid w:val="00421EBC"/>
    <w:rsid w:val="00421F83"/>
    <w:rsid w:val="0042204A"/>
    <w:rsid w:val="00422219"/>
    <w:rsid w:val="004222B0"/>
    <w:rsid w:val="00422420"/>
    <w:rsid w:val="0042242B"/>
    <w:rsid w:val="0042251A"/>
    <w:rsid w:val="004227F2"/>
    <w:rsid w:val="0042298E"/>
    <w:rsid w:val="0042299C"/>
    <w:rsid w:val="00422C0E"/>
    <w:rsid w:val="00422FCE"/>
    <w:rsid w:val="0042304B"/>
    <w:rsid w:val="004231F3"/>
    <w:rsid w:val="0042328C"/>
    <w:rsid w:val="004232FD"/>
    <w:rsid w:val="00423377"/>
    <w:rsid w:val="004233AC"/>
    <w:rsid w:val="004233DF"/>
    <w:rsid w:val="00423466"/>
    <w:rsid w:val="004234C7"/>
    <w:rsid w:val="00423578"/>
    <w:rsid w:val="004235FA"/>
    <w:rsid w:val="00423709"/>
    <w:rsid w:val="0042381D"/>
    <w:rsid w:val="0042397A"/>
    <w:rsid w:val="00423E06"/>
    <w:rsid w:val="00423E7D"/>
    <w:rsid w:val="00423E96"/>
    <w:rsid w:val="00424084"/>
    <w:rsid w:val="004240B4"/>
    <w:rsid w:val="00424115"/>
    <w:rsid w:val="00424464"/>
    <w:rsid w:val="004244A0"/>
    <w:rsid w:val="00424625"/>
    <w:rsid w:val="0042475E"/>
    <w:rsid w:val="004248EA"/>
    <w:rsid w:val="00424AA9"/>
    <w:rsid w:val="00424C1C"/>
    <w:rsid w:val="00424DA9"/>
    <w:rsid w:val="00424F9F"/>
    <w:rsid w:val="00425078"/>
    <w:rsid w:val="00425086"/>
    <w:rsid w:val="004252D2"/>
    <w:rsid w:val="00425425"/>
    <w:rsid w:val="00425461"/>
    <w:rsid w:val="00425585"/>
    <w:rsid w:val="00425645"/>
    <w:rsid w:val="0042571C"/>
    <w:rsid w:val="004257C9"/>
    <w:rsid w:val="004257E3"/>
    <w:rsid w:val="00425826"/>
    <w:rsid w:val="00425870"/>
    <w:rsid w:val="00425929"/>
    <w:rsid w:val="004259DF"/>
    <w:rsid w:val="00425B06"/>
    <w:rsid w:val="00425B57"/>
    <w:rsid w:val="00425D9E"/>
    <w:rsid w:val="00425E9B"/>
    <w:rsid w:val="00425F2F"/>
    <w:rsid w:val="004260B3"/>
    <w:rsid w:val="00426347"/>
    <w:rsid w:val="00426821"/>
    <w:rsid w:val="00426D50"/>
    <w:rsid w:val="00426DC8"/>
    <w:rsid w:val="004273AD"/>
    <w:rsid w:val="004273FC"/>
    <w:rsid w:val="00427467"/>
    <w:rsid w:val="0042755C"/>
    <w:rsid w:val="00427876"/>
    <w:rsid w:val="00427942"/>
    <w:rsid w:val="00427AEA"/>
    <w:rsid w:val="00427DAE"/>
    <w:rsid w:val="00427E69"/>
    <w:rsid w:val="0043014B"/>
    <w:rsid w:val="00430188"/>
    <w:rsid w:val="00430249"/>
    <w:rsid w:val="004304B2"/>
    <w:rsid w:val="004304CC"/>
    <w:rsid w:val="004305AE"/>
    <w:rsid w:val="0043090E"/>
    <w:rsid w:val="0043095A"/>
    <w:rsid w:val="004310F4"/>
    <w:rsid w:val="00431189"/>
    <w:rsid w:val="00431276"/>
    <w:rsid w:val="00431481"/>
    <w:rsid w:val="0043155B"/>
    <w:rsid w:val="0043155F"/>
    <w:rsid w:val="0043156A"/>
    <w:rsid w:val="0043176F"/>
    <w:rsid w:val="00431789"/>
    <w:rsid w:val="004317BB"/>
    <w:rsid w:val="00431800"/>
    <w:rsid w:val="004319B9"/>
    <w:rsid w:val="00431B05"/>
    <w:rsid w:val="00431D0D"/>
    <w:rsid w:val="00431ED9"/>
    <w:rsid w:val="0043201A"/>
    <w:rsid w:val="0043202F"/>
    <w:rsid w:val="00432061"/>
    <w:rsid w:val="0043206F"/>
    <w:rsid w:val="0043207B"/>
    <w:rsid w:val="00432427"/>
    <w:rsid w:val="0043283F"/>
    <w:rsid w:val="00432B45"/>
    <w:rsid w:val="00432BFF"/>
    <w:rsid w:val="0043303E"/>
    <w:rsid w:val="0043307E"/>
    <w:rsid w:val="0043320F"/>
    <w:rsid w:val="00433541"/>
    <w:rsid w:val="00433573"/>
    <w:rsid w:val="004336F3"/>
    <w:rsid w:val="004337AF"/>
    <w:rsid w:val="00433921"/>
    <w:rsid w:val="0043397C"/>
    <w:rsid w:val="004339FE"/>
    <w:rsid w:val="00433AC3"/>
    <w:rsid w:val="00433B09"/>
    <w:rsid w:val="00433F67"/>
    <w:rsid w:val="004341C4"/>
    <w:rsid w:val="00434330"/>
    <w:rsid w:val="0043452E"/>
    <w:rsid w:val="0043455B"/>
    <w:rsid w:val="0043456B"/>
    <w:rsid w:val="00434769"/>
    <w:rsid w:val="004349AC"/>
    <w:rsid w:val="004351DA"/>
    <w:rsid w:val="00435A36"/>
    <w:rsid w:val="00435C74"/>
    <w:rsid w:val="00435F04"/>
    <w:rsid w:val="004360EC"/>
    <w:rsid w:val="004361A1"/>
    <w:rsid w:val="0043642A"/>
    <w:rsid w:val="004364B5"/>
    <w:rsid w:val="00436514"/>
    <w:rsid w:val="004368B9"/>
    <w:rsid w:val="004368C5"/>
    <w:rsid w:val="00436AF4"/>
    <w:rsid w:val="00436C2F"/>
    <w:rsid w:val="00436CE7"/>
    <w:rsid w:val="00436E09"/>
    <w:rsid w:val="00436E12"/>
    <w:rsid w:val="00436EF9"/>
    <w:rsid w:val="00436FA8"/>
    <w:rsid w:val="004370F3"/>
    <w:rsid w:val="00437256"/>
    <w:rsid w:val="004372C0"/>
    <w:rsid w:val="00437319"/>
    <w:rsid w:val="00437385"/>
    <w:rsid w:val="004373D0"/>
    <w:rsid w:val="004374B5"/>
    <w:rsid w:val="00437965"/>
    <w:rsid w:val="00437A2F"/>
    <w:rsid w:val="00437D34"/>
    <w:rsid w:val="00437D4B"/>
    <w:rsid w:val="00437D5D"/>
    <w:rsid w:val="00437E41"/>
    <w:rsid w:val="0044000F"/>
    <w:rsid w:val="004401DF"/>
    <w:rsid w:val="004401F4"/>
    <w:rsid w:val="004403A8"/>
    <w:rsid w:val="004404BF"/>
    <w:rsid w:val="0044066B"/>
    <w:rsid w:val="00440987"/>
    <w:rsid w:val="00440A10"/>
    <w:rsid w:val="00440A43"/>
    <w:rsid w:val="00440A7C"/>
    <w:rsid w:val="00440B08"/>
    <w:rsid w:val="0044120E"/>
    <w:rsid w:val="0044122E"/>
    <w:rsid w:val="004413E2"/>
    <w:rsid w:val="004413F2"/>
    <w:rsid w:val="00441541"/>
    <w:rsid w:val="00441E2A"/>
    <w:rsid w:val="004420B9"/>
    <w:rsid w:val="00442100"/>
    <w:rsid w:val="0044219A"/>
    <w:rsid w:val="0044228C"/>
    <w:rsid w:val="004422CF"/>
    <w:rsid w:val="004423F7"/>
    <w:rsid w:val="0044244A"/>
    <w:rsid w:val="0044271F"/>
    <w:rsid w:val="00442A38"/>
    <w:rsid w:val="00442A49"/>
    <w:rsid w:val="00442AC8"/>
    <w:rsid w:val="00442F3E"/>
    <w:rsid w:val="00442FAD"/>
    <w:rsid w:val="00443324"/>
    <w:rsid w:val="00443448"/>
    <w:rsid w:val="004438F2"/>
    <w:rsid w:val="00443940"/>
    <w:rsid w:val="00443A62"/>
    <w:rsid w:val="00443AA2"/>
    <w:rsid w:val="00443ACE"/>
    <w:rsid w:val="00443C4D"/>
    <w:rsid w:val="00443D6B"/>
    <w:rsid w:val="004440FC"/>
    <w:rsid w:val="00444264"/>
    <w:rsid w:val="00444458"/>
    <w:rsid w:val="004446B5"/>
    <w:rsid w:val="004447B8"/>
    <w:rsid w:val="00444B60"/>
    <w:rsid w:val="00444B8C"/>
    <w:rsid w:val="00444D96"/>
    <w:rsid w:val="00444EB6"/>
    <w:rsid w:val="00445063"/>
    <w:rsid w:val="00445082"/>
    <w:rsid w:val="004456AE"/>
    <w:rsid w:val="004456FA"/>
    <w:rsid w:val="00445970"/>
    <w:rsid w:val="00445A16"/>
    <w:rsid w:val="00445A88"/>
    <w:rsid w:val="00445B0D"/>
    <w:rsid w:val="00445B8F"/>
    <w:rsid w:val="00445D4D"/>
    <w:rsid w:val="00445EB4"/>
    <w:rsid w:val="0044611C"/>
    <w:rsid w:val="00446128"/>
    <w:rsid w:val="0044623B"/>
    <w:rsid w:val="00446298"/>
    <w:rsid w:val="004463A8"/>
    <w:rsid w:val="004463BB"/>
    <w:rsid w:val="004464D3"/>
    <w:rsid w:val="004468CB"/>
    <w:rsid w:val="0044690B"/>
    <w:rsid w:val="00446A39"/>
    <w:rsid w:val="00446A6C"/>
    <w:rsid w:val="00446A93"/>
    <w:rsid w:val="00446B06"/>
    <w:rsid w:val="00446B84"/>
    <w:rsid w:val="00446BBE"/>
    <w:rsid w:val="00446BD0"/>
    <w:rsid w:val="00446CE1"/>
    <w:rsid w:val="00446D6A"/>
    <w:rsid w:val="00446D8C"/>
    <w:rsid w:val="00446EDB"/>
    <w:rsid w:val="00446F50"/>
    <w:rsid w:val="004473F4"/>
    <w:rsid w:val="00447622"/>
    <w:rsid w:val="0044766F"/>
    <w:rsid w:val="0044768A"/>
    <w:rsid w:val="004476C1"/>
    <w:rsid w:val="004476C8"/>
    <w:rsid w:val="0044782C"/>
    <w:rsid w:val="0044789F"/>
    <w:rsid w:val="00447A68"/>
    <w:rsid w:val="00447F31"/>
    <w:rsid w:val="00447F88"/>
    <w:rsid w:val="00450053"/>
    <w:rsid w:val="0045020A"/>
    <w:rsid w:val="004502CF"/>
    <w:rsid w:val="00450594"/>
    <w:rsid w:val="00450782"/>
    <w:rsid w:val="0045093D"/>
    <w:rsid w:val="004509AD"/>
    <w:rsid w:val="004509F3"/>
    <w:rsid w:val="00450AD2"/>
    <w:rsid w:val="00450BA7"/>
    <w:rsid w:val="004515F6"/>
    <w:rsid w:val="00451645"/>
    <w:rsid w:val="00451AF0"/>
    <w:rsid w:val="00451D05"/>
    <w:rsid w:val="00451E4B"/>
    <w:rsid w:val="00452026"/>
    <w:rsid w:val="004521A1"/>
    <w:rsid w:val="004521DE"/>
    <w:rsid w:val="00452243"/>
    <w:rsid w:val="00452694"/>
    <w:rsid w:val="004526FE"/>
    <w:rsid w:val="00452A16"/>
    <w:rsid w:val="00452DAB"/>
    <w:rsid w:val="00452E46"/>
    <w:rsid w:val="00453052"/>
    <w:rsid w:val="00453077"/>
    <w:rsid w:val="004535AF"/>
    <w:rsid w:val="004536CB"/>
    <w:rsid w:val="0045373E"/>
    <w:rsid w:val="00453A85"/>
    <w:rsid w:val="00453B39"/>
    <w:rsid w:val="00453E66"/>
    <w:rsid w:val="00453F33"/>
    <w:rsid w:val="004541CC"/>
    <w:rsid w:val="004544DE"/>
    <w:rsid w:val="00454730"/>
    <w:rsid w:val="00454964"/>
    <w:rsid w:val="00454969"/>
    <w:rsid w:val="00454C52"/>
    <w:rsid w:val="00454D7E"/>
    <w:rsid w:val="00454DE5"/>
    <w:rsid w:val="00454F8E"/>
    <w:rsid w:val="0045516C"/>
    <w:rsid w:val="00455422"/>
    <w:rsid w:val="00455623"/>
    <w:rsid w:val="0045563B"/>
    <w:rsid w:val="00455770"/>
    <w:rsid w:val="00455926"/>
    <w:rsid w:val="00455928"/>
    <w:rsid w:val="004559E9"/>
    <w:rsid w:val="00455E1D"/>
    <w:rsid w:val="00455F83"/>
    <w:rsid w:val="0045604C"/>
    <w:rsid w:val="004560A7"/>
    <w:rsid w:val="00456441"/>
    <w:rsid w:val="004565A9"/>
    <w:rsid w:val="00456FC0"/>
    <w:rsid w:val="00456FE7"/>
    <w:rsid w:val="004571E5"/>
    <w:rsid w:val="0045726F"/>
    <w:rsid w:val="0045737B"/>
    <w:rsid w:val="004573AD"/>
    <w:rsid w:val="0045764A"/>
    <w:rsid w:val="004578FC"/>
    <w:rsid w:val="004579CC"/>
    <w:rsid w:val="00457A30"/>
    <w:rsid w:val="00457BC3"/>
    <w:rsid w:val="00457C95"/>
    <w:rsid w:val="004600CE"/>
    <w:rsid w:val="00460347"/>
    <w:rsid w:val="004603AB"/>
    <w:rsid w:val="0046055C"/>
    <w:rsid w:val="00460625"/>
    <w:rsid w:val="00460810"/>
    <w:rsid w:val="00460BAF"/>
    <w:rsid w:val="00460CDE"/>
    <w:rsid w:val="00460EB8"/>
    <w:rsid w:val="00460EC0"/>
    <w:rsid w:val="00460FAA"/>
    <w:rsid w:val="00461134"/>
    <w:rsid w:val="0046116E"/>
    <w:rsid w:val="00461315"/>
    <w:rsid w:val="004615CC"/>
    <w:rsid w:val="00461697"/>
    <w:rsid w:val="00461726"/>
    <w:rsid w:val="00461C1F"/>
    <w:rsid w:val="00461DA8"/>
    <w:rsid w:val="00461E0D"/>
    <w:rsid w:val="00461F37"/>
    <w:rsid w:val="00461FD4"/>
    <w:rsid w:val="004620C0"/>
    <w:rsid w:val="00462135"/>
    <w:rsid w:val="0046225D"/>
    <w:rsid w:val="0046232F"/>
    <w:rsid w:val="00462778"/>
    <w:rsid w:val="00462940"/>
    <w:rsid w:val="00462997"/>
    <w:rsid w:val="00462EE1"/>
    <w:rsid w:val="0046338B"/>
    <w:rsid w:val="004637FD"/>
    <w:rsid w:val="004639F7"/>
    <w:rsid w:val="00463CB5"/>
    <w:rsid w:val="004645C8"/>
    <w:rsid w:val="00464749"/>
    <w:rsid w:val="004649CA"/>
    <w:rsid w:val="00464AD3"/>
    <w:rsid w:val="00464B47"/>
    <w:rsid w:val="00464E63"/>
    <w:rsid w:val="00464E68"/>
    <w:rsid w:val="00464F6C"/>
    <w:rsid w:val="00464F9D"/>
    <w:rsid w:val="00465226"/>
    <w:rsid w:val="00465277"/>
    <w:rsid w:val="00465316"/>
    <w:rsid w:val="00465376"/>
    <w:rsid w:val="004654C1"/>
    <w:rsid w:val="00465540"/>
    <w:rsid w:val="0046573B"/>
    <w:rsid w:val="004658C8"/>
    <w:rsid w:val="0046593E"/>
    <w:rsid w:val="00465C91"/>
    <w:rsid w:val="00465EB3"/>
    <w:rsid w:val="00465F2E"/>
    <w:rsid w:val="0046612E"/>
    <w:rsid w:val="004661A2"/>
    <w:rsid w:val="00466685"/>
    <w:rsid w:val="00466DF4"/>
    <w:rsid w:val="00467009"/>
    <w:rsid w:val="00467083"/>
    <w:rsid w:val="004671AB"/>
    <w:rsid w:val="0046728B"/>
    <w:rsid w:val="00467427"/>
    <w:rsid w:val="004675A4"/>
    <w:rsid w:val="00467614"/>
    <w:rsid w:val="0046770C"/>
    <w:rsid w:val="0046771D"/>
    <w:rsid w:val="00467878"/>
    <w:rsid w:val="00467D0A"/>
    <w:rsid w:val="00467D5F"/>
    <w:rsid w:val="00467D76"/>
    <w:rsid w:val="00467DA3"/>
    <w:rsid w:val="00467DF9"/>
    <w:rsid w:val="00467FD0"/>
    <w:rsid w:val="00470236"/>
    <w:rsid w:val="0047057C"/>
    <w:rsid w:val="004707F8"/>
    <w:rsid w:val="00470938"/>
    <w:rsid w:val="004709B5"/>
    <w:rsid w:val="00470A1E"/>
    <w:rsid w:val="00470F20"/>
    <w:rsid w:val="0047105F"/>
    <w:rsid w:val="00471213"/>
    <w:rsid w:val="00471282"/>
    <w:rsid w:val="00471381"/>
    <w:rsid w:val="00471443"/>
    <w:rsid w:val="0047144F"/>
    <w:rsid w:val="00471569"/>
    <w:rsid w:val="0047163C"/>
    <w:rsid w:val="00471687"/>
    <w:rsid w:val="00471771"/>
    <w:rsid w:val="00471A51"/>
    <w:rsid w:val="00471D0D"/>
    <w:rsid w:val="00471E94"/>
    <w:rsid w:val="00471EBC"/>
    <w:rsid w:val="00472131"/>
    <w:rsid w:val="004722FB"/>
    <w:rsid w:val="00472677"/>
    <w:rsid w:val="00472C00"/>
    <w:rsid w:val="00472CED"/>
    <w:rsid w:val="00472FAD"/>
    <w:rsid w:val="00473223"/>
    <w:rsid w:val="00473329"/>
    <w:rsid w:val="00473358"/>
    <w:rsid w:val="004733E0"/>
    <w:rsid w:val="00473439"/>
    <w:rsid w:val="004737C8"/>
    <w:rsid w:val="00473A0A"/>
    <w:rsid w:val="00473AAB"/>
    <w:rsid w:val="00473F74"/>
    <w:rsid w:val="00474277"/>
    <w:rsid w:val="00474359"/>
    <w:rsid w:val="004743FB"/>
    <w:rsid w:val="00474841"/>
    <w:rsid w:val="00474899"/>
    <w:rsid w:val="00474A90"/>
    <w:rsid w:val="00474DD7"/>
    <w:rsid w:val="00474E01"/>
    <w:rsid w:val="00474E83"/>
    <w:rsid w:val="00475490"/>
    <w:rsid w:val="004755B6"/>
    <w:rsid w:val="00475654"/>
    <w:rsid w:val="00475C3E"/>
    <w:rsid w:val="00475C49"/>
    <w:rsid w:val="00475CD5"/>
    <w:rsid w:val="00475CEE"/>
    <w:rsid w:val="004762AE"/>
    <w:rsid w:val="0047646D"/>
    <w:rsid w:val="004765B9"/>
    <w:rsid w:val="004767DB"/>
    <w:rsid w:val="004767EC"/>
    <w:rsid w:val="004767F3"/>
    <w:rsid w:val="004768E4"/>
    <w:rsid w:val="00476C4B"/>
    <w:rsid w:val="00476CB0"/>
    <w:rsid w:val="00476EFB"/>
    <w:rsid w:val="00477113"/>
    <w:rsid w:val="00477145"/>
    <w:rsid w:val="00477294"/>
    <w:rsid w:val="00477439"/>
    <w:rsid w:val="0047768D"/>
    <w:rsid w:val="0047778C"/>
    <w:rsid w:val="00477973"/>
    <w:rsid w:val="00477C61"/>
    <w:rsid w:val="00477FE4"/>
    <w:rsid w:val="00477FEB"/>
    <w:rsid w:val="00480091"/>
    <w:rsid w:val="004801A8"/>
    <w:rsid w:val="0048050E"/>
    <w:rsid w:val="00480531"/>
    <w:rsid w:val="00480821"/>
    <w:rsid w:val="004809A8"/>
    <w:rsid w:val="00480C52"/>
    <w:rsid w:val="00481056"/>
    <w:rsid w:val="00481179"/>
    <w:rsid w:val="004813E6"/>
    <w:rsid w:val="00481472"/>
    <w:rsid w:val="004816D8"/>
    <w:rsid w:val="004818E6"/>
    <w:rsid w:val="00481A54"/>
    <w:rsid w:val="00481A75"/>
    <w:rsid w:val="00482113"/>
    <w:rsid w:val="0048213B"/>
    <w:rsid w:val="00482624"/>
    <w:rsid w:val="00482804"/>
    <w:rsid w:val="004828E2"/>
    <w:rsid w:val="00482A78"/>
    <w:rsid w:val="00482A7F"/>
    <w:rsid w:val="00482B47"/>
    <w:rsid w:val="00482D52"/>
    <w:rsid w:val="00482DC2"/>
    <w:rsid w:val="00482EE3"/>
    <w:rsid w:val="00482F05"/>
    <w:rsid w:val="0048303D"/>
    <w:rsid w:val="0048304E"/>
    <w:rsid w:val="0048323E"/>
    <w:rsid w:val="004835F8"/>
    <w:rsid w:val="004836E9"/>
    <w:rsid w:val="004838FF"/>
    <w:rsid w:val="00483BA6"/>
    <w:rsid w:val="00483F2F"/>
    <w:rsid w:val="0048410A"/>
    <w:rsid w:val="0048427F"/>
    <w:rsid w:val="00484327"/>
    <w:rsid w:val="00484594"/>
    <w:rsid w:val="004845FB"/>
    <w:rsid w:val="00484681"/>
    <w:rsid w:val="00484697"/>
    <w:rsid w:val="00484805"/>
    <w:rsid w:val="00484C3C"/>
    <w:rsid w:val="00484CC3"/>
    <w:rsid w:val="00484DC5"/>
    <w:rsid w:val="004850A0"/>
    <w:rsid w:val="004851EC"/>
    <w:rsid w:val="00485365"/>
    <w:rsid w:val="00485444"/>
    <w:rsid w:val="004854C4"/>
    <w:rsid w:val="00485675"/>
    <w:rsid w:val="0048576F"/>
    <w:rsid w:val="00485924"/>
    <w:rsid w:val="00485B9F"/>
    <w:rsid w:val="00485C0F"/>
    <w:rsid w:val="00485DB7"/>
    <w:rsid w:val="00485DF8"/>
    <w:rsid w:val="00485EB5"/>
    <w:rsid w:val="00485FF7"/>
    <w:rsid w:val="00486009"/>
    <w:rsid w:val="00486081"/>
    <w:rsid w:val="00486318"/>
    <w:rsid w:val="0048658F"/>
    <w:rsid w:val="0048672C"/>
    <w:rsid w:val="00486A95"/>
    <w:rsid w:val="00486B69"/>
    <w:rsid w:val="00486BD6"/>
    <w:rsid w:val="00486FD1"/>
    <w:rsid w:val="00487080"/>
    <w:rsid w:val="0048717D"/>
    <w:rsid w:val="0048773A"/>
    <w:rsid w:val="0048773F"/>
    <w:rsid w:val="004879D2"/>
    <w:rsid w:val="00487B65"/>
    <w:rsid w:val="00487C85"/>
    <w:rsid w:val="00487EB7"/>
    <w:rsid w:val="00487F9A"/>
    <w:rsid w:val="00487FE2"/>
    <w:rsid w:val="00490246"/>
    <w:rsid w:val="00490395"/>
    <w:rsid w:val="00490443"/>
    <w:rsid w:val="004905FD"/>
    <w:rsid w:val="004909AF"/>
    <w:rsid w:val="00490A1B"/>
    <w:rsid w:val="00490A38"/>
    <w:rsid w:val="00490B51"/>
    <w:rsid w:val="00490BCD"/>
    <w:rsid w:val="00490D4F"/>
    <w:rsid w:val="00490D6E"/>
    <w:rsid w:val="00490D99"/>
    <w:rsid w:val="00490DC4"/>
    <w:rsid w:val="00490FCE"/>
    <w:rsid w:val="004910C0"/>
    <w:rsid w:val="004911CE"/>
    <w:rsid w:val="004911F3"/>
    <w:rsid w:val="004912A5"/>
    <w:rsid w:val="004912FA"/>
    <w:rsid w:val="00491318"/>
    <w:rsid w:val="004915F9"/>
    <w:rsid w:val="004917CF"/>
    <w:rsid w:val="00491989"/>
    <w:rsid w:val="004919A6"/>
    <w:rsid w:val="00491A7F"/>
    <w:rsid w:val="00491C8F"/>
    <w:rsid w:val="00491EC9"/>
    <w:rsid w:val="00491F89"/>
    <w:rsid w:val="004921BC"/>
    <w:rsid w:val="0049231B"/>
    <w:rsid w:val="00492354"/>
    <w:rsid w:val="00492372"/>
    <w:rsid w:val="00492496"/>
    <w:rsid w:val="00492508"/>
    <w:rsid w:val="0049270F"/>
    <w:rsid w:val="00492891"/>
    <w:rsid w:val="00492BAB"/>
    <w:rsid w:val="00492CC7"/>
    <w:rsid w:val="00492FBC"/>
    <w:rsid w:val="00493002"/>
    <w:rsid w:val="0049300E"/>
    <w:rsid w:val="004930AF"/>
    <w:rsid w:val="00493149"/>
    <w:rsid w:val="00493228"/>
    <w:rsid w:val="0049322A"/>
    <w:rsid w:val="00493387"/>
    <w:rsid w:val="004935E5"/>
    <w:rsid w:val="004935EB"/>
    <w:rsid w:val="00493B23"/>
    <w:rsid w:val="00493B94"/>
    <w:rsid w:val="00493EED"/>
    <w:rsid w:val="00493F0C"/>
    <w:rsid w:val="0049445A"/>
    <w:rsid w:val="0049454C"/>
    <w:rsid w:val="004945D0"/>
    <w:rsid w:val="004946FB"/>
    <w:rsid w:val="00494835"/>
    <w:rsid w:val="00494922"/>
    <w:rsid w:val="00494A17"/>
    <w:rsid w:val="00494AC3"/>
    <w:rsid w:val="00494B30"/>
    <w:rsid w:val="00494B60"/>
    <w:rsid w:val="00494B82"/>
    <w:rsid w:val="00494C7F"/>
    <w:rsid w:val="00494EA7"/>
    <w:rsid w:val="00494EDD"/>
    <w:rsid w:val="00494F64"/>
    <w:rsid w:val="00494FB2"/>
    <w:rsid w:val="00495193"/>
    <w:rsid w:val="0049525D"/>
    <w:rsid w:val="0049528D"/>
    <w:rsid w:val="00495642"/>
    <w:rsid w:val="00495670"/>
    <w:rsid w:val="004959B9"/>
    <w:rsid w:val="00495EE2"/>
    <w:rsid w:val="00495F8D"/>
    <w:rsid w:val="0049606F"/>
    <w:rsid w:val="00496259"/>
    <w:rsid w:val="0049630E"/>
    <w:rsid w:val="004964B9"/>
    <w:rsid w:val="00496A4A"/>
    <w:rsid w:val="00496B11"/>
    <w:rsid w:val="00496D4A"/>
    <w:rsid w:val="00496F1A"/>
    <w:rsid w:val="00496F2F"/>
    <w:rsid w:val="00497147"/>
    <w:rsid w:val="0049724C"/>
    <w:rsid w:val="00497344"/>
    <w:rsid w:val="004976BD"/>
    <w:rsid w:val="00497793"/>
    <w:rsid w:val="00497B55"/>
    <w:rsid w:val="00497B9F"/>
    <w:rsid w:val="00497C97"/>
    <w:rsid w:val="00497DAE"/>
    <w:rsid w:val="00497FB3"/>
    <w:rsid w:val="004A01AB"/>
    <w:rsid w:val="004A03D3"/>
    <w:rsid w:val="004A0462"/>
    <w:rsid w:val="004A05E5"/>
    <w:rsid w:val="004A05F1"/>
    <w:rsid w:val="004A063A"/>
    <w:rsid w:val="004A07C3"/>
    <w:rsid w:val="004A0809"/>
    <w:rsid w:val="004A0820"/>
    <w:rsid w:val="004A0D56"/>
    <w:rsid w:val="004A0DBD"/>
    <w:rsid w:val="004A1241"/>
    <w:rsid w:val="004A148F"/>
    <w:rsid w:val="004A1B54"/>
    <w:rsid w:val="004A1B8D"/>
    <w:rsid w:val="004A1D20"/>
    <w:rsid w:val="004A1F8E"/>
    <w:rsid w:val="004A2084"/>
    <w:rsid w:val="004A2161"/>
    <w:rsid w:val="004A23B2"/>
    <w:rsid w:val="004A23DF"/>
    <w:rsid w:val="004A2411"/>
    <w:rsid w:val="004A2670"/>
    <w:rsid w:val="004A281D"/>
    <w:rsid w:val="004A2A21"/>
    <w:rsid w:val="004A2D32"/>
    <w:rsid w:val="004A2DFF"/>
    <w:rsid w:val="004A2E35"/>
    <w:rsid w:val="004A3292"/>
    <w:rsid w:val="004A3394"/>
    <w:rsid w:val="004A36BF"/>
    <w:rsid w:val="004A36FC"/>
    <w:rsid w:val="004A37F3"/>
    <w:rsid w:val="004A3AAE"/>
    <w:rsid w:val="004A3BBE"/>
    <w:rsid w:val="004A3FFE"/>
    <w:rsid w:val="004A4133"/>
    <w:rsid w:val="004A42D2"/>
    <w:rsid w:val="004A4430"/>
    <w:rsid w:val="004A4516"/>
    <w:rsid w:val="004A4591"/>
    <w:rsid w:val="004A4794"/>
    <w:rsid w:val="004A4901"/>
    <w:rsid w:val="004A4921"/>
    <w:rsid w:val="004A4930"/>
    <w:rsid w:val="004A4A04"/>
    <w:rsid w:val="004A4A0D"/>
    <w:rsid w:val="004A4BA0"/>
    <w:rsid w:val="004A4DFB"/>
    <w:rsid w:val="004A4F83"/>
    <w:rsid w:val="004A4FA5"/>
    <w:rsid w:val="004A4FDF"/>
    <w:rsid w:val="004A51D5"/>
    <w:rsid w:val="004A5489"/>
    <w:rsid w:val="004A550E"/>
    <w:rsid w:val="004A58A2"/>
    <w:rsid w:val="004A5E73"/>
    <w:rsid w:val="004A5FBC"/>
    <w:rsid w:val="004A64D9"/>
    <w:rsid w:val="004A6557"/>
    <w:rsid w:val="004A65F0"/>
    <w:rsid w:val="004A6602"/>
    <w:rsid w:val="004A6DBD"/>
    <w:rsid w:val="004A6EB2"/>
    <w:rsid w:val="004A7213"/>
    <w:rsid w:val="004A745A"/>
    <w:rsid w:val="004A748B"/>
    <w:rsid w:val="004A786E"/>
    <w:rsid w:val="004A7A52"/>
    <w:rsid w:val="004A7BDB"/>
    <w:rsid w:val="004A7C97"/>
    <w:rsid w:val="004A7D1D"/>
    <w:rsid w:val="004A7E2E"/>
    <w:rsid w:val="004A7EA0"/>
    <w:rsid w:val="004A7F78"/>
    <w:rsid w:val="004B00A4"/>
    <w:rsid w:val="004B0383"/>
    <w:rsid w:val="004B0498"/>
    <w:rsid w:val="004B055C"/>
    <w:rsid w:val="004B072C"/>
    <w:rsid w:val="004B07F2"/>
    <w:rsid w:val="004B097D"/>
    <w:rsid w:val="004B0C76"/>
    <w:rsid w:val="004B0C89"/>
    <w:rsid w:val="004B0DB2"/>
    <w:rsid w:val="004B0E1F"/>
    <w:rsid w:val="004B11AC"/>
    <w:rsid w:val="004B156A"/>
    <w:rsid w:val="004B186E"/>
    <w:rsid w:val="004B19FE"/>
    <w:rsid w:val="004B1A54"/>
    <w:rsid w:val="004B1B65"/>
    <w:rsid w:val="004B1C39"/>
    <w:rsid w:val="004B1D31"/>
    <w:rsid w:val="004B1F53"/>
    <w:rsid w:val="004B1F58"/>
    <w:rsid w:val="004B2142"/>
    <w:rsid w:val="004B21EB"/>
    <w:rsid w:val="004B221D"/>
    <w:rsid w:val="004B232D"/>
    <w:rsid w:val="004B275F"/>
    <w:rsid w:val="004B288A"/>
    <w:rsid w:val="004B2A0F"/>
    <w:rsid w:val="004B2A4D"/>
    <w:rsid w:val="004B2AB9"/>
    <w:rsid w:val="004B2BC7"/>
    <w:rsid w:val="004B2CD1"/>
    <w:rsid w:val="004B2F45"/>
    <w:rsid w:val="004B3374"/>
    <w:rsid w:val="004B33C2"/>
    <w:rsid w:val="004B3726"/>
    <w:rsid w:val="004B391C"/>
    <w:rsid w:val="004B3C3B"/>
    <w:rsid w:val="004B3E76"/>
    <w:rsid w:val="004B3F14"/>
    <w:rsid w:val="004B3F21"/>
    <w:rsid w:val="004B3F37"/>
    <w:rsid w:val="004B40B6"/>
    <w:rsid w:val="004B4214"/>
    <w:rsid w:val="004B457A"/>
    <w:rsid w:val="004B45ED"/>
    <w:rsid w:val="004B4822"/>
    <w:rsid w:val="004B484F"/>
    <w:rsid w:val="004B4A85"/>
    <w:rsid w:val="004B4AF0"/>
    <w:rsid w:val="004B4C0A"/>
    <w:rsid w:val="004B4C88"/>
    <w:rsid w:val="004B4F92"/>
    <w:rsid w:val="004B55A1"/>
    <w:rsid w:val="004B5600"/>
    <w:rsid w:val="004B5643"/>
    <w:rsid w:val="004B594B"/>
    <w:rsid w:val="004B5C8C"/>
    <w:rsid w:val="004B5E3F"/>
    <w:rsid w:val="004B5F6C"/>
    <w:rsid w:val="004B5FAC"/>
    <w:rsid w:val="004B6114"/>
    <w:rsid w:val="004B61DB"/>
    <w:rsid w:val="004B62D8"/>
    <w:rsid w:val="004B66E7"/>
    <w:rsid w:val="004B689D"/>
    <w:rsid w:val="004B68F3"/>
    <w:rsid w:val="004B6A07"/>
    <w:rsid w:val="004B6C36"/>
    <w:rsid w:val="004B6D5F"/>
    <w:rsid w:val="004B725E"/>
    <w:rsid w:val="004B73D0"/>
    <w:rsid w:val="004B748F"/>
    <w:rsid w:val="004B77F9"/>
    <w:rsid w:val="004B781B"/>
    <w:rsid w:val="004B7994"/>
    <w:rsid w:val="004B7A0B"/>
    <w:rsid w:val="004B7A89"/>
    <w:rsid w:val="004B7C04"/>
    <w:rsid w:val="004B7F60"/>
    <w:rsid w:val="004C0123"/>
    <w:rsid w:val="004C0159"/>
    <w:rsid w:val="004C01F8"/>
    <w:rsid w:val="004C067F"/>
    <w:rsid w:val="004C06C7"/>
    <w:rsid w:val="004C07E1"/>
    <w:rsid w:val="004C0B5C"/>
    <w:rsid w:val="004C0E97"/>
    <w:rsid w:val="004C0EC0"/>
    <w:rsid w:val="004C12B2"/>
    <w:rsid w:val="004C13F8"/>
    <w:rsid w:val="004C142F"/>
    <w:rsid w:val="004C16FA"/>
    <w:rsid w:val="004C1942"/>
    <w:rsid w:val="004C19BD"/>
    <w:rsid w:val="004C1AE3"/>
    <w:rsid w:val="004C1B7F"/>
    <w:rsid w:val="004C1EE9"/>
    <w:rsid w:val="004C1F9D"/>
    <w:rsid w:val="004C2082"/>
    <w:rsid w:val="004C2137"/>
    <w:rsid w:val="004C21C6"/>
    <w:rsid w:val="004C21C8"/>
    <w:rsid w:val="004C255A"/>
    <w:rsid w:val="004C2677"/>
    <w:rsid w:val="004C269B"/>
    <w:rsid w:val="004C2766"/>
    <w:rsid w:val="004C2835"/>
    <w:rsid w:val="004C283C"/>
    <w:rsid w:val="004C2918"/>
    <w:rsid w:val="004C2D49"/>
    <w:rsid w:val="004C2F30"/>
    <w:rsid w:val="004C306F"/>
    <w:rsid w:val="004C30E9"/>
    <w:rsid w:val="004C31F7"/>
    <w:rsid w:val="004C344C"/>
    <w:rsid w:val="004C34AB"/>
    <w:rsid w:val="004C34C1"/>
    <w:rsid w:val="004C36CA"/>
    <w:rsid w:val="004C3745"/>
    <w:rsid w:val="004C3E28"/>
    <w:rsid w:val="004C3FE8"/>
    <w:rsid w:val="004C4152"/>
    <w:rsid w:val="004C43C5"/>
    <w:rsid w:val="004C4413"/>
    <w:rsid w:val="004C44DD"/>
    <w:rsid w:val="004C4704"/>
    <w:rsid w:val="004C4739"/>
    <w:rsid w:val="004C48C8"/>
    <w:rsid w:val="004C4951"/>
    <w:rsid w:val="004C4BB9"/>
    <w:rsid w:val="004C4C45"/>
    <w:rsid w:val="004C4D3D"/>
    <w:rsid w:val="004C4D9C"/>
    <w:rsid w:val="004C4E84"/>
    <w:rsid w:val="004C4EC4"/>
    <w:rsid w:val="004C4F5A"/>
    <w:rsid w:val="004C4F5E"/>
    <w:rsid w:val="004C4FD0"/>
    <w:rsid w:val="004C5020"/>
    <w:rsid w:val="004C51E9"/>
    <w:rsid w:val="004C52B8"/>
    <w:rsid w:val="004C53C9"/>
    <w:rsid w:val="004C551A"/>
    <w:rsid w:val="004C55BB"/>
    <w:rsid w:val="004C55D4"/>
    <w:rsid w:val="004C5619"/>
    <w:rsid w:val="004C581C"/>
    <w:rsid w:val="004C58D0"/>
    <w:rsid w:val="004C598D"/>
    <w:rsid w:val="004C5A55"/>
    <w:rsid w:val="004C5AD4"/>
    <w:rsid w:val="004C5B15"/>
    <w:rsid w:val="004C5C2E"/>
    <w:rsid w:val="004C5DBD"/>
    <w:rsid w:val="004C600A"/>
    <w:rsid w:val="004C60BA"/>
    <w:rsid w:val="004C60EB"/>
    <w:rsid w:val="004C63FF"/>
    <w:rsid w:val="004C64E8"/>
    <w:rsid w:val="004C6660"/>
    <w:rsid w:val="004C69D4"/>
    <w:rsid w:val="004C6A1F"/>
    <w:rsid w:val="004C6B80"/>
    <w:rsid w:val="004C6B93"/>
    <w:rsid w:val="004C6F59"/>
    <w:rsid w:val="004C6FD5"/>
    <w:rsid w:val="004C7023"/>
    <w:rsid w:val="004C7115"/>
    <w:rsid w:val="004C71DC"/>
    <w:rsid w:val="004C7226"/>
    <w:rsid w:val="004C73FA"/>
    <w:rsid w:val="004C7488"/>
    <w:rsid w:val="004C76BB"/>
    <w:rsid w:val="004C76F6"/>
    <w:rsid w:val="004C7839"/>
    <w:rsid w:val="004C78FC"/>
    <w:rsid w:val="004C79E0"/>
    <w:rsid w:val="004C7AD1"/>
    <w:rsid w:val="004C7C4B"/>
    <w:rsid w:val="004C7D5E"/>
    <w:rsid w:val="004D0240"/>
    <w:rsid w:val="004D047A"/>
    <w:rsid w:val="004D0506"/>
    <w:rsid w:val="004D0652"/>
    <w:rsid w:val="004D0669"/>
    <w:rsid w:val="004D06DC"/>
    <w:rsid w:val="004D0A19"/>
    <w:rsid w:val="004D0D29"/>
    <w:rsid w:val="004D0FD1"/>
    <w:rsid w:val="004D111A"/>
    <w:rsid w:val="004D1134"/>
    <w:rsid w:val="004D148E"/>
    <w:rsid w:val="004D1716"/>
    <w:rsid w:val="004D182B"/>
    <w:rsid w:val="004D1838"/>
    <w:rsid w:val="004D1AC9"/>
    <w:rsid w:val="004D1AFD"/>
    <w:rsid w:val="004D1B78"/>
    <w:rsid w:val="004D1CCD"/>
    <w:rsid w:val="004D1E24"/>
    <w:rsid w:val="004D2090"/>
    <w:rsid w:val="004D20CE"/>
    <w:rsid w:val="004D237E"/>
    <w:rsid w:val="004D23C7"/>
    <w:rsid w:val="004D25DB"/>
    <w:rsid w:val="004D2A3A"/>
    <w:rsid w:val="004D2B39"/>
    <w:rsid w:val="004D2F60"/>
    <w:rsid w:val="004D2FC5"/>
    <w:rsid w:val="004D2FF7"/>
    <w:rsid w:val="004D31C3"/>
    <w:rsid w:val="004D32C2"/>
    <w:rsid w:val="004D3365"/>
    <w:rsid w:val="004D338F"/>
    <w:rsid w:val="004D3553"/>
    <w:rsid w:val="004D3692"/>
    <w:rsid w:val="004D3740"/>
    <w:rsid w:val="004D3897"/>
    <w:rsid w:val="004D3912"/>
    <w:rsid w:val="004D391F"/>
    <w:rsid w:val="004D39DA"/>
    <w:rsid w:val="004D3B20"/>
    <w:rsid w:val="004D3CEA"/>
    <w:rsid w:val="004D3E21"/>
    <w:rsid w:val="004D3FEE"/>
    <w:rsid w:val="004D4011"/>
    <w:rsid w:val="004D4142"/>
    <w:rsid w:val="004D4165"/>
    <w:rsid w:val="004D4211"/>
    <w:rsid w:val="004D43BA"/>
    <w:rsid w:val="004D4425"/>
    <w:rsid w:val="004D44C6"/>
    <w:rsid w:val="004D459B"/>
    <w:rsid w:val="004D45E6"/>
    <w:rsid w:val="004D49B6"/>
    <w:rsid w:val="004D4AFE"/>
    <w:rsid w:val="004D4B7F"/>
    <w:rsid w:val="004D4C88"/>
    <w:rsid w:val="004D4C90"/>
    <w:rsid w:val="004D4EC1"/>
    <w:rsid w:val="004D4F0D"/>
    <w:rsid w:val="004D554A"/>
    <w:rsid w:val="004D5690"/>
    <w:rsid w:val="004D56D3"/>
    <w:rsid w:val="004D599C"/>
    <w:rsid w:val="004D5A2F"/>
    <w:rsid w:val="004D5E02"/>
    <w:rsid w:val="004D6026"/>
    <w:rsid w:val="004D605F"/>
    <w:rsid w:val="004D623E"/>
    <w:rsid w:val="004D6353"/>
    <w:rsid w:val="004D6766"/>
    <w:rsid w:val="004D67CA"/>
    <w:rsid w:val="004D69A8"/>
    <w:rsid w:val="004D6C9F"/>
    <w:rsid w:val="004D6E3E"/>
    <w:rsid w:val="004D72C5"/>
    <w:rsid w:val="004D7421"/>
    <w:rsid w:val="004D77D1"/>
    <w:rsid w:val="004D787E"/>
    <w:rsid w:val="004D799C"/>
    <w:rsid w:val="004D7C51"/>
    <w:rsid w:val="004D7D76"/>
    <w:rsid w:val="004D7E91"/>
    <w:rsid w:val="004D7F39"/>
    <w:rsid w:val="004D7F70"/>
    <w:rsid w:val="004E06C5"/>
    <w:rsid w:val="004E07EC"/>
    <w:rsid w:val="004E0824"/>
    <w:rsid w:val="004E096D"/>
    <w:rsid w:val="004E0A22"/>
    <w:rsid w:val="004E0A93"/>
    <w:rsid w:val="004E0BA9"/>
    <w:rsid w:val="004E0D1E"/>
    <w:rsid w:val="004E0D3E"/>
    <w:rsid w:val="004E0DFF"/>
    <w:rsid w:val="004E0E12"/>
    <w:rsid w:val="004E0EC5"/>
    <w:rsid w:val="004E0F2C"/>
    <w:rsid w:val="004E155A"/>
    <w:rsid w:val="004E158B"/>
    <w:rsid w:val="004E161C"/>
    <w:rsid w:val="004E1EBD"/>
    <w:rsid w:val="004E1ED1"/>
    <w:rsid w:val="004E240B"/>
    <w:rsid w:val="004E2BD6"/>
    <w:rsid w:val="004E2BE3"/>
    <w:rsid w:val="004E2BFF"/>
    <w:rsid w:val="004E2D8C"/>
    <w:rsid w:val="004E2DF1"/>
    <w:rsid w:val="004E2E33"/>
    <w:rsid w:val="004E302C"/>
    <w:rsid w:val="004E3148"/>
    <w:rsid w:val="004E31A2"/>
    <w:rsid w:val="004E31AD"/>
    <w:rsid w:val="004E33D0"/>
    <w:rsid w:val="004E375F"/>
    <w:rsid w:val="004E38C3"/>
    <w:rsid w:val="004E38FD"/>
    <w:rsid w:val="004E39C6"/>
    <w:rsid w:val="004E3A43"/>
    <w:rsid w:val="004E3B39"/>
    <w:rsid w:val="004E3CD4"/>
    <w:rsid w:val="004E3F1A"/>
    <w:rsid w:val="004E3F94"/>
    <w:rsid w:val="004E3FEE"/>
    <w:rsid w:val="004E414D"/>
    <w:rsid w:val="004E42C9"/>
    <w:rsid w:val="004E469F"/>
    <w:rsid w:val="004E4822"/>
    <w:rsid w:val="004E48F9"/>
    <w:rsid w:val="004E496F"/>
    <w:rsid w:val="004E49C1"/>
    <w:rsid w:val="004E4A6B"/>
    <w:rsid w:val="004E4AB7"/>
    <w:rsid w:val="004E4AF7"/>
    <w:rsid w:val="004E4DA0"/>
    <w:rsid w:val="004E4ED9"/>
    <w:rsid w:val="004E4EF9"/>
    <w:rsid w:val="004E4F6B"/>
    <w:rsid w:val="004E50DE"/>
    <w:rsid w:val="004E5360"/>
    <w:rsid w:val="004E5417"/>
    <w:rsid w:val="004E5560"/>
    <w:rsid w:val="004E57B3"/>
    <w:rsid w:val="004E589E"/>
    <w:rsid w:val="004E5934"/>
    <w:rsid w:val="004E594B"/>
    <w:rsid w:val="004E5A12"/>
    <w:rsid w:val="004E5A60"/>
    <w:rsid w:val="004E6061"/>
    <w:rsid w:val="004E6608"/>
    <w:rsid w:val="004E6D27"/>
    <w:rsid w:val="004E6D36"/>
    <w:rsid w:val="004E6DD7"/>
    <w:rsid w:val="004E701A"/>
    <w:rsid w:val="004E749D"/>
    <w:rsid w:val="004E74AB"/>
    <w:rsid w:val="004E750B"/>
    <w:rsid w:val="004E765B"/>
    <w:rsid w:val="004E7675"/>
    <w:rsid w:val="004E7AED"/>
    <w:rsid w:val="004E7BDD"/>
    <w:rsid w:val="004E7C40"/>
    <w:rsid w:val="004E7E10"/>
    <w:rsid w:val="004F00FD"/>
    <w:rsid w:val="004F041D"/>
    <w:rsid w:val="004F04D3"/>
    <w:rsid w:val="004F0530"/>
    <w:rsid w:val="004F05C4"/>
    <w:rsid w:val="004F082F"/>
    <w:rsid w:val="004F08ED"/>
    <w:rsid w:val="004F098D"/>
    <w:rsid w:val="004F0CE6"/>
    <w:rsid w:val="004F0DFD"/>
    <w:rsid w:val="004F0F23"/>
    <w:rsid w:val="004F14F5"/>
    <w:rsid w:val="004F1885"/>
    <w:rsid w:val="004F1C75"/>
    <w:rsid w:val="004F1E35"/>
    <w:rsid w:val="004F1FB7"/>
    <w:rsid w:val="004F2086"/>
    <w:rsid w:val="004F2167"/>
    <w:rsid w:val="004F21B3"/>
    <w:rsid w:val="004F24C4"/>
    <w:rsid w:val="004F25BD"/>
    <w:rsid w:val="004F26BB"/>
    <w:rsid w:val="004F2806"/>
    <w:rsid w:val="004F28D8"/>
    <w:rsid w:val="004F2D85"/>
    <w:rsid w:val="004F3079"/>
    <w:rsid w:val="004F311E"/>
    <w:rsid w:val="004F3362"/>
    <w:rsid w:val="004F3426"/>
    <w:rsid w:val="004F3476"/>
    <w:rsid w:val="004F35C6"/>
    <w:rsid w:val="004F365A"/>
    <w:rsid w:val="004F38F8"/>
    <w:rsid w:val="004F3994"/>
    <w:rsid w:val="004F3A17"/>
    <w:rsid w:val="004F3E56"/>
    <w:rsid w:val="004F3F6E"/>
    <w:rsid w:val="004F4156"/>
    <w:rsid w:val="004F41A0"/>
    <w:rsid w:val="004F45AE"/>
    <w:rsid w:val="004F47B5"/>
    <w:rsid w:val="004F47D1"/>
    <w:rsid w:val="004F4803"/>
    <w:rsid w:val="004F4846"/>
    <w:rsid w:val="004F48D5"/>
    <w:rsid w:val="004F50DA"/>
    <w:rsid w:val="004F5315"/>
    <w:rsid w:val="004F54C2"/>
    <w:rsid w:val="004F61E8"/>
    <w:rsid w:val="004F626A"/>
    <w:rsid w:val="004F62DD"/>
    <w:rsid w:val="004F62FA"/>
    <w:rsid w:val="004F6529"/>
    <w:rsid w:val="004F6A5E"/>
    <w:rsid w:val="004F6AD3"/>
    <w:rsid w:val="004F6F1A"/>
    <w:rsid w:val="004F7276"/>
    <w:rsid w:val="004F74D7"/>
    <w:rsid w:val="004F7696"/>
    <w:rsid w:val="004F7823"/>
    <w:rsid w:val="004F7980"/>
    <w:rsid w:val="004F7B14"/>
    <w:rsid w:val="004F7CCB"/>
    <w:rsid w:val="004F7DAF"/>
    <w:rsid w:val="004F7E68"/>
    <w:rsid w:val="0050022D"/>
    <w:rsid w:val="0050024C"/>
    <w:rsid w:val="0050042D"/>
    <w:rsid w:val="0050050E"/>
    <w:rsid w:val="005005ED"/>
    <w:rsid w:val="0050079F"/>
    <w:rsid w:val="0050097E"/>
    <w:rsid w:val="00500F1F"/>
    <w:rsid w:val="00500FB9"/>
    <w:rsid w:val="005011D0"/>
    <w:rsid w:val="00501240"/>
    <w:rsid w:val="00501386"/>
    <w:rsid w:val="005013A2"/>
    <w:rsid w:val="005017D8"/>
    <w:rsid w:val="00501BD9"/>
    <w:rsid w:val="00501C25"/>
    <w:rsid w:val="00501C29"/>
    <w:rsid w:val="00501F65"/>
    <w:rsid w:val="005020FA"/>
    <w:rsid w:val="0050213F"/>
    <w:rsid w:val="00502345"/>
    <w:rsid w:val="00502644"/>
    <w:rsid w:val="0050264E"/>
    <w:rsid w:val="005026BF"/>
    <w:rsid w:val="00502789"/>
    <w:rsid w:val="005027A6"/>
    <w:rsid w:val="005027AB"/>
    <w:rsid w:val="00502AB9"/>
    <w:rsid w:val="00502C7C"/>
    <w:rsid w:val="00502CE8"/>
    <w:rsid w:val="00502DAE"/>
    <w:rsid w:val="00502DB6"/>
    <w:rsid w:val="00502ECC"/>
    <w:rsid w:val="00502FFB"/>
    <w:rsid w:val="00503028"/>
    <w:rsid w:val="0050362C"/>
    <w:rsid w:val="00503756"/>
    <w:rsid w:val="0050376D"/>
    <w:rsid w:val="005038A0"/>
    <w:rsid w:val="005039D2"/>
    <w:rsid w:val="00503B08"/>
    <w:rsid w:val="00503BE4"/>
    <w:rsid w:val="00503C77"/>
    <w:rsid w:val="00503E09"/>
    <w:rsid w:val="00503E74"/>
    <w:rsid w:val="00504477"/>
    <w:rsid w:val="005044C9"/>
    <w:rsid w:val="005048D2"/>
    <w:rsid w:val="00504A82"/>
    <w:rsid w:val="00504B9A"/>
    <w:rsid w:val="00504C83"/>
    <w:rsid w:val="00504CF7"/>
    <w:rsid w:val="00504D1B"/>
    <w:rsid w:val="00504EA5"/>
    <w:rsid w:val="00504F28"/>
    <w:rsid w:val="0050503A"/>
    <w:rsid w:val="00505150"/>
    <w:rsid w:val="00505165"/>
    <w:rsid w:val="0050524D"/>
    <w:rsid w:val="00505363"/>
    <w:rsid w:val="005056FA"/>
    <w:rsid w:val="00505786"/>
    <w:rsid w:val="00505A99"/>
    <w:rsid w:val="00505ABD"/>
    <w:rsid w:val="00505B0C"/>
    <w:rsid w:val="00505B37"/>
    <w:rsid w:val="00505B68"/>
    <w:rsid w:val="00505E19"/>
    <w:rsid w:val="0050616B"/>
    <w:rsid w:val="005061A9"/>
    <w:rsid w:val="005062C8"/>
    <w:rsid w:val="005065FE"/>
    <w:rsid w:val="005066F7"/>
    <w:rsid w:val="00506822"/>
    <w:rsid w:val="00506876"/>
    <w:rsid w:val="00506B11"/>
    <w:rsid w:val="00506B8F"/>
    <w:rsid w:val="00506D45"/>
    <w:rsid w:val="00507151"/>
    <w:rsid w:val="00507169"/>
    <w:rsid w:val="00507212"/>
    <w:rsid w:val="00507814"/>
    <w:rsid w:val="0050789D"/>
    <w:rsid w:val="00507BF8"/>
    <w:rsid w:val="00507D94"/>
    <w:rsid w:val="00507E01"/>
    <w:rsid w:val="0051027F"/>
    <w:rsid w:val="005103C5"/>
    <w:rsid w:val="005109E2"/>
    <w:rsid w:val="00510E22"/>
    <w:rsid w:val="00510E6B"/>
    <w:rsid w:val="00510F75"/>
    <w:rsid w:val="0051110A"/>
    <w:rsid w:val="00511436"/>
    <w:rsid w:val="0051176F"/>
    <w:rsid w:val="00511CB5"/>
    <w:rsid w:val="00511E68"/>
    <w:rsid w:val="00511F1F"/>
    <w:rsid w:val="00511FD0"/>
    <w:rsid w:val="0051255C"/>
    <w:rsid w:val="00512A25"/>
    <w:rsid w:val="00512A63"/>
    <w:rsid w:val="00512D52"/>
    <w:rsid w:val="00512F24"/>
    <w:rsid w:val="005131D3"/>
    <w:rsid w:val="00513478"/>
    <w:rsid w:val="005134CA"/>
    <w:rsid w:val="005134F9"/>
    <w:rsid w:val="0051352C"/>
    <w:rsid w:val="00513557"/>
    <w:rsid w:val="00513589"/>
    <w:rsid w:val="005136D4"/>
    <w:rsid w:val="00513821"/>
    <w:rsid w:val="005138EC"/>
    <w:rsid w:val="00513A46"/>
    <w:rsid w:val="00513D26"/>
    <w:rsid w:val="00513E98"/>
    <w:rsid w:val="00513F64"/>
    <w:rsid w:val="00514100"/>
    <w:rsid w:val="00514384"/>
    <w:rsid w:val="00514533"/>
    <w:rsid w:val="00514647"/>
    <w:rsid w:val="0051465A"/>
    <w:rsid w:val="0051469F"/>
    <w:rsid w:val="0051477F"/>
    <w:rsid w:val="00514D65"/>
    <w:rsid w:val="00514E31"/>
    <w:rsid w:val="00514E49"/>
    <w:rsid w:val="00514FC2"/>
    <w:rsid w:val="00515068"/>
    <w:rsid w:val="0051552B"/>
    <w:rsid w:val="00515622"/>
    <w:rsid w:val="005156B1"/>
    <w:rsid w:val="005159BA"/>
    <w:rsid w:val="00515BFA"/>
    <w:rsid w:val="00515C12"/>
    <w:rsid w:val="00515CE0"/>
    <w:rsid w:val="00515D50"/>
    <w:rsid w:val="005160AB"/>
    <w:rsid w:val="0051612B"/>
    <w:rsid w:val="00516B97"/>
    <w:rsid w:val="00516BF8"/>
    <w:rsid w:val="00516C8E"/>
    <w:rsid w:val="00516CC4"/>
    <w:rsid w:val="00516D11"/>
    <w:rsid w:val="00516EA7"/>
    <w:rsid w:val="00516ECB"/>
    <w:rsid w:val="00516FC5"/>
    <w:rsid w:val="0051705C"/>
    <w:rsid w:val="005172DA"/>
    <w:rsid w:val="00517371"/>
    <w:rsid w:val="005174D6"/>
    <w:rsid w:val="005174DB"/>
    <w:rsid w:val="005174E3"/>
    <w:rsid w:val="005175A1"/>
    <w:rsid w:val="0051786A"/>
    <w:rsid w:val="005178CC"/>
    <w:rsid w:val="00517938"/>
    <w:rsid w:val="00517A86"/>
    <w:rsid w:val="00517B94"/>
    <w:rsid w:val="005200FE"/>
    <w:rsid w:val="005201E5"/>
    <w:rsid w:val="00520326"/>
    <w:rsid w:val="00520777"/>
    <w:rsid w:val="005207D2"/>
    <w:rsid w:val="005208E1"/>
    <w:rsid w:val="00520911"/>
    <w:rsid w:val="00520BB6"/>
    <w:rsid w:val="00520C8E"/>
    <w:rsid w:val="00520E76"/>
    <w:rsid w:val="00520F04"/>
    <w:rsid w:val="00520F53"/>
    <w:rsid w:val="00520F6F"/>
    <w:rsid w:val="00520FE1"/>
    <w:rsid w:val="005212FA"/>
    <w:rsid w:val="00521487"/>
    <w:rsid w:val="00521513"/>
    <w:rsid w:val="00521696"/>
    <w:rsid w:val="005217EF"/>
    <w:rsid w:val="00521A08"/>
    <w:rsid w:val="00521A49"/>
    <w:rsid w:val="005224B8"/>
    <w:rsid w:val="005226ED"/>
    <w:rsid w:val="005228B3"/>
    <w:rsid w:val="005228FA"/>
    <w:rsid w:val="005229C7"/>
    <w:rsid w:val="00522AA5"/>
    <w:rsid w:val="00522C96"/>
    <w:rsid w:val="00522EAF"/>
    <w:rsid w:val="00522FF5"/>
    <w:rsid w:val="00523116"/>
    <w:rsid w:val="0052324D"/>
    <w:rsid w:val="005232B9"/>
    <w:rsid w:val="0052349D"/>
    <w:rsid w:val="00523591"/>
    <w:rsid w:val="00523658"/>
    <w:rsid w:val="005236D5"/>
    <w:rsid w:val="00523848"/>
    <w:rsid w:val="005239A7"/>
    <w:rsid w:val="00523A4A"/>
    <w:rsid w:val="00523AB0"/>
    <w:rsid w:val="00523B54"/>
    <w:rsid w:val="00523C0B"/>
    <w:rsid w:val="00523D16"/>
    <w:rsid w:val="00523D49"/>
    <w:rsid w:val="00523E81"/>
    <w:rsid w:val="0052427C"/>
    <w:rsid w:val="00524328"/>
    <w:rsid w:val="00524350"/>
    <w:rsid w:val="0052455F"/>
    <w:rsid w:val="005246CE"/>
    <w:rsid w:val="00524BE8"/>
    <w:rsid w:val="00524C43"/>
    <w:rsid w:val="0052517A"/>
    <w:rsid w:val="005251D1"/>
    <w:rsid w:val="005252C9"/>
    <w:rsid w:val="0052575D"/>
    <w:rsid w:val="00525887"/>
    <w:rsid w:val="00525899"/>
    <w:rsid w:val="005258B5"/>
    <w:rsid w:val="00525971"/>
    <w:rsid w:val="005259A1"/>
    <w:rsid w:val="00525A76"/>
    <w:rsid w:val="005260DD"/>
    <w:rsid w:val="00526244"/>
    <w:rsid w:val="005263DC"/>
    <w:rsid w:val="0052668B"/>
    <w:rsid w:val="005269EC"/>
    <w:rsid w:val="00526A1A"/>
    <w:rsid w:val="00526A3E"/>
    <w:rsid w:val="00526BAD"/>
    <w:rsid w:val="00526C92"/>
    <w:rsid w:val="00527143"/>
    <w:rsid w:val="00527406"/>
    <w:rsid w:val="005275FC"/>
    <w:rsid w:val="0052768C"/>
    <w:rsid w:val="005277F4"/>
    <w:rsid w:val="00527B8A"/>
    <w:rsid w:val="00527C98"/>
    <w:rsid w:val="00527D1E"/>
    <w:rsid w:val="00527E93"/>
    <w:rsid w:val="00527EED"/>
    <w:rsid w:val="005301E7"/>
    <w:rsid w:val="0053051D"/>
    <w:rsid w:val="0053066B"/>
    <w:rsid w:val="0053066F"/>
    <w:rsid w:val="005306E6"/>
    <w:rsid w:val="00530859"/>
    <w:rsid w:val="00530896"/>
    <w:rsid w:val="00530D0D"/>
    <w:rsid w:val="005310AF"/>
    <w:rsid w:val="00531168"/>
    <w:rsid w:val="00531343"/>
    <w:rsid w:val="005313DA"/>
    <w:rsid w:val="00531459"/>
    <w:rsid w:val="005317CC"/>
    <w:rsid w:val="005319EB"/>
    <w:rsid w:val="00531A31"/>
    <w:rsid w:val="00531F9C"/>
    <w:rsid w:val="00532035"/>
    <w:rsid w:val="00532190"/>
    <w:rsid w:val="0053223A"/>
    <w:rsid w:val="00532358"/>
    <w:rsid w:val="00532374"/>
    <w:rsid w:val="00532720"/>
    <w:rsid w:val="005328AE"/>
    <w:rsid w:val="00532902"/>
    <w:rsid w:val="00532B6D"/>
    <w:rsid w:val="00532BFE"/>
    <w:rsid w:val="00532E98"/>
    <w:rsid w:val="00532FB0"/>
    <w:rsid w:val="00533056"/>
    <w:rsid w:val="00533369"/>
    <w:rsid w:val="00533410"/>
    <w:rsid w:val="00533434"/>
    <w:rsid w:val="005335D5"/>
    <w:rsid w:val="0053378C"/>
    <w:rsid w:val="005337EA"/>
    <w:rsid w:val="00533996"/>
    <w:rsid w:val="00533EB5"/>
    <w:rsid w:val="00534063"/>
    <w:rsid w:val="005340A4"/>
    <w:rsid w:val="005340E2"/>
    <w:rsid w:val="005342C3"/>
    <w:rsid w:val="005342E3"/>
    <w:rsid w:val="00534502"/>
    <w:rsid w:val="00534630"/>
    <w:rsid w:val="005346A9"/>
    <w:rsid w:val="005346AD"/>
    <w:rsid w:val="005346FD"/>
    <w:rsid w:val="0053481B"/>
    <w:rsid w:val="00534960"/>
    <w:rsid w:val="00534A30"/>
    <w:rsid w:val="00534D3F"/>
    <w:rsid w:val="00534E21"/>
    <w:rsid w:val="005353AC"/>
    <w:rsid w:val="005353DE"/>
    <w:rsid w:val="005353F5"/>
    <w:rsid w:val="00535B57"/>
    <w:rsid w:val="00535CC5"/>
    <w:rsid w:val="00535DE1"/>
    <w:rsid w:val="0053613E"/>
    <w:rsid w:val="00536183"/>
    <w:rsid w:val="005362F5"/>
    <w:rsid w:val="0053660F"/>
    <w:rsid w:val="005367F5"/>
    <w:rsid w:val="00536BC0"/>
    <w:rsid w:val="00536E7F"/>
    <w:rsid w:val="00536F87"/>
    <w:rsid w:val="0053713A"/>
    <w:rsid w:val="0053725B"/>
    <w:rsid w:val="0053732E"/>
    <w:rsid w:val="00537354"/>
    <w:rsid w:val="00537370"/>
    <w:rsid w:val="005373A2"/>
    <w:rsid w:val="00537542"/>
    <w:rsid w:val="005376C8"/>
    <w:rsid w:val="005376EA"/>
    <w:rsid w:val="00537953"/>
    <w:rsid w:val="00537A8A"/>
    <w:rsid w:val="00537EF0"/>
    <w:rsid w:val="00540085"/>
    <w:rsid w:val="005401A6"/>
    <w:rsid w:val="0054035C"/>
    <w:rsid w:val="00540374"/>
    <w:rsid w:val="0054040F"/>
    <w:rsid w:val="0054046E"/>
    <w:rsid w:val="005405E7"/>
    <w:rsid w:val="00540766"/>
    <w:rsid w:val="00540849"/>
    <w:rsid w:val="00540893"/>
    <w:rsid w:val="00540929"/>
    <w:rsid w:val="00540AE4"/>
    <w:rsid w:val="00540C57"/>
    <w:rsid w:val="0054121A"/>
    <w:rsid w:val="00541404"/>
    <w:rsid w:val="0054154F"/>
    <w:rsid w:val="005419D6"/>
    <w:rsid w:val="00541ABA"/>
    <w:rsid w:val="00541CDB"/>
    <w:rsid w:val="00542150"/>
    <w:rsid w:val="005422B0"/>
    <w:rsid w:val="00542513"/>
    <w:rsid w:val="005426A7"/>
    <w:rsid w:val="00542852"/>
    <w:rsid w:val="005429B1"/>
    <w:rsid w:val="00542A79"/>
    <w:rsid w:val="00542B46"/>
    <w:rsid w:val="00542BB4"/>
    <w:rsid w:val="00542C73"/>
    <w:rsid w:val="00542DEB"/>
    <w:rsid w:val="00542F5D"/>
    <w:rsid w:val="005430F4"/>
    <w:rsid w:val="005434EC"/>
    <w:rsid w:val="00543502"/>
    <w:rsid w:val="00543724"/>
    <w:rsid w:val="00543AA8"/>
    <w:rsid w:val="005442DE"/>
    <w:rsid w:val="0054447B"/>
    <w:rsid w:val="00544769"/>
    <w:rsid w:val="0054480E"/>
    <w:rsid w:val="00544892"/>
    <w:rsid w:val="00544D43"/>
    <w:rsid w:val="00544D93"/>
    <w:rsid w:val="00544F33"/>
    <w:rsid w:val="005450F4"/>
    <w:rsid w:val="00545138"/>
    <w:rsid w:val="00545146"/>
    <w:rsid w:val="00545182"/>
    <w:rsid w:val="005451F4"/>
    <w:rsid w:val="005454FF"/>
    <w:rsid w:val="0054555B"/>
    <w:rsid w:val="0054561B"/>
    <w:rsid w:val="005458A6"/>
    <w:rsid w:val="005458E5"/>
    <w:rsid w:val="00545BC0"/>
    <w:rsid w:val="00545F4F"/>
    <w:rsid w:val="005461B2"/>
    <w:rsid w:val="005464AF"/>
    <w:rsid w:val="0054670C"/>
    <w:rsid w:val="005468DA"/>
    <w:rsid w:val="0054690B"/>
    <w:rsid w:val="00546A2D"/>
    <w:rsid w:val="00546A30"/>
    <w:rsid w:val="00546E37"/>
    <w:rsid w:val="00546F61"/>
    <w:rsid w:val="00546FAB"/>
    <w:rsid w:val="00547090"/>
    <w:rsid w:val="00547169"/>
    <w:rsid w:val="00547177"/>
    <w:rsid w:val="00547255"/>
    <w:rsid w:val="0054758C"/>
    <w:rsid w:val="00547742"/>
    <w:rsid w:val="00547BAE"/>
    <w:rsid w:val="00547DCA"/>
    <w:rsid w:val="005500EB"/>
    <w:rsid w:val="005501D8"/>
    <w:rsid w:val="005505AB"/>
    <w:rsid w:val="00550685"/>
    <w:rsid w:val="005507D4"/>
    <w:rsid w:val="00550B28"/>
    <w:rsid w:val="00550C3F"/>
    <w:rsid w:val="00550C78"/>
    <w:rsid w:val="00550D39"/>
    <w:rsid w:val="00550E53"/>
    <w:rsid w:val="00551306"/>
    <w:rsid w:val="00551314"/>
    <w:rsid w:val="00551513"/>
    <w:rsid w:val="005515E4"/>
    <w:rsid w:val="00551781"/>
    <w:rsid w:val="005518C8"/>
    <w:rsid w:val="00551B39"/>
    <w:rsid w:val="00551C67"/>
    <w:rsid w:val="00551E9B"/>
    <w:rsid w:val="00552191"/>
    <w:rsid w:val="005523DA"/>
    <w:rsid w:val="0055272F"/>
    <w:rsid w:val="0055288C"/>
    <w:rsid w:val="00552B52"/>
    <w:rsid w:val="00552B66"/>
    <w:rsid w:val="00552C62"/>
    <w:rsid w:val="00552DFA"/>
    <w:rsid w:val="00553000"/>
    <w:rsid w:val="005531BD"/>
    <w:rsid w:val="005531DE"/>
    <w:rsid w:val="005532C8"/>
    <w:rsid w:val="0055356D"/>
    <w:rsid w:val="00553743"/>
    <w:rsid w:val="00553964"/>
    <w:rsid w:val="00553A82"/>
    <w:rsid w:val="00553D8C"/>
    <w:rsid w:val="00553E03"/>
    <w:rsid w:val="00554439"/>
    <w:rsid w:val="00554513"/>
    <w:rsid w:val="005545F5"/>
    <w:rsid w:val="005547C5"/>
    <w:rsid w:val="00554953"/>
    <w:rsid w:val="00554AFB"/>
    <w:rsid w:val="00554D41"/>
    <w:rsid w:val="00554DB7"/>
    <w:rsid w:val="00554E94"/>
    <w:rsid w:val="00554EC7"/>
    <w:rsid w:val="005559A4"/>
    <w:rsid w:val="005559EC"/>
    <w:rsid w:val="00555CDE"/>
    <w:rsid w:val="00555D8B"/>
    <w:rsid w:val="00555DE3"/>
    <w:rsid w:val="005561C3"/>
    <w:rsid w:val="00556439"/>
    <w:rsid w:val="0055648B"/>
    <w:rsid w:val="00556532"/>
    <w:rsid w:val="00556622"/>
    <w:rsid w:val="005566D5"/>
    <w:rsid w:val="00556704"/>
    <w:rsid w:val="005567B2"/>
    <w:rsid w:val="00556831"/>
    <w:rsid w:val="0055697C"/>
    <w:rsid w:val="00556AF7"/>
    <w:rsid w:val="00556CC6"/>
    <w:rsid w:val="00556E5D"/>
    <w:rsid w:val="00557054"/>
    <w:rsid w:val="00557181"/>
    <w:rsid w:val="00557375"/>
    <w:rsid w:val="005574D6"/>
    <w:rsid w:val="00557590"/>
    <w:rsid w:val="005576FA"/>
    <w:rsid w:val="00557870"/>
    <w:rsid w:val="005579F4"/>
    <w:rsid w:val="00557BB1"/>
    <w:rsid w:val="00557BDF"/>
    <w:rsid w:val="00557BE6"/>
    <w:rsid w:val="00557E7B"/>
    <w:rsid w:val="00557F8E"/>
    <w:rsid w:val="00557FF0"/>
    <w:rsid w:val="00560054"/>
    <w:rsid w:val="00560161"/>
    <w:rsid w:val="00560277"/>
    <w:rsid w:val="005608AC"/>
    <w:rsid w:val="00560938"/>
    <w:rsid w:val="00560AF1"/>
    <w:rsid w:val="00560B67"/>
    <w:rsid w:val="00560BDB"/>
    <w:rsid w:val="00560E4D"/>
    <w:rsid w:val="00560F40"/>
    <w:rsid w:val="0056112B"/>
    <w:rsid w:val="0056126E"/>
    <w:rsid w:val="005612F3"/>
    <w:rsid w:val="00561480"/>
    <w:rsid w:val="00561562"/>
    <w:rsid w:val="005616C0"/>
    <w:rsid w:val="00561ACA"/>
    <w:rsid w:val="00561B2F"/>
    <w:rsid w:val="00561D33"/>
    <w:rsid w:val="00561D87"/>
    <w:rsid w:val="00561DB7"/>
    <w:rsid w:val="00561E41"/>
    <w:rsid w:val="005620A9"/>
    <w:rsid w:val="005621E3"/>
    <w:rsid w:val="0056230B"/>
    <w:rsid w:val="00562579"/>
    <w:rsid w:val="005625FC"/>
    <w:rsid w:val="00562757"/>
    <w:rsid w:val="0056299F"/>
    <w:rsid w:val="00562A95"/>
    <w:rsid w:val="00562B12"/>
    <w:rsid w:val="00562E90"/>
    <w:rsid w:val="00562F75"/>
    <w:rsid w:val="0056303B"/>
    <w:rsid w:val="00563118"/>
    <w:rsid w:val="005631CD"/>
    <w:rsid w:val="00563210"/>
    <w:rsid w:val="00563283"/>
    <w:rsid w:val="00563580"/>
    <w:rsid w:val="0056387F"/>
    <w:rsid w:val="00563A22"/>
    <w:rsid w:val="00563A6F"/>
    <w:rsid w:val="00563B36"/>
    <w:rsid w:val="00563B9A"/>
    <w:rsid w:val="00563DE6"/>
    <w:rsid w:val="00563DEA"/>
    <w:rsid w:val="0056409D"/>
    <w:rsid w:val="005640C1"/>
    <w:rsid w:val="00564161"/>
    <w:rsid w:val="00564712"/>
    <w:rsid w:val="00564721"/>
    <w:rsid w:val="005648CF"/>
    <w:rsid w:val="0056495C"/>
    <w:rsid w:val="00564C62"/>
    <w:rsid w:val="00564C95"/>
    <w:rsid w:val="00564D20"/>
    <w:rsid w:val="00564D8E"/>
    <w:rsid w:val="00564E2B"/>
    <w:rsid w:val="00564EE6"/>
    <w:rsid w:val="005650E4"/>
    <w:rsid w:val="00565151"/>
    <w:rsid w:val="0056528D"/>
    <w:rsid w:val="005655A7"/>
    <w:rsid w:val="00565693"/>
    <w:rsid w:val="00565747"/>
    <w:rsid w:val="005659F4"/>
    <w:rsid w:val="00565F72"/>
    <w:rsid w:val="00566004"/>
    <w:rsid w:val="0056628B"/>
    <w:rsid w:val="00566298"/>
    <w:rsid w:val="00566395"/>
    <w:rsid w:val="005663F8"/>
    <w:rsid w:val="0056643D"/>
    <w:rsid w:val="00566832"/>
    <w:rsid w:val="00566C26"/>
    <w:rsid w:val="00566EDE"/>
    <w:rsid w:val="0056705A"/>
    <w:rsid w:val="005670A8"/>
    <w:rsid w:val="005677FE"/>
    <w:rsid w:val="00567813"/>
    <w:rsid w:val="00567A86"/>
    <w:rsid w:val="00567AA3"/>
    <w:rsid w:val="005702DA"/>
    <w:rsid w:val="00570360"/>
    <w:rsid w:val="00570536"/>
    <w:rsid w:val="0057063D"/>
    <w:rsid w:val="0057091E"/>
    <w:rsid w:val="00570ADF"/>
    <w:rsid w:val="00570CF2"/>
    <w:rsid w:val="005710EA"/>
    <w:rsid w:val="00571B79"/>
    <w:rsid w:val="00571E05"/>
    <w:rsid w:val="00571EA1"/>
    <w:rsid w:val="00571F98"/>
    <w:rsid w:val="005720CC"/>
    <w:rsid w:val="00572348"/>
    <w:rsid w:val="00572367"/>
    <w:rsid w:val="005723D6"/>
    <w:rsid w:val="0057249C"/>
    <w:rsid w:val="0057272D"/>
    <w:rsid w:val="00572870"/>
    <w:rsid w:val="005729EF"/>
    <w:rsid w:val="00572AB3"/>
    <w:rsid w:val="00572AD4"/>
    <w:rsid w:val="00572B09"/>
    <w:rsid w:val="00572B51"/>
    <w:rsid w:val="00572CBC"/>
    <w:rsid w:val="00573018"/>
    <w:rsid w:val="005732B0"/>
    <w:rsid w:val="00573317"/>
    <w:rsid w:val="00573453"/>
    <w:rsid w:val="005734E2"/>
    <w:rsid w:val="0057352A"/>
    <w:rsid w:val="00573680"/>
    <w:rsid w:val="005736E0"/>
    <w:rsid w:val="00573743"/>
    <w:rsid w:val="00573822"/>
    <w:rsid w:val="00573BC4"/>
    <w:rsid w:val="00573DD9"/>
    <w:rsid w:val="005740C0"/>
    <w:rsid w:val="00574163"/>
    <w:rsid w:val="00574180"/>
    <w:rsid w:val="00574323"/>
    <w:rsid w:val="00574377"/>
    <w:rsid w:val="0057451C"/>
    <w:rsid w:val="005746FE"/>
    <w:rsid w:val="005747DD"/>
    <w:rsid w:val="00574918"/>
    <w:rsid w:val="0057492D"/>
    <w:rsid w:val="00574A6E"/>
    <w:rsid w:val="00574C43"/>
    <w:rsid w:val="00574D9E"/>
    <w:rsid w:val="00574DA6"/>
    <w:rsid w:val="00574F05"/>
    <w:rsid w:val="00574F08"/>
    <w:rsid w:val="00574FFF"/>
    <w:rsid w:val="0057507D"/>
    <w:rsid w:val="005755F3"/>
    <w:rsid w:val="00575971"/>
    <w:rsid w:val="005759CF"/>
    <w:rsid w:val="00575ADB"/>
    <w:rsid w:val="00575E39"/>
    <w:rsid w:val="00575EFA"/>
    <w:rsid w:val="00575F3C"/>
    <w:rsid w:val="00575FA8"/>
    <w:rsid w:val="00575FFF"/>
    <w:rsid w:val="00576055"/>
    <w:rsid w:val="00576194"/>
    <w:rsid w:val="005761C6"/>
    <w:rsid w:val="005761DD"/>
    <w:rsid w:val="0057622F"/>
    <w:rsid w:val="00576640"/>
    <w:rsid w:val="0057664A"/>
    <w:rsid w:val="005766BD"/>
    <w:rsid w:val="00576A1D"/>
    <w:rsid w:val="00576B15"/>
    <w:rsid w:val="00576C1B"/>
    <w:rsid w:val="00576C1F"/>
    <w:rsid w:val="00576D58"/>
    <w:rsid w:val="00576DAF"/>
    <w:rsid w:val="00576DDE"/>
    <w:rsid w:val="00576E77"/>
    <w:rsid w:val="00576FB6"/>
    <w:rsid w:val="00577025"/>
    <w:rsid w:val="00577145"/>
    <w:rsid w:val="005773BE"/>
    <w:rsid w:val="00577436"/>
    <w:rsid w:val="0057745A"/>
    <w:rsid w:val="00577641"/>
    <w:rsid w:val="00577752"/>
    <w:rsid w:val="00577776"/>
    <w:rsid w:val="00577883"/>
    <w:rsid w:val="00577DA7"/>
    <w:rsid w:val="00577F4F"/>
    <w:rsid w:val="005802CF"/>
    <w:rsid w:val="0058044D"/>
    <w:rsid w:val="0058071B"/>
    <w:rsid w:val="00580741"/>
    <w:rsid w:val="0058075D"/>
    <w:rsid w:val="0058086B"/>
    <w:rsid w:val="00580B2F"/>
    <w:rsid w:val="00580B95"/>
    <w:rsid w:val="00580BC7"/>
    <w:rsid w:val="00580D2E"/>
    <w:rsid w:val="00580DA0"/>
    <w:rsid w:val="00580E16"/>
    <w:rsid w:val="00580F0F"/>
    <w:rsid w:val="0058110D"/>
    <w:rsid w:val="00581138"/>
    <w:rsid w:val="005813FE"/>
    <w:rsid w:val="00581481"/>
    <w:rsid w:val="00581538"/>
    <w:rsid w:val="0058178B"/>
    <w:rsid w:val="0058198C"/>
    <w:rsid w:val="00581A81"/>
    <w:rsid w:val="00581B25"/>
    <w:rsid w:val="00581E73"/>
    <w:rsid w:val="00581EC2"/>
    <w:rsid w:val="00581ED8"/>
    <w:rsid w:val="00581F79"/>
    <w:rsid w:val="005820C9"/>
    <w:rsid w:val="00582324"/>
    <w:rsid w:val="00582365"/>
    <w:rsid w:val="00582499"/>
    <w:rsid w:val="00582522"/>
    <w:rsid w:val="0058271D"/>
    <w:rsid w:val="0058275A"/>
    <w:rsid w:val="00582781"/>
    <w:rsid w:val="00582873"/>
    <w:rsid w:val="00582920"/>
    <w:rsid w:val="00582938"/>
    <w:rsid w:val="00582BB8"/>
    <w:rsid w:val="00582CBB"/>
    <w:rsid w:val="00582DF4"/>
    <w:rsid w:val="00582E6E"/>
    <w:rsid w:val="005831FC"/>
    <w:rsid w:val="005832EA"/>
    <w:rsid w:val="0058332A"/>
    <w:rsid w:val="0058334E"/>
    <w:rsid w:val="005833E1"/>
    <w:rsid w:val="00583A77"/>
    <w:rsid w:val="00583A90"/>
    <w:rsid w:val="00583E59"/>
    <w:rsid w:val="00583F00"/>
    <w:rsid w:val="00584077"/>
    <w:rsid w:val="0058453A"/>
    <w:rsid w:val="00584738"/>
    <w:rsid w:val="00584809"/>
    <w:rsid w:val="00584AD6"/>
    <w:rsid w:val="00584D91"/>
    <w:rsid w:val="00584EF2"/>
    <w:rsid w:val="00584F67"/>
    <w:rsid w:val="00585103"/>
    <w:rsid w:val="00585152"/>
    <w:rsid w:val="0058518A"/>
    <w:rsid w:val="0058535F"/>
    <w:rsid w:val="0058547E"/>
    <w:rsid w:val="005854F2"/>
    <w:rsid w:val="005856B9"/>
    <w:rsid w:val="005856ED"/>
    <w:rsid w:val="005857C5"/>
    <w:rsid w:val="00585877"/>
    <w:rsid w:val="00585956"/>
    <w:rsid w:val="005859C3"/>
    <w:rsid w:val="00585A14"/>
    <w:rsid w:val="00585C1B"/>
    <w:rsid w:val="00585C88"/>
    <w:rsid w:val="00585CC7"/>
    <w:rsid w:val="005861F4"/>
    <w:rsid w:val="005861FD"/>
    <w:rsid w:val="0058626B"/>
    <w:rsid w:val="00586597"/>
    <w:rsid w:val="0058688F"/>
    <w:rsid w:val="00586C92"/>
    <w:rsid w:val="00586F12"/>
    <w:rsid w:val="00587098"/>
    <w:rsid w:val="00587279"/>
    <w:rsid w:val="005873C0"/>
    <w:rsid w:val="0058744E"/>
    <w:rsid w:val="00587639"/>
    <w:rsid w:val="0058799C"/>
    <w:rsid w:val="00587C72"/>
    <w:rsid w:val="00587D94"/>
    <w:rsid w:val="005900C2"/>
    <w:rsid w:val="005901BE"/>
    <w:rsid w:val="00590302"/>
    <w:rsid w:val="00590361"/>
    <w:rsid w:val="00590750"/>
    <w:rsid w:val="00590A55"/>
    <w:rsid w:val="00590A65"/>
    <w:rsid w:val="00590C7F"/>
    <w:rsid w:val="00591166"/>
    <w:rsid w:val="00591669"/>
    <w:rsid w:val="0059178D"/>
    <w:rsid w:val="005917D6"/>
    <w:rsid w:val="005919C7"/>
    <w:rsid w:val="005920AE"/>
    <w:rsid w:val="00592195"/>
    <w:rsid w:val="0059227A"/>
    <w:rsid w:val="005925D0"/>
    <w:rsid w:val="00592638"/>
    <w:rsid w:val="00592CDA"/>
    <w:rsid w:val="00592D92"/>
    <w:rsid w:val="00592F97"/>
    <w:rsid w:val="00593138"/>
    <w:rsid w:val="005931F6"/>
    <w:rsid w:val="005936A7"/>
    <w:rsid w:val="005936FD"/>
    <w:rsid w:val="0059393A"/>
    <w:rsid w:val="005939E8"/>
    <w:rsid w:val="00593A33"/>
    <w:rsid w:val="00593B5A"/>
    <w:rsid w:val="00593B8E"/>
    <w:rsid w:val="00593C57"/>
    <w:rsid w:val="00593E16"/>
    <w:rsid w:val="005941C8"/>
    <w:rsid w:val="00594661"/>
    <w:rsid w:val="005947B5"/>
    <w:rsid w:val="00594AFC"/>
    <w:rsid w:val="00594BE6"/>
    <w:rsid w:val="00594BF3"/>
    <w:rsid w:val="00594C3F"/>
    <w:rsid w:val="00594EB3"/>
    <w:rsid w:val="00594F1A"/>
    <w:rsid w:val="00594F29"/>
    <w:rsid w:val="005950E7"/>
    <w:rsid w:val="005951F2"/>
    <w:rsid w:val="005951F6"/>
    <w:rsid w:val="00595245"/>
    <w:rsid w:val="0059552B"/>
    <w:rsid w:val="00595594"/>
    <w:rsid w:val="00595743"/>
    <w:rsid w:val="00595806"/>
    <w:rsid w:val="005959CB"/>
    <w:rsid w:val="00595DA1"/>
    <w:rsid w:val="00595EAD"/>
    <w:rsid w:val="00595F1F"/>
    <w:rsid w:val="00595F5F"/>
    <w:rsid w:val="00595FD7"/>
    <w:rsid w:val="00595FE9"/>
    <w:rsid w:val="005960BB"/>
    <w:rsid w:val="00596217"/>
    <w:rsid w:val="0059635C"/>
    <w:rsid w:val="005966A9"/>
    <w:rsid w:val="005967CD"/>
    <w:rsid w:val="005967F0"/>
    <w:rsid w:val="00596A95"/>
    <w:rsid w:val="00596D96"/>
    <w:rsid w:val="00596DA2"/>
    <w:rsid w:val="00596DAA"/>
    <w:rsid w:val="005970FD"/>
    <w:rsid w:val="005971AA"/>
    <w:rsid w:val="005972B8"/>
    <w:rsid w:val="00597407"/>
    <w:rsid w:val="00597644"/>
    <w:rsid w:val="0059764F"/>
    <w:rsid w:val="005978AD"/>
    <w:rsid w:val="00597951"/>
    <w:rsid w:val="005979CB"/>
    <w:rsid w:val="00597BAB"/>
    <w:rsid w:val="00597E12"/>
    <w:rsid w:val="005A00AF"/>
    <w:rsid w:val="005A0104"/>
    <w:rsid w:val="005A0192"/>
    <w:rsid w:val="005A0194"/>
    <w:rsid w:val="005A03D9"/>
    <w:rsid w:val="005A0496"/>
    <w:rsid w:val="005A07D6"/>
    <w:rsid w:val="005A0BB9"/>
    <w:rsid w:val="005A0BEC"/>
    <w:rsid w:val="005A1598"/>
    <w:rsid w:val="005A160A"/>
    <w:rsid w:val="005A1751"/>
    <w:rsid w:val="005A1965"/>
    <w:rsid w:val="005A1A04"/>
    <w:rsid w:val="005A1BC8"/>
    <w:rsid w:val="005A1D1A"/>
    <w:rsid w:val="005A1D4E"/>
    <w:rsid w:val="005A1FE2"/>
    <w:rsid w:val="005A20C0"/>
    <w:rsid w:val="005A22C5"/>
    <w:rsid w:val="005A27DA"/>
    <w:rsid w:val="005A290B"/>
    <w:rsid w:val="005A2B4D"/>
    <w:rsid w:val="005A2D3E"/>
    <w:rsid w:val="005A2F9D"/>
    <w:rsid w:val="005A3000"/>
    <w:rsid w:val="005A3004"/>
    <w:rsid w:val="005A374C"/>
    <w:rsid w:val="005A37FD"/>
    <w:rsid w:val="005A38FF"/>
    <w:rsid w:val="005A3A3E"/>
    <w:rsid w:val="005A3AAC"/>
    <w:rsid w:val="005A3B3C"/>
    <w:rsid w:val="005A3D24"/>
    <w:rsid w:val="005A3D99"/>
    <w:rsid w:val="005A3E1C"/>
    <w:rsid w:val="005A4047"/>
    <w:rsid w:val="005A4384"/>
    <w:rsid w:val="005A486F"/>
    <w:rsid w:val="005A4936"/>
    <w:rsid w:val="005A4B0F"/>
    <w:rsid w:val="005A4B7D"/>
    <w:rsid w:val="005A4C96"/>
    <w:rsid w:val="005A5142"/>
    <w:rsid w:val="005A52CB"/>
    <w:rsid w:val="005A5454"/>
    <w:rsid w:val="005A5620"/>
    <w:rsid w:val="005A5781"/>
    <w:rsid w:val="005A5791"/>
    <w:rsid w:val="005A5801"/>
    <w:rsid w:val="005A5BAF"/>
    <w:rsid w:val="005A5BB8"/>
    <w:rsid w:val="005A5D4E"/>
    <w:rsid w:val="005A5E14"/>
    <w:rsid w:val="005A5E32"/>
    <w:rsid w:val="005A5E75"/>
    <w:rsid w:val="005A5EBE"/>
    <w:rsid w:val="005A5F5C"/>
    <w:rsid w:val="005A6206"/>
    <w:rsid w:val="005A67B7"/>
    <w:rsid w:val="005A68D3"/>
    <w:rsid w:val="005A6FF4"/>
    <w:rsid w:val="005A7012"/>
    <w:rsid w:val="005A7200"/>
    <w:rsid w:val="005A7279"/>
    <w:rsid w:val="005A73FA"/>
    <w:rsid w:val="005A745A"/>
    <w:rsid w:val="005A7526"/>
    <w:rsid w:val="005A767F"/>
    <w:rsid w:val="005A777A"/>
    <w:rsid w:val="005A78D2"/>
    <w:rsid w:val="005A79EC"/>
    <w:rsid w:val="005A7A5E"/>
    <w:rsid w:val="005A7BDB"/>
    <w:rsid w:val="005A7DA7"/>
    <w:rsid w:val="005A7DE3"/>
    <w:rsid w:val="005A7E54"/>
    <w:rsid w:val="005A7E77"/>
    <w:rsid w:val="005B0006"/>
    <w:rsid w:val="005B07DA"/>
    <w:rsid w:val="005B0A47"/>
    <w:rsid w:val="005B0B20"/>
    <w:rsid w:val="005B0B7E"/>
    <w:rsid w:val="005B0BAC"/>
    <w:rsid w:val="005B0C76"/>
    <w:rsid w:val="005B0C95"/>
    <w:rsid w:val="005B0D55"/>
    <w:rsid w:val="005B0D9D"/>
    <w:rsid w:val="005B0DCE"/>
    <w:rsid w:val="005B0E27"/>
    <w:rsid w:val="005B0ED0"/>
    <w:rsid w:val="005B0F82"/>
    <w:rsid w:val="005B0FB2"/>
    <w:rsid w:val="005B1007"/>
    <w:rsid w:val="005B1033"/>
    <w:rsid w:val="005B12B5"/>
    <w:rsid w:val="005B13FD"/>
    <w:rsid w:val="005B16BC"/>
    <w:rsid w:val="005B19A0"/>
    <w:rsid w:val="005B19B5"/>
    <w:rsid w:val="005B1AEF"/>
    <w:rsid w:val="005B1BFB"/>
    <w:rsid w:val="005B1C07"/>
    <w:rsid w:val="005B1C3A"/>
    <w:rsid w:val="005B1CDF"/>
    <w:rsid w:val="005B1F13"/>
    <w:rsid w:val="005B21D7"/>
    <w:rsid w:val="005B2272"/>
    <w:rsid w:val="005B2345"/>
    <w:rsid w:val="005B2510"/>
    <w:rsid w:val="005B2592"/>
    <w:rsid w:val="005B25AD"/>
    <w:rsid w:val="005B26D1"/>
    <w:rsid w:val="005B2762"/>
    <w:rsid w:val="005B27A2"/>
    <w:rsid w:val="005B2850"/>
    <w:rsid w:val="005B2A21"/>
    <w:rsid w:val="005B2EB5"/>
    <w:rsid w:val="005B2F91"/>
    <w:rsid w:val="005B2F98"/>
    <w:rsid w:val="005B3072"/>
    <w:rsid w:val="005B3098"/>
    <w:rsid w:val="005B324A"/>
    <w:rsid w:val="005B33F3"/>
    <w:rsid w:val="005B3432"/>
    <w:rsid w:val="005B34F2"/>
    <w:rsid w:val="005B3554"/>
    <w:rsid w:val="005B3564"/>
    <w:rsid w:val="005B3909"/>
    <w:rsid w:val="005B3925"/>
    <w:rsid w:val="005B3A36"/>
    <w:rsid w:val="005B3AA7"/>
    <w:rsid w:val="005B3ADB"/>
    <w:rsid w:val="005B3BB6"/>
    <w:rsid w:val="005B3BD6"/>
    <w:rsid w:val="005B3BE6"/>
    <w:rsid w:val="005B4052"/>
    <w:rsid w:val="005B463E"/>
    <w:rsid w:val="005B48F8"/>
    <w:rsid w:val="005B4B4F"/>
    <w:rsid w:val="005B4BF3"/>
    <w:rsid w:val="005B4C84"/>
    <w:rsid w:val="005B4DC5"/>
    <w:rsid w:val="005B52AD"/>
    <w:rsid w:val="005B5518"/>
    <w:rsid w:val="005B5572"/>
    <w:rsid w:val="005B5594"/>
    <w:rsid w:val="005B55E7"/>
    <w:rsid w:val="005B591B"/>
    <w:rsid w:val="005B5DEA"/>
    <w:rsid w:val="005B609A"/>
    <w:rsid w:val="005B6433"/>
    <w:rsid w:val="005B67E4"/>
    <w:rsid w:val="005B6844"/>
    <w:rsid w:val="005B68AA"/>
    <w:rsid w:val="005B690F"/>
    <w:rsid w:val="005B6E00"/>
    <w:rsid w:val="005B7404"/>
    <w:rsid w:val="005B7776"/>
    <w:rsid w:val="005B77B7"/>
    <w:rsid w:val="005B7C2B"/>
    <w:rsid w:val="005B7D6C"/>
    <w:rsid w:val="005B7DFB"/>
    <w:rsid w:val="005C0026"/>
    <w:rsid w:val="005C0192"/>
    <w:rsid w:val="005C0342"/>
    <w:rsid w:val="005C0577"/>
    <w:rsid w:val="005C05ED"/>
    <w:rsid w:val="005C0624"/>
    <w:rsid w:val="005C072D"/>
    <w:rsid w:val="005C0852"/>
    <w:rsid w:val="005C08B6"/>
    <w:rsid w:val="005C0A24"/>
    <w:rsid w:val="005C0A39"/>
    <w:rsid w:val="005C0ABF"/>
    <w:rsid w:val="005C0C6C"/>
    <w:rsid w:val="005C0CC6"/>
    <w:rsid w:val="005C0E56"/>
    <w:rsid w:val="005C0F51"/>
    <w:rsid w:val="005C0FD1"/>
    <w:rsid w:val="005C1092"/>
    <w:rsid w:val="005C13C2"/>
    <w:rsid w:val="005C1497"/>
    <w:rsid w:val="005C14A1"/>
    <w:rsid w:val="005C14E4"/>
    <w:rsid w:val="005C17A5"/>
    <w:rsid w:val="005C1839"/>
    <w:rsid w:val="005C1AED"/>
    <w:rsid w:val="005C1D8C"/>
    <w:rsid w:val="005C1E57"/>
    <w:rsid w:val="005C2016"/>
    <w:rsid w:val="005C222C"/>
    <w:rsid w:val="005C2261"/>
    <w:rsid w:val="005C24B3"/>
    <w:rsid w:val="005C253B"/>
    <w:rsid w:val="005C2A12"/>
    <w:rsid w:val="005C2ADB"/>
    <w:rsid w:val="005C2B9A"/>
    <w:rsid w:val="005C2B9F"/>
    <w:rsid w:val="005C2EA1"/>
    <w:rsid w:val="005C307B"/>
    <w:rsid w:val="005C3109"/>
    <w:rsid w:val="005C3140"/>
    <w:rsid w:val="005C3285"/>
    <w:rsid w:val="005C32CB"/>
    <w:rsid w:val="005C3361"/>
    <w:rsid w:val="005C34A7"/>
    <w:rsid w:val="005C3CA1"/>
    <w:rsid w:val="005C3DBD"/>
    <w:rsid w:val="005C3DFF"/>
    <w:rsid w:val="005C4276"/>
    <w:rsid w:val="005C4349"/>
    <w:rsid w:val="005C444D"/>
    <w:rsid w:val="005C4510"/>
    <w:rsid w:val="005C4608"/>
    <w:rsid w:val="005C46C0"/>
    <w:rsid w:val="005C49AC"/>
    <w:rsid w:val="005C49BD"/>
    <w:rsid w:val="005C49D5"/>
    <w:rsid w:val="005C4D72"/>
    <w:rsid w:val="005C4EFD"/>
    <w:rsid w:val="005C4F33"/>
    <w:rsid w:val="005C5140"/>
    <w:rsid w:val="005C5142"/>
    <w:rsid w:val="005C51EB"/>
    <w:rsid w:val="005C52AF"/>
    <w:rsid w:val="005C5501"/>
    <w:rsid w:val="005C5523"/>
    <w:rsid w:val="005C5557"/>
    <w:rsid w:val="005C5695"/>
    <w:rsid w:val="005C573F"/>
    <w:rsid w:val="005C593C"/>
    <w:rsid w:val="005C594E"/>
    <w:rsid w:val="005C5B5A"/>
    <w:rsid w:val="005C5C28"/>
    <w:rsid w:val="005C5E13"/>
    <w:rsid w:val="005C5E58"/>
    <w:rsid w:val="005C5FDA"/>
    <w:rsid w:val="005C65CD"/>
    <w:rsid w:val="005C67A0"/>
    <w:rsid w:val="005C68D3"/>
    <w:rsid w:val="005C6B1D"/>
    <w:rsid w:val="005C6D25"/>
    <w:rsid w:val="005C71BA"/>
    <w:rsid w:val="005C71EA"/>
    <w:rsid w:val="005C7215"/>
    <w:rsid w:val="005C73C4"/>
    <w:rsid w:val="005C7638"/>
    <w:rsid w:val="005C7A22"/>
    <w:rsid w:val="005C7A2C"/>
    <w:rsid w:val="005C7A5A"/>
    <w:rsid w:val="005C7B5C"/>
    <w:rsid w:val="005C7C16"/>
    <w:rsid w:val="005C7CA9"/>
    <w:rsid w:val="005C7E2B"/>
    <w:rsid w:val="005C7E80"/>
    <w:rsid w:val="005D0047"/>
    <w:rsid w:val="005D0090"/>
    <w:rsid w:val="005D00EA"/>
    <w:rsid w:val="005D023B"/>
    <w:rsid w:val="005D06F3"/>
    <w:rsid w:val="005D07F5"/>
    <w:rsid w:val="005D0BA1"/>
    <w:rsid w:val="005D0BD5"/>
    <w:rsid w:val="005D0ECF"/>
    <w:rsid w:val="005D0F06"/>
    <w:rsid w:val="005D1491"/>
    <w:rsid w:val="005D14D3"/>
    <w:rsid w:val="005D14D8"/>
    <w:rsid w:val="005D1538"/>
    <w:rsid w:val="005D1679"/>
    <w:rsid w:val="005D1713"/>
    <w:rsid w:val="005D1744"/>
    <w:rsid w:val="005D184E"/>
    <w:rsid w:val="005D18EA"/>
    <w:rsid w:val="005D1997"/>
    <w:rsid w:val="005D1CC1"/>
    <w:rsid w:val="005D1CD7"/>
    <w:rsid w:val="005D2082"/>
    <w:rsid w:val="005D2304"/>
    <w:rsid w:val="005D23A0"/>
    <w:rsid w:val="005D23B8"/>
    <w:rsid w:val="005D2412"/>
    <w:rsid w:val="005D24A6"/>
    <w:rsid w:val="005D24E3"/>
    <w:rsid w:val="005D257F"/>
    <w:rsid w:val="005D2584"/>
    <w:rsid w:val="005D2C92"/>
    <w:rsid w:val="005D2E57"/>
    <w:rsid w:val="005D2F9E"/>
    <w:rsid w:val="005D319C"/>
    <w:rsid w:val="005D31CA"/>
    <w:rsid w:val="005D34D1"/>
    <w:rsid w:val="005D35F8"/>
    <w:rsid w:val="005D380F"/>
    <w:rsid w:val="005D3987"/>
    <w:rsid w:val="005D3A04"/>
    <w:rsid w:val="005D3C31"/>
    <w:rsid w:val="005D3F2E"/>
    <w:rsid w:val="005D41E3"/>
    <w:rsid w:val="005D4292"/>
    <w:rsid w:val="005D42FE"/>
    <w:rsid w:val="005D4301"/>
    <w:rsid w:val="005D44B0"/>
    <w:rsid w:val="005D48FE"/>
    <w:rsid w:val="005D49D7"/>
    <w:rsid w:val="005D4A1A"/>
    <w:rsid w:val="005D4F50"/>
    <w:rsid w:val="005D5071"/>
    <w:rsid w:val="005D507B"/>
    <w:rsid w:val="005D50EB"/>
    <w:rsid w:val="005D522D"/>
    <w:rsid w:val="005D57D3"/>
    <w:rsid w:val="005D58D6"/>
    <w:rsid w:val="005D5AAB"/>
    <w:rsid w:val="005D5B7E"/>
    <w:rsid w:val="005D5BC6"/>
    <w:rsid w:val="005D5C27"/>
    <w:rsid w:val="005D5E97"/>
    <w:rsid w:val="005D600F"/>
    <w:rsid w:val="005D61A1"/>
    <w:rsid w:val="005D6228"/>
    <w:rsid w:val="005D629B"/>
    <w:rsid w:val="005D63BD"/>
    <w:rsid w:val="005D665F"/>
    <w:rsid w:val="005D6740"/>
    <w:rsid w:val="005D68D4"/>
    <w:rsid w:val="005D68FE"/>
    <w:rsid w:val="005D6923"/>
    <w:rsid w:val="005D7173"/>
    <w:rsid w:val="005D7259"/>
    <w:rsid w:val="005D7393"/>
    <w:rsid w:val="005D7471"/>
    <w:rsid w:val="005D749D"/>
    <w:rsid w:val="005D74F8"/>
    <w:rsid w:val="005D7871"/>
    <w:rsid w:val="005D7983"/>
    <w:rsid w:val="005D7ABA"/>
    <w:rsid w:val="005D7E91"/>
    <w:rsid w:val="005E002F"/>
    <w:rsid w:val="005E04EE"/>
    <w:rsid w:val="005E0537"/>
    <w:rsid w:val="005E0658"/>
    <w:rsid w:val="005E06AD"/>
    <w:rsid w:val="005E06FC"/>
    <w:rsid w:val="005E087A"/>
    <w:rsid w:val="005E0C5E"/>
    <w:rsid w:val="005E0DF0"/>
    <w:rsid w:val="005E0E9B"/>
    <w:rsid w:val="005E0F0C"/>
    <w:rsid w:val="005E1055"/>
    <w:rsid w:val="005E1081"/>
    <w:rsid w:val="005E11D6"/>
    <w:rsid w:val="005E16D6"/>
    <w:rsid w:val="005E17F8"/>
    <w:rsid w:val="005E190F"/>
    <w:rsid w:val="005E1968"/>
    <w:rsid w:val="005E19ED"/>
    <w:rsid w:val="005E1A78"/>
    <w:rsid w:val="005E1D15"/>
    <w:rsid w:val="005E1DFE"/>
    <w:rsid w:val="005E1EA2"/>
    <w:rsid w:val="005E209A"/>
    <w:rsid w:val="005E21F3"/>
    <w:rsid w:val="005E227E"/>
    <w:rsid w:val="005E2516"/>
    <w:rsid w:val="005E26A3"/>
    <w:rsid w:val="005E2702"/>
    <w:rsid w:val="005E28CD"/>
    <w:rsid w:val="005E2A27"/>
    <w:rsid w:val="005E2E12"/>
    <w:rsid w:val="005E2F38"/>
    <w:rsid w:val="005E301B"/>
    <w:rsid w:val="005E3070"/>
    <w:rsid w:val="005E30D5"/>
    <w:rsid w:val="005E31C9"/>
    <w:rsid w:val="005E3359"/>
    <w:rsid w:val="005E33E1"/>
    <w:rsid w:val="005E35C4"/>
    <w:rsid w:val="005E39BB"/>
    <w:rsid w:val="005E39D6"/>
    <w:rsid w:val="005E3E85"/>
    <w:rsid w:val="005E3F93"/>
    <w:rsid w:val="005E4035"/>
    <w:rsid w:val="005E41A1"/>
    <w:rsid w:val="005E431A"/>
    <w:rsid w:val="005E48D1"/>
    <w:rsid w:val="005E4A89"/>
    <w:rsid w:val="005E4B31"/>
    <w:rsid w:val="005E4E45"/>
    <w:rsid w:val="005E4EA8"/>
    <w:rsid w:val="005E537F"/>
    <w:rsid w:val="005E5382"/>
    <w:rsid w:val="005E55DC"/>
    <w:rsid w:val="005E5749"/>
    <w:rsid w:val="005E5874"/>
    <w:rsid w:val="005E5A0D"/>
    <w:rsid w:val="005E5BB5"/>
    <w:rsid w:val="005E5E0F"/>
    <w:rsid w:val="005E5E64"/>
    <w:rsid w:val="005E5EAE"/>
    <w:rsid w:val="005E5FC9"/>
    <w:rsid w:val="005E6214"/>
    <w:rsid w:val="005E6631"/>
    <w:rsid w:val="005E664B"/>
    <w:rsid w:val="005E66D7"/>
    <w:rsid w:val="005E6905"/>
    <w:rsid w:val="005E6C23"/>
    <w:rsid w:val="005E6DA4"/>
    <w:rsid w:val="005E6F4B"/>
    <w:rsid w:val="005E7159"/>
    <w:rsid w:val="005E72D6"/>
    <w:rsid w:val="005E74DD"/>
    <w:rsid w:val="005E75D5"/>
    <w:rsid w:val="005E7607"/>
    <w:rsid w:val="005E78F8"/>
    <w:rsid w:val="005E7A60"/>
    <w:rsid w:val="005E7AF4"/>
    <w:rsid w:val="005E7B69"/>
    <w:rsid w:val="005E7D45"/>
    <w:rsid w:val="005E7F50"/>
    <w:rsid w:val="005F01A4"/>
    <w:rsid w:val="005F0463"/>
    <w:rsid w:val="005F0547"/>
    <w:rsid w:val="005F0698"/>
    <w:rsid w:val="005F06A0"/>
    <w:rsid w:val="005F09AD"/>
    <w:rsid w:val="005F1079"/>
    <w:rsid w:val="005F10D2"/>
    <w:rsid w:val="005F1211"/>
    <w:rsid w:val="005F1555"/>
    <w:rsid w:val="005F17CD"/>
    <w:rsid w:val="005F1804"/>
    <w:rsid w:val="005F194B"/>
    <w:rsid w:val="005F19E3"/>
    <w:rsid w:val="005F19FD"/>
    <w:rsid w:val="005F1F70"/>
    <w:rsid w:val="005F2296"/>
    <w:rsid w:val="005F22D2"/>
    <w:rsid w:val="005F2305"/>
    <w:rsid w:val="005F2443"/>
    <w:rsid w:val="005F26BF"/>
    <w:rsid w:val="005F2931"/>
    <w:rsid w:val="005F2978"/>
    <w:rsid w:val="005F2A49"/>
    <w:rsid w:val="005F2C3C"/>
    <w:rsid w:val="005F2C90"/>
    <w:rsid w:val="005F2CE2"/>
    <w:rsid w:val="005F2D96"/>
    <w:rsid w:val="005F308C"/>
    <w:rsid w:val="005F3198"/>
    <w:rsid w:val="005F3252"/>
    <w:rsid w:val="005F3278"/>
    <w:rsid w:val="005F3687"/>
    <w:rsid w:val="005F36F8"/>
    <w:rsid w:val="005F3A49"/>
    <w:rsid w:val="005F3B39"/>
    <w:rsid w:val="005F3CA9"/>
    <w:rsid w:val="005F3DAA"/>
    <w:rsid w:val="005F413F"/>
    <w:rsid w:val="005F4255"/>
    <w:rsid w:val="005F44FF"/>
    <w:rsid w:val="005F45A2"/>
    <w:rsid w:val="005F4721"/>
    <w:rsid w:val="005F48BA"/>
    <w:rsid w:val="005F4A59"/>
    <w:rsid w:val="005F4BCE"/>
    <w:rsid w:val="005F4FFF"/>
    <w:rsid w:val="005F5123"/>
    <w:rsid w:val="005F5558"/>
    <w:rsid w:val="005F55FC"/>
    <w:rsid w:val="005F55FE"/>
    <w:rsid w:val="005F584A"/>
    <w:rsid w:val="005F5875"/>
    <w:rsid w:val="005F5A1D"/>
    <w:rsid w:val="005F5A5C"/>
    <w:rsid w:val="005F5B4B"/>
    <w:rsid w:val="005F5F6D"/>
    <w:rsid w:val="005F5F9C"/>
    <w:rsid w:val="005F6631"/>
    <w:rsid w:val="005F6637"/>
    <w:rsid w:val="005F668C"/>
    <w:rsid w:val="005F6825"/>
    <w:rsid w:val="005F6DC0"/>
    <w:rsid w:val="005F70AF"/>
    <w:rsid w:val="005F70E3"/>
    <w:rsid w:val="005F720A"/>
    <w:rsid w:val="005F7243"/>
    <w:rsid w:val="005F72E6"/>
    <w:rsid w:val="005F7427"/>
    <w:rsid w:val="005F7934"/>
    <w:rsid w:val="005F7AD6"/>
    <w:rsid w:val="005F7B50"/>
    <w:rsid w:val="005F7C59"/>
    <w:rsid w:val="005F7D49"/>
    <w:rsid w:val="005F7E73"/>
    <w:rsid w:val="005F7FA8"/>
    <w:rsid w:val="00600275"/>
    <w:rsid w:val="00600280"/>
    <w:rsid w:val="0060048C"/>
    <w:rsid w:val="006004F1"/>
    <w:rsid w:val="00600805"/>
    <w:rsid w:val="006008B7"/>
    <w:rsid w:val="00600CED"/>
    <w:rsid w:val="00600D92"/>
    <w:rsid w:val="00600F5D"/>
    <w:rsid w:val="006010B6"/>
    <w:rsid w:val="0060111C"/>
    <w:rsid w:val="0060125A"/>
    <w:rsid w:val="00601266"/>
    <w:rsid w:val="00601325"/>
    <w:rsid w:val="006013D0"/>
    <w:rsid w:val="006016DA"/>
    <w:rsid w:val="00601794"/>
    <w:rsid w:val="00601832"/>
    <w:rsid w:val="00601947"/>
    <w:rsid w:val="006019B0"/>
    <w:rsid w:val="00601A53"/>
    <w:rsid w:val="00601AB3"/>
    <w:rsid w:val="00601B01"/>
    <w:rsid w:val="00601C20"/>
    <w:rsid w:val="00601C93"/>
    <w:rsid w:val="006020C5"/>
    <w:rsid w:val="006021FD"/>
    <w:rsid w:val="00602251"/>
    <w:rsid w:val="0060228B"/>
    <w:rsid w:val="00602531"/>
    <w:rsid w:val="0060266F"/>
    <w:rsid w:val="006027F2"/>
    <w:rsid w:val="0060287A"/>
    <w:rsid w:val="00602B47"/>
    <w:rsid w:val="00602C8A"/>
    <w:rsid w:val="00602E00"/>
    <w:rsid w:val="00602EE8"/>
    <w:rsid w:val="00602F21"/>
    <w:rsid w:val="00602F43"/>
    <w:rsid w:val="006032F2"/>
    <w:rsid w:val="00603303"/>
    <w:rsid w:val="006034B5"/>
    <w:rsid w:val="006034E7"/>
    <w:rsid w:val="00603812"/>
    <w:rsid w:val="0060389A"/>
    <w:rsid w:val="00603A3E"/>
    <w:rsid w:val="00603B08"/>
    <w:rsid w:val="00603B94"/>
    <w:rsid w:val="00603ECA"/>
    <w:rsid w:val="006040B8"/>
    <w:rsid w:val="0060427A"/>
    <w:rsid w:val="006044E9"/>
    <w:rsid w:val="006046C0"/>
    <w:rsid w:val="00604904"/>
    <w:rsid w:val="00604C89"/>
    <w:rsid w:val="00604DE1"/>
    <w:rsid w:val="00604EE1"/>
    <w:rsid w:val="00605141"/>
    <w:rsid w:val="00605211"/>
    <w:rsid w:val="0060524E"/>
    <w:rsid w:val="00605270"/>
    <w:rsid w:val="006052BC"/>
    <w:rsid w:val="006052EC"/>
    <w:rsid w:val="006055FB"/>
    <w:rsid w:val="0060569D"/>
    <w:rsid w:val="00605776"/>
    <w:rsid w:val="006057C7"/>
    <w:rsid w:val="00605E93"/>
    <w:rsid w:val="00605EFB"/>
    <w:rsid w:val="00605F1E"/>
    <w:rsid w:val="00606038"/>
    <w:rsid w:val="0060639C"/>
    <w:rsid w:val="0060658C"/>
    <w:rsid w:val="00606776"/>
    <w:rsid w:val="00607085"/>
    <w:rsid w:val="00607127"/>
    <w:rsid w:val="006071AD"/>
    <w:rsid w:val="00607388"/>
    <w:rsid w:val="006075D2"/>
    <w:rsid w:val="00607826"/>
    <w:rsid w:val="006078AC"/>
    <w:rsid w:val="0060797B"/>
    <w:rsid w:val="0060797C"/>
    <w:rsid w:val="006079C4"/>
    <w:rsid w:val="00607E38"/>
    <w:rsid w:val="00610139"/>
    <w:rsid w:val="00610162"/>
    <w:rsid w:val="006105CF"/>
    <w:rsid w:val="0061086B"/>
    <w:rsid w:val="00610ABA"/>
    <w:rsid w:val="00610C19"/>
    <w:rsid w:val="00610DBF"/>
    <w:rsid w:val="00610E4E"/>
    <w:rsid w:val="0061100F"/>
    <w:rsid w:val="006112D3"/>
    <w:rsid w:val="006115CF"/>
    <w:rsid w:val="006115E9"/>
    <w:rsid w:val="0061181E"/>
    <w:rsid w:val="00611BC7"/>
    <w:rsid w:val="00611D96"/>
    <w:rsid w:val="00611DBC"/>
    <w:rsid w:val="00611E84"/>
    <w:rsid w:val="00611EF4"/>
    <w:rsid w:val="00611F88"/>
    <w:rsid w:val="00612410"/>
    <w:rsid w:val="006124FB"/>
    <w:rsid w:val="00612784"/>
    <w:rsid w:val="0061283C"/>
    <w:rsid w:val="006128ED"/>
    <w:rsid w:val="00612979"/>
    <w:rsid w:val="00612ACE"/>
    <w:rsid w:val="00612C47"/>
    <w:rsid w:val="00612FF1"/>
    <w:rsid w:val="00613037"/>
    <w:rsid w:val="00613065"/>
    <w:rsid w:val="00613135"/>
    <w:rsid w:val="006132A8"/>
    <w:rsid w:val="00613553"/>
    <w:rsid w:val="006135AB"/>
    <w:rsid w:val="006138E4"/>
    <w:rsid w:val="00613A37"/>
    <w:rsid w:val="00613AEB"/>
    <w:rsid w:val="00613B1E"/>
    <w:rsid w:val="00613BCB"/>
    <w:rsid w:val="00613C1A"/>
    <w:rsid w:val="00613CE9"/>
    <w:rsid w:val="00613DC6"/>
    <w:rsid w:val="006141AC"/>
    <w:rsid w:val="00614375"/>
    <w:rsid w:val="0061439A"/>
    <w:rsid w:val="00614413"/>
    <w:rsid w:val="006144EC"/>
    <w:rsid w:val="006144F6"/>
    <w:rsid w:val="0061474D"/>
    <w:rsid w:val="006148DA"/>
    <w:rsid w:val="00614B2E"/>
    <w:rsid w:val="00614D87"/>
    <w:rsid w:val="00614DB1"/>
    <w:rsid w:val="0061510C"/>
    <w:rsid w:val="00615414"/>
    <w:rsid w:val="0061548E"/>
    <w:rsid w:val="006157B9"/>
    <w:rsid w:val="006159F9"/>
    <w:rsid w:val="00615A35"/>
    <w:rsid w:val="00615EB3"/>
    <w:rsid w:val="00615F60"/>
    <w:rsid w:val="00615FDA"/>
    <w:rsid w:val="00616005"/>
    <w:rsid w:val="00616321"/>
    <w:rsid w:val="00616407"/>
    <w:rsid w:val="00616618"/>
    <w:rsid w:val="0061677D"/>
    <w:rsid w:val="00616C7F"/>
    <w:rsid w:val="00616D20"/>
    <w:rsid w:val="00616D89"/>
    <w:rsid w:val="00616F78"/>
    <w:rsid w:val="00616FEF"/>
    <w:rsid w:val="0061731A"/>
    <w:rsid w:val="006173B2"/>
    <w:rsid w:val="0061748D"/>
    <w:rsid w:val="006174DC"/>
    <w:rsid w:val="006175A7"/>
    <w:rsid w:val="006176BB"/>
    <w:rsid w:val="00617ADF"/>
    <w:rsid w:val="00617C45"/>
    <w:rsid w:val="006200D8"/>
    <w:rsid w:val="00620653"/>
    <w:rsid w:val="00620661"/>
    <w:rsid w:val="00620763"/>
    <w:rsid w:val="0062092F"/>
    <w:rsid w:val="00620B33"/>
    <w:rsid w:val="00620BA5"/>
    <w:rsid w:val="00620BE0"/>
    <w:rsid w:val="00620E5A"/>
    <w:rsid w:val="00621082"/>
    <w:rsid w:val="006210CF"/>
    <w:rsid w:val="00621447"/>
    <w:rsid w:val="00621857"/>
    <w:rsid w:val="00621C85"/>
    <w:rsid w:val="00621C8E"/>
    <w:rsid w:val="00621C9A"/>
    <w:rsid w:val="00621D55"/>
    <w:rsid w:val="00621DB0"/>
    <w:rsid w:val="00621E15"/>
    <w:rsid w:val="00621E4E"/>
    <w:rsid w:val="00621E95"/>
    <w:rsid w:val="00621F99"/>
    <w:rsid w:val="0062233E"/>
    <w:rsid w:val="0062269F"/>
    <w:rsid w:val="006226CC"/>
    <w:rsid w:val="00622758"/>
    <w:rsid w:val="006229DF"/>
    <w:rsid w:val="00622B57"/>
    <w:rsid w:val="00622C33"/>
    <w:rsid w:val="00622C44"/>
    <w:rsid w:val="00622E96"/>
    <w:rsid w:val="00622F47"/>
    <w:rsid w:val="00622F7F"/>
    <w:rsid w:val="00622FF5"/>
    <w:rsid w:val="00623028"/>
    <w:rsid w:val="006230DA"/>
    <w:rsid w:val="006232E7"/>
    <w:rsid w:val="006236CC"/>
    <w:rsid w:val="0062376C"/>
    <w:rsid w:val="00623999"/>
    <w:rsid w:val="00623B21"/>
    <w:rsid w:val="00623D13"/>
    <w:rsid w:val="00623D9E"/>
    <w:rsid w:val="00623E13"/>
    <w:rsid w:val="00623EAA"/>
    <w:rsid w:val="00623F3B"/>
    <w:rsid w:val="006243EA"/>
    <w:rsid w:val="00624468"/>
    <w:rsid w:val="00624494"/>
    <w:rsid w:val="00624496"/>
    <w:rsid w:val="006244AC"/>
    <w:rsid w:val="0062465D"/>
    <w:rsid w:val="00624664"/>
    <w:rsid w:val="00624AF7"/>
    <w:rsid w:val="00624D52"/>
    <w:rsid w:val="00624E59"/>
    <w:rsid w:val="006250E9"/>
    <w:rsid w:val="006251DD"/>
    <w:rsid w:val="006252EC"/>
    <w:rsid w:val="006252F9"/>
    <w:rsid w:val="00625411"/>
    <w:rsid w:val="006254A3"/>
    <w:rsid w:val="00625581"/>
    <w:rsid w:val="00625715"/>
    <w:rsid w:val="00625A7C"/>
    <w:rsid w:val="00625D17"/>
    <w:rsid w:val="00625E3C"/>
    <w:rsid w:val="00626100"/>
    <w:rsid w:val="00626116"/>
    <w:rsid w:val="006261A5"/>
    <w:rsid w:val="006261E1"/>
    <w:rsid w:val="00626222"/>
    <w:rsid w:val="0062656A"/>
    <w:rsid w:val="006265CF"/>
    <w:rsid w:val="00626672"/>
    <w:rsid w:val="00626729"/>
    <w:rsid w:val="0062687A"/>
    <w:rsid w:val="006268F9"/>
    <w:rsid w:val="00626AC0"/>
    <w:rsid w:val="00626EE7"/>
    <w:rsid w:val="00626F40"/>
    <w:rsid w:val="00626F81"/>
    <w:rsid w:val="00627067"/>
    <w:rsid w:val="00627231"/>
    <w:rsid w:val="00627392"/>
    <w:rsid w:val="006273E7"/>
    <w:rsid w:val="00627453"/>
    <w:rsid w:val="00627710"/>
    <w:rsid w:val="006277BB"/>
    <w:rsid w:val="006279B5"/>
    <w:rsid w:val="00627DFD"/>
    <w:rsid w:val="00627F88"/>
    <w:rsid w:val="00630087"/>
    <w:rsid w:val="0063043C"/>
    <w:rsid w:val="0063068B"/>
    <w:rsid w:val="006306DA"/>
    <w:rsid w:val="006307ED"/>
    <w:rsid w:val="00630C2B"/>
    <w:rsid w:val="00630CB3"/>
    <w:rsid w:val="00630E44"/>
    <w:rsid w:val="00631568"/>
    <w:rsid w:val="00631660"/>
    <w:rsid w:val="006316C9"/>
    <w:rsid w:val="006317DB"/>
    <w:rsid w:val="0063190A"/>
    <w:rsid w:val="00631BB9"/>
    <w:rsid w:val="00631F40"/>
    <w:rsid w:val="006321EB"/>
    <w:rsid w:val="006325E7"/>
    <w:rsid w:val="00632648"/>
    <w:rsid w:val="00632A91"/>
    <w:rsid w:val="00632CCD"/>
    <w:rsid w:val="00632CE8"/>
    <w:rsid w:val="00632D08"/>
    <w:rsid w:val="00632D28"/>
    <w:rsid w:val="00633166"/>
    <w:rsid w:val="00633265"/>
    <w:rsid w:val="00633352"/>
    <w:rsid w:val="00633589"/>
    <w:rsid w:val="006335D5"/>
    <w:rsid w:val="00633B2F"/>
    <w:rsid w:val="00633BDA"/>
    <w:rsid w:val="00633D05"/>
    <w:rsid w:val="00633D85"/>
    <w:rsid w:val="00633DB3"/>
    <w:rsid w:val="00633E46"/>
    <w:rsid w:val="006342AC"/>
    <w:rsid w:val="006344E8"/>
    <w:rsid w:val="00634531"/>
    <w:rsid w:val="006349C4"/>
    <w:rsid w:val="00634A95"/>
    <w:rsid w:val="00634FD0"/>
    <w:rsid w:val="006351EC"/>
    <w:rsid w:val="006353FF"/>
    <w:rsid w:val="006354E2"/>
    <w:rsid w:val="00635685"/>
    <w:rsid w:val="006356FC"/>
    <w:rsid w:val="00635882"/>
    <w:rsid w:val="00635AD0"/>
    <w:rsid w:val="00635AE2"/>
    <w:rsid w:val="00635E24"/>
    <w:rsid w:val="0063602C"/>
    <w:rsid w:val="00636068"/>
    <w:rsid w:val="0063608A"/>
    <w:rsid w:val="006360BB"/>
    <w:rsid w:val="0063624D"/>
    <w:rsid w:val="006362B2"/>
    <w:rsid w:val="006362E8"/>
    <w:rsid w:val="0063639D"/>
    <w:rsid w:val="00636594"/>
    <w:rsid w:val="00636866"/>
    <w:rsid w:val="00636916"/>
    <w:rsid w:val="00636963"/>
    <w:rsid w:val="006369DA"/>
    <w:rsid w:val="00636C58"/>
    <w:rsid w:val="00636DB6"/>
    <w:rsid w:val="00637101"/>
    <w:rsid w:val="0063763D"/>
    <w:rsid w:val="00637666"/>
    <w:rsid w:val="00637680"/>
    <w:rsid w:val="006376A3"/>
    <w:rsid w:val="006376E7"/>
    <w:rsid w:val="00637802"/>
    <w:rsid w:val="00637856"/>
    <w:rsid w:val="006378BA"/>
    <w:rsid w:val="006378E8"/>
    <w:rsid w:val="00637995"/>
    <w:rsid w:val="00637BA2"/>
    <w:rsid w:val="00637F41"/>
    <w:rsid w:val="00637FF2"/>
    <w:rsid w:val="006400B5"/>
    <w:rsid w:val="0064020B"/>
    <w:rsid w:val="006402F4"/>
    <w:rsid w:val="0064037F"/>
    <w:rsid w:val="006404BA"/>
    <w:rsid w:val="00640C31"/>
    <w:rsid w:val="00640D00"/>
    <w:rsid w:val="00640EEC"/>
    <w:rsid w:val="006410FC"/>
    <w:rsid w:val="00641905"/>
    <w:rsid w:val="006419F1"/>
    <w:rsid w:val="00641DAB"/>
    <w:rsid w:val="00641E4B"/>
    <w:rsid w:val="00641FAF"/>
    <w:rsid w:val="0064200E"/>
    <w:rsid w:val="00642074"/>
    <w:rsid w:val="0064214D"/>
    <w:rsid w:val="00642185"/>
    <w:rsid w:val="006424FE"/>
    <w:rsid w:val="00642521"/>
    <w:rsid w:val="00642A16"/>
    <w:rsid w:val="00642BED"/>
    <w:rsid w:val="00642C44"/>
    <w:rsid w:val="00642DA0"/>
    <w:rsid w:val="00642E80"/>
    <w:rsid w:val="00643050"/>
    <w:rsid w:val="00643102"/>
    <w:rsid w:val="00643128"/>
    <w:rsid w:val="006431E6"/>
    <w:rsid w:val="00643226"/>
    <w:rsid w:val="0064328F"/>
    <w:rsid w:val="00643351"/>
    <w:rsid w:val="00643818"/>
    <w:rsid w:val="00643B67"/>
    <w:rsid w:val="00643BA0"/>
    <w:rsid w:val="00643E4F"/>
    <w:rsid w:val="00643FA7"/>
    <w:rsid w:val="0064440A"/>
    <w:rsid w:val="00644429"/>
    <w:rsid w:val="00644767"/>
    <w:rsid w:val="00644788"/>
    <w:rsid w:val="006447A4"/>
    <w:rsid w:val="006447AD"/>
    <w:rsid w:val="00644994"/>
    <w:rsid w:val="00644B96"/>
    <w:rsid w:val="00644C6E"/>
    <w:rsid w:val="00644CF5"/>
    <w:rsid w:val="00644D81"/>
    <w:rsid w:val="00645005"/>
    <w:rsid w:val="0064501A"/>
    <w:rsid w:val="006450CC"/>
    <w:rsid w:val="0064521A"/>
    <w:rsid w:val="006454EF"/>
    <w:rsid w:val="00645550"/>
    <w:rsid w:val="006455CB"/>
    <w:rsid w:val="006455DE"/>
    <w:rsid w:val="006459EF"/>
    <w:rsid w:val="00645CE0"/>
    <w:rsid w:val="00645F04"/>
    <w:rsid w:val="006460A8"/>
    <w:rsid w:val="0064627F"/>
    <w:rsid w:val="00646312"/>
    <w:rsid w:val="006465F3"/>
    <w:rsid w:val="00646764"/>
    <w:rsid w:val="0064698E"/>
    <w:rsid w:val="00646D06"/>
    <w:rsid w:val="00646E02"/>
    <w:rsid w:val="00646EB5"/>
    <w:rsid w:val="00646F25"/>
    <w:rsid w:val="00646F5E"/>
    <w:rsid w:val="0064704E"/>
    <w:rsid w:val="006470CC"/>
    <w:rsid w:val="0064748D"/>
    <w:rsid w:val="00647792"/>
    <w:rsid w:val="00647AFA"/>
    <w:rsid w:val="006501FD"/>
    <w:rsid w:val="006503D3"/>
    <w:rsid w:val="0065059C"/>
    <w:rsid w:val="00650734"/>
    <w:rsid w:val="00650917"/>
    <w:rsid w:val="00650B87"/>
    <w:rsid w:val="00650B9C"/>
    <w:rsid w:val="00650D4B"/>
    <w:rsid w:val="00650DD2"/>
    <w:rsid w:val="00650E14"/>
    <w:rsid w:val="00650EAA"/>
    <w:rsid w:val="00650F3F"/>
    <w:rsid w:val="00650F87"/>
    <w:rsid w:val="00650F9E"/>
    <w:rsid w:val="00651037"/>
    <w:rsid w:val="00651104"/>
    <w:rsid w:val="0065128D"/>
    <w:rsid w:val="00651594"/>
    <w:rsid w:val="00651D9B"/>
    <w:rsid w:val="00651F4B"/>
    <w:rsid w:val="006522FF"/>
    <w:rsid w:val="00652619"/>
    <w:rsid w:val="00652C1E"/>
    <w:rsid w:val="00652C3C"/>
    <w:rsid w:val="00652C72"/>
    <w:rsid w:val="00652DD4"/>
    <w:rsid w:val="00652F62"/>
    <w:rsid w:val="0065303A"/>
    <w:rsid w:val="00653065"/>
    <w:rsid w:val="0065310D"/>
    <w:rsid w:val="006531DE"/>
    <w:rsid w:val="006531F5"/>
    <w:rsid w:val="00653245"/>
    <w:rsid w:val="006532D5"/>
    <w:rsid w:val="006534BF"/>
    <w:rsid w:val="0065370B"/>
    <w:rsid w:val="0065370F"/>
    <w:rsid w:val="006537D7"/>
    <w:rsid w:val="0065380F"/>
    <w:rsid w:val="0065381B"/>
    <w:rsid w:val="006539DC"/>
    <w:rsid w:val="00653B9D"/>
    <w:rsid w:val="00653E9A"/>
    <w:rsid w:val="0065401A"/>
    <w:rsid w:val="00654159"/>
    <w:rsid w:val="0065429F"/>
    <w:rsid w:val="006542A3"/>
    <w:rsid w:val="0065434D"/>
    <w:rsid w:val="0065444A"/>
    <w:rsid w:val="006544A8"/>
    <w:rsid w:val="0065452A"/>
    <w:rsid w:val="00654C1E"/>
    <w:rsid w:val="00654D6C"/>
    <w:rsid w:val="00654F24"/>
    <w:rsid w:val="00654F68"/>
    <w:rsid w:val="0065514D"/>
    <w:rsid w:val="0065525C"/>
    <w:rsid w:val="006556A8"/>
    <w:rsid w:val="006556F3"/>
    <w:rsid w:val="00655763"/>
    <w:rsid w:val="00655848"/>
    <w:rsid w:val="006558A0"/>
    <w:rsid w:val="006558C8"/>
    <w:rsid w:val="006559BA"/>
    <w:rsid w:val="00655A33"/>
    <w:rsid w:val="00655CF9"/>
    <w:rsid w:val="00655D45"/>
    <w:rsid w:val="00656046"/>
    <w:rsid w:val="006561CC"/>
    <w:rsid w:val="006562A0"/>
    <w:rsid w:val="00656672"/>
    <w:rsid w:val="00656770"/>
    <w:rsid w:val="00656803"/>
    <w:rsid w:val="00656A25"/>
    <w:rsid w:val="00656B0B"/>
    <w:rsid w:val="00656CB0"/>
    <w:rsid w:val="00656D51"/>
    <w:rsid w:val="00656FF1"/>
    <w:rsid w:val="0065714C"/>
    <w:rsid w:val="0065727D"/>
    <w:rsid w:val="00657311"/>
    <w:rsid w:val="0065744D"/>
    <w:rsid w:val="0065748E"/>
    <w:rsid w:val="0065749E"/>
    <w:rsid w:val="00657580"/>
    <w:rsid w:val="00657A82"/>
    <w:rsid w:val="00657B9E"/>
    <w:rsid w:val="00657CD1"/>
    <w:rsid w:val="00657D3C"/>
    <w:rsid w:val="00657E61"/>
    <w:rsid w:val="00657E79"/>
    <w:rsid w:val="0066008D"/>
    <w:rsid w:val="006601FD"/>
    <w:rsid w:val="0066042B"/>
    <w:rsid w:val="006606E1"/>
    <w:rsid w:val="006606F6"/>
    <w:rsid w:val="00660987"/>
    <w:rsid w:val="00660A43"/>
    <w:rsid w:val="00660A4C"/>
    <w:rsid w:val="00660A74"/>
    <w:rsid w:val="00660C5D"/>
    <w:rsid w:val="00660D60"/>
    <w:rsid w:val="00660F1C"/>
    <w:rsid w:val="00660F5E"/>
    <w:rsid w:val="00661145"/>
    <w:rsid w:val="006614B4"/>
    <w:rsid w:val="00661500"/>
    <w:rsid w:val="0066167B"/>
    <w:rsid w:val="00661855"/>
    <w:rsid w:val="00661ADE"/>
    <w:rsid w:val="00661B65"/>
    <w:rsid w:val="00661CC0"/>
    <w:rsid w:val="00661D3F"/>
    <w:rsid w:val="00661FD9"/>
    <w:rsid w:val="00662006"/>
    <w:rsid w:val="006621FC"/>
    <w:rsid w:val="00662258"/>
    <w:rsid w:val="006628D0"/>
    <w:rsid w:val="00662A90"/>
    <w:rsid w:val="00662AF4"/>
    <w:rsid w:val="00662B54"/>
    <w:rsid w:val="00662BAC"/>
    <w:rsid w:val="00662BDE"/>
    <w:rsid w:val="00662C73"/>
    <w:rsid w:val="00662D18"/>
    <w:rsid w:val="00662E5E"/>
    <w:rsid w:val="00662E5F"/>
    <w:rsid w:val="0066306C"/>
    <w:rsid w:val="0066316B"/>
    <w:rsid w:val="006632E4"/>
    <w:rsid w:val="00663433"/>
    <w:rsid w:val="006634DC"/>
    <w:rsid w:val="00663525"/>
    <w:rsid w:val="006636C1"/>
    <w:rsid w:val="00663945"/>
    <w:rsid w:val="00663EB2"/>
    <w:rsid w:val="00663F3D"/>
    <w:rsid w:val="00663F72"/>
    <w:rsid w:val="00663FD7"/>
    <w:rsid w:val="0066408B"/>
    <w:rsid w:val="00664181"/>
    <w:rsid w:val="00664224"/>
    <w:rsid w:val="00664434"/>
    <w:rsid w:val="006648B3"/>
    <w:rsid w:val="00664A93"/>
    <w:rsid w:val="00664AFF"/>
    <w:rsid w:val="00664B14"/>
    <w:rsid w:val="00664C17"/>
    <w:rsid w:val="00664C26"/>
    <w:rsid w:val="0066515D"/>
    <w:rsid w:val="0066516F"/>
    <w:rsid w:val="00665221"/>
    <w:rsid w:val="00665275"/>
    <w:rsid w:val="0066561F"/>
    <w:rsid w:val="0066565F"/>
    <w:rsid w:val="00665809"/>
    <w:rsid w:val="006658CF"/>
    <w:rsid w:val="00665C97"/>
    <w:rsid w:val="00665DEA"/>
    <w:rsid w:val="00665EEC"/>
    <w:rsid w:val="0066617A"/>
    <w:rsid w:val="006662EC"/>
    <w:rsid w:val="006663A8"/>
    <w:rsid w:val="006667D1"/>
    <w:rsid w:val="0066691F"/>
    <w:rsid w:val="00666A58"/>
    <w:rsid w:val="00666E62"/>
    <w:rsid w:val="00666FDD"/>
    <w:rsid w:val="00667032"/>
    <w:rsid w:val="0066726F"/>
    <w:rsid w:val="006672BC"/>
    <w:rsid w:val="006673B4"/>
    <w:rsid w:val="006674D3"/>
    <w:rsid w:val="00667716"/>
    <w:rsid w:val="00667A6F"/>
    <w:rsid w:val="00667AF1"/>
    <w:rsid w:val="00667F3A"/>
    <w:rsid w:val="00667F66"/>
    <w:rsid w:val="0067012A"/>
    <w:rsid w:val="00670214"/>
    <w:rsid w:val="0067043F"/>
    <w:rsid w:val="006705A1"/>
    <w:rsid w:val="006705CF"/>
    <w:rsid w:val="00670650"/>
    <w:rsid w:val="00670783"/>
    <w:rsid w:val="00670AD9"/>
    <w:rsid w:val="00670C1C"/>
    <w:rsid w:val="00670EBF"/>
    <w:rsid w:val="00670FF4"/>
    <w:rsid w:val="0067120F"/>
    <w:rsid w:val="00671244"/>
    <w:rsid w:val="006712C0"/>
    <w:rsid w:val="00671378"/>
    <w:rsid w:val="006713AB"/>
    <w:rsid w:val="006714F0"/>
    <w:rsid w:val="00671509"/>
    <w:rsid w:val="006717A0"/>
    <w:rsid w:val="00671A77"/>
    <w:rsid w:val="00671B7E"/>
    <w:rsid w:val="00671C51"/>
    <w:rsid w:val="00671EF1"/>
    <w:rsid w:val="00671F50"/>
    <w:rsid w:val="006721EF"/>
    <w:rsid w:val="0067230E"/>
    <w:rsid w:val="006723E4"/>
    <w:rsid w:val="00672533"/>
    <w:rsid w:val="0067267E"/>
    <w:rsid w:val="006727DB"/>
    <w:rsid w:val="00672938"/>
    <w:rsid w:val="00672DEA"/>
    <w:rsid w:val="00672E18"/>
    <w:rsid w:val="00673090"/>
    <w:rsid w:val="00673404"/>
    <w:rsid w:val="006734C7"/>
    <w:rsid w:val="006738CA"/>
    <w:rsid w:val="00673972"/>
    <w:rsid w:val="00673AC7"/>
    <w:rsid w:val="00673C4F"/>
    <w:rsid w:val="00673DA2"/>
    <w:rsid w:val="00673E97"/>
    <w:rsid w:val="00673F0B"/>
    <w:rsid w:val="00673FBC"/>
    <w:rsid w:val="006742A3"/>
    <w:rsid w:val="00674300"/>
    <w:rsid w:val="006744AC"/>
    <w:rsid w:val="006744B3"/>
    <w:rsid w:val="0067451B"/>
    <w:rsid w:val="00674599"/>
    <w:rsid w:val="00674790"/>
    <w:rsid w:val="006747B3"/>
    <w:rsid w:val="0067483F"/>
    <w:rsid w:val="00674C56"/>
    <w:rsid w:val="00674C7D"/>
    <w:rsid w:val="00674E9A"/>
    <w:rsid w:val="00675160"/>
    <w:rsid w:val="00675328"/>
    <w:rsid w:val="00675429"/>
    <w:rsid w:val="006755C2"/>
    <w:rsid w:val="00675641"/>
    <w:rsid w:val="006756D3"/>
    <w:rsid w:val="006758A5"/>
    <w:rsid w:val="00675A81"/>
    <w:rsid w:val="0067609D"/>
    <w:rsid w:val="006762A4"/>
    <w:rsid w:val="006762E2"/>
    <w:rsid w:val="00676316"/>
    <w:rsid w:val="00676420"/>
    <w:rsid w:val="00676438"/>
    <w:rsid w:val="00676439"/>
    <w:rsid w:val="0067647F"/>
    <w:rsid w:val="00676503"/>
    <w:rsid w:val="00676636"/>
    <w:rsid w:val="00676787"/>
    <w:rsid w:val="0067692F"/>
    <w:rsid w:val="00676A52"/>
    <w:rsid w:val="00676EE9"/>
    <w:rsid w:val="00676FA9"/>
    <w:rsid w:val="006772A0"/>
    <w:rsid w:val="006773A8"/>
    <w:rsid w:val="006773BE"/>
    <w:rsid w:val="00677570"/>
    <w:rsid w:val="0067768B"/>
    <w:rsid w:val="00677782"/>
    <w:rsid w:val="00677F94"/>
    <w:rsid w:val="006800C9"/>
    <w:rsid w:val="00680196"/>
    <w:rsid w:val="00680259"/>
    <w:rsid w:val="0068025C"/>
    <w:rsid w:val="006805F1"/>
    <w:rsid w:val="00680764"/>
    <w:rsid w:val="006807B0"/>
    <w:rsid w:val="0068092C"/>
    <w:rsid w:val="00680A16"/>
    <w:rsid w:val="00680B40"/>
    <w:rsid w:val="00680C19"/>
    <w:rsid w:val="00680E55"/>
    <w:rsid w:val="00681344"/>
    <w:rsid w:val="00681692"/>
    <w:rsid w:val="006816D8"/>
    <w:rsid w:val="00681944"/>
    <w:rsid w:val="006819AC"/>
    <w:rsid w:val="00681D3B"/>
    <w:rsid w:val="00681EC9"/>
    <w:rsid w:val="00681ED1"/>
    <w:rsid w:val="00681F23"/>
    <w:rsid w:val="006820A8"/>
    <w:rsid w:val="00682192"/>
    <w:rsid w:val="00682271"/>
    <w:rsid w:val="006822DE"/>
    <w:rsid w:val="006822FA"/>
    <w:rsid w:val="006825A8"/>
    <w:rsid w:val="0068266B"/>
    <w:rsid w:val="0068288C"/>
    <w:rsid w:val="006828B9"/>
    <w:rsid w:val="00682BF2"/>
    <w:rsid w:val="00682C9C"/>
    <w:rsid w:val="00682F15"/>
    <w:rsid w:val="00683179"/>
    <w:rsid w:val="00683194"/>
    <w:rsid w:val="00683279"/>
    <w:rsid w:val="00683472"/>
    <w:rsid w:val="006837B8"/>
    <w:rsid w:val="00683A0A"/>
    <w:rsid w:val="00683C56"/>
    <w:rsid w:val="00683D2F"/>
    <w:rsid w:val="00683F36"/>
    <w:rsid w:val="00684477"/>
    <w:rsid w:val="006845BA"/>
    <w:rsid w:val="00684614"/>
    <w:rsid w:val="0068463B"/>
    <w:rsid w:val="006846C1"/>
    <w:rsid w:val="00684818"/>
    <w:rsid w:val="00684A94"/>
    <w:rsid w:val="00684B04"/>
    <w:rsid w:val="00684C12"/>
    <w:rsid w:val="00684E43"/>
    <w:rsid w:val="00684EF6"/>
    <w:rsid w:val="0068500A"/>
    <w:rsid w:val="006853D3"/>
    <w:rsid w:val="00685589"/>
    <w:rsid w:val="0068586B"/>
    <w:rsid w:val="00685B11"/>
    <w:rsid w:val="00685B9D"/>
    <w:rsid w:val="006862CA"/>
    <w:rsid w:val="006863BB"/>
    <w:rsid w:val="006863F3"/>
    <w:rsid w:val="006864F8"/>
    <w:rsid w:val="00686579"/>
    <w:rsid w:val="0068663C"/>
    <w:rsid w:val="0068671A"/>
    <w:rsid w:val="0068682C"/>
    <w:rsid w:val="00686863"/>
    <w:rsid w:val="00686C00"/>
    <w:rsid w:val="00686D16"/>
    <w:rsid w:val="00686D44"/>
    <w:rsid w:val="00686F57"/>
    <w:rsid w:val="0068700B"/>
    <w:rsid w:val="006871FC"/>
    <w:rsid w:val="00687205"/>
    <w:rsid w:val="00687221"/>
    <w:rsid w:val="00687329"/>
    <w:rsid w:val="0068762E"/>
    <w:rsid w:val="00687B5C"/>
    <w:rsid w:val="00687D97"/>
    <w:rsid w:val="00687E61"/>
    <w:rsid w:val="0069056C"/>
    <w:rsid w:val="006905A0"/>
    <w:rsid w:val="006906B3"/>
    <w:rsid w:val="006907FC"/>
    <w:rsid w:val="006908D9"/>
    <w:rsid w:val="006908E1"/>
    <w:rsid w:val="0069092E"/>
    <w:rsid w:val="0069099C"/>
    <w:rsid w:val="006909DD"/>
    <w:rsid w:val="00690C22"/>
    <w:rsid w:val="00690C49"/>
    <w:rsid w:val="00690E25"/>
    <w:rsid w:val="006911D6"/>
    <w:rsid w:val="006912B5"/>
    <w:rsid w:val="006913E5"/>
    <w:rsid w:val="006913E7"/>
    <w:rsid w:val="0069151C"/>
    <w:rsid w:val="00691639"/>
    <w:rsid w:val="006916F9"/>
    <w:rsid w:val="006918FA"/>
    <w:rsid w:val="00691BF9"/>
    <w:rsid w:val="00691C3C"/>
    <w:rsid w:val="00691CFC"/>
    <w:rsid w:val="00691D39"/>
    <w:rsid w:val="00691D3D"/>
    <w:rsid w:val="00691D8E"/>
    <w:rsid w:val="00691F1F"/>
    <w:rsid w:val="00691F33"/>
    <w:rsid w:val="00692092"/>
    <w:rsid w:val="00692094"/>
    <w:rsid w:val="0069218D"/>
    <w:rsid w:val="006921F6"/>
    <w:rsid w:val="006922F6"/>
    <w:rsid w:val="006923F0"/>
    <w:rsid w:val="00692465"/>
    <w:rsid w:val="006924AA"/>
    <w:rsid w:val="00692526"/>
    <w:rsid w:val="006925A0"/>
    <w:rsid w:val="006926FE"/>
    <w:rsid w:val="006927FA"/>
    <w:rsid w:val="00692949"/>
    <w:rsid w:val="0069295B"/>
    <w:rsid w:val="00692A04"/>
    <w:rsid w:val="00692B45"/>
    <w:rsid w:val="00692EC6"/>
    <w:rsid w:val="00693449"/>
    <w:rsid w:val="00693613"/>
    <w:rsid w:val="00693725"/>
    <w:rsid w:val="00693726"/>
    <w:rsid w:val="00693762"/>
    <w:rsid w:val="006938AA"/>
    <w:rsid w:val="0069393D"/>
    <w:rsid w:val="00693A0A"/>
    <w:rsid w:val="00693C38"/>
    <w:rsid w:val="00693E1E"/>
    <w:rsid w:val="00693F8D"/>
    <w:rsid w:val="006940F6"/>
    <w:rsid w:val="006941E6"/>
    <w:rsid w:val="0069438A"/>
    <w:rsid w:val="00694392"/>
    <w:rsid w:val="006944A8"/>
    <w:rsid w:val="0069474B"/>
    <w:rsid w:val="0069475D"/>
    <w:rsid w:val="00694977"/>
    <w:rsid w:val="00694C11"/>
    <w:rsid w:val="00694D64"/>
    <w:rsid w:val="00694DA4"/>
    <w:rsid w:val="0069522F"/>
    <w:rsid w:val="0069576B"/>
    <w:rsid w:val="006957BA"/>
    <w:rsid w:val="00695841"/>
    <w:rsid w:val="00695956"/>
    <w:rsid w:val="006959DA"/>
    <w:rsid w:val="00695B71"/>
    <w:rsid w:val="00695D9F"/>
    <w:rsid w:val="00695EE0"/>
    <w:rsid w:val="00696245"/>
    <w:rsid w:val="00696382"/>
    <w:rsid w:val="00696769"/>
    <w:rsid w:val="00696821"/>
    <w:rsid w:val="006968F4"/>
    <w:rsid w:val="00696B03"/>
    <w:rsid w:val="00696BDF"/>
    <w:rsid w:val="00696C55"/>
    <w:rsid w:val="00696E29"/>
    <w:rsid w:val="00696FE0"/>
    <w:rsid w:val="006971D8"/>
    <w:rsid w:val="00697769"/>
    <w:rsid w:val="0069781F"/>
    <w:rsid w:val="00697902"/>
    <w:rsid w:val="00697966"/>
    <w:rsid w:val="00697A49"/>
    <w:rsid w:val="00697BB2"/>
    <w:rsid w:val="00697C6E"/>
    <w:rsid w:val="00697E21"/>
    <w:rsid w:val="00697ED4"/>
    <w:rsid w:val="00698513"/>
    <w:rsid w:val="006A003E"/>
    <w:rsid w:val="006A022C"/>
    <w:rsid w:val="006A0390"/>
    <w:rsid w:val="006A078D"/>
    <w:rsid w:val="006A0880"/>
    <w:rsid w:val="006A0923"/>
    <w:rsid w:val="006A09DD"/>
    <w:rsid w:val="006A0C7B"/>
    <w:rsid w:val="006A0F17"/>
    <w:rsid w:val="006A105B"/>
    <w:rsid w:val="006A112D"/>
    <w:rsid w:val="006A1477"/>
    <w:rsid w:val="006A15FE"/>
    <w:rsid w:val="006A165D"/>
    <w:rsid w:val="006A1968"/>
    <w:rsid w:val="006A19F2"/>
    <w:rsid w:val="006A1BAF"/>
    <w:rsid w:val="006A1D67"/>
    <w:rsid w:val="006A20A5"/>
    <w:rsid w:val="006A20D2"/>
    <w:rsid w:val="006A213B"/>
    <w:rsid w:val="006A213D"/>
    <w:rsid w:val="006A2351"/>
    <w:rsid w:val="006A2503"/>
    <w:rsid w:val="006A267E"/>
    <w:rsid w:val="006A2891"/>
    <w:rsid w:val="006A28C7"/>
    <w:rsid w:val="006A28CC"/>
    <w:rsid w:val="006A2A1D"/>
    <w:rsid w:val="006A2ADB"/>
    <w:rsid w:val="006A2B4B"/>
    <w:rsid w:val="006A2EB1"/>
    <w:rsid w:val="006A2F4B"/>
    <w:rsid w:val="006A2FD1"/>
    <w:rsid w:val="006A3021"/>
    <w:rsid w:val="006A3350"/>
    <w:rsid w:val="006A3604"/>
    <w:rsid w:val="006A362B"/>
    <w:rsid w:val="006A3732"/>
    <w:rsid w:val="006A3836"/>
    <w:rsid w:val="006A3837"/>
    <w:rsid w:val="006A38F7"/>
    <w:rsid w:val="006A3A2B"/>
    <w:rsid w:val="006A3A38"/>
    <w:rsid w:val="006A3B6C"/>
    <w:rsid w:val="006A440D"/>
    <w:rsid w:val="006A44E0"/>
    <w:rsid w:val="006A45D1"/>
    <w:rsid w:val="006A46CD"/>
    <w:rsid w:val="006A49FD"/>
    <w:rsid w:val="006A4E34"/>
    <w:rsid w:val="006A4E71"/>
    <w:rsid w:val="006A5091"/>
    <w:rsid w:val="006A54AA"/>
    <w:rsid w:val="006A56CA"/>
    <w:rsid w:val="006A5790"/>
    <w:rsid w:val="006A584B"/>
    <w:rsid w:val="006A586C"/>
    <w:rsid w:val="006A58B2"/>
    <w:rsid w:val="006A59A4"/>
    <w:rsid w:val="006A5A17"/>
    <w:rsid w:val="006A5A19"/>
    <w:rsid w:val="006A5AFC"/>
    <w:rsid w:val="006A5B01"/>
    <w:rsid w:val="006A5BEC"/>
    <w:rsid w:val="006A5C5C"/>
    <w:rsid w:val="006A5FE9"/>
    <w:rsid w:val="006A6046"/>
    <w:rsid w:val="006A621D"/>
    <w:rsid w:val="006A64D5"/>
    <w:rsid w:val="006A64DC"/>
    <w:rsid w:val="006A672C"/>
    <w:rsid w:val="006A6B6D"/>
    <w:rsid w:val="006A6BF1"/>
    <w:rsid w:val="006A6C64"/>
    <w:rsid w:val="006A6DA8"/>
    <w:rsid w:val="006A6F7F"/>
    <w:rsid w:val="006A762A"/>
    <w:rsid w:val="006A77B6"/>
    <w:rsid w:val="006A7BAE"/>
    <w:rsid w:val="006A7D1A"/>
    <w:rsid w:val="006A7ED5"/>
    <w:rsid w:val="006A7FBE"/>
    <w:rsid w:val="006B01F5"/>
    <w:rsid w:val="006B05F1"/>
    <w:rsid w:val="006B0683"/>
    <w:rsid w:val="006B0A41"/>
    <w:rsid w:val="006B0A75"/>
    <w:rsid w:val="006B0AD5"/>
    <w:rsid w:val="006B0C86"/>
    <w:rsid w:val="006B0D73"/>
    <w:rsid w:val="006B0F3A"/>
    <w:rsid w:val="006B0FB2"/>
    <w:rsid w:val="006B178C"/>
    <w:rsid w:val="006B1999"/>
    <w:rsid w:val="006B1A40"/>
    <w:rsid w:val="006B1D65"/>
    <w:rsid w:val="006B1EE1"/>
    <w:rsid w:val="006B1F43"/>
    <w:rsid w:val="006B1F6F"/>
    <w:rsid w:val="006B209B"/>
    <w:rsid w:val="006B2155"/>
    <w:rsid w:val="006B2158"/>
    <w:rsid w:val="006B232D"/>
    <w:rsid w:val="006B2395"/>
    <w:rsid w:val="006B23AD"/>
    <w:rsid w:val="006B24FB"/>
    <w:rsid w:val="006B25CB"/>
    <w:rsid w:val="006B298C"/>
    <w:rsid w:val="006B29BD"/>
    <w:rsid w:val="006B2BA5"/>
    <w:rsid w:val="006B2FBD"/>
    <w:rsid w:val="006B3032"/>
    <w:rsid w:val="006B3043"/>
    <w:rsid w:val="006B30C4"/>
    <w:rsid w:val="006B3135"/>
    <w:rsid w:val="006B387A"/>
    <w:rsid w:val="006B393E"/>
    <w:rsid w:val="006B395C"/>
    <w:rsid w:val="006B3C8B"/>
    <w:rsid w:val="006B3E43"/>
    <w:rsid w:val="006B3F4B"/>
    <w:rsid w:val="006B3F58"/>
    <w:rsid w:val="006B3FD7"/>
    <w:rsid w:val="006B4366"/>
    <w:rsid w:val="006B4620"/>
    <w:rsid w:val="006B469A"/>
    <w:rsid w:val="006B4795"/>
    <w:rsid w:val="006B486A"/>
    <w:rsid w:val="006B49A7"/>
    <w:rsid w:val="006B4B4A"/>
    <w:rsid w:val="006B4BA3"/>
    <w:rsid w:val="006B4BBA"/>
    <w:rsid w:val="006B4C16"/>
    <w:rsid w:val="006B51D6"/>
    <w:rsid w:val="006B53BC"/>
    <w:rsid w:val="006B55AB"/>
    <w:rsid w:val="006B55F9"/>
    <w:rsid w:val="006B55FF"/>
    <w:rsid w:val="006B566B"/>
    <w:rsid w:val="006B5825"/>
    <w:rsid w:val="006B5954"/>
    <w:rsid w:val="006B5A5E"/>
    <w:rsid w:val="006B5A61"/>
    <w:rsid w:val="006B5AFB"/>
    <w:rsid w:val="006B5C4D"/>
    <w:rsid w:val="006B5E85"/>
    <w:rsid w:val="006B5F2A"/>
    <w:rsid w:val="006B5F67"/>
    <w:rsid w:val="006B610B"/>
    <w:rsid w:val="006B65D8"/>
    <w:rsid w:val="006B68EA"/>
    <w:rsid w:val="006B6A4C"/>
    <w:rsid w:val="006B6B70"/>
    <w:rsid w:val="006B703B"/>
    <w:rsid w:val="006B721B"/>
    <w:rsid w:val="006B725B"/>
    <w:rsid w:val="006B7294"/>
    <w:rsid w:val="006B75C6"/>
    <w:rsid w:val="006B799E"/>
    <w:rsid w:val="006B7AD9"/>
    <w:rsid w:val="006B7B25"/>
    <w:rsid w:val="006B7B42"/>
    <w:rsid w:val="006B7D09"/>
    <w:rsid w:val="006C0169"/>
    <w:rsid w:val="006C019D"/>
    <w:rsid w:val="006C01E7"/>
    <w:rsid w:val="006C03B7"/>
    <w:rsid w:val="006C07B6"/>
    <w:rsid w:val="006C083D"/>
    <w:rsid w:val="006C0905"/>
    <w:rsid w:val="006C0B05"/>
    <w:rsid w:val="006C0BC1"/>
    <w:rsid w:val="006C1018"/>
    <w:rsid w:val="006C12E9"/>
    <w:rsid w:val="006C146A"/>
    <w:rsid w:val="006C196B"/>
    <w:rsid w:val="006C1AC1"/>
    <w:rsid w:val="006C1C6E"/>
    <w:rsid w:val="006C1D6F"/>
    <w:rsid w:val="006C1D70"/>
    <w:rsid w:val="006C1DCC"/>
    <w:rsid w:val="006C2187"/>
    <w:rsid w:val="006C218A"/>
    <w:rsid w:val="006C21FF"/>
    <w:rsid w:val="006C23B9"/>
    <w:rsid w:val="006C279A"/>
    <w:rsid w:val="006C2989"/>
    <w:rsid w:val="006C2A93"/>
    <w:rsid w:val="006C2B46"/>
    <w:rsid w:val="006C2C93"/>
    <w:rsid w:val="006C2CA1"/>
    <w:rsid w:val="006C2CA5"/>
    <w:rsid w:val="006C2D5D"/>
    <w:rsid w:val="006C2DE8"/>
    <w:rsid w:val="006C2F78"/>
    <w:rsid w:val="006C3399"/>
    <w:rsid w:val="006C354C"/>
    <w:rsid w:val="006C35B1"/>
    <w:rsid w:val="006C37C2"/>
    <w:rsid w:val="006C3957"/>
    <w:rsid w:val="006C3B76"/>
    <w:rsid w:val="006C3B94"/>
    <w:rsid w:val="006C3C3B"/>
    <w:rsid w:val="006C3D04"/>
    <w:rsid w:val="006C3F09"/>
    <w:rsid w:val="006C3F86"/>
    <w:rsid w:val="006C3FDA"/>
    <w:rsid w:val="006C42E4"/>
    <w:rsid w:val="006C446D"/>
    <w:rsid w:val="006C4536"/>
    <w:rsid w:val="006C4572"/>
    <w:rsid w:val="006C4713"/>
    <w:rsid w:val="006C47C6"/>
    <w:rsid w:val="006C49C8"/>
    <w:rsid w:val="006C4B6A"/>
    <w:rsid w:val="006C4BB7"/>
    <w:rsid w:val="006C4BCD"/>
    <w:rsid w:val="006C4D70"/>
    <w:rsid w:val="006C4E8A"/>
    <w:rsid w:val="006C4EAB"/>
    <w:rsid w:val="006C4EAD"/>
    <w:rsid w:val="006C52ED"/>
    <w:rsid w:val="006C5380"/>
    <w:rsid w:val="006C55D5"/>
    <w:rsid w:val="006C569C"/>
    <w:rsid w:val="006C5795"/>
    <w:rsid w:val="006C5820"/>
    <w:rsid w:val="006C582F"/>
    <w:rsid w:val="006C59C0"/>
    <w:rsid w:val="006C5A4A"/>
    <w:rsid w:val="006C5AC7"/>
    <w:rsid w:val="006C5B47"/>
    <w:rsid w:val="006C5BA4"/>
    <w:rsid w:val="006C5BDA"/>
    <w:rsid w:val="006C60AE"/>
    <w:rsid w:val="006C61D7"/>
    <w:rsid w:val="006C61D9"/>
    <w:rsid w:val="006C62C3"/>
    <w:rsid w:val="006C643D"/>
    <w:rsid w:val="006C6861"/>
    <w:rsid w:val="006C692D"/>
    <w:rsid w:val="006C6A2C"/>
    <w:rsid w:val="006C6D8C"/>
    <w:rsid w:val="006C6DB6"/>
    <w:rsid w:val="006C6F1E"/>
    <w:rsid w:val="006C6F36"/>
    <w:rsid w:val="006C708D"/>
    <w:rsid w:val="006C721A"/>
    <w:rsid w:val="006C7785"/>
    <w:rsid w:val="006C782A"/>
    <w:rsid w:val="006C7B03"/>
    <w:rsid w:val="006C7BE0"/>
    <w:rsid w:val="006C7C02"/>
    <w:rsid w:val="006C7FE1"/>
    <w:rsid w:val="006D013D"/>
    <w:rsid w:val="006D03FE"/>
    <w:rsid w:val="006D04B5"/>
    <w:rsid w:val="006D0887"/>
    <w:rsid w:val="006D0A03"/>
    <w:rsid w:val="006D0A7C"/>
    <w:rsid w:val="006D0B29"/>
    <w:rsid w:val="006D0D07"/>
    <w:rsid w:val="006D0E37"/>
    <w:rsid w:val="006D0EC2"/>
    <w:rsid w:val="006D0EC9"/>
    <w:rsid w:val="006D0EF6"/>
    <w:rsid w:val="006D1077"/>
    <w:rsid w:val="006D1088"/>
    <w:rsid w:val="006D127F"/>
    <w:rsid w:val="006D13C3"/>
    <w:rsid w:val="006D1483"/>
    <w:rsid w:val="006D15D2"/>
    <w:rsid w:val="006D16E0"/>
    <w:rsid w:val="006D1790"/>
    <w:rsid w:val="006D17DE"/>
    <w:rsid w:val="006D189B"/>
    <w:rsid w:val="006D1B8E"/>
    <w:rsid w:val="006D1E34"/>
    <w:rsid w:val="006D201E"/>
    <w:rsid w:val="006D23DA"/>
    <w:rsid w:val="006D269F"/>
    <w:rsid w:val="006D2888"/>
    <w:rsid w:val="006D2CC2"/>
    <w:rsid w:val="006D2D41"/>
    <w:rsid w:val="006D2D52"/>
    <w:rsid w:val="006D2DEF"/>
    <w:rsid w:val="006D2EB7"/>
    <w:rsid w:val="006D2F7A"/>
    <w:rsid w:val="006D3093"/>
    <w:rsid w:val="006D30AE"/>
    <w:rsid w:val="006D34CC"/>
    <w:rsid w:val="006D3614"/>
    <w:rsid w:val="006D39F6"/>
    <w:rsid w:val="006D3A14"/>
    <w:rsid w:val="006D3A3B"/>
    <w:rsid w:val="006D3CA3"/>
    <w:rsid w:val="006D3E5E"/>
    <w:rsid w:val="006D3F5B"/>
    <w:rsid w:val="006D405E"/>
    <w:rsid w:val="006D4147"/>
    <w:rsid w:val="006D45F9"/>
    <w:rsid w:val="006D465A"/>
    <w:rsid w:val="006D466D"/>
    <w:rsid w:val="006D47A4"/>
    <w:rsid w:val="006D48D8"/>
    <w:rsid w:val="006D491A"/>
    <w:rsid w:val="006D4C72"/>
    <w:rsid w:val="006D4D63"/>
    <w:rsid w:val="006D4DC5"/>
    <w:rsid w:val="006D4E4C"/>
    <w:rsid w:val="006D4FFB"/>
    <w:rsid w:val="006D50A5"/>
    <w:rsid w:val="006D5232"/>
    <w:rsid w:val="006D52C9"/>
    <w:rsid w:val="006D5336"/>
    <w:rsid w:val="006D535A"/>
    <w:rsid w:val="006D5585"/>
    <w:rsid w:val="006D55CF"/>
    <w:rsid w:val="006D58A8"/>
    <w:rsid w:val="006D58E7"/>
    <w:rsid w:val="006D59CE"/>
    <w:rsid w:val="006D5B0A"/>
    <w:rsid w:val="006D5B75"/>
    <w:rsid w:val="006D5C2C"/>
    <w:rsid w:val="006D5D64"/>
    <w:rsid w:val="006D5DB8"/>
    <w:rsid w:val="006D5F76"/>
    <w:rsid w:val="006D5FE2"/>
    <w:rsid w:val="006D5FE9"/>
    <w:rsid w:val="006D602D"/>
    <w:rsid w:val="006D60A1"/>
    <w:rsid w:val="006D632C"/>
    <w:rsid w:val="006D6435"/>
    <w:rsid w:val="006D6448"/>
    <w:rsid w:val="006D65F4"/>
    <w:rsid w:val="006D6801"/>
    <w:rsid w:val="006D6B79"/>
    <w:rsid w:val="006D6D39"/>
    <w:rsid w:val="006D6D96"/>
    <w:rsid w:val="006D6E17"/>
    <w:rsid w:val="006D6F40"/>
    <w:rsid w:val="006D709F"/>
    <w:rsid w:val="006D7211"/>
    <w:rsid w:val="006D7245"/>
    <w:rsid w:val="006D724D"/>
    <w:rsid w:val="006D7279"/>
    <w:rsid w:val="006D72C8"/>
    <w:rsid w:val="006D72D8"/>
    <w:rsid w:val="006D72EE"/>
    <w:rsid w:val="006D7395"/>
    <w:rsid w:val="006D7409"/>
    <w:rsid w:val="006D75C8"/>
    <w:rsid w:val="006D7B32"/>
    <w:rsid w:val="006D7B52"/>
    <w:rsid w:val="006D7C9E"/>
    <w:rsid w:val="006D7CD7"/>
    <w:rsid w:val="006E008E"/>
    <w:rsid w:val="006E0233"/>
    <w:rsid w:val="006E02A6"/>
    <w:rsid w:val="006E02B4"/>
    <w:rsid w:val="006E05B6"/>
    <w:rsid w:val="006E07CD"/>
    <w:rsid w:val="006E0966"/>
    <w:rsid w:val="006E09CE"/>
    <w:rsid w:val="006E0A56"/>
    <w:rsid w:val="006E0AEE"/>
    <w:rsid w:val="006E0E1F"/>
    <w:rsid w:val="006E0E56"/>
    <w:rsid w:val="006E0F21"/>
    <w:rsid w:val="006E10BE"/>
    <w:rsid w:val="006E1177"/>
    <w:rsid w:val="006E136E"/>
    <w:rsid w:val="006E13F6"/>
    <w:rsid w:val="006E1479"/>
    <w:rsid w:val="006E171C"/>
    <w:rsid w:val="006E1868"/>
    <w:rsid w:val="006E1A69"/>
    <w:rsid w:val="006E1E03"/>
    <w:rsid w:val="006E1F5E"/>
    <w:rsid w:val="006E23A4"/>
    <w:rsid w:val="006E29CE"/>
    <w:rsid w:val="006E3102"/>
    <w:rsid w:val="006E3896"/>
    <w:rsid w:val="006E3A07"/>
    <w:rsid w:val="006E3D8F"/>
    <w:rsid w:val="006E415E"/>
    <w:rsid w:val="006E4277"/>
    <w:rsid w:val="006E4344"/>
    <w:rsid w:val="006E4443"/>
    <w:rsid w:val="006E49D8"/>
    <w:rsid w:val="006E49E5"/>
    <w:rsid w:val="006E4A27"/>
    <w:rsid w:val="006E4A7E"/>
    <w:rsid w:val="006E4ED4"/>
    <w:rsid w:val="006E4F53"/>
    <w:rsid w:val="006E4FCE"/>
    <w:rsid w:val="006E4FD3"/>
    <w:rsid w:val="006E5076"/>
    <w:rsid w:val="006E50B2"/>
    <w:rsid w:val="006E5123"/>
    <w:rsid w:val="006E51E4"/>
    <w:rsid w:val="006E5288"/>
    <w:rsid w:val="006E52BE"/>
    <w:rsid w:val="006E52EA"/>
    <w:rsid w:val="006E536E"/>
    <w:rsid w:val="006E55D1"/>
    <w:rsid w:val="006E5697"/>
    <w:rsid w:val="006E58C1"/>
    <w:rsid w:val="006E5A20"/>
    <w:rsid w:val="006E5A7B"/>
    <w:rsid w:val="006E5C1C"/>
    <w:rsid w:val="006E6516"/>
    <w:rsid w:val="006E6596"/>
    <w:rsid w:val="006E6612"/>
    <w:rsid w:val="006E6D5D"/>
    <w:rsid w:val="006E6E31"/>
    <w:rsid w:val="006E77BE"/>
    <w:rsid w:val="006E7A2E"/>
    <w:rsid w:val="006E7E3B"/>
    <w:rsid w:val="006E7EAB"/>
    <w:rsid w:val="006F0149"/>
    <w:rsid w:val="006F016C"/>
    <w:rsid w:val="006F02A3"/>
    <w:rsid w:val="006F05A8"/>
    <w:rsid w:val="006F05C0"/>
    <w:rsid w:val="006F0934"/>
    <w:rsid w:val="006F09DD"/>
    <w:rsid w:val="006F0B4B"/>
    <w:rsid w:val="006F0B7D"/>
    <w:rsid w:val="006F0C1C"/>
    <w:rsid w:val="006F0D46"/>
    <w:rsid w:val="006F0DB2"/>
    <w:rsid w:val="006F0E84"/>
    <w:rsid w:val="006F1619"/>
    <w:rsid w:val="006F1686"/>
    <w:rsid w:val="006F1BC7"/>
    <w:rsid w:val="006F2287"/>
    <w:rsid w:val="006F2343"/>
    <w:rsid w:val="006F23DD"/>
    <w:rsid w:val="006F24FC"/>
    <w:rsid w:val="006F267B"/>
    <w:rsid w:val="006F2736"/>
    <w:rsid w:val="006F28D5"/>
    <w:rsid w:val="006F28E3"/>
    <w:rsid w:val="006F2AA8"/>
    <w:rsid w:val="006F2ABA"/>
    <w:rsid w:val="006F2BBD"/>
    <w:rsid w:val="006F2BC0"/>
    <w:rsid w:val="006F2C28"/>
    <w:rsid w:val="006F3360"/>
    <w:rsid w:val="006F34C4"/>
    <w:rsid w:val="006F37D7"/>
    <w:rsid w:val="006F38AE"/>
    <w:rsid w:val="006F3962"/>
    <w:rsid w:val="006F39F8"/>
    <w:rsid w:val="006F3A40"/>
    <w:rsid w:val="006F3B04"/>
    <w:rsid w:val="006F3C09"/>
    <w:rsid w:val="006F3E74"/>
    <w:rsid w:val="006F3E80"/>
    <w:rsid w:val="006F406A"/>
    <w:rsid w:val="006F4498"/>
    <w:rsid w:val="006F45AF"/>
    <w:rsid w:val="006F45ED"/>
    <w:rsid w:val="006F4697"/>
    <w:rsid w:val="006F475B"/>
    <w:rsid w:val="006F4A3D"/>
    <w:rsid w:val="006F4A63"/>
    <w:rsid w:val="006F4AD4"/>
    <w:rsid w:val="006F4F25"/>
    <w:rsid w:val="006F510F"/>
    <w:rsid w:val="006F5158"/>
    <w:rsid w:val="006F5164"/>
    <w:rsid w:val="006F5373"/>
    <w:rsid w:val="006F552A"/>
    <w:rsid w:val="006F55B4"/>
    <w:rsid w:val="006F5918"/>
    <w:rsid w:val="006F59AC"/>
    <w:rsid w:val="006F5AB1"/>
    <w:rsid w:val="006F5BA0"/>
    <w:rsid w:val="006F5CDE"/>
    <w:rsid w:val="006F5DDD"/>
    <w:rsid w:val="006F61F2"/>
    <w:rsid w:val="006F6358"/>
    <w:rsid w:val="006F636C"/>
    <w:rsid w:val="006F63B5"/>
    <w:rsid w:val="006F64CC"/>
    <w:rsid w:val="006F6793"/>
    <w:rsid w:val="006F67E5"/>
    <w:rsid w:val="006F6C15"/>
    <w:rsid w:val="006F6E09"/>
    <w:rsid w:val="006F6FB0"/>
    <w:rsid w:val="006F7180"/>
    <w:rsid w:val="006F71A3"/>
    <w:rsid w:val="006F78F1"/>
    <w:rsid w:val="006F7965"/>
    <w:rsid w:val="006F79C0"/>
    <w:rsid w:val="006F79FE"/>
    <w:rsid w:val="006F7AB7"/>
    <w:rsid w:val="006F7BD4"/>
    <w:rsid w:val="006F7C39"/>
    <w:rsid w:val="007000B6"/>
    <w:rsid w:val="0070010B"/>
    <w:rsid w:val="0070024B"/>
    <w:rsid w:val="00700488"/>
    <w:rsid w:val="00700739"/>
    <w:rsid w:val="00700883"/>
    <w:rsid w:val="00700950"/>
    <w:rsid w:val="00700A1D"/>
    <w:rsid w:val="00700E2A"/>
    <w:rsid w:val="00700E8B"/>
    <w:rsid w:val="00701136"/>
    <w:rsid w:val="00701154"/>
    <w:rsid w:val="0070125C"/>
    <w:rsid w:val="00701442"/>
    <w:rsid w:val="00701656"/>
    <w:rsid w:val="007016C0"/>
    <w:rsid w:val="007016F6"/>
    <w:rsid w:val="00701843"/>
    <w:rsid w:val="007018C6"/>
    <w:rsid w:val="0070198E"/>
    <w:rsid w:val="00701B09"/>
    <w:rsid w:val="00701C33"/>
    <w:rsid w:val="00701CBD"/>
    <w:rsid w:val="00701FCA"/>
    <w:rsid w:val="007022BA"/>
    <w:rsid w:val="007022D8"/>
    <w:rsid w:val="0070243F"/>
    <w:rsid w:val="00702466"/>
    <w:rsid w:val="0070248B"/>
    <w:rsid w:val="00702559"/>
    <w:rsid w:val="0070279D"/>
    <w:rsid w:val="007029AF"/>
    <w:rsid w:val="00702CFA"/>
    <w:rsid w:val="00702D2E"/>
    <w:rsid w:val="00702DF5"/>
    <w:rsid w:val="00703182"/>
    <w:rsid w:val="0070319A"/>
    <w:rsid w:val="00703478"/>
    <w:rsid w:val="0070358A"/>
    <w:rsid w:val="007037A6"/>
    <w:rsid w:val="0070396D"/>
    <w:rsid w:val="00703C37"/>
    <w:rsid w:val="00703C38"/>
    <w:rsid w:val="00703CB4"/>
    <w:rsid w:val="0070421B"/>
    <w:rsid w:val="00704399"/>
    <w:rsid w:val="007047FB"/>
    <w:rsid w:val="00704920"/>
    <w:rsid w:val="00704996"/>
    <w:rsid w:val="00704A83"/>
    <w:rsid w:val="00704B10"/>
    <w:rsid w:val="00704B72"/>
    <w:rsid w:val="00704EA4"/>
    <w:rsid w:val="007050C7"/>
    <w:rsid w:val="007051FA"/>
    <w:rsid w:val="00705275"/>
    <w:rsid w:val="007054BD"/>
    <w:rsid w:val="00705531"/>
    <w:rsid w:val="007057D7"/>
    <w:rsid w:val="007059B3"/>
    <w:rsid w:val="00705A5F"/>
    <w:rsid w:val="00705AA5"/>
    <w:rsid w:val="00705BDB"/>
    <w:rsid w:val="00705D31"/>
    <w:rsid w:val="00705D39"/>
    <w:rsid w:val="00705EE5"/>
    <w:rsid w:val="00705EEA"/>
    <w:rsid w:val="00705FE2"/>
    <w:rsid w:val="007060EC"/>
    <w:rsid w:val="0070649C"/>
    <w:rsid w:val="007065F9"/>
    <w:rsid w:val="00706837"/>
    <w:rsid w:val="00706855"/>
    <w:rsid w:val="00706D15"/>
    <w:rsid w:val="00706F0C"/>
    <w:rsid w:val="00706F17"/>
    <w:rsid w:val="00707293"/>
    <w:rsid w:val="0070748D"/>
    <w:rsid w:val="00707788"/>
    <w:rsid w:val="007077E3"/>
    <w:rsid w:val="00707822"/>
    <w:rsid w:val="00707964"/>
    <w:rsid w:val="00707A9A"/>
    <w:rsid w:val="00707C18"/>
    <w:rsid w:val="00707C76"/>
    <w:rsid w:val="00707D97"/>
    <w:rsid w:val="00707E63"/>
    <w:rsid w:val="00710189"/>
    <w:rsid w:val="007103A9"/>
    <w:rsid w:val="007104C8"/>
    <w:rsid w:val="007105BB"/>
    <w:rsid w:val="00710687"/>
    <w:rsid w:val="0071068E"/>
    <w:rsid w:val="0071081E"/>
    <w:rsid w:val="00710972"/>
    <w:rsid w:val="00710BF5"/>
    <w:rsid w:val="00710C79"/>
    <w:rsid w:val="00710E0A"/>
    <w:rsid w:val="00710F0E"/>
    <w:rsid w:val="00710F85"/>
    <w:rsid w:val="00710FBD"/>
    <w:rsid w:val="00711299"/>
    <w:rsid w:val="0071146D"/>
    <w:rsid w:val="0071189F"/>
    <w:rsid w:val="00711C88"/>
    <w:rsid w:val="00711F85"/>
    <w:rsid w:val="0071217C"/>
    <w:rsid w:val="00712350"/>
    <w:rsid w:val="007126D2"/>
    <w:rsid w:val="007127D7"/>
    <w:rsid w:val="007129B0"/>
    <w:rsid w:val="007129C1"/>
    <w:rsid w:val="00712ACA"/>
    <w:rsid w:val="00712B80"/>
    <w:rsid w:val="00712D41"/>
    <w:rsid w:val="007131DD"/>
    <w:rsid w:val="007135FC"/>
    <w:rsid w:val="00713BB3"/>
    <w:rsid w:val="00713FD4"/>
    <w:rsid w:val="00714164"/>
    <w:rsid w:val="007141B2"/>
    <w:rsid w:val="00714259"/>
    <w:rsid w:val="0071462A"/>
    <w:rsid w:val="007147C7"/>
    <w:rsid w:val="007147E9"/>
    <w:rsid w:val="00714ABF"/>
    <w:rsid w:val="00714AC1"/>
    <w:rsid w:val="00714BBC"/>
    <w:rsid w:val="00714C9C"/>
    <w:rsid w:val="00714E1B"/>
    <w:rsid w:val="00714E80"/>
    <w:rsid w:val="00714EF8"/>
    <w:rsid w:val="00714F77"/>
    <w:rsid w:val="007152E0"/>
    <w:rsid w:val="00715330"/>
    <w:rsid w:val="0071534E"/>
    <w:rsid w:val="00715370"/>
    <w:rsid w:val="00715413"/>
    <w:rsid w:val="007159E0"/>
    <w:rsid w:val="00715AD8"/>
    <w:rsid w:val="00715E05"/>
    <w:rsid w:val="00716043"/>
    <w:rsid w:val="00716131"/>
    <w:rsid w:val="007165D2"/>
    <w:rsid w:val="00716960"/>
    <w:rsid w:val="00716AD2"/>
    <w:rsid w:val="00716BF2"/>
    <w:rsid w:val="00716EE5"/>
    <w:rsid w:val="00716F34"/>
    <w:rsid w:val="00717236"/>
    <w:rsid w:val="0071724D"/>
    <w:rsid w:val="007172C7"/>
    <w:rsid w:val="007174DC"/>
    <w:rsid w:val="00717795"/>
    <w:rsid w:val="00717906"/>
    <w:rsid w:val="00717AC3"/>
    <w:rsid w:val="00717CC0"/>
    <w:rsid w:val="007200EE"/>
    <w:rsid w:val="007201E2"/>
    <w:rsid w:val="00720227"/>
    <w:rsid w:val="00720264"/>
    <w:rsid w:val="00720340"/>
    <w:rsid w:val="007203CA"/>
    <w:rsid w:val="00720626"/>
    <w:rsid w:val="0072069C"/>
    <w:rsid w:val="007206D5"/>
    <w:rsid w:val="0072070F"/>
    <w:rsid w:val="0072077F"/>
    <w:rsid w:val="007207C9"/>
    <w:rsid w:val="00720A71"/>
    <w:rsid w:val="00720B86"/>
    <w:rsid w:val="00720C5F"/>
    <w:rsid w:val="00720D9E"/>
    <w:rsid w:val="00720E98"/>
    <w:rsid w:val="00720F4F"/>
    <w:rsid w:val="00721288"/>
    <w:rsid w:val="007214F9"/>
    <w:rsid w:val="007217B5"/>
    <w:rsid w:val="00721870"/>
    <w:rsid w:val="00721A41"/>
    <w:rsid w:val="00721A6E"/>
    <w:rsid w:val="00721B42"/>
    <w:rsid w:val="00721B84"/>
    <w:rsid w:val="00721CDD"/>
    <w:rsid w:val="00721CF8"/>
    <w:rsid w:val="00721D36"/>
    <w:rsid w:val="00722049"/>
    <w:rsid w:val="0072204F"/>
    <w:rsid w:val="007224E2"/>
    <w:rsid w:val="00722637"/>
    <w:rsid w:val="007226F5"/>
    <w:rsid w:val="00722847"/>
    <w:rsid w:val="00722BB8"/>
    <w:rsid w:val="00722BEB"/>
    <w:rsid w:val="00722DE2"/>
    <w:rsid w:val="00723053"/>
    <w:rsid w:val="007231D0"/>
    <w:rsid w:val="00723378"/>
    <w:rsid w:val="00723834"/>
    <w:rsid w:val="00723B2C"/>
    <w:rsid w:val="00723B63"/>
    <w:rsid w:val="00723C87"/>
    <w:rsid w:val="00723D84"/>
    <w:rsid w:val="00723F41"/>
    <w:rsid w:val="0072416C"/>
    <w:rsid w:val="00724212"/>
    <w:rsid w:val="0072447F"/>
    <w:rsid w:val="007244DC"/>
    <w:rsid w:val="00724569"/>
    <w:rsid w:val="00724579"/>
    <w:rsid w:val="0072471E"/>
    <w:rsid w:val="007247F4"/>
    <w:rsid w:val="0072498E"/>
    <w:rsid w:val="007249ED"/>
    <w:rsid w:val="00724A59"/>
    <w:rsid w:val="00724ED0"/>
    <w:rsid w:val="00724F8F"/>
    <w:rsid w:val="00724F92"/>
    <w:rsid w:val="00725172"/>
    <w:rsid w:val="0072528C"/>
    <w:rsid w:val="007253D6"/>
    <w:rsid w:val="0072542E"/>
    <w:rsid w:val="0072562B"/>
    <w:rsid w:val="0072578A"/>
    <w:rsid w:val="0072597A"/>
    <w:rsid w:val="00725999"/>
    <w:rsid w:val="00725E59"/>
    <w:rsid w:val="00726268"/>
    <w:rsid w:val="00726309"/>
    <w:rsid w:val="00726373"/>
    <w:rsid w:val="00726460"/>
    <w:rsid w:val="00726598"/>
    <w:rsid w:val="007266DD"/>
    <w:rsid w:val="007267F5"/>
    <w:rsid w:val="007268F7"/>
    <w:rsid w:val="00726902"/>
    <w:rsid w:val="007269B6"/>
    <w:rsid w:val="00726BC8"/>
    <w:rsid w:val="00726BEA"/>
    <w:rsid w:val="007270B5"/>
    <w:rsid w:val="0072710D"/>
    <w:rsid w:val="00727263"/>
    <w:rsid w:val="007272D9"/>
    <w:rsid w:val="007273C6"/>
    <w:rsid w:val="00727A36"/>
    <w:rsid w:val="00727CE7"/>
    <w:rsid w:val="00727ED4"/>
    <w:rsid w:val="0073002F"/>
    <w:rsid w:val="00730488"/>
    <w:rsid w:val="007306B4"/>
    <w:rsid w:val="00730837"/>
    <w:rsid w:val="0073098C"/>
    <w:rsid w:val="00730A22"/>
    <w:rsid w:val="00730B00"/>
    <w:rsid w:val="00730BCB"/>
    <w:rsid w:val="00730CC7"/>
    <w:rsid w:val="00730D37"/>
    <w:rsid w:val="00730F41"/>
    <w:rsid w:val="00731043"/>
    <w:rsid w:val="007310D2"/>
    <w:rsid w:val="00731267"/>
    <w:rsid w:val="007312E1"/>
    <w:rsid w:val="0073191F"/>
    <w:rsid w:val="0073202F"/>
    <w:rsid w:val="00732D32"/>
    <w:rsid w:val="00732E22"/>
    <w:rsid w:val="00732F25"/>
    <w:rsid w:val="00732F4F"/>
    <w:rsid w:val="00733041"/>
    <w:rsid w:val="00733073"/>
    <w:rsid w:val="00733304"/>
    <w:rsid w:val="007333A9"/>
    <w:rsid w:val="007333F2"/>
    <w:rsid w:val="00733609"/>
    <w:rsid w:val="007336B3"/>
    <w:rsid w:val="007336D1"/>
    <w:rsid w:val="00733B91"/>
    <w:rsid w:val="00733BA5"/>
    <w:rsid w:val="00733C2B"/>
    <w:rsid w:val="00733C90"/>
    <w:rsid w:val="00733EEA"/>
    <w:rsid w:val="00734146"/>
    <w:rsid w:val="00734A94"/>
    <w:rsid w:val="00734AFE"/>
    <w:rsid w:val="00734C03"/>
    <w:rsid w:val="00734C8A"/>
    <w:rsid w:val="00734F55"/>
    <w:rsid w:val="007350D1"/>
    <w:rsid w:val="00735145"/>
    <w:rsid w:val="007351D1"/>
    <w:rsid w:val="00735207"/>
    <w:rsid w:val="00735550"/>
    <w:rsid w:val="007356FA"/>
    <w:rsid w:val="00735837"/>
    <w:rsid w:val="00735AFB"/>
    <w:rsid w:val="00735FB6"/>
    <w:rsid w:val="007360BB"/>
    <w:rsid w:val="0073610D"/>
    <w:rsid w:val="0073612C"/>
    <w:rsid w:val="00736260"/>
    <w:rsid w:val="00736291"/>
    <w:rsid w:val="00736373"/>
    <w:rsid w:val="007365FF"/>
    <w:rsid w:val="007368D3"/>
    <w:rsid w:val="00736E09"/>
    <w:rsid w:val="007370BE"/>
    <w:rsid w:val="00737107"/>
    <w:rsid w:val="00737263"/>
    <w:rsid w:val="007372CE"/>
    <w:rsid w:val="0073742C"/>
    <w:rsid w:val="00737463"/>
    <w:rsid w:val="007375BB"/>
    <w:rsid w:val="00737679"/>
    <w:rsid w:val="007376F4"/>
    <w:rsid w:val="0073792C"/>
    <w:rsid w:val="00737AB6"/>
    <w:rsid w:val="00737D7F"/>
    <w:rsid w:val="00737DF4"/>
    <w:rsid w:val="00737E1F"/>
    <w:rsid w:val="00737E3F"/>
    <w:rsid w:val="00737F8F"/>
    <w:rsid w:val="007404B1"/>
    <w:rsid w:val="00740801"/>
    <w:rsid w:val="00740B6C"/>
    <w:rsid w:val="00740CC7"/>
    <w:rsid w:val="00740EBB"/>
    <w:rsid w:val="00740F40"/>
    <w:rsid w:val="00741081"/>
    <w:rsid w:val="0074114F"/>
    <w:rsid w:val="007412C0"/>
    <w:rsid w:val="00741326"/>
    <w:rsid w:val="0074144F"/>
    <w:rsid w:val="0074167E"/>
    <w:rsid w:val="007416EF"/>
    <w:rsid w:val="0074174D"/>
    <w:rsid w:val="007419B3"/>
    <w:rsid w:val="00741DEB"/>
    <w:rsid w:val="00741E48"/>
    <w:rsid w:val="00741ECC"/>
    <w:rsid w:val="00741F65"/>
    <w:rsid w:val="00741FAC"/>
    <w:rsid w:val="007420C8"/>
    <w:rsid w:val="00742250"/>
    <w:rsid w:val="0074229C"/>
    <w:rsid w:val="0074257A"/>
    <w:rsid w:val="0074269E"/>
    <w:rsid w:val="00742906"/>
    <w:rsid w:val="00742962"/>
    <w:rsid w:val="00742A44"/>
    <w:rsid w:val="00742AF8"/>
    <w:rsid w:val="00742B20"/>
    <w:rsid w:val="007431B1"/>
    <w:rsid w:val="0074322F"/>
    <w:rsid w:val="0074336D"/>
    <w:rsid w:val="00743390"/>
    <w:rsid w:val="0074341A"/>
    <w:rsid w:val="007434D7"/>
    <w:rsid w:val="00743607"/>
    <w:rsid w:val="007436E7"/>
    <w:rsid w:val="00743736"/>
    <w:rsid w:val="007437C2"/>
    <w:rsid w:val="00743A4F"/>
    <w:rsid w:val="00743B56"/>
    <w:rsid w:val="00743C2F"/>
    <w:rsid w:val="00743D1F"/>
    <w:rsid w:val="00743D5D"/>
    <w:rsid w:val="007440D7"/>
    <w:rsid w:val="007442A7"/>
    <w:rsid w:val="007442D2"/>
    <w:rsid w:val="00744433"/>
    <w:rsid w:val="00744512"/>
    <w:rsid w:val="007449D4"/>
    <w:rsid w:val="00744EDF"/>
    <w:rsid w:val="00745211"/>
    <w:rsid w:val="007453D5"/>
    <w:rsid w:val="007453D8"/>
    <w:rsid w:val="007454C2"/>
    <w:rsid w:val="00745753"/>
    <w:rsid w:val="00745885"/>
    <w:rsid w:val="00745ACF"/>
    <w:rsid w:val="00745B5D"/>
    <w:rsid w:val="0074640D"/>
    <w:rsid w:val="00746654"/>
    <w:rsid w:val="00746697"/>
    <w:rsid w:val="00746839"/>
    <w:rsid w:val="00746BE6"/>
    <w:rsid w:val="00746D2B"/>
    <w:rsid w:val="00746F36"/>
    <w:rsid w:val="007471C6"/>
    <w:rsid w:val="0074733D"/>
    <w:rsid w:val="007473AE"/>
    <w:rsid w:val="00747434"/>
    <w:rsid w:val="0074743A"/>
    <w:rsid w:val="007474A5"/>
    <w:rsid w:val="0074777B"/>
    <w:rsid w:val="007477E0"/>
    <w:rsid w:val="0074788B"/>
    <w:rsid w:val="00747BD8"/>
    <w:rsid w:val="00747E21"/>
    <w:rsid w:val="00747FA0"/>
    <w:rsid w:val="007500FF"/>
    <w:rsid w:val="007501D9"/>
    <w:rsid w:val="007502BF"/>
    <w:rsid w:val="00750786"/>
    <w:rsid w:val="007507FB"/>
    <w:rsid w:val="0075089F"/>
    <w:rsid w:val="007508D3"/>
    <w:rsid w:val="007509A0"/>
    <w:rsid w:val="007509B6"/>
    <w:rsid w:val="00750A42"/>
    <w:rsid w:val="00750D47"/>
    <w:rsid w:val="00750E22"/>
    <w:rsid w:val="007510FA"/>
    <w:rsid w:val="007511BA"/>
    <w:rsid w:val="0075137C"/>
    <w:rsid w:val="0075143B"/>
    <w:rsid w:val="007515A6"/>
    <w:rsid w:val="007517A5"/>
    <w:rsid w:val="007518DA"/>
    <w:rsid w:val="00751F35"/>
    <w:rsid w:val="00751F98"/>
    <w:rsid w:val="0075216D"/>
    <w:rsid w:val="007523B1"/>
    <w:rsid w:val="007526DA"/>
    <w:rsid w:val="0075280D"/>
    <w:rsid w:val="00752997"/>
    <w:rsid w:val="00752AE5"/>
    <w:rsid w:val="00752C3C"/>
    <w:rsid w:val="00752D96"/>
    <w:rsid w:val="00752EF2"/>
    <w:rsid w:val="00752F2E"/>
    <w:rsid w:val="0075316E"/>
    <w:rsid w:val="00753201"/>
    <w:rsid w:val="00753524"/>
    <w:rsid w:val="007535E8"/>
    <w:rsid w:val="0075399F"/>
    <w:rsid w:val="00753A12"/>
    <w:rsid w:val="00753D92"/>
    <w:rsid w:val="00753E79"/>
    <w:rsid w:val="00753F3A"/>
    <w:rsid w:val="00753F5B"/>
    <w:rsid w:val="0075418A"/>
    <w:rsid w:val="00754449"/>
    <w:rsid w:val="0075447F"/>
    <w:rsid w:val="00754674"/>
    <w:rsid w:val="00754686"/>
    <w:rsid w:val="0075496E"/>
    <w:rsid w:val="00754997"/>
    <w:rsid w:val="00754E1A"/>
    <w:rsid w:val="007554BB"/>
    <w:rsid w:val="0075584C"/>
    <w:rsid w:val="00755A5C"/>
    <w:rsid w:val="00755A86"/>
    <w:rsid w:val="00755ADA"/>
    <w:rsid w:val="00755B2C"/>
    <w:rsid w:val="00755FFD"/>
    <w:rsid w:val="007560D3"/>
    <w:rsid w:val="007560F0"/>
    <w:rsid w:val="007561EA"/>
    <w:rsid w:val="0075621F"/>
    <w:rsid w:val="007563C4"/>
    <w:rsid w:val="00756428"/>
    <w:rsid w:val="007565BB"/>
    <w:rsid w:val="0075675D"/>
    <w:rsid w:val="00756C2D"/>
    <w:rsid w:val="00756E7C"/>
    <w:rsid w:val="00757081"/>
    <w:rsid w:val="007572AE"/>
    <w:rsid w:val="0075737A"/>
    <w:rsid w:val="00757537"/>
    <w:rsid w:val="007576BB"/>
    <w:rsid w:val="00757876"/>
    <w:rsid w:val="007578FB"/>
    <w:rsid w:val="00757932"/>
    <w:rsid w:val="00757AB2"/>
    <w:rsid w:val="00757CBB"/>
    <w:rsid w:val="00757E7B"/>
    <w:rsid w:val="00760092"/>
    <w:rsid w:val="0076024A"/>
    <w:rsid w:val="0076058E"/>
    <w:rsid w:val="007607D5"/>
    <w:rsid w:val="007607F9"/>
    <w:rsid w:val="00760800"/>
    <w:rsid w:val="00760C0D"/>
    <w:rsid w:val="00760D36"/>
    <w:rsid w:val="00760DD3"/>
    <w:rsid w:val="00760DF6"/>
    <w:rsid w:val="00760F3B"/>
    <w:rsid w:val="00761192"/>
    <w:rsid w:val="007611A4"/>
    <w:rsid w:val="007612BA"/>
    <w:rsid w:val="00761354"/>
    <w:rsid w:val="007613C6"/>
    <w:rsid w:val="007613F0"/>
    <w:rsid w:val="0076149B"/>
    <w:rsid w:val="00761518"/>
    <w:rsid w:val="00761551"/>
    <w:rsid w:val="00761725"/>
    <w:rsid w:val="00761727"/>
    <w:rsid w:val="00761779"/>
    <w:rsid w:val="007617BC"/>
    <w:rsid w:val="007619F2"/>
    <w:rsid w:val="00761A09"/>
    <w:rsid w:val="00761AB4"/>
    <w:rsid w:val="00761BB3"/>
    <w:rsid w:val="00761BD9"/>
    <w:rsid w:val="00761BEC"/>
    <w:rsid w:val="007620A2"/>
    <w:rsid w:val="00762313"/>
    <w:rsid w:val="0076260D"/>
    <w:rsid w:val="00762806"/>
    <w:rsid w:val="00762895"/>
    <w:rsid w:val="007628F4"/>
    <w:rsid w:val="00762AE7"/>
    <w:rsid w:val="00762B17"/>
    <w:rsid w:val="00762D26"/>
    <w:rsid w:val="00762E67"/>
    <w:rsid w:val="00762F7C"/>
    <w:rsid w:val="00762F83"/>
    <w:rsid w:val="007630A1"/>
    <w:rsid w:val="007630D0"/>
    <w:rsid w:val="007631C0"/>
    <w:rsid w:val="007631ED"/>
    <w:rsid w:val="0076389C"/>
    <w:rsid w:val="00763A37"/>
    <w:rsid w:val="00763AFC"/>
    <w:rsid w:val="00763B07"/>
    <w:rsid w:val="00763B77"/>
    <w:rsid w:val="00763BBF"/>
    <w:rsid w:val="00763F27"/>
    <w:rsid w:val="00764086"/>
    <w:rsid w:val="00764123"/>
    <w:rsid w:val="0076418A"/>
    <w:rsid w:val="00764203"/>
    <w:rsid w:val="00764276"/>
    <w:rsid w:val="007642BB"/>
    <w:rsid w:val="00764587"/>
    <w:rsid w:val="00764B9C"/>
    <w:rsid w:val="00764BCB"/>
    <w:rsid w:val="00764C75"/>
    <w:rsid w:val="00765160"/>
    <w:rsid w:val="00765161"/>
    <w:rsid w:val="0076518D"/>
    <w:rsid w:val="007654C7"/>
    <w:rsid w:val="00765587"/>
    <w:rsid w:val="007656BC"/>
    <w:rsid w:val="00765873"/>
    <w:rsid w:val="00765879"/>
    <w:rsid w:val="00765B54"/>
    <w:rsid w:val="00765FC3"/>
    <w:rsid w:val="00766113"/>
    <w:rsid w:val="0076618C"/>
    <w:rsid w:val="00766217"/>
    <w:rsid w:val="00766242"/>
    <w:rsid w:val="007662B0"/>
    <w:rsid w:val="007666BA"/>
    <w:rsid w:val="00766809"/>
    <w:rsid w:val="00766DAA"/>
    <w:rsid w:val="00766DDB"/>
    <w:rsid w:val="00766FAB"/>
    <w:rsid w:val="0076702C"/>
    <w:rsid w:val="00767051"/>
    <w:rsid w:val="007670E0"/>
    <w:rsid w:val="0076757B"/>
    <w:rsid w:val="007676D4"/>
    <w:rsid w:val="00767B1B"/>
    <w:rsid w:val="00767B21"/>
    <w:rsid w:val="00767BB9"/>
    <w:rsid w:val="00767CC8"/>
    <w:rsid w:val="00767F6C"/>
    <w:rsid w:val="0077085D"/>
    <w:rsid w:val="007708F0"/>
    <w:rsid w:val="00770CC6"/>
    <w:rsid w:val="00770D84"/>
    <w:rsid w:val="00770D97"/>
    <w:rsid w:val="007710E0"/>
    <w:rsid w:val="00771139"/>
    <w:rsid w:val="0077120C"/>
    <w:rsid w:val="00771223"/>
    <w:rsid w:val="007712CA"/>
    <w:rsid w:val="0077159D"/>
    <w:rsid w:val="00771AD4"/>
    <w:rsid w:val="00771B2E"/>
    <w:rsid w:val="00771BB8"/>
    <w:rsid w:val="00771CAD"/>
    <w:rsid w:val="00771F75"/>
    <w:rsid w:val="007720DB"/>
    <w:rsid w:val="0077223F"/>
    <w:rsid w:val="007724C1"/>
    <w:rsid w:val="0077266F"/>
    <w:rsid w:val="0077271E"/>
    <w:rsid w:val="007727A2"/>
    <w:rsid w:val="007727EB"/>
    <w:rsid w:val="007727FE"/>
    <w:rsid w:val="00772829"/>
    <w:rsid w:val="00772A5A"/>
    <w:rsid w:val="00772CB5"/>
    <w:rsid w:val="00772D48"/>
    <w:rsid w:val="00772E91"/>
    <w:rsid w:val="0077322C"/>
    <w:rsid w:val="00773852"/>
    <w:rsid w:val="007738C3"/>
    <w:rsid w:val="007738E7"/>
    <w:rsid w:val="007739C8"/>
    <w:rsid w:val="00773ACA"/>
    <w:rsid w:val="00773AF7"/>
    <w:rsid w:val="00773CCB"/>
    <w:rsid w:val="00773D04"/>
    <w:rsid w:val="00773EE1"/>
    <w:rsid w:val="007742D3"/>
    <w:rsid w:val="007744B5"/>
    <w:rsid w:val="007746B2"/>
    <w:rsid w:val="007748DD"/>
    <w:rsid w:val="0077543A"/>
    <w:rsid w:val="0077544C"/>
    <w:rsid w:val="0077573D"/>
    <w:rsid w:val="0077578B"/>
    <w:rsid w:val="007757E5"/>
    <w:rsid w:val="007757F1"/>
    <w:rsid w:val="007759FE"/>
    <w:rsid w:val="00775C35"/>
    <w:rsid w:val="00775CD1"/>
    <w:rsid w:val="00775D52"/>
    <w:rsid w:val="00775E23"/>
    <w:rsid w:val="00775E27"/>
    <w:rsid w:val="00775EC1"/>
    <w:rsid w:val="00775FBE"/>
    <w:rsid w:val="0077601E"/>
    <w:rsid w:val="007762DD"/>
    <w:rsid w:val="0077637A"/>
    <w:rsid w:val="007764BD"/>
    <w:rsid w:val="0077656B"/>
    <w:rsid w:val="0077658F"/>
    <w:rsid w:val="00776A76"/>
    <w:rsid w:val="00776B02"/>
    <w:rsid w:val="00776BEA"/>
    <w:rsid w:val="00776E87"/>
    <w:rsid w:val="0077708E"/>
    <w:rsid w:val="00777346"/>
    <w:rsid w:val="00777517"/>
    <w:rsid w:val="0077756C"/>
    <w:rsid w:val="007775C0"/>
    <w:rsid w:val="00777608"/>
    <w:rsid w:val="007776A8"/>
    <w:rsid w:val="007776C9"/>
    <w:rsid w:val="00777848"/>
    <w:rsid w:val="00777893"/>
    <w:rsid w:val="0077799C"/>
    <w:rsid w:val="007779ED"/>
    <w:rsid w:val="00777BCF"/>
    <w:rsid w:val="00777E65"/>
    <w:rsid w:val="00777EBD"/>
    <w:rsid w:val="00777F58"/>
    <w:rsid w:val="007801A6"/>
    <w:rsid w:val="007804A2"/>
    <w:rsid w:val="00780509"/>
    <w:rsid w:val="00780577"/>
    <w:rsid w:val="00780814"/>
    <w:rsid w:val="00780CFF"/>
    <w:rsid w:val="00781039"/>
    <w:rsid w:val="00781203"/>
    <w:rsid w:val="0078124E"/>
    <w:rsid w:val="0078125C"/>
    <w:rsid w:val="00781280"/>
    <w:rsid w:val="00781590"/>
    <w:rsid w:val="0078170F"/>
    <w:rsid w:val="00781960"/>
    <w:rsid w:val="00781972"/>
    <w:rsid w:val="00782013"/>
    <w:rsid w:val="00782069"/>
    <w:rsid w:val="007820B4"/>
    <w:rsid w:val="00782752"/>
    <w:rsid w:val="00782802"/>
    <w:rsid w:val="00782804"/>
    <w:rsid w:val="00782C3D"/>
    <w:rsid w:val="00782CA5"/>
    <w:rsid w:val="00782E55"/>
    <w:rsid w:val="00782EC3"/>
    <w:rsid w:val="0078327C"/>
    <w:rsid w:val="0078338B"/>
    <w:rsid w:val="007834D3"/>
    <w:rsid w:val="007835D7"/>
    <w:rsid w:val="007835E1"/>
    <w:rsid w:val="007836F2"/>
    <w:rsid w:val="0078375E"/>
    <w:rsid w:val="0078378F"/>
    <w:rsid w:val="00783813"/>
    <w:rsid w:val="0078384F"/>
    <w:rsid w:val="00783A58"/>
    <w:rsid w:val="00783BF7"/>
    <w:rsid w:val="007840EC"/>
    <w:rsid w:val="00784636"/>
    <w:rsid w:val="00784780"/>
    <w:rsid w:val="007848BA"/>
    <w:rsid w:val="00784911"/>
    <w:rsid w:val="0078492B"/>
    <w:rsid w:val="00784986"/>
    <w:rsid w:val="00784FD0"/>
    <w:rsid w:val="007850D0"/>
    <w:rsid w:val="00785219"/>
    <w:rsid w:val="007852E9"/>
    <w:rsid w:val="0078533B"/>
    <w:rsid w:val="00785A25"/>
    <w:rsid w:val="00785C39"/>
    <w:rsid w:val="00785DC0"/>
    <w:rsid w:val="00786127"/>
    <w:rsid w:val="00786183"/>
    <w:rsid w:val="007863EF"/>
    <w:rsid w:val="007865A7"/>
    <w:rsid w:val="00786648"/>
    <w:rsid w:val="00786839"/>
    <w:rsid w:val="00786BC7"/>
    <w:rsid w:val="007871A4"/>
    <w:rsid w:val="0078727A"/>
    <w:rsid w:val="007873BE"/>
    <w:rsid w:val="0078756D"/>
    <w:rsid w:val="0078769E"/>
    <w:rsid w:val="00787756"/>
    <w:rsid w:val="007877E9"/>
    <w:rsid w:val="00787801"/>
    <w:rsid w:val="007878D9"/>
    <w:rsid w:val="0078791D"/>
    <w:rsid w:val="00787950"/>
    <w:rsid w:val="00787A26"/>
    <w:rsid w:val="00787DC4"/>
    <w:rsid w:val="00790059"/>
    <w:rsid w:val="0079027C"/>
    <w:rsid w:val="00790408"/>
    <w:rsid w:val="007904FC"/>
    <w:rsid w:val="00790587"/>
    <w:rsid w:val="00790599"/>
    <w:rsid w:val="0079079D"/>
    <w:rsid w:val="007907B9"/>
    <w:rsid w:val="007908B7"/>
    <w:rsid w:val="00790B15"/>
    <w:rsid w:val="00790E4A"/>
    <w:rsid w:val="00790F49"/>
    <w:rsid w:val="00790F6F"/>
    <w:rsid w:val="00790FEB"/>
    <w:rsid w:val="00791087"/>
    <w:rsid w:val="0079115F"/>
    <w:rsid w:val="0079119D"/>
    <w:rsid w:val="007911EC"/>
    <w:rsid w:val="00791204"/>
    <w:rsid w:val="007912AB"/>
    <w:rsid w:val="00791321"/>
    <w:rsid w:val="0079165F"/>
    <w:rsid w:val="007916EC"/>
    <w:rsid w:val="00791916"/>
    <w:rsid w:val="00791AB2"/>
    <w:rsid w:val="00791AFE"/>
    <w:rsid w:val="00791AFF"/>
    <w:rsid w:val="00791BB0"/>
    <w:rsid w:val="00791DB8"/>
    <w:rsid w:val="00791DD0"/>
    <w:rsid w:val="00791F98"/>
    <w:rsid w:val="007920CB"/>
    <w:rsid w:val="00792164"/>
    <w:rsid w:val="007923C6"/>
    <w:rsid w:val="007925C2"/>
    <w:rsid w:val="00792724"/>
    <w:rsid w:val="00792880"/>
    <w:rsid w:val="00792947"/>
    <w:rsid w:val="00792C46"/>
    <w:rsid w:val="007931CB"/>
    <w:rsid w:val="00793331"/>
    <w:rsid w:val="007934CF"/>
    <w:rsid w:val="00793527"/>
    <w:rsid w:val="0079353F"/>
    <w:rsid w:val="007938D6"/>
    <w:rsid w:val="00793E4D"/>
    <w:rsid w:val="00794141"/>
    <w:rsid w:val="00794259"/>
    <w:rsid w:val="00794270"/>
    <w:rsid w:val="00794331"/>
    <w:rsid w:val="00794356"/>
    <w:rsid w:val="0079444D"/>
    <w:rsid w:val="00794617"/>
    <w:rsid w:val="007946DE"/>
    <w:rsid w:val="00794825"/>
    <w:rsid w:val="00794B07"/>
    <w:rsid w:val="00794B58"/>
    <w:rsid w:val="00794DB0"/>
    <w:rsid w:val="00794DF0"/>
    <w:rsid w:val="00794F31"/>
    <w:rsid w:val="0079505E"/>
    <w:rsid w:val="007951D3"/>
    <w:rsid w:val="007951D4"/>
    <w:rsid w:val="00795312"/>
    <w:rsid w:val="007953E9"/>
    <w:rsid w:val="00795908"/>
    <w:rsid w:val="007959FE"/>
    <w:rsid w:val="00795AD9"/>
    <w:rsid w:val="00795B25"/>
    <w:rsid w:val="00795D5E"/>
    <w:rsid w:val="007960A6"/>
    <w:rsid w:val="00796699"/>
    <w:rsid w:val="00796C23"/>
    <w:rsid w:val="00796C7A"/>
    <w:rsid w:val="00796CA7"/>
    <w:rsid w:val="00796D1B"/>
    <w:rsid w:val="00797184"/>
    <w:rsid w:val="007971E2"/>
    <w:rsid w:val="007971F1"/>
    <w:rsid w:val="00797267"/>
    <w:rsid w:val="007972AF"/>
    <w:rsid w:val="007972C2"/>
    <w:rsid w:val="0079748A"/>
    <w:rsid w:val="0079748B"/>
    <w:rsid w:val="00797805"/>
    <w:rsid w:val="007978D2"/>
    <w:rsid w:val="00797B17"/>
    <w:rsid w:val="00797C46"/>
    <w:rsid w:val="00797CD9"/>
    <w:rsid w:val="007A00D8"/>
    <w:rsid w:val="007A02EE"/>
    <w:rsid w:val="007A0786"/>
    <w:rsid w:val="007A0897"/>
    <w:rsid w:val="007A0A6A"/>
    <w:rsid w:val="007A0A7D"/>
    <w:rsid w:val="007A0AA8"/>
    <w:rsid w:val="007A0BD6"/>
    <w:rsid w:val="007A0D9D"/>
    <w:rsid w:val="007A1102"/>
    <w:rsid w:val="007A1272"/>
    <w:rsid w:val="007A12F5"/>
    <w:rsid w:val="007A137A"/>
    <w:rsid w:val="007A14EE"/>
    <w:rsid w:val="007A17AB"/>
    <w:rsid w:val="007A193D"/>
    <w:rsid w:val="007A19F6"/>
    <w:rsid w:val="007A1A6C"/>
    <w:rsid w:val="007A1B37"/>
    <w:rsid w:val="007A1C75"/>
    <w:rsid w:val="007A1E91"/>
    <w:rsid w:val="007A2403"/>
    <w:rsid w:val="007A2AB5"/>
    <w:rsid w:val="007A2B65"/>
    <w:rsid w:val="007A2D4A"/>
    <w:rsid w:val="007A2FF5"/>
    <w:rsid w:val="007A3248"/>
    <w:rsid w:val="007A340F"/>
    <w:rsid w:val="007A344C"/>
    <w:rsid w:val="007A34A9"/>
    <w:rsid w:val="007A3518"/>
    <w:rsid w:val="007A38D5"/>
    <w:rsid w:val="007A39EE"/>
    <w:rsid w:val="007A3BD3"/>
    <w:rsid w:val="007A3F5E"/>
    <w:rsid w:val="007A3F79"/>
    <w:rsid w:val="007A40B6"/>
    <w:rsid w:val="007A4111"/>
    <w:rsid w:val="007A41D7"/>
    <w:rsid w:val="007A4429"/>
    <w:rsid w:val="007A4635"/>
    <w:rsid w:val="007A477D"/>
    <w:rsid w:val="007A47B9"/>
    <w:rsid w:val="007A49D9"/>
    <w:rsid w:val="007A4B26"/>
    <w:rsid w:val="007A4B62"/>
    <w:rsid w:val="007A4F14"/>
    <w:rsid w:val="007A529D"/>
    <w:rsid w:val="007A53B1"/>
    <w:rsid w:val="007A54CA"/>
    <w:rsid w:val="007A5617"/>
    <w:rsid w:val="007A5AE2"/>
    <w:rsid w:val="007A5E5A"/>
    <w:rsid w:val="007A6219"/>
    <w:rsid w:val="007A6229"/>
    <w:rsid w:val="007A6265"/>
    <w:rsid w:val="007A62E9"/>
    <w:rsid w:val="007A639A"/>
    <w:rsid w:val="007A660C"/>
    <w:rsid w:val="007A66C7"/>
    <w:rsid w:val="007A6705"/>
    <w:rsid w:val="007A698B"/>
    <w:rsid w:val="007A69FB"/>
    <w:rsid w:val="007A6AAA"/>
    <w:rsid w:val="007A6AB5"/>
    <w:rsid w:val="007A6BE7"/>
    <w:rsid w:val="007A6D52"/>
    <w:rsid w:val="007A6F82"/>
    <w:rsid w:val="007A7029"/>
    <w:rsid w:val="007A702A"/>
    <w:rsid w:val="007A70C3"/>
    <w:rsid w:val="007A710C"/>
    <w:rsid w:val="007A7385"/>
    <w:rsid w:val="007A75C4"/>
    <w:rsid w:val="007A76B6"/>
    <w:rsid w:val="007A78C4"/>
    <w:rsid w:val="007A7942"/>
    <w:rsid w:val="007A79D5"/>
    <w:rsid w:val="007A7BCA"/>
    <w:rsid w:val="007A7E90"/>
    <w:rsid w:val="007A7EBA"/>
    <w:rsid w:val="007B00E0"/>
    <w:rsid w:val="007B0245"/>
    <w:rsid w:val="007B027E"/>
    <w:rsid w:val="007B05B2"/>
    <w:rsid w:val="007B074B"/>
    <w:rsid w:val="007B083F"/>
    <w:rsid w:val="007B0880"/>
    <w:rsid w:val="007B0B23"/>
    <w:rsid w:val="007B0B7B"/>
    <w:rsid w:val="007B0D01"/>
    <w:rsid w:val="007B0D66"/>
    <w:rsid w:val="007B12EA"/>
    <w:rsid w:val="007B1332"/>
    <w:rsid w:val="007B191F"/>
    <w:rsid w:val="007B19A3"/>
    <w:rsid w:val="007B1B97"/>
    <w:rsid w:val="007B1D15"/>
    <w:rsid w:val="007B1F57"/>
    <w:rsid w:val="007B2085"/>
    <w:rsid w:val="007B20F2"/>
    <w:rsid w:val="007B210A"/>
    <w:rsid w:val="007B21CC"/>
    <w:rsid w:val="007B23AC"/>
    <w:rsid w:val="007B2523"/>
    <w:rsid w:val="007B2629"/>
    <w:rsid w:val="007B2828"/>
    <w:rsid w:val="007B2906"/>
    <w:rsid w:val="007B2D75"/>
    <w:rsid w:val="007B2FC3"/>
    <w:rsid w:val="007B2FDC"/>
    <w:rsid w:val="007B3136"/>
    <w:rsid w:val="007B3492"/>
    <w:rsid w:val="007B35EF"/>
    <w:rsid w:val="007B380A"/>
    <w:rsid w:val="007B38A0"/>
    <w:rsid w:val="007B38B7"/>
    <w:rsid w:val="007B39C5"/>
    <w:rsid w:val="007B3B52"/>
    <w:rsid w:val="007B3CF1"/>
    <w:rsid w:val="007B40E2"/>
    <w:rsid w:val="007B4112"/>
    <w:rsid w:val="007B4625"/>
    <w:rsid w:val="007B466F"/>
    <w:rsid w:val="007B49C9"/>
    <w:rsid w:val="007B4B6E"/>
    <w:rsid w:val="007B4B9F"/>
    <w:rsid w:val="007B4BDD"/>
    <w:rsid w:val="007B4F7B"/>
    <w:rsid w:val="007B5086"/>
    <w:rsid w:val="007B5205"/>
    <w:rsid w:val="007B52EC"/>
    <w:rsid w:val="007B5591"/>
    <w:rsid w:val="007B583D"/>
    <w:rsid w:val="007B5C5F"/>
    <w:rsid w:val="007B5D97"/>
    <w:rsid w:val="007B5F79"/>
    <w:rsid w:val="007B6421"/>
    <w:rsid w:val="007B6684"/>
    <w:rsid w:val="007B683A"/>
    <w:rsid w:val="007B68AC"/>
    <w:rsid w:val="007B6924"/>
    <w:rsid w:val="007B693A"/>
    <w:rsid w:val="007B69C3"/>
    <w:rsid w:val="007B6A58"/>
    <w:rsid w:val="007B6AC3"/>
    <w:rsid w:val="007B6B21"/>
    <w:rsid w:val="007B6C37"/>
    <w:rsid w:val="007B6C42"/>
    <w:rsid w:val="007B6F8E"/>
    <w:rsid w:val="007B7024"/>
    <w:rsid w:val="007B7151"/>
    <w:rsid w:val="007B7333"/>
    <w:rsid w:val="007B75E5"/>
    <w:rsid w:val="007B75EC"/>
    <w:rsid w:val="007B764B"/>
    <w:rsid w:val="007B766B"/>
    <w:rsid w:val="007B7840"/>
    <w:rsid w:val="007B7D6A"/>
    <w:rsid w:val="007B7E85"/>
    <w:rsid w:val="007B7EF3"/>
    <w:rsid w:val="007B7F60"/>
    <w:rsid w:val="007C00CC"/>
    <w:rsid w:val="007C00E3"/>
    <w:rsid w:val="007C02EE"/>
    <w:rsid w:val="007C034E"/>
    <w:rsid w:val="007C0390"/>
    <w:rsid w:val="007C0434"/>
    <w:rsid w:val="007C0487"/>
    <w:rsid w:val="007C0559"/>
    <w:rsid w:val="007C0616"/>
    <w:rsid w:val="007C0690"/>
    <w:rsid w:val="007C06B6"/>
    <w:rsid w:val="007C0789"/>
    <w:rsid w:val="007C089D"/>
    <w:rsid w:val="007C0CF5"/>
    <w:rsid w:val="007C1078"/>
    <w:rsid w:val="007C1244"/>
    <w:rsid w:val="007C1283"/>
    <w:rsid w:val="007C14A2"/>
    <w:rsid w:val="007C1582"/>
    <w:rsid w:val="007C1872"/>
    <w:rsid w:val="007C1900"/>
    <w:rsid w:val="007C1ADD"/>
    <w:rsid w:val="007C1D0A"/>
    <w:rsid w:val="007C1D5D"/>
    <w:rsid w:val="007C1DB5"/>
    <w:rsid w:val="007C1DB8"/>
    <w:rsid w:val="007C1E7F"/>
    <w:rsid w:val="007C215A"/>
    <w:rsid w:val="007C2162"/>
    <w:rsid w:val="007C261D"/>
    <w:rsid w:val="007C2629"/>
    <w:rsid w:val="007C27AE"/>
    <w:rsid w:val="007C29DE"/>
    <w:rsid w:val="007C2AE6"/>
    <w:rsid w:val="007C2BED"/>
    <w:rsid w:val="007C2F57"/>
    <w:rsid w:val="007C300E"/>
    <w:rsid w:val="007C3033"/>
    <w:rsid w:val="007C328D"/>
    <w:rsid w:val="007C336F"/>
    <w:rsid w:val="007C33DD"/>
    <w:rsid w:val="007C34A0"/>
    <w:rsid w:val="007C362D"/>
    <w:rsid w:val="007C367E"/>
    <w:rsid w:val="007C3693"/>
    <w:rsid w:val="007C36F1"/>
    <w:rsid w:val="007C393F"/>
    <w:rsid w:val="007C3B0F"/>
    <w:rsid w:val="007C3B43"/>
    <w:rsid w:val="007C3BA1"/>
    <w:rsid w:val="007C3C69"/>
    <w:rsid w:val="007C3F3C"/>
    <w:rsid w:val="007C4058"/>
    <w:rsid w:val="007C4092"/>
    <w:rsid w:val="007C40BA"/>
    <w:rsid w:val="007C41B1"/>
    <w:rsid w:val="007C462F"/>
    <w:rsid w:val="007C4685"/>
    <w:rsid w:val="007C46A7"/>
    <w:rsid w:val="007C46C7"/>
    <w:rsid w:val="007C46E7"/>
    <w:rsid w:val="007C4776"/>
    <w:rsid w:val="007C4BA7"/>
    <w:rsid w:val="007C4D77"/>
    <w:rsid w:val="007C4F9E"/>
    <w:rsid w:val="007C504E"/>
    <w:rsid w:val="007C554D"/>
    <w:rsid w:val="007C57B6"/>
    <w:rsid w:val="007C5814"/>
    <w:rsid w:val="007C583F"/>
    <w:rsid w:val="007C59AC"/>
    <w:rsid w:val="007C5A14"/>
    <w:rsid w:val="007C5A72"/>
    <w:rsid w:val="007C5E46"/>
    <w:rsid w:val="007C618E"/>
    <w:rsid w:val="007C6272"/>
    <w:rsid w:val="007C633F"/>
    <w:rsid w:val="007C65D9"/>
    <w:rsid w:val="007C683D"/>
    <w:rsid w:val="007C6877"/>
    <w:rsid w:val="007C6A54"/>
    <w:rsid w:val="007C6BA7"/>
    <w:rsid w:val="007C6C6F"/>
    <w:rsid w:val="007C6EBF"/>
    <w:rsid w:val="007C7234"/>
    <w:rsid w:val="007C7240"/>
    <w:rsid w:val="007C73F8"/>
    <w:rsid w:val="007C741F"/>
    <w:rsid w:val="007C7A5E"/>
    <w:rsid w:val="007C7C0B"/>
    <w:rsid w:val="007C7F97"/>
    <w:rsid w:val="007C7FCB"/>
    <w:rsid w:val="007D0234"/>
    <w:rsid w:val="007D04A6"/>
    <w:rsid w:val="007D05BB"/>
    <w:rsid w:val="007D0680"/>
    <w:rsid w:val="007D076F"/>
    <w:rsid w:val="007D08EE"/>
    <w:rsid w:val="007D0925"/>
    <w:rsid w:val="007D096E"/>
    <w:rsid w:val="007D0D29"/>
    <w:rsid w:val="007D0DCC"/>
    <w:rsid w:val="007D0DF4"/>
    <w:rsid w:val="007D0EB7"/>
    <w:rsid w:val="007D1467"/>
    <w:rsid w:val="007D148C"/>
    <w:rsid w:val="007D14D8"/>
    <w:rsid w:val="007D1655"/>
    <w:rsid w:val="007D1905"/>
    <w:rsid w:val="007D1DDF"/>
    <w:rsid w:val="007D1E64"/>
    <w:rsid w:val="007D1E76"/>
    <w:rsid w:val="007D215E"/>
    <w:rsid w:val="007D22CF"/>
    <w:rsid w:val="007D2318"/>
    <w:rsid w:val="007D24B9"/>
    <w:rsid w:val="007D273D"/>
    <w:rsid w:val="007D27E3"/>
    <w:rsid w:val="007D27FF"/>
    <w:rsid w:val="007D29F8"/>
    <w:rsid w:val="007D2AA0"/>
    <w:rsid w:val="007D2AF4"/>
    <w:rsid w:val="007D2E1D"/>
    <w:rsid w:val="007D2FB6"/>
    <w:rsid w:val="007D2FED"/>
    <w:rsid w:val="007D30B7"/>
    <w:rsid w:val="007D321C"/>
    <w:rsid w:val="007D3420"/>
    <w:rsid w:val="007D37AB"/>
    <w:rsid w:val="007D3BA7"/>
    <w:rsid w:val="007D3FDF"/>
    <w:rsid w:val="007D4175"/>
    <w:rsid w:val="007D4626"/>
    <w:rsid w:val="007D4710"/>
    <w:rsid w:val="007D47EB"/>
    <w:rsid w:val="007D489E"/>
    <w:rsid w:val="007D4A4B"/>
    <w:rsid w:val="007D4C02"/>
    <w:rsid w:val="007D4EDE"/>
    <w:rsid w:val="007D4F8D"/>
    <w:rsid w:val="007D4FAB"/>
    <w:rsid w:val="007D52E0"/>
    <w:rsid w:val="007D5682"/>
    <w:rsid w:val="007D5A6B"/>
    <w:rsid w:val="007D5B9B"/>
    <w:rsid w:val="007D5CE5"/>
    <w:rsid w:val="007D5E93"/>
    <w:rsid w:val="007D600F"/>
    <w:rsid w:val="007D6025"/>
    <w:rsid w:val="007D6291"/>
    <w:rsid w:val="007D63E3"/>
    <w:rsid w:val="007D6412"/>
    <w:rsid w:val="007D653D"/>
    <w:rsid w:val="007D65E2"/>
    <w:rsid w:val="007D6609"/>
    <w:rsid w:val="007D6651"/>
    <w:rsid w:val="007D666C"/>
    <w:rsid w:val="007D66CD"/>
    <w:rsid w:val="007D6843"/>
    <w:rsid w:val="007D69AF"/>
    <w:rsid w:val="007D6ACB"/>
    <w:rsid w:val="007D6B20"/>
    <w:rsid w:val="007D6B45"/>
    <w:rsid w:val="007D6D3C"/>
    <w:rsid w:val="007D6DFF"/>
    <w:rsid w:val="007D6E3D"/>
    <w:rsid w:val="007D70B5"/>
    <w:rsid w:val="007D7156"/>
    <w:rsid w:val="007D7265"/>
    <w:rsid w:val="007D7468"/>
    <w:rsid w:val="007D7609"/>
    <w:rsid w:val="007D7781"/>
    <w:rsid w:val="007D796D"/>
    <w:rsid w:val="007D7BF7"/>
    <w:rsid w:val="007D7CB3"/>
    <w:rsid w:val="007D7CBF"/>
    <w:rsid w:val="007D7CC7"/>
    <w:rsid w:val="007D7D03"/>
    <w:rsid w:val="007D7D26"/>
    <w:rsid w:val="007D7E5A"/>
    <w:rsid w:val="007D7E9D"/>
    <w:rsid w:val="007D7F5F"/>
    <w:rsid w:val="007D7FD6"/>
    <w:rsid w:val="007D7FDD"/>
    <w:rsid w:val="007E0020"/>
    <w:rsid w:val="007E00CA"/>
    <w:rsid w:val="007E016F"/>
    <w:rsid w:val="007E0444"/>
    <w:rsid w:val="007E05C2"/>
    <w:rsid w:val="007E062D"/>
    <w:rsid w:val="007E088F"/>
    <w:rsid w:val="007E0B6B"/>
    <w:rsid w:val="007E0C25"/>
    <w:rsid w:val="007E0E7E"/>
    <w:rsid w:val="007E0FF6"/>
    <w:rsid w:val="007E1459"/>
    <w:rsid w:val="007E14B0"/>
    <w:rsid w:val="007E1578"/>
    <w:rsid w:val="007E15AD"/>
    <w:rsid w:val="007E1674"/>
    <w:rsid w:val="007E1848"/>
    <w:rsid w:val="007E19E0"/>
    <w:rsid w:val="007E1F4B"/>
    <w:rsid w:val="007E1FBE"/>
    <w:rsid w:val="007E2067"/>
    <w:rsid w:val="007E2358"/>
    <w:rsid w:val="007E24F9"/>
    <w:rsid w:val="007E2526"/>
    <w:rsid w:val="007E25ED"/>
    <w:rsid w:val="007E271E"/>
    <w:rsid w:val="007E276E"/>
    <w:rsid w:val="007E2863"/>
    <w:rsid w:val="007E287C"/>
    <w:rsid w:val="007E2ADC"/>
    <w:rsid w:val="007E2AF5"/>
    <w:rsid w:val="007E2BC0"/>
    <w:rsid w:val="007E2C64"/>
    <w:rsid w:val="007E30E0"/>
    <w:rsid w:val="007E383B"/>
    <w:rsid w:val="007E38A7"/>
    <w:rsid w:val="007E39E4"/>
    <w:rsid w:val="007E3A17"/>
    <w:rsid w:val="007E3ADA"/>
    <w:rsid w:val="007E3E5D"/>
    <w:rsid w:val="007E3FC4"/>
    <w:rsid w:val="007E40C5"/>
    <w:rsid w:val="007E44BF"/>
    <w:rsid w:val="007E4742"/>
    <w:rsid w:val="007E4744"/>
    <w:rsid w:val="007E4819"/>
    <w:rsid w:val="007E4ADF"/>
    <w:rsid w:val="007E4DA6"/>
    <w:rsid w:val="007E4F60"/>
    <w:rsid w:val="007E519E"/>
    <w:rsid w:val="007E52E4"/>
    <w:rsid w:val="007E536F"/>
    <w:rsid w:val="007E53DD"/>
    <w:rsid w:val="007E5403"/>
    <w:rsid w:val="007E5567"/>
    <w:rsid w:val="007E5681"/>
    <w:rsid w:val="007E5717"/>
    <w:rsid w:val="007E579E"/>
    <w:rsid w:val="007E595F"/>
    <w:rsid w:val="007E5C7E"/>
    <w:rsid w:val="007E5F70"/>
    <w:rsid w:val="007E61D1"/>
    <w:rsid w:val="007E61FC"/>
    <w:rsid w:val="007E6387"/>
    <w:rsid w:val="007E65EF"/>
    <w:rsid w:val="007E66EA"/>
    <w:rsid w:val="007E681E"/>
    <w:rsid w:val="007E6820"/>
    <w:rsid w:val="007E697A"/>
    <w:rsid w:val="007E6AC6"/>
    <w:rsid w:val="007E6B84"/>
    <w:rsid w:val="007E6D7D"/>
    <w:rsid w:val="007E6DC7"/>
    <w:rsid w:val="007E6DC8"/>
    <w:rsid w:val="007E6F28"/>
    <w:rsid w:val="007E6F9E"/>
    <w:rsid w:val="007E6FEC"/>
    <w:rsid w:val="007E7064"/>
    <w:rsid w:val="007E7395"/>
    <w:rsid w:val="007E78F8"/>
    <w:rsid w:val="007E7B0E"/>
    <w:rsid w:val="007E7C43"/>
    <w:rsid w:val="007E7D47"/>
    <w:rsid w:val="007E7D5E"/>
    <w:rsid w:val="007E7DDE"/>
    <w:rsid w:val="007E7DEA"/>
    <w:rsid w:val="007E7E37"/>
    <w:rsid w:val="007E7F99"/>
    <w:rsid w:val="007F02DF"/>
    <w:rsid w:val="007F0796"/>
    <w:rsid w:val="007F0843"/>
    <w:rsid w:val="007F0957"/>
    <w:rsid w:val="007F0AD8"/>
    <w:rsid w:val="007F0F38"/>
    <w:rsid w:val="007F1161"/>
    <w:rsid w:val="007F132F"/>
    <w:rsid w:val="007F148E"/>
    <w:rsid w:val="007F17AC"/>
    <w:rsid w:val="007F18CC"/>
    <w:rsid w:val="007F1971"/>
    <w:rsid w:val="007F19F2"/>
    <w:rsid w:val="007F1D9B"/>
    <w:rsid w:val="007F201E"/>
    <w:rsid w:val="007F2405"/>
    <w:rsid w:val="007F26CA"/>
    <w:rsid w:val="007F27B3"/>
    <w:rsid w:val="007F29BF"/>
    <w:rsid w:val="007F29D5"/>
    <w:rsid w:val="007F2A7C"/>
    <w:rsid w:val="007F2B5C"/>
    <w:rsid w:val="007F33B0"/>
    <w:rsid w:val="007F34A0"/>
    <w:rsid w:val="007F38A9"/>
    <w:rsid w:val="007F3C4A"/>
    <w:rsid w:val="007F3E1B"/>
    <w:rsid w:val="007F3E56"/>
    <w:rsid w:val="007F3ECB"/>
    <w:rsid w:val="007F3FB7"/>
    <w:rsid w:val="007F403C"/>
    <w:rsid w:val="007F430A"/>
    <w:rsid w:val="007F446F"/>
    <w:rsid w:val="007F4472"/>
    <w:rsid w:val="007F454E"/>
    <w:rsid w:val="007F468B"/>
    <w:rsid w:val="007F4742"/>
    <w:rsid w:val="007F4BB8"/>
    <w:rsid w:val="007F4C1D"/>
    <w:rsid w:val="007F4F70"/>
    <w:rsid w:val="007F4FD9"/>
    <w:rsid w:val="007F5065"/>
    <w:rsid w:val="007F52FA"/>
    <w:rsid w:val="007F5382"/>
    <w:rsid w:val="007F5462"/>
    <w:rsid w:val="007F5540"/>
    <w:rsid w:val="007F5731"/>
    <w:rsid w:val="007F5B5B"/>
    <w:rsid w:val="007F5D0E"/>
    <w:rsid w:val="007F5D37"/>
    <w:rsid w:val="007F5DE8"/>
    <w:rsid w:val="007F6092"/>
    <w:rsid w:val="007F60A8"/>
    <w:rsid w:val="007F61C6"/>
    <w:rsid w:val="007F61D7"/>
    <w:rsid w:val="007F6460"/>
    <w:rsid w:val="007F65D3"/>
    <w:rsid w:val="007F67E9"/>
    <w:rsid w:val="007F6870"/>
    <w:rsid w:val="007F6923"/>
    <w:rsid w:val="007F6B24"/>
    <w:rsid w:val="007F6BAF"/>
    <w:rsid w:val="007F6BB5"/>
    <w:rsid w:val="007F6E36"/>
    <w:rsid w:val="007F7192"/>
    <w:rsid w:val="007F725E"/>
    <w:rsid w:val="007F76D3"/>
    <w:rsid w:val="007F7A04"/>
    <w:rsid w:val="007F7B4C"/>
    <w:rsid w:val="007F7C0A"/>
    <w:rsid w:val="007F7C7B"/>
    <w:rsid w:val="007F7D41"/>
    <w:rsid w:val="0080025F"/>
    <w:rsid w:val="008003A2"/>
    <w:rsid w:val="008005F8"/>
    <w:rsid w:val="008006B3"/>
    <w:rsid w:val="008006DE"/>
    <w:rsid w:val="0080096D"/>
    <w:rsid w:val="00800B4F"/>
    <w:rsid w:val="00800CB7"/>
    <w:rsid w:val="00800F4C"/>
    <w:rsid w:val="008014F8"/>
    <w:rsid w:val="008015B0"/>
    <w:rsid w:val="008015C6"/>
    <w:rsid w:val="008015EB"/>
    <w:rsid w:val="00801844"/>
    <w:rsid w:val="00801939"/>
    <w:rsid w:val="00801D4A"/>
    <w:rsid w:val="00801D9F"/>
    <w:rsid w:val="00801E3B"/>
    <w:rsid w:val="00802199"/>
    <w:rsid w:val="0080244A"/>
    <w:rsid w:val="00802460"/>
    <w:rsid w:val="00802848"/>
    <w:rsid w:val="00802D04"/>
    <w:rsid w:val="00802E42"/>
    <w:rsid w:val="00802F0D"/>
    <w:rsid w:val="0080342F"/>
    <w:rsid w:val="00803617"/>
    <w:rsid w:val="008036A3"/>
    <w:rsid w:val="00803A7D"/>
    <w:rsid w:val="00803ACB"/>
    <w:rsid w:val="00803BC8"/>
    <w:rsid w:val="00803D6D"/>
    <w:rsid w:val="00803F1D"/>
    <w:rsid w:val="008040A2"/>
    <w:rsid w:val="008042BC"/>
    <w:rsid w:val="00804632"/>
    <w:rsid w:val="0080469D"/>
    <w:rsid w:val="00804753"/>
    <w:rsid w:val="00804881"/>
    <w:rsid w:val="00804A8B"/>
    <w:rsid w:val="00804C7D"/>
    <w:rsid w:val="00804CFF"/>
    <w:rsid w:val="00804D2E"/>
    <w:rsid w:val="00804DC1"/>
    <w:rsid w:val="00804E51"/>
    <w:rsid w:val="00805256"/>
    <w:rsid w:val="008054D9"/>
    <w:rsid w:val="00805676"/>
    <w:rsid w:val="008056E0"/>
    <w:rsid w:val="0080577B"/>
    <w:rsid w:val="00805A16"/>
    <w:rsid w:val="00805CEE"/>
    <w:rsid w:val="008065F4"/>
    <w:rsid w:val="00806688"/>
    <w:rsid w:val="0080672C"/>
    <w:rsid w:val="00806869"/>
    <w:rsid w:val="00806AD5"/>
    <w:rsid w:val="0080742C"/>
    <w:rsid w:val="0080793D"/>
    <w:rsid w:val="00807A3E"/>
    <w:rsid w:val="00807C17"/>
    <w:rsid w:val="00807D55"/>
    <w:rsid w:val="00807DD0"/>
    <w:rsid w:val="00807E1F"/>
    <w:rsid w:val="00807EAF"/>
    <w:rsid w:val="00810338"/>
    <w:rsid w:val="008103B4"/>
    <w:rsid w:val="00810413"/>
    <w:rsid w:val="00810453"/>
    <w:rsid w:val="00810494"/>
    <w:rsid w:val="0081057D"/>
    <w:rsid w:val="008105FA"/>
    <w:rsid w:val="00810834"/>
    <w:rsid w:val="00810FC6"/>
    <w:rsid w:val="00811076"/>
    <w:rsid w:val="00811335"/>
    <w:rsid w:val="00811431"/>
    <w:rsid w:val="0081157A"/>
    <w:rsid w:val="00811583"/>
    <w:rsid w:val="0081186A"/>
    <w:rsid w:val="00811886"/>
    <w:rsid w:val="008118B7"/>
    <w:rsid w:val="0081190F"/>
    <w:rsid w:val="00811A75"/>
    <w:rsid w:val="00811C45"/>
    <w:rsid w:val="00811D44"/>
    <w:rsid w:val="008121FE"/>
    <w:rsid w:val="00812282"/>
    <w:rsid w:val="00812539"/>
    <w:rsid w:val="008125AA"/>
    <w:rsid w:val="0081261F"/>
    <w:rsid w:val="00812EAD"/>
    <w:rsid w:val="00813048"/>
    <w:rsid w:val="0081313E"/>
    <w:rsid w:val="008131AA"/>
    <w:rsid w:val="0081346B"/>
    <w:rsid w:val="00813541"/>
    <w:rsid w:val="00813A02"/>
    <w:rsid w:val="00813AAC"/>
    <w:rsid w:val="00813F58"/>
    <w:rsid w:val="00814096"/>
    <w:rsid w:val="0081432D"/>
    <w:rsid w:val="00814459"/>
    <w:rsid w:val="0081452A"/>
    <w:rsid w:val="00814566"/>
    <w:rsid w:val="008146F5"/>
    <w:rsid w:val="008148CD"/>
    <w:rsid w:val="008148E4"/>
    <w:rsid w:val="008148F8"/>
    <w:rsid w:val="008149AA"/>
    <w:rsid w:val="00814BA6"/>
    <w:rsid w:val="00814CB9"/>
    <w:rsid w:val="00814EB6"/>
    <w:rsid w:val="00814F14"/>
    <w:rsid w:val="00815272"/>
    <w:rsid w:val="0081536A"/>
    <w:rsid w:val="008154BC"/>
    <w:rsid w:val="0081561B"/>
    <w:rsid w:val="008156FB"/>
    <w:rsid w:val="008157EE"/>
    <w:rsid w:val="008157F1"/>
    <w:rsid w:val="00815894"/>
    <w:rsid w:val="008158DD"/>
    <w:rsid w:val="00815959"/>
    <w:rsid w:val="00815BA2"/>
    <w:rsid w:val="00815ED6"/>
    <w:rsid w:val="00815EE4"/>
    <w:rsid w:val="0081603B"/>
    <w:rsid w:val="008160A5"/>
    <w:rsid w:val="00816121"/>
    <w:rsid w:val="008161C8"/>
    <w:rsid w:val="008162AF"/>
    <w:rsid w:val="008166FD"/>
    <w:rsid w:val="0081691F"/>
    <w:rsid w:val="00816930"/>
    <w:rsid w:val="00816953"/>
    <w:rsid w:val="00816D9A"/>
    <w:rsid w:val="00816E1D"/>
    <w:rsid w:val="00816EC2"/>
    <w:rsid w:val="00816FEF"/>
    <w:rsid w:val="0081759D"/>
    <w:rsid w:val="00817669"/>
    <w:rsid w:val="00817789"/>
    <w:rsid w:val="008177E0"/>
    <w:rsid w:val="008178B9"/>
    <w:rsid w:val="00817A58"/>
    <w:rsid w:val="00817A67"/>
    <w:rsid w:val="00817A7F"/>
    <w:rsid w:val="00817B99"/>
    <w:rsid w:val="00817BCF"/>
    <w:rsid w:val="00817CFE"/>
    <w:rsid w:val="00817D16"/>
    <w:rsid w:val="00817E8C"/>
    <w:rsid w:val="0082023D"/>
    <w:rsid w:val="008203F6"/>
    <w:rsid w:val="008208E3"/>
    <w:rsid w:val="00820957"/>
    <w:rsid w:val="00820A52"/>
    <w:rsid w:val="00820D7C"/>
    <w:rsid w:val="00820E6A"/>
    <w:rsid w:val="00820EAE"/>
    <w:rsid w:val="00820EC3"/>
    <w:rsid w:val="00820F34"/>
    <w:rsid w:val="00821062"/>
    <w:rsid w:val="0082110F"/>
    <w:rsid w:val="008212B6"/>
    <w:rsid w:val="008214B6"/>
    <w:rsid w:val="008219FF"/>
    <w:rsid w:val="00821BEB"/>
    <w:rsid w:val="00821E78"/>
    <w:rsid w:val="008220E1"/>
    <w:rsid w:val="0082210C"/>
    <w:rsid w:val="0082219B"/>
    <w:rsid w:val="0082229A"/>
    <w:rsid w:val="00822383"/>
    <w:rsid w:val="00822471"/>
    <w:rsid w:val="0082258C"/>
    <w:rsid w:val="0082259F"/>
    <w:rsid w:val="00822790"/>
    <w:rsid w:val="0082281D"/>
    <w:rsid w:val="00822971"/>
    <w:rsid w:val="00822C12"/>
    <w:rsid w:val="00822C50"/>
    <w:rsid w:val="00822CD5"/>
    <w:rsid w:val="00822D94"/>
    <w:rsid w:val="00822F06"/>
    <w:rsid w:val="00823241"/>
    <w:rsid w:val="008233BA"/>
    <w:rsid w:val="0082366C"/>
    <w:rsid w:val="008236E1"/>
    <w:rsid w:val="0082370E"/>
    <w:rsid w:val="00823A60"/>
    <w:rsid w:val="00823D0D"/>
    <w:rsid w:val="00823ED3"/>
    <w:rsid w:val="00824030"/>
    <w:rsid w:val="008242EF"/>
    <w:rsid w:val="00824458"/>
    <w:rsid w:val="008247B0"/>
    <w:rsid w:val="00824978"/>
    <w:rsid w:val="008249F7"/>
    <w:rsid w:val="00824A52"/>
    <w:rsid w:val="00824B74"/>
    <w:rsid w:val="00824E1A"/>
    <w:rsid w:val="00824E6D"/>
    <w:rsid w:val="00824FCB"/>
    <w:rsid w:val="008250C3"/>
    <w:rsid w:val="0082535B"/>
    <w:rsid w:val="008255A5"/>
    <w:rsid w:val="008256C4"/>
    <w:rsid w:val="00825708"/>
    <w:rsid w:val="00825B1C"/>
    <w:rsid w:val="00825BE2"/>
    <w:rsid w:val="00825CAA"/>
    <w:rsid w:val="00825DE0"/>
    <w:rsid w:val="00825E78"/>
    <w:rsid w:val="00825F0A"/>
    <w:rsid w:val="0082606D"/>
    <w:rsid w:val="00826384"/>
    <w:rsid w:val="008263C7"/>
    <w:rsid w:val="008264A2"/>
    <w:rsid w:val="00826557"/>
    <w:rsid w:val="008265D0"/>
    <w:rsid w:val="00826B49"/>
    <w:rsid w:val="00826B64"/>
    <w:rsid w:val="00826C78"/>
    <w:rsid w:val="00826E38"/>
    <w:rsid w:val="00826F6F"/>
    <w:rsid w:val="00827027"/>
    <w:rsid w:val="008271A9"/>
    <w:rsid w:val="008271B6"/>
    <w:rsid w:val="0082724C"/>
    <w:rsid w:val="0082731E"/>
    <w:rsid w:val="00827622"/>
    <w:rsid w:val="008279F0"/>
    <w:rsid w:val="00827BF7"/>
    <w:rsid w:val="00827DAB"/>
    <w:rsid w:val="00827F41"/>
    <w:rsid w:val="00830422"/>
    <w:rsid w:val="0083061E"/>
    <w:rsid w:val="0083065C"/>
    <w:rsid w:val="0083071E"/>
    <w:rsid w:val="00830A94"/>
    <w:rsid w:val="00830BF4"/>
    <w:rsid w:val="00830DAB"/>
    <w:rsid w:val="00830E77"/>
    <w:rsid w:val="00830F2A"/>
    <w:rsid w:val="00831057"/>
    <w:rsid w:val="008311BE"/>
    <w:rsid w:val="008316E2"/>
    <w:rsid w:val="00831955"/>
    <w:rsid w:val="00831A2B"/>
    <w:rsid w:val="00831B8C"/>
    <w:rsid w:val="00831C02"/>
    <w:rsid w:val="00831CDD"/>
    <w:rsid w:val="00831DF8"/>
    <w:rsid w:val="00831E1E"/>
    <w:rsid w:val="00832137"/>
    <w:rsid w:val="008321AF"/>
    <w:rsid w:val="00832215"/>
    <w:rsid w:val="008324EB"/>
    <w:rsid w:val="00832510"/>
    <w:rsid w:val="00832A62"/>
    <w:rsid w:val="00832A6E"/>
    <w:rsid w:val="00832BFB"/>
    <w:rsid w:val="00832C19"/>
    <w:rsid w:val="00832DEC"/>
    <w:rsid w:val="008331FC"/>
    <w:rsid w:val="008332E3"/>
    <w:rsid w:val="008333A5"/>
    <w:rsid w:val="008336C2"/>
    <w:rsid w:val="0083395E"/>
    <w:rsid w:val="00833C34"/>
    <w:rsid w:val="00833CBE"/>
    <w:rsid w:val="00833D9D"/>
    <w:rsid w:val="00833E99"/>
    <w:rsid w:val="00833FD0"/>
    <w:rsid w:val="008342DD"/>
    <w:rsid w:val="0083430F"/>
    <w:rsid w:val="008343E8"/>
    <w:rsid w:val="00834414"/>
    <w:rsid w:val="008344E4"/>
    <w:rsid w:val="00834783"/>
    <w:rsid w:val="008347AD"/>
    <w:rsid w:val="00834E7B"/>
    <w:rsid w:val="00834F2F"/>
    <w:rsid w:val="00834FFC"/>
    <w:rsid w:val="008353C5"/>
    <w:rsid w:val="008357D7"/>
    <w:rsid w:val="0083591B"/>
    <w:rsid w:val="00835A1D"/>
    <w:rsid w:val="00835AA6"/>
    <w:rsid w:val="00835AE0"/>
    <w:rsid w:val="00835DC0"/>
    <w:rsid w:val="00835E75"/>
    <w:rsid w:val="00835EA1"/>
    <w:rsid w:val="00835EC9"/>
    <w:rsid w:val="00835F7E"/>
    <w:rsid w:val="008360B3"/>
    <w:rsid w:val="00836752"/>
    <w:rsid w:val="008367F7"/>
    <w:rsid w:val="00836999"/>
    <w:rsid w:val="00836BCF"/>
    <w:rsid w:val="00836C5C"/>
    <w:rsid w:val="00836F7C"/>
    <w:rsid w:val="00836FE0"/>
    <w:rsid w:val="008370D9"/>
    <w:rsid w:val="00837147"/>
    <w:rsid w:val="008371BF"/>
    <w:rsid w:val="00837256"/>
    <w:rsid w:val="00837735"/>
    <w:rsid w:val="00837E91"/>
    <w:rsid w:val="00837F3B"/>
    <w:rsid w:val="0084001B"/>
    <w:rsid w:val="008403A4"/>
    <w:rsid w:val="008406F5"/>
    <w:rsid w:val="00840B6C"/>
    <w:rsid w:val="00840B6D"/>
    <w:rsid w:val="00840C21"/>
    <w:rsid w:val="00840C41"/>
    <w:rsid w:val="00840C80"/>
    <w:rsid w:val="00840CCD"/>
    <w:rsid w:val="00840D2E"/>
    <w:rsid w:val="00840D8A"/>
    <w:rsid w:val="00840E72"/>
    <w:rsid w:val="00841388"/>
    <w:rsid w:val="008414B0"/>
    <w:rsid w:val="0084163B"/>
    <w:rsid w:val="0084186D"/>
    <w:rsid w:val="00841CC2"/>
    <w:rsid w:val="00841EFB"/>
    <w:rsid w:val="00841F44"/>
    <w:rsid w:val="00841F5C"/>
    <w:rsid w:val="00841F76"/>
    <w:rsid w:val="00841FAE"/>
    <w:rsid w:val="00842042"/>
    <w:rsid w:val="00842124"/>
    <w:rsid w:val="0084218D"/>
    <w:rsid w:val="0084222B"/>
    <w:rsid w:val="00842C82"/>
    <w:rsid w:val="00842CAE"/>
    <w:rsid w:val="00842D65"/>
    <w:rsid w:val="00842FE7"/>
    <w:rsid w:val="00843059"/>
    <w:rsid w:val="00843096"/>
    <w:rsid w:val="008431FB"/>
    <w:rsid w:val="008433D4"/>
    <w:rsid w:val="008433F3"/>
    <w:rsid w:val="008436D7"/>
    <w:rsid w:val="00843C0B"/>
    <w:rsid w:val="00843D40"/>
    <w:rsid w:val="00843D5B"/>
    <w:rsid w:val="008440FE"/>
    <w:rsid w:val="0084466B"/>
    <w:rsid w:val="008446FD"/>
    <w:rsid w:val="00844726"/>
    <w:rsid w:val="00844C58"/>
    <w:rsid w:val="00844D38"/>
    <w:rsid w:val="0084518F"/>
    <w:rsid w:val="008451E7"/>
    <w:rsid w:val="008455B2"/>
    <w:rsid w:val="0084571F"/>
    <w:rsid w:val="00845791"/>
    <w:rsid w:val="008459AE"/>
    <w:rsid w:val="00845B3E"/>
    <w:rsid w:val="00845C73"/>
    <w:rsid w:val="00845E5E"/>
    <w:rsid w:val="00846119"/>
    <w:rsid w:val="008461E6"/>
    <w:rsid w:val="008461FF"/>
    <w:rsid w:val="00846388"/>
    <w:rsid w:val="00846391"/>
    <w:rsid w:val="00846500"/>
    <w:rsid w:val="0084656D"/>
    <w:rsid w:val="008465CE"/>
    <w:rsid w:val="0084681D"/>
    <w:rsid w:val="00846862"/>
    <w:rsid w:val="008468C6"/>
    <w:rsid w:val="00846A80"/>
    <w:rsid w:val="00847051"/>
    <w:rsid w:val="008470C6"/>
    <w:rsid w:val="008470C8"/>
    <w:rsid w:val="00847194"/>
    <w:rsid w:val="008474E3"/>
    <w:rsid w:val="0084750B"/>
    <w:rsid w:val="00847713"/>
    <w:rsid w:val="00847789"/>
    <w:rsid w:val="008478E4"/>
    <w:rsid w:val="00847A0B"/>
    <w:rsid w:val="00847B4C"/>
    <w:rsid w:val="00847DF1"/>
    <w:rsid w:val="00847ED1"/>
    <w:rsid w:val="00850260"/>
    <w:rsid w:val="008505E4"/>
    <w:rsid w:val="00850C5B"/>
    <w:rsid w:val="00850E5B"/>
    <w:rsid w:val="00850ED3"/>
    <w:rsid w:val="008512E1"/>
    <w:rsid w:val="00851400"/>
    <w:rsid w:val="0085148C"/>
    <w:rsid w:val="00851592"/>
    <w:rsid w:val="00851593"/>
    <w:rsid w:val="0085173F"/>
    <w:rsid w:val="00851888"/>
    <w:rsid w:val="008518AD"/>
    <w:rsid w:val="0085193A"/>
    <w:rsid w:val="0085194C"/>
    <w:rsid w:val="00851B7F"/>
    <w:rsid w:val="00851DBD"/>
    <w:rsid w:val="00851DE9"/>
    <w:rsid w:val="00851EE6"/>
    <w:rsid w:val="00852081"/>
    <w:rsid w:val="008521F0"/>
    <w:rsid w:val="008525BD"/>
    <w:rsid w:val="00852695"/>
    <w:rsid w:val="008527ED"/>
    <w:rsid w:val="008528F4"/>
    <w:rsid w:val="00852A42"/>
    <w:rsid w:val="00852AB8"/>
    <w:rsid w:val="0085307F"/>
    <w:rsid w:val="00853091"/>
    <w:rsid w:val="008531D1"/>
    <w:rsid w:val="00853301"/>
    <w:rsid w:val="0085331D"/>
    <w:rsid w:val="00853423"/>
    <w:rsid w:val="008534F8"/>
    <w:rsid w:val="00853584"/>
    <w:rsid w:val="008537F7"/>
    <w:rsid w:val="0085398D"/>
    <w:rsid w:val="00853D33"/>
    <w:rsid w:val="00853D42"/>
    <w:rsid w:val="00853D59"/>
    <w:rsid w:val="00853E3C"/>
    <w:rsid w:val="00853F1F"/>
    <w:rsid w:val="00853F41"/>
    <w:rsid w:val="00853FA9"/>
    <w:rsid w:val="008542B5"/>
    <w:rsid w:val="00854472"/>
    <w:rsid w:val="008546BE"/>
    <w:rsid w:val="008546E2"/>
    <w:rsid w:val="00854912"/>
    <w:rsid w:val="00854A7F"/>
    <w:rsid w:val="00854B42"/>
    <w:rsid w:val="00854BAE"/>
    <w:rsid w:val="00855099"/>
    <w:rsid w:val="0085513A"/>
    <w:rsid w:val="008552E2"/>
    <w:rsid w:val="0085531E"/>
    <w:rsid w:val="00855446"/>
    <w:rsid w:val="008554B8"/>
    <w:rsid w:val="00855601"/>
    <w:rsid w:val="0085583F"/>
    <w:rsid w:val="0085584E"/>
    <w:rsid w:val="00855922"/>
    <w:rsid w:val="008559DA"/>
    <w:rsid w:val="008559E0"/>
    <w:rsid w:val="00855C33"/>
    <w:rsid w:val="00855D43"/>
    <w:rsid w:val="00855F77"/>
    <w:rsid w:val="00856074"/>
    <w:rsid w:val="00856264"/>
    <w:rsid w:val="00856355"/>
    <w:rsid w:val="0085638B"/>
    <w:rsid w:val="0085647E"/>
    <w:rsid w:val="008569EE"/>
    <w:rsid w:val="00856AB9"/>
    <w:rsid w:val="00856CA8"/>
    <w:rsid w:val="00856DDF"/>
    <w:rsid w:val="00856E39"/>
    <w:rsid w:val="00857591"/>
    <w:rsid w:val="008575BE"/>
    <w:rsid w:val="00857624"/>
    <w:rsid w:val="00857930"/>
    <w:rsid w:val="00857949"/>
    <w:rsid w:val="00857C35"/>
    <w:rsid w:val="00857F0C"/>
    <w:rsid w:val="00857F57"/>
    <w:rsid w:val="00860594"/>
    <w:rsid w:val="00860915"/>
    <w:rsid w:val="00860A1C"/>
    <w:rsid w:val="00860FAD"/>
    <w:rsid w:val="008610BB"/>
    <w:rsid w:val="008614A8"/>
    <w:rsid w:val="008615DD"/>
    <w:rsid w:val="008618F5"/>
    <w:rsid w:val="00861AC3"/>
    <w:rsid w:val="00861AF8"/>
    <w:rsid w:val="00861ED4"/>
    <w:rsid w:val="00861FC2"/>
    <w:rsid w:val="00861FF4"/>
    <w:rsid w:val="0086203B"/>
    <w:rsid w:val="0086206C"/>
    <w:rsid w:val="008621B1"/>
    <w:rsid w:val="00862220"/>
    <w:rsid w:val="00862421"/>
    <w:rsid w:val="00862486"/>
    <w:rsid w:val="00862754"/>
    <w:rsid w:val="008627A8"/>
    <w:rsid w:val="0086297E"/>
    <w:rsid w:val="00862A9F"/>
    <w:rsid w:val="00862B68"/>
    <w:rsid w:val="00862CAE"/>
    <w:rsid w:val="00862D97"/>
    <w:rsid w:val="00862F6A"/>
    <w:rsid w:val="00863091"/>
    <w:rsid w:val="008630C7"/>
    <w:rsid w:val="00863161"/>
    <w:rsid w:val="00863384"/>
    <w:rsid w:val="008635AE"/>
    <w:rsid w:val="00863656"/>
    <w:rsid w:val="008636B0"/>
    <w:rsid w:val="008636E9"/>
    <w:rsid w:val="008637CC"/>
    <w:rsid w:val="00863BD8"/>
    <w:rsid w:val="00863D7B"/>
    <w:rsid w:val="00863DEE"/>
    <w:rsid w:val="008640EC"/>
    <w:rsid w:val="00864140"/>
    <w:rsid w:val="0086417B"/>
    <w:rsid w:val="00864301"/>
    <w:rsid w:val="00864678"/>
    <w:rsid w:val="00864985"/>
    <w:rsid w:val="008649D3"/>
    <w:rsid w:val="00864A18"/>
    <w:rsid w:val="00864BCD"/>
    <w:rsid w:val="00864BDB"/>
    <w:rsid w:val="00864D43"/>
    <w:rsid w:val="00864E0C"/>
    <w:rsid w:val="00864E88"/>
    <w:rsid w:val="00864EFE"/>
    <w:rsid w:val="00864FC6"/>
    <w:rsid w:val="008650F6"/>
    <w:rsid w:val="0086515F"/>
    <w:rsid w:val="00865205"/>
    <w:rsid w:val="00865282"/>
    <w:rsid w:val="00865890"/>
    <w:rsid w:val="00865A78"/>
    <w:rsid w:val="00865DD3"/>
    <w:rsid w:val="00865EAA"/>
    <w:rsid w:val="00865FFF"/>
    <w:rsid w:val="00866081"/>
    <w:rsid w:val="00866197"/>
    <w:rsid w:val="008662D4"/>
    <w:rsid w:val="008666FE"/>
    <w:rsid w:val="00866768"/>
    <w:rsid w:val="0086685E"/>
    <w:rsid w:val="0086693D"/>
    <w:rsid w:val="00866A9A"/>
    <w:rsid w:val="00866ADF"/>
    <w:rsid w:val="00866D83"/>
    <w:rsid w:val="0086700C"/>
    <w:rsid w:val="008674AA"/>
    <w:rsid w:val="00867597"/>
    <w:rsid w:val="0086759B"/>
    <w:rsid w:val="0086769D"/>
    <w:rsid w:val="0086789F"/>
    <w:rsid w:val="00867E9E"/>
    <w:rsid w:val="00867F94"/>
    <w:rsid w:val="00867FAB"/>
    <w:rsid w:val="00870087"/>
    <w:rsid w:val="00870146"/>
    <w:rsid w:val="008706FB"/>
    <w:rsid w:val="00870889"/>
    <w:rsid w:val="00870B35"/>
    <w:rsid w:val="0087134F"/>
    <w:rsid w:val="008715BC"/>
    <w:rsid w:val="0087189B"/>
    <w:rsid w:val="008718F5"/>
    <w:rsid w:val="008719FA"/>
    <w:rsid w:val="00871BBC"/>
    <w:rsid w:val="00871D70"/>
    <w:rsid w:val="00871DE6"/>
    <w:rsid w:val="00872084"/>
    <w:rsid w:val="00872188"/>
    <w:rsid w:val="008722C1"/>
    <w:rsid w:val="008722DD"/>
    <w:rsid w:val="0087237C"/>
    <w:rsid w:val="008724B5"/>
    <w:rsid w:val="00872625"/>
    <w:rsid w:val="0087277A"/>
    <w:rsid w:val="008729D5"/>
    <w:rsid w:val="00872A0F"/>
    <w:rsid w:val="00872A47"/>
    <w:rsid w:val="00872ABB"/>
    <w:rsid w:val="00872C3C"/>
    <w:rsid w:val="00872E14"/>
    <w:rsid w:val="008731CE"/>
    <w:rsid w:val="008731EC"/>
    <w:rsid w:val="00873364"/>
    <w:rsid w:val="008736E2"/>
    <w:rsid w:val="00873970"/>
    <w:rsid w:val="00873A0B"/>
    <w:rsid w:val="0087405F"/>
    <w:rsid w:val="008742F0"/>
    <w:rsid w:val="008744EC"/>
    <w:rsid w:val="00874565"/>
    <w:rsid w:val="00874750"/>
    <w:rsid w:val="00874845"/>
    <w:rsid w:val="00874902"/>
    <w:rsid w:val="0087498F"/>
    <w:rsid w:val="008749E2"/>
    <w:rsid w:val="00874DBB"/>
    <w:rsid w:val="00875092"/>
    <w:rsid w:val="00875525"/>
    <w:rsid w:val="008757D0"/>
    <w:rsid w:val="0087589E"/>
    <w:rsid w:val="008759E5"/>
    <w:rsid w:val="00875A4A"/>
    <w:rsid w:val="00875A78"/>
    <w:rsid w:val="00875C2C"/>
    <w:rsid w:val="00875E5C"/>
    <w:rsid w:val="0087603C"/>
    <w:rsid w:val="0087604E"/>
    <w:rsid w:val="0087609B"/>
    <w:rsid w:val="00876168"/>
    <w:rsid w:val="00876290"/>
    <w:rsid w:val="00876466"/>
    <w:rsid w:val="00876469"/>
    <w:rsid w:val="0087671A"/>
    <w:rsid w:val="008767D0"/>
    <w:rsid w:val="00876AA0"/>
    <w:rsid w:val="00876D11"/>
    <w:rsid w:val="00876DA4"/>
    <w:rsid w:val="00877007"/>
    <w:rsid w:val="008771A3"/>
    <w:rsid w:val="00877247"/>
    <w:rsid w:val="00877457"/>
    <w:rsid w:val="00877472"/>
    <w:rsid w:val="008775F8"/>
    <w:rsid w:val="008777AD"/>
    <w:rsid w:val="008779C9"/>
    <w:rsid w:val="00877C6E"/>
    <w:rsid w:val="00877E2A"/>
    <w:rsid w:val="00877F14"/>
    <w:rsid w:val="008801AE"/>
    <w:rsid w:val="00880341"/>
    <w:rsid w:val="00880414"/>
    <w:rsid w:val="008806B4"/>
    <w:rsid w:val="00880823"/>
    <w:rsid w:val="00880AA3"/>
    <w:rsid w:val="00880BC5"/>
    <w:rsid w:val="00880F90"/>
    <w:rsid w:val="00881186"/>
    <w:rsid w:val="008811F5"/>
    <w:rsid w:val="0088129A"/>
    <w:rsid w:val="00881376"/>
    <w:rsid w:val="00881520"/>
    <w:rsid w:val="00881535"/>
    <w:rsid w:val="008815D1"/>
    <w:rsid w:val="0088168D"/>
    <w:rsid w:val="0088189B"/>
    <w:rsid w:val="00881994"/>
    <w:rsid w:val="00881BD2"/>
    <w:rsid w:val="00881DB1"/>
    <w:rsid w:val="00881FB1"/>
    <w:rsid w:val="00882014"/>
    <w:rsid w:val="00882193"/>
    <w:rsid w:val="0088226E"/>
    <w:rsid w:val="0088243F"/>
    <w:rsid w:val="00882541"/>
    <w:rsid w:val="00882A4F"/>
    <w:rsid w:val="00882BAE"/>
    <w:rsid w:val="00882D33"/>
    <w:rsid w:val="00882D6D"/>
    <w:rsid w:val="00882D95"/>
    <w:rsid w:val="00882E6A"/>
    <w:rsid w:val="0088330E"/>
    <w:rsid w:val="008835FB"/>
    <w:rsid w:val="0088388A"/>
    <w:rsid w:val="00883999"/>
    <w:rsid w:val="008839E0"/>
    <w:rsid w:val="00883AC2"/>
    <w:rsid w:val="00883CCB"/>
    <w:rsid w:val="008840C1"/>
    <w:rsid w:val="0088417D"/>
    <w:rsid w:val="0088421C"/>
    <w:rsid w:val="008842E1"/>
    <w:rsid w:val="008843F2"/>
    <w:rsid w:val="00884434"/>
    <w:rsid w:val="0088445B"/>
    <w:rsid w:val="008845D2"/>
    <w:rsid w:val="00884BA7"/>
    <w:rsid w:val="00884BE0"/>
    <w:rsid w:val="00885010"/>
    <w:rsid w:val="008850DE"/>
    <w:rsid w:val="00885397"/>
    <w:rsid w:val="00885440"/>
    <w:rsid w:val="008854AB"/>
    <w:rsid w:val="0088582C"/>
    <w:rsid w:val="008859E8"/>
    <w:rsid w:val="00885B90"/>
    <w:rsid w:val="00885C8E"/>
    <w:rsid w:val="00885DC3"/>
    <w:rsid w:val="00885EC5"/>
    <w:rsid w:val="00885F31"/>
    <w:rsid w:val="008862D5"/>
    <w:rsid w:val="0088635C"/>
    <w:rsid w:val="0088664A"/>
    <w:rsid w:val="00886983"/>
    <w:rsid w:val="00886993"/>
    <w:rsid w:val="00886994"/>
    <w:rsid w:val="00886AC4"/>
    <w:rsid w:val="00886C63"/>
    <w:rsid w:val="00886CB0"/>
    <w:rsid w:val="0088731F"/>
    <w:rsid w:val="008873D3"/>
    <w:rsid w:val="00887555"/>
    <w:rsid w:val="00887893"/>
    <w:rsid w:val="0088799D"/>
    <w:rsid w:val="00887BDA"/>
    <w:rsid w:val="00887E4F"/>
    <w:rsid w:val="00887F4C"/>
    <w:rsid w:val="00890064"/>
    <w:rsid w:val="0089008B"/>
    <w:rsid w:val="00890217"/>
    <w:rsid w:val="00890231"/>
    <w:rsid w:val="008902BE"/>
    <w:rsid w:val="008902C2"/>
    <w:rsid w:val="0089052B"/>
    <w:rsid w:val="00890619"/>
    <w:rsid w:val="00890829"/>
    <w:rsid w:val="00890996"/>
    <w:rsid w:val="008909AB"/>
    <w:rsid w:val="008909BB"/>
    <w:rsid w:val="00890B83"/>
    <w:rsid w:val="00890C0F"/>
    <w:rsid w:val="00890C5E"/>
    <w:rsid w:val="00890D09"/>
    <w:rsid w:val="0089116A"/>
    <w:rsid w:val="0089135C"/>
    <w:rsid w:val="00891A97"/>
    <w:rsid w:val="00891AF6"/>
    <w:rsid w:val="00891BC3"/>
    <w:rsid w:val="00891C8E"/>
    <w:rsid w:val="00891E51"/>
    <w:rsid w:val="00892245"/>
    <w:rsid w:val="008922E7"/>
    <w:rsid w:val="008922E9"/>
    <w:rsid w:val="00892319"/>
    <w:rsid w:val="008925F2"/>
    <w:rsid w:val="008927D8"/>
    <w:rsid w:val="0089296E"/>
    <w:rsid w:val="00892D1C"/>
    <w:rsid w:val="00892D24"/>
    <w:rsid w:val="00892FDE"/>
    <w:rsid w:val="00893216"/>
    <w:rsid w:val="00893239"/>
    <w:rsid w:val="008932C2"/>
    <w:rsid w:val="0089343D"/>
    <w:rsid w:val="00893594"/>
    <w:rsid w:val="008935BE"/>
    <w:rsid w:val="008935C2"/>
    <w:rsid w:val="00893681"/>
    <w:rsid w:val="008936A4"/>
    <w:rsid w:val="008937C8"/>
    <w:rsid w:val="00893AAA"/>
    <w:rsid w:val="00893AE4"/>
    <w:rsid w:val="00893CAE"/>
    <w:rsid w:val="00893E16"/>
    <w:rsid w:val="0089461B"/>
    <w:rsid w:val="00894B06"/>
    <w:rsid w:val="00894B8A"/>
    <w:rsid w:val="00894C1A"/>
    <w:rsid w:val="00894C1B"/>
    <w:rsid w:val="00894CED"/>
    <w:rsid w:val="00894D05"/>
    <w:rsid w:val="00894D06"/>
    <w:rsid w:val="00894DBE"/>
    <w:rsid w:val="0089516A"/>
    <w:rsid w:val="00895247"/>
    <w:rsid w:val="0089534B"/>
    <w:rsid w:val="008953A4"/>
    <w:rsid w:val="0089570C"/>
    <w:rsid w:val="00895A11"/>
    <w:rsid w:val="00895A8A"/>
    <w:rsid w:val="00895AB5"/>
    <w:rsid w:val="00895C38"/>
    <w:rsid w:val="00895C90"/>
    <w:rsid w:val="00895DEE"/>
    <w:rsid w:val="00895EC9"/>
    <w:rsid w:val="00895F41"/>
    <w:rsid w:val="008960A1"/>
    <w:rsid w:val="008960E6"/>
    <w:rsid w:val="008960EA"/>
    <w:rsid w:val="00896171"/>
    <w:rsid w:val="008962C8"/>
    <w:rsid w:val="0089659F"/>
    <w:rsid w:val="008965F4"/>
    <w:rsid w:val="008965F5"/>
    <w:rsid w:val="008966D6"/>
    <w:rsid w:val="00896784"/>
    <w:rsid w:val="008967C4"/>
    <w:rsid w:val="008968AF"/>
    <w:rsid w:val="00896942"/>
    <w:rsid w:val="00896A0C"/>
    <w:rsid w:val="00896B63"/>
    <w:rsid w:val="008970A7"/>
    <w:rsid w:val="00897153"/>
    <w:rsid w:val="0089717A"/>
    <w:rsid w:val="00897490"/>
    <w:rsid w:val="00897604"/>
    <w:rsid w:val="00897668"/>
    <w:rsid w:val="008976AE"/>
    <w:rsid w:val="0089788A"/>
    <w:rsid w:val="00897A21"/>
    <w:rsid w:val="00897D01"/>
    <w:rsid w:val="008A01C4"/>
    <w:rsid w:val="008A020B"/>
    <w:rsid w:val="008A02E2"/>
    <w:rsid w:val="008A06CF"/>
    <w:rsid w:val="008A0710"/>
    <w:rsid w:val="008A0BA4"/>
    <w:rsid w:val="008A0BFA"/>
    <w:rsid w:val="008A0D2A"/>
    <w:rsid w:val="008A0D39"/>
    <w:rsid w:val="008A1194"/>
    <w:rsid w:val="008A1471"/>
    <w:rsid w:val="008A1476"/>
    <w:rsid w:val="008A1693"/>
    <w:rsid w:val="008A195F"/>
    <w:rsid w:val="008A1C94"/>
    <w:rsid w:val="008A1C9B"/>
    <w:rsid w:val="008A1FAB"/>
    <w:rsid w:val="008A2176"/>
    <w:rsid w:val="008A2289"/>
    <w:rsid w:val="008A254C"/>
    <w:rsid w:val="008A254F"/>
    <w:rsid w:val="008A2630"/>
    <w:rsid w:val="008A275C"/>
    <w:rsid w:val="008A2C00"/>
    <w:rsid w:val="008A2E69"/>
    <w:rsid w:val="008A314B"/>
    <w:rsid w:val="008A32F4"/>
    <w:rsid w:val="008A36F4"/>
    <w:rsid w:val="008A387A"/>
    <w:rsid w:val="008A3A2F"/>
    <w:rsid w:val="008A3BEF"/>
    <w:rsid w:val="008A427D"/>
    <w:rsid w:val="008A42BF"/>
    <w:rsid w:val="008A43FA"/>
    <w:rsid w:val="008A4527"/>
    <w:rsid w:val="008A4603"/>
    <w:rsid w:val="008A4867"/>
    <w:rsid w:val="008A486A"/>
    <w:rsid w:val="008A48F8"/>
    <w:rsid w:val="008A49EF"/>
    <w:rsid w:val="008A4B37"/>
    <w:rsid w:val="008A4C4F"/>
    <w:rsid w:val="008A4D75"/>
    <w:rsid w:val="008A50CD"/>
    <w:rsid w:val="008A51B5"/>
    <w:rsid w:val="008A52B1"/>
    <w:rsid w:val="008A5476"/>
    <w:rsid w:val="008A55E9"/>
    <w:rsid w:val="008A5774"/>
    <w:rsid w:val="008A5833"/>
    <w:rsid w:val="008A5A73"/>
    <w:rsid w:val="008A5B0D"/>
    <w:rsid w:val="008A5D95"/>
    <w:rsid w:val="008A5D9C"/>
    <w:rsid w:val="008A5F36"/>
    <w:rsid w:val="008A6334"/>
    <w:rsid w:val="008A665A"/>
    <w:rsid w:val="008A6D2D"/>
    <w:rsid w:val="008A6D68"/>
    <w:rsid w:val="008A6DAD"/>
    <w:rsid w:val="008A6E69"/>
    <w:rsid w:val="008A6EA1"/>
    <w:rsid w:val="008A7276"/>
    <w:rsid w:val="008A72F5"/>
    <w:rsid w:val="008A7336"/>
    <w:rsid w:val="008A7389"/>
    <w:rsid w:val="008A75E0"/>
    <w:rsid w:val="008A7632"/>
    <w:rsid w:val="008A7648"/>
    <w:rsid w:val="008A764F"/>
    <w:rsid w:val="008A7B34"/>
    <w:rsid w:val="008A7BBD"/>
    <w:rsid w:val="008A7C3D"/>
    <w:rsid w:val="008A7C8C"/>
    <w:rsid w:val="008A7CDD"/>
    <w:rsid w:val="008B0470"/>
    <w:rsid w:val="008B054C"/>
    <w:rsid w:val="008B057A"/>
    <w:rsid w:val="008B071F"/>
    <w:rsid w:val="008B084A"/>
    <w:rsid w:val="008B091A"/>
    <w:rsid w:val="008B0E72"/>
    <w:rsid w:val="008B0F55"/>
    <w:rsid w:val="008B13C3"/>
    <w:rsid w:val="008B15CC"/>
    <w:rsid w:val="008B1703"/>
    <w:rsid w:val="008B1707"/>
    <w:rsid w:val="008B1780"/>
    <w:rsid w:val="008B18A9"/>
    <w:rsid w:val="008B1B86"/>
    <w:rsid w:val="008B1B91"/>
    <w:rsid w:val="008B1C65"/>
    <w:rsid w:val="008B1E50"/>
    <w:rsid w:val="008B2081"/>
    <w:rsid w:val="008B2127"/>
    <w:rsid w:val="008B225D"/>
    <w:rsid w:val="008B2450"/>
    <w:rsid w:val="008B25B6"/>
    <w:rsid w:val="008B2894"/>
    <w:rsid w:val="008B2899"/>
    <w:rsid w:val="008B2997"/>
    <w:rsid w:val="008B2CD3"/>
    <w:rsid w:val="008B2D59"/>
    <w:rsid w:val="008B2DCD"/>
    <w:rsid w:val="008B2E13"/>
    <w:rsid w:val="008B2F4B"/>
    <w:rsid w:val="008B2FA3"/>
    <w:rsid w:val="008B30D7"/>
    <w:rsid w:val="008B380E"/>
    <w:rsid w:val="008B3A88"/>
    <w:rsid w:val="008B3ABD"/>
    <w:rsid w:val="008B3E81"/>
    <w:rsid w:val="008B43CF"/>
    <w:rsid w:val="008B4453"/>
    <w:rsid w:val="008B462D"/>
    <w:rsid w:val="008B4654"/>
    <w:rsid w:val="008B4659"/>
    <w:rsid w:val="008B4989"/>
    <w:rsid w:val="008B4AAD"/>
    <w:rsid w:val="008B4AC0"/>
    <w:rsid w:val="008B4BFC"/>
    <w:rsid w:val="008B4DFE"/>
    <w:rsid w:val="008B4E42"/>
    <w:rsid w:val="008B4E5D"/>
    <w:rsid w:val="008B4F0E"/>
    <w:rsid w:val="008B4F6C"/>
    <w:rsid w:val="008B505F"/>
    <w:rsid w:val="008B5102"/>
    <w:rsid w:val="008B5152"/>
    <w:rsid w:val="008B51B4"/>
    <w:rsid w:val="008B5245"/>
    <w:rsid w:val="008B535B"/>
    <w:rsid w:val="008B5398"/>
    <w:rsid w:val="008B55E8"/>
    <w:rsid w:val="008B5663"/>
    <w:rsid w:val="008B5B67"/>
    <w:rsid w:val="008B5BA8"/>
    <w:rsid w:val="008B5BE2"/>
    <w:rsid w:val="008B5CF5"/>
    <w:rsid w:val="008B5D7A"/>
    <w:rsid w:val="008B616F"/>
    <w:rsid w:val="008B6289"/>
    <w:rsid w:val="008B6319"/>
    <w:rsid w:val="008B66E3"/>
    <w:rsid w:val="008B6844"/>
    <w:rsid w:val="008B6DDA"/>
    <w:rsid w:val="008B7181"/>
    <w:rsid w:val="008B71A7"/>
    <w:rsid w:val="008B71B4"/>
    <w:rsid w:val="008B720F"/>
    <w:rsid w:val="008B724A"/>
    <w:rsid w:val="008B758E"/>
    <w:rsid w:val="008B771B"/>
    <w:rsid w:val="008B7848"/>
    <w:rsid w:val="008B78A7"/>
    <w:rsid w:val="008B7976"/>
    <w:rsid w:val="008B7B3A"/>
    <w:rsid w:val="008B7C5A"/>
    <w:rsid w:val="008B7D9A"/>
    <w:rsid w:val="008B7DD9"/>
    <w:rsid w:val="008C0076"/>
    <w:rsid w:val="008C023B"/>
    <w:rsid w:val="008C02CB"/>
    <w:rsid w:val="008C02EA"/>
    <w:rsid w:val="008C039A"/>
    <w:rsid w:val="008C04EC"/>
    <w:rsid w:val="008C056D"/>
    <w:rsid w:val="008C0937"/>
    <w:rsid w:val="008C0AAF"/>
    <w:rsid w:val="008C0B68"/>
    <w:rsid w:val="008C0FB2"/>
    <w:rsid w:val="008C10D4"/>
    <w:rsid w:val="008C10F5"/>
    <w:rsid w:val="008C11E8"/>
    <w:rsid w:val="008C127A"/>
    <w:rsid w:val="008C12C3"/>
    <w:rsid w:val="008C1487"/>
    <w:rsid w:val="008C185A"/>
    <w:rsid w:val="008C1C96"/>
    <w:rsid w:val="008C1E05"/>
    <w:rsid w:val="008C1E2E"/>
    <w:rsid w:val="008C1E8A"/>
    <w:rsid w:val="008C1EB1"/>
    <w:rsid w:val="008C23EE"/>
    <w:rsid w:val="008C241C"/>
    <w:rsid w:val="008C2436"/>
    <w:rsid w:val="008C25A4"/>
    <w:rsid w:val="008C25F2"/>
    <w:rsid w:val="008C266A"/>
    <w:rsid w:val="008C293E"/>
    <w:rsid w:val="008C2E0B"/>
    <w:rsid w:val="008C3049"/>
    <w:rsid w:val="008C31A2"/>
    <w:rsid w:val="008C325F"/>
    <w:rsid w:val="008C33E4"/>
    <w:rsid w:val="008C34BB"/>
    <w:rsid w:val="008C35B6"/>
    <w:rsid w:val="008C375A"/>
    <w:rsid w:val="008C3790"/>
    <w:rsid w:val="008C3834"/>
    <w:rsid w:val="008C3943"/>
    <w:rsid w:val="008C3B4B"/>
    <w:rsid w:val="008C3F85"/>
    <w:rsid w:val="008C41E1"/>
    <w:rsid w:val="008C45E2"/>
    <w:rsid w:val="008C46EC"/>
    <w:rsid w:val="008C4716"/>
    <w:rsid w:val="008C4770"/>
    <w:rsid w:val="008C482C"/>
    <w:rsid w:val="008C492E"/>
    <w:rsid w:val="008C4A18"/>
    <w:rsid w:val="008C4A64"/>
    <w:rsid w:val="008C4F85"/>
    <w:rsid w:val="008C54B1"/>
    <w:rsid w:val="008C572C"/>
    <w:rsid w:val="008C5A9B"/>
    <w:rsid w:val="008C5B3A"/>
    <w:rsid w:val="008C5D07"/>
    <w:rsid w:val="008C629C"/>
    <w:rsid w:val="008C6427"/>
    <w:rsid w:val="008C657F"/>
    <w:rsid w:val="008C66B6"/>
    <w:rsid w:val="008C6782"/>
    <w:rsid w:val="008C67B2"/>
    <w:rsid w:val="008C67E8"/>
    <w:rsid w:val="008C68B4"/>
    <w:rsid w:val="008C6988"/>
    <w:rsid w:val="008C6CB1"/>
    <w:rsid w:val="008C6D4A"/>
    <w:rsid w:val="008C6E68"/>
    <w:rsid w:val="008C6FBC"/>
    <w:rsid w:val="008C71FE"/>
    <w:rsid w:val="008C7271"/>
    <w:rsid w:val="008C75BA"/>
    <w:rsid w:val="008C76DD"/>
    <w:rsid w:val="008C7762"/>
    <w:rsid w:val="008C780A"/>
    <w:rsid w:val="008C786B"/>
    <w:rsid w:val="008C7AE3"/>
    <w:rsid w:val="008C7C9C"/>
    <w:rsid w:val="008C7FB0"/>
    <w:rsid w:val="008D01D4"/>
    <w:rsid w:val="008D0220"/>
    <w:rsid w:val="008D0452"/>
    <w:rsid w:val="008D04D0"/>
    <w:rsid w:val="008D052D"/>
    <w:rsid w:val="008D080E"/>
    <w:rsid w:val="008D082B"/>
    <w:rsid w:val="008D0831"/>
    <w:rsid w:val="008D09BD"/>
    <w:rsid w:val="008D0A37"/>
    <w:rsid w:val="008D0B65"/>
    <w:rsid w:val="008D0C7D"/>
    <w:rsid w:val="008D0DFA"/>
    <w:rsid w:val="008D0E08"/>
    <w:rsid w:val="008D102D"/>
    <w:rsid w:val="008D1119"/>
    <w:rsid w:val="008D1122"/>
    <w:rsid w:val="008D16A7"/>
    <w:rsid w:val="008D16EB"/>
    <w:rsid w:val="008D1738"/>
    <w:rsid w:val="008D1770"/>
    <w:rsid w:val="008D187C"/>
    <w:rsid w:val="008D191C"/>
    <w:rsid w:val="008D198B"/>
    <w:rsid w:val="008D1A84"/>
    <w:rsid w:val="008D1D32"/>
    <w:rsid w:val="008D1DD4"/>
    <w:rsid w:val="008D1DFC"/>
    <w:rsid w:val="008D1E0D"/>
    <w:rsid w:val="008D1EFB"/>
    <w:rsid w:val="008D218D"/>
    <w:rsid w:val="008D223D"/>
    <w:rsid w:val="008D2629"/>
    <w:rsid w:val="008D263C"/>
    <w:rsid w:val="008D2700"/>
    <w:rsid w:val="008D27F1"/>
    <w:rsid w:val="008D2A02"/>
    <w:rsid w:val="008D2A20"/>
    <w:rsid w:val="008D2A44"/>
    <w:rsid w:val="008D2A8A"/>
    <w:rsid w:val="008D2A9C"/>
    <w:rsid w:val="008D2C3A"/>
    <w:rsid w:val="008D2D3B"/>
    <w:rsid w:val="008D2D3F"/>
    <w:rsid w:val="008D2F39"/>
    <w:rsid w:val="008D31B6"/>
    <w:rsid w:val="008D323F"/>
    <w:rsid w:val="008D3726"/>
    <w:rsid w:val="008D3828"/>
    <w:rsid w:val="008D392F"/>
    <w:rsid w:val="008D393D"/>
    <w:rsid w:val="008D3B90"/>
    <w:rsid w:val="008D3E66"/>
    <w:rsid w:val="008D3F9A"/>
    <w:rsid w:val="008D4012"/>
    <w:rsid w:val="008D403F"/>
    <w:rsid w:val="008D44BD"/>
    <w:rsid w:val="008D4532"/>
    <w:rsid w:val="008D479A"/>
    <w:rsid w:val="008D4B79"/>
    <w:rsid w:val="008D4C3B"/>
    <w:rsid w:val="008D4CB0"/>
    <w:rsid w:val="008D4D1C"/>
    <w:rsid w:val="008D51A9"/>
    <w:rsid w:val="008D546C"/>
    <w:rsid w:val="008D5A25"/>
    <w:rsid w:val="008D5AF5"/>
    <w:rsid w:val="008D5D8B"/>
    <w:rsid w:val="008D5DC5"/>
    <w:rsid w:val="008D5DD8"/>
    <w:rsid w:val="008D5DF0"/>
    <w:rsid w:val="008D6059"/>
    <w:rsid w:val="008D608D"/>
    <w:rsid w:val="008D60AC"/>
    <w:rsid w:val="008D6183"/>
    <w:rsid w:val="008D6397"/>
    <w:rsid w:val="008D64A9"/>
    <w:rsid w:val="008D671F"/>
    <w:rsid w:val="008D6750"/>
    <w:rsid w:val="008D683E"/>
    <w:rsid w:val="008D6888"/>
    <w:rsid w:val="008D6BEE"/>
    <w:rsid w:val="008D6EDC"/>
    <w:rsid w:val="008D7014"/>
    <w:rsid w:val="008D707E"/>
    <w:rsid w:val="008D70B8"/>
    <w:rsid w:val="008D7233"/>
    <w:rsid w:val="008D7341"/>
    <w:rsid w:val="008D73A3"/>
    <w:rsid w:val="008D73C9"/>
    <w:rsid w:val="008D7430"/>
    <w:rsid w:val="008D7683"/>
    <w:rsid w:val="008D7A33"/>
    <w:rsid w:val="008D7CAA"/>
    <w:rsid w:val="008D7CDD"/>
    <w:rsid w:val="008D7D03"/>
    <w:rsid w:val="008D7D27"/>
    <w:rsid w:val="008D7F5E"/>
    <w:rsid w:val="008D7FC3"/>
    <w:rsid w:val="008E00E9"/>
    <w:rsid w:val="008E04C5"/>
    <w:rsid w:val="008E04D9"/>
    <w:rsid w:val="008E0590"/>
    <w:rsid w:val="008E0647"/>
    <w:rsid w:val="008E0683"/>
    <w:rsid w:val="008E08EF"/>
    <w:rsid w:val="008E0AFF"/>
    <w:rsid w:val="008E0BC7"/>
    <w:rsid w:val="008E0CC3"/>
    <w:rsid w:val="008E0DED"/>
    <w:rsid w:val="008E0E39"/>
    <w:rsid w:val="008E0F22"/>
    <w:rsid w:val="008E106C"/>
    <w:rsid w:val="008E10B4"/>
    <w:rsid w:val="008E10BF"/>
    <w:rsid w:val="008E1387"/>
    <w:rsid w:val="008E14D2"/>
    <w:rsid w:val="008E1520"/>
    <w:rsid w:val="008E1695"/>
    <w:rsid w:val="008E16BF"/>
    <w:rsid w:val="008E1C21"/>
    <w:rsid w:val="008E1CF0"/>
    <w:rsid w:val="008E1CFD"/>
    <w:rsid w:val="008E211B"/>
    <w:rsid w:val="008E2A26"/>
    <w:rsid w:val="008E2DE2"/>
    <w:rsid w:val="008E3049"/>
    <w:rsid w:val="008E315C"/>
    <w:rsid w:val="008E31D5"/>
    <w:rsid w:val="008E358B"/>
    <w:rsid w:val="008E35A3"/>
    <w:rsid w:val="008E392B"/>
    <w:rsid w:val="008E3AB9"/>
    <w:rsid w:val="008E3B7E"/>
    <w:rsid w:val="008E3F40"/>
    <w:rsid w:val="008E444D"/>
    <w:rsid w:val="008E4627"/>
    <w:rsid w:val="008E4719"/>
    <w:rsid w:val="008E4740"/>
    <w:rsid w:val="008E479A"/>
    <w:rsid w:val="008E4816"/>
    <w:rsid w:val="008E4819"/>
    <w:rsid w:val="008E49D9"/>
    <w:rsid w:val="008E4AE8"/>
    <w:rsid w:val="008E4C76"/>
    <w:rsid w:val="008E4E50"/>
    <w:rsid w:val="008E4FEC"/>
    <w:rsid w:val="008E5037"/>
    <w:rsid w:val="008E52A0"/>
    <w:rsid w:val="008E52B8"/>
    <w:rsid w:val="008E52F2"/>
    <w:rsid w:val="008E549C"/>
    <w:rsid w:val="008E58F8"/>
    <w:rsid w:val="008E5963"/>
    <w:rsid w:val="008E5A76"/>
    <w:rsid w:val="008E5C7B"/>
    <w:rsid w:val="008E5D9A"/>
    <w:rsid w:val="008E5DD3"/>
    <w:rsid w:val="008E5DE2"/>
    <w:rsid w:val="008E5E56"/>
    <w:rsid w:val="008E606D"/>
    <w:rsid w:val="008E61AD"/>
    <w:rsid w:val="008E6702"/>
    <w:rsid w:val="008E6796"/>
    <w:rsid w:val="008E67F0"/>
    <w:rsid w:val="008E6966"/>
    <w:rsid w:val="008E6D0B"/>
    <w:rsid w:val="008E6DAB"/>
    <w:rsid w:val="008E6E4D"/>
    <w:rsid w:val="008E6FAF"/>
    <w:rsid w:val="008E6FF9"/>
    <w:rsid w:val="008E70A2"/>
    <w:rsid w:val="008E70E0"/>
    <w:rsid w:val="008E7274"/>
    <w:rsid w:val="008E738C"/>
    <w:rsid w:val="008E7606"/>
    <w:rsid w:val="008E7BC5"/>
    <w:rsid w:val="008E7C02"/>
    <w:rsid w:val="008E7C86"/>
    <w:rsid w:val="008E7F78"/>
    <w:rsid w:val="008E7F9E"/>
    <w:rsid w:val="008E7FD2"/>
    <w:rsid w:val="008F01F8"/>
    <w:rsid w:val="008F0376"/>
    <w:rsid w:val="008F04E8"/>
    <w:rsid w:val="008F0533"/>
    <w:rsid w:val="008F0562"/>
    <w:rsid w:val="008F0773"/>
    <w:rsid w:val="008F09E1"/>
    <w:rsid w:val="008F0DED"/>
    <w:rsid w:val="008F1040"/>
    <w:rsid w:val="008F11D1"/>
    <w:rsid w:val="008F1252"/>
    <w:rsid w:val="008F13FF"/>
    <w:rsid w:val="008F1797"/>
    <w:rsid w:val="008F18C7"/>
    <w:rsid w:val="008F1961"/>
    <w:rsid w:val="008F1C68"/>
    <w:rsid w:val="008F1CE4"/>
    <w:rsid w:val="008F1E1D"/>
    <w:rsid w:val="008F1E51"/>
    <w:rsid w:val="008F1FFC"/>
    <w:rsid w:val="008F202B"/>
    <w:rsid w:val="008F2220"/>
    <w:rsid w:val="008F2264"/>
    <w:rsid w:val="008F260B"/>
    <w:rsid w:val="008F264E"/>
    <w:rsid w:val="008F26F3"/>
    <w:rsid w:val="008F27E2"/>
    <w:rsid w:val="008F2AB4"/>
    <w:rsid w:val="008F30B8"/>
    <w:rsid w:val="008F3217"/>
    <w:rsid w:val="008F32B9"/>
    <w:rsid w:val="008F35E8"/>
    <w:rsid w:val="008F361B"/>
    <w:rsid w:val="008F363D"/>
    <w:rsid w:val="008F36AB"/>
    <w:rsid w:val="008F36B3"/>
    <w:rsid w:val="008F36D3"/>
    <w:rsid w:val="008F36DA"/>
    <w:rsid w:val="008F3700"/>
    <w:rsid w:val="008F387C"/>
    <w:rsid w:val="008F38A4"/>
    <w:rsid w:val="008F3E46"/>
    <w:rsid w:val="008F400C"/>
    <w:rsid w:val="008F4139"/>
    <w:rsid w:val="008F417D"/>
    <w:rsid w:val="008F420D"/>
    <w:rsid w:val="008F4245"/>
    <w:rsid w:val="008F426C"/>
    <w:rsid w:val="008F4270"/>
    <w:rsid w:val="008F45B9"/>
    <w:rsid w:val="008F460D"/>
    <w:rsid w:val="008F4614"/>
    <w:rsid w:val="008F461D"/>
    <w:rsid w:val="008F46DC"/>
    <w:rsid w:val="008F46EB"/>
    <w:rsid w:val="008F49C4"/>
    <w:rsid w:val="008F4B74"/>
    <w:rsid w:val="008F4CD4"/>
    <w:rsid w:val="008F4D81"/>
    <w:rsid w:val="008F4F6A"/>
    <w:rsid w:val="008F4FD5"/>
    <w:rsid w:val="008F4FFA"/>
    <w:rsid w:val="008F538F"/>
    <w:rsid w:val="008F5547"/>
    <w:rsid w:val="008F55C2"/>
    <w:rsid w:val="008F57F2"/>
    <w:rsid w:val="008F5EC4"/>
    <w:rsid w:val="008F60D5"/>
    <w:rsid w:val="008F61CB"/>
    <w:rsid w:val="008F632D"/>
    <w:rsid w:val="008F6366"/>
    <w:rsid w:val="008F6398"/>
    <w:rsid w:val="008F63F9"/>
    <w:rsid w:val="008F6522"/>
    <w:rsid w:val="008F6529"/>
    <w:rsid w:val="008F6603"/>
    <w:rsid w:val="008F691F"/>
    <w:rsid w:val="008F6C4E"/>
    <w:rsid w:val="008F7035"/>
    <w:rsid w:val="008F722B"/>
    <w:rsid w:val="008F722C"/>
    <w:rsid w:val="008F728C"/>
    <w:rsid w:val="008F7322"/>
    <w:rsid w:val="008F757E"/>
    <w:rsid w:val="008F78AF"/>
    <w:rsid w:val="008F7916"/>
    <w:rsid w:val="008F792D"/>
    <w:rsid w:val="008F79C1"/>
    <w:rsid w:val="008F7A03"/>
    <w:rsid w:val="008F7B07"/>
    <w:rsid w:val="008F7B2C"/>
    <w:rsid w:val="00900175"/>
    <w:rsid w:val="00900210"/>
    <w:rsid w:val="00900704"/>
    <w:rsid w:val="00900869"/>
    <w:rsid w:val="00900A7C"/>
    <w:rsid w:val="00900B2F"/>
    <w:rsid w:val="00900C89"/>
    <w:rsid w:val="00900CE5"/>
    <w:rsid w:val="00900CEE"/>
    <w:rsid w:val="00900D5B"/>
    <w:rsid w:val="00901078"/>
    <w:rsid w:val="0090155C"/>
    <w:rsid w:val="009015D6"/>
    <w:rsid w:val="0090169D"/>
    <w:rsid w:val="009016A5"/>
    <w:rsid w:val="009016F5"/>
    <w:rsid w:val="009016FC"/>
    <w:rsid w:val="009019E4"/>
    <w:rsid w:val="00901E35"/>
    <w:rsid w:val="00901E88"/>
    <w:rsid w:val="00902031"/>
    <w:rsid w:val="00902460"/>
    <w:rsid w:val="00902913"/>
    <w:rsid w:val="00902BE8"/>
    <w:rsid w:val="00902CBC"/>
    <w:rsid w:val="00902DF9"/>
    <w:rsid w:val="00902F15"/>
    <w:rsid w:val="00902F46"/>
    <w:rsid w:val="009031E3"/>
    <w:rsid w:val="009032ED"/>
    <w:rsid w:val="00903338"/>
    <w:rsid w:val="00903517"/>
    <w:rsid w:val="00903A39"/>
    <w:rsid w:val="00903B36"/>
    <w:rsid w:val="00903B6F"/>
    <w:rsid w:val="009042C5"/>
    <w:rsid w:val="009042D0"/>
    <w:rsid w:val="00904618"/>
    <w:rsid w:val="00904786"/>
    <w:rsid w:val="009047EE"/>
    <w:rsid w:val="0090486C"/>
    <w:rsid w:val="0090496A"/>
    <w:rsid w:val="009049AF"/>
    <w:rsid w:val="009049EE"/>
    <w:rsid w:val="00904C44"/>
    <w:rsid w:val="00904D2C"/>
    <w:rsid w:val="00904FF2"/>
    <w:rsid w:val="0090535D"/>
    <w:rsid w:val="009053B6"/>
    <w:rsid w:val="00905433"/>
    <w:rsid w:val="00905865"/>
    <w:rsid w:val="009058DA"/>
    <w:rsid w:val="00905B8B"/>
    <w:rsid w:val="00906233"/>
    <w:rsid w:val="00906380"/>
    <w:rsid w:val="00906469"/>
    <w:rsid w:val="009064AA"/>
    <w:rsid w:val="00906563"/>
    <w:rsid w:val="0090681B"/>
    <w:rsid w:val="009068E2"/>
    <w:rsid w:val="00906996"/>
    <w:rsid w:val="00906B43"/>
    <w:rsid w:val="00906B9D"/>
    <w:rsid w:val="00906DCF"/>
    <w:rsid w:val="00906E65"/>
    <w:rsid w:val="00906EEC"/>
    <w:rsid w:val="00906FF5"/>
    <w:rsid w:val="00907495"/>
    <w:rsid w:val="0090763E"/>
    <w:rsid w:val="00907A85"/>
    <w:rsid w:val="00907B0D"/>
    <w:rsid w:val="00907CDE"/>
    <w:rsid w:val="00907D0B"/>
    <w:rsid w:val="009100AF"/>
    <w:rsid w:val="00910181"/>
    <w:rsid w:val="00910532"/>
    <w:rsid w:val="00910AB3"/>
    <w:rsid w:val="00910BD0"/>
    <w:rsid w:val="00910C99"/>
    <w:rsid w:val="00911377"/>
    <w:rsid w:val="00911540"/>
    <w:rsid w:val="009115B1"/>
    <w:rsid w:val="00911AC9"/>
    <w:rsid w:val="009123D8"/>
    <w:rsid w:val="00912429"/>
    <w:rsid w:val="0091246D"/>
    <w:rsid w:val="009129B3"/>
    <w:rsid w:val="00912E42"/>
    <w:rsid w:val="00912FDC"/>
    <w:rsid w:val="00912FE3"/>
    <w:rsid w:val="00913388"/>
    <w:rsid w:val="0091340E"/>
    <w:rsid w:val="009134BB"/>
    <w:rsid w:val="0091352D"/>
    <w:rsid w:val="00913643"/>
    <w:rsid w:val="00913674"/>
    <w:rsid w:val="009137F2"/>
    <w:rsid w:val="0091395A"/>
    <w:rsid w:val="009139C3"/>
    <w:rsid w:val="00913AD5"/>
    <w:rsid w:val="00913B4D"/>
    <w:rsid w:val="00913CFB"/>
    <w:rsid w:val="00913D73"/>
    <w:rsid w:val="00913E0F"/>
    <w:rsid w:val="00913FA6"/>
    <w:rsid w:val="0091410A"/>
    <w:rsid w:val="009141D8"/>
    <w:rsid w:val="009142FC"/>
    <w:rsid w:val="0091433C"/>
    <w:rsid w:val="00914361"/>
    <w:rsid w:val="009143F1"/>
    <w:rsid w:val="009144D5"/>
    <w:rsid w:val="009146BC"/>
    <w:rsid w:val="0091472E"/>
    <w:rsid w:val="00914B7C"/>
    <w:rsid w:val="00914CD9"/>
    <w:rsid w:val="00914CEE"/>
    <w:rsid w:val="00914DF9"/>
    <w:rsid w:val="00914F8C"/>
    <w:rsid w:val="00915230"/>
    <w:rsid w:val="00915442"/>
    <w:rsid w:val="009154BD"/>
    <w:rsid w:val="00915648"/>
    <w:rsid w:val="0091579B"/>
    <w:rsid w:val="009157C4"/>
    <w:rsid w:val="00915887"/>
    <w:rsid w:val="00915A59"/>
    <w:rsid w:val="00915E0C"/>
    <w:rsid w:val="00915E6B"/>
    <w:rsid w:val="00915EB2"/>
    <w:rsid w:val="00915F98"/>
    <w:rsid w:val="00915FA3"/>
    <w:rsid w:val="00916295"/>
    <w:rsid w:val="009164DE"/>
    <w:rsid w:val="0091658A"/>
    <w:rsid w:val="00916763"/>
    <w:rsid w:val="0091676A"/>
    <w:rsid w:val="00916775"/>
    <w:rsid w:val="00916925"/>
    <w:rsid w:val="00916995"/>
    <w:rsid w:val="00916B3A"/>
    <w:rsid w:val="00916D5E"/>
    <w:rsid w:val="00916F03"/>
    <w:rsid w:val="00916FF7"/>
    <w:rsid w:val="009171E2"/>
    <w:rsid w:val="0091738C"/>
    <w:rsid w:val="0091738E"/>
    <w:rsid w:val="009175AC"/>
    <w:rsid w:val="00917610"/>
    <w:rsid w:val="0091772E"/>
    <w:rsid w:val="009177AB"/>
    <w:rsid w:val="009178BD"/>
    <w:rsid w:val="00917936"/>
    <w:rsid w:val="00917CB4"/>
    <w:rsid w:val="00920030"/>
    <w:rsid w:val="0092014A"/>
    <w:rsid w:val="0092037F"/>
    <w:rsid w:val="009203B6"/>
    <w:rsid w:val="0092059D"/>
    <w:rsid w:val="00920609"/>
    <w:rsid w:val="009207AE"/>
    <w:rsid w:val="009207DB"/>
    <w:rsid w:val="0092096E"/>
    <w:rsid w:val="0092099D"/>
    <w:rsid w:val="00920B2E"/>
    <w:rsid w:val="00920BE0"/>
    <w:rsid w:val="009214AE"/>
    <w:rsid w:val="009214DE"/>
    <w:rsid w:val="009216D9"/>
    <w:rsid w:val="009217F8"/>
    <w:rsid w:val="009219B7"/>
    <w:rsid w:val="00921C10"/>
    <w:rsid w:val="00921D26"/>
    <w:rsid w:val="00921E9B"/>
    <w:rsid w:val="00921F8C"/>
    <w:rsid w:val="009220A7"/>
    <w:rsid w:val="009222AC"/>
    <w:rsid w:val="009224EB"/>
    <w:rsid w:val="00922599"/>
    <w:rsid w:val="00922747"/>
    <w:rsid w:val="00922952"/>
    <w:rsid w:val="009229B4"/>
    <w:rsid w:val="009229BD"/>
    <w:rsid w:val="009229FE"/>
    <w:rsid w:val="00922A96"/>
    <w:rsid w:val="00922D90"/>
    <w:rsid w:val="00923530"/>
    <w:rsid w:val="009239FB"/>
    <w:rsid w:val="00923A83"/>
    <w:rsid w:val="00923C5D"/>
    <w:rsid w:val="00923E2D"/>
    <w:rsid w:val="00923EB2"/>
    <w:rsid w:val="0092431A"/>
    <w:rsid w:val="00924488"/>
    <w:rsid w:val="009244AD"/>
    <w:rsid w:val="00924550"/>
    <w:rsid w:val="0092457C"/>
    <w:rsid w:val="00924640"/>
    <w:rsid w:val="0092470E"/>
    <w:rsid w:val="00924804"/>
    <w:rsid w:val="00924825"/>
    <w:rsid w:val="00924956"/>
    <w:rsid w:val="0092495A"/>
    <w:rsid w:val="00924EEE"/>
    <w:rsid w:val="00924F43"/>
    <w:rsid w:val="0092509E"/>
    <w:rsid w:val="00925187"/>
    <w:rsid w:val="00925203"/>
    <w:rsid w:val="00925509"/>
    <w:rsid w:val="0092551B"/>
    <w:rsid w:val="009257C5"/>
    <w:rsid w:val="00925D3D"/>
    <w:rsid w:val="00925D53"/>
    <w:rsid w:val="00925D6A"/>
    <w:rsid w:val="00925E9A"/>
    <w:rsid w:val="00925EAE"/>
    <w:rsid w:val="00925F5C"/>
    <w:rsid w:val="00925F70"/>
    <w:rsid w:val="00926028"/>
    <w:rsid w:val="009260A2"/>
    <w:rsid w:val="009263CB"/>
    <w:rsid w:val="009263F1"/>
    <w:rsid w:val="00926440"/>
    <w:rsid w:val="0092651E"/>
    <w:rsid w:val="00926656"/>
    <w:rsid w:val="009266E7"/>
    <w:rsid w:val="00926A9A"/>
    <w:rsid w:val="00926BF1"/>
    <w:rsid w:val="00926E21"/>
    <w:rsid w:val="0092709C"/>
    <w:rsid w:val="0092717F"/>
    <w:rsid w:val="009271E2"/>
    <w:rsid w:val="00927598"/>
    <w:rsid w:val="0092771B"/>
    <w:rsid w:val="00927744"/>
    <w:rsid w:val="00927771"/>
    <w:rsid w:val="009277D6"/>
    <w:rsid w:val="00927916"/>
    <w:rsid w:val="00927B05"/>
    <w:rsid w:val="00927B24"/>
    <w:rsid w:val="00927BB4"/>
    <w:rsid w:val="00927BCE"/>
    <w:rsid w:val="00927D33"/>
    <w:rsid w:val="00927EDF"/>
    <w:rsid w:val="009301BC"/>
    <w:rsid w:val="00930298"/>
    <w:rsid w:val="0093046F"/>
    <w:rsid w:val="00930480"/>
    <w:rsid w:val="0093050C"/>
    <w:rsid w:val="00930750"/>
    <w:rsid w:val="0093083E"/>
    <w:rsid w:val="00930A8A"/>
    <w:rsid w:val="00930BC6"/>
    <w:rsid w:val="00930CDB"/>
    <w:rsid w:val="00930E1A"/>
    <w:rsid w:val="00930F4E"/>
    <w:rsid w:val="00930FDD"/>
    <w:rsid w:val="00931139"/>
    <w:rsid w:val="00931494"/>
    <w:rsid w:val="0093155C"/>
    <w:rsid w:val="00931975"/>
    <w:rsid w:val="00931B02"/>
    <w:rsid w:val="00931B25"/>
    <w:rsid w:val="00931C77"/>
    <w:rsid w:val="00931D11"/>
    <w:rsid w:val="00931D42"/>
    <w:rsid w:val="00931DA1"/>
    <w:rsid w:val="00931E3E"/>
    <w:rsid w:val="00931F06"/>
    <w:rsid w:val="00932186"/>
    <w:rsid w:val="0093238E"/>
    <w:rsid w:val="009323EF"/>
    <w:rsid w:val="00932872"/>
    <w:rsid w:val="009329E5"/>
    <w:rsid w:val="00932B18"/>
    <w:rsid w:val="00932F1F"/>
    <w:rsid w:val="00932FC6"/>
    <w:rsid w:val="00933290"/>
    <w:rsid w:val="0093377E"/>
    <w:rsid w:val="00933834"/>
    <w:rsid w:val="00933A44"/>
    <w:rsid w:val="00933A79"/>
    <w:rsid w:val="00933BFF"/>
    <w:rsid w:val="00933D68"/>
    <w:rsid w:val="00933E95"/>
    <w:rsid w:val="00934044"/>
    <w:rsid w:val="0093406C"/>
    <w:rsid w:val="009340A4"/>
    <w:rsid w:val="009341A4"/>
    <w:rsid w:val="00934232"/>
    <w:rsid w:val="00934265"/>
    <w:rsid w:val="009346BC"/>
    <w:rsid w:val="00934844"/>
    <w:rsid w:val="00934985"/>
    <w:rsid w:val="00934A0C"/>
    <w:rsid w:val="00934AB8"/>
    <w:rsid w:val="00934BDA"/>
    <w:rsid w:val="00934BF0"/>
    <w:rsid w:val="00934C0E"/>
    <w:rsid w:val="00934C1C"/>
    <w:rsid w:val="00934D43"/>
    <w:rsid w:val="00935E39"/>
    <w:rsid w:val="00936062"/>
    <w:rsid w:val="009360F4"/>
    <w:rsid w:val="009363C6"/>
    <w:rsid w:val="00936525"/>
    <w:rsid w:val="00936581"/>
    <w:rsid w:val="00936714"/>
    <w:rsid w:val="00936782"/>
    <w:rsid w:val="0093686D"/>
    <w:rsid w:val="00936A31"/>
    <w:rsid w:val="00936D68"/>
    <w:rsid w:val="0093706A"/>
    <w:rsid w:val="0093717C"/>
    <w:rsid w:val="0093719F"/>
    <w:rsid w:val="00937271"/>
    <w:rsid w:val="009372AC"/>
    <w:rsid w:val="009377A0"/>
    <w:rsid w:val="0093796B"/>
    <w:rsid w:val="00937CBE"/>
    <w:rsid w:val="00937D67"/>
    <w:rsid w:val="0094005D"/>
    <w:rsid w:val="0094017A"/>
    <w:rsid w:val="0094019E"/>
    <w:rsid w:val="009403B3"/>
    <w:rsid w:val="00940603"/>
    <w:rsid w:val="0094064C"/>
    <w:rsid w:val="009407FA"/>
    <w:rsid w:val="00940BFD"/>
    <w:rsid w:val="00940FBE"/>
    <w:rsid w:val="00941203"/>
    <w:rsid w:val="00941274"/>
    <w:rsid w:val="0094129B"/>
    <w:rsid w:val="009412BC"/>
    <w:rsid w:val="009412BE"/>
    <w:rsid w:val="009414DD"/>
    <w:rsid w:val="0094163B"/>
    <w:rsid w:val="00941D34"/>
    <w:rsid w:val="00941D72"/>
    <w:rsid w:val="00941D75"/>
    <w:rsid w:val="009421B6"/>
    <w:rsid w:val="0094220C"/>
    <w:rsid w:val="00942235"/>
    <w:rsid w:val="00942590"/>
    <w:rsid w:val="00942B2C"/>
    <w:rsid w:val="00942FDB"/>
    <w:rsid w:val="0094311D"/>
    <w:rsid w:val="00943135"/>
    <w:rsid w:val="0094323E"/>
    <w:rsid w:val="00943597"/>
    <w:rsid w:val="009435C2"/>
    <w:rsid w:val="009437EB"/>
    <w:rsid w:val="009439BB"/>
    <w:rsid w:val="00943AF7"/>
    <w:rsid w:val="00943C8B"/>
    <w:rsid w:val="00943DA6"/>
    <w:rsid w:val="00943EA0"/>
    <w:rsid w:val="00944087"/>
    <w:rsid w:val="009441CF"/>
    <w:rsid w:val="009442A9"/>
    <w:rsid w:val="009445D3"/>
    <w:rsid w:val="009447D1"/>
    <w:rsid w:val="00944ACE"/>
    <w:rsid w:val="00944CFC"/>
    <w:rsid w:val="00944E74"/>
    <w:rsid w:val="00945167"/>
    <w:rsid w:val="00945399"/>
    <w:rsid w:val="0094547C"/>
    <w:rsid w:val="00945778"/>
    <w:rsid w:val="00945946"/>
    <w:rsid w:val="00945992"/>
    <w:rsid w:val="00945A14"/>
    <w:rsid w:val="00945A49"/>
    <w:rsid w:val="00945BCA"/>
    <w:rsid w:val="00945D0F"/>
    <w:rsid w:val="00945D7A"/>
    <w:rsid w:val="00945D7D"/>
    <w:rsid w:val="0094626E"/>
    <w:rsid w:val="009462F4"/>
    <w:rsid w:val="0094645E"/>
    <w:rsid w:val="0094646C"/>
    <w:rsid w:val="00946526"/>
    <w:rsid w:val="0094657C"/>
    <w:rsid w:val="00946589"/>
    <w:rsid w:val="009469F4"/>
    <w:rsid w:val="00946B15"/>
    <w:rsid w:val="00946B3E"/>
    <w:rsid w:val="00946B78"/>
    <w:rsid w:val="00946C07"/>
    <w:rsid w:val="00946ED3"/>
    <w:rsid w:val="00946EE4"/>
    <w:rsid w:val="00946F92"/>
    <w:rsid w:val="00946F93"/>
    <w:rsid w:val="009471B7"/>
    <w:rsid w:val="0094720C"/>
    <w:rsid w:val="0094721B"/>
    <w:rsid w:val="0094751D"/>
    <w:rsid w:val="0094757C"/>
    <w:rsid w:val="00947A8A"/>
    <w:rsid w:val="00947AC9"/>
    <w:rsid w:val="00947DB3"/>
    <w:rsid w:val="00947E89"/>
    <w:rsid w:val="00950039"/>
    <w:rsid w:val="0095012E"/>
    <w:rsid w:val="009501C8"/>
    <w:rsid w:val="009501F5"/>
    <w:rsid w:val="009502E5"/>
    <w:rsid w:val="0095053A"/>
    <w:rsid w:val="00950851"/>
    <w:rsid w:val="00950894"/>
    <w:rsid w:val="00950965"/>
    <w:rsid w:val="00950A8E"/>
    <w:rsid w:val="00950C96"/>
    <w:rsid w:val="00951008"/>
    <w:rsid w:val="0095102F"/>
    <w:rsid w:val="00951038"/>
    <w:rsid w:val="0095104E"/>
    <w:rsid w:val="009510DC"/>
    <w:rsid w:val="0095119D"/>
    <w:rsid w:val="009513EB"/>
    <w:rsid w:val="009518AF"/>
    <w:rsid w:val="0095190B"/>
    <w:rsid w:val="00951910"/>
    <w:rsid w:val="00951934"/>
    <w:rsid w:val="00951B79"/>
    <w:rsid w:val="00951E44"/>
    <w:rsid w:val="00951FDD"/>
    <w:rsid w:val="0095207B"/>
    <w:rsid w:val="00952228"/>
    <w:rsid w:val="009522B0"/>
    <w:rsid w:val="00952323"/>
    <w:rsid w:val="00952523"/>
    <w:rsid w:val="00952737"/>
    <w:rsid w:val="00952789"/>
    <w:rsid w:val="00952835"/>
    <w:rsid w:val="00952AED"/>
    <w:rsid w:val="00952B1C"/>
    <w:rsid w:val="00952B3F"/>
    <w:rsid w:val="00953152"/>
    <w:rsid w:val="0095329C"/>
    <w:rsid w:val="00953360"/>
    <w:rsid w:val="00953372"/>
    <w:rsid w:val="00953508"/>
    <w:rsid w:val="009535C7"/>
    <w:rsid w:val="0095364B"/>
    <w:rsid w:val="00953708"/>
    <w:rsid w:val="00953B08"/>
    <w:rsid w:val="00953B9A"/>
    <w:rsid w:val="00953E1A"/>
    <w:rsid w:val="00953EDE"/>
    <w:rsid w:val="009540BB"/>
    <w:rsid w:val="00954401"/>
    <w:rsid w:val="00954C8C"/>
    <w:rsid w:val="00954DAC"/>
    <w:rsid w:val="00954E76"/>
    <w:rsid w:val="00954FE2"/>
    <w:rsid w:val="0095518F"/>
    <w:rsid w:val="009552D6"/>
    <w:rsid w:val="009552FB"/>
    <w:rsid w:val="00955309"/>
    <w:rsid w:val="009557B2"/>
    <w:rsid w:val="00955B2E"/>
    <w:rsid w:val="00955C37"/>
    <w:rsid w:val="00955C8A"/>
    <w:rsid w:val="009560D2"/>
    <w:rsid w:val="009560EB"/>
    <w:rsid w:val="009561DD"/>
    <w:rsid w:val="009563BD"/>
    <w:rsid w:val="009563E1"/>
    <w:rsid w:val="0095649D"/>
    <w:rsid w:val="0095655F"/>
    <w:rsid w:val="00956942"/>
    <w:rsid w:val="00956ACE"/>
    <w:rsid w:val="00956CB4"/>
    <w:rsid w:val="0095706D"/>
    <w:rsid w:val="0095720B"/>
    <w:rsid w:val="009572A0"/>
    <w:rsid w:val="009572F3"/>
    <w:rsid w:val="00957362"/>
    <w:rsid w:val="0095768B"/>
    <w:rsid w:val="00957703"/>
    <w:rsid w:val="00957AD1"/>
    <w:rsid w:val="00957B02"/>
    <w:rsid w:val="00957B68"/>
    <w:rsid w:val="00957C70"/>
    <w:rsid w:val="00957C9A"/>
    <w:rsid w:val="00957D24"/>
    <w:rsid w:val="0096015F"/>
    <w:rsid w:val="0096056E"/>
    <w:rsid w:val="009609E3"/>
    <w:rsid w:val="00960DCF"/>
    <w:rsid w:val="00960E3C"/>
    <w:rsid w:val="0096130F"/>
    <w:rsid w:val="0096156C"/>
    <w:rsid w:val="009615CB"/>
    <w:rsid w:val="009615FB"/>
    <w:rsid w:val="00961613"/>
    <w:rsid w:val="009616EE"/>
    <w:rsid w:val="0096174F"/>
    <w:rsid w:val="00961763"/>
    <w:rsid w:val="009617AF"/>
    <w:rsid w:val="009619BE"/>
    <w:rsid w:val="00961A7D"/>
    <w:rsid w:val="00961B53"/>
    <w:rsid w:val="00961DAC"/>
    <w:rsid w:val="00961EE2"/>
    <w:rsid w:val="00962411"/>
    <w:rsid w:val="00962576"/>
    <w:rsid w:val="00962582"/>
    <w:rsid w:val="009627FB"/>
    <w:rsid w:val="00962832"/>
    <w:rsid w:val="00962C06"/>
    <w:rsid w:val="00962D4F"/>
    <w:rsid w:val="00963192"/>
    <w:rsid w:val="009631C3"/>
    <w:rsid w:val="00963264"/>
    <w:rsid w:val="00963278"/>
    <w:rsid w:val="0096337A"/>
    <w:rsid w:val="009633CD"/>
    <w:rsid w:val="00963523"/>
    <w:rsid w:val="00963590"/>
    <w:rsid w:val="0096369A"/>
    <w:rsid w:val="0096389D"/>
    <w:rsid w:val="00963A7F"/>
    <w:rsid w:val="00963B3F"/>
    <w:rsid w:val="00963C5A"/>
    <w:rsid w:val="00963D6F"/>
    <w:rsid w:val="009641B5"/>
    <w:rsid w:val="00964596"/>
    <w:rsid w:val="0096477D"/>
    <w:rsid w:val="00964869"/>
    <w:rsid w:val="0096487C"/>
    <w:rsid w:val="009649C1"/>
    <w:rsid w:val="00964A1F"/>
    <w:rsid w:val="00964AAC"/>
    <w:rsid w:val="009650D0"/>
    <w:rsid w:val="009651AD"/>
    <w:rsid w:val="009652B4"/>
    <w:rsid w:val="009652BF"/>
    <w:rsid w:val="009653E4"/>
    <w:rsid w:val="009653EA"/>
    <w:rsid w:val="0096574B"/>
    <w:rsid w:val="00965774"/>
    <w:rsid w:val="009657B1"/>
    <w:rsid w:val="00965CD5"/>
    <w:rsid w:val="00965E69"/>
    <w:rsid w:val="00965F43"/>
    <w:rsid w:val="00966033"/>
    <w:rsid w:val="009660AE"/>
    <w:rsid w:val="00966232"/>
    <w:rsid w:val="00966484"/>
    <w:rsid w:val="0096651C"/>
    <w:rsid w:val="0096675B"/>
    <w:rsid w:val="00966930"/>
    <w:rsid w:val="009669C1"/>
    <w:rsid w:val="00966A64"/>
    <w:rsid w:val="00966C89"/>
    <w:rsid w:val="00966D76"/>
    <w:rsid w:val="00966D7F"/>
    <w:rsid w:val="0096701A"/>
    <w:rsid w:val="00967258"/>
    <w:rsid w:val="00967313"/>
    <w:rsid w:val="009674B7"/>
    <w:rsid w:val="00967542"/>
    <w:rsid w:val="00967549"/>
    <w:rsid w:val="009675E6"/>
    <w:rsid w:val="009676C0"/>
    <w:rsid w:val="00967768"/>
    <w:rsid w:val="009677C6"/>
    <w:rsid w:val="009677D2"/>
    <w:rsid w:val="009677F1"/>
    <w:rsid w:val="0096786E"/>
    <w:rsid w:val="00967BDA"/>
    <w:rsid w:val="009701EA"/>
    <w:rsid w:val="00970307"/>
    <w:rsid w:val="009707F3"/>
    <w:rsid w:val="0097084D"/>
    <w:rsid w:val="009709D4"/>
    <w:rsid w:val="00970B60"/>
    <w:rsid w:val="00970CE3"/>
    <w:rsid w:val="0097103F"/>
    <w:rsid w:val="00971194"/>
    <w:rsid w:val="00971208"/>
    <w:rsid w:val="00971B04"/>
    <w:rsid w:val="00971BC4"/>
    <w:rsid w:val="00971BF9"/>
    <w:rsid w:val="00971D3C"/>
    <w:rsid w:val="00972481"/>
    <w:rsid w:val="0097265A"/>
    <w:rsid w:val="009727DA"/>
    <w:rsid w:val="00973079"/>
    <w:rsid w:val="00973317"/>
    <w:rsid w:val="00973336"/>
    <w:rsid w:val="00973456"/>
    <w:rsid w:val="0097367E"/>
    <w:rsid w:val="009736EE"/>
    <w:rsid w:val="0097392F"/>
    <w:rsid w:val="00973930"/>
    <w:rsid w:val="009739C1"/>
    <w:rsid w:val="009739D0"/>
    <w:rsid w:val="00973A5A"/>
    <w:rsid w:val="00973A85"/>
    <w:rsid w:val="00973D3B"/>
    <w:rsid w:val="00973E52"/>
    <w:rsid w:val="00973FBD"/>
    <w:rsid w:val="00973FBF"/>
    <w:rsid w:val="0097402A"/>
    <w:rsid w:val="00974119"/>
    <w:rsid w:val="009742A6"/>
    <w:rsid w:val="00974304"/>
    <w:rsid w:val="0097434A"/>
    <w:rsid w:val="00974370"/>
    <w:rsid w:val="00974376"/>
    <w:rsid w:val="00974391"/>
    <w:rsid w:val="0097443E"/>
    <w:rsid w:val="0097452F"/>
    <w:rsid w:val="00974720"/>
    <w:rsid w:val="0097475F"/>
    <w:rsid w:val="00974A55"/>
    <w:rsid w:val="00974C27"/>
    <w:rsid w:val="00974D52"/>
    <w:rsid w:val="00974D5B"/>
    <w:rsid w:val="00974E68"/>
    <w:rsid w:val="00974F08"/>
    <w:rsid w:val="00975069"/>
    <w:rsid w:val="0097575E"/>
    <w:rsid w:val="00975760"/>
    <w:rsid w:val="00975781"/>
    <w:rsid w:val="0097584A"/>
    <w:rsid w:val="00975912"/>
    <w:rsid w:val="00975A15"/>
    <w:rsid w:val="00975D79"/>
    <w:rsid w:val="00975D83"/>
    <w:rsid w:val="00975E1D"/>
    <w:rsid w:val="00976106"/>
    <w:rsid w:val="00976311"/>
    <w:rsid w:val="00976398"/>
    <w:rsid w:val="009765DA"/>
    <w:rsid w:val="009766DB"/>
    <w:rsid w:val="0097683D"/>
    <w:rsid w:val="00976892"/>
    <w:rsid w:val="00976A86"/>
    <w:rsid w:val="00977520"/>
    <w:rsid w:val="009775D4"/>
    <w:rsid w:val="009776BA"/>
    <w:rsid w:val="0097777D"/>
    <w:rsid w:val="009777D9"/>
    <w:rsid w:val="00977831"/>
    <w:rsid w:val="00977AA2"/>
    <w:rsid w:val="00977B0B"/>
    <w:rsid w:val="00977B2C"/>
    <w:rsid w:val="00977D30"/>
    <w:rsid w:val="0098006D"/>
    <w:rsid w:val="009802BB"/>
    <w:rsid w:val="009803A9"/>
    <w:rsid w:val="009803CB"/>
    <w:rsid w:val="009803D4"/>
    <w:rsid w:val="00980409"/>
    <w:rsid w:val="0098060A"/>
    <w:rsid w:val="0098063A"/>
    <w:rsid w:val="00980751"/>
    <w:rsid w:val="0098075E"/>
    <w:rsid w:val="00980762"/>
    <w:rsid w:val="009807A2"/>
    <w:rsid w:val="00980A85"/>
    <w:rsid w:val="00980B5E"/>
    <w:rsid w:val="00980B64"/>
    <w:rsid w:val="00980D16"/>
    <w:rsid w:val="00981056"/>
    <w:rsid w:val="009810A9"/>
    <w:rsid w:val="009811BB"/>
    <w:rsid w:val="009811C5"/>
    <w:rsid w:val="00981507"/>
    <w:rsid w:val="00981556"/>
    <w:rsid w:val="00981572"/>
    <w:rsid w:val="00981895"/>
    <w:rsid w:val="00981936"/>
    <w:rsid w:val="0098199C"/>
    <w:rsid w:val="00981A6B"/>
    <w:rsid w:val="00981AB5"/>
    <w:rsid w:val="00981C0B"/>
    <w:rsid w:val="00981CBF"/>
    <w:rsid w:val="00981CF5"/>
    <w:rsid w:val="00982126"/>
    <w:rsid w:val="00982394"/>
    <w:rsid w:val="0098268D"/>
    <w:rsid w:val="0098283D"/>
    <w:rsid w:val="0098285C"/>
    <w:rsid w:val="00982AE5"/>
    <w:rsid w:val="00982BF0"/>
    <w:rsid w:val="00982DAE"/>
    <w:rsid w:val="00982FFC"/>
    <w:rsid w:val="009832AE"/>
    <w:rsid w:val="00983A27"/>
    <w:rsid w:val="00983BDB"/>
    <w:rsid w:val="00983E77"/>
    <w:rsid w:val="0098407B"/>
    <w:rsid w:val="0098449A"/>
    <w:rsid w:val="009844C0"/>
    <w:rsid w:val="009845CA"/>
    <w:rsid w:val="00984A5C"/>
    <w:rsid w:val="00984B4C"/>
    <w:rsid w:val="00984B9C"/>
    <w:rsid w:val="009852B7"/>
    <w:rsid w:val="009852DF"/>
    <w:rsid w:val="00985848"/>
    <w:rsid w:val="0098589B"/>
    <w:rsid w:val="0098599C"/>
    <w:rsid w:val="00985B8E"/>
    <w:rsid w:val="00985D96"/>
    <w:rsid w:val="00985EFF"/>
    <w:rsid w:val="00986547"/>
    <w:rsid w:val="009868DC"/>
    <w:rsid w:val="00986BFD"/>
    <w:rsid w:val="00986FBD"/>
    <w:rsid w:val="00987024"/>
    <w:rsid w:val="009870B3"/>
    <w:rsid w:val="009873F3"/>
    <w:rsid w:val="00987593"/>
    <w:rsid w:val="009876F4"/>
    <w:rsid w:val="0098787C"/>
    <w:rsid w:val="00987A19"/>
    <w:rsid w:val="00987A37"/>
    <w:rsid w:val="00987BE6"/>
    <w:rsid w:val="00987DA4"/>
    <w:rsid w:val="0099026E"/>
    <w:rsid w:val="00990350"/>
    <w:rsid w:val="00990665"/>
    <w:rsid w:val="0099075C"/>
    <w:rsid w:val="00990848"/>
    <w:rsid w:val="00990876"/>
    <w:rsid w:val="00990E1A"/>
    <w:rsid w:val="00990ED6"/>
    <w:rsid w:val="009911BE"/>
    <w:rsid w:val="009912BD"/>
    <w:rsid w:val="00991377"/>
    <w:rsid w:val="00991745"/>
    <w:rsid w:val="0099194D"/>
    <w:rsid w:val="009919D9"/>
    <w:rsid w:val="00991A1E"/>
    <w:rsid w:val="00991FE5"/>
    <w:rsid w:val="00992042"/>
    <w:rsid w:val="009920EF"/>
    <w:rsid w:val="00992190"/>
    <w:rsid w:val="00992201"/>
    <w:rsid w:val="00992410"/>
    <w:rsid w:val="00992478"/>
    <w:rsid w:val="009925BF"/>
    <w:rsid w:val="009927CA"/>
    <w:rsid w:val="00992A41"/>
    <w:rsid w:val="00992A82"/>
    <w:rsid w:val="00992C85"/>
    <w:rsid w:val="00992ECC"/>
    <w:rsid w:val="00992FC1"/>
    <w:rsid w:val="00993016"/>
    <w:rsid w:val="009930B2"/>
    <w:rsid w:val="009930CC"/>
    <w:rsid w:val="009936E4"/>
    <w:rsid w:val="00993B74"/>
    <w:rsid w:val="00993BC3"/>
    <w:rsid w:val="00993DA5"/>
    <w:rsid w:val="009941DF"/>
    <w:rsid w:val="00994803"/>
    <w:rsid w:val="0099497A"/>
    <w:rsid w:val="009949D4"/>
    <w:rsid w:val="00994AE9"/>
    <w:rsid w:val="00994B8A"/>
    <w:rsid w:val="00994BE1"/>
    <w:rsid w:val="00994D9E"/>
    <w:rsid w:val="0099507B"/>
    <w:rsid w:val="009950BD"/>
    <w:rsid w:val="0099513B"/>
    <w:rsid w:val="009957E6"/>
    <w:rsid w:val="00995896"/>
    <w:rsid w:val="0099589A"/>
    <w:rsid w:val="0099596A"/>
    <w:rsid w:val="00995CDB"/>
    <w:rsid w:val="00995E98"/>
    <w:rsid w:val="009961F9"/>
    <w:rsid w:val="0099637A"/>
    <w:rsid w:val="009963A6"/>
    <w:rsid w:val="009967EF"/>
    <w:rsid w:val="00996869"/>
    <w:rsid w:val="009969F3"/>
    <w:rsid w:val="00996B6D"/>
    <w:rsid w:val="00996F15"/>
    <w:rsid w:val="00996F2B"/>
    <w:rsid w:val="00997123"/>
    <w:rsid w:val="0099723E"/>
    <w:rsid w:val="00997439"/>
    <w:rsid w:val="0099792C"/>
    <w:rsid w:val="009979FE"/>
    <w:rsid w:val="00997A0F"/>
    <w:rsid w:val="00997B99"/>
    <w:rsid w:val="00997B9B"/>
    <w:rsid w:val="00997BA8"/>
    <w:rsid w:val="00997E88"/>
    <w:rsid w:val="00997EDD"/>
    <w:rsid w:val="00997FC4"/>
    <w:rsid w:val="009A020C"/>
    <w:rsid w:val="009A0436"/>
    <w:rsid w:val="009A056C"/>
    <w:rsid w:val="009A06F4"/>
    <w:rsid w:val="009A0842"/>
    <w:rsid w:val="009A08AD"/>
    <w:rsid w:val="009A090E"/>
    <w:rsid w:val="009A0A8A"/>
    <w:rsid w:val="009A0E21"/>
    <w:rsid w:val="009A0F7D"/>
    <w:rsid w:val="009A102B"/>
    <w:rsid w:val="009A1338"/>
    <w:rsid w:val="009A1405"/>
    <w:rsid w:val="009A1881"/>
    <w:rsid w:val="009A18BD"/>
    <w:rsid w:val="009A1BC9"/>
    <w:rsid w:val="009A1BEF"/>
    <w:rsid w:val="009A1C55"/>
    <w:rsid w:val="009A1DCC"/>
    <w:rsid w:val="009A1F76"/>
    <w:rsid w:val="009A205B"/>
    <w:rsid w:val="009A21B4"/>
    <w:rsid w:val="009A2507"/>
    <w:rsid w:val="009A253B"/>
    <w:rsid w:val="009A27EB"/>
    <w:rsid w:val="009A28D6"/>
    <w:rsid w:val="009A2A23"/>
    <w:rsid w:val="009A2A6A"/>
    <w:rsid w:val="009A2BF1"/>
    <w:rsid w:val="009A2E41"/>
    <w:rsid w:val="009A2FBA"/>
    <w:rsid w:val="009A30F4"/>
    <w:rsid w:val="009A3147"/>
    <w:rsid w:val="009A31DF"/>
    <w:rsid w:val="009A3228"/>
    <w:rsid w:val="009A35BD"/>
    <w:rsid w:val="009A3778"/>
    <w:rsid w:val="009A3795"/>
    <w:rsid w:val="009A38CC"/>
    <w:rsid w:val="009A3B0D"/>
    <w:rsid w:val="009A3C19"/>
    <w:rsid w:val="009A3E2E"/>
    <w:rsid w:val="009A3EC8"/>
    <w:rsid w:val="009A3F90"/>
    <w:rsid w:val="009A4555"/>
    <w:rsid w:val="009A4918"/>
    <w:rsid w:val="009A4A07"/>
    <w:rsid w:val="009A4B0F"/>
    <w:rsid w:val="009A4C89"/>
    <w:rsid w:val="009A4EE6"/>
    <w:rsid w:val="009A51C1"/>
    <w:rsid w:val="009A52A3"/>
    <w:rsid w:val="009A52FA"/>
    <w:rsid w:val="009A56A3"/>
    <w:rsid w:val="009A5859"/>
    <w:rsid w:val="009A5B20"/>
    <w:rsid w:val="009A5B7E"/>
    <w:rsid w:val="009A5C77"/>
    <w:rsid w:val="009A5F7B"/>
    <w:rsid w:val="009A609A"/>
    <w:rsid w:val="009A60C3"/>
    <w:rsid w:val="009A617D"/>
    <w:rsid w:val="009A6221"/>
    <w:rsid w:val="009A6304"/>
    <w:rsid w:val="009A64DC"/>
    <w:rsid w:val="009A6673"/>
    <w:rsid w:val="009A6ACD"/>
    <w:rsid w:val="009A6F03"/>
    <w:rsid w:val="009A7016"/>
    <w:rsid w:val="009A7086"/>
    <w:rsid w:val="009A7172"/>
    <w:rsid w:val="009A7A43"/>
    <w:rsid w:val="009A7A4D"/>
    <w:rsid w:val="009A7AF3"/>
    <w:rsid w:val="009A7C36"/>
    <w:rsid w:val="009A7C63"/>
    <w:rsid w:val="009A7DE0"/>
    <w:rsid w:val="009A7F34"/>
    <w:rsid w:val="009B021A"/>
    <w:rsid w:val="009B026F"/>
    <w:rsid w:val="009B0333"/>
    <w:rsid w:val="009B03CE"/>
    <w:rsid w:val="009B05A8"/>
    <w:rsid w:val="009B05F4"/>
    <w:rsid w:val="009B0809"/>
    <w:rsid w:val="009B0888"/>
    <w:rsid w:val="009B0CB8"/>
    <w:rsid w:val="009B0D91"/>
    <w:rsid w:val="009B0FE8"/>
    <w:rsid w:val="009B1152"/>
    <w:rsid w:val="009B13EF"/>
    <w:rsid w:val="009B1757"/>
    <w:rsid w:val="009B1833"/>
    <w:rsid w:val="009B1D85"/>
    <w:rsid w:val="009B1E9C"/>
    <w:rsid w:val="009B2245"/>
    <w:rsid w:val="009B2317"/>
    <w:rsid w:val="009B238B"/>
    <w:rsid w:val="009B258E"/>
    <w:rsid w:val="009B25C0"/>
    <w:rsid w:val="009B25D2"/>
    <w:rsid w:val="009B25D3"/>
    <w:rsid w:val="009B279C"/>
    <w:rsid w:val="009B27BB"/>
    <w:rsid w:val="009B294E"/>
    <w:rsid w:val="009B2A68"/>
    <w:rsid w:val="009B2A6C"/>
    <w:rsid w:val="009B2A7A"/>
    <w:rsid w:val="009B2C05"/>
    <w:rsid w:val="009B2CD0"/>
    <w:rsid w:val="009B3041"/>
    <w:rsid w:val="009B3152"/>
    <w:rsid w:val="009B3181"/>
    <w:rsid w:val="009B3199"/>
    <w:rsid w:val="009B334E"/>
    <w:rsid w:val="009B33A1"/>
    <w:rsid w:val="009B34BC"/>
    <w:rsid w:val="009B3509"/>
    <w:rsid w:val="009B35D3"/>
    <w:rsid w:val="009B3B05"/>
    <w:rsid w:val="009B4090"/>
    <w:rsid w:val="009B448C"/>
    <w:rsid w:val="009B448F"/>
    <w:rsid w:val="009B46AC"/>
    <w:rsid w:val="009B4C8E"/>
    <w:rsid w:val="009B4D62"/>
    <w:rsid w:val="009B4DBF"/>
    <w:rsid w:val="009B4F55"/>
    <w:rsid w:val="009B4F66"/>
    <w:rsid w:val="009B5031"/>
    <w:rsid w:val="009B509B"/>
    <w:rsid w:val="009B531F"/>
    <w:rsid w:val="009B535E"/>
    <w:rsid w:val="009B55F6"/>
    <w:rsid w:val="009B5664"/>
    <w:rsid w:val="009B56B4"/>
    <w:rsid w:val="009B57FA"/>
    <w:rsid w:val="009B5967"/>
    <w:rsid w:val="009B5997"/>
    <w:rsid w:val="009B5CB6"/>
    <w:rsid w:val="009B5DF2"/>
    <w:rsid w:val="009B5FB5"/>
    <w:rsid w:val="009B5FBD"/>
    <w:rsid w:val="009B6483"/>
    <w:rsid w:val="009B663F"/>
    <w:rsid w:val="009B698A"/>
    <w:rsid w:val="009B6B23"/>
    <w:rsid w:val="009B6D41"/>
    <w:rsid w:val="009B6E89"/>
    <w:rsid w:val="009B6FFF"/>
    <w:rsid w:val="009B734E"/>
    <w:rsid w:val="009B766B"/>
    <w:rsid w:val="009B768D"/>
    <w:rsid w:val="009B7741"/>
    <w:rsid w:val="009B77E4"/>
    <w:rsid w:val="009B77FA"/>
    <w:rsid w:val="009B797A"/>
    <w:rsid w:val="009B7ABD"/>
    <w:rsid w:val="009B7D66"/>
    <w:rsid w:val="009B7F7B"/>
    <w:rsid w:val="009B7F85"/>
    <w:rsid w:val="009C0078"/>
    <w:rsid w:val="009C00FD"/>
    <w:rsid w:val="009C0149"/>
    <w:rsid w:val="009C05C3"/>
    <w:rsid w:val="009C06DF"/>
    <w:rsid w:val="009C072A"/>
    <w:rsid w:val="009C08E4"/>
    <w:rsid w:val="009C0983"/>
    <w:rsid w:val="009C0ABD"/>
    <w:rsid w:val="009C0CD2"/>
    <w:rsid w:val="009C0CF7"/>
    <w:rsid w:val="009C0D20"/>
    <w:rsid w:val="009C0D8F"/>
    <w:rsid w:val="009C0E48"/>
    <w:rsid w:val="009C0E5B"/>
    <w:rsid w:val="009C113F"/>
    <w:rsid w:val="009C1422"/>
    <w:rsid w:val="009C150B"/>
    <w:rsid w:val="009C151D"/>
    <w:rsid w:val="009C15AE"/>
    <w:rsid w:val="009C15FE"/>
    <w:rsid w:val="009C1615"/>
    <w:rsid w:val="009C1621"/>
    <w:rsid w:val="009C1D27"/>
    <w:rsid w:val="009C1D37"/>
    <w:rsid w:val="009C1D82"/>
    <w:rsid w:val="009C1E6F"/>
    <w:rsid w:val="009C200C"/>
    <w:rsid w:val="009C214F"/>
    <w:rsid w:val="009C21A3"/>
    <w:rsid w:val="009C25A5"/>
    <w:rsid w:val="009C2899"/>
    <w:rsid w:val="009C2D6B"/>
    <w:rsid w:val="009C32CC"/>
    <w:rsid w:val="009C32F4"/>
    <w:rsid w:val="009C367B"/>
    <w:rsid w:val="009C368F"/>
    <w:rsid w:val="009C3749"/>
    <w:rsid w:val="009C379D"/>
    <w:rsid w:val="009C3848"/>
    <w:rsid w:val="009C392B"/>
    <w:rsid w:val="009C3BD9"/>
    <w:rsid w:val="009C3C45"/>
    <w:rsid w:val="009C3D79"/>
    <w:rsid w:val="009C3EE8"/>
    <w:rsid w:val="009C3F1E"/>
    <w:rsid w:val="009C403F"/>
    <w:rsid w:val="009C41B1"/>
    <w:rsid w:val="009C4622"/>
    <w:rsid w:val="009C4864"/>
    <w:rsid w:val="009C4978"/>
    <w:rsid w:val="009C4997"/>
    <w:rsid w:val="009C504C"/>
    <w:rsid w:val="009C5289"/>
    <w:rsid w:val="009C53B6"/>
    <w:rsid w:val="009C5471"/>
    <w:rsid w:val="009C55F3"/>
    <w:rsid w:val="009C5A04"/>
    <w:rsid w:val="009C5A0E"/>
    <w:rsid w:val="009C5A16"/>
    <w:rsid w:val="009C5AF5"/>
    <w:rsid w:val="009C5B82"/>
    <w:rsid w:val="009C5DFA"/>
    <w:rsid w:val="009C623D"/>
    <w:rsid w:val="009C65E6"/>
    <w:rsid w:val="009C68C4"/>
    <w:rsid w:val="009C6B82"/>
    <w:rsid w:val="009C6D58"/>
    <w:rsid w:val="009C6F8A"/>
    <w:rsid w:val="009C728D"/>
    <w:rsid w:val="009C7536"/>
    <w:rsid w:val="009C756E"/>
    <w:rsid w:val="009C79CD"/>
    <w:rsid w:val="009C7E09"/>
    <w:rsid w:val="009C7EE1"/>
    <w:rsid w:val="009C7F76"/>
    <w:rsid w:val="009D016F"/>
    <w:rsid w:val="009D01A7"/>
    <w:rsid w:val="009D0207"/>
    <w:rsid w:val="009D0340"/>
    <w:rsid w:val="009D03B7"/>
    <w:rsid w:val="009D04F0"/>
    <w:rsid w:val="009D06AE"/>
    <w:rsid w:val="009D07F8"/>
    <w:rsid w:val="009D0936"/>
    <w:rsid w:val="009D0994"/>
    <w:rsid w:val="009D0A9F"/>
    <w:rsid w:val="009D0D1D"/>
    <w:rsid w:val="009D0D9A"/>
    <w:rsid w:val="009D0F40"/>
    <w:rsid w:val="009D1456"/>
    <w:rsid w:val="009D1647"/>
    <w:rsid w:val="009D16A2"/>
    <w:rsid w:val="009D172B"/>
    <w:rsid w:val="009D1A74"/>
    <w:rsid w:val="009D1C72"/>
    <w:rsid w:val="009D1D34"/>
    <w:rsid w:val="009D1DD4"/>
    <w:rsid w:val="009D1F26"/>
    <w:rsid w:val="009D1F82"/>
    <w:rsid w:val="009D21BE"/>
    <w:rsid w:val="009D21C4"/>
    <w:rsid w:val="009D2315"/>
    <w:rsid w:val="009D24E3"/>
    <w:rsid w:val="009D2575"/>
    <w:rsid w:val="009D28CF"/>
    <w:rsid w:val="009D2D60"/>
    <w:rsid w:val="009D2D7C"/>
    <w:rsid w:val="009D2E87"/>
    <w:rsid w:val="009D2F8B"/>
    <w:rsid w:val="009D3212"/>
    <w:rsid w:val="009D34BF"/>
    <w:rsid w:val="009D34C4"/>
    <w:rsid w:val="009D34DC"/>
    <w:rsid w:val="009D35A1"/>
    <w:rsid w:val="009D35A4"/>
    <w:rsid w:val="009D35AC"/>
    <w:rsid w:val="009D35DD"/>
    <w:rsid w:val="009D3652"/>
    <w:rsid w:val="009D38D4"/>
    <w:rsid w:val="009D3AD0"/>
    <w:rsid w:val="009D3C3D"/>
    <w:rsid w:val="009D403C"/>
    <w:rsid w:val="009D40D4"/>
    <w:rsid w:val="009D41D8"/>
    <w:rsid w:val="009D43B0"/>
    <w:rsid w:val="009D43C8"/>
    <w:rsid w:val="009D447F"/>
    <w:rsid w:val="009D46DD"/>
    <w:rsid w:val="009D471C"/>
    <w:rsid w:val="009D4796"/>
    <w:rsid w:val="009D47A4"/>
    <w:rsid w:val="009D499C"/>
    <w:rsid w:val="009D4A12"/>
    <w:rsid w:val="009D4B18"/>
    <w:rsid w:val="009D4BD6"/>
    <w:rsid w:val="009D4BF5"/>
    <w:rsid w:val="009D4C12"/>
    <w:rsid w:val="009D4D27"/>
    <w:rsid w:val="009D4E34"/>
    <w:rsid w:val="009D504B"/>
    <w:rsid w:val="009D5081"/>
    <w:rsid w:val="009D5115"/>
    <w:rsid w:val="009D5217"/>
    <w:rsid w:val="009D5260"/>
    <w:rsid w:val="009D5288"/>
    <w:rsid w:val="009D5768"/>
    <w:rsid w:val="009D5ACA"/>
    <w:rsid w:val="009D5E4E"/>
    <w:rsid w:val="009D5F5A"/>
    <w:rsid w:val="009D6331"/>
    <w:rsid w:val="009D64A2"/>
    <w:rsid w:val="009D6654"/>
    <w:rsid w:val="009D6693"/>
    <w:rsid w:val="009D671C"/>
    <w:rsid w:val="009D683E"/>
    <w:rsid w:val="009D68AE"/>
    <w:rsid w:val="009D694A"/>
    <w:rsid w:val="009D6BBD"/>
    <w:rsid w:val="009D6BDC"/>
    <w:rsid w:val="009D6CE5"/>
    <w:rsid w:val="009D6DDB"/>
    <w:rsid w:val="009D6F6C"/>
    <w:rsid w:val="009D726C"/>
    <w:rsid w:val="009D771C"/>
    <w:rsid w:val="009D775A"/>
    <w:rsid w:val="009D7A05"/>
    <w:rsid w:val="009D7C40"/>
    <w:rsid w:val="009D7D48"/>
    <w:rsid w:val="009D7FF8"/>
    <w:rsid w:val="009E00C0"/>
    <w:rsid w:val="009E00FB"/>
    <w:rsid w:val="009E0532"/>
    <w:rsid w:val="009E0906"/>
    <w:rsid w:val="009E0913"/>
    <w:rsid w:val="009E0A3D"/>
    <w:rsid w:val="009E0B80"/>
    <w:rsid w:val="009E1032"/>
    <w:rsid w:val="009E1039"/>
    <w:rsid w:val="009E11A9"/>
    <w:rsid w:val="009E11D8"/>
    <w:rsid w:val="009E11DD"/>
    <w:rsid w:val="009E1497"/>
    <w:rsid w:val="009E1747"/>
    <w:rsid w:val="009E1B37"/>
    <w:rsid w:val="009E1C96"/>
    <w:rsid w:val="009E1D9D"/>
    <w:rsid w:val="009E1F61"/>
    <w:rsid w:val="009E1F6F"/>
    <w:rsid w:val="009E2051"/>
    <w:rsid w:val="009E228D"/>
    <w:rsid w:val="009E26B1"/>
    <w:rsid w:val="009E27BB"/>
    <w:rsid w:val="009E2981"/>
    <w:rsid w:val="009E29CD"/>
    <w:rsid w:val="009E2ABA"/>
    <w:rsid w:val="009E2AD3"/>
    <w:rsid w:val="009E2B20"/>
    <w:rsid w:val="009E2BF1"/>
    <w:rsid w:val="009E2D9D"/>
    <w:rsid w:val="009E322E"/>
    <w:rsid w:val="009E3449"/>
    <w:rsid w:val="009E3592"/>
    <w:rsid w:val="009E37C8"/>
    <w:rsid w:val="009E38CA"/>
    <w:rsid w:val="009E3FCE"/>
    <w:rsid w:val="009E42F0"/>
    <w:rsid w:val="009E42F1"/>
    <w:rsid w:val="009E43E8"/>
    <w:rsid w:val="009E443E"/>
    <w:rsid w:val="009E47E5"/>
    <w:rsid w:val="009E4AE3"/>
    <w:rsid w:val="009E4B92"/>
    <w:rsid w:val="009E4DBE"/>
    <w:rsid w:val="009E4EE1"/>
    <w:rsid w:val="009E4F13"/>
    <w:rsid w:val="009E4FFD"/>
    <w:rsid w:val="009E5201"/>
    <w:rsid w:val="009E5269"/>
    <w:rsid w:val="009E5636"/>
    <w:rsid w:val="009E5988"/>
    <w:rsid w:val="009E5CFE"/>
    <w:rsid w:val="009E5D04"/>
    <w:rsid w:val="009E5E94"/>
    <w:rsid w:val="009E5F4E"/>
    <w:rsid w:val="009E5F5E"/>
    <w:rsid w:val="009E604F"/>
    <w:rsid w:val="009E615E"/>
    <w:rsid w:val="009E62A8"/>
    <w:rsid w:val="009E6433"/>
    <w:rsid w:val="009E65AD"/>
    <w:rsid w:val="009E67EE"/>
    <w:rsid w:val="009E6870"/>
    <w:rsid w:val="009E6992"/>
    <w:rsid w:val="009E6A7A"/>
    <w:rsid w:val="009E6B01"/>
    <w:rsid w:val="009E6C75"/>
    <w:rsid w:val="009E6D47"/>
    <w:rsid w:val="009E6DA8"/>
    <w:rsid w:val="009E6DBF"/>
    <w:rsid w:val="009E6E93"/>
    <w:rsid w:val="009E6EB2"/>
    <w:rsid w:val="009E705A"/>
    <w:rsid w:val="009E71CA"/>
    <w:rsid w:val="009E723F"/>
    <w:rsid w:val="009E777E"/>
    <w:rsid w:val="009E7861"/>
    <w:rsid w:val="009E7933"/>
    <w:rsid w:val="009E7BA0"/>
    <w:rsid w:val="009E7BFF"/>
    <w:rsid w:val="009E7D4C"/>
    <w:rsid w:val="009E7E37"/>
    <w:rsid w:val="009F00C4"/>
    <w:rsid w:val="009F0136"/>
    <w:rsid w:val="009F0185"/>
    <w:rsid w:val="009F0186"/>
    <w:rsid w:val="009F03B5"/>
    <w:rsid w:val="009F0779"/>
    <w:rsid w:val="009F0786"/>
    <w:rsid w:val="009F0A1B"/>
    <w:rsid w:val="009F0A81"/>
    <w:rsid w:val="009F0BCF"/>
    <w:rsid w:val="009F0F8E"/>
    <w:rsid w:val="009F10DF"/>
    <w:rsid w:val="009F1121"/>
    <w:rsid w:val="009F1452"/>
    <w:rsid w:val="009F146F"/>
    <w:rsid w:val="009F1507"/>
    <w:rsid w:val="009F1600"/>
    <w:rsid w:val="009F162C"/>
    <w:rsid w:val="009F191D"/>
    <w:rsid w:val="009F1A0F"/>
    <w:rsid w:val="009F1AA7"/>
    <w:rsid w:val="009F1EFE"/>
    <w:rsid w:val="009F2023"/>
    <w:rsid w:val="009F2028"/>
    <w:rsid w:val="009F20CF"/>
    <w:rsid w:val="009F2264"/>
    <w:rsid w:val="009F239C"/>
    <w:rsid w:val="009F2561"/>
    <w:rsid w:val="009F269E"/>
    <w:rsid w:val="009F28C2"/>
    <w:rsid w:val="009F29EF"/>
    <w:rsid w:val="009F2A0B"/>
    <w:rsid w:val="009F2A41"/>
    <w:rsid w:val="009F2B00"/>
    <w:rsid w:val="009F31BD"/>
    <w:rsid w:val="009F31C9"/>
    <w:rsid w:val="009F32E9"/>
    <w:rsid w:val="009F39F9"/>
    <w:rsid w:val="009F3BE7"/>
    <w:rsid w:val="009F3C0A"/>
    <w:rsid w:val="009F3C75"/>
    <w:rsid w:val="009F3D93"/>
    <w:rsid w:val="009F3DD8"/>
    <w:rsid w:val="009F3E15"/>
    <w:rsid w:val="009F3EA4"/>
    <w:rsid w:val="009F404D"/>
    <w:rsid w:val="009F4099"/>
    <w:rsid w:val="009F409C"/>
    <w:rsid w:val="009F40B1"/>
    <w:rsid w:val="009F4231"/>
    <w:rsid w:val="009F454D"/>
    <w:rsid w:val="009F4763"/>
    <w:rsid w:val="009F4897"/>
    <w:rsid w:val="009F4C01"/>
    <w:rsid w:val="009F4D89"/>
    <w:rsid w:val="009F4DB8"/>
    <w:rsid w:val="009F4F77"/>
    <w:rsid w:val="009F507D"/>
    <w:rsid w:val="009F5214"/>
    <w:rsid w:val="009F5217"/>
    <w:rsid w:val="009F529E"/>
    <w:rsid w:val="009F5466"/>
    <w:rsid w:val="009F5477"/>
    <w:rsid w:val="009F55CB"/>
    <w:rsid w:val="009F58E9"/>
    <w:rsid w:val="009F5924"/>
    <w:rsid w:val="009F5A7A"/>
    <w:rsid w:val="009F5CD1"/>
    <w:rsid w:val="009F5D2D"/>
    <w:rsid w:val="009F5D49"/>
    <w:rsid w:val="009F5D69"/>
    <w:rsid w:val="009F5E7F"/>
    <w:rsid w:val="009F5EE3"/>
    <w:rsid w:val="009F5FE2"/>
    <w:rsid w:val="009F60F5"/>
    <w:rsid w:val="009F631B"/>
    <w:rsid w:val="009F648A"/>
    <w:rsid w:val="009F652E"/>
    <w:rsid w:val="009F6922"/>
    <w:rsid w:val="009F6A87"/>
    <w:rsid w:val="009F6ACF"/>
    <w:rsid w:val="009F6E70"/>
    <w:rsid w:val="009F715D"/>
    <w:rsid w:val="009F728C"/>
    <w:rsid w:val="009F72F1"/>
    <w:rsid w:val="009F7358"/>
    <w:rsid w:val="009F74A0"/>
    <w:rsid w:val="009F7539"/>
    <w:rsid w:val="009F789E"/>
    <w:rsid w:val="009F7963"/>
    <w:rsid w:val="009F7A2C"/>
    <w:rsid w:val="009F7BA0"/>
    <w:rsid w:val="009F7E9B"/>
    <w:rsid w:val="009F7F0A"/>
    <w:rsid w:val="00A001F6"/>
    <w:rsid w:val="00A0037E"/>
    <w:rsid w:val="00A00460"/>
    <w:rsid w:val="00A00536"/>
    <w:rsid w:val="00A00898"/>
    <w:rsid w:val="00A00A0A"/>
    <w:rsid w:val="00A00A4D"/>
    <w:rsid w:val="00A00AF7"/>
    <w:rsid w:val="00A00B02"/>
    <w:rsid w:val="00A00C46"/>
    <w:rsid w:val="00A00C8D"/>
    <w:rsid w:val="00A00DF9"/>
    <w:rsid w:val="00A00E4A"/>
    <w:rsid w:val="00A00F89"/>
    <w:rsid w:val="00A010BF"/>
    <w:rsid w:val="00A012AF"/>
    <w:rsid w:val="00A01303"/>
    <w:rsid w:val="00A0177C"/>
    <w:rsid w:val="00A017A5"/>
    <w:rsid w:val="00A017B3"/>
    <w:rsid w:val="00A01A69"/>
    <w:rsid w:val="00A01E12"/>
    <w:rsid w:val="00A01F66"/>
    <w:rsid w:val="00A02254"/>
    <w:rsid w:val="00A02290"/>
    <w:rsid w:val="00A022A2"/>
    <w:rsid w:val="00A0250A"/>
    <w:rsid w:val="00A02A38"/>
    <w:rsid w:val="00A02C4F"/>
    <w:rsid w:val="00A02C79"/>
    <w:rsid w:val="00A02EAA"/>
    <w:rsid w:val="00A02F1A"/>
    <w:rsid w:val="00A03015"/>
    <w:rsid w:val="00A0335E"/>
    <w:rsid w:val="00A035A2"/>
    <w:rsid w:val="00A03947"/>
    <w:rsid w:val="00A03A50"/>
    <w:rsid w:val="00A03E02"/>
    <w:rsid w:val="00A03EA3"/>
    <w:rsid w:val="00A03FF0"/>
    <w:rsid w:val="00A0416E"/>
    <w:rsid w:val="00A0420E"/>
    <w:rsid w:val="00A04310"/>
    <w:rsid w:val="00A04490"/>
    <w:rsid w:val="00A044E3"/>
    <w:rsid w:val="00A0474A"/>
    <w:rsid w:val="00A047EF"/>
    <w:rsid w:val="00A04A09"/>
    <w:rsid w:val="00A04ED4"/>
    <w:rsid w:val="00A04EF7"/>
    <w:rsid w:val="00A04FEA"/>
    <w:rsid w:val="00A05237"/>
    <w:rsid w:val="00A054D4"/>
    <w:rsid w:val="00A05777"/>
    <w:rsid w:val="00A05821"/>
    <w:rsid w:val="00A058D9"/>
    <w:rsid w:val="00A059C4"/>
    <w:rsid w:val="00A05AC7"/>
    <w:rsid w:val="00A05C0B"/>
    <w:rsid w:val="00A05C35"/>
    <w:rsid w:val="00A05D1D"/>
    <w:rsid w:val="00A05EA2"/>
    <w:rsid w:val="00A0609D"/>
    <w:rsid w:val="00A06318"/>
    <w:rsid w:val="00A063CB"/>
    <w:rsid w:val="00A06613"/>
    <w:rsid w:val="00A0661B"/>
    <w:rsid w:val="00A06955"/>
    <w:rsid w:val="00A06A75"/>
    <w:rsid w:val="00A06B3E"/>
    <w:rsid w:val="00A06EED"/>
    <w:rsid w:val="00A0703A"/>
    <w:rsid w:val="00A07088"/>
    <w:rsid w:val="00A0735D"/>
    <w:rsid w:val="00A074FA"/>
    <w:rsid w:val="00A076CC"/>
    <w:rsid w:val="00A078EF"/>
    <w:rsid w:val="00A07B4A"/>
    <w:rsid w:val="00A07E1B"/>
    <w:rsid w:val="00A10180"/>
    <w:rsid w:val="00A10341"/>
    <w:rsid w:val="00A10488"/>
    <w:rsid w:val="00A10672"/>
    <w:rsid w:val="00A10B3D"/>
    <w:rsid w:val="00A10B67"/>
    <w:rsid w:val="00A10BD9"/>
    <w:rsid w:val="00A10C92"/>
    <w:rsid w:val="00A11038"/>
    <w:rsid w:val="00A113E7"/>
    <w:rsid w:val="00A114FB"/>
    <w:rsid w:val="00A1152F"/>
    <w:rsid w:val="00A115E5"/>
    <w:rsid w:val="00A1165C"/>
    <w:rsid w:val="00A116A0"/>
    <w:rsid w:val="00A116CF"/>
    <w:rsid w:val="00A11B10"/>
    <w:rsid w:val="00A11C00"/>
    <w:rsid w:val="00A11D62"/>
    <w:rsid w:val="00A11DC6"/>
    <w:rsid w:val="00A11FF3"/>
    <w:rsid w:val="00A120AE"/>
    <w:rsid w:val="00A120E9"/>
    <w:rsid w:val="00A122E2"/>
    <w:rsid w:val="00A12382"/>
    <w:rsid w:val="00A125D6"/>
    <w:rsid w:val="00A127C0"/>
    <w:rsid w:val="00A127EA"/>
    <w:rsid w:val="00A1290B"/>
    <w:rsid w:val="00A12AE8"/>
    <w:rsid w:val="00A12FA8"/>
    <w:rsid w:val="00A1304D"/>
    <w:rsid w:val="00A13311"/>
    <w:rsid w:val="00A1358E"/>
    <w:rsid w:val="00A137EA"/>
    <w:rsid w:val="00A13A0B"/>
    <w:rsid w:val="00A13ADB"/>
    <w:rsid w:val="00A13FAC"/>
    <w:rsid w:val="00A1402D"/>
    <w:rsid w:val="00A1412C"/>
    <w:rsid w:val="00A14158"/>
    <w:rsid w:val="00A14399"/>
    <w:rsid w:val="00A14593"/>
    <w:rsid w:val="00A14626"/>
    <w:rsid w:val="00A146E1"/>
    <w:rsid w:val="00A1477A"/>
    <w:rsid w:val="00A1478B"/>
    <w:rsid w:val="00A14840"/>
    <w:rsid w:val="00A14CE4"/>
    <w:rsid w:val="00A14D64"/>
    <w:rsid w:val="00A14E53"/>
    <w:rsid w:val="00A150D8"/>
    <w:rsid w:val="00A15580"/>
    <w:rsid w:val="00A1571E"/>
    <w:rsid w:val="00A1581B"/>
    <w:rsid w:val="00A1594C"/>
    <w:rsid w:val="00A15A8C"/>
    <w:rsid w:val="00A15DF3"/>
    <w:rsid w:val="00A1607D"/>
    <w:rsid w:val="00A160E6"/>
    <w:rsid w:val="00A16181"/>
    <w:rsid w:val="00A16334"/>
    <w:rsid w:val="00A16449"/>
    <w:rsid w:val="00A164F4"/>
    <w:rsid w:val="00A166A2"/>
    <w:rsid w:val="00A16928"/>
    <w:rsid w:val="00A16970"/>
    <w:rsid w:val="00A16A6C"/>
    <w:rsid w:val="00A16B4D"/>
    <w:rsid w:val="00A16C31"/>
    <w:rsid w:val="00A16F46"/>
    <w:rsid w:val="00A17109"/>
    <w:rsid w:val="00A1732D"/>
    <w:rsid w:val="00A1744B"/>
    <w:rsid w:val="00A1762C"/>
    <w:rsid w:val="00A176C8"/>
    <w:rsid w:val="00A17A39"/>
    <w:rsid w:val="00A17B4B"/>
    <w:rsid w:val="00A20088"/>
    <w:rsid w:val="00A200EE"/>
    <w:rsid w:val="00A2014A"/>
    <w:rsid w:val="00A202E2"/>
    <w:rsid w:val="00A20474"/>
    <w:rsid w:val="00A20855"/>
    <w:rsid w:val="00A20A3C"/>
    <w:rsid w:val="00A20A9C"/>
    <w:rsid w:val="00A20B1C"/>
    <w:rsid w:val="00A20B63"/>
    <w:rsid w:val="00A20EB5"/>
    <w:rsid w:val="00A2101F"/>
    <w:rsid w:val="00A21133"/>
    <w:rsid w:val="00A21273"/>
    <w:rsid w:val="00A21662"/>
    <w:rsid w:val="00A216A0"/>
    <w:rsid w:val="00A2170B"/>
    <w:rsid w:val="00A217F6"/>
    <w:rsid w:val="00A21C11"/>
    <w:rsid w:val="00A21E69"/>
    <w:rsid w:val="00A21F76"/>
    <w:rsid w:val="00A22113"/>
    <w:rsid w:val="00A2213C"/>
    <w:rsid w:val="00A2214C"/>
    <w:rsid w:val="00A22423"/>
    <w:rsid w:val="00A2282C"/>
    <w:rsid w:val="00A228C3"/>
    <w:rsid w:val="00A22BFD"/>
    <w:rsid w:val="00A22C2F"/>
    <w:rsid w:val="00A22C6E"/>
    <w:rsid w:val="00A22D5D"/>
    <w:rsid w:val="00A22E1A"/>
    <w:rsid w:val="00A22E4A"/>
    <w:rsid w:val="00A22E8C"/>
    <w:rsid w:val="00A22EFC"/>
    <w:rsid w:val="00A22FA0"/>
    <w:rsid w:val="00A23623"/>
    <w:rsid w:val="00A23728"/>
    <w:rsid w:val="00A23A83"/>
    <w:rsid w:val="00A23E3C"/>
    <w:rsid w:val="00A2431A"/>
    <w:rsid w:val="00A24516"/>
    <w:rsid w:val="00A247BC"/>
    <w:rsid w:val="00A24919"/>
    <w:rsid w:val="00A24ACF"/>
    <w:rsid w:val="00A24EC6"/>
    <w:rsid w:val="00A24F70"/>
    <w:rsid w:val="00A250A4"/>
    <w:rsid w:val="00A251B2"/>
    <w:rsid w:val="00A251C0"/>
    <w:rsid w:val="00A252EE"/>
    <w:rsid w:val="00A25592"/>
    <w:rsid w:val="00A25650"/>
    <w:rsid w:val="00A256AF"/>
    <w:rsid w:val="00A256C9"/>
    <w:rsid w:val="00A256F3"/>
    <w:rsid w:val="00A2573F"/>
    <w:rsid w:val="00A2578F"/>
    <w:rsid w:val="00A25850"/>
    <w:rsid w:val="00A25941"/>
    <w:rsid w:val="00A262C8"/>
    <w:rsid w:val="00A26389"/>
    <w:rsid w:val="00A264F7"/>
    <w:rsid w:val="00A2656A"/>
    <w:rsid w:val="00A26600"/>
    <w:rsid w:val="00A2663D"/>
    <w:rsid w:val="00A266B2"/>
    <w:rsid w:val="00A267A9"/>
    <w:rsid w:val="00A267B9"/>
    <w:rsid w:val="00A268DC"/>
    <w:rsid w:val="00A26B81"/>
    <w:rsid w:val="00A26C74"/>
    <w:rsid w:val="00A26F20"/>
    <w:rsid w:val="00A26FE7"/>
    <w:rsid w:val="00A27345"/>
    <w:rsid w:val="00A277E5"/>
    <w:rsid w:val="00A278AC"/>
    <w:rsid w:val="00A279D5"/>
    <w:rsid w:val="00A27B3E"/>
    <w:rsid w:val="00A27BA6"/>
    <w:rsid w:val="00A27D7F"/>
    <w:rsid w:val="00A27DDA"/>
    <w:rsid w:val="00A27F07"/>
    <w:rsid w:val="00A27F86"/>
    <w:rsid w:val="00A300B3"/>
    <w:rsid w:val="00A30185"/>
    <w:rsid w:val="00A303B8"/>
    <w:rsid w:val="00A308DD"/>
    <w:rsid w:val="00A30947"/>
    <w:rsid w:val="00A3096E"/>
    <w:rsid w:val="00A30B36"/>
    <w:rsid w:val="00A30C8F"/>
    <w:rsid w:val="00A30CB1"/>
    <w:rsid w:val="00A30FE6"/>
    <w:rsid w:val="00A31032"/>
    <w:rsid w:val="00A3107F"/>
    <w:rsid w:val="00A3116B"/>
    <w:rsid w:val="00A311C6"/>
    <w:rsid w:val="00A31304"/>
    <w:rsid w:val="00A31458"/>
    <w:rsid w:val="00A31537"/>
    <w:rsid w:val="00A315E1"/>
    <w:rsid w:val="00A31982"/>
    <w:rsid w:val="00A31A83"/>
    <w:rsid w:val="00A31BF1"/>
    <w:rsid w:val="00A31D95"/>
    <w:rsid w:val="00A322E1"/>
    <w:rsid w:val="00A32436"/>
    <w:rsid w:val="00A324C4"/>
    <w:rsid w:val="00A32541"/>
    <w:rsid w:val="00A3255F"/>
    <w:rsid w:val="00A325AA"/>
    <w:rsid w:val="00A32854"/>
    <w:rsid w:val="00A32B69"/>
    <w:rsid w:val="00A32C48"/>
    <w:rsid w:val="00A32E9A"/>
    <w:rsid w:val="00A32EB0"/>
    <w:rsid w:val="00A331F7"/>
    <w:rsid w:val="00A33635"/>
    <w:rsid w:val="00A33648"/>
    <w:rsid w:val="00A336B9"/>
    <w:rsid w:val="00A33872"/>
    <w:rsid w:val="00A338C5"/>
    <w:rsid w:val="00A338EA"/>
    <w:rsid w:val="00A339A8"/>
    <w:rsid w:val="00A33BC0"/>
    <w:rsid w:val="00A33C36"/>
    <w:rsid w:val="00A3416E"/>
    <w:rsid w:val="00A342CA"/>
    <w:rsid w:val="00A3441A"/>
    <w:rsid w:val="00A34651"/>
    <w:rsid w:val="00A34696"/>
    <w:rsid w:val="00A3471D"/>
    <w:rsid w:val="00A34856"/>
    <w:rsid w:val="00A348B5"/>
    <w:rsid w:val="00A34965"/>
    <w:rsid w:val="00A349E9"/>
    <w:rsid w:val="00A34B44"/>
    <w:rsid w:val="00A34CB4"/>
    <w:rsid w:val="00A35129"/>
    <w:rsid w:val="00A3515D"/>
    <w:rsid w:val="00A3520E"/>
    <w:rsid w:val="00A3521D"/>
    <w:rsid w:val="00A352A4"/>
    <w:rsid w:val="00A353B8"/>
    <w:rsid w:val="00A354B7"/>
    <w:rsid w:val="00A3551C"/>
    <w:rsid w:val="00A35622"/>
    <w:rsid w:val="00A3585B"/>
    <w:rsid w:val="00A3587A"/>
    <w:rsid w:val="00A35BE0"/>
    <w:rsid w:val="00A36074"/>
    <w:rsid w:val="00A361C3"/>
    <w:rsid w:val="00A362B5"/>
    <w:rsid w:val="00A362EB"/>
    <w:rsid w:val="00A36345"/>
    <w:rsid w:val="00A36669"/>
    <w:rsid w:val="00A36711"/>
    <w:rsid w:val="00A3674B"/>
    <w:rsid w:val="00A36879"/>
    <w:rsid w:val="00A36A21"/>
    <w:rsid w:val="00A36BE5"/>
    <w:rsid w:val="00A36D2B"/>
    <w:rsid w:val="00A3718C"/>
    <w:rsid w:val="00A3755F"/>
    <w:rsid w:val="00A3771C"/>
    <w:rsid w:val="00A379A9"/>
    <w:rsid w:val="00A37C39"/>
    <w:rsid w:val="00A37D9E"/>
    <w:rsid w:val="00A37F23"/>
    <w:rsid w:val="00A4027F"/>
    <w:rsid w:val="00A404FF"/>
    <w:rsid w:val="00A40672"/>
    <w:rsid w:val="00A40862"/>
    <w:rsid w:val="00A40875"/>
    <w:rsid w:val="00A40D63"/>
    <w:rsid w:val="00A40E84"/>
    <w:rsid w:val="00A40EB4"/>
    <w:rsid w:val="00A41088"/>
    <w:rsid w:val="00A411FA"/>
    <w:rsid w:val="00A4129A"/>
    <w:rsid w:val="00A414B8"/>
    <w:rsid w:val="00A416A1"/>
    <w:rsid w:val="00A416C7"/>
    <w:rsid w:val="00A417EA"/>
    <w:rsid w:val="00A41D83"/>
    <w:rsid w:val="00A41DC5"/>
    <w:rsid w:val="00A41E79"/>
    <w:rsid w:val="00A41EE0"/>
    <w:rsid w:val="00A41F32"/>
    <w:rsid w:val="00A41FEB"/>
    <w:rsid w:val="00A42004"/>
    <w:rsid w:val="00A425D5"/>
    <w:rsid w:val="00A42758"/>
    <w:rsid w:val="00A427A8"/>
    <w:rsid w:val="00A427AD"/>
    <w:rsid w:val="00A42B59"/>
    <w:rsid w:val="00A42CC9"/>
    <w:rsid w:val="00A42F61"/>
    <w:rsid w:val="00A43107"/>
    <w:rsid w:val="00A4341D"/>
    <w:rsid w:val="00A43455"/>
    <w:rsid w:val="00A43A1E"/>
    <w:rsid w:val="00A43C00"/>
    <w:rsid w:val="00A43EC4"/>
    <w:rsid w:val="00A43ED9"/>
    <w:rsid w:val="00A43F1F"/>
    <w:rsid w:val="00A440B0"/>
    <w:rsid w:val="00A4416C"/>
    <w:rsid w:val="00A442D4"/>
    <w:rsid w:val="00A44804"/>
    <w:rsid w:val="00A44871"/>
    <w:rsid w:val="00A44A19"/>
    <w:rsid w:val="00A44C0D"/>
    <w:rsid w:val="00A44E8C"/>
    <w:rsid w:val="00A44EC1"/>
    <w:rsid w:val="00A45060"/>
    <w:rsid w:val="00A4519B"/>
    <w:rsid w:val="00A451D0"/>
    <w:rsid w:val="00A452AB"/>
    <w:rsid w:val="00A45499"/>
    <w:rsid w:val="00A454B3"/>
    <w:rsid w:val="00A455B1"/>
    <w:rsid w:val="00A4565B"/>
    <w:rsid w:val="00A4581B"/>
    <w:rsid w:val="00A45B8D"/>
    <w:rsid w:val="00A45D19"/>
    <w:rsid w:val="00A45DFD"/>
    <w:rsid w:val="00A45E17"/>
    <w:rsid w:val="00A45E52"/>
    <w:rsid w:val="00A45E53"/>
    <w:rsid w:val="00A46021"/>
    <w:rsid w:val="00A4609D"/>
    <w:rsid w:val="00A460C6"/>
    <w:rsid w:val="00A46195"/>
    <w:rsid w:val="00A461E1"/>
    <w:rsid w:val="00A462C5"/>
    <w:rsid w:val="00A46652"/>
    <w:rsid w:val="00A466C9"/>
    <w:rsid w:val="00A466CB"/>
    <w:rsid w:val="00A4684A"/>
    <w:rsid w:val="00A4684F"/>
    <w:rsid w:val="00A46855"/>
    <w:rsid w:val="00A46934"/>
    <w:rsid w:val="00A46956"/>
    <w:rsid w:val="00A46A7B"/>
    <w:rsid w:val="00A46B51"/>
    <w:rsid w:val="00A46BC0"/>
    <w:rsid w:val="00A46CFC"/>
    <w:rsid w:val="00A46D15"/>
    <w:rsid w:val="00A46D29"/>
    <w:rsid w:val="00A46DEC"/>
    <w:rsid w:val="00A46E36"/>
    <w:rsid w:val="00A46EED"/>
    <w:rsid w:val="00A46F14"/>
    <w:rsid w:val="00A46FD8"/>
    <w:rsid w:val="00A470FF"/>
    <w:rsid w:val="00A47113"/>
    <w:rsid w:val="00A4713D"/>
    <w:rsid w:val="00A472E4"/>
    <w:rsid w:val="00A47647"/>
    <w:rsid w:val="00A47968"/>
    <w:rsid w:val="00A47AC7"/>
    <w:rsid w:val="00A47ADD"/>
    <w:rsid w:val="00A47AE6"/>
    <w:rsid w:val="00A47DF2"/>
    <w:rsid w:val="00A47E71"/>
    <w:rsid w:val="00A47ED6"/>
    <w:rsid w:val="00A50021"/>
    <w:rsid w:val="00A50094"/>
    <w:rsid w:val="00A5025D"/>
    <w:rsid w:val="00A503A7"/>
    <w:rsid w:val="00A50406"/>
    <w:rsid w:val="00A50457"/>
    <w:rsid w:val="00A5064A"/>
    <w:rsid w:val="00A5076E"/>
    <w:rsid w:val="00A507EE"/>
    <w:rsid w:val="00A509C2"/>
    <w:rsid w:val="00A509FC"/>
    <w:rsid w:val="00A50ACB"/>
    <w:rsid w:val="00A50C04"/>
    <w:rsid w:val="00A510AC"/>
    <w:rsid w:val="00A513BE"/>
    <w:rsid w:val="00A51544"/>
    <w:rsid w:val="00A51BD5"/>
    <w:rsid w:val="00A51F4D"/>
    <w:rsid w:val="00A5218A"/>
    <w:rsid w:val="00A521DD"/>
    <w:rsid w:val="00A52574"/>
    <w:rsid w:val="00A525B8"/>
    <w:rsid w:val="00A52642"/>
    <w:rsid w:val="00A52663"/>
    <w:rsid w:val="00A52681"/>
    <w:rsid w:val="00A52685"/>
    <w:rsid w:val="00A52754"/>
    <w:rsid w:val="00A52884"/>
    <w:rsid w:val="00A52A44"/>
    <w:rsid w:val="00A52AB2"/>
    <w:rsid w:val="00A52B5C"/>
    <w:rsid w:val="00A52D62"/>
    <w:rsid w:val="00A53067"/>
    <w:rsid w:val="00A53210"/>
    <w:rsid w:val="00A5323B"/>
    <w:rsid w:val="00A53374"/>
    <w:rsid w:val="00A53422"/>
    <w:rsid w:val="00A5355E"/>
    <w:rsid w:val="00A53684"/>
    <w:rsid w:val="00A536A5"/>
    <w:rsid w:val="00A53A55"/>
    <w:rsid w:val="00A53AF7"/>
    <w:rsid w:val="00A54086"/>
    <w:rsid w:val="00A54573"/>
    <w:rsid w:val="00A549BF"/>
    <w:rsid w:val="00A54C5A"/>
    <w:rsid w:val="00A54E76"/>
    <w:rsid w:val="00A54EAC"/>
    <w:rsid w:val="00A54F87"/>
    <w:rsid w:val="00A54FB4"/>
    <w:rsid w:val="00A54FF2"/>
    <w:rsid w:val="00A5518C"/>
    <w:rsid w:val="00A554A0"/>
    <w:rsid w:val="00A556A5"/>
    <w:rsid w:val="00A55789"/>
    <w:rsid w:val="00A55C13"/>
    <w:rsid w:val="00A55D63"/>
    <w:rsid w:val="00A55FA6"/>
    <w:rsid w:val="00A5601D"/>
    <w:rsid w:val="00A56029"/>
    <w:rsid w:val="00A561F4"/>
    <w:rsid w:val="00A563B7"/>
    <w:rsid w:val="00A5641C"/>
    <w:rsid w:val="00A56875"/>
    <w:rsid w:val="00A56923"/>
    <w:rsid w:val="00A56AB6"/>
    <w:rsid w:val="00A56DE0"/>
    <w:rsid w:val="00A56FFF"/>
    <w:rsid w:val="00A5728F"/>
    <w:rsid w:val="00A5733B"/>
    <w:rsid w:val="00A578EF"/>
    <w:rsid w:val="00A5791F"/>
    <w:rsid w:val="00A57A3B"/>
    <w:rsid w:val="00A57BC7"/>
    <w:rsid w:val="00A57FDD"/>
    <w:rsid w:val="00A57FE6"/>
    <w:rsid w:val="00A57FFD"/>
    <w:rsid w:val="00A60597"/>
    <w:rsid w:val="00A6091B"/>
    <w:rsid w:val="00A60AD1"/>
    <w:rsid w:val="00A60EAB"/>
    <w:rsid w:val="00A60F52"/>
    <w:rsid w:val="00A6171E"/>
    <w:rsid w:val="00A6191C"/>
    <w:rsid w:val="00A61975"/>
    <w:rsid w:val="00A619FD"/>
    <w:rsid w:val="00A61AA0"/>
    <w:rsid w:val="00A61C2A"/>
    <w:rsid w:val="00A61C97"/>
    <w:rsid w:val="00A61C9D"/>
    <w:rsid w:val="00A61CE6"/>
    <w:rsid w:val="00A61D2F"/>
    <w:rsid w:val="00A61D34"/>
    <w:rsid w:val="00A61F2D"/>
    <w:rsid w:val="00A61F6F"/>
    <w:rsid w:val="00A61FFE"/>
    <w:rsid w:val="00A62282"/>
    <w:rsid w:val="00A630F2"/>
    <w:rsid w:val="00A63134"/>
    <w:rsid w:val="00A633F8"/>
    <w:rsid w:val="00A634A5"/>
    <w:rsid w:val="00A63929"/>
    <w:rsid w:val="00A63AB1"/>
    <w:rsid w:val="00A63C18"/>
    <w:rsid w:val="00A63CC4"/>
    <w:rsid w:val="00A63CDE"/>
    <w:rsid w:val="00A63D3E"/>
    <w:rsid w:val="00A640B9"/>
    <w:rsid w:val="00A6422C"/>
    <w:rsid w:val="00A64290"/>
    <w:rsid w:val="00A6455A"/>
    <w:rsid w:val="00A64584"/>
    <w:rsid w:val="00A645E1"/>
    <w:rsid w:val="00A6469E"/>
    <w:rsid w:val="00A646DA"/>
    <w:rsid w:val="00A64710"/>
    <w:rsid w:val="00A647E0"/>
    <w:rsid w:val="00A64818"/>
    <w:rsid w:val="00A64823"/>
    <w:rsid w:val="00A64901"/>
    <w:rsid w:val="00A64B04"/>
    <w:rsid w:val="00A64B57"/>
    <w:rsid w:val="00A64B85"/>
    <w:rsid w:val="00A64BDD"/>
    <w:rsid w:val="00A64C26"/>
    <w:rsid w:val="00A64C8A"/>
    <w:rsid w:val="00A64E1E"/>
    <w:rsid w:val="00A64F4F"/>
    <w:rsid w:val="00A65A12"/>
    <w:rsid w:val="00A65DE7"/>
    <w:rsid w:val="00A660E3"/>
    <w:rsid w:val="00A66277"/>
    <w:rsid w:val="00A662DC"/>
    <w:rsid w:val="00A662EA"/>
    <w:rsid w:val="00A66317"/>
    <w:rsid w:val="00A6650E"/>
    <w:rsid w:val="00A66649"/>
    <w:rsid w:val="00A666A6"/>
    <w:rsid w:val="00A6678C"/>
    <w:rsid w:val="00A6688D"/>
    <w:rsid w:val="00A668D7"/>
    <w:rsid w:val="00A66E17"/>
    <w:rsid w:val="00A67378"/>
    <w:rsid w:val="00A6741B"/>
    <w:rsid w:val="00A6778C"/>
    <w:rsid w:val="00A67797"/>
    <w:rsid w:val="00A67AD2"/>
    <w:rsid w:val="00A67BA3"/>
    <w:rsid w:val="00A67E23"/>
    <w:rsid w:val="00A67E65"/>
    <w:rsid w:val="00A67F0E"/>
    <w:rsid w:val="00A704B2"/>
    <w:rsid w:val="00A707E3"/>
    <w:rsid w:val="00A708E5"/>
    <w:rsid w:val="00A70B77"/>
    <w:rsid w:val="00A70D3B"/>
    <w:rsid w:val="00A70FAB"/>
    <w:rsid w:val="00A70FE5"/>
    <w:rsid w:val="00A7100F"/>
    <w:rsid w:val="00A71099"/>
    <w:rsid w:val="00A711A3"/>
    <w:rsid w:val="00A714FC"/>
    <w:rsid w:val="00A7150F"/>
    <w:rsid w:val="00A71678"/>
    <w:rsid w:val="00A71704"/>
    <w:rsid w:val="00A7181D"/>
    <w:rsid w:val="00A71EF3"/>
    <w:rsid w:val="00A71F04"/>
    <w:rsid w:val="00A72013"/>
    <w:rsid w:val="00A7206B"/>
    <w:rsid w:val="00A72626"/>
    <w:rsid w:val="00A7271E"/>
    <w:rsid w:val="00A72797"/>
    <w:rsid w:val="00A72BA7"/>
    <w:rsid w:val="00A72D16"/>
    <w:rsid w:val="00A72F15"/>
    <w:rsid w:val="00A73305"/>
    <w:rsid w:val="00A733A8"/>
    <w:rsid w:val="00A734F7"/>
    <w:rsid w:val="00A73782"/>
    <w:rsid w:val="00A73A32"/>
    <w:rsid w:val="00A73BF2"/>
    <w:rsid w:val="00A73E09"/>
    <w:rsid w:val="00A73E69"/>
    <w:rsid w:val="00A74159"/>
    <w:rsid w:val="00A74175"/>
    <w:rsid w:val="00A74226"/>
    <w:rsid w:val="00A7423C"/>
    <w:rsid w:val="00A74659"/>
    <w:rsid w:val="00A74682"/>
    <w:rsid w:val="00A74A68"/>
    <w:rsid w:val="00A74D09"/>
    <w:rsid w:val="00A74D63"/>
    <w:rsid w:val="00A74FE8"/>
    <w:rsid w:val="00A7532D"/>
    <w:rsid w:val="00A75389"/>
    <w:rsid w:val="00A753E0"/>
    <w:rsid w:val="00A7540B"/>
    <w:rsid w:val="00A75460"/>
    <w:rsid w:val="00A756F6"/>
    <w:rsid w:val="00A757B0"/>
    <w:rsid w:val="00A75C1A"/>
    <w:rsid w:val="00A75C28"/>
    <w:rsid w:val="00A75D56"/>
    <w:rsid w:val="00A75DC2"/>
    <w:rsid w:val="00A761B1"/>
    <w:rsid w:val="00A76214"/>
    <w:rsid w:val="00A7630C"/>
    <w:rsid w:val="00A76354"/>
    <w:rsid w:val="00A76663"/>
    <w:rsid w:val="00A7674B"/>
    <w:rsid w:val="00A767E3"/>
    <w:rsid w:val="00A76887"/>
    <w:rsid w:val="00A7692A"/>
    <w:rsid w:val="00A76A2F"/>
    <w:rsid w:val="00A76AA0"/>
    <w:rsid w:val="00A76AB1"/>
    <w:rsid w:val="00A76B04"/>
    <w:rsid w:val="00A76D88"/>
    <w:rsid w:val="00A76E85"/>
    <w:rsid w:val="00A77240"/>
    <w:rsid w:val="00A776A4"/>
    <w:rsid w:val="00A776C8"/>
    <w:rsid w:val="00A779D9"/>
    <w:rsid w:val="00A77E2F"/>
    <w:rsid w:val="00A77F50"/>
    <w:rsid w:val="00A77F60"/>
    <w:rsid w:val="00A80070"/>
    <w:rsid w:val="00A8018A"/>
    <w:rsid w:val="00A80388"/>
    <w:rsid w:val="00A8049D"/>
    <w:rsid w:val="00A804FA"/>
    <w:rsid w:val="00A8052D"/>
    <w:rsid w:val="00A8056D"/>
    <w:rsid w:val="00A80750"/>
    <w:rsid w:val="00A80937"/>
    <w:rsid w:val="00A80BAA"/>
    <w:rsid w:val="00A80C52"/>
    <w:rsid w:val="00A80CC0"/>
    <w:rsid w:val="00A8122D"/>
    <w:rsid w:val="00A81336"/>
    <w:rsid w:val="00A81696"/>
    <w:rsid w:val="00A818C5"/>
    <w:rsid w:val="00A81919"/>
    <w:rsid w:val="00A819F2"/>
    <w:rsid w:val="00A81AEC"/>
    <w:rsid w:val="00A81B3F"/>
    <w:rsid w:val="00A81E88"/>
    <w:rsid w:val="00A81FA1"/>
    <w:rsid w:val="00A822B3"/>
    <w:rsid w:val="00A822C2"/>
    <w:rsid w:val="00A824D4"/>
    <w:rsid w:val="00A827BB"/>
    <w:rsid w:val="00A828BE"/>
    <w:rsid w:val="00A8293A"/>
    <w:rsid w:val="00A82990"/>
    <w:rsid w:val="00A82B27"/>
    <w:rsid w:val="00A82B45"/>
    <w:rsid w:val="00A82C21"/>
    <w:rsid w:val="00A8304D"/>
    <w:rsid w:val="00A83118"/>
    <w:rsid w:val="00A83307"/>
    <w:rsid w:val="00A835C2"/>
    <w:rsid w:val="00A8362E"/>
    <w:rsid w:val="00A8371A"/>
    <w:rsid w:val="00A8375D"/>
    <w:rsid w:val="00A83A0F"/>
    <w:rsid w:val="00A83A37"/>
    <w:rsid w:val="00A83AD7"/>
    <w:rsid w:val="00A841CC"/>
    <w:rsid w:val="00A84228"/>
    <w:rsid w:val="00A843D8"/>
    <w:rsid w:val="00A84434"/>
    <w:rsid w:val="00A844B0"/>
    <w:rsid w:val="00A84617"/>
    <w:rsid w:val="00A8466B"/>
    <w:rsid w:val="00A847D1"/>
    <w:rsid w:val="00A84A47"/>
    <w:rsid w:val="00A84B92"/>
    <w:rsid w:val="00A8531C"/>
    <w:rsid w:val="00A8579D"/>
    <w:rsid w:val="00A85B34"/>
    <w:rsid w:val="00A85C14"/>
    <w:rsid w:val="00A85D1B"/>
    <w:rsid w:val="00A85D6A"/>
    <w:rsid w:val="00A85E5C"/>
    <w:rsid w:val="00A8604B"/>
    <w:rsid w:val="00A862DD"/>
    <w:rsid w:val="00A8633F"/>
    <w:rsid w:val="00A86398"/>
    <w:rsid w:val="00A863AC"/>
    <w:rsid w:val="00A8665A"/>
    <w:rsid w:val="00A866D0"/>
    <w:rsid w:val="00A86751"/>
    <w:rsid w:val="00A8677B"/>
    <w:rsid w:val="00A867DE"/>
    <w:rsid w:val="00A869A8"/>
    <w:rsid w:val="00A86D57"/>
    <w:rsid w:val="00A87087"/>
    <w:rsid w:val="00A8711D"/>
    <w:rsid w:val="00A872AE"/>
    <w:rsid w:val="00A872C5"/>
    <w:rsid w:val="00A875E0"/>
    <w:rsid w:val="00A879C7"/>
    <w:rsid w:val="00A87C00"/>
    <w:rsid w:val="00A87E57"/>
    <w:rsid w:val="00A90002"/>
    <w:rsid w:val="00A9036A"/>
    <w:rsid w:val="00A903C9"/>
    <w:rsid w:val="00A90401"/>
    <w:rsid w:val="00A904A5"/>
    <w:rsid w:val="00A90540"/>
    <w:rsid w:val="00A9058D"/>
    <w:rsid w:val="00A908AB"/>
    <w:rsid w:val="00A90A11"/>
    <w:rsid w:val="00A90AD8"/>
    <w:rsid w:val="00A90AEA"/>
    <w:rsid w:val="00A90DD7"/>
    <w:rsid w:val="00A91029"/>
    <w:rsid w:val="00A910CF"/>
    <w:rsid w:val="00A910DE"/>
    <w:rsid w:val="00A91181"/>
    <w:rsid w:val="00A91254"/>
    <w:rsid w:val="00A91443"/>
    <w:rsid w:val="00A91896"/>
    <w:rsid w:val="00A91910"/>
    <w:rsid w:val="00A91C31"/>
    <w:rsid w:val="00A921E3"/>
    <w:rsid w:val="00A9223E"/>
    <w:rsid w:val="00A922D7"/>
    <w:rsid w:val="00A92472"/>
    <w:rsid w:val="00A92554"/>
    <w:rsid w:val="00A927FC"/>
    <w:rsid w:val="00A929A3"/>
    <w:rsid w:val="00A92A39"/>
    <w:rsid w:val="00A92AD4"/>
    <w:rsid w:val="00A92D82"/>
    <w:rsid w:val="00A92F99"/>
    <w:rsid w:val="00A931B6"/>
    <w:rsid w:val="00A93424"/>
    <w:rsid w:val="00A93465"/>
    <w:rsid w:val="00A934BE"/>
    <w:rsid w:val="00A93974"/>
    <w:rsid w:val="00A93A1E"/>
    <w:rsid w:val="00A93A2C"/>
    <w:rsid w:val="00A93AA3"/>
    <w:rsid w:val="00A93C1F"/>
    <w:rsid w:val="00A93E90"/>
    <w:rsid w:val="00A94046"/>
    <w:rsid w:val="00A94144"/>
    <w:rsid w:val="00A941D9"/>
    <w:rsid w:val="00A9428A"/>
    <w:rsid w:val="00A943CB"/>
    <w:rsid w:val="00A9440E"/>
    <w:rsid w:val="00A94D20"/>
    <w:rsid w:val="00A94DC7"/>
    <w:rsid w:val="00A94E1B"/>
    <w:rsid w:val="00A950E9"/>
    <w:rsid w:val="00A951BF"/>
    <w:rsid w:val="00A95335"/>
    <w:rsid w:val="00A954E9"/>
    <w:rsid w:val="00A955E9"/>
    <w:rsid w:val="00A95616"/>
    <w:rsid w:val="00A95910"/>
    <w:rsid w:val="00A95972"/>
    <w:rsid w:val="00A95EA1"/>
    <w:rsid w:val="00A96132"/>
    <w:rsid w:val="00A969F6"/>
    <w:rsid w:val="00A96AE2"/>
    <w:rsid w:val="00A96B67"/>
    <w:rsid w:val="00A96B88"/>
    <w:rsid w:val="00A96C08"/>
    <w:rsid w:val="00A96CAD"/>
    <w:rsid w:val="00A96DD4"/>
    <w:rsid w:val="00A96F1F"/>
    <w:rsid w:val="00A970A7"/>
    <w:rsid w:val="00A970AF"/>
    <w:rsid w:val="00A970FB"/>
    <w:rsid w:val="00A97146"/>
    <w:rsid w:val="00A971DE"/>
    <w:rsid w:val="00A9752B"/>
    <w:rsid w:val="00A975C7"/>
    <w:rsid w:val="00A97600"/>
    <w:rsid w:val="00A97C81"/>
    <w:rsid w:val="00A97DD4"/>
    <w:rsid w:val="00A97F45"/>
    <w:rsid w:val="00AA0383"/>
    <w:rsid w:val="00AA0538"/>
    <w:rsid w:val="00AA0681"/>
    <w:rsid w:val="00AA0774"/>
    <w:rsid w:val="00AA0A30"/>
    <w:rsid w:val="00AA0AFE"/>
    <w:rsid w:val="00AA0E68"/>
    <w:rsid w:val="00AA0EC8"/>
    <w:rsid w:val="00AA0FC8"/>
    <w:rsid w:val="00AA0FFD"/>
    <w:rsid w:val="00AA1029"/>
    <w:rsid w:val="00AA1034"/>
    <w:rsid w:val="00AA10C1"/>
    <w:rsid w:val="00AA11EA"/>
    <w:rsid w:val="00AA1212"/>
    <w:rsid w:val="00AA16D3"/>
    <w:rsid w:val="00AA191B"/>
    <w:rsid w:val="00AA1955"/>
    <w:rsid w:val="00AA1A9D"/>
    <w:rsid w:val="00AA1AAE"/>
    <w:rsid w:val="00AA1D21"/>
    <w:rsid w:val="00AA207E"/>
    <w:rsid w:val="00AA2182"/>
    <w:rsid w:val="00AA2461"/>
    <w:rsid w:val="00AA2865"/>
    <w:rsid w:val="00AA2B6E"/>
    <w:rsid w:val="00AA2D0B"/>
    <w:rsid w:val="00AA2EE8"/>
    <w:rsid w:val="00AA2F11"/>
    <w:rsid w:val="00AA309C"/>
    <w:rsid w:val="00AA30F6"/>
    <w:rsid w:val="00AA310C"/>
    <w:rsid w:val="00AA32BB"/>
    <w:rsid w:val="00AA3332"/>
    <w:rsid w:val="00AA34DE"/>
    <w:rsid w:val="00AA35D1"/>
    <w:rsid w:val="00AA3699"/>
    <w:rsid w:val="00AA3895"/>
    <w:rsid w:val="00AA3A9B"/>
    <w:rsid w:val="00AA3BF1"/>
    <w:rsid w:val="00AA3F09"/>
    <w:rsid w:val="00AA3F46"/>
    <w:rsid w:val="00AA41A7"/>
    <w:rsid w:val="00AA428A"/>
    <w:rsid w:val="00AA4357"/>
    <w:rsid w:val="00AA4381"/>
    <w:rsid w:val="00AA4408"/>
    <w:rsid w:val="00AA4808"/>
    <w:rsid w:val="00AA4A92"/>
    <w:rsid w:val="00AA4BCD"/>
    <w:rsid w:val="00AA4C7C"/>
    <w:rsid w:val="00AA4EAE"/>
    <w:rsid w:val="00AA5397"/>
    <w:rsid w:val="00AA5410"/>
    <w:rsid w:val="00AA5498"/>
    <w:rsid w:val="00AA5826"/>
    <w:rsid w:val="00AA59BA"/>
    <w:rsid w:val="00AA5B73"/>
    <w:rsid w:val="00AA5E3A"/>
    <w:rsid w:val="00AA5E65"/>
    <w:rsid w:val="00AA5F87"/>
    <w:rsid w:val="00AA635B"/>
    <w:rsid w:val="00AA637D"/>
    <w:rsid w:val="00AA64AE"/>
    <w:rsid w:val="00AA6739"/>
    <w:rsid w:val="00AA69DD"/>
    <w:rsid w:val="00AA6A54"/>
    <w:rsid w:val="00AA6B44"/>
    <w:rsid w:val="00AA6BC6"/>
    <w:rsid w:val="00AA6E7B"/>
    <w:rsid w:val="00AA7038"/>
    <w:rsid w:val="00AA72A1"/>
    <w:rsid w:val="00AA7A9A"/>
    <w:rsid w:val="00AA7ACE"/>
    <w:rsid w:val="00AA7DD8"/>
    <w:rsid w:val="00AA7E0B"/>
    <w:rsid w:val="00AA7E4F"/>
    <w:rsid w:val="00AA7FB4"/>
    <w:rsid w:val="00AB0245"/>
    <w:rsid w:val="00AB03EE"/>
    <w:rsid w:val="00AB041C"/>
    <w:rsid w:val="00AB0B6D"/>
    <w:rsid w:val="00AB0CAA"/>
    <w:rsid w:val="00AB0D49"/>
    <w:rsid w:val="00AB137C"/>
    <w:rsid w:val="00AB1900"/>
    <w:rsid w:val="00AB1A38"/>
    <w:rsid w:val="00AB1AC3"/>
    <w:rsid w:val="00AB1AEA"/>
    <w:rsid w:val="00AB1B42"/>
    <w:rsid w:val="00AB1EB8"/>
    <w:rsid w:val="00AB20E6"/>
    <w:rsid w:val="00AB21C6"/>
    <w:rsid w:val="00AB2218"/>
    <w:rsid w:val="00AB2229"/>
    <w:rsid w:val="00AB22EC"/>
    <w:rsid w:val="00AB2440"/>
    <w:rsid w:val="00AB2502"/>
    <w:rsid w:val="00AB2841"/>
    <w:rsid w:val="00AB29AB"/>
    <w:rsid w:val="00AB29AC"/>
    <w:rsid w:val="00AB2C1E"/>
    <w:rsid w:val="00AB2D8C"/>
    <w:rsid w:val="00AB2D90"/>
    <w:rsid w:val="00AB2FD5"/>
    <w:rsid w:val="00AB3178"/>
    <w:rsid w:val="00AB325D"/>
    <w:rsid w:val="00AB32B0"/>
    <w:rsid w:val="00AB32C3"/>
    <w:rsid w:val="00AB37AA"/>
    <w:rsid w:val="00AB37B6"/>
    <w:rsid w:val="00AB39FD"/>
    <w:rsid w:val="00AB3A57"/>
    <w:rsid w:val="00AB3B19"/>
    <w:rsid w:val="00AB3C32"/>
    <w:rsid w:val="00AB3E32"/>
    <w:rsid w:val="00AB3F71"/>
    <w:rsid w:val="00AB40A3"/>
    <w:rsid w:val="00AB40B9"/>
    <w:rsid w:val="00AB4220"/>
    <w:rsid w:val="00AB439A"/>
    <w:rsid w:val="00AB44FD"/>
    <w:rsid w:val="00AB47F5"/>
    <w:rsid w:val="00AB4A03"/>
    <w:rsid w:val="00AB4C1C"/>
    <w:rsid w:val="00AB4DB2"/>
    <w:rsid w:val="00AB4EC9"/>
    <w:rsid w:val="00AB515E"/>
    <w:rsid w:val="00AB543F"/>
    <w:rsid w:val="00AB54AE"/>
    <w:rsid w:val="00AB57A2"/>
    <w:rsid w:val="00AB58B1"/>
    <w:rsid w:val="00AB5B22"/>
    <w:rsid w:val="00AB5B68"/>
    <w:rsid w:val="00AB5BAA"/>
    <w:rsid w:val="00AB5CB0"/>
    <w:rsid w:val="00AB5DE3"/>
    <w:rsid w:val="00AB6059"/>
    <w:rsid w:val="00AB60C6"/>
    <w:rsid w:val="00AB6542"/>
    <w:rsid w:val="00AB6624"/>
    <w:rsid w:val="00AB6744"/>
    <w:rsid w:val="00AB6901"/>
    <w:rsid w:val="00AB6CBE"/>
    <w:rsid w:val="00AB70B5"/>
    <w:rsid w:val="00AB72C8"/>
    <w:rsid w:val="00AB73B4"/>
    <w:rsid w:val="00AB7A28"/>
    <w:rsid w:val="00AB7A39"/>
    <w:rsid w:val="00AB7DE3"/>
    <w:rsid w:val="00AB7E5B"/>
    <w:rsid w:val="00AB7F74"/>
    <w:rsid w:val="00AC03A7"/>
    <w:rsid w:val="00AC04CF"/>
    <w:rsid w:val="00AC058D"/>
    <w:rsid w:val="00AC05EB"/>
    <w:rsid w:val="00AC072F"/>
    <w:rsid w:val="00AC07B5"/>
    <w:rsid w:val="00AC098D"/>
    <w:rsid w:val="00AC0A2F"/>
    <w:rsid w:val="00AC0B08"/>
    <w:rsid w:val="00AC0B3E"/>
    <w:rsid w:val="00AC0B4C"/>
    <w:rsid w:val="00AC0FD1"/>
    <w:rsid w:val="00AC102E"/>
    <w:rsid w:val="00AC116A"/>
    <w:rsid w:val="00AC11EC"/>
    <w:rsid w:val="00AC129C"/>
    <w:rsid w:val="00AC13BD"/>
    <w:rsid w:val="00AC1528"/>
    <w:rsid w:val="00AC180F"/>
    <w:rsid w:val="00AC1891"/>
    <w:rsid w:val="00AC1946"/>
    <w:rsid w:val="00AC1A68"/>
    <w:rsid w:val="00AC1D1E"/>
    <w:rsid w:val="00AC218E"/>
    <w:rsid w:val="00AC236B"/>
    <w:rsid w:val="00AC23B2"/>
    <w:rsid w:val="00AC23CF"/>
    <w:rsid w:val="00AC2448"/>
    <w:rsid w:val="00AC244F"/>
    <w:rsid w:val="00AC26E9"/>
    <w:rsid w:val="00AC2842"/>
    <w:rsid w:val="00AC2882"/>
    <w:rsid w:val="00AC2C97"/>
    <w:rsid w:val="00AC2D2D"/>
    <w:rsid w:val="00AC2E72"/>
    <w:rsid w:val="00AC2EA7"/>
    <w:rsid w:val="00AC2EAD"/>
    <w:rsid w:val="00AC3031"/>
    <w:rsid w:val="00AC3CFA"/>
    <w:rsid w:val="00AC3D6F"/>
    <w:rsid w:val="00AC404F"/>
    <w:rsid w:val="00AC42AA"/>
    <w:rsid w:val="00AC442F"/>
    <w:rsid w:val="00AC455E"/>
    <w:rsid w:val="00AC4666"/>
    <w:rsid w:val="00AC4A09"/>
    <w:rsid w:val="00AC4CAF"/>
    <w:rsid w:val="00AC4DF0"/>
    <w:rsid w:val="00AC5008"/>
    <w:rsid w:val="00AC5050"/>
    <w:rsid w:val="00AC50D7"/>
    <w:rsid w:val="00AC525C"/>
    <w:rsid w:val="00AC5557"/>
    <w:rsid w:val="00AC57B3"/>
    <w:rsid w:val="00AC5909"/>
    <w:rsid w:val="00AC592D"/>
    <w:rsid w:val="00AC5CC9"/>
    <w:rsid w:val="00AC5D3E"/>
    <w:rsid w:val="00AC5E75"/>
    <w:rsid w:val="00AC609D"/>
    <w:rsid w:val="00AC6205"/>
    <w:rsid w:val="00AC6210"/>
    <w:rsid w:val="00AC65EE"/>
    <w:rsid w:val="00AC66A8"/>
    <w:rsid w:val="00AC68B6"/>
    <w:rsid w:val="00AC6C5C"/>
    <w:rsid w:val="00AC6F7D"/>
    <w:rsid w:val="00AC71B4"/>
    <w:rsid w:val="00AC720A"/>
    <w:rsid w:val="00AC7224"/>
    <w:rsid w:val="00AC7407"/>
    <w:rsid w:val="00AC75A3"/>
    <w:rsid w:val="00AC77A0"/>
    <w:rsid w:val="00AC791A"/>
    <w:rsid w:val="00AC79A8"/>
    <w:rsid w:val="00AC7A17"/>
    <w:rsid w:val="00AC7B14"/>
    <w:rsid w:val="00AC7BAA"/>
    <w:rsid w:val="00AC7C77"/>
    <w:rsid w:val="00AC7F7A"/>
    <w:rsid w:val="00AD02B6"/>
    <w:rsid w:val="00AD066F"/>
    <w:rsid w:val="00AD0752"/>
    <w:rsid w:val="00AD07E9"/>
    <w:rsid w:val="00AD08E7"/>
    <w:rsid w:val="00AD0A70"/>
    <w:rsid w:val="00AD0C8F"/>
    <w:rsid w:val="00AD0CFF"/>
    <w:rsid w:val="00AD0D29"/>
    <w:rsid w:val="00AD0F7B"/>
    <w:rsid w:val="00AD11CC"/>
    <w:rsid w:val="00AD1673"/>
    <w:rsid w:val="00AD1748"/>
    <w:rsid w:val="00AD184B"/>
    <w:rsid w:val="00AD1884"/>
    <w:rsid w:val="00AD1972"/>
    <w:rsid w:val="00AD19A4"/>
    <w:rsid w:val="00AD19B5"/>
    <w:rsid w:val="00AD1D53"/>
    <w:rsid w:val="00AD1D58"/>
    <w:rsid w:val="00AD1EDF"/>
    <w:rsid w:val="00AD1F1C"/>
    <w:rsid w:val="00AD21EC"/>
    <w:rsid w:val="00AD226A"/>
    <w:rsid w:val="00AD2354"/>
    <w:rsid w:val="00AD2475"/>
    <w:rsid w:val="00AD259D"/>
    <w:rsid w:val="00AD2770"/>
    <w:rsid w:val="00AD2905"/>
    <w:rsid w:val="00AD2EF0"/>
    <w:rsid w:val="00AD2EF7"/>
    <w:rsid w:val="00AD2F2B"/>
    <w:rsid w:val="00AD2F33"/>
    <w:rsid w:val="00AD2FA4"/>
    <w:rsid w:val="00AD307B"/>
    <w:rsid w:val="00AD315E"/>
    <w:rsid w:val="00AD317B"/>
    <w:rsid w:val="00AD31EC"/>
    <w:rsid w:val="00AD3636"/>
    <w:rsid w:val="00AD3842"/>
    <w:rsid w:val="00AD39FA"/>
    <w:rsid w:val="00AD3AAC"/>
    <w:rsid w:val="00AD3AAD"/>
    <w:rsid w:val="00AD3AB8"/>
    <w:rsid w:val="00AD3D55"/>
    <w:rsid w:val="00AD3ED0"/>
    <w:rsid w:val="00AD4086"/>
    <w:rsid w:val="00AD4251"/>
    <w:rsid w:val="00AD4424"/>
    <w:rsid w:val="00AD4536"/>
    <w:rsid w:val="00AD4649"/>
    <w:rsid w:val="00AD46AF"/>
    <w:rsid w:val="00AD46CC"/>
    <w:rsid w:val="00AD47B8"/>
    <w:rsid w:val="00AD485E"/>
    <w:rsid w:val="00AD4B4C"/>
    <w:rsid w:val="00AD4F63"/>
    <w:rsid w:val="00AD4F86"/>
    <w:rsid w:val="00AD53D4"/>
    <w:rsid w:val="00AD57F7"/>
    <w:rsid w:val="00AD59D1"/>
    <w:rsid w:val="00AD59F6"/>
    <w:rsid w:val="00AD5A2A"/>
    <w:rsid w:val="00AD5BC2"/>
    <w:rsid w:val="00AD5C74"/>
    <w:rsid w:val="00AD5E5C"/>
    <w:rsid w:val="00AD5F86"/>
    <w:rsid w:val="00AD60EA"/>
    <w:rsid w:val="00AD60FF"/>
    <w:rsid w:val="00AD628B"/>
    <w:rsid w:val="00AD6342"/>
    <w:rsid w:val="00AD6348"/>
    <w:rsid w:val="00AD658B"/>
    <w:rsid w:val="00AD658E"/>
    <w:rsid w:val="00AD65A6"/>
    <w:rsid w:val="00AD6677"/>
    <w:rsid w:val="00AD67D4"/>
    <w:rsid w:val="00AD6899"/>
    <w:rsid w:val="00AD6C3C"/>
    <w:rsid w:val="00AD6E34"/>
    <w:rsid w:val="00AD7022"/>
    <w:rsid w:val="00AD70C8"/>
    <w:rsid w:val="00AD711C"/>
    <w:rsid w:val="00AD72BC"/>
    <w:rsid w:val="00AD735F"/>
    <w:rsid w:val="00AD7442"/>
    <w:rsid w:val="00AD74B8"/>
    <w:rsid w:val="00AD74F2"/>
    <w:rsid w:val="00AD759F"/>
    <w:rsid w:val="00AD7654"/>
    <w:rsid w:val="00AD79D5"/>
    <w:rsid w:val="00AD7EA5"/>
    <w:rsid w:val="00AE014F"/>
    <w:rsid w:val="00AE020A"/>
    <w:rsid w:val="00AE0438"/>
    <w:rsid w:val="00AE068D"/>
    <w:rsid w:val="00AE0897"/>
    <w:rsid w:val="00AE0907"/>
    <w:rsid w:val="00AE0A91"/>
    <w:rsid w:val="00AE0D8A"/>
    <w:rsid w:val="00AE0DF6"/>
    <w:rsid w:val="00AE0E05"/>
    <w:rsid w:val="00AE0E67"/>
    <w:rsid w:val="00AE126F"/>
    <w:rsid w:val="00AE1422"/>
    <w:rsid w:val="00AE1515"/>
    <w:rsid w:val="00AE1754"/>
    <w:rsid w:val="00AE175C"/>
    <w:rsid w:val="00AE199A"/>
    <w:rsid w:val="00AE19D3"/>
    <w:rsid w:val="00AE1A98"/>
    <w:rsid w:val="00AE1AC1"/>
    <w:rsid w:val="00AE1C35"/>
    <w:rsid w:val="00AE1CC2"/>
    <w:rsid w:val="00AE1D8A"/>
    <w:rsid w:val="00AE206F"/>
    <w:rsid w:val="00AE212C"/>
    <w:rsid w:val="00AE2136"/>
    <w:rsid w:val="00AE213D"/>
    <w:rsid w:val="00AE21D5"/>
    <w:rsid w:val="00AE222B"/>
    <w:rsid w:val="00AE2500"/>
    <w:rsid w:val="00AE26FC"/>
    <w:rsid w:val="00AE2760"/>
    <w:rsid w:val="00AE2B86"/>
    <w:rsid w:val="00AE2C18"/>
    <w:rsid w:val="00AE2E32"/>
    <w:rsid w:val="00AE2FC6"/>
    <w:rsid w:val="00AE3022"/>
    <w:rsid w:val="00AE3163"/>
    <w:rsid w:val="00AE337F"/>
    <w:rsid w:val="00AE33F3"/>
    <w:rsid w:val="00AE3431"/>
    <w:rsid w:val="00AE3517"/>
    <w:rsid w:val="00AE3931"/>
    <w:rsid w:val="00AE3954"/>
    <w:rsid w:val="00AE3BFD"/>
    <w:rsid w:val="00AE3D11"/>
    <w:rsid w:val="00AE3E98"/>
    <w:rsid w:val="00AE3FC8"/>
    <w:rsid w:val="00AE407B"/>
    <w:rsid w:val="00AE4092"/>
    <w:rsid w:val="00AE41AA"/>
    <w:rsid w:val="00AE4331"/>
    <w:rsid w:val="00AE450B"/>
    <w:rsid w:val="00AE4653"/>
    <w:rsid w:val="00AE4A92"/>
    <w:rsid w:val="00AE4AB6"/>
    <w:rsid w:val="00AE4F54"/>
    <w:rsid w:val="00AE5023"/>
    <w:rsid w:val="00AE53C6"/>
    <w:rsid w:val="00AE5407"/>
    <w:rsid w:val="00AE566D"/>
    <w:rsid w:val="00AE57F7"/>
    <w:rsid w:val="00AE5810"/>
    <w:rsid w:val="00AE59DB"/>
    <w:rsid w:val="00AE5BE7"/>
    <w:rsid w:val="00AE5C7E"/>
    <w:rsid w:val="00AE5E1D"/>
    <w:rsid w:val="00AE614D"/>
    <w:rsid w:val="00AE61F0"/>
    <w:rsid w:val="00AE630D"/>
    <w:rsid w:val="00AE68A3"/>
    <w:rsid w:val="00AE68D1"/>
    <w:rsid w:val="00AE6981"/>
    <w:rsid w:val="00AE6B58"/>
    <w:rsid w:val="00AE6BA6"/>
    <w:rsid w:val="00AE6D5E"/>
    <w:rsid w:val="00AE6DF2"/>
    <w:rsid w:val="00AE7250"/>
    <w:rsid w:val="00AE725A"/>
    <w:rsid w:val="00AE738D"/>
    <w:rsid w:val="00AE7530"/>
    <w:rsid w:val="00AE759B"/>
    <w:rsid w:val="00AE7673"/>
    <w:rsid w:val="00AE7849"/>
    <w:rsid w:val="00AE789F"/>
    <w:rsid w:val="00AE78FC"/>
    <w:rsid w:val="00AE7977"/>
    <w:rsid w:val="00AE7E89"/>
    <w:rsid w:val="00AE7EE7"/>
    <w:rsid w:val="00AE7FE7"/>
    <w:rsid w:val="00AF01AC"/>
    <w:rsid w:val="00AF049F"/>
    <w:rsid w:val="00AF0524"/>
    <w:rsid w:val="00AF0836"/>
    <w:rsid w:val="00AF098D"/>
    <w:rsid w:val="00AF0A3C"/>
    <w:rsid w:val="00AF0B20"/>
    <w:rsid w:val="00AF10C7"/>
    <w:rsid w:val="00AF1237"/>
    <w:rsid w:val="00AF12A5"/>
    <w:rsid w:val="00AF14BF"/>
    <w:rsid w:val="00AF1726"/>
    <w:rsid w:val="00AF1849"/>
    <w:rsid w:val="00AF186D"/>
    <w:rsid w:val="00AF18A3"/>
    <w:rsid w:val="00AF1A03"/>
    <w:rsid w:val="00AF1B8C"/>
    <w:rsid w:val="00AF1BE2"/>
    <w:rsid w:val="00AF1F10"/>
    <w:rsid w:val="00AF2038"/>
    <w:rsid w:val="00AF2091"/>
    <w:rsid w:val="00AF21F4"/>
    <w:rsid w:val="00AF2336"/>
    <w:rsid w:val="00AF28DA"/>
    <w:rsid w:val="00AF2941"/>
    <w:rsid w:val="00AF2CFE"/>
    <w:rsid w:val="00AF370E"/>
    <w:rsid w:val="00AF37EC"/>
    <w:rsid w:val="00AF382A"/>
    <w:rsid w:val="00AF3C8A"/>
    <w:rsid w:val="00AF3CD2"/>
    <w:rsid w:val="00AF3CFE"/>
    <w:rsid w:val="00AF3D39"/>
    <w:rsid w:val="00AF3D7E"/>
    <w:rsid w:val="00AF3ECC"/>
    <w:rsid w:val="00AF3F83"/>
    <w:rsid w:val="00AF3FBF"/>
    <w:rsid w:val="00AF4161"/>
    <w:rsid w:val="00AF4300"/>
    <w:rsid w:val="00AF430A"/>
    <w:rsid w:val="00AF4450"/>
    <w:rsid w:val="00AF4625"/>
    <w:rsid w:val="00AF4788"/>
    <w:rsid w:val="00AF4837"/>
    <w:rsid w:val="00AF4858"/>
    <w:rsid w:val="00AF497B"/>
    <w:rsid w:val="00AF49C4"/>
    <w:rsid w:val="00AF4C84"/>
    <w:rsid w:val="00AF4D3C"/>
    <w:rsid w:val="00AF4E1A"/>
    <w:rsid w:val="00AF4E8A"/>
    <w:rsid w:val="00AF4E9F"/>
    <w:rsid w:val="00AF51D7"/>
    <w:rsid w:val="00AF526F"/>
    <w:rsid w:val="00AF54D4"/>
    <w:rsid w:val="00AF5739"/>
    <w:rsid w:val="00AF57C6"/>
    <w:rsid w:val="00AF58D6"/>
    <w:rsid w:val="00AF5A28"/>
    <w:rsid w:val="00AF5B06"/>
    <w:rsid w:val="00AF5C0D"/>
    <w:rsid w:val="00AF5C60"/>
    <w:rsid w:val="00AF5F11"/>
    <w:rsid w:val="00AF5F49"/>
    <w:rsid w:val="00AF5FF6"/>
    <w:rsid w:val="00AF609A"/>
    <w:rsid w:val="00AF65A3"/>
    <w:rsid w:val="00AF675F"/>
    <w:rsid w:val="00AF6A4C"/>
    <w:rsid w:val="00AF6BA1"/>
    <w:rsid w:val="00AF6C8B"/>
    <w:rsid w:val="00AF6CE2"/>
    <w:rsid w:val="00AF6DD9"/>
    <w:rsid w:val="00AF6FE4"/>
    <w:rsid w:val="00AF7046"/>
    <w:rsid w:val="00AF7085"/>
    <w:rsid w:val="00AF7106"/>
    <w:rsid w:val="00AF72C8"/>
    <w:rsid w:val="00AF767D"/>
    <w:rsid w:val="00AF77B4"/>
    <w:rsid w:val="00AF79E2"/>
    <w:rsid w:val="00AF7BD7"/>
    <w:rsid w:val="00AF7C1E"/>
    <w:rsid w:val="00AF7C49"/>
    <w:rsid w:val="00AF7C82"/>
    <w:rsid w:val="00AF7CBB"/>
    <w:rsid w:val="00AF7D04"/>
    <w:rsid w:val="00AF7F93"/>
    <w:rsid w:val="00B0004F"/>
    <w:rsid w:val="00B00112"/>
    <w:rsid w:val="00B0035D"/>
    <w:rsid w:val="00B0085A"/>
    <w:rsid w:val="00B00883"/>
    <w:rsid w:val="00B008DA"/>
    <w:rsid w:val="00B010A2"/>
    <w:rsid w:val="00B01107"/>
    <w:rsid w:val="00B0129E"/>
    <w:rsid w:val="00B0153B"/>
    <w:rsid w:val="00B018AE"/>
    <w:rsid w:val="00B0194C"/>
    <w:rsid w:val="00B01ADF"/>
    <w:rsid w:val="00B01C63"/>
    <w:rsid w:val="00B01D08"/>
    <w:rsid w:val="00B01EAC"/>
    <w:rsid w:val="00B01F71"/>
    <w:rsid w:val="00B02183"/>
    <w:rsid w:val="00B0273E"/>
    <w:rsid w:val="00B0285F"/>
    <w:rsid w:val="00B028E8"/>
    <w:rsid w:val="00B02A4B"/>
    <w:rsid w:val="00B02FF9"/>
    <w:rsid w:val="00B03263"/>
    <w:rsid w:val="00B032A7"/>
    <w:rsid w:val="00B0364C"/>
    <w:rsid w:val="00B037CD"/>
    <w:rsid w:val="00B03896"/>
    <w:rsid w:val="00B039E5"/>
    <w:rsid w:val="00B03A16"/>
    <w:rsid w:val="00B03A3E"/>
    <w:rsid w:val="00B03A6C"/>
    <w:rsid w:val="00B03C11"/>
    <w:rsid w:val="00B03DC7"/>
    <w:rsid w:val="00B040D0"/>
    <w:rsid w:val="00B0428E"/>
    <w:rsid w:val="00B044D8"/>
    <w:rsid w:val="00B045EC"/>
    <w:rsid w:val="00B0468F"/>
    <w:rsid w:val="00B046F0"/>
    <w:rsid w:val="00B047C2"/>
    <w:rsid w:val="00B04807"/>
    <w:rsid w:val="00B048ED"/>
    <w:rsid w:val="00B04B6A"/>
    <w:rsid w:val="00B04C0A"/>
    <w:rsid w:val="00B04CB1"/>
    <w:rsid w:val="00B04D35"/>
    <w:rsid w:val="00B04D60"/>
    <w:rsid w:val="00B04E27"/>
    <w:rsid w:val="00B05004"/>
    <w:rsid w:val="00B05041"/>
    <w:rsid w:val="00B050FA"/>
    <w:rsid w:val="00B05635"/>
    <w:rsid w:val="00B05644"/>
    <w:rsid w:val="00B05A9F"/>
    <w:rsid w:val="00B05B9C"/>
    <w:rsid w:val="00B05E47"/>
    <w:rsid w:val="00B06232"/>
    <w:rsid w:val="00B063D4"/>
    <w:rsid w:val="00B063E4"/>
    <w:rsid w:val="00B065E6"/>
    <w:rsid w:val="00B0672E"/>
    <w:rsid w:val="00B0673E"/>
    <w:rsid w:val="00B067C9"/>
    <w:rsid w:val="00B0684E"/>
    <w:rsid w:val="00B06AF1"/>
    <w:rsid w:val="00B06C4D"/>
    <w:rsid w:val="00B06F76"/>
    <w:rsid w:val="00B0717E"/>
    <w:rsid w:val="00B0726C"/>
    <w:rsid w:val="00B07620"/>
    <w:rsid w:val="00B07AAB"/>
    <w:rsid w:val="00B07E5E"/>
    <w:rsid w:val="00B07E97"/>
    <w:rsid w:val="00B10137"/>
    <w:rsid w:val="00B101F1"/>
    <w:rsid w:val="00B10203"/>
    <w:rsid w:val="00B10AC6"/>
    <w:rsid w:val="00B10BD3"/>
    <w:rsid w:val="00B10CA9"/>
    <w:rsid w:val="00B10DA5"/>
    <w:rsid w:val="00B10E32"/>
    <w:rsid w:val="00B10F65"/>
    <w:rsid w:val="00B110D5"/>
    <w:rsid w:val="00B11158"/>
    <w:rsid w:val="00B111EC"/>
    <w:rsid w:val="00B11209"/>
    <w:rsid w:val="00B11280"/>
    <w:rsid w:val="00B11316"/>
    <w:rsid w:val="00B11365"/>
    <w:rsid w:val="00B113BE"/>
    <w:rsid w:val="00B11550"/>
    <w:rsid w:val="00B1164F"/>
    <w:rsid w:val="00B116CA"/>
    <w:rsid w:val="00B1182B"/>
    <w:rsid w:val="00B1194A"/>
    <w:rsid w:val="00B11A11"/>
    <w:rsid w:val="00B11ADC"/>
    <w:rsid w:val="00B11CA6"/>
    <w:rsid w:val="00B11D5D"/>
    <w:rsid w:val="00B11E58"/>
    <w:rsid w:val="00B11EB8"/>
    <w:rsid w:val="00B11EE8"/>
    <w:rsid w:val="00B11F5B"/>
    <w:rsid w:val="00B11FD8"/>
    <w:rsid w:val="00B12134"/>
    <w:rsid w:val="00B1214F"/>
    <w:rsid w:val="00B1216D"/>
    <w:rsid w:val="00B1224B"/>
    <w:rsid w:val="00B12437"/>
    <w:rsid w:val="00B12941"/>
    <w:rsid w:val="00B12980"/>
    <w:rsid w:val="00B129BD"/>
    <w:rsid w:val="00B12D45"/>
    <w:rsid w:val="00B12E37"/>
    <w:rsid w:val="00B12FA5"/>
    <w:rsid w:val="00B1314F"/>
    <w:rsid w:val="00B13415"/>
    <w:rsid w:val="00B13577"/>
    <w:rsid w:val="00B13678"/>
    <w:rsid w:val="00B13967"/>
    <w:rsid w:val="00B13987"/>
    <w:rsid w:val="00B13A14"/>
    <w:rsid w:val="00B13A33"/>
    <w:rsid w:val="00B13B19"/>
    <w:rsid w:val="00B13E10"/>
    <w:rsid w:val="00B13E72"/>
    <w:rsid w:val="00B13F24"/>
    <w:rsid w:val="00B13F75"/>
    <w:rsid w:val="00B141C2"/>
    <w:rsid w:val="00B14397"/>
    <w:rsid w:val="00B14419"/>
    <w:rsid w:val="00B145B6"/>
    <w:rsid w:val="00B145D8"/>
    <w:rsid w:val="00B1460A"/>
    <w:rsid w:val="00B146A1"/>
    <w:rsid w:val="00B14B85"/>
    <w:rsid w:val="00B14B95"/>
    <w:rsid w:val="00B14CB3"/>
    <w:rsid w:val="00B14E82"/>
    <w:rsid w:val="00B15008"/>
    <w:rsid w:val="00B15042"/>
    <w:rsid w:val="00B151CF"/>
    <w:rsid w:val="00B15214"/>
    <w:rsid w:val="00B1548C"/>
    <w:rsid w:val="00B154AB"/>
    <w:rsid w:val="00B154B5"/>
    <w:rsid w:val="00B15557"/>
    <w:rsid w:val="00B155A9"/>
    <w:rsid w:val="00B156E2"/>
    <w:rsid w:val="00B158E9"/>
    <w:rsid w:val="00B1596F"/>
    <w:rsid w:val="00B15978"/>
    <w:rsid w:val="00B159D1"/>
    <w:rsid w:val="00B15A02"/>
    <w:rsid w:val="00B15A65"/>
    <w:rsid w:val="00B15CE8"/>
    <w:rsid w:val="00B160CB"/>
    <w:rsid w:val="00B161E6"/>
    <w:rsid w:val="00B1638E"/>
    <w:rsid w:val="00B163F5"/>
    <w:rsid w:val="00B1668E"/>
    <w:rsid w:val="00B166F7"/>
    <w:rsid w:val="00B169FA"/>
    <w:rsid w:val="00B16B75"/>
    <w:rsid w:val="00B16C90"/>
    <w:rsid w:val="00B16D84"/>
    <w:rsid w:val="00B17138"/>
    <w:rsid w:val="00B172CC"/>
    <w:rsid w:val="00B173A2"/>
    <w:rsid w:val="00B17462"/>
    <w:rsid w:val="00B17598"/>
    <w:rsid w:val="00B17B04"/>
    <w:rsid w:val="00B17C02"/>
    <w:rsid w:val="00B17C77"/>
    <w:rsid w:val="00B17E87"/>
    <w:rsid w:val="00B17EF7"/>
    <w:rsid w:val="00B17F23"/>
    <w:rsid w:val="00B17FE3"/>
    <w:rsid w:val="00B206DE"/>
    <w:rsid w:val="00B207CF"/>
    <w:rsid w:val="00B20853"/>
    <w:rsid w:val="00B20A6D"/>
    <w:rsid w:val="00B20B64"/>
    <w:rsid w:val="00B20BD5"/>
    <w:rsid w:val="00B20DF7"/>
    <w:rsid w:val="00B20E16"/>
    <w:rsid w:val="00B210CD"/>
    <w:rsid w:val="00B21439"/>
    <w:rsid w:val="00B21465"/>
    <w:rsid w:val="00B2160A"/>
    <w:rsid w:val="00B217F9"/>
    <w:rsid w:val="00B2191A"/>
    <w:rsid w:val="00B21B5C"/>
    <w:rsid w:val="00B21D52"/>
    <w:rsid w:val="00B21E34"/>
    <w:rsid w:val="00B21E66"/>
    <w:rsid w:val="00B21F84"/>
    <w:rsid w:val="00B2236B"/>
    <w:rsid w:val="00B2240A"/>
    <w:rsid w:val="00B224E7"/>
    <w:rsid w:val="00B22515"/>
    <w:rsid w:val="00B22D54"/>
    <w:rsid w:val="00B22ED5"/>
    <w:rsid w:val="00B23002"/>
    <w:rsid w:val="00B231E0"/>
    <w:rsid w:val="00B233E9"/>
    <w:rsid w:val="00B2369F"/>
    <w:rsid w:val="00B23A6B"/>
    <w:rsid w:val="00B23B22"/>
    <w:rsid w:val="00B23C48"/>
    <w:rsid w:val="00B23CA7"/>
    <w:rsid w:val="00B23EF5"/>
    <w:rsid w:val="00B24189"/>
    <w:rsid w:val="00B24374"/>
    <w:rsid w:val="00B24385"/>
    <w:rsid w:val="00B24532"/>
    <w:rsid w:val="00B24559"/>
    <w:rsid w:val="00B24742"/>
    <w:rsid w:val="00B247AD"/>
    <w:rsid w:val="00B24B31"/>
    <w:rsid w:val="00B24BF2"/>
    <w:rsid w:val="00B24C0E"/>
    <w:rsid w:val="00B24C34"/>
    <w:rsid w:val="00B24E48"/>
    <w:rsid w:val="00B24F67"/>
    <w:rsid w:val="00B25033"/>
    <w:rsid w:val="00B2519C"/>
    <w:rsid w:val="00B25272"/>
    <w:rsid w:val="00B2539B"/>
    <w:rsid w:val="00B25622"/>
    <w:rsid w:val="00B256BC"/>
    <w:rsid w:val="00B2587E"/>
    <w:rsid w:val="00B2599A"/>
    <w:rsid w:val="00B25B39"/>
    <w:rsid w:val="00B25C2D"/>
    <w:rsid w:val="00B25CC1"/>
    <w:rsid w:val="00B25D05"/>
    <w:rsid w:val="00B25E18"/>
    <w:rsid w:val="00B26011"/>
    <w:rsid w:val="00B26111"/>
    <w:rsid w:val="00B264A7"/>
    <w:rsid w:val="00B26571"/>
    <w:rsid w:val="00B26622"/>
    <w:rsid w:val="00B26669"/>
    <w:rsid w:val="00B26815"/>
    <w:rsid w:val="00B26B66"/>
    <w:rsid w:val="00B270E9"/>
    <w:rsid w:val="00B271F1"/>
    <w:rsid w:val="00B27295"/>
    <w:rsid w:val="00B272CF"/>
    <w:rsid w:val="00B276B4"/>
    <w:rsid w:val="00B2785A"/>
    <w:rsid w:val="00B27AD7"/>
    <w:rsid w:val="00B27C21"/>
    <w:rsid w:val="00B30038"/>
    <w:rsid w:val="00B30267"/>
    <w:rsid w:val="00B30294"/>
    <w:rsid w:val="00B303F6"/>
    <w:rsid w:val="00B30439"/>
    <w:rsid w:val="00B305C0"/>
    <w:rsid w:val="00B30730"/>
    <w:rsid w:val="00B3075E"/>
    <w:rsid w:val="00B307B7"/>
    <w:rsid w:val="00B309AE"/>
    <w:rsid w:val="00B30DB2"/>
    <w:rsid w:val="00B30DBB"/>
    <w:rsid w:val="00B30FFA"/>
    <w:rsid w:val="00B30FFD"/>
    <w:rsid w:val="00B311F6"/>
    <w:rsid w:val="00B313DF"/>
    <w:rsid w:val="00B313F5"/>
    <w:rsid w:val="00B3153E"/>
    <w:rsid w:val="00B3158C"/>
    <w:rsid w:val="00B31913"/>
    <w:rsid w:val="00B31A7C"/>
    <w:rsid w:val="00B31C02"/>
    <w:rsid w:val="00B31EAA"/>
    <w:rsid w:val="00B32174"/>
    <w:rsid w:val="00B3228E"/>
    <w:rsid w:val="00B3234D"/>
    <w:rsid w:val="00B3248F"/>
    <w:rsid w:val="00B325C9"/>
    <w:rsid w:val="00B325FB"/>
    <w:rsid w:val="00B32614"/>
    <w:rsid w:val="00B32E81"/>
    <w:rsid w:val="00B33227"/>
    <w:rsid w:val="00B3333C"/>
    <w:rsid w:val="00B333C0"/>
    <w:rsid w:val="00B333DD"/>
    <w:rsid w:val="00B33415"/>
    <w:rsid w:val="00B334C2"/>
    <w:rsid w:val="00B33566"/>
    <w:rsid w:val="00B336AF"/>
    <w:rsid w:val="00B3372C"/>
    <w:rsid w:val="00B339CA"/>
    <w:rsid w:val="00B34106"/>
    <w:rsid w:val="00B3463E"/>
    <w:rsid w:val="00B346A9"/>
    <w:rsid w:val="00B3470A"/>
    <w:rsid w:val="00B34B2E"/>
    <w:rsid w:val="00B34B84"/>
    <w:rsid w:val="00B35241"/>
    <w:rsid w:val="00B353AC"/>
    <w:rsid w:val="00B353F5"/>
    <w:rsid w:val="00B35626"/>
    <w:rsid w:val="00B35897"/>
    <w:rsid w:val="00B35AC3"/>
    <w:rsid w:val="00B35B9B"/>
    <w:rsid w:val="00B35BB5"/>
    <w:rsid w:val="00B35C29"/>
    <w:rsid w:val="00B35D26"/>
    <w:rsid w:val="00B35D95"/>
    <w:rsid w:val="00B35FB6"/>
    <w:rsid w:val="00B36028"/>
    <w:rsid w:val="00B36180"/>
    <w:rsid w:val="00B36228"/>
    <w:rsid w:val="00B3636B"/>
    <w:rsid w:val="00B36925"/>
    <w:rsid w:val="00B36944"/>
    <w:rsid w:val="00B369A3"/>
    <w:rsid w:val="00B36A17"/>
    <w:rsid w:val="00B36BA4"/>
    <w:rsid w:val="00B36C9A"/>
    <w:rsid w:val="00B36F52"/>
    <w:rsid w:val="00B370C6"/>
    <w:rsid w:val="00B3713B"/>
    <w:rsid w:val="00B3720C"/>
    <w:rsid w:val="00B3732A"/>
    <w:rsid w:val="00B373CD"/>
    <w:rsid w:val="00B375BD"/>
    <w:rsid w:val="00B37614"/>
    <w:rsid w:val="00B3770C"/>
    <w:rsid w:val="00B37823"/>
    <w:rsid w:val="00B37950"/>
    <w:rsid w:val="00B37A15"/>
    <w:rsid w:val="00B37B84"/>
    <w:rsid w:val="00B37CA3"/>
    <w:rsid w:val="00B37D04"/>
    <w:rsid w:val="00B37DCF"/>
    <w:rsid w:val="00B37F32"/>
    <w:rsid w:val="00B4005D"/>
    <w:rsid w:val="00B40064"/>
    <w:rsid w:val="00B40165"/>
    <w:rsid w:val="00B403A4"/>
    <w:rsid w:val="00B404B4"/>
    <w:rsid w:val="00B406AC"/>
    <w:rsid w:val="00B40900"/>
    <w:rsid w:val="00B40A46"/>
    <w:rsid w:val="00B40BFD"/>
    <w:rsid w:val="00B40D97"/>
    <w:rsid w:val="00B41158"/>
    <w:rsid w:val="00B4142B"/>
    <w:rsid w:val="00B414E1"/>
    <w:rsid w:val="00B41668"/>
    <w:rsid w:val="00B4170D"/>
    <w:rsid w:val="00B41813"/>
    <w:rsid w:val="00B418F4"/>
    <w:rsid w:val="00B41F82"/>
    <w:rsid w:val="00B420FB"/>
    <w:rsid w:val="00B421BF"/>
    <w:rsid w:val="00B421FE"/>
    <w:rsid w:val="00B423E2"/>
    <w:rsid w:val="00B4252D"/>
    <w:rsid w:val="00B4274C"/>
    <w:rsid w:val="00B427AB"/>
    <w:rsid w:val="00B42826"/>
    <w:rsid w:val="00B42BC7"/>
    <w:rsid w:val="00B42C55"/>
    <w:rsid w:val="00B42DB3"/>
    <w:rsid w:val="00B42EA3"/>
    <w:rsid w:val="00B43024"/>
    <w:rsid w:val="00B43038"/>
    <w:rsid w:val="00B430A7"/>
    <w:rsid w:val="00B431BD"/>
    <w:rsid w:val="00B4325F"/>
    <w:rsid w:val="00B432D7"/>
    <w:rsid w:val="00B434B1"/>
    <w:rsid w:val="00B437CC"/>
    <w:rsid w:val="00B43EF3"/>
    <w:rsid w:val="00B441DF"/>
    <w:rsid w:val="00B44609"/>
    <w:rsid w:val="00B44686"/>
    <w:rsid w:val="00B447A4"/>
    <w:rsid w:val="00B447D2"/>
    <w:rsid w:val="00B447F4"/>
    <w:rsid w:val="00B44807"/>
    <w:rsid w:val="00B44841"/>
    <w:rsid w:val="00B448BB"/>
    <w:rsid w:val="00B44CE2"/>
    <w:rsid w:val="00B44D84"/>
    <w:rsid w:val="00B45171"/>
    <w:rsid w:val="00B451E9"/>
    <w:rsid w:val="00B452A9"/>
    <w:rsid w:val="00B455AD"/>
    <w:rsid w:val="00B458D4"/>
    <w:rsid w:val="00B45917"/>
    <w:rsid w:val="00B459C9"/>
    <w:rsid w:val="00B45AE8"/>
    <w:rsid w:val="00B45BC8"/>
    <w:rsid w:val="00B45F60"/>
    <w:rsid w:val="00B45F99"/>
    <w:rsid w:val="00B46094"/>
    <w:rsid w:val="00B4611A"/>
    <w:rsid w:val="00B466C1"/>
    <w:rsid w:val="00B467A0"/>
    <w:rsid w:val="00B46A76"/>
    <w:rsid w:val="00B46B92"/>
    <w:rsid w:val="00B46C11"/>
    <w:rsid w:val="00B46D5E"/>
    <w:rsid w:val="00B46DE5"/>
    <w:rsid w:val="00B46FFC"/>
    <w:rsid w:val="00B46FFF"/>
    <w:rsid w:val="00B4737F"/>
    <w:rsid w:val="00B4744F"/>
    <w:rsid w:val="00B4750A"/>
    <w:rsid w:val="00B475C1"/>
    <w:rsid w:val="00B476DA"/>
    <w:rsid w:val="00B477DB"/>
    <w:rsid w:val="00B479BC"/>
    <w:rsid w:val="00B47B25"/>
    <w:rsid w:val="00B47B9C"/>
    <w:rsid w:val="00B47CA6"/>
    <w:rsid w:val="00B47E67"/>
    <w:rsid w:val="00B47E9D"/>
    <w:rsid w:val="00B47FE9"/>
    <w:rsid w:val="00B50611"/>
    <w:rsid w:val="00B507AB"/>
    <w:rsid w:val="00B50A3F"/>
    <w:rsid w:val="00B50A44"/>
    <w:rsid w:val="00B50A88"/>
    <w:rsid w:val="00B50D91"/>
    <w:rsid w:val="00B50E59"/>
    <w:rsid w:val="00B50F31"/>
    <w:rsid w:val="00B510BF"/>
    <w:rsid w:val="00B51387"/>
    <w:rsid w:val="00B51465"/>
    <w:rsid w:val="00B514A2"/>
    <w:rsid w:val="00B51690"/>
    <w:rsid w:val="00B5197B"/>
    <w:rsid w:val="00B51B55"/>
    <w:rsid w:val="00B51DA4"/>
    <w:rsid w:val="00B51DC1"/>
    <w:rsid w:val="00B52561"/>
    <w:rsid w:val="00B526E6"/>
    <w:rsid w:val="00B529CD"/>
    <w:rsid w:val="00B52A4F"/>
    <w:rsid w:val="00B52A7E"/>
    <w:rsid w:val="00B52AC3"/>
    <w:rsid w:val="00B52E8B"/>
    <w:rsid w:val="00B52F35"/>
    <w:rsid w:val="00B5304F"/>
    <w:rsid w:val="00B530CF"/>
    <w:rsid w:val="00B530E9"/>
    <w:rsid w:val="00B53120"/>
    <w:rsid w:val="00B531EA"/>
    <w:rsid w:val="00B532E7"/>
    <w:rsid w:val="00B533D0"/>
    <w:rsid w:val="00B53423"/>
    <w:rsid w:val="00B536E5"/>
    <w:rsid w:val="00B537A2"/>
    <w:rsid w:val="00B538CC"/>
    <w:rsid w:val="00B53AE1"/>
    <w:rsid w:val="00B53B3A"/>
    <w:rsid w:val="00B53B52"/>
    <w:rsid w:val="00B53BBA"/>
    <w:rsid w:val="00B53D29"/>
    <w:rsid w:val="00B53E17"/>
    <w:rsid w:val="00B54140"/>
    <w:rsid w:val="00B54406"/>
    <w:rsid w:val="00B544EB"/>
    <w:rsid w:val="00B54558"/>
    <w:rsid w:val="00B5493D"/>
    <w:rsid w:val="00B5494B"/>
    <w:rsid w:val="00B54957"/>
    <w:rsid w:val="00B54A89"/>
    <w:rsid w:val="00B54B5E"/>
    <w:rsid w:val="00B54BFE"/>
    <w:rsid w:val="00B54E57"/>
    <w:rsid w:val="00B54F8E"/>
    <w:rsid w:val="00B54FE0"/>
    <w:rsid w:val="00B55058"/>
    <w:rsid w:val="00B55524"/>
    <w:rsid w:val="00B555B6"/>
    <w:rsid w:val="00B556E0"/>
    <w:rsid w:val="00B55808"/>
    <w:rsid w:val="00B558BC"/>
    <w:rsid w:val="00B558DC"/>
    <w:rsid w:val="00B560F1"/>
    <w:rsid w:val="00B56261"/>
    <w:rsid w:val="00B56342"/>
    <w:rsid w:val="00B563F1"/>
    <w:rsid w:val="00B5641C"/>
    <w:rsid w:val="00B56508"/>
    <w:rsid w:val="00B56637"/>
    <w:rsid w:val="00B566B5"/>
    <w:rsid w:val="00B56F2A"/>
    <w:rsid w:val="00B56F5C"/>
    <w:rsid w:val="00B56F9D"/>
    <w:rsid w:val="00B571DE"/>
    <w:rsid w:val="00B57303"/>
    <w:rsid w:val="00B5743E"/>
    <w:rsid w:val="00B575BF"/>
    <w:rsid w:val="00B57765"/>
    <w:rsid w:val="00B57A41"/>
    <w:rsid w:val="00B57AAF"/>
    <w:rsid w:val="00B57C20"/>
    <w:rsid w:val="00B57C37"/>
    <w:rsid w:val="00B60413"/>
    <w:rsid w:val="00B6078F"/>
    <w:rsid w:val="00B6085D"/>
    <w:rsid w:val="00B60BFB"/>
    <w:rsid w:val="00B60C69"/>
    <w:rsid w:val="00B60C82"/>
    <w:rsid w:val="00B610A0"/>
    <w:rsid w:val="00B610DF"/>
    <w:rsid w:val="00B610F7"/>
    <w:rsid w:val="00B61176"/>
    <w:rsid w:val="00B6120F"/>
    <w:rsid w:val="00B6125C"/>
    <w:rsid w:val="00B612EA"/>
    <w:rsid w:val="00B613AD"/>
    <w:rsid w:val="00B61704"/>
    <w:rsid w:val="00B61783"/>
    <w:rsid w:val="00B61941"/>
    <w:rsid w:val="00B61966"/>
    <w:rsid w:val="00B61A0C"/>
    <w:rsid w:val="00B61C66"/>
    <w:rsid w:val="00B61F74"/>
    <w:rsid w:val="00B61FBD"/>
    <w:rsid w:val="00B620E4"/>
    <w:rsid w:val="00B62254"/>
    <w:rsid w:val="00B62490"/>
    <w:rsid w:val="00B624D9"/>
    <w:rsid w:val="00B62604"/>
    <w:rsid w:val="00B628BA"/>
    <w:rsid w:val="00B62930"/>
    <w:rsid w:val="00B62986"/>
    <w:rsid w:val="00B62ADE"/>
    <w:rsid w:val="00B62CC4"/>
    <w:rsid w:val="00B62DF2"/>
    <w:rsid w:val="00B62E62"/>
    <w:rsid w:val="00B62EFD"/>
    <w:rsid w:val="00B62FD3"/>
    <w:rsid w:val="00B637BD"/>
    <w:rsid w:val="00B638FF"/>
    <w:rsid w:val="00B6392A"/>
    <w:rsid w:val="00B63AF0"/>
    <w:rsid w:val="00B63C44"/>
    <w:rsid w:val="00B63CA7"/>
    <w:rsid w:val="00B63E19"/>
    <w:rsid w:val="00B63E6B"/>
    <w:rsid w:val="00B63F78"/>
    <w:rsid w:val="00B63FC0"/>
    <w:rsid w:val="00B64332"/>
    <w:rsid w:val="00B64349"/>
    <w:rsid w:val="00B646A5"/>
    <w:rsid w:val="00B649A7"/>
    <w:rsid w:val="00B64AD4"/>
    <w:rsid w:val="00B64FB8"/>
    <w:rsid w:val="00B65055"/>
    <w:rsid w:val="00B65196"/>
    <w:rsid w:val="00B65395"/>
    <w:rsid w:val="00B654CF"/>
    <w:rsid w:val="00B658E0"/>
    <w:rsid w:val="00B65BC9"/>
    <w:rsid w:val="00B65C91"/>
    <w:rsid w:val="00B661C8"/>
    <w:rsid w:val="00B664E7"/>
    <w:rsid w:val="00B6681A"/>
    <w:rsid w:val="00B66866"/>
    <w:rsid w:val="00B66A54"/>
    <w:rsid w:val="00B66A87"/>
    <w:rsid w:val="00B66B1D"/>
    <w:rsid w:val="00B66F96"/>
    <w:rsid w:val="00B6707E"/>
    <w:rsid w:val="00B673E7"/>
    <w:rsid w:val="00B6747C"/>
    <w:rsid w:val="00B676CA"/>
    <w:rsid w:val="00B678D0"/>
    <w:rsid w:val="00B67962"/>
    <w:rsid w:val="00B67A5C"/>
    <w:rsid w:val="00B67F0D"/>
    <w:rsid w:val="00B67FB6"/>
    <w:rsid w:val="00B70206"/>
    <w:rsid w:val="00B70604"/>
    <w:rsid w:val="00B70A04"/>
    <w:rsid w:val="00B70AC1"/>
    <w:rsid w:val="00B70DB5"/>
    <w:rsid w:val="00B70E2E"/>
    <w:rsid w:val="00B70F3C"/>
    <w:rsid w:val="00B71042"/>
    <w:rsid w:val="00B710D1"/>
    <w:rsid w:val="00B71230"/>
    <w:rsid w:val="00B712D0"/>
    <w:rsid w:val="00B715DB"/>
    <w:rsid w:val="00B71601"/>
    <w:rsid w:val="00B71699"/>
    <w:rsid w:val="00B71C0D"/>
    <w:rsid w:val="00B71D0B"/>
    <w:rsid w:val="00B71EA7"/>
    <w:rsid w:val="00B7205B"/>
    <w:rsid w:val="00B72153"/>
    <w:rsid w:val="00B72235"/>
    <w:rsid w:val="00B722B3"/>
    <w:rsid w:val="00B722C4"/>
    <w:rsid w:val="00B7266D"/>
    <w:rsid w:val="00B72781"/>
    <w:rsid w:val="00B727A2"/>
    <w:rsid w:val="00B72866"/>
    <w:rsid w:val="00B7290C"/>
    <w:rsid w:val="00B7295F"/>
    <w:rsid w:val="00B72C8B"/>
    <w:rsid w:val="00B72CEC"/>
    <w:rsid w:val="00B72E0F"/>
    <w:rsid w:val="00B72E54"/>
    <w:rsid w:val="00B73285"/>
    <w:rsid w:val="00B73389"/>
    <w:rsid w:val="00B734A4"/>
    <w:rsid w:val="00B73638"/>
    <w:rsid w:val="00B73684"/>
    <w:rsid w:val="00B736E6"/>
    <w:rsid w:val="00B736EF"/>
    <w:rsid w:val="00B7392B"/>
    <w:rsid w:val="00B73F9C"/>
    <w:rsid w:val="00B74107"/>
    <w:rsid w:val="00B74157"/>
    <w:rsid w:val="00B74349"/>
    <w:rsid w:val="00B7451E"/>
    <w:rsid w:val="00B74755"/>
    <w:rsid w:val="00B7476F"/>
    <w:rsid w:val="00B747E8"/>
    <w:rsid w:val="00B74C0D"/>
    <w:rsid w:val="00B751E1"/>
    <w:rsid w:val="00B75514"/>
    <w:rsid w:val="00B7552C"/>
    <w:rsid w:val="00B757B0"/>
    <w:rsid w:val="00B757E5"/>
    <w:rsid w:val="00B75869"/>
    <w:rsid w:val="00B75C68"/>
    <w:rsid w:val="00B75D10"/>
    <w:rsid w:val="00B75DC6"/>
    <w:rsid w:val="00B75DFE"/>
    <w:rsid w:val="00B75ED3"/>
    <w:rsid w:val="00B76044"/>
    <w:rsid w:val="00B7607D"/>
    <w:rsid w:val="00B76089"/>
    <w:rsid w:val="00B76142"/>
    <w:rsid w:val="00B7617B"/>
    <w:rsid w:val="00B7623C"/>
    <w:rsid w:val="00B765F6"/>
    <w:rsid w:val="00B76679"/>
    <w:rsid w:val="00B7691E"/>
    <w:rsid w:val="00B769EB"/>
    <w:rsid w:val="00B76C8D"/>
    <w:rsid w:val="00B76F87"/>
    <w:rsid w:val="00B7704B"/>
    <w:rsid w:val="00B770A6"/>
    <w:rsid w:val="00B7712E"/>
    <w:rsid w:val="00B771CC"/>
    <w:rsid w:val="00B77437"/>
    <w:rsid w:val="00B77710"/>
    <w:rsid w:val="00B77716"/>
    <w:rsid w:val="00B7778A"/>
    <w:rsid w:val="00B77870"/>
    <w:rsid w:val="00B77932"/>
    <w:rsid w:val="00B77AD8"/>
    <w:rsid w:val="00B77CCC"/>
    <w:rsid w:val="00B77DD0"/>
    <w:rsid w:val="00B8023D"/>
    <w:rsid w:val="00B802C8"/>
    <w:rsid w:val="00B80374"/>
    <w:rsid w:val="00B8037C"/>
    <w:rsid w:val="00B803A1"/>
    <w:rsid w:val="00B80801"/>
    <w:rsid w:val="00B80A6C"/>
    <w:rsid w:val="00B80BA8"/>
    <w:rsid w:val="00B80BE6"/>
    <w:rsid w:val="00B80D63"/>
    <w:rsid w:val="00B80E73"/>
    <w:rsid w:val="00B80FB7"/>
    <w:rsid w:val="00B80FCB"/>
    <w:rsid w:val="00B810FC"/>
    <w:rsid w:val="00B8112C"/>
    <w:rsid w:val="00B8117E"/>
    <w:rsid w:val="00B813F7"/>
    <w:rsid w:val="00B814F2"/>
    <w:rsid w:val="00B814F7"/>
    <w:rsid w:val="00B81934"/>
    <w:rsid w:val="00B81A12"/>
    <w:rsid w:val="00B81A8D"/>
    <w:rsid w:val="00B81CDD"/>
    <w:rsid w:val="00B81F38"/>
    <w:rsid w:val="00B82052"/>
    <w:rsid w:val="00B82061"/>
    <w:rsid w:val="00B8223A"/>
    <w:rsid w:val="00B82295"/>
    <w:rsid w:val="00B824C0"/>
    <w:rsid w:val="00B8263A"/>
    <w:rsid w:val="00B82BC1"/>
    <w:rsid w:val="00B82C72"/>
    <w:rsid w:val="00B82D89"/>
    <w:rsid w:val="00B836A5"/>
    <w:rsid w:val="00B837B9"/>
    <w:rsid w:val="00B838DE"/>
    <w:rsid w:val="00B83A77"/>
    <w:rsid w:val="00B83AAA"/>
    <w:rsid w:val="00B83B62"/>
    <w:rsid w:val="00B83BD5"/>
    <w:rsid w:val="00B83DE6"/>
    <w:rsid w:val="00B83F4B"/>
    <w:rsid w:val="00B840F4"/>
    <w:rsid w:val="00B842DD"/>
    <w:rsid w:val="00B8439D"/>
    <w:rsid w:val="00B8441E"/>
    <w:rsid w:val="00B84676"/>
    <w:rsid w:val="00B846F8"/>
    <w:rsid w:val="00B84754"/>
    <w:rsid w:val="00B84765"/>
    <w:rsid w:val="00B8496A"/>
    <w:rsid w:val="00B84A4E"/>
    <w:rsid w:val="00B84F37"/>
    <w:rsid w:val="00B85021"/>
    <w:rsid w:val="00B852CF"/>
    <w:rsid w:val="00B8535F"/>
    <w:rsid w:val="00B85392"/>
    <w:rsid w:val="00B8574C"/>
    <w:rsid w:val="00B85933"/>
    <w:rsid w:val="00B8593F"/>
    <w:rsid w:val="00B85D51"/>
    <w:rsid w:val="00B85EFD"/>
    <w:rsid w:val="00B85FE3"/>
    <w:rsid w:val="00B85FF7"/>
    <w:rsid w:val="00B860CB"/>
    <w:rsid w:val="00B86300"/>
    <w:rsid w:val="00B86694"/>
    <w:rsid w:val="00B86979"/>
    <w:rsid w:val="00B86AAB"/>
    <w:rsid w:val="00B86C5E"/>
    <w:rsid w:val="00B8767E"/>
    <w:rsid w:val="00B87810"/>
    <w:rsid w:val="00B878AE"/>
    <w:rsid w:val="00B878CD"/>
    <w:rsid w:val="00B87A89"/>
    <w:rsid w:val="00B87C20"/>
    <w:rsid w:val="00B900E9"/>
    <w:rsid w:val="00B9032A"/>
    <w:rsid w:val="00B90341"/>
    <w:rsid w:val="00B90359"/>
    <w:rsid w:val="00B903E1"/>
    <w:rsid w:val="00B90531"/>
    <w:rsid w:val="00B90923"/>
    <w:rsid w:val="00B90A1C"/>
    <w:rsid w:val="00B90D25"/>
    <w:rsid w:val="00B90DAA"/>
    <w:rsid w:val="00B910F8"/>
    <w:rsid w:val="00B9150F"/>
    <w:rsid w:val="00B9163D"/>
    <w:rsid w:val="00B9189F"/>
    <w:rsid w:val="00B919F5"/>
    <w:rsid w:val="00B91B9E"/>
    <w:rsid w:val="00B91CB1"/>
    <w:rsid w:val="00B91FB4"/>
    <w:rsid w:val="00B92126"/>
    <w:rsid w:val="00B9221B"/>
    <w:rsid w:val="00B9249B"/>
    <w:rsid w:val="00B9253D"/>
    <w:rsid w:val="00B9290D"/>
    <w:rsid w:val="00B92A39"/>
    <w:rsid w:val="00B92B29"/>
    <w:rsid w:val="00B92DAE"/>
    <w:rsid w:val="00B92DC5"/>
    <w:rsid w:val="00B92DE1"/>
    <w:rsid w:val="00B930E5"/>
    <w:rsid w:val="00B934BE"/>
    <w:rsid w:val="00B93584"/>
    <w:rsid w:val="00B9371A"/>
    <w:rsid w:val="00B9374B"/>
    <w:rsid w:val="00B9383E"/>
    <w:rsid w:val="00B93C17"/>
    <w:rsid w:val="00B93E5A"/>
    <w:rsid w:val="00B93E78"/>
    <w:rsid w:val="00B93E7A"/>
    <w:rsid w:val="00B93FDB"/>
    <w:rsid w:val="00B943D4"/>
    <w:rsid w:val="00B943EC"/>
    <w:rsid w:val="00B94409"/>
    <w:rsid w:val="00B94973"/>
    <w:rsid w:val="00B94A29"/>
    <w:rsid w:val="00B94B1C"/>
    <w:rsid w:val="00B94C50"/>
    <w:rsid w:val="00B94D05"/>
    <w:rsid w:val="00B94DAF"/>
    <w:rsid w:val="00B94E09"/>
    <w:rsid w:val="00B950A7"/>
    <w:rsid w:val="00B95181"/>
    <w:rsid w:val="00B95203"/>
    <w:rsid w:val="00B95264"/>
    <w:rsid w:val="00B952FE"/>
    <w:rsid w:val="00B9533C"/>
    <w:rsid w:val="00B9536C"/>
    <w:rsid w:val="00B95604"/>
    <w:rsid w:val="00B958DF"/>
    <w:rsid w:val="00B95B01"/>
    <w:rsid w:val="00B95DF0"/>
    <w:rsid w:val="00B95E1E"/>
    <w:rsid w:val="00B95F18"/>
    <w:rsid w:val="00B961E6"/>
    <w:rsid w:val="00B961ED"/>
    <w:rsid w:val="00B96645"/>
    <w:rsid w:val="00B96787"/>
    <w:rsid w:val="00B968FD"/>
    <w:rsid w:val="00B96A36"/>
    <w:rsid w:val="00B96A42"/>
    <w:rsid w:val="00B96AC8"/>
    <w:rsid w:val="00B96ACA"/>
    <w:rsid w:val="00B96B08"/>
    <w:rsid w:val="00B96F0B"/>
    <w:rsid w:val="00B96F2B"/>
    <w:rsid w:val="00B9711B"/>
    <w:rsid w:val="00B971FF"/>
    <w:rsid w:val="00B9721E"/>
    <w:rsid w:val="00B972DC"/>
    <w:rsid w:val="00B97372"/>
    <w:rsid w:val="00B974D6"/>
    <w:rsid w:val="00B9758F"/>
    <w:rsid w:val="00B975F0"/>
    <w:rsid w:val="00B9762D"/>
    <w:rsid w:val="00B978D4"/>
    <w:rsid w:val="00B97930"/>
    <w:rsid w:val="00B97B0B"/>
    <w:rsid w:val="00B97BD7"/>
    <w:rsid w:val="00B97C0E"/>
    <w:rsid w:val="00B97C71"/>
    <w:rsid w:val="00B97D18"/>
    <w:rsid w:val="00B97D3B"/>
    <w:rsid w:val="00B97EF5"/>
    <w:rsid w:val="00BA0205"/>
    <w:rsid w:val="00BA034A"/>
    <w:rsid w:val="00BA0768"/>
    <w:rsid w:val="00BA07A7"/>
    <w:rsid w:val="00BA0846"/>
    <w:rsid w:val="00BA08AF"/>
    <w:rsid w:val="00BA08E4"/>
    <w:rsid w:val="00BA0A06"/>
    <w:rsid w:val="00BA0ABF"/>
    <w:rsid w:val="00BA0AD9"/>
    <w:rsid w:val="00BA1154"/>
    <w:rsid w:val="00BA131D"/>
    <w:rsid w:val="00BA1432"/>
    <w:rsid w:val="00BA149C"/>
    <w:rsid w:val="00BA154B"/>
    <w:rsid w:val="00BA19D1"/>
    <w:rsid w:val="00BA1A5B"/>
    <w:rsid w:val="00BA1AEE"/>
    <w:rsid w:val="00BA1E0A"/>
    <w:rsid w:val="00BA1E5D"/>
    <w:rsid w:val="00BA1FFB"/>
    <w:rsid w:val="00BA224B"/>
    <w:rsid w:val="00BA22D7"/>
    <w:rsid w:val="00BA23F9"/>
    <w:rsid w:val="00BA29E3"/>
    <w:rsid w:val="00BA2B02"/>
    <w:rsid w:val="00BA2B0F"/>
    <w:rsid w:val="00BA2B3F"/>
    <w:rsid w:val="00BA2CC6"/>
    <w:rsid w:val="00BA2D00"/>
    <w:rsid w:val="00BA2EAB"/>
    <w:rsid w:val="00BA2F18"/>
    <w:rsid w:val="00BA2FB7"/>
    <w:rsid w:val="00BA30F0"/>
    <w:rsid w:val="00BA35E2"/>
    <w:rsid w:val="00BA3939"/>
    <w:rsid w:val="00BA3D45"/>
    <w:rsid w:val="00BA3E20"/>
    <w:rsid w:val="00BA3F83"/>
    <w:rsid w:val="00BA425A"/>
    <w:rsid w:val="00BA43EB"/>
    <w:rsid w:val="00BA4609"/>
    <w:rsid w:val="00BA4613"/>
    <w:rsid w:val="00BA468F"/>
    <w:rsid w:val="00BA4A65"/>
    <w:rsid w:val="00BA4B9E"/>
    <w:rsid w:val="00BA4BC2"/>
    <w:rsid w:val="00BA4E45"/>
    <w:rsid w:val="00BA5232"/>
    <w:rsid w:val="00BA5294"/>
    <w:rsid w:val="00BA52C5"/>
    <w:rsid w:val="00BA52E5"/>
    <w:rsid w:val="00BA5382"/>
    <w:rsid w:val="00BA57D9"/>
    <w:rsid w:val="00BA5891"/>
    <w:rsid w:val="00BA598A"/>
    <w:rsid w:val="00BA59FB"/>
    <w:rsid w:val="00BA5ADC"/>
    <w:rsid w:val="00BA5CE2"/>
    <w:rsid w:val="00BA5DF2"/>
    <w:rsid w:val="00BA600D"/>
    <w:rsid w:val="00BA627E"/>
    <w:rsid w:val="00BA629F"/>
    <w:rsid w:val="00BA63D9"/>
    <w:rsid w:val="00BA64D7"/>
    <w:rsid w:val="00BA65D2"/>
    <w:rsid w:val="00BA6BB4"/>
    <w:rsid w:val="00BA6BE0"/>
    <w:rsid w:val="00BA6D42"/>
    <w:rsid w:val="00BA6DDF"/>
    <w:rsid w:val="00BA7093"/>
    <w:rsid w:val="00BA747A"/>
    <w:rsid w:val="00BA7525"/>
    <w:rsid w:val="00BA7961"/>
    <w:rsid w:val="00BA79B2"/>
    <w:rsid w:val="00BA7AA5"/>
    <w:rsid w:val="00BA7B90"/>
    <w:rsid w:val="00BA7CD4"/>
    <w:rsid w:val="00BA7E53"/>
    <w:rsid w:val="00BA7EC3"/>
    <w:rsid w:val="00BA7FD1"/>
    <w:rsid w:val="00BB01FB"/>
    <w:rsid w:val="00BB046F"/>
    <w:rsid w:val="00BB0783"/>
    <w:rsid w:val="00BB0922"/>
    <w:rsid w:val="00BB0A47"/>
    <w:rsid w:val="00BB0B55"/>
    <w:rsid w:val="00BB0B80"/>
    <w:rsid w:val="00BB0C0F"/>
    <w:rsid w:val="00BB0D21"/>
    <w:rsid w:val="00BB0DF9"/>
    <w:rsid w:val="00BB0FCE"/>
    <w:rsid w:val="00BB1069"/>
    <w:rsid w:val="00BB1107"/>
    <w:rsid w:val="00BB1156"/>
    <w:rsid w:val="00BB14A3"/>
    <w:rsid w:val="00BB18E7"/>
    <w:rsid w:val="00BB195C"/>
    <w:rsid w:val="00BB1999"/>
    <w:rsid w:val="00BB1B30"/>
    <w:rsid w:val="00BB1BE3"/>
    <w:rsid w:val="00BB1CC9"/>
    <w:rsid w:val="00BB1D5C"/>
    <w:rsid w:val="00BB1F56"/>
    <w:rsid w:val="00BB1FB7"/>
    <w:rsid w:val="00BB2064"/>
    <w:rsid w:val="00BB22CF"/>
    <w:rsid w:val="00BB269A"/>
    <w:rsid w:val="00BB2764"/>
    <w:rsid w:val="00BB28D0"/>
    <w:rsid w:val="00BB2B20"/>
    <w:rsid w:val="00BB331B"/>
    <w:rsid w:val="00BB35B7"/>
    <w:rsid w:val="00BB3765"/>
    <w:rsid w:val="00BB3859"/>
    <w:rsid w:val="00BB38A2"/>
    <w:rsid w:val="00BB3A7B"/>
    <w:rsid w:val="00BB3ACB"/>
    <w:rsid w:val="00BB3D42"/>
    <w:rsid w:val="00BB3F87"/>
    <w:rsid w:val="00BB4066"/>
    <w:rsid w:val="00BB40D7"/>
    <w:rsid w:val="00BB417F"/>
    <w:rsid w:val="00BB4313"/>
    <w:rsid w:val="00BB443A"/>
    <w:rsid w:val="00BB4581"/>
    <w:rsid w:val="00BB4782"/>
    <w:rsid w:val="00BB483D"/>
    <w:rsid w:val="00BB48F9"/>
    <w:rsid w:val="00BB4A3F"/>
    <w:rsid w:val="00BB4A4D"/>
    <w:rsid w:val="00BB4B01"/>
    <w:rsid w:val="00BB4B2D"/>
    <w:rsid w:val="00BB4B4D"/>
    <w:rsid w:val="00BB4C08"/>
    <w:rsid w:val="00BB4C52"/>
    <w:rsid w:val="00BB4E13"/>
    <w:rsid w:val="00BB506B"/>
    <w:rsid w:val="00BB535E"/>
    <w:rsid w:val="00BB53B8"/>
    <w:rsid w:val="00BB552A"/>
    <w:rsid w:val="00BB56D3"/>
    <w:rsid w:val="00BB591D"/>
    <w:rsid w:val="00BB5935"/>
    <w:rsid w:val="00BB59B0"/>
    <w:rsid w:val="00BB59D6"/>
    <w:rsid w:val="00BB5DC3"/>
    <w:rsid w:val="00BB5EC3"/>
    <w:rsid w:val="00BB638B"/>
    <w:rsid w:val="00BB63B9"/>
    <w:rsid w:val="00BB63EB"/>
    <w:rsid w:val="00BB66BA"/>
    <w:rsid w:val="00BB6852"/>
    <w:rsid w:val="00BB6967"/>
    <w:rsid w:val="00BB6AEC"/>
    <w:rsid w:val="00BB6B09"/>
    <w:rsid w:val="00BB6CC3"/>
    <w:rsid w:val="00BB6F1F"/>
    <w:rsid w:val="00BB6F25"/>
    <w:rsid w:val="00BB6FA8"/>
    <w:rsid w:val="00BB72B0"/>
    <w:rsid w:val="00BB72DB"/>
    <w:rsid w:val="00BB734E"/>
    <w:rsid w:val="00BB7376"/>
    <w:rsid w:val="00BB73DA"/>
    <w:rsid w:val="00BB756B"/>
    <w:rsid w:val="00BB78BA"/>
    <w:rsid w:val="00BB790C"/>
    <w:rsid w:val="00BB79F2"/>
    <w:rsid w:val="00BB7CFF"/>
    <w:rsid w:val="00BB7D41"/>
    <w:rsid w:val="00BB7FEE"/>
    <w:rsid w:val="00BC0187"/>
    <w:rsid w:val="00BC01B7"/>
    <w:rsid w:val="00BC0310"/>
    <w:rsid w:val="00BC0730"/>
    <w:rsid w:val="00BC09C8"/>
    <w:rsid w:val="00BC0B72"/>
    <w:rsid w:val="00BC0D4E"/>
    <w:rsid w:val="00BC0D98"/>
    <w:rsid w:val="00BC0E74"/>
    <w:rsid w:val="00BC0F65"/>
    <w:rsid w:val="00BC0F95"/>
    <w:rsid w:val="00BC0FF6"/>
    <w:rsid w:val="00BC1559"/>
    <w:rsid w:val="00BC15BC"/>
    <w:rsid w:val="00BC15DE"/>
    <w:rsid w:val="00BC17C8"/>
    <w:rsid w:val="00BC17EB"/>
    <w:rsid w:val="00BC1953"/>
    <w:rsid w:val="00BC1B31"/>
    <w:rsid w:val="00BC1D42"/>
    <w:rsid w:val="00BC1EDB"/>
    <w:rsid w:val="00BC1F0B"/>
    <w:rsid w:val="00BC1F48"/>
    <w:rsid w:val="00BC20B4"/>
    <w:rsid w:val="00BC221D"/>
    <w:rsid w:val="00BC23D4"/>
    <w:rsid w:val="00BC266A"/>
    <w:rsid w:val="00BC269F"/>
    <w:rsid w:val="00BC2710"/>
    <w:rsid w:val="00BC2845"/>
    <w:rsid w:val="00BC28D5"/>
    <w:rsid w:val="00BC2999"/>
    <w:rsid w:val="00BC2C2B"/>
    <w:rsid w:val="00BC2C7C"/>
    <w:rsid w:val="00BC2CE4"/>
    <w:rsid w:val="00BC2CF8"/>
    <w:rsid w:val="00BC2D7A"/>
    <w:rsid w:val="00BC2E10"/>
    <w:rsid w:val="00BC2F4C"/>
    <w:rsid w:val="00BC369C"/>
    <w:rsid w:val="00BC3812"/>
    <w:rsid w:val="00BC389F"/>
    <w:rsid w:val="00BC3B4F"/>
    <w:rsid w:val="00BC3C1D"/>
    <w:rsid w:val="00BC3D90"/>
    <w:rsid w:val="00BC3E3E"/>
    <w:rsid w:val="00BC3F2B"/>
    <w:rsid w:val="00BC4194"/>
    <w:rsid w:val="00BC432A"/>
    <w:rsid w:val="00BC4633"/>
    <w:rsid w:val="00BC47AB"/>
    <w:rsid w:val="00BC4972"/>
    <w:rsid w:val="00BC4D77"/>
    <w:rsid w:val="00BC5062"/>
    <w:rsid w:val="00BC522C"/>
    <w:rsid w:val="00BC5318"/>
    <w:rsid w:val="00BC53E4"/>
    <w:rsid w:val="00BC53F0"/>
    <w:rsid w:val="00BC54A6"/>
    <w:rsid w:val="00BC54A9"/>
    <w:rsid w:val="00BC54AC"/>
    <w:rsid w:val="00BC5673"/>
    <w:rsid w:val="00BC57FF"/>
    <w:rsid w:val="00BC5863"/>
    <w:rsid w:val="00BC5B52"/>
    <w:rsid w:val="00BC5B70"/>
    <w:rsid w:val="00BC5CAE"/>
    <w:rsid w:val="00BC5D6F"/>
    <w:rsid w:val="00BC5E2F"/>
    <w:rsid w:val="00BC60D6"/>
    <w:rsid w:val="00BC6215"/>
    <w:rsid w:val="00BC62B7"/>
    <w:rsid w:val="00BC6466"/>
    <w:rsid w:val="00BC6897"/>
    <w:rsid w:val="00BC68C0"/>
    <w:rsid w:val="00BC6977"/>
    <w:rsid w:val="00BC69B1"/>
    <w:rsid w:val="00BC6A7C"/>
    <w:rsid w:val="00BC6B7C"/>
    <w:rsid w:val="00BC6BD2"/>
    <w:rsid w:val="00BC6CBC"/>
    <w:rsid w:val="00BC6E75"/>
    <w:rsid w:val="00BC6FBC"/>
    <w:rsid w:val="00BC702A"/>
    <w:rsid w:val="00BC72FD"/>
    <w:rsid w:val="00BC7327"/>
    <w:rsid w:val="00BC747D"/>
    <w:rsid w:val="00BD009C"/>
    <w:rsid w:val="00BD0219"/>
    <w:rsid w:val="00BD04BD"/>
    <w:rsid w:val="00BD05CF"/>
    <w:rsid w:val="00BD0620"/>
    <w:rsid w:val="00BD073D"/>
    <w:rsid w:val="00BD083C"/>
    <w:rsid w:val="00BD0990"/>
    <w:rsid w:val="00BD0A5B"/>
    <w:rsid w:val="00BD0BF3"/>
    <w:rsid w:val="00BD0D08"/>
    <w:rsid w:val="00BD0D4A"/>
    <w:rsid w:val="00BD0F97"/>
    <w:rsid w:val="00BD1033"/>
    <w:rsid w:val="00BD107C"/>
    <w:rsid w:val="00BD139F"/>
    <w:rsid w:val="00BD13D9"/>
    <w:rsid w:val="00BD1482"/>
    <w:rsid w:val="00BD14F1"/>
    <w:rsid w:val="00BD1614"/>
    <w:rsid w:val="00BD1616"/>
    <w:rsid w:val="00BD195E"/>
    <w:rsid w:val="00BD1DF2"/>
    <w:rsid w:val="00BD1E4A"/>
    <w:rsid w:val="00BD1F46"/>
    <w:rsid w:val="00BD1F84"/>
    <w:rsid w:val="00BD2661"/>
    <w:rsid w:val="00BD27FC"/>
    <w:rsid w:val="00BD27FD"/>
    <w:rsid w:val="00BD2E2C"/>
    <w:rsid w:val="00BD2EE3"/>
    <w:rsid w:val="00BD2F09"/>
    <w:rsid w:val="00BD2F75"/>
    <w:rsid w:val="00BD327C"/>
    <w:rsid w:val="00BD3285"/>
    <w:rsid w:val="00BD33D4"/>
    <w:rsid w:val="00BD40B1"/>
    <w:rsid w:val="00BD418D"/>
    <w:rsid w:val="00BD41A4"/>
    <w:rsid w:val="00BD41BC"/>
    <w:rsid w:val="00BD4529"/>
    <w:rsid w:val="00BD46C7"/>
    <w:rsid w:val="00BD4724"/>
    <w:rsid w:val="00BD48BB"/>
    <w:rsid w:val="00BD4A6C"/>
    <w:rsid w:val="00BD4B54"/>
    <w:rsid w:val="00BD4D0B"/>
    <w:rsid w:val="00BD4D9E"/>
    <w:rsid w:val="00BD4E70"/>
    <w:rsid w:val="00BD4F37"/>
    <w:rsid w:val="00BD5004"/>
    <w:rsid w:val="00BD505A"/>
    <w:rsid w:val="00BD506E"/>
    <w:rsid w:val="00BD5095"/>
    <w:rsid w:val="00BD524D"/>
    <w:rsid w:val="00BD5500"/>
    <w:rsid w:val="00BD5585"/>
    <w:rsid w:val="00BD599A"/>
    <w:rsid w:val="00BD5AA0"/>
    <w:rsid w:val="00BD5ABF"/>
    <w:rsid w:val="00BD5ADA"/>
    <w:rsid w:val="00BD5DED"/>
    <w:rsid w:val="00BD5F85"/>
    <w:rsid w:val="00BD618F"/>
    <w:rsid w:val="00BD639C"/>
    <w:rsid w:val="00BD6402"/>
    <w:rsid w:val="00BD6565"/>
    <w:rsid w:val="00BD65A8"/>
    <w:rsid w:val="00BD6881"/>
    <w:rsid w:val="00BD699D"/>
    <w:rsid w:val="00BD6AAE"/>
    <w:rsid w:val="00BD6BB1"/>
    <w:rsid w:val="00BD6CD2"/>
    <w:rsid w:val="00BD6CFD"/>
    <w:rsid w:val="00BD712E"/>
    <w:rsid w:val="00BD72C2"/>
    <w:rsid w:val="00BD7531"/>
    <w:rsid w:val="00BD775A"/>
    <w:rsid w:val="00BD785A"/>
    <w:rsid w:val="00BD7887"/>
    <w:rsid w:val="00BD78EC"/>
    <w:rsid w:val="00BD7A18"/>
    <w:rsid w:val="00BD7A9C"/>
    <w:rsid w:val="00BD7E1B"/>
    <w:rsid w:val="00BE000B"/>
    <w:rsid w:val="00BE002C"/>
    <w:rsid w:val="00BE0036"/>
    <w:rsid w:val="00BE012C"/>
    <w:rsid w:val="00BE03CC"/>
    <w:rsid w:val="00BE0569"/>
    <w:rsid w:val="00BE0587"/>
    <w:rsid w:val="00BE09E0"/>
    <w:rsid w:val="00BE0C5D"/>
    <w:rsid w:val="00BE0CD2"/>
    <w:rsid w:val="00BE0D0D"/>
    <w:rsid w:val="00BE0DE4"/>
    <w:rsid w:val="00BE0F5E"/>
    <w:rsid w:val="00BE0FC3"/>
    <w:rsid w:val="00BE1040"/>
    <w:rsid w:val="00BE1221"/>
    <w:rsid w:val="00BE1345"/>
    <w:rsid w:val="00BE14CB"/>
    <w:rsid w:val="00BE150F"/>
    <w:rsid w:val="00BE1526"/>
    <w:rsid w:val="00BE1563"/>
    <w:rsid w:val="00BE165B"/>
    <w:rsid w:val="00BE1C6B"/>
    <w:rsid w:val="00BE1CAB"/>
    <w:rsid w:val="00BE1D5C"/>
    <w:rsid w:val="00BE1F5D"/>
    <w:rsid w:val="00BE1F6B"/>
    <w:rsid w:val="00BE206A"/>
    <w:rsid w:val="00BE207E"/>
    <w:rsid w:val="00BE231B"/>
    <w:rsid w:val="00BE242F"/>
    <w:rsid w:val="00BE24A5"/>
    <w:rsid w:val="00BE2761"/>
    <w:rsid w:val="00BE2770"/>
    <w:rsid w:val="00BE3333"/>
    <w:rsid w:val="00BE350A"/>
    <w:rsid w:val="00BE351E"/>
    <w:rsid w:val="00BE3574"/>
    <w:rsid w:val="00BE36F3"/>
    <w:rsid w:val="00BE38B7"/>
    <w:rsid w:val="00BE3989"/>
    <w:rsid w:val="00BE3AD2"/>
    <w:rsid w:val="00BE3F6F"/>
    <w:rsid w:val="00BE4674"/>
    <w:rsid w:val="00BE470E"/>
    <w:rsid w:val="00BE479F"/>
    <w:rsid w:val="00BE47BF"/>
    <w:rsid w:val="00BE4881"/>
    <w:rsid w:val="00BE4963"/>
    <w:rsid w:val="00BE4992"/>
    <w:rsid w:val="00BE4AEC"/>
    <w:rsid w:val="00BE4C2B"/>
    <w:rsid w:val="00BE4CBF"/>
    <w:rsid w:val="00BE4EA7"/>
    <w:rsid w:val="00BE51CA"/>
    <w:rsid w:val="00BE5328"/>
    <w:rsid w:val="00BE5374"/>
    <w:rsid w:val="00BE565E"/>
    <w:rsid w:val="00BE569E"/>
    <w:rsid w:val="00BE5750"/>
    <w:rsid w:val="00BE5810"/>
    <w:rsid w:val="00BE593A"/>
    <w:rsid w:val="00BE5CBF"/>
    <w:rsid w:val="00BE5FB2"/>
    <w:rsid w:val="00BE610A"/>
    <w:rsid w:val="00BE6277"/>
    <w:rsid w:val="00BE627A"/>
    <w:rsid w:val="00BE62EC"/>
    <w:rsid w:val="00BE641C"/>
    <w:rsid w:val="00BE662E"/>
    <w:rsid w:val="00BE678E"/>
    <w:rsid w:val="00BE6949"/>
    <w:rsid w:val="00BE69C6"/>
    <w:rsid w:val="00BE6B51"/>
    <w:rsid w:val="00BE6C0F"/>
    <w:rsid w:val="00BE6C5B"/>
    <w:rsid w:val="00BE6C83"/>
    <w:rsid w:val="00BE6CE8"/>
    <w:rsid w:val="00BE6DE1"/>
    <w:rsid w:val="00BE6E74"/>
    <w:rsid w:val="00BE71CF"/>
    <w:rsid w:val="00BE725C"/>
    <w:rsid w:val="00BE738F"/>
    <w:rsid w:val="00BE73B3"/>
    <w:rsid w:val="00BE73C4"/>
    <w:rsid w:val="00BE764A"/>
    <w:rsid w:val="00BE7651"/>
    <w:rsid w:val="00BE7772"/>
    <w:rsid w:val="00BE785F"/>
    <w:rsid w:val="00BE7931"/>
    <w:rsid w:val="00BE7967"/>
    <w:rsid w:val="00BE7AB2"/>
    <w:rsid w:val="00BE7D6C"/>
    <w:rsid w:val="00BE7DA2"/>
    <w:rsid w:val="00BE7DB7"/>
    <w:rsid w:val="00BE7E61"/>
    <w:rsid w:val="00BF016B"/>
    <w:rsid w:val="00BF0174"/>
    <w:rsid w:val="00BF0254"/>
    <w:rsid w:val="00BF03BE"/>
    <w:rsid w:val="00BF03F3"/>
    <w:rsid w:val="00BF0478"/>
    <w:rsid w:val="00BF0B1C"/>
    <w:rsid w:val="00BF0D1E"/>
    <w:rsid w:val="00BF0EC5"/>
    <w:rsid w:val="00BF0EE9"/>
    <w:rsid w:val="00BF1021"/>
    <w:rsid w:val="00BF1076"/>
    <w:rsid w:val="00BF14E8"/>
    <w:rsid w:val="00BF1508"/>
    <w:rsid w:val="00BF15AC"/>
    <w:rsid w:val="00BF1B12"/>
    <w:rsid w:val="00BF1C85"/>
    <w:rsid w:val="00BF20FB"/>
    <w:rsid w:val="00BF220A"/>
    <w:rsid w:val="00BF268F"/>
    <w:rsid w:val="00BF2758"/>
    <w:rsid w:val="00BF2781"/>
    <w:rsid w:val="00BF2C0E"/>
    <w:rsid w:val="00BF2E4F"/>
    <w:rsid w:val="00BF2E98"/>
    <w:rsid w:val="00BF316D"/>
    <w:rsid w:val="00BF3449"/>
    <w:rsid w:val="00BF376E"/>
    <w:rsid w:val="00BF3A1D"/>
    <w:rsid w:val="00BF3EE3"/>
    <w:rsid w:val="00BF4066"/>
    <w:rsid w:val="00BF411F"/>
    <w:rsid w:val="00BF4171"/>
    <w:rsid w:val="00BF4183"/>
    <w:rsid w:val="00BF4325"/>
    <w:rsid w:val="00BF432A"/>
    <w:rsid w:val="00BF4342"/>
    <w:rsid w:val="00BF48C9"/>
    <w:rsid w:val="00BF4AEB"/>
    <w:rsid w:val="00BF4CD2"/>
    <w:rsid w:val="00BF4D70"/>
    <w:rsid w:val="00BF5010"/>
    <w:rsid w:val="00BF507A"/>
    <w:rsid w:val="00BF5209"/>
    <w:rsid w:val="00BF52B3"/>
    <w:rsid w:val="00BF53F3"/>
    <w:rsid w:val="00BF5536"/>
    <w:rsid w:val="00BF5B45"/>
    <w:rsid w:val="00BF5E82"/>
    <w:rsid w:val="00BF6340"/>
    <w:rsid w:val="00BF64E4"/>
    <w:rsid w:val="00BF659C"/>
    <w:rsid w:val="00BF66E0"/>
    <w:rsid w:val="00BF67F5"/>
    <w:rsid w:val="00BF6873"/>
    <w:rsid w:val="00BF6A00"/>
    <w:rsid w:val="00BF6BC8"/>
    <w:rsid w:val="00BF6BFB"/>
    <w:rsid w:val="00BF7696"/>
    <w:rsid w:val="00BF76E7"/>
    <w:rsid w:val="00BF7905"/>
    <w:rsid w:val="00BF7C54"/>
    <w:rsid w:val="00BF7F70"/>
    <w:rsid w:val="00C0049A"/>
    <w:rsid w:val="00C007C4"/>
    <w:rsid w:val="00C0089A"/>
    <w:rsid w:val="00C00940"/>
    <w:rsid w:val="00C00E8A"/>
    <w:rsid w:val="00C00FD4"/>
    <w:rsid w:val="00C011B3"/>
    <w:rsid w:val="00C01231"/>
    <w:rsid w:val="00C013ED"/>
    <w:rsid w:val="00C015CB"/>
    <w:rsid w:val="00C01635"/>
    <w:rsid w:val="00C01700"/>
    <w:rsid w:val="00C017F1"/>
    <w:rsid w:val="00C01829"/>
    <w:rsid w:val="00C018C3"/>
    <w:rsid w:val="00C01A07"/>
    <w:rsid w:val="00C01CA9"/>
    <w:rsid w:val="00C01D5F"/>
    <w:rsid w:val="00C01DEB"/>
    <w:rsid w:val="00C01DFC"/>
    <w:rsid w:val="00C01ED5"/>
    <w:rsid w:val="00C02055"/>
    <w:rsid w:val="00C022FC"/>
    <w:rsid w:val="00C0251A"/>
    <w:rsid w:val="00C026D0"/>
    <w:rsid w:val="00C027D5"/>
    <w:rsid w:val="00C02B01"/>
    <w:rsid w:val="00C02C32"/>
    <w:rsid w:val="00C02C87"/>
    <w:rsid w:val="00C03047"/>
    <w:rsid w:val="00C0318C"/>
    <w:rsid w:val="00C031F3"/>
    <w:rsid w:val="00C032D3"/>
    <w:rsid w:val="00C03441"/>
    <w:rsid w:val="00C0345A"/>
    <w:rsid w:val="00C03511"/>
    <w:rsid w:val="00C03570"/>
    <w:rsid w:val="00C03742"/>
    <w:rsid w:val="00C03C27"/>
    <w:rsid w:val="00C03D44"/>
    <w:rsid w:val="00C03F05"/>
    <w:rsid w:val="00C03F38"/>
    <w:rsid w:val="00C03F3F"/>
    <w:rsid w:val="00C04049"/>
    <w:rsid w:val="00C040FF"/>
    <w:rsid w:val="00C0452B"/>
    <w:rsid w:val="00C04688"/>
    <w:rsid w:val="00C047CF"/>
    <w:rsid w:val="00C04886"/>
    <w:rsid w:val="00C04ADA"/>
    <w:rsid w:val="00C04C3A"/>
    <w:rsid w:val="00C04C6D"/>
    <w:rsid w:val="00C04D4C"/>
    <w:rsid w:val="00C0521D"/>
    <w:rsid w:val="00C0569E"/>
    <w:rsid w:val="00C05700"/>
    <w:rsid w:val="00C05900"/>
    <w:rsid w:val="00C0596E"/>
    <w:rsid w:val="00C05BE3"/>
    <w:rsid w:val="00C05E2B"/>
    <w:rsid w:val="00C05F22"/>
    <w:rsid w:val="00C0624D"/>
    <w:rsid w:val="00C06253"/>
    <w:rsid w:val="00C06293"/>
    <w:rsid w:val="00C06583"/>
    <w:rsid w:val="00C065D7"/>
    <w:rsid w:val="00C06884"/>
    <w:rsid w:val="00C068B0"/>
    <w:rsid w:val="00C06CBB"/>
    <w:rsid w:val="00C06F45"/>
    <w:rsid w:val="00C07237"/>
    <w:rsid w:val="00C074CD"/>
    <w:rsid w:val="00C076FD"/>
    <w:rsid w:val="00C07AA3"/>
    <w:rsid w:val="00C07B9C"/>
    <w:rsid w:val="00C07ECA"/>
    <w:rsid w:val="00C07EF4"/>
    <w:rsid w:val="00C10435"/>
    <w:rsid w:val="00C104D8"/>
    <w:rsid w:val="00C10506"/>
    <w:rsid w:val="00C1058A"/>
    <w:rsid w:val="00C105EA"/>
    <w:rsid w:val="00C107A4"/>
    <w:rsid w:val="00C107C3"/>
    <w:rsid w:val="00C1097B"/>
    <w:rsid w:val="00C10DF8"/>
    <w:rsid w:val="00C112D7"/>
    <w:rsid w:val="00C117DE"/>
    <w:rsid w:val="00C11939"/>
    <w:rsid w:val="00C11C55"/>
    <w:rsid w:val="00C11CF0"/>
    <w:rsid w:val="00C11FBF"/>
    <w:rsid w:val="00C120BC"/>
    <w:rsid w:val="00C125EB"/>
    <w:rsid w:val="00C12B7C"/>
    <w:rsid w:val="00C12DF3"/>
    <w:rsid w:val="00C13100"/>
    <w:rsid w:val="00C13300"/>
    <w:rsid w:val="00C13352"/>
    <w:rsid w:val="00C133F6"/>
    <w:rsid w:val="00C134DE"/>
    <w:rsid w:val="00C13520"/>
    <w:rsid w:val="00C13873"/>
    <w:rsid w:val="00C13C15"/>
    <w:rsid w:val="00C14025"/>
    <w:rsid w:val="00C1411D"/>
    <w:rsid w:val="00C14128"/>
    <w:rsid w:val="00C14389"/>
    <w:rsid w:val="00C144C5"/>
    <w:rsid w:val="00C144EB"/>
    <w:rsid w:val="00C146E2"/>
    <w:rsid w:val="00C14A43"/>
    <w:rsid w:val="00C14BCB"/>
    <w:rsid w:val="00C14CF9"/>
    <w:rsid w:val="00C14DF6"/>
    <w:rsid w:val="00C14F9B"/>
    <w:rsid w:val="00C14FA4"/>
    <w:rsid w:val="00C14FAB"/>
    <w:rsid w:val="00C14FC0"/>
    <w:rsid w:val="00C15038"/>
    <w:rsid w:val="00C15065"/>
    <w:rsid w:val="00C15300"/>
    <w:rsid w:val="00C1531E"/>
    <w:rsid w:val="00C153A0"/>
    <w:rsid w:val="00C15524"/>
    <w:rsid w:val="00C158A4"/>
    <w:rsid w:val="00C15993"/>
    <w:rsid w:val="00C15A2B"/>
    <w:rsid w:val="00C15A45"/>
    <w:rsid w:val="00C15AF0"/>
    <w:rsid w:val="00C15B55"/>
    <w:rsid w:val="00C15CA8"/>
    <w:rsid w:val="00C15F42"/>
    <w:rsid w:val="00C1610B"/>
    <w:rsid w:val="00C1611D"/>
    <w:rsid w:val="00C16386"/>
    <w:rsid w:val="00C164D3"/>
    <w:rsid w:val="00C1689E"/>
    <w:rsid w:val="00C16A64"/>
    <w:rsid w:val="00C16C9A"/>
    <w:rsid w:val="00C16E53"/>
    <w:rsid w:val="00C16F1C"/>
    <w:rsid w:val="00C1703F"/>
    <w:rsid w:val="00C17265"/>
    <w:rsid w:val="00C173EB"/>
    <w:rsid w:val="00C17433"/>
    <w:rsid w:val="00C17572"/>
    <w:rsid w:val="00C175E4"/>
    <w:rsid w:val="00C17788"/>
    <w:rsid w:val="00C177E7"/>
    <w:rsid w:val="00C178C3"/>
    <w:rsid w:val="00C17B35"/>
    <w:rsid w:val="00C17C98"/>
    <w:rsid w:val="00C17CB7"/>
    <w:rsid w:val="00C17D38"/>
    <w:rsid w:val="00C17DB5"/>
    <w:rsid w:val="00C200C7"/>
    <w:rsid w:val="00C2030A"/>
    <w:rsid w:val="00C20486"/>
    <w:rsid w:val="00C204A1"/>
    <w:rsid w:val="00C204B6"/>
    <w:rsid w:val="00C206FA"/>
    <w:rsid w:val="00C20B4F"/>
    <w:rsid w:val="00C20EA3"/>
    <w:rsid w:val="00C20EBE"/>
    <w:rsid w:val="00C20F6C"/>
    <w:rsid w:val="00C21068"/>
    <w:rsid w:val="00C21570"/>
    <w:rsid w:val="00C2189D"/>
    <w:rsid w:val="00C21956"/>
    <w:rsid w:val="00C219D8"/>
    <w:rsid w:val="00C21F15"/>
    <w:rsid w:val="00C22037"/>
    <w:rsid w:val="00C220A2"/>
    <w:rsid w:val="00C220BB"/>
    <w:rsid w:val="00C22328"/>
    <w:rsid w:val="00C223B9"/>
    <w:rsid w:val="00C226F7"/>
    <w:rsid w:val="00C22AA6"/>
    <w:rsid w:val="00C22E7B"/>
    <w:rsid w:val="00C23190"/>
    <w:rsid w:val="00C232E0"/>
    <w:rsid w:val="00C2365A"/>
    <w:rsid w:val="00C23761"/>
    <w:rsid w:val="00C23911"/>
    <w:rsid w:val="00C23A78"/>
    <w:rsid w:val="00C23D4E"/>
    <w:rsid w:val="00C23E4C"/>
    <w:rsid w:val="00C23FB3"/>
    <w:rsid w:val="00C24027"/>
    <w:rsid w:val="00C2404E"/>
    <w:rsid w:val="00C240CA"/>
    <w:rsid w:val="00C241FB"/>
    <w:rsid w:val="00C2432C"/>
    <w:rsid w:val="00C244C1"/>
    <w:rsid w:val="00C246A7"/>
    <w:rsid w:val="00C2474E"/>
    <w:rsid w:val="00C2477A"/>
    <w:rsid w:val="00C24B5E"/>
    <w:rsid w:val="00C24E0E"/>
    <w:rsid w:val="00C250C1"/>
    <w:rsid w:val="00C2531B"/>
    <w:rsid w:val="00C2534F"/>
    <w:rsid w:val="00C25497"/>
    <w:rsid w:val="00C255B3"/>
    <w:rsid w:val="00C257E4"/>
    <w:rsid w:val="00C25821"/>
    <w:rsid w:val="00C258C0"/>
    <w:rsid w:val="00C259C6"/>
    <w:rsid w:val="00C25AD3"/>
    <w:rsid w:val="00C25BAC"/>
    <w:rsid w:val="00C25DFA"/>
    <w:rsid w:val="00C25E93"/>
    <w:rsid w:val="00C25F53"/>
    <w:rsid w:val="00C26111"/>
    <w:rsid w:val="00C2625D"/>
    <w:rsid w:val="00C263C7"/>
    <w:rsid w:val="00C263F8"/>
    <w:rsid w:val="00C264CE"/>
    <w:rsid w:val="00C26626"/>
    <w:rsid w:val="00C26947"/>
    <w:rsid w:val="00C2699E"/>
    <w:rsid w:val="00C26A26"/>
    <w:rsid w:val="00C26C7B"/>
    <w:rsid w:val="00C26DFF"/>
    <w:rsid w:val="00C26E26"/>
    <w:rsid w:val="00C270D6"/>
    <w:rsid w:val="00C2741E"/>
    <w:rsid w:val="00C27556"/>
    <w:rsid w:val="00C27759"/>
    <w:rsid w:val="00C279E8"/>
    <w:rsid w:val="00C27E3C"/>
    <w:rsid w:val="00C27F91"/>
    <w:rsid w:val="00C30020"/>
    <w:rsid w:val="00C30058"/>
    <w:rsid w:val="00C3007A"/>
    <w:rsid w:val="00C3023A"/>
    <w:rsid w:val="00C30361"/>
    <w:rsid w:val="00C3068F"/>
    <w:rsid w:val="00C30891"/>
    <w:rsid w:val="00C30897"/>
    <w:rsid w:val="00C3091A"/>
    <w:rsid w:val="00C30A67"/>
    <w:rsid w:val="00C30C73"/>
    <w:rsid w:val="00C30FAA"/>
    <w:rsid w:val="00C3105D"/>
    <w:rsid w:val="00C31068"/>
    <w:rsid w:val="00C31241"/>
    <w:rsid w:val="00C313B3"/>
    <w:rsid w:val="00C315E0"/>
    <w:rsid w:val="00C31703"/>
    <w:rsid w:val="00C3172C"/>
    <w:rsid w:val="00C317A2"/>
    <w:rsid w:val="00C319EC"/>
    <w:rsid w:val="00C31A58"/>
    <w:rsid w:val="00C31D21"/>
    <w:rsid w:val="00C31D74"/>
    <w:rsid w:val="00C31DCE"/>
    <w:rsid w:val="00C31EFA"/>
    <w:rsid w:val="00C32441"/>
    <w:rsid w:val="00C324B3"/>
    <w:rsid w:val="00C32A1F"/>
    <w:rsid w:val="00C32E4B"/>
    <w:rsid w:val="00C32FF7"/>
    <w:rsid w:val="00C3309B"/>
    <w:rsid w:val="00C331C5"/>
    <w:rsid w:val="00C332A3"/>
    <w:rsid w:val="00C33335"/>
    <w:rsid w:val="00C33363"/>
    <w:rsid w:val="00C3338D"/>
    <w:rsid w:val="00C33588"/>
    <w:rsid w:val="00C336A1"/>
    <w:rsid w:val="00C33787"/>
    <w:rsid w:val="00C3383C"/>
    <w:rsid w:val="00C33B7F"/>
    <w:rsid w:val="00C33C1E"/>
    <w:rsid w:val="00C33C9D"/>
    <w:rsid w:val="00C33D99"/>
    <w:rsid w:val="00C34029"/>
    <w:rsid w:val="00C34139"/>
    <w:rsid w:val="00C341AB"/>
    <w:rsid w:val="00C343FC"/>
    <w:rsid w:val="00C344DF"/>
    <w:rsid w:val="00C34666"/>
    <w:rsid w:val="00C346F8"/>
    <w:rsid w:val="00C34913"/>
    <w:rsid w:val="00C349C8"/>
    <w:rsid w:val="00C34BDF"/>
    <w:rsid w:val="00C34C30"/>
    <w:rsid w:val="00C34CBA"/>
    <w:rsid w:val="00C34E67"/>
    <w:rsid w:val="00C35139"/>
    <w:rsid w:val="00C353D8"/>
    <w:rsid w:val="00C3541B"/>
    <w:rsid w:val="00C356B6"/>
    <w:rsid w:val="00C3587A"/>
    <w:rsid w:val="00C359F6"/>
    <w:rsid w:val="00C35B26"/>
    <w:rsid w:val="00C35B57"/>
    <w:rsid w:val="00C35C50"/>
    <w:rsid w:val="00C35C82"/>
    <w:rsid w:val="00C35D32"/>
    <w:rsid w:val="00C35DEB"/>
    <w:rsid w:val="00C35EAA"/>
    <w:rsid w:val="00C360C3"/>
    <w:rsid w:val="00C361EB"/>
    <w:rsid w:val="00C36363"/>
    <w:rsid w:val="00C3651F"/>
    <w:rsid w:val="00C36633"/>
    <w:rsid w:val="00C36981"/>
    <w:rsid w:val="00C369A1"/>
    <w:rsid w:val="00C369D7"/>
    <w:rsid w:val="00C36C8C"/>
    <w:rsid w:val="00C36E5D"/>
    <w:rsid w:val="00C36E9D"/>
    <w:rsid w:val="00C36EA3"/>
    <w:rsid w:val="00C36F08"/>
    <w:rsid w:val="00C3732D"/>
    <w:rsid w:val="00C375F3"/>
    <w:rsid w:val="00C37713"/>
    <w:rsid w:val="00C37769"/>
    <w:rsid w:val="00C37996"/>
    <w:rsid w:val="00C37A21"/>
    <w:rsid w:val="00C37C86"/>
    <w:rsid w:val="00C37D3D"/>
    <w:rsid w:val="00C37E4D"/>
    <w:rsid w:val="00C37F10"/>
    <w:rsid w:val="00C37FDF"/>
    <w:rsid w:val="00C40063"/>
    <w:rsid w:val="00C40155"/>
    <w:rsid w:val="00C4042E"/>
    <w:rsid w:val="00C40733"/>
    <w:rsid w:val="00C408B0"/>
    <w:rsid w:val="00C40924"/>
    <w:rsid w:val="00C40D75"/>
    <w:rsid w:val="00C411C2"/>
    <w:rsid w:val="00C412B0"/>
    <w:rsid w:val="00C412B1"/>
    <w:rsid w:val="00C412D2"/>
    <w:rsid w:val="00C417B0"/>
    <w:rsid w:val="00C41949"/>
    <w:rsid w:val="00C41C8D"/>
    <w:rsid w:val="00C41D20"/>
    <w:rsid w:val="00C41EB8"/>
    <w:rsid w:val="00C41EC4"/>
    <w:rsid w:val="00C42091"/>
    <w:rsid w:val="00C4286B"/>
    <w:rsid w:val="00C42A73"/>
    <w:rsid w:val="00C42DA3"/>
    <w:rsid w:val="00C42E72"/>
    <w:rsid w:val="00C42EF6"/>
    <w:rsid w:val="00C430CD"/>
    <w:rsid w:val="00C4312F"/>
    <w:rsid w:val="00C431AD"/>
    <w:rsid w:val="00C43292"/>
    <w:rsid w:val="00C432B2"/>
    <w:rsid w:val="00C433FD"/>
    <w:rsid w:val="00C4365E"/>
    <w:rsid w:val="00C43723"/>
    <w:rsid w:val="00C437AF"/>
    <w:rsid w:val="00C4381C"/>
    <w:rsid w:val="00C43866"/>
    <w:rsid w:val="00C43AC7"/>
    <w:rsid w:val="00C43BDD"/>
    <w:rsid w:val="00C43DC4"/>
    <w:rsid w:val="00C4436C"/>
    <w:rsid w:val="00C44427"/>
    <w:rsid w:val="00C444AF"/>
    <w:rsid w:val="00C444E8"/>
    <w:rsid w:val="00C44573"/>
    <w:rsid w:val="00C445A0"/>
    <w:rsid w:val="00C445ED"/>
    <w:rsid w:val="00C44904"/>
    <w:rsid w:val="00C4490C"/>
    <w:rsid w:val="00C44D91"/>
    <w:rsid w:val="00C44E9A"/>
    <w:rsid w:val="00C45008"/>
    <w:rsid w:val="00C4519A"/>
    <w:rsid w:val="00C4552E"/>
    <w:rsid w:val="00C4553F"/>
    <w:rsid w:val="00C458D7"/>
    <w:rsid w:val="00C459AA"/>
    <w:rsid w:val="00C45C67"/>
    <w:rsid w:val="00C45ED9"/>
    <w:rsid w:val="00C4613C"/>
    <w:rsid w:val="00C461B2"/>
    <w:rsid w:val="00C461BB"/>
    <w:rsid w:val="00C462F1"/>
    <w:rsid w:val="00C464B5"/>
    <w:rsid w:val="00C464C0"/>
    <w:rsid w:val="00C464CD"/>
    <w:rsid w:val="00C4663E"/>
    <w:rsid w:val="00C4666D"/>
    <w:rsid w:val="00C466A9"/>
    <w:rsid w:val="00C466E7"/>
    <w:rsid w:val="00C4678F"/>
    <w:rsid w:val="00C46817"/>
    <w:rsid w:val="00C4689F"/>
    <w:rsid w:val="00C4697C"/>
    <w:rsid w:val="00C46A13"/>
    <w:rsid w:val="00C46A79"/>
    <w:rsid w:val="00C46C41"/>
    <w:rsid w:val="00C46CFF"/>
    <w:rsid w:val="00C4718E"/>
    <w:rsid w:val="00C472F4"/>
    <w:rsid w:val="00C474C3"/>
    <w:rsid w:val="00C47738"/>
    <w:rsid w:val="00C47786"/>
    <w:rsid w:val="00C478F7"/>
    <w:rsid w:val="00C47956"/>
    <w:rsid w:val="00C47C37"/>
    <w:rsid w:val="00C47C8E"/>
    <w:rsid w:val="00C47CB7"/>
    <w:rsid w:val="00C47DCC"/>
    <w:rsid w:val="00C47EBC"/>
    <w:rsid w:val="00C47F78"/>
    <w:rsid w:val="00C50087"/>
    <w:rsid w:val="00C501BC"/>
    <w:rsid w:val="00C5042C"/>
    <w:rsid w:val="00C5051C"/>
    <w:rsid w:val="00C5077C"/>
    <w:rsid w:val="00C50793"/>
    <w:rsid w:val="00C50811"/>
    <w:rsid w:val="00C508D3"/>
    <w:rsid w:val="00C508D7"/>
    <w:rsid w:val="00C5098C"/>
    <w:rsid w:val="00C50A43"/>
    <w:rsid w:val="00C50D51"/>
    <w:rsid w:val="00C5109C"/>
    <w:rsid w:val="00C5113B"/>
    <w:rsid w:val="00C511EB"/>
    <w:rsid w:val="00C5138A"/>
    <w:rsid w:val="00C513FE"/>
    <w:rsid w:val="00C51434"/>
    <w:rsid w:val="00C51464"/>
    <w:rsid w:val="00C51512"/>
    <w:rsid w:val="00C51590"/>
    <w:rsid w:val="00C51B1D"/>
    <w:rsid w:val="00C51E54"/>
    <w:rsid w:val="00C51E67"/>
    <w:rsid w:val="00C5230F"/>
    <w:rsid w:val="00C52370"/>
    <w:rsid w:val="00C5244A"/>
    <w:rsid w:val="00C52634"/>
    <w:rsid w:val="00C526F4"/>
    <w:rsid w:val="00C52766"/>
    <w:rsid w:val="00C52905"/>
    <w:rsid w:val="00C52940"/>
    <w:rsid w:val="00C52A35"/>
    <w:rsid w:val="00C52CCB"/>
    <w:rsid w:val="00C52FD1"/>
    <w:rsid w:val="00C53039"/>
    <w:rsid w:val="00C5325A"/>
    <w:rsid w:val="00C53527"/>
    <w:rsid w:val="00C5359B"/>
    <w:rsid w:val="00C53704"/>
    <w:rsid w:val="00C53AF7"/>
    <w:rsid w:val="00C53B95"/>
    <w:rsid w:val="00C53BBA"/>
    <w:rsid w:val="00C53BED"/>
    <w:rsid w:val="00C53D18"/>
    <w:rsid w:val="00C53DC5"/>
    <w:rsid w:val="00C53F30"/>
    <w:rsid w:val="00C5416D"/>
    <w:rsid w:val="00C5424B"/>
    <w:rsid w:val="00C54330"/>
    <w:rsid w:val="00C548C9"/>
    <w:rsid w:val="00C5493C"/>
    <w:rsid w:val="00C54D24"/>
    <w:rsid w:val="00C54D4A"/>
    <w:rsid w:val="00C551F3"/>
    <w:rsid w:val="00C554B5"/>
    <w:rsid w:val="00C554F4"/>
    <w:rsid w:val="00C55527"/>
    <w:rsid w:val="00C555C9"/>
    <w:rsid w:val="00C5570A"/>
    <w:rsid w:val="00C557FA"/>
    <w:rsid w:val="00C55C5D"/>
    <w:rsid w:val="00C55D6D"/>
    <w:rsid w:val="00C56143"/>
    <w:rsid w:val="00C5619C"/>
    <w:rsid w:val="00C56237"/>
    <w:rsid w:val="00C56368"/>
    <w:rsid w:val="00C564DB"/>
    <w:rsid w:val="00C566FC"/>
    <w:rsid w:val="00C5690D"/>
    <w:rsid w:val="00C56A23"/>
    <w:rsid w:val="00C56A45"/>
    <w:rsid w:val="00C56B08"/>
    <w:rsid w:val="00C56C24"/>
    <w:rsid w:val="00C56C27"/>
    <w:rsid w:val="00C56C36"/>
    <w:rsid w:val="00C56DDD"/>
    <w:rsid w:val="00C56EF2"/>
    <w:rsid w:val="00C56FF3"/>
    <w:rsid w:val="00C57021"/>
    <w:rsid w:val="00C5702A"/>
    <w:rsid w:val="00C570A6"/>
    <w:rsid w:val="00C57289"/>
    <w:rsid w:val="00C5735B"/>
    <w:rsid w:val="00C573A5"/>
    <w:rsid w:val="00C57500"/>
    <w:rsid w:val="00C5793A"/>
    <w:rsid w:val="00C579F3"/>
    <w:rsid w:val="00C57A1B"/>
    <w:rsid w:val="00C57AB7"/>
    <w:rsid w:val="00C57B00"/>
    <w:rsid w:val="00C57CB3"/>
    <w:rsid w:val="00C57DCB"/>
    <w:rsid w:val="00C57FAD"/>
    <w:rsid w:val="00C600B3"/>
    <w:rsid w:val="00C600D2"/>
    <w:rsid w:val="00C601F6"/>
    <w:rsid w:val="00C60249"/>
    <w:rsid w:val="00C604FD"/>
    <w:rsid w:val="00C609B1"/>
    <w:rsid w:val="00C609CE"/>
    <w:rsid w:val="00C60A77"/>
    <w:rsid w:val="00C60CAF"/>
    <w:rsid w:val="00C60DCB"/>
    <w:rsid w:val="00C60E6C"/>
    <w:rsid w:val="00C60E90"/>
    <w:rsid w:val="00C610A9"/>
    <w:rsid w:val="00C612FE"/>
    <w:rsid w:val="00C61464"/>
    <w:rsid w:val="00C61AF8"/>
    <w:rsid w:val="00C623DA"/>
    <w:rsid w:val="00C624B4"/>
    <w:rsid w:val="00C6255E"/>
    <w:rsid w:val="00C6269E"/>
    <w:rsid w:val="00C6280E"/>
    <w:rsid w:val="00C628F8"/>
    <w:rsid w:val="00C62920"/>
    <w:rsid w:val="00C62A0B"/>
    <w:rsid w:val="00C62AA5"/>
    <w:rsid w:val="00C62B27"/>
    <w:rsid w:val="00C62C5D"/>
    <w:rsid w:val="00C62E0A"/>
    <w:rsid w:val="00C62F42"/>
    <w:rsid w:val="00C63094"/>
    <w:rsid w:val="00C63422"/>
    <w:rsid w:val="00C634A6"/>
    <w:rsid w:val="00C6392C"/>
    <w:rsid w:val="00C63C49"/>
    <w:rsid w:val="00C63C67"/>
    <w:rsid w:val="00C63E15"/>
    <w:rsid w:val="00C63EFF"/>
    <w:rsid w:val="00C64054"/>
    <w:rsid w:val="00C643BA"/>
    <w:rsid w:val="00C64751"/>
    <w:rsid w:val="00C64897"/>
    <w:rsid w:val="00C64AAE"/>
    <w:rsid w:val="00C64AD7"/>
    <w:rsid w:val="00C64C1C"/>
    <w:rsid w:val="00C64D6A"/>
    <w:rsid w:val="00C65356"/>
    <w:rsid w:val="00C653F8"/>
    <w:rsid w:val="00C654C9"/>
    <w:rsid w:val="00C65661"/>
    <w:rsid w:val="00C65758"/>
    <w:rsid w:val="00C657DC"/>
    <w:rsid w:val="00C6587A"/>
    <w:rsid w:val="00C6589A"/>
    <w:rsid w:val="00C65A81"/>
    <w:rsid w:val="00C65A98"/>
    <w:rsid w:val="00C65AAE"/>
    <w:rsid w:val="00C65D68"/>
    <w:rsid w:val="00C65EFF"/>
    <w:rsid w:val="00C661FA"/>
    <w:rsid w:val="00C66214"/>
    <w:rsid w:val="00C663AC"/>
    <w:rsid w:val="00C663C6"/>
    <w:rsid w:val="00C66483"/>
    <w:rsid w:val="00C666D0"/>
    <w:rsid w:val="00C66776"/>
    <w:rsid w:val="00C66AB2"/>
    <w:rsid w:val="00C66B42"/>
    <w:rsid w:val="00C66E7C"/>
    <w:rsid w:val="00C66F32"/>
    <w:rsid w:val="00C66F35"/>
    <w:rsid w:val="00C6739F"/>
    <w:rsid w:val="00C676D8"/>
    <w:rsid w:val="00C677C5"/>
    <w:rsid w:val="00C67C68"/>
    <w:rsid w:val="00C67CE5"/>
    <w:rsid w:val="00C67E8E"/>
    <w:rsid w:val="00C67F6D"/>
    <w:rsid w:val="00C70008"/>
    <w:rsid w:val="00C702B4"/>
    <w:rsid w:val="00C702F4"/>
    <w:rsid w:val="00C708AE"/>
    <w:rsid w:val="00C70A3F"/>
    <w:rsid w:val="00C70A57"/>
    <w:rsid w:val="00C70AB7"/>
    <w:rsid w:val="00C70B2F"/>
    <w:rsid w:val="00C70D2D"/>
    <w:rsid w:val="00C70F75"/>
    <w:rsid w:val="00C7101E"/>
    <w:rsid w:val="00C7105B"/>
    <w:rsid w:val="00C71137"/>
    <w:rsid w:val="00C71297"/>
    <w:rsid w:val="00C71329"/>
    <w:rsid w:val="00C713BD"/>
    <w:rsid w:val="00C7174B"/>
    <w:rsid w:val="00C71968"/>
    <w:rsid w:val="00C719E0"/>
    <w:rsid w:val="00C71F79"/>
    <w:rsid w:val="00C7215D"/>
    <w:rsid w:val="00C72177"/>
    <w:rsid w:val="00C721C9"/>
    <w:rsid w:val="00C72398"/>
    <w:rsid w:val="00C7242A"/>
    <w:rsid w:val="00C72519"/>
    <w:rsid w:val="00C72712"/>
    <w:rsid w:val="00C72968"/>
    <w:rsid w:val="00C72AFD"/>
    <w:rsid w:val="00C72B2F"/>
    <w:rsid w:val="00C72B40"/>
    <w:rsid w:val="00C72FB5"/>
    <w:rsid w:val="00C73078"/>
    <w:rsid w:val="00C73197"/>
    <w:rsid w:val="00C7331A"/>
    <w:rsid w:val="00C73396"/>
    <w:rsid w:val="00C735D6"/>
    <w:rsid w:val="00C735F0"/>
    <w:rsid w:val="00C738F9"/>
    <w:rsid w:val="00C73A2D"/>
    <w:rsid w:val="00C73B40"/>
    <w:rsid w:val="00C73D04"/>
    <w:rsid w:val="00C73EFF"/>
    <w:rsid w:val="00C74078"/>
    <w:rsid w:val="00C741BC"/>
    <w:rsid w:val="00C74620"/>
    <w:rsid w:val="00C74765"/>
    <w:rsid w:val="00C74806"/>
    <w:rsid w:val="00C7486B"/>
    <w:rsid w:val="00C74B00"/>
    <w:rsid w:val="00C74B8C"/>
    <w:rsid w:val="00C74DA2"/>
    <w:rsid w:val="00C74E42"/>
    <w:rsid w:val="00C74E6C"/>
    <w:rsid w:val="00C74F17"/>
    <w:rsid w:val="00C74F87"/>
    <w:rsid w:val="00C74FC8"/>
    <w:rsid w:val="00C75068"/>
    <w:rsid w:val="00C75084"/>
    <w:rsid w:val="00C75190"/>
    <w:rsid w:val="00C753D9"/>
    <w:rsid w:val="00C754D2"/>
    <w:rsid w:val="00C757EA"/>
    <w:rsid w:val="00C75BF0"/>
    <w:rsid w:val="00C75C44"/>
    <w:rsid w:val="00C75CCB"/>
    <w:rsid w:val="00C75D42"/>
    <w:rsid w:val="00C7656B"/>
    <w:rsid w:val="00C7659A"/>
    <w:rsid w:val="00C76709"/>
    <w:rsid w:val="00C7692F"/>
    <w:rsid w:val="00C7693F"/>
    <w:rsid w:val="00C76B30"/>
    <w:rsid w:val="00C76BC6"/>
    <w:rsid w:val="00C770EF"/>
    <w:rsid w:val="00C77264"/>
    <w:rsid w:val="00C776BF"/>
    <w:rsid w:val="00C77822"/>
    <w:rsid w:val="00C77875"/>
    <w:rsid w:val="00C778D9"/>
    <w:rsid w:val="00C77BB8"/>
    <w:rsid w:val="00C77C4A"/>
    <w:rsid w:val="00C77E8F"/>
    <w:rsid w:val="00C8011F"/>
    <w:rsid w:val="00C801CB"/>
    <w:rsid w:val="00C802B2"/>
    <w:rsid w:val="00C8057C"/>
    <w:rsid w:val="00C8060F"/>
    <w:rsid w:val="00C80643"/>
    <w:rsid w:val="00C806FA"/>
    <w:rsid w:val="00C8085C"/>
    <w:rsid w:val="00C80B4E"/>
    <w:rsid w:val="00C80CC6"/>
    <w:rsid w:val="00C80D01"/>
    <w:rsid w:val="00C81014"/>
    <w:rsid w:val="00C8103C"/>
    <w:rsid w:val="00C8112F"/>
    <w:rsid w:val="00C81219"/>
    <w:rsid w:val="00C8122C"/>
    <w:rsid w:val="00C8139B"/>
    <w:rsid w:val="00C813EB"/>
    <w:rsid w:val="00C8141C"/>
    <w:rsid w:val="00C81459"/>
    <w:rsid w:val="00C816EB"/>
    <w:rsid w:val="00C81762"/>
    <w:rsid w:val="00C818BA"/>
    <w:rsid w:val="00C81945"/>
    <w:rsid w:val="00C81C22"/>
    <w:rsid w:val="00C81CBD"/>
    <w:rsid w:val="00C81DD1"/>
    <w:rsid w:val="00C81E89"/>
    <w:rsid w:val="00C81EFD"/>
    <w:rsid w:val="00C8200C"/>
    <w:rsid w:val="00C8201A"/>
    <w:rsid w:val="00C82196"/>
    <w:rsid w:val="00C82279"/>
    <w:rsid w:val="00C823FD"/>
    <w:rsid w:val="00C82451"/>
    <w:rsid w:val="00C82548"/>
    <w:rsid w:val="00C8268F"/>
    <w:rsid w:val="00C8279A"/>
    <w:rsid w:val="00C82923"/>
    <w:rsid w:val="00C82CFD"/>
    <w:rsid w:val="00C82DEE"/>
    <w:rsid w:val="00C82E87"/>
    <w:rsid w:val="00C82F32"/>
    <w:rsid w:val="00C82FFE"/>
    <w:rsid w:val="00C8325E"/>
    <w:rsid w:val="00C83535"/>
    <w:rsid w:val="00C83761"/>
    <w:rsid w:val="00C837B0"/>
    <w:rsid w:val="00C83900"/>
    <w:rsid w:val="00C83B97"/>
    <w:rsid w:val="00C83BA5"/>
    <w:rsid w:val="00C83BC5"/>
    <w:rsid w:val="00C83BFD"/>
    <w:rsid w:val="00C83D84"/>
    <w:rsid w:val="00C841DC"/>
    <w:rsid w:val="00C8449A"/>
    <w:rsid w:val="00C84519"/>
    <w:rsid w:val="00C84624"/>
    <w:rsid w:val="00C84A01"/>
    <w:rsid w:val="00C84A14"/>
    <w:rsid w:val="00C84C19"/>
    <w:rsid w:val="00C84C74"/>
    <w:rsid w:val="00C84CF9"/>
    <w:rsid w:val="00C84F84"/>
    <w:rsid w:val="00C84F8B"/>
    <w:rsid w:val="00C8515D"/>
    <w:rsid w:val="00C85511"/>
    <w:rsid w:val="00C85577"/>
    <w:rsid w:val="00C855A2"/>
    <w:rsid w:val="00C857E8"/>
    <w:rsid w:val="00C85944"/>
    <w:rsid w:val="00C85C48"/>
    <w:rsid w:val="00C85D45"/>
    <w:rsid w:val="00C85DE5"/>
    <w:rsid w:val="00C85E45"/>
    <w:rsid w:val="00C85F44"/>
    <w:rsid w:val="00C86044"/>
    <w:rsid w:val="00C86162"/>
    <w:rsid w:val="00C86330"/>
    <w:rsid w:val="00C864C6"/>
    <w:rsid w:val="00C86633"/>
    <w:rsid w:val="00C869D8"/>
    <w:rsid w:val="00C86B6C"/>
    <w:rsid w:val="00C86F1D"/>
    <w:rsid w:val="00C86F25"/>
    <w:rsid w:val="00C873C4"/>
    <w:rsid w:val="00C87436"/>
    <w:rsid w:val="00C87545"/>
    <w:rsid w:val="00C87553"/>
    <w:rsid w:val="00C87588"/>
    <w:rsid w:val="00C87664"/>
    <w:rsid w:val="00C878C5"/>
    <w:rsid w:val="00C87A37"/>
    <w:rsid w:val="00C87C15"/>
    <w:rsid w:val="00C87D74"/>
    <w:rsid w:val="00C87E3D"/>
    <w:rsid w:val="00C87EE9"/>
    <w:rsid w:val="00C9011D"/>
    <w:rsid w:val="00C902AA"/>
    <w:rsid w:val="00C90682"/>
    <w:rsid w:val="00C908AB"/>
    <w:rsid w:val="00C909B2"/>
    <w:rsid w:val="00C90A21"/>
    <w:rsid w:val="00C90A2E"/>
    <w:rsid w:val="00C91299"/>
    <w:rsid w:val="00C91651"/>
    <w:rsid w:val="00C916DC"/>
    <w:rsid w:val="00C916ED"/>
    <w:rsid w:val="00C91737"/>
    <w:rsid w:val="00C9178F"/>
    <w:rsid w:val="00C917A1"/>
    <w:rsid w:val="00C917A4"/>
    <w:rsid w:val="00C91976"/>
    <w:rsid w:val="00C91BB7"/>
    <w:rsid w:val="00C91CA8"/>
    <w:rsid w:val="00C91D60"/>
    <w:rsid w:val="00C91E1E"/>
    <w:rsid w:val="00C91F91"/>
    <w:rsid w:val="00C91FD6"/>
    <w:rsid w:val="00C92022"/>
    <w:rsid w:val="00C92057"/>
    <w:rsid w:val="00C922A2"/>
    <w:rsid w:val="00C922D7"/>
    <w:rsid w:val="00C92515"/>
    <w:rsid w:val="00C92603"/>
    <w:rsid w:val="00C92633"/>
    <w:rsid w:val="00C92939"/>
    <w:rsid w:val="00C92962"/>
    <w:rsid w:val="00C92B2B"/>
    <w:rsid w:val="00C92E37"/>
    <w:rsid w:val="00C92FBA"/>
    <w:rsid w:val="00C93099"/>
    <w:rsid w:val="00C9322D"/>
    <w:rsid w:val="00C9349F"/>
    <w:rsid w:val="00C93A91"/>
    <w:rsid w:val="00C93A9B"/>
    <w:rsid w:val="00C93C49"/>
    <w:rsid w:val="00C93D30"/>
    <w:rsid w:val="00C94044"/>
    <w:rsid w:val="00C94558"/>
    <w:rsid w:val="00C94587"/>
    <w:rsid w:val="00C94642"/>
    <w:rsid w:val="00C9477F"/>
    <w:rsid w:val="00C94E86"/>
    <w:rsid w:val="00C94F55"/>
    <w:rsid w:val="00C9508A"/>
    <w:rsid w:val="00C95147"/>
    <w:rsid w:val="00C9528E"/>
    <w:rsid w:val="00C9538D"/>
    <w:rsid w:val="00C95791"/>
    <w:rsid w:val="00C95976"/>
    <w:rsid w:val="00C95EB0"/>
    <w:rsid w:val="00C95F0B"/>
    <w:rsid w:val="00C9608A"/>
    <w:rsid w:val="00C9645D"/>
    <w:rsid w:val="00C965EB"/>
    <w:rsid w:val="00C968E5"/>
    <w:rsid w:val="00C969CE"/>
    <w:rsid w:val="00C96AD0"/>
    <w:rsid w:val="00C96D0D"/>
    <w:rsid w:val="00C96D9A"/>
    <w:rsid w:val="00C96F08"/>
    <w:rsid w:val="00C97523"/>
    <w:rsid w:val="00C97635"/>
    <w:rsid w:val="00C97A9C"/>
    <w:rsid w:val="00C97AC7"/>
    <w:rsid w:val="00C97CEE"/>
    <w:rsid w:val="00C97F93"/>
    <w:rsid w:val="00CA0004"/>
    <w:rsid w:val="00CA0031"/>
    <w:rsid w:val="00CA0087"/>
    <w:rsid w:val="00CA00BA"/>
    <w:rsid w:val="00CA0740"/>
    <w:rsid w:val="00CA07C0"/>
    <w:rsid w:val="00CA080A"/>
    <w:rsid w:val="00CA0C08"/>
    <w:rsid w:val="00CA0EBA"/>
    <w:rsid w:val="00CA1039"/>
    <w:rsid w:val="00CA15FB"/>
    <w:rsid w:val="00CA1663"/>
    <w:rsid w:val="00CA198F"/>
    <w:rsid w:val="00CA1B43"/>
    <w:rsid w:val="00CA1B74"/>
    <w:rsid w:val="00CA1D3E"/>
    <w:rsid w:val="00CA1DBB"/>
    <w:rsid w:val="00CA1E65"/>
    <w:rsid w:val="00CA20AC"/>
    <w:rsid w:val="00CA20E2"/>
    <w:rsid w:val="00CA2192"/>
    <w:rsid w:val="00CA21EF"/>
    <w:rsid w:val="00CA25BA"/>
    <w:rsid w:val="00CA25D4"/>
    <w:rsid w:val="00CA26EA"/>
    <w:rsid w:val="00CA275D"/>
    <w:rsid w:val="00CA2789"/>
    <w:rsid w:val="00CA29F7"/>
    <w:rsid w:val="00CA2ACE"/>
    <w:rsid w:val="00CA2FB2"/>
    <w:rsid w:val="00CA35A2"/>
    <w:rsid w:val="00CA36ED"/>
    <w:rsid w:val="00CA39EE"/>
    <w:rsid w:val="00CA3D3A"/>
    <w:rsid w:val="00CA3E4A"/>
    <w:rsid w:val="00CA40A8"/>
    <w:rsid w:val="00CA41F5"/>
    <w:rsid w:val="00CA42D6"/>
    <w:rsid w:val="00CA437B"/>
    <w:rsid w:val="00CA44A2"/>
    <w:rsid w:val="00CA46DE"/>
    <w:rsid w:val="00CA474E"/>
    <w:rsid w:val="00CA4A3A"/>
    <w:rsid w:val="00CA4BEC"/>
    <w:rsid w:val="00CA4C78"/>
    <w:rsid w:val="00CA4D62"/>
    <w:rsid w:val="00CA4F45"/>
    <w:rsid w:val="00CA4F8A"/>
    <w:rsid w:val="00CA5022"/>
    <w:rsid w:val="00CA528A"/>
    <w:rsid w:val="00CA54A1"/>
    <w:rsid w:val="00CA54AA"/>
    <w:rsid w:val="00CA56D5"/>
    <w:rsid w:val="00CA5741"/>
    <w:rsid w:val="00CA5AE9"/>
    <w:rsid w:val="00CA5BD0"/>
    <w:rsid w:val="00CA5CAF"/>
    <w:rsid w:val="00CA5D17"/>
    <w:rsid w:val="00CA5DC2"/>
    <w:rsid w:val="00CA5F98"/>
    <w:rsid w:val="00CA6257"/>
    <w:rsid w:val="00CA635E"/>
    <w:rsid w:val="00CA642E"/>
    <w:rsid w:val="00CA64E8"/>
    <w:rsid w:val="00CA6585"/>
    <w:rsid w:val="00CA66C6"/>
    <w:rsid w:val="00CA67DF"/>
    <w:rsid w:val="00CA698E"/>
    <w:rsid w:val="00CA69AC"/>
    <w:rsid w:val="00CA6D7B"/>
    <w:rsid w:val="00CA6F61"/>
    <w:rsid w:val="00CA72FF"/>
    <w:rsid w:val="00CA73E8"/>
    <w:rsid w:val="00CA75E3"/>
    <w:rsid w:val="00CA76BF"/>
    <w:rsid w:val="00CA786C"/>
    <w:rsid w:val="00CA7A79"/>
    <w:rsid w:val="00CA7ED6"/>
    <w:rsid w:val="00CA7F96"/>
    <w:rsid w:val="00CAB345"/>
    <w:rsid w:val="00CB00AA"/>
    <w:rsid w:val="00CB00C3"/>
    <w:rsid w:val="00CB0232"/>
    <w:rsid w:val="00CB0332"/>
    <w:rsid w:val="00CB081C"/>
    <w:rsid w:val="00CB09D2"/>
    <w:rsid w:val="00CB0AAC"/>
    <w:rsid w:val="00CB0AFC"/>
    <w:rsid w:val="00CB0D0A"/>
    <w:rsid w:val="00CB120F"/>
    <w:rsid w:val="00CB123D"/>
    <w:rsid w:val="00CB13EA"/>
    <w:rsid w:val="00CB14C1"/>
    <w:rsid w:val="00CB1542"/>
    <w:rsid w:val="00CB15E9"/>
    <w:rsid w:val="00CB1714"/>
    <w:rsid w:val="00CB17C9"/>
    <w:rsid w:val="00CB17F5"/>
    <w:rsid w:val="00CB1AAD"/>
    <w:rsid w:val="00CB1B14"/>
    <w:rsid w:val="00CB1BF8"/>
    <w:rsid w:val="00CB1D22"/>
    <w:rsid w:val="00CB1FA3"/>
    <w:rsid w:val="00CB2176"/>
    <w:rsid w:val="00CB21A5"/>
    <w:rsid w:val="00CB2998"/>
    <w:rsid w:val="00CB29EF"/>
    <w:rsid w:val="00CB2A73"/>
    <w:rsid w:val="00CB2BD5"/>
    <w:rsid w:val="00CB2BED"/>
    <w:rsid w:val="00CB2F71"/>
    <w:rsid w:val="00CB307C"/>
    <w:rsid w:val="00CB3202"/>
    <w:rsid w:val="00CB3220"/>
    <w:rsid w:val="00CB33BC"/>
    <w:rsid w:val="00CB367F"/>
    <w:rsid w:val="00CB3C71"/>
    <w:rsid w:val="00CB3DBA"/>
    <w:rsid w:val="00CB3E8E"/>
    <w:rsid w:val="00CB3F44"/>
    <w:rsid w:val="00CB4074"/>
    <w:rsid w:val="00CB40D4"/>
    <w:rsid w:val="00CB482A"/>
    <w:rsid w:val="00CB4866"/>
    <w:rsid w:val="00CB48C6"/>
    <w:rsid w:val="00CB495E"/>
    <w:rsid w:val="00CB4A21"/>
    <w:rsid w:val="00CB4A93"/>
    <w:rsid w:val="00CB4B58"/>
    <w:rsid w:val="00CB4D1F"/>
    <w:rsid w:val="00CB5149"/>
    <w:rsid w:val="00CB52C4"/>
    <w:rsid w:val="00CB55C7"/>
    <w:rsid w:val="00CB55FB"/>
    <w:rsid w:val="00CB57A2"/>
    <w:rsid w:val="00CB5828"/>
    <w:rsid w:val="00CB5849"/>
    <w:rsid w:val="00CB5958"/>
    <w:rsid w:val="00CB5B01"/>
    <w:rsid w:val="00CB5BCC"/>
    <w:rsid w:val="00CB5C55"/>
    <w:rsid w:val="00CB5D40"/>
    <w:rsid w:val="00CB5E56"/>
    <w:rsid w:val="00CB5E7A"/>
    <w:rsid w:val="00CB61E5"/>
    <w:rsid w:val="00CB65E7"/>
    <w:rsid w:val="00CB6631"/>
    <w:rsid w:val="00CB6635"/>
    <w:rsid w:val="00CB68DB"/>
    <w:rsid w:val="00CB6915"/>
    <w:rsid w:val="00CB6A98"/>
    <w:rsid w:val="00CB6AA6"/>
    <w:rsid w:val="00CB6B5D"/>
    <w:rsid w:val="00CB6C4F"/>
    <w:rsid w:val="00CB6CA6"/>
    <w:rsid w:val="00CB6E0C"/>
    <w:rsid w:val="00CB6F64"/>
    <w:rsid w:val="00CB7273"/>
    <w:rsid w:val="00CB7308"/>
    <w:rsid w:val="00CB7373"/>
    <w:rsid w:val="00CB7451"/>
    <w:rsid w:val="00CB7503"/>
    <w:rsid w:val="00CB758F"/>
    <w:rsid w:val="00CB7977"/>
    <w:rsid w:val="00CB7F88"/>
    <w:rsid w:val="00CC0046"/>
    <w:rsid w:val="00CC0160"/>
    <w:rsid w:val="00CC02B0"/>
    <w:rsid w:val="00CC03B8"/>
    <w:rsid w:val="00CC0463"/>
    <w:rsid w:val="00CC09B9"/>
    <w:rsid w:val="00CC0AA3"/>
    <w:rsid w:val="00CC0C7A"/>
    <w:rsid w:val="00CC138F"/>
    <w:rsid w:val="00CC1400"/>
    <w:rsid w:val="00CC1457"/>
    <w:rsid w:val="00CC14A6"/>
    <w:rsid w:val="00CC14C0"/>
    <w:rsid w:val="00CC16FA"/>
    <w:rsid w:val="00CC1ABD"/>
    <w:rsid w:val="00CC1B4E"/>
    <w:rsid w:val="00CC1B6A"/>
    <w:rsid w:val="00CC1BDA"/>
    <w:rsid w:val="00CC1D1A"/>
    <w:rsid w:val="00CC1F13"/>
    <w:rsid w:val="00CC1FAA"/>
    <w:rsid w:val="00CC1FC0"/>
    <w:rsid w:val="00CC1FDB"/>
    <w:rsid w:val="00CC223A"/>
    <w:rsid w:val="00CC22E4"/>
    <w:rsid w:val="00CC2431"/>
    <w:rsid w:val="00CC28FE"/>
    <w:rsid w:val="00CC29E3"/>
    <w:rsid w:val="00CC2AF3"/>
    <w:rsid w:val="00CC2BA5"/>
    <w:rsid w:val="00CC2D75"/>
    <w:rsid w:val="00CC3058"/>
    <w:rsid w:val="00CC317F"/>
    <w:rsid w:val="00CC33C5"/>
    <w:rsid w:val="00CC3845"/>
    <w:rsid w:val="00CC3ABC"/>
    <w:rsid w:val="00CC3B31"/>
    <w:rsid w:val="00CC3C93"/>
    <w:rsid w:val="00CC3FA7"/>
    <w:rsid w:val="00CC4079"/>
    <w:rsid w:val="00CC4200"/>
    <w:rsid w:val="00CC4211"/>
    <w:rsid w:val="00CC42C8"/>
    <w:rsid w:val="00CC4341"/>
    <w:rsid w:val="00CC43BA"/>
    <w:rsid w:val="00CC440C"/>
    <w:rsid w:val="00CC44AA"/>
    <w:rsid w:val="00CC454D"/>
    <w:rsid w:val="00CC48EE"/>
    <w:rsid w:val="00CC49F4"/>
    <w:rsid w:val="00CC4A4E"/>
    <w:rsid w:val="00CC4AB0"/>
    <w:rsid w:val="00CC4B1D"/>
    <w:rsid w:val="00CC4C0B"/>
    <w:rsid w:val="00CC4C2A"/>
    <w:rsid w:val="00CC4DDC"/>
    <w:rsid w:val="00CC4E7E"/>
    <w:rsid w:val="00CC538C"/>
    <w:rsid w:val="00CC5507"/>
    <w:rsid w:val="00CC5686"/>
    <w:rsid w:val="00CC56CA"/>
    <w:rsid w:val="00CC5AB9"/>
    <w:rsid w:val="00CC5B16"/>
    <w:rsid w:val="00CC5C04"/>
    <w:rsid w:val="00CC5EE1"/>
    <w:rsid w:val="00CC5FBC"/>
    <w:rsid w:val="00CC5FFB"/>
    <w:rsid w:val="00CC6260"/>
    <w:rsid w:val="00CC630E"/>
    <w:rsid w:val="00CC6327"/>
    <w:rsid w:val="00CC6469"/>
    <w:rsid w:val="00CC67CC"/>
    <w:rsid w:val="00CC691E"/>
    <w:rsid w:val="00CC6AD4"/>
    <w:rsid w:val="00CC6AD5"/>
    <w:rsid w:val="00CC6BA3"/>
    <w:rsid w:val="00CC6C81"/>
    <w:rsid w:val="00CC6CF8"/>
    <w:rsid w:val="00CC70B6"/>
    <w:rsid w:val="00CC7127"/>
    <w:rsid w:val="00CC730C"/>
    <w:rsid w:val="00CC73DC"/>
    <w:rsid w:val="00CC75F0"/>
    <w:rsid w:val="00CC77DB"/>
    <w:rsid w:val="00CC7864"/>
    <w:rsid w:val="00CC797A"/>
    <w:rsid w:val="00CC7BBD"/>
    <w:rsid w:val="00CC7DFC"/>
    <w:rsid w:val="00CC7E05"/>
    <w:rsid w:val="00CD001A"/>
    <w:rsid w:val="00CD02D8"/>
    <w:rsid w:val="00CD0406"/>
    <w:rsid w:val="00CD0671"/>
    <w:rsid w:val="00CD06DD"/>
    <w:rsid w:val="00CD08C5"/>
    <w:rsid w:val="00CD0954"/>
    <w:rsid w:val="00CD0A9E"/>
    <w:rsid w:val="00CD0AD6"/>
    <w:rsid w:val="00CD0BEF"/>
    <w:rsid w:val="00CD0E42"/>
    <w:rsid w:val="00CD0EA5"/>
    <w:rsid w:val="00CD0F30"/>
    <w:rsid w:val="00CD0FE7"/>
    <w:rsid w:val="00CD1147"/>
    <w:rsid w:val="00CD119D"/>
    <w:rsid w:val="00CD1239"/>
    <w:rsid w:val="00CD1404"/>
    <w:rsid w:val="00CD1467"/>
    <w:rsid w:val="00CD1D0F"/>
    <w:rsid w:val="00CD1DBE"/>
    <w:rsid w:val="00CD1E23"/>
    <w:rsid w:val="00CD1FF5"/>
    <w:rsid w:val="00CD2066"/>
    <w:rsid w:val="00CD2623"/>
    <w:rsid w:val="00CD285F"/>
    <w:rsid w:val="00CD28E8"/>
    <w:rsid w:val="00CD2A76"/>
    <w:rsid w:val="00CD35B9"/>
    <w:rsid w:val="00CD3743"/>
    <w:rsid w:val="00CD37E5"/>
    <w:rsid w:val="00CD3AD5"/>
    <w:rsid w:val="00CD3B10"/>
    <w:rsid w:val="00CD3B46"/>
    <w:rsid w:val="00CD4164"/>
    <w:rsid w:val="00CD43EE"/>
    <w:rsid w:val="00CD4618"/>
    <w:rsid w:val="00CD4A06"/>
    <w:rsid w:val="00CD4A37"/>
    <w:rsid w:val="00CD4C1F"/>
    <w:rsid w:val="00CD4CA0"/>
    <w:rsid w:val="00CD4EFC"/>
    <w:rsid w:val="00CD501E"/>
    <w:rsid w:val="00CD53BA"/>
    <w:rsid w:val="00CD54CE"/>
    <w:rsid w:val="00CD5614"/>
    <w:rsid w:val="00CD58B7"/>
    <w:rsid w:val="00CD590C"/>
    <w:rsid w:val="00CD5922"/>
    <w:rsid w:val="00CD5A60"/>
    <w:rsid w:val="00CD5E37"/>
    <w:rsid w:val="00CD60F7"/>
    <w:rsid w:val="00CD64C8"/>
    <w:rsid w:val="00CD6536"/>
    <w:rsid w:val="00CD6693"/>
    <w:rsid w:val="00CD6866"/>
    <w:rsid w:val="00CD69A0"/>
    <w:rsid w:val="00CD6A0F"/>
    <w:rsid w:val="00CD6A54"/>
    <w:rsid w:val="00CD6A6F"/>
    <w:rsid w:val="00CD6B8F"/>
    <w:rsid w:val="00CD6E38"/>
    <w:rsid w:val="00CD6E91"/>
    <w:rsid w:val="00CD6EAF"/>
    <w:rsid w:val="00CD7196"/>
    <w:rsid w:val="00CD7480"/>
    <w:rsid w:val="00CD757B"/>
    <w:rsid w:val="00CD75D0"/>
    <w:rsid w:val="00CD7B67"/>
    <w:rsid w:val="00CD7E52"/>
    <w:rsid w:val="00CE0048"/>
    <w:rsid w:val="00CE00E2"/>
    <w:rsid w:val="00CE022C"/>
    <w:rsid w:val="00CE028B"/>
    <w:rsid w:val="00CE0356"/>
    <w:rsid w:val="00CE0596"/>
    <w:rsid w:val="00CE0666"/>
    <w:rsid w:val="00CE0E25"/>
    <w:rsid w:val="00CE0F84"/>
    <w:rsid w:val="00CE12A3"/>
    <w:rsid w:val="00CE13BC"/>
    <w:rsid w:val="00CE1492"/>
    <w:rsid w:val="00CE15E7"/>
    <w:rsid w:val="00CE1711"/>
    <w:rsid w:val="00CE18EF"/>
    <w:rsid w:val="00CE1C62"/>
    <w:rsid w:val="00CE1CBF"/>
    <w:rsid w:val="00CE1F5D"/>
    <w:rsid w:val="00CE1FCB"/>
    <w:rsid w:val="00CE22C4"/>
    <w:rsid w:val="00CE22FB"/>
    <w:rsid w:val="00CE242F"/>
    <w:rsid w:val="00CE2753"/>
    <w:rsid w:val="00CE28E3"/>
    <w:rsid w:val="00CE28ED"/>
    <w:rsid w:val="00CE2B94"/>
    <w:rsid w:val="00CE2CCD"/>
    <w:rsid w:val="00CE2E9D"/>
    <w:rsid w:val="00CE2ED1"/>
    <w:rsid w:val="00CE2F0A"/>
    <w:rsid w:val="00CE2F95"/>
    <w:rsid w:val="00CE2FF3"/>
    <w:rsid w:val="00CE30E3"/>
    <w:rsid w:val="00CE3261"/>
    <w:rsid w:val="00CE338C"/>
    <w:rsid w:val="00CE34CC"/>
    <w:rsid w:val="00CE394A"/>
    <w:rsid w:val="00CE3B78"/>
    <w:rsid w:val="00CE3B80"/>
    <w:rsid w:val="00CE3DC4"/>
    <w:rsid w:val="00CE3EA5"/>
    <w:rsid w:val="00CE3F32"/>
    <w:rsid w:val="00CE4023"/>
    <w:rsid w:val="00CE43B8"/>
    <w:rsid w:val="00CE444B"/>
    <w:rsid w:val="00CE454C"/>
    <w:rsid w:val="00CE45CD"/>
    <w:rsid w:val="00CE463B"/>
    <w:rsid w:val="00CE4943"/>
    <w:rsid w:val="00CE49F7"/>
    <w:rsid w:val="00CE4CB0"/>
    <w:rsid w:val="00CE4DD8"/>
    <w:rsid w:val="00CE5510"/>
    <w:rsid w:val="00CE5803"/>
    <w:rsid w:val="00CE58C8"/>
    <w:rsid w:val="00CE59B2"/>
    <w:rsid w:val="00CE59D7"/>
    <w:rsid w:val="00CE5B77"/>
    <w:rsid w:val="00CE5CFB"/>
    <w:rsid w:val="00CE5D1C"/>
    <w:rsid w:val="00CE5D8D"/>
    <w:rsid w:val="00CE5E6A"/>
    <w:rsid w:val="00CE5EA9"/>
    <w:rsid w:val="00CE5F35"/>
    <w:rsid w:val="00CE6238"/>
    <w:rsid w:val="00CE63DA"/>
    <w:rsid w:val="00CE6513"/>
    <w:rsid w:val="00CE66E8"/>
    <w:rsid w:val="00CE68D9"/>
    <w:rsid w:val="00CE6CFB"/>
    <w:rsid w:val="00CE6EFA"/>
    <w:rsid w:val="00CE6F14"/>
    <w:rsid w:val="00CE7017"/>
    <w:rsid w:val="00CE701F"/>
    <w:rsid w:val="00CE709C"/>
    <w:rsid w:val="00CE7528"/>
    <w:rsid w:val="00CE790D"/>
    <w:rsid w:val="00CE798E"/>
    <w:rsid w:val="00CE7A40"/>
    <w:rsid w:val="00CE7A4A"/>
    <w:rsid w:val="00CE7D32"/>
    <w:rsid w:val="00CE7DC2"/>
    <w:rsid w:val="00CE7EE4"/>
    <w:rsid w:val="00CF00DE"/>
    <w:rsid w:val="00CF00EA"/>
    <w:rsid w:val="00CF0113"/>
    <w:rsid w:val="00CF03AC"/>
    <w:rsid w:val="00CF0ACD"/>
    <w:rsid w:val="00CF0B70"/>
    <w:rsid w:val="00CF0F63"/>
    <w:rsid w:val="00CF12C5"/>
    <w:rsid w:val="00CF133E"/>
    <w:rsid w:val="00CF1390"/>
    <w:rsid w:val="00CF14AD"/>
    <w:rsid w:val="00CF184B"/>
    <w:rsid w:val="00CF1A2D"/>
    <w:rsid w:val="00CF1D0A"/>
    <w:rsid w:val="00CF1DC3"/>
    <w:rsid w:val="00CF2768"/>
    <w:rsid w:val="00CF279F"/>
    <w:rsid w:val="00CF2833"/>
    <w:rsid w:val="00CF284B"/>
    <w:rsid w:val="00CF2913"/>
    <w:rsid w:val="00CF2AE2"/>
    <w:rsid w:val="00CF2CD5"/>
    <w:rsid w:val="00CF2D39"/>
    <w:rsid w:val="00CF2E48"/>
    <w:rsid w:val="00CF2ECC"/>
    <w:rsid w:val="00CF2F5F"/>
    <w:rsid w:val="00CF2FE4"/>
    <w:rsid w:val="00CF3174"/>
    <w:rsid w:val="00CF3869"/>
    <w:rsid w:val="00CF3907"/>
    <w:rsid w:val="00CF3BB1"/>
    <w:rsid w:val="00CF3D1D"/>
    <w:rsid w:val="00CF3F7B"/>
    <w:rsid w:val="00CF4204"/>
    <w:rsid w:val="00CF42DF"/>
    <w:rsid w:val="00CF439F"/>
    <w:rsid w:val="00CF44A4"/>
    <w:rsid w:val="00CF44F1"/>
    <w:rsid w:val="00CF45DC"/>
    <w:rsid w:val="00CF4629"/>
    <w:rsid w:val="00CF4A44"/>
    <w:rsid w:val="00CF4A61"/>
    <w:rsid w:val="00CF4A70"/>
    <w:rsid w:val="00CF4AB1"/>
    <w:rsid w:val="00CF4B20"/>
    <w:rsid w:val="00CF4BCE"/>
    <w:rsid w:val="00CF4C57"/>
    <w:rsid w:val="00CF4E8A"/>
    <w:rsid w:val="00CF4ED1"/>
    <w:rsid w:val="00CF4FC3"/>
    <w:rsid w:val="00CF570D"/>
    <w:rsid w:val="00CF5897"/>
    <w:rsid w:val="00CF5B61"/>
    <w:rsid w:val="00CF5CC4"/>
    <w:rsid w:val="00CF5E2D"/>
    <w:rsid w:val="00CF5FD9"/>
    <w:rsid w:val="00CF607D"/>
    <w:rsid w:val="00CF60E1"/>
    <w:rsid w:val="00CF62EF"/>
    <w:rsid w:val="00CF67A5"/>
    <w:rsid w:val="00CF67B3"/>
    <w:rsid w:val="00CF6822"/>
    <w:rsid w:val="00CF68A8"/>
    <w:rsid w:val="00CF6AE4"/>
    <w:rsid w:val="00CF6DBB"/>
    <w:rsid w:val="00CF6ED4"/>
    <w:rsid w:val="00CF70A1"/>
    <w:rsid w:val="00CF7120"/>
    <w:rsid w:val="00CF717C"/>
    <w:rsid w:val="00CF71F3"/>
    <w:rsid w:val="00CF71F4"/>
    <w:rsid w:val="00CF724C"/>
    <w:rsid w:val="00CF743F"/>
    <w:rsid w:val="00CF762F"/>
    <w:rsid w:val="00CF76A2"/>
    <w:rsid w:val="00CF7905"/>
    <w:rsid w:val="00CF7934"/>
    <w:rsid w:val="00CF7A41"/>
    <w:rsid w:val="00CF7BA7"/>
    <w:rsid w:val="00CF7D62"/>
    <w:rsid w:val="00D00153"/>
    <w:rsid w:val="00D001B4"/>
    <w:rsid w:val="00D003B7"/>
    <w:rsid w:val="00D004A3"/>
    <w:rsid w:val="00D00879"/>
    <w:rsid w:val="00D00A2C"/>
    <w:rsid w:val="00D00ACC"/>
    <w:rsid w:val="00D00BB4"/>
    <w:rsid w:val="00D00E36"/>
    <w:rsid w:val="00D00ED2"/>
    <w:rsid w:val="00D0103E"/>
    <w:rsid w:val="00D01454"/>
    <w:rsid w:val="00D0149D"/>
    <w:rsid w:val="00D015EB"/>
    <w:rsid w:val="00D01616"/>
    <w:rsid w:val="00D017F4"/>
    <w:rsid w:val="00D01860"/>
    <w:rsid w:val="00D0192E"/>
    <w:rsid w:val="00D0194F"/>
    <w:rsid w:val="00D01A92"/>
    <w:rsid w:val="00D01DBC"/>
    <w:rsid w:val="00D01E1B"/>
    <w:rsid w:val="00D01E5F"/>
    <w:rsid w:val="00D02212"/>
    <w:rsid w:val="00D02219"/>
    <w:rsid w:val="00D02520"/>
    <w:rsid w:val="00D02611"/>
    <w:rsid w:val="00D0261B"/>
    <w:rsid w:val="00D0263C"/>
    <w:rsid w:val="00D02939"/>
    <w:rsid w:val="00D02CBA"/>
    <w:rsid w:val="00D02E03"/>
    <w:rsid w:val="00D02E77"/>
    <w:rsid w:val="00D02EF9"/>
    <w:rsid w:val="00D02F4F"/>
    <w:rsid w:val="00D031F9"/>
    <w:rsid w:val="00D03202"/>
    <w:rsid w:val="00D0322A"/>
    <w:rsid w:val="00D03284"/>
    <w:rsid w:val="00D032C7"/>
    <w:rsid w:val="00D0359E"/>
    <w:rsid w:val="00D0364D"/>
    <w:rsid w:val="00D03653"/>
    <w:rsid w:val="00D037DC"/>
    <w:rsid w:val="00D03F18"/>
    <w:rsid w:val="00D04278"/>
    <w:rsid w:val="00D04341"/>
    <w:rsid w:val="00D04553"/>
    <w:rsid w:val="00D0459D"/>
    <w:rsid w:val="00D0480F"/>
    <w:rsid w:val="00D048D2"/>
    <w:rsid w:val="00D04CB3"/>
    <w:rsid w:val="00D04D5A"/>
    <w:rsid w:val="00D04E03"/>
    <w:rsid w:val="00D04E80"/>
    <w:rsid w:val="00D05195"/>
    <w:rsid w:val="00D051F9"/>
    <w:rsid w:val="00D0526B"/>
    <w:rsid w:val="00D052D3"/>
    <w:rsid w:val="00D05446"/>
    <w:rsid w:val="00D05459"/>
    <w:rsid w:val="00D054FA"/>
    <w:rsid w:val="00D0567C"/>
    <w:rsid w:val="00D056B7"/>
    <w:rsid w:val="00D05761"/>
    <w:rsid w:val="00D058A9"/>
    <w:rsid w:val="00D05BBD"/>
    <w:rsid w:val="00D05CF2"/>
    <w:rsid w:val="00D05E07"/>
    <w:rsid w:val="00D05E36"/>
    <w:rsid w:val="00D0648F"/>
    <w:rsid w:val="00D06568"/>
    <w:rsid w:val="00D066E8"/>
    <w:rsid w:val="00D067E2"/>
    <w:rsid w:val="00D06878"/>
    <w:rsid w:val="00D06F27"/>
    <w:rsid w:val="00D06FDA"/>
    <w:rsid w:val="00D072B8"/>
    <w:rsid w:val="00D073AF"/>
    <w:rsid w:val="00D07568"/>
    <w:rsid w:val="00D078A1"/>
    <w:rsid w:val="00D07C79"/>
    <w:rsid w:val="00D07CAB"/>
    <w:rsid w:val="00D07CC6"/>
    <w:rsid w:val="00D07CC8"/>
    <w:rsid w:val="00D07D3E"/>
    <w:rsid w:val="00D07DB6"/>
    <w:rsid w:val="00D102F5"/>
    <w:rsid w:val="00D1047C"/>
    <w:rsid w:val="00D104DE"/>
    <w:rsid w:val="00D104E1"/>
    <w:rsid w:val="00D1052A"/>
    <w:rsid w:val="00D10618"/>
    <w:rsid w:val="00D106BF"/>
    <w:rsid w:val="00D10A03"/>
    <w:rsid w:val="00D10A1F"/>
    <w:rsid w:val="00D10DC3"/>
    <w:rsid w:val="00D11153"/>
    <w:rsid w:val="00D11160"/>
    <w:rsid w:val="00D1147C"/>
    <w:rsid w:val="00D11538"/>
    <w:rsid w:val="00D11AD2"/>
    <w:rsid w:val="00D11B4A"/>
    <w:rsid w:val="00D11FB1"/>
    <w:rsid w:val="00D1236E"/>
    <w:rsid w:val="00D1238A"/>
    <w:rsid w:val="00D12B7E"/>
    <w:rsid w:val="00D12E31"/>
    <w:rsid w:val="00D1310D"/>
    <w:rsid w:val="00D131D8"/>
    <w:rsid w:val="00D132A8"/>
    <w:rsid w:val="00D1359A"/>
    <w:rsid w:val="00D1365E"/>
    <w:rsid w:val="00D137B3"/>
    <w:rsid w:val="00D137D7"/>
    <w:rsid w:val="00D13865"/>
    <w:rsid w:val="00D13D23"/>
    <w:rsid w:val="00D13EF4"/>
    <w:rsid w:val="00D140C9"/>
    <w:rsid w:val="00D14143"/>
    <w:rsid w:val="00D14460"/>
    <w:rsid w:val="00D145AA"/>
    <w:rsid w:val="00D148A5"/>
    <w:rsid w:val="00D14975"/>
    <w:rsid w:val="00D14995"/>
    <w:rsid w:val="00D14B5A"/>
    <w:rsid w:val="00D14D57"/>
    <w:rsid w:val="00D14E59"/>
    <w:rsid w:val="00D14E70"/>
    <w:rsid w:val="00D151DE"/>
    <w:rsid w:val="00D1521E"/>
    <w:rsid w:val="00D154F4"/>
    <w:rsid w:val="00D155BD"/>
    <w:rsid w:val="00D155D8"/>
    <w:rsid w:val="00D156D1"/>
    <w:rsid w:val="00D15744"/>
    <w:rsid w:val="00D15849"/>
    <w:rsid w:val="00D15889"/>
    <w:rsid w:val="00D15A92"/>
    <w:rsid w:val="00D15DD2"/>
    <w:rsid w:val="00D1619D"/>
    <w:rsid w:val="00D1624F"/>
    <w:rsid w:val="00D1698D"/>
    <w:rsid w:val="00D16A44"/>
    <w:rsid w:val="00D16D05"/>
    <w:rsid w:val="00D16D3D"/>
    <w:rsid w:val="00D16EBA"/>
    <w:rsid w:val="00D17062"/>
    <w:rsid w:val="00D1721B"/>
    <w:rsid w:val="00D173FF"/>
    <w:rsid w:val="00D1744E"/>
    <w:rsid w:val="00D175ED"/>
    <w:rsid w:val="00D17688"/>
    <w:rsid w:val="00D17733"/>
    <w:rsid w:val="00D17B21"/>
    <w:rsid w:val="00D17D30"/>
    <w:rsid w:val="00D17E20"/>
    <w:rsid w:val="00D17F4B"/>
    <w:rsid w:val="00D20031"/>
    <w:rsid w:val="00D206D8"/>
    <w:rsid w:val="00D20704"/>
    <w:rsid w:val="00D2083D"/>
    <w:rsid w:val="00D20B68"/>
    <w:rsid w:val="00D20BE4"/>
    <w:rsid w:val="00D20BE8"/>
    <w:rsid w:val="00D20C84"/>
    <w:rsid w:val="00D20CCA"/>
    <w:rsid w:val="00D20EDE"/>
    <w:rsid w:val="00D21054"/>
    <w:rsid w:val="00D210D5"/>
    <w:rsid w:val="00D2148F"/>
    <w:rsid w:val="00D214B8"/>
    <w:rsid w:val="00D215BD"/>
    <w:rsid w:val="00D216A0"/>
    <w:rsid w:val="00D216B2"/>
    <w:rsid w:val="00D218EC"/>
    <w:rsid w:val="00D21926"/>
    <w:rsid w:val="00D21D0E"/>
    <w:rsid w:val="00D2202E"/>
    <w:rsid w:val="00D22545"/>
    <w:rsid w:val="00D227D8"/>
    <w:rsid w:val="00D22896"/>
    <w:rsid w:val="00D22B9F"/>
    <w:rsid w:val="00D22DE1"/>
    <w:rsid w:val="00D22F79"/>
    <w:rsid w:val="00D2303A"/>
    <w:rsid w:val="00D23478"/>
    <w:rsid w:val="00D2388B"/>
    <w:rsid w:val="00D24138"/>
    <w:rsid w:val="00D24142"/>
    <w:rsid w:val="00D24157"/>
    <w:rsid w:val="00D24244"/>
    <w:rsid w:val="00D244BB"/>
    <w:rsid w:val="00D24603"/>
    <w:rsid w:val="00D24640"/>
    <w:rsid w:val="00D24643"/>
    <w:rsid w:val="00D247C0"/>
    <w:rsid w:val="00D247F4"/>
    <w:rsid w:val="00D24BEA"/>
    <w:rsid w:val="00D24BF2"/>
    <w:rsid w:val="00D24FC3"/>
    <w:rsid w:val="00D25165"/>
    <w:rsid w:val="00D2526E"/>
    <w:rsid w:val="00D25451"/>
    <w:rsid w:val="00D254BB"/>
    <w:rsid w:val="00D256B7"/>
    <w:rsid w:val="00D25755"/>
    <w:rsid w:val="00D257B9"/>
    <w:rsid w:val="00D25CB3"/>
    <w:rsid w:val="00D25D0B"/>
    <w:rsid w:val="00D25D3E"/>
    <w:rsid w:val="00D25EC2"/>
    <w:rsid w:val="00D25EE5"/>
    <w:rsid w:val="00D260DF"/>
    <w:rsid w:val="00D2633E"/>
    <w:rsid w:val="00D26360"/>
    <w:rsid w:val="00D26513"/>
    <w:rsid w:val="00D26799"/>
    <w:rsid w:val="00D267B9"/>
    <w:rsid w:val="00D26BE3"/>
    <w:rsid w:val="00D26E0F"/>
    <w:rsid w:val="00D26F66"/>
    <w:rsid w:val="00D26FED"/>
    <w:rsid w:val="00D27259"/>
    <w:rsid w:val="00D27309"/>
    <w:rsid w:val="00D274F9"/>
    <w:rsid w:val="00D27885"/>
    <w:rsid w:val="00D27BEE"/>
    <w:rsid w:val="00D27CCE"/>
    <w:rsid w:val="00D30029"/>
    <w:rsid w:val="00D3008C"/>
    <w:rsid w:val="00D303D5"/>
    <w:rsid w:val="00D306DF"/>
    <w:rsid w:val="00D30735"/>
    <w:rsid w:val="00D30775"/>
    <w:rsid w:val="00D307D6"/>
    <w:rsid w:val="00D30882"/>
    <w:rsid w:val="00D30AED"/>
    <w:rsid w:val="00D31304"/>
    <w:rsid w:val="00D31323"/>
    <w:rsid w:val="00D313B3"/>
    <w:rsid w:val="00D31465"/>
    <w:rsid w:val="00D3195E"/>
    <w:rsid w:val="00D319EC"/>
    <w:rsid w:val="00D31C16"/>
    <w:rsid w:val="00D320C7"/>
    <w:rsid w:val="00D324A7"/>
    <w:rsid w:val="00D32680"/>
    <w:rsid w:val="00D32818"/>
    <w:rsid w:val="00D32884"/>
    <w:rsid w:val="00D3292B"/>
    <w:rsid w:val="00D32AC1"/>
    <w:rsid w:val="00D32AFF"/>
    <w:rsid w:val="00D32E43"/>
    <w:rsid w:val="00D32FFE"/>
    <w:rsid w:val="00D33256"/>
    <w:rsid w:val="00D3360B"/>
    <w:rsid w:val="00D336BD"/>
    <w:rsid w:val="00D33715"/>
    <w:rsid w:val="00D33846"/>
    <w:rsid w:val="00D338EA"/>
    <w:rsid w:val="00D339FB"/>
    <w:rsid w:val="00D33AA4"/>
    <w:rsid w:val="00D33B27"/>
    <w:rsid w:val="00D33BAD"/>
    <w:rsid w:val="00D33C12"/>
    <w:rsid w:val="00D33DFA"/>
    <w:rsid w:val="00D33F02"/>
    <w:rsid w:val="00D33F53"/>
    <w:rsid w:val="00D3405E"/>
    <w:rsid w:val="00D3407C"/>
    <w:rsid w:val="00D34D66"/>
    <w:rsid w:val="00D358EC"/>
    <w:rsid w:val="00D358F7"/>
    <w:rsid w:val="00D35905"/>
    <w:rsid w:val="00D35A16"/>
    <w:rsid w:val="00D35D6F"/>
    <w:rsid w:val="00D35E39"/>
    <w:rsid w:val="00D35E52"/>
    <w:rsid w:val="00D35EC6"/>
    <w:rsid w:val="00D36022"/>
    <w:rsid w:val="00D36118"/>
    <w:rsid w:val="00D36376"/>
    <w:rsid w:val="00D3647B"/>
    <w:rsid w:val="00D365A5"/>
    <w:rsid w:val="00D3674A"/>
    <w:rsid w:val="00D36918"/>
    <w:rsid w:val="00D36D5B"/>
    <w:rsid w:val="00D36DC1"/>
    <w:rsid w:val="00D36E67"/>
    <w:rsid w:val="00D36FFA"/>
    <w:rsid w:val="00D3701C"/>
    <w:rsid w:val="00D37250"/>
    <w:rsid w:val="00D377CC"/>
    <w:rsid w:val="00D37CEC"/>
    <w:rsid w:val="00D37DAD"/>
    <w:rsid w:val="00D37EF5"/>
    <w:rsid w:val="00D40217"/>
    <w:rsid w:val="00D40305"/>
    <w:rsid w:val="00D40360"/>
    <w:rsid w:val="00D40478"/>
    <w:rsid w:val="00D40753"/>
    <w:rsid w:val="00D40799"/>
    <w:rsid w:val="00D40C89"/>
    <w:rsid w:val="00D40DEC"/>
    <w:rsid w:val="00D40F06"/>
    <w:rsid w:val="00D411CB"/>
    <w:rsid w:val="00D413AC"/>
    <w:rsid w:val="00D413AE"/>
    <w:rsid w:val="00D415BF"/>
    <w:rsid w:val="00D419C9"/>
    <w:rsid w:val="00D41BC5"/>
    <w:rsid w:val="00D41CD6"/>
    <w:rsid w:val="00D41F9E"/>
    <w:rsid w:val="00D4231B"/>
    <w:rsid w:val="00D42451"/>
    <w:rsid w:val="00D42518"/>
    <w:rsid w:val="00D426E4"/>
    <w:rsid w:val="00D42713"/>
    <w:rsid w:val="00D428B9"/>
    <w:rsid w:val="00D42A15"/>
    <w:rsid w:val="00D42ABD"/>
    <w:rsid w:val="00D42AE0"/>
    <w:rsid w:val="00D42BA2"/>
    <w:rsid w:val="00D42CC0"/>
    <w:rsid w:val="00D42DCB"/>
    <w:rsid w:val="00D4317E"/>
    <w:rsid w:val="00D43246"/>
    <w:rsid w:val="00D43326"/>
    <w:rsid w:val="00D4334D"/>
    <w:rsid w:val="00D4336F"/>
    <w:rsid w:val="00D43585"/>
    <w:rsid w:val="00D43596"/>
    <w:rsid w:val="00D4363C"/>
    <w:rsid w:val="00D436E2"/>
    <w:rsid w:val="00D43790"/>
    <w:rsid w:val="00D43906"/>
    <w:rsid w:val="00D43B0B"/>
    <w:rsid w:val="00D43F77"/>
    <w:rsid w:val="00D44246"/>
    <w:rsid w:val="00D44412"/>
    <w:rsid w:val="00D44438"/>
    <w:rsid w:val="00D44713"/>
    <w:rsid w:val="00D44B02"/>
    <w:rsid w:val="00D44BF6"/>
    <w:rsid w:val="00D44D45"/>
    <w:rsid w:val="00D44DD2"/>
    <w:rsid w:val="00D45015"/>
    <w:rsid w:val="00D450FF"/>
    <w:rsid w:val="00D4539E"/>
    <w:rsid w:val="00D453AC"/>
    <w:rsid w:val="00D454AB"/>
    <w:rsid w:val="00D455A3"/>
    <w:rsid w:val="00D455C5"/>
    <w:rsid w:val="00D456D4"/>
    <w:rsid w:val="00D45750"/>
    <w:rsid w:val="00D457EA"/>
    <w:rsid w:val="00D45971"/>
    <w:rsid w:val="00D459D6"/>
    <w:rsid w:val="00D45C42"/>
    <w:rsid w:val="00D45D9F"/>
    <w:rsid w:val="00D45DBD"/>
    <w:rsid w:val="00D45EA1"/>
    <w:rsid w:val="00D46288"/>
    <w:rsid w:val="00D463F9"/>
    <w:rsid w:val="00D4648B"/>
    <w:rsid w:val="00D4677E"/>
    <w:rsid w:val="00D4698F"/>
    <w:rsid w:val="00D469AC"/>
    <w:rsid w:val="00D46A53"/>
    <w:rsid w:val="00D46B22"/>
    <w:rsid w:val="00D46CE6"/>
    <w:rsid w:val="00D47192"/>
    <w:rsid w:val="00D471C8"/>
    <w:rsid w:val="00D47337"/>
    <w:rsid w:val="00D4735A"/>
    <w:rsid w:val="00D4767C"/>
    <w:rsid w:val="00D47820"/>
    <w:rsid w:val="00D47901"/>
    <w:rsid w:val="00D47F3A"/>
    <w:rsid w:val="00D47FB4"/>
    <w:rsid w:val="00D501AD"/>
    <w:rsid w:val="00D505B4"/>
    <w:rsid w:val="00D50B2A"/>
    <w:rsid w:val="00D50C1F"/>
    <w:rsid w:val="00D50DAD"/>
    <w:rsid w:val="00D50E43"/>
    <w:rsid w:val="00D50EBE"/>
    <w:rsid w:val="00D513DF"/>
    <w:rsid w:val="00D518D2"/>
    <w:rsid w:val="00D51990"/>
    <w:rsid w:val="00D519C7"/>
    <w:rsid w:val="00D51F48"/>
    <w:rsid w:val="00D51F85"/>
    <w:rsid w:val="00D52070"/>
    <w:rsid w:val="00D520C3"/>
    <w:rsid w:val="00D520D3"/>
    <w:rsid w:val="00D5253D"/>
    <w:rsid w:val="00D52711"/>
    <w:rsid w:val="00D52944"/>
    <w:rsid w:val="00D52A42"/>
    <w:rsid w:val="00D52BBF"/>
    <w:rsid w:val="00D52DC0"/>
    <w:rsid w:val="00D52E54"/>
    <w:rsid w:val="00D52EE5"/>
    <w:rsid w:val="00D52F5D"/>
    <w:rsid w:val="00D52FF5"/>
    <w:rsid w:val="00D5302D"/>
    <w:rsid w:val="00D5330E"/>
    <w:rsid w:val="00D533C1"/>
    <w:rsid w:val="00D53499"/>
    <w:rsid w:val="00D536B6"/>
    <w:rsid w:val="00D53C2C"/>
    <w:rsid w:val="00D53CDE"/>
    <w:rsid w:val="00D54184"/>
    <w:rsid w:val="00D545FD"/>
    <w:rsid w:val="00D54646"/>
    <w:rsid w:val="00D54AEC"/>
    <w:rsid w:val="00D54D9F"/>
    <w:rsid w:val="00D54DA1"/>
    <w:rsid w:val="00D552CF"/>
    <w:rsid w:val="00D55436"/>
    <w:rsid w:val="00D55551"/>
    <w:rsid w:val="00D55670"/>
    <w:rsid w:val="00D55B26"/>
    <w:rsid w:val="00D55C99"/>
    <w:rsid w:val="00D55CEF"/>
    <w:rsid w:val="00D55D1F"/>
    <w:rsid w:val="00D55E23"/>
    <w:rsid w:val="00D56223"/>
    <w:rsid w:val="00D56266"/>
    <w:rsid w:val="00D563B5"/>
    <w:rsid w:val="00D563E5"/>
    <w:rsid w:val="00D56DFA"/>
    <w:rsid w:val="00D56E1A"/>
    <w:rsid w:val="00D56F2A"/>
    <w:rsid w:val="00D56F91"/>
    <w:rsid w:val="00D570E1"/>
    <w:rsid w:val="00D571AA"/>
    <w:rsid w:val="00D57425"/>
    <w:rsid w:val="00D574BD"/>
    <w:rsid w:val="00D576E0"/>
    <w:rsid w:val="00D57749"/>
    <w:rsid w:val="00D57761"/>
    <w:rsid w:val="00D5781A"/>
    <w:rsid w:val="00D57971"/>
    <w:rsid w:val="00D57A4E"/>
    <w:rsid w:val="00D57B5A"/>
    <w:rsid w:val="00D57BB7"/>
    <w:rsid w:val="00D57E2E"/>
    <w:rsid w:val="00D57F91"/>
    <w:rsid w:val="00D57FAE"/>
    <w:rsid w:val="00D57FF1"/>
    <w:rsid w:val="00D600C7"/>
    <w:rsid w:val="00D60164"/>
    <w:rsid w:val="00D602AF"/>
    <w:rsid w:val="00D60328"/>
    <w:rsid w:val="00D6067E"/>
    <w:rsid w:val="00D6079B"/>
    <w:rsid w:val="00D60A21"/>
    <w:rsid w:val="00D60CA3"/>
    <w:rsid w:val="00D60E22"/>
    <w:rsid w:val="00D60F7F"/>
    <w:rsid w:val="00D61135"/>
    <w:rsid w:val="00D6114F"/>
    <w:rsid w:val="00D61302"/>
    <w:rsid w:val="00D61517"/>
    <w:rsid w:val="00D61884"/>
    <w:rsid w:val="00D61908"/>
    <w:rsid w:val="00D619D2"/>
    <w:rsid w:val="00D619E1"/>
    <w:rsid w:val="00D619F9"/>
    <w:rsid w:val="00D61B9C"/>
    <w:rsid w:val="00D61EF2"/>
    <w:rsid w:val="00D61F1B"/>
    <w:rsid w:val="00D620AD"/>
    <w:rsid w:val="00D62101"/>
    <w:rsid w:val="00D62151"/>
    <w:rsid w:val="00D6216A"/>
    <w:rsid w:val="00D62179"/>
    <w:rsid w:val="00D621DA"/>
    <w:rsid w:val="00D6248C"/>
    <w:rsid w:val="00D62574"/>
    <w:rsid w:val="00D625C7"/>
    <w:rsid w:val="00D62701"/>
    <w:rsid w:val="00D62B3F"/>
    <w:rsid w:val="00D62C64"/>
    <w:rsid w:val="00D62CF4"/>
    <w:rsid w:val="00D62D57"/>
    <w:rsid w:val="00D62E2F"/>
    <w:rsid w:val="00D62F4A"/>
    <w:rsid w:val="00D62F4D"/>
    <w:rsid w:val="00D63056"/>
    <w:rsid w:val="00D630BE"/>
    <w:rsid w:val="00D6317C"/>
    <w:rsid w:val="00D631DF"/>
    <w:rsid w:val="00D63998"/>
    <w:rsid w:val="00D63A47"/>
    <w:rsid w:val="00D63D67"/>
    <w:rsid w:val="00D63E88"/>
    <w:rsid w:val="00D64053"/>
    <w:rsid w:val="00D645F3"/>
    <w:rsid w:val="00D6468F"/>
    <w:rsid w:val="00D646CB"/>
    <w:rsid w:val="00D6481B"/>
    <w:rsid w:val="00D64898"/>
    <w:rsid w:val="00D648B6"/>
    <w:rsid w:val="00D64AE1"/>
    <w:rsid w:val="00D64BAC"/>
    <w:rsid w:val="00D64BCB"/>
    <w:rsid w:val="00D64EEC"/>
    <w:rsid w:val="00D64F4F"/>
    <w:rsid w:val="00D6504F"/>
    <w:rsid w:val="00D65247"/>
    <w:rsid w:val="00D652D9"/>
    <w:rsid w:val="00D653F0"/>
    <w:rsid w:val="00D656AB"/>
    <w:rsid w:val="00D65A4B"/>
    <w:rsid w:val="00D66133"/>
    <w:rsid w:val="00D6614E"/>
    <w:rsid w:val="00D66273"/>
    <w:rsid w:val="00D6627F"/>
    <w:rsid w:val="00D6639A"/>
    <w:rsid w:val="00D66400"/>
    <w:rsid w:val="00D66489"/>
    <w:rsid w:val="00D6668C"/>
    <w:rsid w:val="00D66826"/>
    <w:rsid w:val="00D66842"/>
    <w:rsid w:val="00D668AA"/>
    <w:rsid w:val="00D6695B"/>
    <w:rsid w:val="00D6699C"/>
    <w:rsid w:val="00D66CCC"/>
    <w:rsid w:val="00D66D33"/>
    <w:rsid w:val="00D66DE2"/>
    <w:rsid w:val="00D66F75"/>
    <w:rsid w:val="00D67100"/>
    <w:rsid w:val="00D671B8"/>
    <w:rsid w:val="00D671D3"/>
    <w:rsid w:val="00D67484"/>
    <w:rsid w:val="00D6762F"/>
    <w:rsid w:val="00D6769A"/>
    <w:rsid w:val="00D6791C"/>
    <w:rsid w:val="00D6798E"/>
    <w:rsid w:val="00D67B3F"/>
    <w:rsid w:val="00D67C15"/>
    <w:rsid w:val="00D67C96"/>
    <w:rsid w:val="00D67D87"/>
    <w:rsid w:val="00D67EFE"/>
    <w:rsid w:val="00D7021F"/>
    <w:rsid w:val="00D7067C"/>
    <w:rsid w:val="00D706AA"/>
    <w:rsid w:val="00D70901"/>
    <w:rsid w:val="00D709BF"/>
    <w:rsid w:val="00D70D18"/>
    <w:rsid w:val="00D70DDA"/>
    <w:rsid w:val="00D70F83"/>
    <w:rsid w:val="00D70FE4"/>
    <w:rsid w:val="00D71337"/>
    <w:rsid w:val="00D716BF"/>
    <w:rsid w:val="00D716FC"/>
    <w:rsid w:val="00D7173F"/>
    <w:rsid w:val="00D7182C"/>
    <w:rsid w:val="00D7195C"/>
    <w:rsid w:val="00D71B92"/>
    <w:rsid w:val="00D71BE0"/>
    <w:rsid w:val="00D71D40"/>
    <w:rsid w:val="00D71DCB"/>
    <w:rsid w:val="00D7211A"/>
    <w:rsid w:val="00D7218A"/>
    <w:rsid w:val="00D72341"/>
    <w:rsid w:val="00D723CB"/>
    <w:rsid w:val="00D725C8"/>
    <w:rsid w:val="00D72754"/>
    <w:rsid w:val="00D7279A"/>
    <w:rsid w:val="00D72905"/>
    <w:rsid w:val="00D72DAD"/>
    <w:rsid w:val="00D72FCA"/>
    <w:rsid w:val="00D7328C"/>
    <w:rsid w:val="00D73564"/>
    <w:rsid w:val="00D736AE"/>
    <w:rsid w:val="00D73774"/>
    <w:rsid w:val="00D737EB"/>
    <w:rsid w:val="00D738F0"/>
    <w:rsid w:val="00D73914"/>
    <w:rsid w:val="00D739A3"/>
    <w:rsid w:val="00D73AD9"/>
    <w:rsid w:val="00D73D49"/>
    <w:rsid w:val="00D73F35"/>
    <w:rsid w:val="00D7401B"/>
    <w:rsid w:val="00D74160"/>
    <w:rsid w:val="00D741EA"/>
    <w:rsid w:val="00D74249"/>
    <w:rsid w:val="00D742A7"/>
    <w:rsid w:val="00D74592"/>
    <w:rsid w:val="00D74745"/>
    <w:rsid w:val="00D748C3"/>
    <w:rsid w:val="00D75194"/>
    <w:rsid w:val="00D751EE"/>
    <w:rsid w:val="00D75408"/>
    <w:rsid w:val="00D75862"/>
    <w:rsid w:val="00D758F9"/>
    <w:rsid w:val="00D75A0A"/>
    <w:rsid w:val="00D75A99"/>
    <w:rsid w:val="00D761D7"/>
    <w:rsid w:val="00D763D3"/>
    <w:rsid w:val="00D763D5"/>
    <w:rsid w:val="00D76705"/>
    <w:rsid w:val="00D768D6"/>
    <w:rsid w:val="00D769FF"/>
    <w:rsid w:val="00D76B41"/>
    <w:rsid w:val="00D76C4B"/>
    <w:rsid w:val="00D76D5B"/>
    <w:rsid w:val="00D7715F"/>
    <w:rsid w:val="00D77555"/>
    <w:rsid w:val="00D775B8"/>
    <w:rsid w:val="00D775C2"/>
    <w:rsid w:val="00D7761D"/>
    <w:rsid w:val="00D77BAD"/>
    <w:rsid w:val="00D77C89"/>
    <w:rsid w:val="00D77D72"/>
    <w:rsid w:val="00D80091"/>
    <w:rsid w:val="00D801D9"/>
    <w:rsid w:val="00D80372"/>
    <w:rsid w:val="00D805F7"/>
    <w:rsid w:val="00D8061A"/>
    <w:rsid w:val="00D8078B"/>
    <w:rsid w:val="00D80801"/>
    <w:rsid w:val="00D8081C"/>
    <w:rsid w:val="00D808ED"/>
    <w:rsid w:val="00D80C29"/>
    <w:rsid w:val="00D80D69"/>
    <w:rsid w:val="00D812BD"/>
    <w:rsid w:val="00D816DC"/>
    <w:rsid w:val="00D81727"/>
    <w:rsid w:val="00D817B3"/>
    <w:rsid w:val="00D81906"/>
    <w:rsid w:val="00D81CA8"/>
    <w:rsid w:val="00D81DDC"/>
    <w:rsid w:val="00D81ECC"/>
    <w:rsid w:val="00D81FA9"/>
    <w:rsid w:val="00D81FC7"/>
    <w:rsid w:val="00D82032"/>
    <w:rsid w:val="00D8236B"/>
    <w:rsid w:val="00D823D1"/>
    <w:rsid w:val="00D82563"/>
    <w:rsid w:val="00D825AD"/>
    <w:rsid w:val="00D825B3"/>
    <w:rsid w:val="00D826CE"/>
    <w:rsid w:val="00D8282F"/>
    <w:rsid w:val="00D828C5"/>
    <w:rsid w:val="00D82B28"/>
    <w:rsid w:val="00D82C35"/>
    <w:rsid w:val="00D82E57"/>
    <w:rsid w:val="00D82E82"/>
    <w:rsid w:val="00D8316D"/>
    <w:rsid w:val="00D831CE"/>
    <w:rsid w:val="00D8332E"/>
    <w:rsid w:val="00D83637"/>
    <w:rsid w:val="00D83AE0"/>
    <w:rsid w:val="00D83B2B"/>
    <w:rsid w:val="00D83B51"/>
    <w:rsid w:val="00D84106"/>
    <w:rsid w:val="00D842E1"/>
    <w:rsid w:val="00D8438C"/>
    <w:rsid w:val="00D845C5"/>
    <w:rsid w:val="00D8466C"/>
    <w:rsid w:val="00D8467B"/>
    <w:rsid w:val="00D848CC"/>
    <w:rsid w:val="00D848E5"/>
    <w:rsid w:val="00D849E6"/>
    <w:rsid w:val="00D84ECA"/>
    <w:rsid w:val="00D84EF4"/>
    <w:rsid w:val="00D84F74"/>
    <w:rsid w:val="00D85043"/>
    <w:rsid w:val="00D8518F"/>
    <w:rsid w:val="00D851F1"/>
    <w:rsid w:val="00D8525E"/>
    <w:rsid w:val="00D85477"/>
    <w:rsid w:val="00D8556C"/>
    <w:rsid w:val="00D856BA"/>
    <w:rsid w:val="00D856EE"/>
    <w:rsid w:val="00D8577B"/>
    <w:rsid w:val="00D857C0"/>
    <w:rsid w:val="00D857E2"/>
    <w:rsid w:val="00D85988"/>
    <w:rsid w:val="00D85AFF"/>
    <w:rsid w:val="00D85FD6"/>
    <w:rsid w:val="00D8649E"/>
    <w:rsid w:val="00D86561"/>
    <w:rsid w:val="00D865CA"/>
    <w:rsid w:val="00D865F0"/>
    <w:rsid w:val="00D867EB"/>
    <w:rsid w:val="00D868B4"/>
    <w:rsid w:val="00D86923"/>
    <w:rsid w:val="00D86A15"/>
    <w:rsid w:val="00D86D30"/>
    <w:rsid w:val="00D86FF0"/>
    <w:rsid w:val="00D87027"/>
    <w:rsid w:val="00D870BA"/>
    <w:rsid w:val="00D87274"/>
    <w:rsid w:val="00D8727E"/>
    <w:rsid w:val="00D8740C"/>
    <w:rsid w:val="00D87534"/>
    <w:rsid w:val="00D8766A"/>
    <w:rsid w:val="00D87882"/>
    <w:rsid w:val="00D87D69"/>
    <w:rsid w:val="00D87E8A"/>
    <w:rsid w:val="00D9041B"/>
    <w:rsid w:val="00D905CD"/>
    <w:rsid w:val="00D90627"/>
    <w:rsid w:val="00D9069D"/>
    <w:rsid w:val="00D90704"/>
    <w:rsid w:val="00D907EF"/>
    <w:rsid w:val="00D90936"/>
    <w:rsid w:val="00D909E0"/>
    <w:rsid w:val="00D90C6A"/>
    <w:rsid w:val="00D90CFF"/>
    <w:rsid w:val="00D90DBB"/>
    <w:rsid w:val="00D90DD6"/>
    <w:rsid w:val="00D9141D"/>
    <w:rsid w:val="00D91852"/>
    <w:rsid w:val="00D918DE"/>
    <w:rsid w:val="00D91986"/>
    <w:rsid w:val="00D919FD"/>
    <w:rsid w:val="00D91A7F"/>
    <w:rsid w:val="00D91D03"/>
    <w:rsid w:val="00D92017"/>
    <w:rsid w:val="00D920B9"/>
    <w:rsid w:val="00D920E9"/>
    <w:rsid w:val="00D92116"/>
    <w:rsid w:val="00D92225"/>
    <w:rsid w:val="00D92613"/>
    <w:rsid w:val="00D92AB3"/>
    <w:rsid w:val="00D92AE6"/>
    <w:rsid w:val="00D92DA6"/>
    <w:rsid w:val="00D92F94"/>
    <w:rsid w:val="00D937C7"/>
    <w:rsid w:val="00D938C2"/>
    <w:rsid w:val="00D93A1A"/>
    <w:rsid w:val="00D93C62"/>
    <w:rsid w:val="00D93D87"/>
    <w:rsid w:val="00D94183"/>
    <w:rsid w:val="00D9443C"/>
    <w:rsid w:val="00D944CB"/>
    <w:rsid w:val="00D946C9"/>
    <w:rsid w:val="00D9474B"/>
    <w:rsid w:val="00D9493F"/>
    <w:rsid w:val="00D9498F"/>
    <w:rsid w:val="00D94B8D"/>
    <w:rsid w:val="00D94BCF"/>
    <w:rsid w:val="00D94CF3"/>
    <w:rsid w:val="00D94D2E"/>
    <w:rsid w:val="00D94E4D"/>
    <w:rsid w:val="00D94EED"/>
    <w:rsid w:val="00D951E4"/>
    <w:rsid w:val="00D95231"/>
    <w:rsid w:val="00D953B6"/>
    <w:rsid w:val="00D95634"/>
    <w:rsid w:val="00D95705"/>
    <w:rsid w:val="00D9578C"/>
    <w:rsid w:val="00D957F4"/>
    <w:rsid w:val="00D9593A"/>
    <w:rsid w:val="00D95A9A"/>
    <w:rsid w:val="00D95ABE"/>
    <w:rsid w:val="00D95CEA"/>
    <w:rsid w:val="00D95E22"/>
    <w:rsid w:val="00D9600A"/>
    <w:rsid w:val="00D96226"/>
    <w:rsid w:val="00D96367"/>
    <w:rsid w:val="00D964F7"/>
    <w:rsid w:val="00D967A8"/>
    <w:rsid w:val="00D968E4"/>
    <w:rsid w:val="00D96AEB"/>
    <w:rsid w:val="00D96BF4"/>
    <w:rsid w:val="00D9735C"/>
    <w:rsid w:val="00D973FC"/>
    <w:rsid w:val="00D9741C"/>
    <w:rsid w:val="00D9753B"/>
    <w:rsid w:val="00D978F5"/>
    <w:rsid w:val="00D97BD5"/>
    <w:rsid w:val="00DA0042"/>
    <w:rsid w:val="00DA0295"/>
    <w:rsid w:val="00DA034B"/>
    <w:rsid w:val="00DA058E"/>
    <w:rsid w:val="00DA076D"/>
    <w:rsid w:val="00DA0876"/>
    <w:rsid w:val="00DA0A84"/>
    <w:rsid w:val="00DA0AD5"/>
    <w:rsid w:val="00DA0C39"/>
    <w:rsid w:val="00DA0D22"/>
    <w:rsid w:val="00DA0E47"/>
    <w:rsid w:val="00DA1301"/>
    <w:rsid w:val="00DA13A2"/>
    <w:rsid w:val="00DA1576"/>
    <w:rsid w:val="00DA1663"/>
    <w:rsid w:val="00DA17A5"/>
    <w:rsid w:val="00DA191B"/>
    <w:rsid w:val="00DA1C38"/>
    <w:rsid w:val="00DA25DA"/>
    <w:rsid w:val="00DA27E1"/>
    <w:rsid w:val="00DA2BD0"/>
    <w:rsid w:val="00DA2D89"/>
    <w:rsid w:val="00DA2E22"/>
    <w:rsid w:val="00DA2E34"/>
    <w:rsid w:val="00DA2E91"/>
    <w:rsid w:val="00DA2F44"/>
    <w:rsid w:val="00DA324F"/>
    <w:rsid w:val="00DA32EB"/>
    <w:rsid w:val="00DA3444"/>
    <w:rsid w:val="00DA379E"/>
    <w:rsid w:val="00DA37B6"/>
    <w:rsid w:val="00DA3818"/>
    <w:rsid w:val="00DA3939"/>
    <w:rsid w:val="00DA3D24"/>
    <w:rsid w:val="00DA3FBE"/>
    <w:rsid w:val="00DA4095"/>
    <w:rsid w:val="00DA4181"/>
    <w:rsid w:val="00DA44A2"/>
    <w:rsid w:val="00DA487C"/>
    <w:rsid w:val="00DA49F1"/>
    <w:rsid w:val="00DA4B35"/>
    <w:rsid w:val="00DA4B88"/>
    <w:rsid w:val="00DA4B9A"/>
    <w:rsid w:val="00DA512C"/>
    <w:rsid w:val="00DA559D"/>
    <w:rsid w:val="00DA584D"/>
    <w:rsid w:val="00DA5BC0"/>
    <w:rsid w:val="00DA60E4"/>
    <w:rsid w:val="00DA62EA"/>
    <w:rsid w:val="00DA65F5"/>
    <w:rsid w:val="00DA6765"/>
    <w:rsid w:val="00DA6A99"/>
    <w:rsid w:val="00DA6E3B"/>
    <w:rsid w:val="00DA6F17"/>
    <w:rsid w:val="00DA6FAB"/>
    <w:rsid w:val="00DA72BF"/>
    <w:rsid w:val="00DA77AC"/>
    <w:rsid w:val="00DA77FC"/>
    <w:rsid w:val="00DA79FA"/>
    <w:rsid w:val="00DA7CF8"/>
    <w:rsid w:val="00DA7D7E"/>
    <w:rsid w:val="00DA7F52"/>
    <w:rsid w:val="00DB003C"/>
    <w:rsid w:val="00DB0672"/>
    <w:rsid w:val="00DB0758"/>
    <w:rsid w:val="00DB07C7"/>
    <w:rsid w:val="00DB0D4C"/>
    <w:rsid w:val="00DB0D53"/>
    <w:rsid w:val="00DB0E6C"/>
    <w:rsid w:val="00DB0EF3"/>
    <w:rsid w:val="00DB0FDD"/>
    <w:rsid w:val="00DB105C"/>
    <w:rsid w:val="00DB1127"/>
    <w:rsid w:val="00DB13AF"/>
    <w:rsid w:val="00DB1821"/>
    <w:rsid w:val="00DB1C8F"/>
    <w:rsid w:val="00DB1E91"/>
    <w:rsid w:val="00DB2250"/>
    <w:rsid w:val="00DB228E"/>
    <w:rsid w:val="00DB245B"/>
    <w:rsid w:val="00DB2C45"/>
    <w:rsid w:val="00DB2CB9"/>
    <w:rsid w:val="00DB2D18"/>
    <w:rsid w:val="00DB2F11"/>
    <w:rsid w:val="00DB31BE"/>
    <w:rsid w:val="00DB325A"/>
    <w:rsid w:val="00DB33D3"/>
    <w:rsid w:val="00DB350A"/>
    <w:rsid w:val="00DB3547"/>
    <w:rsid w:val="00DB35B6"/>
    <w:rsid w:val="00DB3600"/>
    <w:rsid w:val="00DB3824"/>
    <w:rsid w:val="00DB3963"/>
    <w:rsid w:val="00DB3A10"/>
    <w:rsid w:val="00DB3B6C"/>
    <w:rsid w:val="00DB3D68"/>
    <w:rsid w:val="00DB423C"/>
    <w:rsid w:val="00DB4264"/>
    <w:rsid w:val="00DB4273"/>
    <w:rsid w:val="00DB43AA"/>
    <w:rsid w:val="00DB4410"/>
    <w:rsid w:val="00DB442F"/>
    <w:rsid w:val="00DB44D4"/>
    <w:rsid w:val="00DB44D6"/>
    <w:rsid w:val="00DB486B"/>
    <w:rsid w:val="00DB48DA"/>
    <w:rsid w:val="00DB4B68"/>
    <w:rsid w:val="00DB4D4B"/>
    <w:rsid w:val="00DB4D77"/>
    <w:rsid w:val="00DB502F"/>
    <w:rsid w:val="00DB50B8"/>
    <w:rsid w:val="00DB5117"/>
    <w:rsid w:val="00DB5183"/>
    <w:rsid w:val="00DB546A"/>
    <w:rsid w:val="00DB54C1"/>
    <w:rsid w:val="00DB552D"/>
    <w:rsid w:val="00DB565F"/>
    <w:rsid w:val="00DB56EE"/>
    <w:rsid w:val="00DB5943"/>
    <w:rsid w:val="00DB59DA"/>
    <w:rsid w:val="00DB5BC2"/>
    <w:rsid w:val="00DB5C46"/>
    <w:rsid w:val="00DB5CA4"/>
    <w:rsid w:val="00DB5E74"/>
    <w:rsid w:val="00DB5EE4"/>
    <w:rsid w:val="00DB6031"/>
    <w:rsid w:val="00DB6169"/>
    <w:rsid w:val="00DB6231"/>
    <w:rsid w:val="00DB631B"/>
    <w:rsid w:val="00DB6462"/>
    <w:rsid w:val="00DB646A"/>
    <w:rsid w:val="00DB6471"/>
    <w:rsid w:val="00DB6553"/>
    <w:rsid w:val="00DB664A"/>
    <w:rsid w:val="00DB676A"/>
    <w:rsid w:val="00DB6B15"/>
    <w:rsid w:val="00DB6BB4"/>
    <w:rsid w:val="00DB6C2F"/>
    <w:rsid w:val="00DB6EC3"/>
    <w:rsid w:val="00DB6F29"/>
    <w:rsid w:val="00DB709B"/>
    <w:rsid w:val="00DB71FB"/>
    <w:rsid w:val="00DB72B6"/>
    <w:rsid w:val="00DB741F"/>
    <w:rsid w:val="00DB7463"/>
    <w:rsid w:val="00DB75EC"/>
    <w:rsid w:val="00DB7892"/>
    <w:rsid w:val="00DB7AA6"/>
    <w:rsid w:val="00DB7BC3"/>
    <w:rsid w:val="00DB7EFB"/>
    <w:rsid w:val="00DC000C"/>
    <w:rsid w:val="00DC043C"/>
    <w:rsid w:val="00DC058E"/>
    <w:rsid w:val="00DC07C4"/>
    <w:rsid w:val="00DC0A0D"/>
    <w:rsid w:val="00DC11C5"/>
    <w:rsid w:val="00DC14AF"/>
    <w:rsid w:val="00DC1720"/>
    <w:rsid w:val="00DC182D"/>
    <w:rsid w:val="00DC183A"/>
    <w:rsid w:val="00DC19E8"/>
    <w:rsid w:val="00DC19F8"/>
    <w:rsid w:val="00DC1C16"/>
    <w:rsid w:val="00DC1CF8"/>
    <w:rsid w:val="00DC1FD8"/>
    <w:rsid w:val="00DC244D"/>
    <w:rsid w:val="00DC2572"/>
    <w:rsid w:val="00DC27E2"/>
    <w:rsid w:val="00DC288F"/>
    <w:rsid w:val="00DC2E38"/>
    <w:rsid w:val="00DC2F68"/>
    <w:rsid w:val="00DC30F6"/>
    <w:rsid w:val="00DC3113"/>
    <w:rsid w:val="00DC3372"/>
    <w:rsid w:val="00DC3633"/>
    <w:rsid w:val="00DC3691"/>
    <w:rsid w:val="00DC36AC"/>
    <w:rsid w:val="00DC3881"/>
    <w:rsid w:val="00DC3D35"/>
    <w:rsid w:val="00DC3E00"/>
    <w:rsid w:val="00DC3FC8"/>
    <w:rsid w:val="00DC4108"/>
    <w:rsid w:val="00DC41EC"/>
    <w:rsid w:val="00DC420E"/>
    <w:rsid w:val="00DC4395"/>
    <w:rsid w:val="00DC442B"/>
    <w:rsid w:val="00DC4655"/>
    <w:rsid w:val="00DC4693"/>
    <w:rsid w:val="00DC472D"/>
    <w:rsid w:val="00DC47BF"/>
    <w:rsid w:val="00DC4AEE"/>
    <w:rsid w:val="00DC4B2E"/>
    <w:rsid w:val="00DC4BDC"/>
    <w:rsid w:val="00DC4CAF"/>
    <w:rsid w:val="00DC4EC7"/>
    <w:rsid w:val="00DC4F64"/>
    <w:rsid w:val="00DC5084"/>
    <w:rsid w:val="00DC50C5"/>
    <w:rsid w:val="00DC50F3"/>
    <w:rsid w:val="00DC5242"/>
    <w:rsid w:val="00DC533A"/>
    <w:rsid w:val="00DC5345"/>
    <w:rsid w:val="00DC547C"/>
    <w:rsid w:val="00DC54F2"/>
    <w:rsid w:val="00DC5535"/>
    <w:rsid w:val="00DC59FF"/>
    <w:rsid w:val="00DC5C8F"/>
    <w:rsid w:val="00DC5D64"/>
    <w:rsid w:val="00DC5D76"/>
    <w:rsid w:val="00DC5E11"/>
    <w:rsid w:val="00DC5EDF"/>
    <w:rsid w:val="00DC60BB"/>
    <w:rsid w:val="00DC6292"/>
    <w:rsid w:val="00DC6450"/>
    <w:rsid w:val="00DC6480"/>
    <w:rsid w:val="00DC6498"/>
    <w:rsid w:val="00DC64A7"/>
    <w:rsid w:val="00DC666A"/>
    <w:rsid w:val="00DC67AC"/>
    <w:rsid w:val="00DC67C4"/>
    <w:rsid w:val="00DC6ABF"/>
    <w:rsid w:val="00DC6B2E"/>
    <w:rsid w:val="00DC716E"/>
    <w:rsid w:val="00DC75D1"/>
    <w:rsid w:val="00DC76C0"/>
    <w:rsid w:val="00DC7790"/>
    <w:rsid w:val="00DC779A"/>
    <w:rsid w:val="00DC77E1"/>
    <w:rsid w:val="00DC7807"/>
    <w:rsid w:val="00DC7DF8"/>
    <w:rsid w:val="00DC7E67"/>
    <w:rsid w:val="00DD028C"/>
    <w:rsid w:val="00DD0426"/>
    <w:rsid w:val="00DD0438"/>
    <w:rsid w:val="00DD04B1"/>
    <w:rsid w:val="00DD057A"/>
    <w:rsid w:val="00DD0623"/>
    <w:rsid w:val="00DD0700"/>
    <w:rsid w:val="00DD0760"/>
    <w:rsid w:val="00DD0953"/>
    <w:rsid w:val="00DD0B31"/>
    <w:rsid w:val="00DD12EF"/>
    <w:rsid w:val="00DD14A8"/>
    <w:rsid w:val="00DD15E2"/>
    <w:rsid w:val="00DD186E"/>
    <w:rsid w:val="00DD1888"/>
    <w:rsid w:val="00DD1A95"/>
    <w:rsid w:val="00DD1B1E"/>
    <w:rsid w:val="00DD1DC0"/>
    <w:rsid w:val="00DD1F09"/>
    <w:rsid w:val="00DD1F51"/>
    <w:rsid w:val="00DD2079"/>
    <w:rsid w:val="00DD2180"/>
    <w:rsid w:val="00DD2656"/>
    <w:rsid w:val="00DD283F"/>
    <w:rsid w:val="00DD2BAE"/>
    <w:rsid w:val="00DD2C08"/>
    <w:rsid w:val="00DD2C81"/>
    <w:rsid w:val="00DD2CBA"/>
    <w:rsid w:val="00DD2D37"/>
    <w:rsid w:val="00DD2EE3"/>
    <w:rsid w:val="00DD31EF"/>
    <w:rsid w:val="00DD320D"/>
    <w:rsid w:val="00DD3394"/>
    <w:rsid w:val="00DD369F"/>
    <w:rsid w:val="00DD3855"/>
    <w:rsid w:val="00DD3AFC"/>
    <w:rsid w:val="00DD3CC6"/>
    <w:rsid w:val="00DD40CA"/>
    <w:rsid w:val="00DD40D5"/>
    <w:rsid w:val="00DD4292"/>
    <w:rsid w:val="00DD44D0"/>
    <w:rsid w:val="00DD4646"/>
    <w:rsid w:val="00DD46ED"/>
    <w:rsid w:val="00DD4BB2"/>
    <w:rsid w:val="00DD4CDB"/>
    <w:rsid w:val="00DD4D0A"/>
    <w:rsid w:val="00DD4DB6"/>
    <w:rsid w:val="00DD4ED9"/>
    <w:rsid w:val="00DD5110"/>
    <w:rsid w:val="00DD5541"/>
    <w:rsid w:val="00DD58C1"/>
    <w:rsid w:val="00DD5965"/>
    <w:rsid w:val="00DD5BAD"/>
    <w:rsid w:val="00DD5D46"/>
    <w:rsid w:val="00DD608B"/>
    <w:rsid w:val="00DD69F6"/>
    <w:rsid w:val="00DD6A5F"/>
    <w:rsid w:val="00DD6AE0"/>
    <w:rsid w:val="00DD6CFE"/>
    <w:rsid w:val="00DD7192"/>
    <w:rsid w:val="00DD732D"/>
    <w:rsid w:val="00DD7382"/>
    <w:rsid w:val="00DD7801"/>
    <w:rsid w:val="00DD7A38"/>
    <w:rsid w:val="00DD7B14"/>
    <w:rsid w:val="00DD7E22"/>
    <w:rsid w:val="00DD7FD2"/>
    <w:rsid w:val="00DE03C1"/>
    <w:rsid w:val="00DE0499"/>
    <w:rsid w:val="00DE04D0"/>
    <w:rsid w:val="00DE058E"/>
    <w:rsid w:val="00DE06F5"/>
    <w:rsid w:val="00DE08F2"/>
    <w:rsid w:val="00DE094F"/>
    <w:rsid w:val="00DE0ABA"/>
    <w:rsid w:val="00DE0BE7"/>
    <w:rsid w:val="00DE0E42"/>
    <w:rsid w:val="00DE0E4A"/>
    <w:rsid w:val="00DE0E6E"/>
    <w:rsid w:val="00DE113C"/>
    <w:rsid w:val="00DE1389"/>
    <w:rsid w:val="00DE13F9"/>
    <w:rsid w:val="00DE160D"/>
    <w:rsid w:val="00DE1801"/>
    <w:rsid w:val="00DE197D"/>
    <w:rsid w:val="00DE1A59"/>
    <w:rsid w:val="00DE1C30"/>
    <w:rsid w:val="00DE1C37"/>
    <w:rsid w:val="00DE1CFE"/>
    <w:rsid w:val="00DE1D56"/>
    <w:rsid w:val="00DE1EE3"/>
    <w:rsid w:val="00DE1EF7"/>
    <w:rsid w:val="00DE2158"/>
    <w:rsid w:val="00DE230C"/>
    <w:rsid w:val="00DE23C3"/>
    <w:rsid w:val="00DE2496"/>
    <w:rsid w:val="00DE2764"/>
    <w:rsid w:val="00DE282F"/>
    <w:rsid w:val="00DE291D"/>
    <w:rsid w:val="00DE2B40"/>
    <w:rsid w:val="00DE31CB"/>
    <w:rsid w:val="00DE31F8"/>
    <w:rsid w:val="00DE3445"/>
    <w:rsid w:val="00DE383D"/>
    <w:rsid w:val="00DE3849"/>
    <w:rsid w:val="00DE3A44"/>
    <w:rsid w:val="00DE3C32"/>
    <w:rsid w:val="00DE3C58"/>
    <w:rsid w:val="00DE3D8F"/>
    <w:rsid w:val="00DE3E13"/>
    <w:rsid w:val="00DE4111"/>
    <w:rsid w:val="00DE4146"/>
    <w:rsid w:val="00DE418A"/>
    <w:rsid w:val="00DE4220"/>
    <w:rsid w:val="00DE43A7"/>
    <w:rsid w:val="00DE441E"/>
    <w:rsid w:val="00DE4576"/>
    <w:rsid w:val="00DE4B70"/>
    <w:rsid w:val="00DE5055"/>
    <w:rsid w:val="00DE50FD"/>
    <w:rsid w:val="00DE540F"/>
    <w:rsid w:val="00DE581E"/>
    <w:rsid w:val="00DE5D0C"/>
    <w:rsid w:val="00DE5D42"/>
    <w:rsid w:val="00DE5E63"/>
    <w:rsid w:val="00DE5F3E"/>
    <w:rsid w:val="00DE5F84"/>
    <w:rsid w:val="00DE614E"/>
    <w:rsid w:val="00DE61BC"/>
    <w:rsid w:val="00DE6846"/>
    <w:rsid w:val="00DE6924"/>
    <w:rsid w:val="00DE6A00"/>
    <w:rsid w:val="00DE6B96"/>
    <w:rsid w:val="00DE6DA5"/>
    <w:rsid w:val="00DE6DEF"/>
    <w:rsid w:val="00DE6EE3"/>
    <w:rsid w:val="00DE6F46"/>
    <w:rsid w:val="00DE7003"/>
    <w:rsid w:val="00DE7052"/>
    <w:rsid w:val="00DE7099"/>
    <w:rsid w:val="00DE7161"/>
    <w:rsid w:val="00DE7364"/>
    <w:rsid w:val="00DE747C"/>
    <w:rsid w:val="00DE7C03"/>
    <w:rsid w:val="00DE7CFE"/>
    <w:rsid w:val="00DE7F93"/>
    <w:rsid w:val="00DF021E"/>
    <w:rsid w:val="00DF07C8"/>
    <w:rsid w:val="00DF0A08"/>
    <w:rsid w:val="00DF0A82"/>
    <w:rsid w:val="00DF0D03"/>
    <w:rsid w:val="00DF0D08"/>
    <w:rsid w:val="00DF0E44"/>
    <w:rsid w:val="00DF0EEE"/>
    <w:rsid w:val="00DF0FAA"/>
    <w:rsid w:val="00DF1016"/>
    <w:rsid w:val="00DF129C"/>
    <w:rsid w:val="00DF1469"/>
    <w:rsid w:val="00DF14A1"/>
    <w:rsid w:val="00DF14E4"/>
    <w:rsid w:val="00DF150C"/>
    <w:rsid w:val="00DF164A"/>
    <w:rsid w:val="00DF1655"/>
    <w:rsid w:val="00DF1867"/>
    <w:rsid w:val="00DF1B18"/>
    <w:rsid w:val="00DF1B66"/>
    <w:rsid w:val="00DF1BD9"/>
    <w:rsid w:val="00DF1F42"/>
    <w:rsid w:val="00DF1F66"/>
    <w:rsid w:val="00DF1FE6"/>
    <w:rsid w:val="00DF2313"/>
    <w:rsid w:val="00DF2499"/>
    <w:rsid w:val="00DF279B"/>
    <w:rsid w:val="00DF28B9"/>
    <w:rsid w:val="00DF2947"/>
    <w:rsid w:val="00DF2A82"/>
    <w:rsid w:val="00DF2B13"/>
    <w:rsid w:val="00DF2C84"/>
    <w:rsid w:val="00DF2FEF"/>
    <w:rsid w:val="00DF339D"/>
    <w:rsid w:val="00DF341B"/>
    <w:rsid w:val="00DF341D"/>
    <w:rsid w:val="00DF3805"/>
    <w:rsid w:val="00DF38CD"/>
    <w:rsid w:val="00DF38F0"/>
    <w:rsid w:val="00DF39E9"/>
    <w:rsid w:val="00DF3A30"/>
    <w:rsid w:val="00DF3A43"/>
    <w:rsid w:val="00DF3B5C"/>
    <w:rsid w:val="00DF3CF2"/>
    <w:rsid w:val="00DF3E0E"/>
    <w:rsid w:val="00DF40CE"/>
    <w:rsid w:val="00DF416A"/>
    <w:rsid w:val="00DF4188"/>
    <w:rsid w:val="00DF431B"/>
    <w:rsid w:val="00DF44D5"/>
    <w:rsid w:val="00DF46A1"/>
    <w:rsid w:val="00DF46CE"/>
    <w:rsid w:val="00DF4AD8"/>
    <w:rsid w:val="00DF4B6A"/>
    <w:rsid w:val="00DF4D00"/>
    <w:rsid w:val="00DF4E28"/>
    <w:rsid w:val="00DF4FC5"/>
    <w:rsid w:val="00DF5242"/>
    <w:rsid w:val="00DF5498"/>
    <w:rsid w:val="00DF554C"/>
    <w:rsid w:val="00DF5ED7"/>
    <w:rsid w:val="00DF60BC"/>
    <w:rsid w:val="00DF6149"/>
    <w:rsid w:val="00DF6531"/>
    <w:rsid w:val="00DF6716"/>
    <w:rsid w:val="00DF690D"/>
    <w:rsid w:val="00DF69B7"/>
    <w:rsid w:val="00DF69BB"/>
    <w:rsid w:val="00DF6D73"/>
    <w:rsid w:val="00DF6FED"/>
    <w:rsid w:val="00DF7387"/>
    <w:rsid w:val="00DF73BE"/>
    <w:rsid w:val="00DF74D9"/>
    <w:rsid w:val="00DF7502"/>
    <w:rsid w:val="00DF7645"/>
    <w:rsid w:val="00DF77ED"/>
    <w:rsid w:val="00DF78B6"/>
    <w:rsid w:val="00DF78F8"/>
    <w:rsid w:val="00DF79CF"/>
    <w:rsid w:val="00DF7B10"/>
    <w:rsid w:val="00DF7B1C"/>
    <w:rsid w:val="00DF7B8A"/>
    <w:rsid w:val="00E00158"/>
    <w:rsid w:val="00E002B6"/>
    <w:rsid w:val="00E00813"/>
    <w:rsid w:val="00E00948"/>
    <w:rsid w:val="00E009F4"/>
    <w:rsid w:val="00E00BDF"/>
    <w:rsid w:val="00E00C05"/>
    <w:rsid w:val="00E00D61"/>
    <w:rsid w:val="00E00DAA"/>
    <w:rsid w:val="00E01098"/>
    <w:rsid w:val="00E0134B"/>
    <w:rsid w:val="00E013CB"/>
    <w:rsid w:val="00E0192D"/>
    <w:rsid w:val="00E01E66"/>
    <w:rsid w:val="00E02063"/>
    <w:rsid w:val="00E0253D"/>
    <w:rsid w:val="00E02CFC"/>
    <w:rsid w:val="00E02F39"/>
    <w:rsid w:val="00E03075"/>
    <w:rsid w:val="00E0319C"/>
    <w:rsid w:val="00E03234"/>
    <w:rsid w:val="00E0324A"/>
    <w:rsid w:val="00E0360B"/>
    <w:rsid w:val="00E03628"/>
    <w:rsid w:val="00E03A30"/>
    <w:rsid w:val="00E03A53"/>
    <w:rsid w:val="00E03A96"/>
    <w:rsid w:val="00E03AE0"/>
    <w:rsid w:val="00E03B42"/>
    <w:rsid w:val="00E03B46"/>
    <w:rsid w:val="00E03B6B"/>
    <w:rsid w:val="00E043D0"/>
    <w:rsid w:val="00E04428"/>
    <w:rsid w:val="00E04674"/>
    <w:rsid w:val="00E0470D"/>
    <w:rsid w:val="00E05252"/>
    <w:rsid w:val="00E056A6"/>
    <w:rsid w:val="00E05D56"/>
    <w:rsid w:val="00E05E96"/>
    <w:rsid w:val="00E06107"/>
    <w:rsid w:val="00E0630C"/>
    <w:rsid w:val="00E0630E"/>
    <w:rsid w:val="00E0661D"/>
    <w:rsid w:val="00E06718"/>
    <w:rsid w:val="00E0692D"/>
    <w:rsid w:val="00E069E7"/>
    <w:rsid w:val="00E069FF"/>
    <w:rsid w:val="00E06A63"/>
    <w:rsid w:val="00E06C76"/>
    <w:rsid w:val="00E06DDE"/>
    <w:rsid w:val="00E06E56"/>
    <w:rsid w:val="00E06EBB"/>
    <w:rsid w:val="00E070E2"/>
    <w:rsid w:val="00E071A8"/>
    <w:rsid w:val="00E07209"/>
    <w:rsid w:val="00E0724C"/>
    <w:rsid w:val="00E0736A"/>
    <w:rsid w:val="00E07556"/>
    <w:rsid w:val="00E075C9"/>
    <w:rsid w:val="00E079B8"/>
    <w:rsid w:val="00E07B1E"/>
    <w:rsid w:val="00E07C36"/>
    <w:rsid w:val="00E07EB5"/>
    <w:rsid w:val="00E10372"/>
    <w:rsid w:val="00E1042D"/>
    <w:rsid w:val="00E105A9"/>
    <w:rsid w:val="00E10B99"/>
    <w:rsid w:val="00E10BDD"/>
    <w:rsid w:val="00E10DFD"/>
    <w:rsid w:val="00E1116B"/>
    <w:rsid w:val="00E112EB"/>
    <w:rsid w:val="00E113F6"/>
    <w:rsid w:val="00E11412"/>
    <w:rsid w:val="00E1166B"/>
    <w:rsid w:val="00E1187E"/>
    <w:rsid w:val="00E11934"/>
    <w:rsid w:val="00E119D2"/>
    <w:rsid w:val="00E11A3E"/>
    <w:rsid w:val="00E11C39"/>
    <w:rsid w:val="00E11E7C"/>
    <w:rsid w:val="00E120DA"/>
    <w:rsid w:val="00E121A7"/>
    <w:rsid w:val="00E121AC"/>
    <w:rsid w:val="00E123BE"/>
    <w:rsid w:val="00E1249C"/>
    <w:rsid w:val="00E125F1"/>
    <w:rsid w:val="00E12F08"/>
    <w:rsid w:val="00E12F76"/>
    <w:rsid w:val="00E1354E"/>
    <w:rsid w:val="00E135D2"/>
    <w:rsid w:val="00E135D7"/>
    <w:rsid w:val="00E136C6"/>
    <w:rsid w:val="00E1372D"/>
    <w:rsid w:val="00E1384C"/>
    <w:rsid w:val="00E13883"/>
    <w:rsid w:val="00E13B86"/>
    <w:rsid w:val="00E1418C"/>
    <w:rsid w:val="00E142E6"/>
    <w:rsid w:val="00E14342"/>
    <w:rsid w:val="00E14378"/>
    <w:rsid w:val="00E143DF"/>
    <w:rsid w:val="00E143FD"/>
    <w:rsid w:val="00E14484"/>
    <w:rsid w:val="00E14614"/>
    <w:rsid w:val="00E146DB"/>
    <w:rsid w:val="00E14B33"/>
    <w:rsid w:val="00E14BD1"/>
    <w:rsid w:val="00E14C1A"/>
    <w:rsid w:val="00E15056"/>
    <w:rsid w:val="00E151A4"/>
    <w:rsid w:val="00E151DC"/>
    <w:rsid w:val="00E15239"/>
    <w:rsid w:val="00E15254"/>
    <w:rsid w:val="00E1547F"/>
    <w:rsid w:val="00E15507"/>
    <w:rsid w:val="00E15610"/>
    <w:rsid w:val="00E15688"/>
    <w:rsid w:val="00E1592F"/>
    <w:rsid w:val="00E15A67"/>
    <w:rsid w:val="00E15A76"/>
    <w:rsid w:val="00E15BF0"/>
    <w:rsid w:val="00E15DB1"/>
    <w:rsid w:val="00E15ECB"/>
    <w:rsid w:val="00E1612A"/>
    <w:rsid w:val="00E16341"/>
    <w:rsid w:val="00E1634C"/>
    <w:rsid w:val="00E1696D"/>
    <w:rsid w:val="00E16FFE"/>
    <w:rsid w:val="00E17254"/>
    <w:rsid w:val="00E17552"/>
    <w:rsid w:val="00E17574"/>
    <w:rsid w:val="00E175C1"/>
    <w:rsid w:val="00E177A0"/>
    <w:rsid w:val="00E17877"/>
    <w:rsid w:val="00E17882"/>
    <w:rsid w:val="00E17A05"/>
    <w:rsid w:val="00E17A8D"/>
    <w:rsid w:val="00E17B0A"/>
    <w:rsid w:val="00E17E55"/>
    <w:rsid w:val="00E17FC0"/>
    <w:rsid w:val="00E20051"/>
    <w:rsid w:val="00E200CC"/>
    <w:rsid w:val="00E20205"/>
    <w:rsid w:val="00E2023B"/>
    <w:rsid w:val="00E202A0"/>
    <w:rsid w:val="00E202FB"/>
    <w:rsid w:val="00E20390"/>
    <w:rsid w:val="00E206B8"/>
    <w:rsid w:val="00E208F2"/>
    <w:rsid w:val="00E20937"/>
    <w:rsid w:val="00E20A2E"/>
    <w:rsid w:val="00E20C68"/>
    <w:rsid w:val="00E20ED0"/>
    <w:rsid w:val="00E214EC"/>
    <w:rsid w:val="00E2186C"/>
    <w:rsid w:val="00E2190E"/>
    <w:rsid w:val="00E219A8"/>
    <w:rsid w:val="00E21ACE"/>
    <w:rsid w:val="00E21B03"/>
    <w:rsid w:val="00E21B06"/>
    <w:rsid w:val="00E21B4E"/>
    <w:rsid w:val="00E21C4E"/>
    <w:rsid w:val="00E21C98"/>
    <w:rsid w:val="00E21D4C"/>
    <w:rsid w:val="00E21E6F"/>
    <w:rsid w:val="00E2203B"/>
    <w:rsid w:val="00E22199"/>
    <w:rsid w:val="00E22340"/>
    <w:rsid w:val="00E223F9"/>
    <w:rsid w:val="00E22400"/>
    <w:rsid w:val="00E22414"/>
    <w:rsid w:val="00E22445"/>
    <w:rsid w:val="00E22523"/>
    <w:rsid w:val="00E22656"/>
    <w:rsid w:val="00E227DA"/>
    <w:rsid w:val="00E229B6"/>
    <w:rsid w:val="00E22A30"/>
    <w:rsid w:val="00E22B08"/>
    <w:rsid w:val="00E22BE8"/>
    <w:rsid w:val="00E22CDD"/>
    <w:rsid w:val="00E22F0E"/>
    <w:rsid w:val="00E22F5C"/>
    <w:rsid w:val="00E23421"/>
    <w:rsid w:val="00E23423"/>
    <w:rsid w:val="00E23785"/>
    <w:rsid w:val="00E238C0"/>
    <w:rsid w:val="00E239B4"/>
    <w:rsid w:val="00E23D34"/>
    <w:rsid w:val="00E24089"/>
    <w:rsid w:val="00E2419E"/>
    <w:rsid w:val="00E2429F"/>
    <w:rsid w:val="00E242A3"/>
    <w:rsid w:val="00E24660"/>
    <w:rsid w:val="00E24719"/>
    <w:rsid w:val="00E2487D"/>
    <w:rsid w:val="00E24899"/>
    <w:rsid w:val="00E2490F"/>
    <w:rsid w:val="00E24BF0"/>
    <w:rsid w:val="00E24DA4"/>
    <w:rsid w:val="00E25130"/>
    <w:rsid w:val="00E2569B"/>
    <w:rsid w:val="00E2577A"/>
    <w:rsid w:val="00E25788"/>
    <w:rsid w:val="00E257FD"/>
    <w:rsid w:val="00E258B2"/>
    <w:rsid w:val="00E25910"/>
    <w:rsid w:val="00E25A8D"/>
    <w:rsid w:val="00E25C24"/>
    <w:rsid w:val="00E25ED1"/>
    <w:rsid w:val="00E25F4A"/>
    <w:rsid w:val="00E25FD0"/>
    <w:rsid w:val="00E26035"/>
    <w:rsid w:val="00E260A3"/>
    <w:rsid w:val="00E261E5"/>
    <w:rsid w:val="00E26213"/>
    <w:rsid w:val="00E262A7"/>
    <w:rsid w:val="00E262AD"/>
    <w:rsid w:val="00E262D2"/>
    <w:rsid w:val="00E26440"/>
    <w:rsid w:val="00E266E1"/>
    <w:rsid w:val="00E26827"/>
    <w:rsid w:val="00E26AA2"/>
    <w:rsid w:val="00E26C14"/>
    <w:rsid w:val="00E26D15"/>
    <w:rsid w:val="00E2706E"/>
    <w:rsid w:val="00E2715B"/>
    <w:rsid w:val="00E27333"/>
    <w:rsid w:val="00E274C2"/>
    <w:rsid w:val="00E2773F"/>
    <w:rsid w:val="00E27802"/>
    <w:rsid w:val="00E27894"/>
    <w:rsid w:val="00E278CA"/>
    <w:rsid w:val="00E278EB"/>
    <w:rsid w:val="00E27946"/>
    <w:rsid w:val="00E279B4"/>
    <w:rsid w:val="00E27DDB"/>
    <w:rsid w:val="00E27EC8"/>
    <w:rsid w:val="00E30027"/>
    <w:rsid w:val="00E30068"/>
    <w:rsid w:val="00E302F0"/>
    <w:rsid w:val="00E30320"/>
    <w:rsid w:val="00E304CB"/>
    <w:rsid w:val="00E30718"/>
    <w:rsid w:val="00E30888"/>
    <w:rsid w:val="00E30A23"/>
    <w:rsid w:val="00E30AC9"/>
    <w:rsid w:val="00E30B33"/>
    <w:rsid w:val="00E30B3D"/>
    <w:rsid w:val="00E30B47"/>
    <w:rsid w:val="00E30D37"/>
    <w:rsid w:val="00E30DD3"/>
    <w:rsid w:val="00E30E7E"/>
    <w:rsid w:val="00E30EDB"/>
    <w:rsid w:val="00E30F10"/>
    <w:rsid w:val="00E31024"/>
    <w:rsid w:val="00E310FD"/>
    <w:rsid w:val="00E311A1"/>
    <w:rsid w:val="00E3120E"/>
    <w:rsid w:val="00E31654"/>
    <w:rsid w:val="00E31679"/>
    <w:rsid w:val="00E3169A"/>
    <w:rsid w:val="00E31702"/>
    <w:rsid w:val="00E317EA"/>
    <w:rsid w:val="00E31B75"/>
    <w:rsid w:val="00E31D1C"/>
    <w:rsid w:val="00E31EBD"/>
    <w:rsid w:val="00E31F63"/>
    <w:rsid w:val="00E320C3"/>
    <w:rsid w:val="00E320CF"/>
    <w:rsid w:val="00E32301"/>
    <w:rsid w:val="00E32316"/>
    <w:rsid w:val="00E3232E"/>
    <w:rsid w:val="00E3242E"/>
    <w:rsid w:val="00E32609"/>
    <w:rsid w:val="00E326EA"/>
    <w:rsid w:val="00E3274F"/>
    <w:rsid w:val="00E327E0"/>
    <w:rsid w:val="00E32926"/>
    <w:rsid w:val="00E329C0"/>
    <w:rsid w:val="00E32AC8"/>
    <w:rsid w:val="00E32B55"/>
    <w:rsid w:val="00E32D05"/>
    <w:rsid w:val="00E32D1C"/>
    <w:rsid w:val="00E32D7C"/>
    <w:rsid w:val="00E32F1A"/>
    <w:rsid w:val="00E33089"/>
    <w:rsid w:val="00E330C9"/>
    <w:rsid w:val="00E3313B"/>
    <w:rsid w:val="00E33179"/>
    <w:rsid w:val="00E3317A"/>
    <w:rsid w:val="00E33188"/>
    <w:rsid w:val="00E3330E"/>
    <w:rsid w:val="00E33401"/>
    <w:rsid w:val="00E33419"/>
    <w:rsid w:val="00E3351F"/>
    <w:rsid w:val="00E33992"/>
    <w:rsid w:val="00E33ADC"/>
    <w:rsid w:val="00E340CC"/>
    <w:rsid w:val="00E34342"/>
    <w:rsid w:val="00E3441F"/>
    <w:rsid w:val="00E34455"/>
    <w:rsid w:val="00E3488F"/>
    <w:rsid w:val="00E34A16"/>
    <w:rsid w:val="00E34ABB"/>
    <w:rsid w:val="00E34CCE"/>
    <w:rsid w:val="00E34D35"/>
    <w:rsid w:val="00E34FB4"/>
    <w:rsid w:val="00E35117"/>
    <w:rsid w:val="00E3560F"/>
    <w:rsid w:val="00E35756"/>
    <w:rsid w:val="00E35C71"/>
    <w:rsid w:val="00E35CAC"/>
    <w:rsid w:val="00E35CE3"/>
    <w:rsid w:val="00E35E41"/>
    <w:rsid w:val="00E35F25"/>
    <w:rsid w:val="00E35FA0"/>
    <w:rsid w:val="00E35FC2"/>
    <w:rsid w:val="00E369EE"/>
    <w:rsid w:val="00E36CE6"/>
    <w:rsid w:val="00E36D06"/>
    <w:rsid w:val="00E36EB3"/>
    <w:rsid w:val="00E36ED4"/>
    <w:rsid w:val="00E36F57"/>
    <w:rsid w:val="00E37054"/>
    <w:rsid w:val="00E3752E"/>
    <w:rsid w:val="00E375C5"/>
    <w:rsid w:val="00E37639"/>
    <w:rsid w:val="00E378FD"/>
    <w:rsid w:val="00E3797D"/>
    <w:rsid w:val="00E37C42"/>
    <w:rsid w:val="00E37EF3"/>
    <w:rsid w:val="00E40019"/>
    <w:rsid w:val="00E40174"/>
    <w:rsid w:val="00E403B5"/>
    <w:rsid w:val="00E403C1"/>
    <w:rsid w:val="00E403DF"/>
    <w:rsid w:val="00E40412"/>
    <w:rsid w:val="00E40789"/>
    <w:rsid w:val="00E40C29"/>
    <w:rsid w:val="00E40C9C"/>
    <w:rsid w:val="00E40D2F"/>
    <w:rsid w:val="00E40DAE"/>
    <w:rsid w:val="00E40E85"/>
    <w:rsid w:val="00E40F62"/>
    <w:rsid w:val="00E40F8A"/>
    <w:rsid w:val="00E40F9E"/>
    <w:rsid w:val="00E410AE"/>
    <w:rsid w:val="00E414EE"/>
    <w:rsid w:val="00E4150B"/>
    <w:rsid w:val="00E415D6"/>
    <w:rsid w:val="00E4161B"/>
    <w:rsid w:val="00E41822"/>
    <w:rsid w:val="00E418D0"/>
    <w:rsid w:val="00E41BD8"/>
    <w:rsid w:val="00E42108"/>
    <w:rsid w:val="00E4213D"/>
    <w:rsid w:val="00E423BC"/>
    <w:rsid w:val="00E4248E"/>
    <w:rsid w:val="00E425C1"/>
    <w:rsid w:val="00E425EB"/>
    <w:rsid w:val="00E42659"/>
    <w:rsid w:val="00E4293F"/>
    <w:rsid w:val="00E42C81"/>
    <w:rsid w:val="00E42D47"/>
    <w:rsid w:val="00E430A5"/>
    <w:rsid w:val="00E4320C"/>
    <w:rsid w:val="00E43249"/>
    <w:rsid w:val="00E4337A"/>
    <w:rsid w:val="00E433B1"/>
    <w:rsid w:val="00E434FC"/>
    <w:rsid w:val="00E436A2"/>
    <w:rsid w:val="00E43D45"/>
    <w:rsid w:val="00E43E86"/>
    <w:rsid w:val="00E4422C"/>
    <w:rsid w:val="00E44332"/>
    <w:rsid w:val="00E44B16"/>
    <w:rsid w:val="00E44C2B"/>
    <w:rsid w:val="00E44C34"/>
    <w:rsid w:val="00E44D15"/>
    <w:rsid w:val="00E44E96"/>
    <w:rsid w:val="00E44FFB"/>
    <w:rsid w:val="00E455BC"/>
    <w:rsid w:val="00E45639"/>
    <w:rsid w:val="00E456ED"/>
    <w:rsid w:val="00E45736"/>
    <w:rsid w:val="00E458AC"/>
    <w:rsid w:val="00E458D8"/>
    <w:rsid w:val="00E45BA6"/>
    <w:rsid w:val="00E45FEE"/>
    <w:rsid w:val="00E46019"/>
    <w:rsid w:val="00E461E9"/>
    <w:rsid w:val="00E4633A"/>
    <w:rsid w:val="00E46391"/>
    <w:rsid w:val="00E467D0"/>
    <w:rsid w:val="00E46857"/>
    <w:rsid w:val="00E46A55"/>
    <w:rsid w:val="00E46B8C"/>
    <w:rsid w:val="00E46C34"/>
    <w:rsid w:val="00E46D1A"/>
    <w:rsid w:val="00E46D1C"/>
    <w:rsid w:val="00E470E4"/>
    <w:rsid w:val="00E47445"/>
    <w:rsid w:val="00E476B3"/>
    <w:rsid w:val="00E477F6"/>
    <w:rsid w:val="00E47827"/>
    <w:rsid w:val="00E47861"/>
    <w:rsid w:val="00E4788B"/>
    <w:rsid w:val="00E47A7E"/>
    <w:rsid w:val="00E47A97"/>
    <w:rsid w:val="00E50131"/>
    <w:rsid w:val="00E502FE"/>
    <w:rsid w:val="00E5031A"/>
    <w:rsid w:val="00E50499"/>
    <w:rsid w:val="00E504FC"/>
    <w:rsid w:val="00E505CA"/>
    <w:rsid w:val="00E5071F"/>
    <w:rsid w:val="00E5085E"/>
    <w:rsid w:val="00E509C2"/>
    <w:rsid w:val="00E50B71"/>
    <w:rsid w:val="00E50DE6"/>
    <w:rsid w:val="00E50E22"/>
    <w:rsid w:val="00E50F22"/>
    <w:rsid w:val="00E51006"/>
    <w:rsid w:val="00E51022"/>
    <w:rsid w:val="00E511FC"/>
    <w:rsid w:val="00E512AF"/>
    <w:rsid w:val="00E51373"/>
    <w:rsid w:val="00E51603"/>
    <w:rsid w:val="00E5170A"/>
    <w:rsid w:val="00E5170D"/>
    <w:rsid w:val="00E518A7"/>
    <w:rsid w:val="00E5192B"/>
    <w:rsid w:val="00E51AE1"/>
    <w:rsid w:val="00E51CA6"/>
    <w:rsid w:val="00E51DAC"/>
    <w:rsid w:val="00E52138"/>
    <w:rsid w:val="00E5249B"/>
    <w:rsid w:val="00E52615"/>
    <w:rsid w:val="00E52752"/>
    <w:rsid w:val="00E529F5"/>
    <w:rsid w:val="00E52AFD"/>
    <w:rsid w:val="00E52CC3"/>
    <w:rsid w:val="00E52D42"/>
    <w:rsid w:val="00E52F50"/>
    <w:rsid w:val="00E53032"/>
    <w:rsid w:val="00E5335E"/>
    <w:rsid w:val="00E5346E"/>
    <w:rsid w:val="00E5356B"/>
    <w:rsid w:val="00E535EB"/>
    <w:rsid w:val="00E536DC"/>
    <w:rsid w:val="00E53712"/>
    <w:rsid w:val="00E5376F"/>
    <w:rsid w:val="00E53E00"/>
    <w:rsid w:val="00E541F5"/>
    <w:rsid w:val="00E54221"/>
    <w:rsid w:val="00E5438A"/>
    <w:rsid w:val="00E5444C"/>
    <w:rsid w:val="00E54475"/>
    <w:rsid w:val="00E546B0"/>
    <w:rsid w:val="00E546EC"/>
    <w:rsid w:val="00E548FE"/>
    <w:rsid w:val="00E54933"/>
    <w:rsid w:val="00E54C70"/>
    <w:rsid w:val="00E54DBB"/>
    <w:rsid w:val="00E54F32"/>
    <w:rsid w:val="00E551F3"/>
    <w:rsid w:val="00E5521D"/>
    <w:rsid w:val="00E55254"/>
    <w:rsid w:val="00E55450"/>
    <w:rsid w:val="00E55485"/>
    <w:rsid w:val="00E554AF"/>
    <w:rsid w:val="00E554F4"/>
    <w:rsid w:val="00E5551D"/>
    <w:rsid w:val="00E555C0"/>
    <w:rsid w:val="00E555D9"/>
    <w:rsid w:val="00E55980"/>
    <w:rsid w:val="00E55A91"/>
    <w:rsid w:val="00E5650A"/>
    <w:rsid w:val="00E56713"/>
    <w:rsid w:val="00E5699B"/>
    <w:rsid w:val="00E56C26"/>
    <w:rsid w:val="00E56C74"/>
    <w:rsid w:val="00E56CA5"/>
    <w:rsid w:val="00E56EE8"/>
    <w:rsid w:val="00E56F2B"/>
    <w:rsid w:val="00E56FDF"/>
    <w:rsid w:val="00E57007"/>
    <w:rsid w:val="00E5717B"/>
    <w:rsid w:val="00E573D3"/>
    <w:rsid w:val="00E5747A"/>
    <w:rsid w:val="00E5748E"/>
    <w:rsid w:val="00E574EC"/>
    <w:rsid w:val="00E575EA"/>
    <w:rsid w:val="00E57630"/>
    <w:rsid w:val="00E57B3C"/>
    <w:rsid w:val="00E57EF0"/>
    <w:rsid w:val="00E57F9C"/>
    <w:rsid w:val="00E60198"/>
    <w:rsid w:val="00E604DF"/>
    <w:rsid w:val="00E60778"/>
    <w:rsid w:val="00E60797"/>
    <w:rsid w:val="00E609AF"/>
    <w:rsid w:val="00E60CAA"/>
    <w:rsid w:val="00E60CB1"/>
    <w:rsid w:val="00E60CD4"/>
    <w:rsid w:val="00E60D72"/>
    <w:rsid w:val="00E60E98"/>
    <w:rsid w:val="00E60F5C"/>
    <w:rsid w:val="00E61102"/>
    <w:rsid w:val="00E61117"/>
    <w:rsid w:val="00E611AB"/>
    <w:rsid w:val="00E615F9"/>
    <w:rsid w:val="00E6171E"/>
    <w:rsid w:val="00E61886"/>
    <w:rsid w:val="00E6193C"/>
    <w:rsid w:val="00E61AB7"/>
    <w:rsid w:val="00E61FE4"/>
    <w:rsid w:val="00E61FFE"/>
    <w:rsid w:val="00E620FE"/>
    <w:rsid w:val="00E62166"/>
    <w:rsid w:val="00E6226C"/>
    <w:rsid w:val="00E62829"/>
    <w:rsid w:val="00E62855"/>
    <w:rsid w:val="00E62991"/>
    <w:rsid w:val="00E62BC2"/>
    <w:rsid w:val="00E62BC4"/>
    <w:rsid w:val="00E62BCF"/>
    <w:rsid w:val="00E62FF2"/>
    <w:rsid w:val="00E63250"/>
    <w:rsid w:val="00E63701"/>
    <w:rsid w:val="00E639A8"/>
    <w:rsid w:val="00E63A96"/>
    <w:rsid w:val="00E63DAA"/>
    <w:rsid w:val="00E63F77"/>
    <w:rsid w:val="00E640F5"/>
    <w:rsid w:val="00E640F7"/>
    <w:rsid w:val="00E643E3"/>
    <w:rsid w:val="00E64AC5"/>
    <w:rsid w:val="00E64B05"/>
    <w:rsid w:val="00E64D0A"/>
    <w:rsid w:val="00E64FEE"/>
    <w:rsid w:val="00E6523F"/>
    <w:rsid w:val="00E65282"/>
    <w:rsid w:val="00E653D1"/>
    <w:rsid w:val="00E65414"/>
    <w:rsid w:val="00E65649"/>
    <w:rsid w:val="00E658EA"/>
    <w:rsid w:val="00E6599D"/>
    <w:rsid w:val="00E659C9"/>
    <w:rsid w:val="00E65A3C"/>
    <w:rsid w:val="00E65E10"/>
    <w:rsid w:val="00E65EBA"/>
    <w:rsid w:val="00E66054"/>
    <w:rsid w:val="00E66214"/>
    <w:rsid w:val="00E66322"/>
    <w:rsid w:val="00E6640D"/>
    <w:rsid w:val="00E6643F"/>
    <w:rsid w:val="00E6646B"/>
    <w:rsid w:val="00E66696"/>
    <w:rsid w:val="00E667BE"/>
    <w:rsid w:val="00E669BE"/>
    <w:rsid w:val="00E66A01"/>
    <w:rsid w:val="00E66C31"/>
    <w:rsid w:val="00E66D0B"/>
    <w:rsid w:val="00E66EA9"/>
    <w:rsid w:val="00E676B0"/>
    <w:rsid w:val="00E677E5"/>
    <w:rsid w:val="00E678A6"/>
    <w:rsid w:val="00E678AE"/>
    <w:rsid w:val="00E67CDB"/>
    <w:rsid w:val="00E67E5F"/>
    <w:rsid w:val="00E67E9A"/>
    <w:rsid w:val="00E702D0"/>
    <w:rsid w:val="00E704FE"/>
    <w:rsid w:val="00E70565"/>
    <w:rsid w:val="00E70626"/>
    <w:rsid w:val="00E706CA"/>
    <w:rsid w:val="00E70775"/>
    <w:rsid w:val="00E708A5"/>
    <w:rsid w:val="00E70A15"/>
    <w:rsid w:val="00E70BB5"/>
    <w:rsid w:val="00E70CAB"/>
    <w:rsid w:val="00E70CBC"/>
    <w:rsid w:val="00E717A2"/>
    <w:rsid w:val="00E717A8"/>
    <w:rsid w:val="00E71852"/>
    <w:rsid w:val="00E718D1"/>
    <w:rsid w:val="00E71936"/>
    <w:rsid w:val="00E719D7"/>
    <w:rsid w:val="00E71A51"/>
    <w:rsid w:val="00E71AB0"/>
    <w:rsid w:val="00E71B43"/>
    <w:rsid w:val="00E71D2E"/>
    <w:rsid w:val="00E71D79"/>
    <w:rsid w:val="00E7221D"/>
    <w:rsid w:val="00E7258E"/>
    <w:rsid w:val="00E72615"/>
    <w:rsid w:val="00E72704"/>
    <w:rsid w:val="00E7273C"/>
    <w:rsid w:val="00E72839"/>
    <w:rsid w:val="00E72882"/>
    <w:rsid w:val="00E7296F"/>
    <w:rsid w:val="00E72CA6"/>
    <w:rsid w:val="00E72E01"/>
    <w:rsid w:val="00E73058"/>
    <w:rsid w:val="00E73076"/>
    <w:rsid w:val="00E730E7"/>
    <w:rsid w:val="00E73104"/>
    <w:rsid w:val="00E7319E"/>
    <w:rsid w:val="00E73469"/>
    <w:rsid w:val="00E734B3"/>
    <w:rsid w:val="00E73608"/>
    <w:rsid w:val="00E73994"/>
    <w:rsid w:val="00E739C1"/>
    <w:rsid w:val="00E73A62"/>
    <w:rsid w:val="00E73ABD"/>
    <w:rsid w:val="00E73AC6"/>
    <w:rsid w:val="00E73D5E"/>
    <w:rsid w:val="00E73FCA"/>
    <w:rsid w:val="00E7409E"/>
    <w:rsid w:val="00E7444D"/>
    <w:rsid w:val="00E74938"/>
    <w:rsid w:val="00E74B2A"/>
    <w:rsid w:val="00E74B3D"/>
    <w:rsid w:val="00E74D89"/>
    <w:rsid w:val="00E74E47"/>
    <w:rsid w:val="00E74F71"/>
    <w:rsid w:val="00E75260"/>
    <w:rsid w:val="00E7530B"/>
    <w:rsid w:val="00E7543A"/>
    <w:rsid w:val="00E754F6"/>
    <w:rsid w:val="00E75589"/>
    <w:rsid w:val="00E75737"/>
    <w:rsid w:val="00E75909"/>
    <w:rsid w:val="00E75A12"/>
    <w:rsid w:val="00E75B0C"/>
    <w:rsid w:val="00E75D61"/>
    <w:rsid w:val="00E7615F"/>
    <w:rsid w:val="00E76200"/>
    <w:rsid w:val="00E7627B"/>
    <w:rsid w:val="00E76402"/>
    <w:rsid w:val="00E76528"/>
    <w:rsid w:val="00E767AF"/>
    <w:rsid w:val="00E7696D"/>
    <w:rsid w:val="00E76A59"/>
    <w:rsid w:val="00E76AE0"/>
    <w:rsid w:val="00E76CF8"/>
    <w:rsid w:val="00E76DA1"/>
    <w:rsid w:val="00E76EC7"/>
    <w:rsid w:val="00E7701C"/>
    <w:rsid w:val="00E77038"/>
    <w:rsid w:val="00E771B0"/>
    <w:rsid w:val="00E77636"/>
    <w:rsid w:val="00E77795"/>
    <w:rsid w:val="00E777F6"/>
    <w:rsid w:val="00E778E7"/>
    <w:rsid w:val="00E77A18"/>
    <w:rsid w:val="00E77C33"/>
    <w:rsid w:val="00E77CB5"/>
    <w:rsid w:val="00E77FE3"/>
    <w:rsid w:val="00E80004"/>
    <w:rsid w:val="00E8003D"/>
    <w:rsid w:val="00E801B0"/>
    <w:rsid w:val="00E8038B"/>
    <w:rsid w:val="00E804F7"/>
    <w:rsid w:val="00E8067A"/>
    <w:rsid w:val="00E806C0"/>
    <w:rsid w:val="00E807F3"/>
    <w:rsid w:val="00E80836"/>
    <w:rsid w:val="00E808B1"/>
    <w:rsid w:val="00E80911"/>
    <w:rsid w:val="00E80BED"/>
    <w:rsid w:val="00E80E82"/>
    <w:rsid w:val="00E810AC"/>
    <w:rsid w:val="00E81108"/>
    <w:rsid w:val="00E811B2"/>
    <w:rsid w:val="00E812F5"/>
    <w:rsid w:val="00E816CF"/>
    <w:rsid w:val="00E817A4"/>
    <w:rsid w:val="00E8181B"/>
    <w:rsid w:val="00E81927"/>
    <w:rsid w:val="00E81940"/>
    <w:rsid w:val="00E81A87"/>
    <w:rsid w:val="00E81CD0"/>
    <w:rsid w:val="00E81D19"/>
    <w:rsid w:val="00E81D2E"/>
    <w:rsid w:val="00E81D8A"/>
    <w:rsid w:val="00E82046"/>
    <w:rsid w:val="00E82194"/>
    <w:rsid w:val="00E82435"/>
    <w:rsid w:val="00E824C7"/>
    <w:rsid w:val="00E827D5"/>
    <w:rsid w:val="00E82A98"/>
    <w:rsid w:val="00E82AC4"/>
    <w:rsid w:val="00E82BDF"/>
    <w:rsid w:val="00E82DF9"/>
    <w:rsid w:val="00E8300C"/>
    <w:rsid w:val="00E831F4"/>
    <w:rsid w:val="00E83273"/>
    <w:rsid w:val="00E832F7"/>
    <w:rsid w:val="00E83329"/>
    <w:rsid w:val="00E833C2"/>
    <w:rsid w:val="00E8347A"/>
    <w:rsid w:val="00E83844"/>
    <w:rsid w:val="00E83948"/>
    <w:rsid w:val="00E839C1"/>
    <w:rsid w:val="00E83A4F"/>
    <w:rsid w:val="00E83CF9"/>
    <w:rsid w:val="00E83D73"/>
    <w:rsid w:val="00E83F96"/>
    <w:rsid w:val="00E84069"/>
    <w:rsid w:val="00E84084"/>
    <w:rsid w:val="00E8408B"/>
    <w:rsid w:val="00E840B6"/>
    <w:rsid w:val="00E842FE"/>
    <w:rsid w:val="00E84301"/>
    <w:rsid w:val="00E8457D"/>
    <w:rsid w:val="00E845FF"/>
    <w:rsid w:val="00E8490A"/>
    <w:rsid w:val="00E84B40"/>
    <w:rsid w:val="00E84C31"/>
    <w:rsid w:val="00E84DB4"/>
    <w:rsid w:val="00E84F80"/>
    <w:rsid w:val="00E85025"/>
    <w:rsid w:val="00E85951"/>
    <w:rsid w:val="00E85ABA"/>
    <w:rsid w:val="00E85BDF"/>
    <w:rsid w:val="00E85D44"/>
    <w:rsid w:val="00E85F2F"/>
    <w:rsid w:val="00E86226"/>
    <w:rsid w:val="00E863D8"/>
    <w:rsid w:val="00E863EB"/>
    <w:rsid w:val="00E8643D"/>
    <w:rsid w:val="00E86615"/>
    <w:rsid w:val="00E86699"/>
    <w:rsid w:val="00E86978"/>
    <w:rsid w:val="00E869A7"/>
    <w:rsid w:val="00E86BA8"/>
    <w:rsid w:val="00E86CBC"/>
    <w:rsid w:val="00E86CE1"/>
    <w:rsid w:val="00E87031"/>
    <w:rsid w:val="00E870F3"/>
    <w:rsid w:val="00E87270"/>
    <w:rsid w:val="00E872DF"/>
    <w:rsid w:val="00E873B7"/>
    <w:rsid w:val="00E87415"/>
    <w:rsid w:val="00E876BE"/>
    <w:rsid w:val="00E87AE3"/>
    <w:rsid w:val="00E87DFD"/>
    <w:rsid w:val="00E900FC"/>
    <w:rsid w:val="00E90173"/>
    <w:rsid w:val="00E90305"/>
    <w:rsid w:val="00E90352"/>
    <w:rsid w:val="00E904CE"/>
    <w:rsid w:val="00E904E3"/>
    <w:rsid w:val="00E90A81"/>
    <w:rsid w:val="00E90A8B"/>
    <w:rsid w:val="00E90ABB"/>
    <w:rsid w:val="00E90C62"/>
    <w:rsid w:val="00E90CF2"/>
    <w:rsid w:val="00E90E12"/>
    <w:rsid w:val="00E90FF1"/>
    <w:rsid w:val="00E91251"/>
    <w:rsid w:val="00E91399"/>
    <w:rsid w:val="00E91660"/>
    <w:rsid w:val="00E919C1"/>
    <w:rsid w:val="00E91E92"/>
    <w:rsid w:val="00E9205D"/>
    <w:rsid w:val="00E92721"/>
    <w:rsid w:val="00E928EC"/>
    <w:rsid w:val="00E92974"/>
    <w:rsid w:val="00E92A1A"/>
    <w:rsid w:val="00E92B09"/>
    <w:rsid w:val="00E92C2E"/>
    <w:rsid w:val="00E92CC1"/>
    <w:rsid w:val="00E92DA3"/>
    <w:rsid w:val="00E92E7B"/>
    <w:rsid w:val="00E92F24"/>
    <w:rsid w:val="00E92F98"/>
    <w:rsid w:val="00E93047"/>
    <w:rsid w:val="00E93149"/>
    <w:rsid w:val="00E9330C"/>
    <w:rsid w:val="00E9331D"/>
    <w:rsid w:val="00E9338D"/>
    <w:rsid w:val="00E9345F"/>
    <w:rsid w:val="00E93483"/>
    <w:rsid w:val="00E93524"/>
    <w:rsid w:val="00E93691"/>
    <w:rsid w:val="00E936AA"/>
    <w:rsid w:val="00E936F2"/>
    <w:rsid w:val="00E93B5D"/>
    <w:rsid w:val="00E93C2F"/>
    <w:rsid w:val="00E93D30"/>
    <w:rsid w:val="00E93F08"/>
    <w:rsid w:val="00E93FBE"/>
    <w:rsid w:val="00E941A9"/>
    <w:rsid w:val="00E94849"/>
    <w:rsid w:val="00E94A2D"/>
    <w:rsid w:val="00E94E74"/>
    <w:rsid w:val="00E94FB1"/>
    <w:rsid w:val="00E950E5"/>
    <w:rsid w:val="00E95255"/>
    <w:rsid w:val="00E952CC"/>
    <w:rsid w:val="00E95322"/>
    <w:rsid w:val="00E95490"/>
    <w:rsid w:val="00E956B8"/>
    <w:rsid w:val="00E958AD"/>
    <w:rsid w:val="00E95AB9"/>
    <w:rsid w:val="00E95B00"/>
    <w:rsid w:val="00E95B11"/>
    <w:rsid w:val="00E9610C"/>
    <w:rsid w:val="00E96375"/>
    <w:rsid w:val="00E96451"/>
    <w:rsid w:val="00E96510"/>
    <w:rsid w:val="00E9666C"/>
    <w:rsid w:val="00E966EC"/>
    <w:rsid w:val="00E9676F"/>
    <w:rsid w:val="00E968C1"/>
    <w:rsid w:val="00E969D9"/>
    <w:rsid w:val="00E96AC3"/>
    <w:rsid w:val="00E96DC8"/>
    <w:rsid w:val="00E96DD2"/>
    <w:rsid w:val="00E96EB7"/>
    <w:rsid w:val="00E96EEB"/>
    <w:rsid w:val="00E97061"/>
    <w:rsid w:val="00E971F6"/>
    <w:rsid w:val="00E97249"/>
    <w:rsid w:val="00E97267"/>
    <w:rsid w:val="00E97469"/>
    <w:rsid w:val="00E976A1"/>
    <w:rsid w:val="00E978E5"/>
    <w:rsid w:val="00E979B6"/>
    <w:rsid w:val="00E97C5B"/>
    <w:rsid w:val="00E97F59"/>
    <w:rsid w:val="00EA0136"/>
    <w:rsid w:val="00EA0197"/>
    <w:rsid w:val="00EA02BB"/>
    <w:rsid w:val="00EA04B9"/>
    <w:rsid w:val="00EA0E54"/>
    <w:rsid w:val="00EA0E9D"/>
    <w:rsid w:val="00EA0FD2"/>
    <w:rsid w:val="00EA1161"/>
    <w:rsid w:val="00EA116B"/>
    <w:rsid w:val="00EA134B"/>
    <w:rsid w:val="00EA14A4"/>
    <w:rsid w:val="00EA1599"/>
    <w:rsid w:val="00EA173E"/>
    <w:rsid w:val="00EA1769"/>
    <w:rsid w:val="00EA1883"/>
    <w:rsid w:val="00EA18FF"/>
    <w:rsid w:val="00EA1A0A"/>
    <w:rsid w:val="00EA1A90"/>
    <w:rsid w:val="00EA1AD2"/>
    <w:rsid w:val="00EA1D8F"/>
    <w:rsid w:val="00EA1E19"/>
    <w:rsid w:val="00EA1F6C"/>
    <w:rsid w:val="00EA1F8B"/>
    <w:rsid w:val="00EA23F9"/>
    <w:rsid w:val="00EA23FB"/>
    <w:rsid w:val="00EA2408"/>
    <w:rsid w:val="00EA240E"/>
    <w:rsid w:val="00EA249C"/>
    <w:rsid w:val="00EA24CE"/>
    <w:rsid w:val="00EA2656"/>
    <w:rsid w:val="00EA274E"/>
    <w:rsid w:val="00EA2A16"/>
    <w:rsid w:val="00EA2A1C"/>
    <w:rsid w:val="00EA2A46"/>
    <w:rsid w:val="00EA2B50"/>
    <w:rsid w:val="00EA2D8B"/>
    <w:rsid w:val="00EA2EC0"/>
    <w:rsid w:val="00EA30CF"/>
    <w:rsid w:val="00EA3112"/>
    <w:rsid w:val="00EA315B"/>
    <w:rsid w:val="00EA32F5"/>
    <w:rsid w:val="00EA33B8"/>
    <w:rsid w:val="00EA3435"/>
    <w:rsid w:val="00EA344D"/>
    <w:rsid w:val="00EA34B1"/>
    <w:rsid w:val="00EA3671"/>
    <w:rsid w:val="00EA3700"/>
    <w:rsid w:val="00EA3792"/>
    <w:rsid w:val="00EA37BC"/>
    <w:rsid w:val="00EA37C7"/>
    <w:rsid w:val="00EA38A1"/>
    <w:rsid w:val="00EA38DC"/>
    <w:rsid w:val="00EA3A3F"/>
    <w:rsid w:val="00EA3CBC"/>
    <w:rsid w:val="00EA3CFD"/>
    <w:rsid w:val="00EA3E9C"/>
    <w:rsid w:val="00EA4016"/>
    <w:rsid w:val="00EA4085"/>
    <w:rsid w:val="00EA4404"/>
    <w:rsid w:val="00EA445E"/>
    <w:rsid w:val="00EA44A4"/>
    <w:rsid w:val="00EA465F"/>
    <w:rsid w:val="00EA4780"/>
    <w:rsid w:val="00EA49F9"/>
    <w:rsid w:val="00EA4C1B"/>
    <w:rsid w:val="00EA4D97"/>
    <w:rsid w:val="00EA4DAA"/>
    <w:rsid w:val="00EA4EBE"/>
    <w:rsid w:val="00EA4F42"/>
    <w:rsid w:val="00EA513C"/>
    <w:rsid w:val="00EA518F"/>
    <w:rsid w:val="00EA527A"/>
    <w:rsid w:val="00EA5377"/>
    <w:rsid w:val="00EA5436"/>
    <w:rsid w:val="00EA55CF"/>
    <w:rsid w:val="00EA57DB"/>
    <w:rsid w:val="00EA59ED"/>
    <w:rsid w:val="00EA5A40"/>
    <w:rsid w:val="00EA5A9C"/>
    <w:rsid w:val="00EA5BA8"/>
    <w:rsid w:val="00EA5C80"/>
    <w:rsid w:val="00EA5DD9"/>
    <w:rsid w:val="00EA5E98"/>
    <w:rsid w:val="00EA60AF"/>
    <w:rsid w:val="00EA64D7"/>
    <w:rsid w:val="00EA6510"/>
    <w:rsid w:val="00EA655D"/>
    <w:rsid w:val="00EA656C"/>
    <w:rsid w:val="00EA6848"/>
    <w:rsid w:val="00EA6875"/>
    <w:rsid w:val="00EA69D6"/>
    <w:rsid w:val="00EA6D82"/>
    <w:rsid w:val="00EA6DC5"/>
    <w:rsid w:val="00EA6EB4"/>
    <w:rsid w:val="00EA6F54"/>
    <w:rsid w:val="00EA7079"/>
    <w:rsid w:val="00EA7112"/>
    <w:rsid w:val="00EA7183"/>
    <w:rsid w:val="00EA7226"/>
    <w:rsid w:val="00EA745A"/>
    <w:rsid w:val="00EA79E9"/>
    <w:rsid w:val="00EA7A63"/>
    <w:rsid w:val="00EA7B4B"/>
    <w:rsid w:val="00EA7D63"/>
    <w:rsid w:val="00EA7DCE"/>
    <w:rsid w:val="00EA7E3E"/>
    <w:rsid w:val="00EB010A"/>
    <w:rsid w:val="00EB06A4"/>
    <w:rsid w:val="00EB0812"/>
    <w:rsid w:val="00EB0A93"/>
    <w:rsid w:val="00EB0BA3"/>
    <w:rsid w:val="00EB0C45"/>
    <w:rsid w:val="00EB0CEF"/>
    <w:rsid w:val="00EB0DEA"/>
    <w:rsid w:val="00EB0E00"/>
    <w:rsid w:val="00EB1155"/>
    <w:rsid w:val="00EB14DF"/>
    <w:rsid w:val="00EB150B"/>
    <w:rsid w:val="00EB169E"/>
    <w:rsid w:val="00EB16B8"/>
    <w:rsid w:val="00EB17FE"/>
    <w:rsid w:val="00EB1933"/>
    <w:rsid w:val="00EB1A86"/>
    <w:rsid w:val="00EB1DED"/>
    <w:rsid w:val="00EB1E4C"/>
    <w:rsid w:val="00EB1F2C"/>
    <w:rsid w:val="00EB1F63"/>
    <w:rsid w:val="00EB20E3"/>
    <w:rsid w:val="00EB22EF"/>
    <w:rsid w:val="00EB25D4"/>
    <w:rsid w:val="00EB25F3"/>
    <w:rsid w:val="00EB27BC"/>
    <w:rsid w:val="00EB2CDF"/>
    <w:rsid w:val="00EB3437"/>
    <w:rsid w:val="00EB3652"/>
    <w:rsid w:val="00EB369B"/>
    <w:rsid w:val="00EB3953"/>
    <w:rsid w:val="00EB3A40"/>
    <w:rsid w:val="00EB3E19"/>
    <w:rsid w:val="00EB4223"/>
    <w:rsid w:val="00EB4431"/>
    <w:rsid w:val="00EB4683"/>
    <w:rsid w:val="00EB468A"/>
    <w:rsid w:val="00EB4800"/>
    <w:rsid w:val="00EB49F7"/>
    <w:rsid w:val="00EB4D1C"/>
    <w:rsid w:val="00EB506D"/>
    <w:rsid w:val="00EB511D"/>
    <w:rsid w:val="00EB514E"/>
    <w:rsid w:val="00EB51FD"/>
    <w:rsid w:val="00EB5242"/>
    <w:rsid w:val="00EB5597"/>
    <w:rsid w:val="00EB565C"/>
    <w:rsid w:val="00EB5AD2"/>
    <w:rsid w:val="00EB5D56"/>
    <w:rsid w:val="00EB5E2B"/>
    <w:rsid w:val="00EB5F7E"/>
    <w:rsid w:val="00EB603F"/>
    <w:rsid w:val="00EB6077"/>
    <w:rsid w:val="00EB60B7"/>
    <w:rsid w:val="00EB60F9"/>
    <w:rsid w:val="00EB624B"/>
    <w:rsid w:val="00EB62E0"/>
    <w:rsid w:val="00EB6377"/>
    <w:rsid w:val="00EB6447"/>
    <w:rsid w:val="00EB646B"/>
    <w:rsid w:val="00EB6627"/>
    <w:rsid w:val="00EB67AD"/>
    <w:rsid w:val="00EB67B1"/>
    <w:rsid w:val="00EB6A32"/>
    <w:rsid w:val="00EB6B00"/>
    <w:rsid w:val="00EB6B84"/>
    <w:rsid w:val="00EB6CF5"/>
    <w:rsid w:val="00EB6D20"/>
    <w:rsid w:val="00EB6DD9"/>
    <w:rsid w:val="00EB6E0F"/>
    <w:rsid w:val="00EB6F45"/>
    <w:rsid w:val="00EB7162"/>
    <w:rsid w:val="00EB72BD"/>
    <w:rsid w:val="00EB73F8"/>
    <w:rsid w:val="00EB76D1"/>
    <w:rsid w:val="00EB77B1"/>
    <w:rsid w:val="00EB7B94"/>
    <w:rsid w:val="00EB7BD8"/>
    <w:rsid w:val="00EB7CCA"/>
    <w:rsid w:val="00EB7D98"/>
    <w:rsid w:val="00EB7F18"/>
    <w:rsid w:val="00EC0039"/>
    <w:rsid w:val="00EC0476"/>
    <w:rsid w:val="00EC05C3"/>
    <w:rsid w:val="00EC06A4"/>
    <w:rsid w:val="00EC0A97"/>
    <w:rsid w:val="00EC0B49"/>
    <w:rsid w:val="00EC0B78"/>
    <w:rsid w:val="00EC0CFE"/>
    <w:rsid w:val="00EC0FC1"/>
    <w:rsid w:val="00EC1132"/>
    <w:rsid w:val="00EC124E"/>
    <w:rsid w:val="00EC12E3"/>
    <w:rsid w:val="00EC1428"/>
    <w:rsid w:val="00EC150C"/>
    <w:rsid w:val="00EC1BBB"/>
    <w:rsid w:val="00EC1C09"/>
    <w:rsid w:val="00EC1D46"/>
    <w:rsid w:val="00EC1E73"/>
    <w:rsid w:val="00EC2145"/>
    <w:rsid w:val="00EC21AA"/>
    <w:rsid w:val="00EC24CA"/>
    <w:rsid w:val="00EC2506"/>
    <w:rsid w:val="00EC2674"/>
    <w:rsid w:val="00EC27C8"/>
    <w:rsid w:val="00EC28B2"/>
    <w:rsid w:val="00EC2C7A"/>
    <w:rsid w:val="00EC3041"/>
    <w:rsid w:val="00EC311C"/>
    <w:rsid w:val="00EC3322"/>
    <w:rsid w:val="00EC33A0"/>
    <w:rsid w:val="00EC33DA"/>
    <w:rsid w:val="00EC3668"/>
    <w:rsid w:val="00EC378E"/>
    <w:rsid w:val="00EC3BF4"/>
    <w:rsid w:val="00EC3D4A"/>
    <w:rsid w:val="00EC4050"/>
    <w:rsid w:val="00EC414D"/>
    <w:rsid w:val="00EC4333"/>
    <w:rsid w:val="00EC4362"/>
    <w:rsid w:val="00EC4718"/>
    <w:rsid w:val="00EC4836"/>
    <w:rsid w:val="00EC49CD"/>
    <w:rsid w:val="00EC4A21"/>
    <w:rsid w:val="00EC4AF1"/>
    <w:rsid w:val="00EC4DF5"/>
    <w:rsid w:val="00EC500D"/>
    <w:rsid w:val="00EC5088"/>
    <w:rsid w:val="00EC5238"/>
    <w:rsid w:val="00EC53A2"/>
    <w:rsid w:val="00EC54B1"/>
    <w:rsid w:val="00EC55E6"/>
    <w:rsid w:val="00EC5722"/>
    <w:rsid w:val="00EC58A8"/>
    <w:rsid w:val="00EC5A69"/>
    <w:rsid w:val="00EC5BD1"/>
    <w:rsid w:val="00EC5C25"/>
    <w:rsid w:val="00EC5F70"/>
    <w:rsid w:val="00EC6300"/>
    <w:rsid w:val="00EC64A0"/>
    <w:rsid w:val="00EC6595"/>
    <w:rsid w:val="00EC664A"/>
    <w:rsid w:val="00EC67A0"/>
    <w:rsid w:val="00EC67A3"/>
    <w:rsid w:val="00EC69E4"/>
    <w:rsid w:val="00EC6DF0"/>
    <w:rsid w:val="00EC6EB7"/>
    <w:rsid w:val="00EC6EE6"/>
    <w:rsid w:val="00EC7729"/>
    <w:rsid w:val="00EC79CC"/>
    <w:rsid w:val="00EC7CFA"/>
    <w:rsid w:val="00EC7F83"/>
    <w:rsid w:val="00ED0384"/>
    <w:rsid w:val="00ED03B7"/>
    <w:rsid w:val="00ED046F"/>
    <w:rsid w:val="00ED04DF"/>
    <w:rsid w:val="00ED063D"/>
    <w:rsid w:val="00ED0816"/>
    <w:rsid w:val="00ED0A32"/>
    <w:rsid w:val="00ED0DC8"/>
    <w:rsid w:val="00ED0E40"/>
    <w:rsid w:val="00ED1023"/>
    <w:rsid w:val="00ED10E5"/>
    <w:rsid w:val="00ED1131"/>
    <w:rsid w:val="00ED1466"/>
    <w:rsid w:val="00ED1564"/>
    <w:rsid w:val="00ED159B"/>
    <w:rsid w:val="00ED1E7E"/>
    <w:rsid w:val="00ED1F92"/>
    <w:rsid w:val="00ED20E4"/>
    <w:rsid w:val="00ED2229"/>
    <w:rsid w:val="00ED22EA"/>
    <w:rsid w:val="00ED2436"/>
    <w:rsid w:val="00ED24D7"/>
    <w:rsid w:val="00ED2545"/>
    <w:rsid w:val="00ED2558"/>
    <w:rsid w:val="00ED2604"/>
    <w:rsid w:val="00ED274F"/>
    <w:rsid w:val="00ED276E"/>
    <w:rsid w:val="00ED29BD"/>
    <w:rsid w:val="00ED2D50"/>
    <w:rsid w:val="00ED31A6"/>
    <w:rsid w:val="00ED33DF"/>
    <w:rsid w:val="00ED34A4"/>
    <w:rsid w:val="00ED3574"/>
    <w:rsid w:val="00ED35CD"/>
    <w:rsid w:val="00ED3626"/>
    <w:rsid w:val="00ED37D7"/>
    <w:rsid w:val="00ED39A6"/>
    <w:rsid w:val="00ED3F1E"/>
    <w:rsid w:val="00ED406A"/>
    <w:rsid w:val="00ED449C"/>
    <w:rsid w:val="00ED4665"/>
    <w:rsid w:val="00ED47B2"/>
    <w:rsid w:val="00ED4AD0"/>
    <w:rsid w:val="00ED4D92"/>
    <w:rsid w:val="00ED4DAB"/>
    <w:rsid w:val="00ED5056"/>
    <w:rsid w:val="00ED51C4"/>
    <w:rsid w:val="00ED5234"/>
    <w:rsid w:val="00ED5486"/>
    <w:rsid w:val="00ED566F"/>
    <w:rsid w:val="00ED57DC"/>
    <w:rsid w:val="00ED5E38"/>
    <w:rsid w:val="00ED6120"/>
    <w:rsid w:val="00ED6230"/>
    <w:rsid w:val="00ED62F4"/>
    <w:rsid w:val="00ED6752"/>
    <w:rsid w:val="00ED675E"/>
    <w:rsid w:val="00ED677C"/>
    <w:rsid w:val="00ED677F"/>
    <w:rsid w:val="00ED683B"/>
    <w:rsid w:val="00ED6D1D"/>
    <w:rsid w:val="00ED6F67"/>
    <w:rsid w:val="00ED7131"/>
    <w:rsid w:val="00ED7558"/>
    <w:rsid w:val="00ED7B46"/>
    <w:rsid w:val="00ED7BFD"/>
    <w:rsid w:val="00ED7CC4"/>
    <w:rsid w:val="00ED7D12"/>
    <w:rsid w:val="00ED7D6F"/>
    <w:rsid w:val="00ED7EA5"/>
    <w:rsid w:val="00ED7FE7"/>
    <w:rsid w:val="00EE03B3"/>
    <w:rsid w:val="00EE0791"/>
    <w:rsid w:val="00EE085C"/>
    <w:rsid w:val="00EE0CD5"/>
    <w:rsid w:val="00EE0CF5"/>
    <w:rsid w:val="00EE0D72"/>
    <w:rsid w:val="00EE0F55"/>
    <w:rsid w:val="00EE11E9"/>
    <w:rsid w:val="00EE132F"/>
    <w:rsid w:val="00EE13BE"/>
    <w:rsid w:val="00EE1463"/>
    <w:rsid w:val="00EE1612"/>
    <w:rsid w:val="00EE1767"/>
    <w:rsid w:val="00EE19EF"/>
    <w:rsid w:val="00EE1BA3"/>
    <w:rsid w:val="00EE1BC4"/>
    <w:rsid w:val="00EE1C06"/>
    <w:rsid w:val="00EE1CDC"/>
    <w:rsid w:val="00EE1E5C"/>
    <w:rsid w:val="00EE2045"/>
    <w:rsid w:val="00EE21B0"/>
    <w:rsid w:val="00EE2463"/>
    <w:rsid w:val="00EE2466"/>
    <w:rsid w:val="00EE2628"/>
    <w:rsid w:val="00EE27E9"/>
    <w:rsid w:val="00EE28E8"/>
    <w:rsid w:val="00EE2966"/>
    <w:rsid w:val="00EE29DD"/>
    <w:rsid w:val="00EE2A16"/>
    <w:rsid w:val="00EE2DBC"/>
    <w:rsid w:val="00EE30C4"/>
    <w:rsid w:val="00EE3233"/>
    <w:rsid w:val="00EE345E"/>
    <w:rsid w:val="00EE347C"/>
    <w:rsid w:val="00EE3839"/>
    <w:rsid w:val="00EE38B6"/>
    <w:rsid w:val="00EE3966"/>
    <w:rsid w:val="00EE3B66"/>
    <w:rsid w:val="00EE3BE7"/>
    <w:rsid w:val="00EE4490"/>
    <w:rsid w:val="00EE4712"/>
    <w:rsid w:val="00EE47A3"/>
    <w:rsid w:val="00EE488B"/>
    <w:rsid w:val="00EE4BF7"/>
    <w:rsid w:val="00EE4E17"/>
    <w:rsid w:val="00EE4EEF"/>
    <w:rsid w:val="00EE4F16"/>
    <w:rsid w:val="00EE533A"/>
    <w:rsid w:val="00EE5517"/>
    <w:rsid w:val="00EE55CD"/>
    <w:rsid w:val="00EE560C"/>
    <w:rsid w:val="00EE569B"/>
    <w:rsid w:val="00EE56AD"/>
    <w:rsid w:val="00EE572F"/>
    <w:rsid w:val="00EE5802"/>
    <w:rsid w:val="00EE59D3"/>
    <w:rsid w:val="00EE5E80"/>
    <w:rsid w:val="00EE5F7B"/>
    <w:rsid w:val="00EE6027"/>
    <w:rsid w:val="00EE60C3"/>
    <w:rsid w:val="00EE620B"/>
    <w:rsid w:val="00EE6224"/>
    <w:rsid w:val="00EE6376"/>
    <w:rsid w:val="00EE6418"/>
    <w:rsid w:val="00EE6462"/>
    <w:rsid w:val="00EE663E"/>
    <w:rsid w:val="00EE6832"/>
    <w:rsid w:val="00EE6A97"/>
    <w:rsid w:val="00EE6CCE"/>
    <w:rsid w:val="00EE6E26"/>
    <w:rsid w:val="00EE70F8"/>
    <w:rsid w:val="00EE7277"/>
    <w:rsid w:val="00EE76F7"/>
    <w:rsid w:val="00EE792C"/>
    <w:rsid w:val="00EE795D"/>
    <w:rsid w:val="00EE7C7B"/>
    <w:rsid w:val="00EE7C86"/>
    <w:rsid w:val="00EE7EF1"/>
    <w:rsid w:val="00EE7F4D"/>
    <w:rsid w:val="00EF00C4"/>
    <w:rsid w:val="00EF032C"/>
    <w:rsid w:val="00EF0370"/>
    <w:rsid w:val="00EF03B1"/>
    <w:rsid w:val="00EF04A0"/>
    <w:rsid w:val="00EF04B3"/>
    <w:rsid w:val="00EF054D"/>
    <w:rsid w:val="00EF05D4"/>
    <w:rsid w:val="00EF069B"/>
    <w:rsid w:val="00EF0B24"/>
    <w:rsid w:val="00EF0B3C"/>
    <w:rsid w:val="00EF0C54"/>
    <w:rsid w:val="00EF0CE5"/>
    <w:rsid w:val="00EF1029"/>
    <w:rsid w:val="00EF10B1"/>
    <w:rsid w:val="00EF1227"/>
    <w:rsid w:val="00EF1246"/>
    <w:rsid w:val="00EF1417"/>
    <w:rsid w:val="00EF1450"/>
    <w:rsid w:val="00EF147E"/>
    <w:rsid w:val="00EF1544"/>
    <w:rsid w:val="00EF1755"/>
    <w:rsid w:val="00EF1845"/>
    <w:rsid w:val="00EF18AF"/>
    <w:rsid w:val="00EF1978"/>
    <w:rsid w:val="00EF1C14"/>
    <w:rsid w:val="00EF21B2"/>
    <w:rsid w:val="00EF22B1"/>
    <w:rsid w:val="00EF235C"/>
    <w:rsid w:val="00EF2418"/>
    <w:rsid w:val="00EF2532"/>
    <w:rsid w:val="00EF27C2"/>
    <w:rsid w:val="00EF2846"/>
    <w:rsid w:val="00EF2923"/>
    <w:rsid w:val="00EF2972"/>
    <w:rsid w:val="00EF2B8A"/>
    <w:rsid w:val="00EF2E4F"/>
    <w:rsid w:val="00EF2E82"/>
    <w:rsid w:val="00EF3012"/>
    <w:rsid w:val="00EF30B5"/>
    <w:rsid w:val="00EF3400"/>
    <w:rsid w:val="00EF3726"/>
    <w:rsid w:val="00EF377C"/>
    <w:rsid w:val="00EF37F1"/>
    <w:rsid w:val="00EF3B87"/>
    <w:rsid w:val="00EF3D58"/>
    <w:rsid w:val="00EF3E28"/>
    <w:rsid w:val="00EF3FB9"/>
    <w:rsid w:val="00EF4166"/>
    <w:rsid w:val="00EF41A5"/>
    <w:rsid w:val="00EF42EA"/>
    <w:rsid w:val="00EF4348"/>
    <w:rsid w:val="00EF4380"/>
    <w:rsid w:val="00EF4A9A"/>
    <w:rsid w:val="00EF4CEA"/>
    <w:rsid w:val="00EF4CF3"/>
    <w:rsid w:val="00EF4F8E"/>
    <w:rsid w:val="00EF50AE"/>
    <w:rsid w:val="00EF551C"/>
    <w:rsid w:val="00EF565D"/>
    <w:rsid w:val="00EF57E7"/>
    <w:rsid w:val="00EF5958"/>
    <w:rsid w:val="00EF5A26"/>
    <w:rsid w:val="00EF5A27"/>
    <w:rsid w:val="00EF5AB3"/>
    <w:rsid w:val="00EF5D52"/>
    <w:rsid w:val="00EF5D73"/>
    <w:rsid w:val="00EF5ED0"/>
    <w:rsid w:val="00EF65D7"/>
    <w:rsid w:val="00EF676F"/>
    <w:rsid w:val="00EF69CF"/>
    <w:rsid w:val="00EF6B96"/>
    <w:rsid w:val="00EF6BD1"/>
    <w:rsid w:val="00EF6C09"/>
    <w:rsid w:val="00EF6C71"/>
    <w:rsid w:val="00EF6CEC"/>
    <w:rsid w:val="00EF6DDF"/>
    <w:rsid w:val="00EF6DE6"/>
    <w:rsid w:val="00EF6E6E"/>
    <w:rsid w:val="00EF705A"/>
    <w:rsid w:val="00EF7063"/>
    <w:rsid w:val="00EF7084"/>
    <w:rsid w:val="00EF7219"/>
    <w:rsid w:val="00EF7421"/>
    <w:rsid w:val="00EF7504"/>
    <w:rsid w:val="00EF75D9"/>
    <w:rsid w:val="00EF76F4"/>
    <w:rsid w:val="00EF7764"/>
    <w:rsid w:val="00EF79CC"/>
    <w:rsid w:val="00EF79D4"/>
    <w:rsid w:val="00F00106"/>
    <w:rsid w:val="00F00131"/>
    <w:rsid w:val="00F00380"/>
    <w:rsid w:val="00F0041C"/>
    <w:rsid w:val="00F006A2"/>
    <w:rsid w:val="00F0084D"/>
    <w:rsid w:val="00F00AAA"/>
    <w:rsid w:val="00F00BDF"/>
    <w:rsid w:val="00F00D8A"/>
    <w:rsid w:val="00F00E34"/>
    <w:rsid w:val="00F00EBD"/>
    <w:rsid w:val="00F00EFB"/>
    <w:rsid w:val="00F010CB"/>
    <w:rsid w:val="00F01137"/>
    <w:rsid w:val="00F01274"/>
    <w:rsid w:val="00F01771"/>
    <w:rsid w:val="00F017C8"/>
    <w:rsid w:val="00F0192D"/>
    <w:rsid w:val="00F01C5D"/>
    <w:rsid w:val="00F01D93"/>
    <w:rsid w:val="00F01E27"/>
    <w:rsid w:val="00F022F1"/>
    <w:rsid w:val="00F0231B"/>
    <w:rsid w:val="00F027D2"/>
    <w:rsid w:val="00F028C4"/>
    <w:rsid w:val="00F02922"/>
    <w:rsid w:val="00F02A0C"/>
    <w:rsid w:val="00F02B2F"/>
    <w:rsid w:val="00F030B1"/>
    <w:rsid w:val="00F031D4"/>
    <w:rsid w:val="00F03209"/>
    <w:rsid w:val="00F03341"/>
    <w:rsid w:val="00F03495"/>
    <w:rsid w:val="00F03679"/>
    <w:rsid w:val="00F039B8"/>
    <w:rsid w:val="00F03B39"/>
    <w:rsid w:val="00F03EE8"/>
    <w:rsid w:val="00F04052"/>
    <w:rsid w:val="00F041F1"/>
    <w:rsid w:val="00F04214"/>
    <w:rsid w:val="00F0439D"/>
    <w:rsid w:val="00F043DF"/>
    <w:rsid w:val="00F045D6"/>
    <w:rsid w:val="00F04602"/>
    <w:rsid w:val="00F047F5"/>
    <w:rsid w:val="00F04A12"/>
    <w:rsid w:val="00F04A3B"/>
    <w:rsid w:val="00F04A9D"/>
    <w:rsid w:val="00F04B6E"/>
    <w:rsid w:val="00F04C7A"/>
    <w:rsid w:val="00F04CF9"/>
    <w:rsid w:val="00F04F56"/>
    <w:rsid w:val="00F04FED"/>
    <w:rsid w:val="00F050AF"/>
    <w:rsid w:val="00F0520F"/>
    <w:rsid w:val="00F05C9E"/>
    <w:rsid w:val="00F05C9F"/>
    <w:rsid w:val="00F05F13"/>
    <w:rsid w:val="00F05FB0"/>
    <w:rsid w:val="00F06080"/>
    <w:rsid w:val="00F06208"/>
    <w:rsid w:val="00F06217"/>
    <w:rsid w:val="00F06274"/>
    <w:rsid w:val="00F06416"/>
    <w:rsid w:val="00F064B0"/>
    <w:rsid w:val="00F064BD"/>
    <w:rsid w:val="00F06624"/>
    <w:rsid w:val="00F06673"/>
    <w:rsid w:val="00F06957"/>
    <w:rsid w:val="00F06961"/>
    <w:rsid w:val="00F06A95"/>
    <w:rsid w:val="00F06BE2"/>
    <w:rsid w:val="00F06D9A"/>
    <w:rsid w:val="00F07206"/>
    <w:rsid w:val="00F0723A"/>
    <w:rsid w:val="00F073AA"/>
    <w:rsid w:val="00F07499"/>
    <w:rsid w:val="00F07553"/>
    <w:rsid w:val="00F07579"/>
    <w:rsid w:val="00F0787F"/>
    <w:rsid w:val="00F0788D"/>
    <w:rsid w:val="00F07A31"/>
    <w:rsid w:val="00F07EE1"/>
    <w:rsid w:val="00F10546"/>
    <w:rsid w:val="00F10666"/>
    <w:rsid w:val="00F1066F"/>
    <w:rsid w:val="00F10698"/>
    <w:rsid w:val="00F109DA"/>
    <w:rsid w:val="00F10C2F"/>
    <w:rsid w:val="00F10C3D"/>
    <w:rsid w:val="00F10C3F"/>
    <w:rsid w:val="00F10CE9"/>
    <w:rsid w:val="00F1108D"/>
    <w:rsid w:val="00F11150"/>
    <w:rsid w:val="00F11776"/>
    <w:rsid w:val="00F1177F"/>
    <w:rsid w:val="00F11DA7"/>
    <w:rsid w:val="00F11EBA"/>
    <w:rsid w:val="00F11F24"/>
    <w:rsid w:val="00F11FBB"/>
    <w:rsid w:val="00F1204F"/>
    <w:rsid w:val="00F12225"/>
    <w:rsid w:val="00F122EA"/>
    <w:rsid w:val="00F1283C"/>
    <w:rsid w:val="00F12BD0"/>
    <w:rsid w:val="00F12EC9"/>
    <w:rsid w:val="00F12FAE"/>
    <w:rsid w:val="00F12FAF"/>
    <w:rsid w:val="00F130C3"/>
    <w:rsid w:val="00F13103"/>
    <w:rsid w:val="00F13265"/>
    <w:rsid w:val="00F13287"/>
    <w:rsid w:val="00F1335D"/>
    <w:rsid w:val="00F13647"/>
    <w:rsid w:val="00F1366A"/>
    <w:rsid w:val="00F13CC9"/>
    <w:rsid w:val="00F13D8A"/>
    <w:rsid w:val="00F1415F"/>
    <w:rsid w:val="00F14201"/>
    <w:rsid w:val="00F1424B"/>
    <w:rsid w:val="00F1436C"/>
    <w:rsid w:val="00F1469C"/>
    <w:rsid w:val="00F14975"/>
    <w:rsid w:val="00F14A3D"/>
    <w:rsid w:val="00F14E0A"/>
    <w:rsid w:val="00F14ECE"/>
    <w:rsid w:val="00F15015"/>
    <w:rsid w:val="00F1508C"/>
    <w:rsid w:val="00F151DE"/>
    <w:rsid w:val="00F1530B"/>
    <w:rsid w:val="00F15489"/>
    <w:rsid w:val="00F15495"/>
    <w:rsid w:val="00F155D6"/>
    <w:rsid w:val="00F1575E"/>
    <w:rsid w:val="00F1578E"/>
    <w:rsid w:val="00F1580F"/>
    <w:rsid w:val="00F15D67"/>
    <w:rsid w:val="00F15EFD"/>
    <w:rsid w:val="00F15F3C"/>
    <w:rsid w:val="00F15F8C"/>
    <w:rsid w:val="00F160FE"/>
    <w:rsid w:val="00F1631B"/>
    <w:rsid w:val="00F1646E"/>
    <w:rsid w:val="00F16816"/>
    <w:rsid w:val="00F16901"/>
    <w:rsid w:val="00F1694F"/>
    <w:rsid w:val="00F16A25"/>
    <w:rsid w:val="00F16B34"/>
    <w:rsid w:val="00F16BB9"/>
    <w:rsid w:val="00F16CE1"/>
    <w:rsid w:val="00F16E36"/>
    <w:rsid w:val="00F16E48"/>
    <w:rsid w:val="00F16F92"/>
    <w:rsid w:val="00F17302"/>
    <w:rsid w:val="00F1760C"/>
    <w:rsid w:val="00F17691"/>
    <w:rsid w:val="00F17830"/>
    <w:rsid w:val="00F178DE"/>
    <w:rsid w:val="00F178FD"/>
    <w:rsid w:val="00F17A4C"/>
    <w:rsid w:val="00F17BC7"/>
    <w:rsid w:val="00F17C02"/>
    <w:rsid w:val="00F17CD1"/>
    <w:rsid w:val="00F202E5"/>
    <w:rsid w:val="00F2032C"/>
    <w:rsid w:val="00F20600"/>
    <w:rsid w:val="00F20763"/>
    <w:rsid w:val="00F208AD"/>
    <w:rsid w:val="00F20CE7"/>
    <w:rsid w:val="00F20E39"/>
    <w:rsid w:val="00F2139F"/>
    <w:rsid w:val="00F218AA"/>
    <w:rsid w:val="00F21BCF"/>
    <w:rsid w:val="00F21C52"/>
    <w:rsid w:val="00F21FDC"/>
    <w:rsid w:val="00F221D0"/>
    <w:rsid w:val="00F222F2"/>
    <w:rsid w:val="00F22323"/>
    <w:rsid w:val="00F22520"/>
    <w:rsid w:val="00F227C8"/>
    <w:rsid w:val="00F228E9"/>
    <w:rsid w:val="00F229DA"/>
    <w:rsid w:val="00F22B56"/>
    <w:rsid w:val="00F22BEF"/>
    <w:rsid w:val="00F22DAD"/>
    <w:rsid w:val="00F232DC"/>
    <w:rsid w:val="00F23326"/>
    <w:rsid w:val="00F235CB"/>
    <w:rsid w:val="00F23829"/>
    <w:rsid w:val="00F2397C"/>
    <w:rsid w:val="00F23ABE"/>
    <w:rsid w:val="00F23B08"/>
    <w:rsid w:val="00F23C15"/>
    <w:rsid w:val="00F23CB7"/>
    <w:rsid w:val="00F23D22"/>
    <w:rsid w:val="00F23D8B"/>
    <w:rsid w:val="00F23E03"/>
    <w:rsid w:val="00F23E09"/>
    <w:rsid w:val="00F23E88"/>
    <w:rsid w:val="00F23EB4"/>
    <w:rsid w:val="00F2405E"/>
    <w:rsid w:val="00F241C9"/>
    <w:rsid w:val="00F242E0"/>
    <w:rsid w:val="00F243E0"/>
    <w:rsid w:val="00F24607"/>
    <w:rsid w:val="00F2467F"/>
    <w:rsid w:val="00F24763"/>
    <w:rsid w:val="00F24A30"/>
    <w:rsid w:val="00F24A5B"/>
    <w:rsid w:val="00F24F2A"/>
    <w:rsid w:val="00F250C8"/>
    <w:rsid w:val="00F250DB"/>
    <w:rsid w:val="00F25219"/>
    <w:rsid w:val="00F2559C"/>
    <w:rsid w:val="00F257B5"/>
    <w:rsid w:val="00F259E2"/>
    <w:rsid w:val="00F25B25"/>
    <w:rsid w:val="00F25BE9"/>
    <w:rsid w:val="00F25C44"/>
    <w:rsid w:val="00F25D5A"/>
    <w:rsid w:val="00F25FD5"/>
    <w:rsid w:val="00F2603E"/>
    <w:rsid w:val="00F26396"/>
    <w:rsid w:val="00F26676"/>
    <w:rsid w:val="00F2677D"/>
    <w:rsid w:val="00F2690C"/>
    <w:rsid w:val="00F26A1B"/>
    <w:rsid w:val="00F26A6E"/>
    <w:rsid w:val="00F26CBB"/>
    <w:rsid w:val="00F26CC8"/>
    <w:rsid w:val="00F26E77"/>
    <w:rsid w:val="00F26EE4"/>
    <w:rsid w:val="00F26F2A"/>
    <w:rsid w:val="00F26FCF"/>
    <w:rsid w:val="00F270CE"/>
    <w:rsid w:val="00F2720E"/>
    <w:rsid w:val="00F27407"/>
    <w:rsid w:val="00F2776D"/>
    <w:rsid w:val="00F27C26"/>
    <w:rsid w:val="00F27D1D"/>
    <w:rsid w:val="00F27DFC"/>
    <w:rsid w:val="00F27EA6"/>
    <w:rsid w:val="00F3019C"/>
    <w:rsid w:val="00F30268"/>
    <w:rsid w:val="00F30388"/>
    <w:rsid w:val="00F30589"/>
    <w:rsid w:val="00F30661"/>
    <w:rsid w:val="00F3090C"/>
    <w:rsid w:val="00F30AE0"/>
    <w:rsid w:val="00F30B66"/>
    <w:rsid w:val="00F30C3C"/>
    <w:rsid w:val="00F30CE7"/>
    <w:rsid w:val="00F30D6F"/>
    <w:rsid w:val="00F30D84"/>
    <w:rsid w:val="00F30E4C"/>
    <w:rsid w:val="00F311AA"/>
    <w:rsid w:val="00F3123B"/>
    <w:rsid w:val="00F31354"/>
    <w:rsid w:val="00F313C5"/>
    <w:rsid w:val="00F3141A"/>
    <w:rsid w:val="00F31547"/>
    <w:rsid w:val="00F315EA"/>
    <w:rsid w:val="00F31645"/>
    <w:rsid w:val="00F317DA"/>
    <w:rsid w:val="00F3184D"/>
    <w:rsid w:val="00F31A37"/>
    <w:rsid w:val="00F31BC3"/>
    <w:rsid w:val="00F32155"/>
    <w:rsid w:val="00F3215B"/>
    <w:rsid w:val="00F32346"/>
    <w:rsid w:val="00F325AD"/>
    <w:rsid w:val="00F32699"/>
    <w:rsid w:val="00F3271A"/>
    <w:rsid w:val="00F32788"/>
    <w:rsid w:val="00F329E8"/>
    <w:rsid w:val="00F32B9F"/>
    <w:rsid w:val="00F32D38"/>
    <w:rsid w:val="00F32E71"/>
    <w:rsid w:val="00F33399"/>
    <w:rsid w:val="00F3382D"/>
    <w:rsid w:val="00F33979"/>
    <w:rsid w:val="00F33D8C"/>
    <w:rsid w:val="00F3419B"/>
    <w:rsid w:val="00F342AD"/>
    <w:rsid w:val="00F342B7"/>
    <w:rsid w:val="00F342DE"/>
    <w:rsid w:val="00F3438A"/>
    <w:rsid w:val="00F346E6"/>
    <w:rsid w:val="00F34791"/>
    <w:rsid w:val="00F34A9A"/>
    <w:rsid w:val="00F34BE4"/>
    <w:rsid w:val="00F34C1C"/>
    <w:rsid w:val="00F34CF1"/>
    <w:rsid w:val="00F34D56"/>
    <w:rsid w:val="00F34F6E"/>
    <w:rsid w:val="00F35121"/>
    <w:rsid w:val="00F35314"/>
    <w:rsid w:val="00F35330"/>
    <w:rsid w:val="00F35686"/>
    <w:rsid w:val="00F356AB"/>
    <w:rsid w:val="00F3575F"/>
    <w:rsid w:val="00F35845"/>
    <w:rsid w:val="00F35B07"/>
    <w:rsid w:val="00F35CE0"/>
    <w:rsid w:val="00F35E5E"/>
    <w:rsid w:val="00F35FF8"/>
    <w:rsid w:val="00F3620D"/>
    <w:rsid w:val="00F36567"/>
    <w:rsid w:val="00F365D9"/>
    <w:rsid w:val="00F367E3"/>
    <w:rsid w:val="00F36859"/>
    <w:rsid w:val="00F36B90"/>
    <w:rsid w:val="00F36BD0"/>
    <w:rsid w:val="00F36DBD"/>
    <w:rsid w:val="00F36EEF"/>
    <w:rsid w:val="00F37225"/>
    <w:rsid w:val="00F3758F"/>
    <w:rsid w:val="00F37634"/>
    <w:rsid w:val="00F37645"/>
    <w:rsid w:val="00F37905"/>
    <w:rsid w:val="00F379E9"/>
    <w:rsid w:val="00F37DA1"/>
    <w:rsid w:val="00F37E53"/>
    <w:rsid w:val="00F4009A"/>
    <w:rsid w:val="00F40147"/>
    <w:rsid w:val="00F40291"/>
    <w:rsid w:val="00F402C3"/>
    <w:rsid w:val="00F403A5"/>
    <w:rsid w:val="00F405C1"/>
    <w:rsid w:val="00F406F7"/>
    <w:rsid w:val="00F407E5"/>
    <w:rsid w:val="00F40864"/>
    <w:rsid w:val="00F40976"/>
    <w:rsid w:val="00F40A02"/>
    <w:rsid w:val="00F40AE2"/>
    <w:rsid w:val="00F40B56"/>
    <w:rsid w:val="00F40CEA"/>
    <w:rsid w:val="00F40D1E"/>
    <w:rsid w:val="00F40DCE"/>
    <w:rsid w:val="00F410EA"/>
    <w:rsid w:val="00F411AB"/>
    <w:rsid w:val="00F41303"/>
    <w:rsid w:val="00F41347"/>
    <w:rsid w:val="00F413B0"/>
    <w:rsid w:val="00F414ED"/>
    <w:rsid w:val="00F4162A"/>
    <w:rsid w:val="00F41844"/>
    <w:rsid w:val="00F41880"/>
    <w:rsid w:val="00F4195D"/>
    <w:rsid w:val="00F41B34"/>
    <w:rsid w:val="00F41B80"/>
    <w:rsid w:val="00F41D55"/>
    <w:rsid w:val="00F41DC5"/>
    <w:rsid w:val="00F41E0B"/>
    <w:rsid w:val="00F41EC5"/>
    <w:rsid w:val="00F41EF1"/>
    <w:rsid w:val="00F42055"/>
    <w:rsid w:val="00F42462"/>
    <w:rsid w:val="00F42678"/>
    <w:rsid w:val="00F427A4"/>
    <w:rsid w:val="00F4282E"/>
    <w:rsid w:val="00F431F7"/>
    <w:rsid w:val="00F432F9"/>
    <w:rsid w:val="00F43398"/>
    <w:rsid w:val="00F43532"/>
    <w:rsid w:val="00F43565"/>
    <w:rsid w:val="00F43868"/>
    <w:rsid w:val="00F43BFA"/>
    <w:rsid w:val="00F43C1C"/>
    <w:rsid w:val="00F43D3A"/>
    <w:rsid w:val="00F43FE0"/>
    <w:rsid w:val="00F4406D"/>
    <w:rsid w:val="00F440FF"/>
    <w:rsid w:val="00F4427A"/>
    <w:rsid w:val="00F445B1"/>
    <w:rsid w:val="00F446EA"/>
    <w:rsid w:val="00F4476C"/>
    <w:rsid w:val="00F44895"/>
    <w:rsid w:val="00F448AE"/>
    <w:rsid w:val="00F448E2"/>
    <w:rsid w:val="00F44A68"/>
    <w:rsid w:val="00F44A97"/>
    <w:rsid w:val="00F44B49"/>
    <w:rsid w:val="00F44C98"/>
    <w:rsid w:val="00F451A1"/>
    <w:rsid w:val="00F45421"/>
    <w:rsid w:val="00F454A2"/>
    <w:rsid w:val="00F4556C"/>
    <w:rsid w:val="00F458A5"/>
    <w:rsid w:val="00F45955"/>
    <w:rsid w:val="00F45A16"/>
    <w:rsid w:val="00F45CFD"/>
    <w:rsid w:val="00F45E79"/>
    <w:rsid w:val="00F45FBD"/>
    <w:rsid w:val="00F46153"/>
    <w:rsid w:val="00F462D6"/>
    <w:rsid w:val="00F46435"/>
    <w:rsid w:val="00F46478"/>
    <w:rsid w:val="00F46948"/>
    <w:rsid w:val="00F46C05"/>
    <w:rsid w:val="00F46CC0"/>
    <w:rsid w:val="00F46CE6"/>
    <w:rsid w:val="00F46D1D"/>
    <w:rsid w:val="00F46E33"/>
    <w:rsid w:val="00F46E38"/>
    <w:rsid w:val="00F470DA"/>
    <w:rsid w:val="00F47471"/>
    <w:rsid w:val="00F4771D"/>
    <w:rsid w:val="00F478A1"/>
    <w:rsid w:val="00F479B1"/>
    <w:rsid w:val="00F479C9"/>
    <w:rsid w:val="00F479CC"/>
    <w:rsid w:val="00F47B54"/>
    <w:rsid w:val="00F47F39"/>
    <w:rsid w:val="00F47F3D"/>
    <w:rsid w:val="00F5011E"/>
    <w:rsid w:val="00F50192"/>
    <w:rsid w:val="00F503BA"/>
    <w:rsid w:val="00F503EE"/>
    <w:rsid w:val="00F5054B"/>
    <w:rsid w:val="00F50585"/>
    <w:rsid w:val="00F508DB"/>
    <w:rsid w:val="00F50DFB"/>
    <w:rsid w:val="00F51054"/>
    <w:rsid w:val="00F5112A"/>
    <w:rsid w:val="00F51133"/>
    <w:rsid w:val="00F51157"/>
    <w:rsid w:val="00F51174"/>
    <w:rsid w:val="00F51246"/>
    <w:rsid w:val="00F512B5"/>
    <w:rsid w:val="00F516E3"/>
    <w:rsid w:val="00F5173D"/>
    <w:rsid w:val="00F51811"/>
    <w:rsid w:val="00F5187D"/>
    <w:rsid w:val="00F51ACB"/>
    <w:rsid w:val="00F51CC1"/>
    <w:rsid w:val="00F51EFB"/>
    <w:rsid w:val="00F51FF6"/>
    <w:rsid w:val="00F52132"/>
    <w:rsid w:val="00F5218F"/>
    <w:rsid w:val="00F521EF"/>
    <w:rsid w:val="00F52377"/>
    <w:rsid w:val="00F52429"/>
    <w:rsid w:val="00F525D2"/>
    <w:rsid w:val="00F52695"/>
    <w:rsid w:val="00F52A19"/>
    <w:rsid w:val="00F52BDD"/>
    <w:rsid w:val="00F52D37"/>
    <w:rsid w:val="00F52E2D"/>
    <w:rsid w:val="00F52FF1"/>
    <w:rsid w:val="00F5303D"/>
    <w:rsid w:val="00F530D3"/>
    <w:rsid w:val="00F530DA"/>
    <w:rsid w:val="00F53430"/>
    <w:rsid w:val="00F53740"/>
    <w:rsid w:val="00F53780"/>
    <w:rsid w:val="00F537DC"/>
    <w:rsid w:val="00F53831"/>
    <w:rsid w:val="00F539BB"/>
    <w:rsid w:val="00F53A72"/>
    <w:rsid w:val="00F53C00"/>
    <w:rsid w:val="00F53C02"/>
    <w:rsid w:val="00F53C9A"/>
    <w:rsid w:val="00F53CE7"/>
    <w:rsid w:val="00F53D40"/>
    <w:rsid w:val="00F53E45"/>
    <w:rsid w:val="00F541E7"/>
    <w:rsid w:val="00F54283"/>
    <w:rsid w:val="00F54446"/>
    <w:rsid w:val="00F544A4"/>
    <w:rsid w:val="00F544F9"/>
    <w:rsid w:val="00F54523"/>
    <w:rsid w:val="00F546F1"/>
    <w:rsid w:val="00F54832"/>
    <w:rsid w:val="00F54C1A"/>
    <w:rsid w:val="00F54D2B"/>
    <w:rsid w:val="00F54E24"/>
    <w:rsid w:val="00F54E92"/>
    <w:rsid w:val="00F54F4A"/>
    <w:rsid w:val="00F54FCC"/>
    <w:rsid w:val="00F550ED"/>
    <w:rsid w:val="00F55355"/>
    <w:rsid w:val="00F55430"/>
    <w:rsid w:val="00F5550B"/>
    <w:rsid w:val="00F5554D"/>
    <w:rsid w:val="00F5581E"/>
    <w:rsid w:val="00F55BC0"/>
    <w:rsid w:val="00F55BCD"/>
    <w:rsid w:val="00F55C1F"/>
    <w:rsid w:val="00F55CF7"/>
    <w:rsid w:val="00F55D1E"/>
    <w:rsid w:val="00F55D30"/>
    <w:rsid w:val="00F563F5"/>
    <w:rsid w:val="00F564D7"/>
    <w:rsid w:val="00F5679B"/>
    <w:rsid w:val="00F56833"/>
    <w:rsid w:val="00F56925"/>
    <w:rsid w:val="00F5699E"/>
    <w:rsid w:val="00F569F1"/>
    <w:rsid w:val="00F56ECD"/>
    <w:rsid w:val="00F56FA9"/>
    <w:rsid w:val="00F57012"/>
    <w:rsid w:val="00F57044"/>
    <w:rsid w:val="00F57137"/>
    <w:rsid w:val="00F5717F"/>
    <w:rsid w:val="00F573BB"/>
    <w:rsid w:val="00F57885"/>
    <w:rsid w:val="00F5792F"/>
    <w:rsid w:val="00F5799F"/>
    <w:rsid w:val="00F57BE3"/>
    <w:rsid w:val="00F57CF4"/>
    <w:rsid w:val="00F57D08"/>
    <w:rsid w:val="00F60210"/>
    <w:rsid w:val="00F60508"/>
    <w:rsid w:val="00F60511"/>
    <w:rsid w:val="00F6065D"/>
    <w:rsid w:val="00F6068F"/>
    <w:rsid w:val="00F6076C"/>
    <w:rsid w:val="00F60BC3"/>
    <w:rsid w:val="00F60CF8"/>
    <w:rsid w:val="00F610BF"/>
    <w:rsid w:val="00F6111C"/>
    <w:rsid w:val="00F614CB"/>
    <w:rsid w:val="00F61544"/>
    <w:rsid w:val="00F619BE"/>
    <w:rsid w:val="00F61AFC"/>
    <w:rsid w:val="00F61B91"/>
    <w:rsid w:val="00F61BF2"/>
    <w:rsid w:val="00F61D6B"/>
    <w:rsid w:val="00F61EC2"/>
    <w:rsid w:val="00F6201D"/>
    <w:rsid w:val="00F620D0"/>
    <w:rsid w:val="00F62147"/>
    <w:rsid w:val="00F6230C"/>
    <w:rsid w:val="00F6244A"/>
    <w:rsid w:val="00F62488"/>
    <w:rsid w:val="00F62583"/>
    <w:rsid w:val="00F6260F"/>
    <w:rsid w:val="00F6262A"/>
    <w:rsid w:val="00F627B8"/>
    <w:rsid w:val="00F628BD"/>
    <w:rsid w:val="00F6292E"/>
    <w:rsid w:val="00F629CA"/>
    <w:rsid w:val="00F62AE4"/>
    <w:rsid w:val="00F62C3C"/>
    <w:rsid w:val="00F62C9F"/>
    <w:rsid w:val="00F62D2E"/>
    <w:rsid w:val="00F62E50"/>
    <w:rsid w:val="00F62E7E"/>
    <w:rsid w:val="00F63273"/>
    <w:rsid w:val="00F633A5"/>
    <w:rsid w:val="00F63537"/>
    <w:rsid w:val="00F63A57"/>
    <w:rsid w:val="00F63B4D"/>
    <w:rsid w:val="00F6423A"/>
    <w:rsid w:val="00F64278"/>
    <w:rsid w:val="00F64644"/>
    <w:rsid w:val="00F648E5"/>
    <w:rsid w:val="00F64B42"/>
    <w:rsid w:val="00F64FA6"/>
    <w:rsid w:val="00F6505D"/>
    <w:rsid w:val="00F65164"/>
    <w:rsid w:val="00F654FB"/>
    <w:rsid w:val="00F6554A"/>
    <w:rsid w:val="00F65842"/>
    <w:rsid w:val="00F65916"/>
    <w:rsid w:val="00F65CAE"/>
    <w:rsid w:val="00F65D56"/>
    <w:rsid w:val="00F65FEF"/>
    <w:rsid w:val="00F66144"/>
    <w:rsid w:val="00F663F9"/>
    <w:rsid w:val="00F667A4"/>
    <w:rsid w:val="00F668D2"/>
    <w:rsid w:val="00F668E6"/>
    <w:rsid w:val="00F66C19"/>
    <w:rsid w:val="00F66D6D"/>
    <w:rsid w:val="00F66E3C"/>
    <w:rsid w:val="00F6713F"/>
    <w:rsid w:val="00F672AB"/>
    <w:rsid w:val="00F673B3"/>
    <w:rsid w:val="00F6743B"/>
    <w:rsid w:val="00F6775F"/>
    <w:rsid w:val="00F67926"/>
    <w:rsid w:val="00F67A36"/>
    <w:rsid w:val="00F67ABF"/>
    <w:rsid w:val="00F67BAC"/>
    <w:rsid w:val="00F67CB0"/>
    <w:rsid w:val="00F702C2"/>
    <w:rsid w:val="00F70394"/>
    <w:rsid w:val="00F704AD"/>
    <w:rsid w:val="00F708CF"/>
    <w:rsid w:val="00F70B43"/>
    <w:rsid w:val="00F70B6A"/>
    <w:rsid w:val="00F70CFB"/>
    <w:rsid w:val="00F70EE8"/>
    <w:rsid w:val="00F71252"/>
    <w:rsid w:val="00F715EA"/>
    <w:rsid w:val="00F716AF"/>
    <w:rsid w:val="00F71815"/>
    <w:rsid w:val="00F71A54"/>
    <w:rsid w:val="00F71B52"/>
    <w:rsid w:val="00F71DE4"/>
    <w:rsid w:val="00F72099"/>
    <w:rsid w:val="00F72111"/>
    <w:rsid w:val="00F72355"/>
    <w:rsid w:val="00F723B7"/>
    <w:rsid w:val="00F727F6"/>
    <w:rsid w:val="00F72D18"/>
    <w:rsid w:val="00F72D2C"/>
    <w:rsid w:val="00F72D91"/>
    <w:rsid w:val="00F72F32"/>
    <w:rsid w:val="00F7306E"/>
    <w:rsid w:val="00F730D7"/>
    <w:rsid w:val="00F732C3"/>
    <w:rsid w:val="00F7333D"/>
    <w:rsid w:val="00F73397"/>
    <w:rsid w:val="00F7354A"/>
    <w:rsid w:val="00F735D3"/>
    <w:rsid w:val="00F735F9"/>
    <w:rsid w:val="00F73642"/>
    <w:rsid w:val="00F7376D"/>
    <w:rsid w:val="00F73ABB"/>
    <w:rsid w:val="00F73B6D"/>
    <w:rsid w:val="00F73BB0"/>
    <w:rsid w:val="00F73CA3"/>
    <w:rsid w:val="00F73D10"/>
    <w:rsid w:val="00F73D99"/>
    <w:rsid w:val="00F73F59"/>
    <w:rsid w:val="00F73FE6"/>
    <w:rsid w:val="00F7404B"/>
    <w:rsid w:val="00F740C2"/>
    <w:rsid w:val="00F741C5"/>
    <w:rsid w:val="00F74286"/>
    <w:rsid w:val="00F742A3"/>
    <w:rsid w:val="00F74356"/>
    <w:rsid w:val="00F7449B"/>
    <w:rsid w:val="00F744A4"/>
    <w:rsid w:val="00F746FC"/>
    <w:rsid w:val="00F74724"/>
    <w:rsid w:val="00F748ED"/>
    <w:rsid w:val="00F749CA"/>
    <w:rsid w:val="00F749D4"/>
    <w:rsid w:val="00F74B51"/>
    <w:rsid w:val="00F74BBC"/>
    <w:rsid w:val="00F74C73"/>
    <w:rsid w:val="00F74F61"/>
    <w:rsid w:val="00F74FE2"/>
    <w:rsid w:val="00F750E9"/>
    <w:rsid w:val="00F7527D"/>
    <w:rsid w:val="00F75608"/>
    <w:rsid w:val="00F756EF"/>
    <w:rsid w:val="00F75853"/>
    <w:rsid w:val="00F75B89"/>
    <w:rsid w:val="00F75C6B"/>
    <w:rsid w:val="00F75D16"/>
    <w:rsid w:val="00F75E47"/>
    <w:rsid w:val="00F7639E"/>
    <w:rsid w:val="00F76724"/>
    <w:rsid w:val="00F76B81"/>
    <w:rsid w:val="00F76E9D"/>
    <w:rsid w:val="00F77031"/>
    <w:rsid w:val="00F77284"/>
    <w:rsid w:val="00F77317"/>
    <w:rsid w:val="00F77392"/>
    <w:rsid w:val="00F77481"/>
    <w:rsid w:val="00F77A78"/>
    <w:rsid w:val="00F77BCE"/>
    <w:rsid w:val="00F77FB6"/>
    <w:rsid w:val="00F8010B"/>
    <w:rsid w:val="00F80905"/>
    <w:rsid w:val="00F80A21"/>
    <w:rsid w:val="00F80C32"/>
    <w:rsid w:val="00F80CDD"/>
    <w:rsid w:val="00F80CF0"/>
    <w:rsid w:val="00F81011"/>
    <w:rsid w:val="00F8128E"/>
    <w:rsid w:val="00F81362"/>
    <w:rsid w:val="00F81706"/>
    <w:rsid w:val="00F819C9"/>
    <w:rsid w:val="00F81C18"/>
    <w:rsid w:val="00F82304"/>
    <w:rsid w:val="00F82473"/>
    <w:rsid w:val="00F82BC2"/>
    <w:rsid w:val="00F82BE0"/>
    <w:rsid w:val="00F82C62"/>
    <w:rsid w:val="00F82D1B"/>
    <w:rsid w:val="00F82D35"/>
    <w:rsid w:val="00F83066"/>
    <w:rsid w:val="00F835D1"/>
    <w:rsid w:val="00F835F2"/>
    <w:rsid w:val="00F836AA"/>
    <w:rsid w:val="00F8385E"/>
    <w:rsid w:val="00F83B23"/>
    <w:rsid w:val="00F83E48"/>
    <w:rsid w:val="00F83E89"/>
    <w:rsid w:val="00F83FD0"/>
    <w:rsid w:val="00F8405E"/>
    <w:rsid w:val="00F840F5"/>
    <w:rsid w:val="00F8436B"/>
    <w:rsid w:val="00F8439E"/>
    <w:rsid w:val="00F8449C"/>
    <w:rsid w:val="00F84508"/>
    <w:rsid w:val="00F84731"/>
    <w:rsid w:val="00F848D3"/>
    <w:rsid w:val="00F84934"/>
    <w:rsid w:val="00F84A0A"/>
    <w:rsid w:val="00F84DC4"/>
    <w:rsid w:val="00F84E28"/>
    <w:rsid w:val="00F84F4A"/>
    <w:rsid w:val="00F853D3"/>
    <w:rsid w:val="00F85426"/>
    <w:rsid w:val="00F8547E"/>
    <w:rsid w:val="00F85492"/>
    <w:rsid w:val="00F854EE"/>
    <w:rsid w:val="00F8550F"/>
    <w:rsid w:val="00F85704"/>
    <w:rsid w:val="00F85718"/>
    <w:rsid w:val="00F8579B"/>
    <w:rsid w:val="00F85C3C"/>
    <w:rsid w:val="00F85CD3"/>
    <w:rsid w:val="00F85E51"/>
    <w:rsid w:val="00F85EF3"/>
    <w:rsid w:val="00F860FB"/>
    <w:rsid w:val="00F86280"/>
    <w:rsid w:val="00F8634B"/>
    <w:rsid w:val="00F86A83"/>
    <w:rsid w:val="00F86B4A"/>
    <w:rsid w:val="00F86C18"/>
    <w:rsid w:val="00F86E76"/>
    <w:rsid w:val="00F876CE"/>
    <w:rsid w:val="00F8787B"/>
    <w:rsid w:val="00F87948"/>
    <w:rsid w:val="00F87951"/>
    <w:rsid w:val="00F87EF8"/>
    <w:rsid w:val="00F90033"/>
    <w:rsid w:val="00F90336"/>
    <w:rsid w:val="00F90415"/>
    <w:rsid w:val="00F90614"/>
    <w:rsid w:val="00F906BD"/>
    <w:rsid w:val="00F908D6"/>
    <w:rsid w:val="00F9094A"/>
    <w:rsid w:val="00F90A58"/>
    <w:rsid w:val="00F90AA0"/>
    <w:rsid w:val="00F90B62"/>
    <w:rsid w:val="00F90C45"/>
    <w:rsid w:val="00F90DAB"/>
    <w:rsid w:val="00F90EDE"/>
    <w:rsid w:val="00F91353"/>
    <w:rsid w:val="00F91643"/>
    <w:rsid w:val="00F9171F"/>
    <w:rsid w:val="00F92004"/>
    <w:rsid w:val="00F92095"/>
    <w:rsid w:val="00F92116"/>
    <w:rsid w:val="00F924C5"/>
    <w:rsid w:val="00F9251F"/>
    <w:rsid w:val="00F9262B"/>
    <w:rsid w:val="00F92650"/>
    <w:rsid w:val="00F92708"/>
    <w:rsid w:val="00F928C8"/>
    <w:rsid w:val="00F92D2D"/>
    <w:rsid w:val="00F92DBC"/>
    <w:rsid w:val="00F93026"/>
    <w:rsid w:val="00F9349E"/>
    <w:rsid w:val="00F934B7"/>
    <w:rsid w:val="00F93502"/>
    <w:rsid w:val="00F93898"/>
    <w:rsid w:val="00F9394D"/>
    <w:rsid w:val="00F93A49"/>
    <w:rsid w:val="00F93B5D"/>
    <w:rsid w:val="00F93B95"/>
    <w:rsid w:val="00F93BF0"/>
    <w:rsid w:val="00F93C87"/>
    <w:rsid w:val="00F93D9D"/>
    <w:rsid w:val="00F93DA6"/>
    <w:rsid w:val="00F943E1"/>
    <w:rsid w:val="00F9446D"/>
    <w:rsid w:val="00F947EA"/>
    <w:rsid w:val="00F94981"/>
    <w:rsid w:val="00F94A01"/>
    <w:rsid w:val="00F94B4A"/>
    <w:rsid w:val="00F94C09"/>
    <w:rsid w:val="00F94CE2"/>
    <w:rsid w:val="00F94D68"/>
    <w:rsid w:val="00F94D72"/>
    <w:rsid w:val="00F94DFC"/>
    <w:rsid w:val="00F95068"/>
    <w:rsid w:val="00F950D6"/>
    <w:rsid w:val="00F95241"/>
    <w:rsid w:val="00F95669"/>
    <w:rsid w:val="00F956AC"/>
    <w:rsid w:val="00F956F9"/>
    <w:rsid w:val="00F95B5D"/>
    <w:rsid w:val="00F95B9E"/>
    <w:rsid w:val="00F95D86"/>
    <w:rsid w:val="00F96061"/>
    <w:rsid w:val="00F96244"/>
    <w:rsid w:val="00F9646A"/>
    <w:rsid w:val="00F964BC"/>
    <w:rsid w:val="00F9653B"/>
    <w:rsid w:val="00F96707"/>
    <w:rsid w:val="00F96713"/>
    <w:rsid w:val="00F967CA"/>
    <w:rsid w:val="00F9684A"/>
    <w:rsid w:val="00F96A93"/>
    <w:rsid w:val="00F96B69"/>
    <w:rsid w:val="00F96B9B"/>
    <w:rsid w:val="00F96CD4"/>
    <w:rsid w:val="00F96E15"/>
    <w:rsid w:val="00F96E24"/>
    <w:rsid w:val="00F96E6F"/>
    <w:rsid w:val="00F96FA9"/>
    <w:rsid w:val="00F97350"/>
    <w:rsid w:val="00F974C3"/>
    <w:rsid w:val="00F9753A"/>
    <w:rsid w:val="00F975F1"/>
    <w:rsid w:val="00F97605"/>
    <w:rsid w:val="00F9786E"/>
    <w:rsid w:val="00F97B76"/>
    <w:rsid w:val="00F97C0B"/>
    <w:rsid w:val="00F97CBB"/>
    <w:rsid w:val="00F97D7F"/>
    <w:rsid w:val="00F97E21"/>
    <w:rsid w:val="00F97E59"/>
    <w:rsid w:val="00FA00B5"/>
    <w:rsid w:val="00FA01BA"/>
    <w:rsid w:val="00FA0264"/>
    <w:rsid w:val="00FA04C5"/>
    <w:rsid w:val="00FA056A"/>
    <w:rsid w:val="00FA0626"/>
    <w:rsid w:val="00FA063F"/>
    <w:rsid w:val="00FA0813"/>
    <w:rsid w:val="00FA0825"/>
    <w:rsid w:val="00FA0858"/>
    <w:rsid w:val="00FA08AD"/>
    <w:rsid w:val="00FA0C14"/>
    <w:rsid w:val="00FA0DE4"/>
    <w:rsid w:val="00FA0E1F"/>
    <w:rsid w:val="00FA12BA"/>
    <w:rsid w:val="00FA12FD"/>
    <w:rsid w:val="00FA136F"/>
    <w:rsid w:val="00FA13DB"/>
    <w:rsid w:val="00FA1BE7"/>
    <w:rsid w:val="00FA1E4A"/>
    <w:rsid w:val="00FA1F45"/>
    <w:rsid w:val="00FA2A74"/>
    <w:rsid w:val="00FA2B2A"/>
    <w:rsid w:val="00FA2C06"/>
    <w:rsid w:val="00FA2D91"/>
    <w:rsid w:val="00FA2F27"/>
    <w:rsid w:val="00FA2FBD"/>
    <w:rsid w:val="00FA3078"/>
    <w:rsid w:val="00FA32CC"/>
    <w:rsid w:val="00FA34A9"/>
    <w:rsid w:val="00FA34EA"/>
    <w:rsid w:val="00FA3721"/>
    <w:rsid w:val="00FA38BD"/>
    <w:rsid w:val="00FA3F2E"/>
    <w:rsid w:val="00FA4150"/>
    <w:rsid w:val="00FA4311"/>
    <w:rsid w:val="00FA4333"/>
    <w:rsid w:val="00FA4546"/>
    <w:rsid w:val="00FA48B3"/>
    <w:rsid w:val="00FA4B6A"/>
    <w:rsid w:val="00FA4CC9"/>
    <w:rsid w:val="00FA505A"/>
    <w:rsid w:val="00FA573A"/>
    <w:rsid w:val="00FA5766"/>
    <w:rsid w:val="00FA58D9"/>
    <w:rsid w:val="00FA5AE4"/>
    <w:rsid w:val="00FA5AE6"/>
    <w:rsid w:val="00FA5B18"/>
    <w:rsid w:val="00FA5CD3"/>
    <w:rsid w:val="00FA609A"/>
    <w:rsid w:val="00FA61A9"/>
    <w:rsid w:val="00FA61E3"/>
    <w:rsid w:val="00FA63D0"/>
    <w:rsid w:val="00FA666A"/>
    <w:rsid w:val="00FA6B60"/>
    <w:rsid w:val="00FA6BB4"/>
    <w:rsid w:val="00FA6D07"/>
    <w:rsid w:val="00FA7128"/>
    <w:rsid w:val="00FA7417"/>
    <w:rsid w:val="00FA754F"/>
    <w:rsid w:val="00FA75EE"/>
    <w:rsid w:val="00FA76A7"/>
    <w:rsid w:val="00FA7728"/>
    <w:rsid w:val="00FA7A95"/>
    <w:rsid w:val="00FA7AE9"/>
    <w:rsid w:val="00FA7B61"/>
    <w:rsid w:val="00FA7D7D"/>
    <w:rsid w:val="00FA7E1E"/>
    <w:rsid w:val="00FA7F95"/>
    <w:rsid w:val="00FA7FF3"/>
    <w:rsid w:val="00FB00FA"/>
    <w:rsid w:val="00FB05E6"/>
    <w:rsid w:val="00FB066F"/>
    <w:rsid w:val="00FB071F"/>
    <w:rsid w:val="00FB0A91"/>
    <w:rsid w:val="00FB0AA7"/>
    <w:rsid w:val="00FB0BFD"/>
    <w:rsid w:val="00FB0EBD"/>
    <w:rsid w:val="00FB0EBF"/>
    <w:rsid w:val="00FB101D"/>
    <w:rsid w:val="00FB105B"/>
    <w:rsid w:val="00FB11A9"/>
    <w:rsid w:val="00FB1351"/>
    <w:rsid w:val="00FB13AC"/>
    <w:rsid w:val="00FB1564"/>
    <w:rsid w:val="00FB16AE"/>
    <w:rsid w:val="00FB1902"/>
    <w:rsid w:val="00FB1987"/>
    <w:rsid w:val="00FB199C"/>
    <w:rsid w:val="00FB19AA"/>
    <w:rsid w:val="00FB1ACD"/>
    <w:rsid w:val="00FB1C71"/>
    <w:rsid w:val="00FB1E25"/>
    <w:rsid w:val="00FB1F29"/>
    <w:rsid w:val="00FB1FDA"/>
    <w:rsid w:val="00FB2050"/>
    <w:rsid w:val="00FB2095"/>
    <w:rsid w:val="00FB2575"/>
    <w:rsid w:val="00FB2830"/>
    <w:rsid w:val="00FB2B33"/>
    <w:rsid w:val="00FB2F1B"/>
    <w:rsid w:val="00FB300D"/>
    <w:rsid w:val="00FB33F6"/>
    <w:rsid w:val="00FB3403"/>
    <w:rsid w:val="00FB34B3"/>
    <w:rsid w:val="00FB36BE"/>
    <w:rsid w:val="00FB36F2"/>
    <w:rsid w:val="00FB37E1"/>
    <w:rsid w:val="00FB4051"/>
    <w:rsid w:val="00FB4151"/>
    <w:rsid w:val="00FB416E"/>
    <w:rsid w:val="00FB4771"/>
    <w:rsid w:val="00FB4A15"/>
    <w:rsid w:val="00FB4B37"/>
    <w:rsid w:val="00FB4D3E"/>
    <w:rsid w:val="00FB4DE4"/>
    <w:rsid w:val="00FB4E9D"/>
    <w:rsid w:val="00FB4EBD"/>
    <w:rsid w:val="00FB53C1"/>
    <w:rsid w:val="00FB54EC"/>
    <w:rsid w:val="00FB5503"/>
    <w:rsid w:val="00FB5621"/>
    <w:rsid w:val="00FB57C8"/>
    <w:rsid w:val="00FB5881"/>
    <w:rsid w:val="00FB5931"/>
    <w:rsid w:val="00FB59DA"/>
    <w:rsid w:val="00FB5AF6"/>
    <w:rsid w:val="00FB5B79"/>
    <w:rsid w:val="00FB5D5C"/>
    <w:rsid w:val="00FB608B"/>
    <w:rsid w:val="00FB611F"/>
    <w:rsid w:val="00FB620D"/>
    <w:rsid w:val="00FB635A"/>
    <w:rsid w:val="00FB6490"/>
    <w:rsid w:val="00FB6495"/>
    <w:rsid w:val="00FB6576"/>
    <w:rsid w:val="00FB65FF"/>
    <w:rsid w:val="00FB69C7"/>
    <w:rsid w:val="00FB6AE7"/>
    <w:rsid w:val="00FB6B2A"/>
    <w:rsid w:val="00FB6B43"/>
    <w:rsid w:val="00FB6F67"/>
    <w:rsid w:val="00FB7125"/>
    <w:rsid w:val="00FB7280"/>
    <w:rsid w:val="00FB767E"/>
    <w:rsid w:val="00FB77F9"/>
    <w:rsid w:val="00FB78A4"/>
    <w:rsid w:val="00FB7B04"/>
    <w:rsid w:val="00FB7E4C"/>
    <w:rsid w:val="00FB7F80"/>
    <w:rsid w:val="00FC0007"/>
    <w:rsid w:val="00FC002F"/>
    <w:rsid w:val="00FC0085"/>
    <w:rsid w:val="00FC012A"/>
    <w:rsid w:val="00FC0323"/>
    <w:rsid w:val="00FC07B2"/>
    <w:rsid w:val="00FC07D2"/>
    <w:rsid w:val="00FC08F8"/>
    <w:rsid w:val="00FC0AD7"/>
    <w:rsid w:val="00FC0BF4"/>
    <w:rsid w:val="00FC0CB0"/>
    <w:rsid w:val="00FC0DEE"/>
    <w:rsid w:val="00FC0E87"/>
    <w:rsid w:val="00FC10DE"/>
    <w:rsid w:val="00FC12D8"/>
    <w:rsid w:val="00FC1697"/>
    <w:rsid w:val="00FC18A3"/>
    <w:rsid w:val="00FC1F7E"/>
    <w:rsid w:val="00FC1FF8"/>
    <w:rsid w:val="00FC22A6"/>
    <w:rsid w:val="00FC2305"/>
    <w:rsid w:val="00FC24BF"/>
    <w:rsid w:val="00FC2AD2"/>
    <w:rsid w:val="00FC2D5F"/>
    <w:rsid w:val="00FC3223"/>
    <w:rsid w:val="00FC3B55"/>
    <w:rsid w:val="00FC3C80"/>
    <w:rsid w:val="00FC3E21"/>
    <w:rsid w:val="00FC4306"/>
    <w:rsid w:val="00FC4482"/>
    <w:rsid w:val="00FC450A"/>
    <w:rsid w:val="00FC45BF"/>
    <w:rsid w:val="00FC49F4"/>
    <w:rsid w:val="00FC4B88"/>
    <w:rsid w:val="00FC4BF1"/>
    <w:rsid w:val="00FC4CE8"/>
    <w:rsid w:val="00FC4F79"/>
    <w:rsid w:val="00FC4FC4"/>
    <w:rsid w:val="00FC544B"/>
    <w:rsid w:val="00FC54E6"/>
    <w:rsid w:val="00FC5603"/>
    <w:rsid w:val="00FC572B"/>
    <w:rsid w:val="00FC5ABA"/>
    <w:rsid w:val="00FC5C2C"/>
    <w:rsid w:val="00FC5DB0"/>
    <w:rsid w:val="00FC5E43"/>
    <w:rsid w:val="00FC612E"/>
    <w:rsid w:val="00FC63FC"/>
    <w:rsid w:val="00FC6896"/>
    <w:rsid w:val="00FC68A1"/>
    <w:rsid w:val="00FC6952"/>
    <w:rsid w:val="00FC6FA2"/>
    <w:rsid w:val="00FC713F"/>
    <w:rsid w:val="00FC7248"/>
    <w:rsid w:val="00FC74F0"/>
    <w:rsid w:val="00FC751D"/>
    <w:rsid w:val="00FC768F"/>
    <w:rsid w:val="00FC7959"/>
    <w:rsid w:val="00FC7BC8"/>
    <w:rsid w:val="00FC7C1F"/>
    <w:rsid w:val="00FC7F8D"/>
    <w:rsid w:val="00FD005C"/>
    <w:rsid w:val="00FD00AA"/>
    <w:rsid w:val="00FD0170"/>
    <w:rsid w:val="00FD0188"/>
    <w:rsid w:val="00FD0553"/>
    <w:rsid w:val="00FD062E"/>
    <w:rsid w:val="00FD0750"/>
    <w:rsid w:val="00FD079F"/>
    <w:rsid w:val="00FD0889"/>
    <w:rsid w:val="00FD0ABC"/>
    <w:rsid w:val="00FD0B28"/>
    <w:rsid w:val="00FD0CD7"/>
    <w:rsid w:val="00FD0D68"/>
    <w:rsid w:val="00FD0EB1"/>
    <w:rsid w:val="00FD0EE0"/>
    <w:rsid w:val="00FD0F61"/>
    <w:rsid w:val="00FD103E"/>
    <w:rsid w:val="00FD10B9"/>
    <w:rsid w:val="00FD1319"/>
    <w:rsid w:val="00FD1439"/>
    <w:rsid w:val="00FD17BA"/>
    <w:rsid w:val="00FD183A"/>
    <w:rsid w:val="00FD1994"/>
    <w:rsid w:val="00FD1A2F"/>
    <w:rsid w:val="00FD1AF0"/>
    <w:rsid w:val="00FD1C2F"/>
    <w:rsid w:val="00FD1C39"/>
    <w:rsid w:val="00FD1C53"/>
    <w:rsid w:val="00FD1D15"/>
    <w:rsid w:val="00FD1E1D"/>
    <w:rsid w:val="00FD1F77"/>
    <w:rsid w:val="00FD1F9D"/>
    <w:rsid w:val="00FD208D"/>
    <w:rsid w:val="00FD20B8"/>
    <w:rsid w:val="00FD226A"/>
    <w:rsid w:val="00FD235B"/>
    <w:rsid w:val="00FD23BC"/>
    <w:rsid w:val="00FD26B5"/>
    <w:rsid w:val="00FD296C"/>
    <w:rsid w:val="00FD2A16"/>
    <w:rsid w:val="00FD2A21"/>
    <w:rsid w:val="00FD2C9D"/>
    <w:rsid w:val="00FD2CDF"/>
    <w:rsid w:val="00FD2F74"/>
    <w:rsid w:val="00FD2FAC"/>
    <w:rsid w:val="00FD315D"/>
    <w:rsid w:val="00FD3284"/>
    <w:rsid w:val="00FD3393"/>
    <w:rsid w:val="00FD33CF"/>
    <w:rsid w:val="00FD37A1"/>
    <w:rsid w:val="00FD3848"/>
    <w:rsid w:val="00FD38AD"/>
    <w:rsid w:val="00FD3B94"/>
    <w:rsid w:val="00FD3C02"/>
    <w:rsid w:val="00FD40CE"/>
    <w:rsid w:val="00FD40DD"/>
    <w:rsid w:val="00FD43B3"/>
    <w:rsid w:val="00FD43C2"/>
    <w:rsid w:val="00FD43DE"/>
    <w:rsid w:val="00FD44E8"/>
    <w:rsid w:val="00FD45CD"/>
    <w:rsid w:val="00FD469F"/>
    <w:rsid w:val="00FD48A1"/>
    <w:rsid w:val="00FD4BEA"/>
    <w:rsid w:val="00FD564A"/>
    <w:rsid w:val="00FD5935"/>
    <w:rsid w:val="00FD5A23"/>
    <w:rsid w:val="00FD5A6D"/>
    <w:rsid w:val="00FD5B18"/>
    <w:rsid w:val="00FD5C0C"/>
    <w:rsid w:val="00FD5C15"/>
    <w:rsid w:val="00FD5CBA"/>
    <w:rsid w:val="00FD5E12"/>
    <w:rsid w:val="00FD5F3B"/>
    <w:rsid w:val="00FD6143"/>
    <w:rsid w:val="00FD6285"/>
    <w:rsid w:val="00FD6295"/>
    <w:rsid w:val="00FD62B3"/>
    <w:rsid w:val="00FD63BF"/>
    <w:rsid w:val="00FD66E0"/>
    <w:rsid w:val="00FD6826"/>
    <w:rsid w:val="00FD6871"/>
    <w:rsid w:val="00FD68CA"/>
    <w:rsid w:val="00FD694B"/>
    <w:rsid w:val="00FD6A37"/>
    <w:rsid w:val="00FD6CE8"/>
    <w:rsid w:val="00FD6F1B"/>
    <w:rsid w:val="00FD6F6B"/>
    <w:rsid w:val="00FD6FFC"/>
    <w:rsid w:val="00FD7137"/>
    <w:rsid w:val="00FD7333"/>
    <w:rsid w:val="00FD754D"/>
    <w:rsid w:val="00FD7608"/>
    <w:rsid w:val="00FD76BA"/>
    <w:rsid w:val="00FD780A"/>
    <w:rsid w:val="00FD7854"/>
    <w:rsid w:val="00FD7968"/>
    <w:rsid w:val="00FD79BB"/>
    <w:rsid w:val="00FD7C52"/>
    <w:rsid w:val="00FD7CD5"/>
    <w:rsid w:val="00FD7CE7"/>
    <w:rsid w:val="00FD7CFD"/>
    <w:rsid w:val="00FD7D49"/>
    <w:rsid w:val="00FD7F04"/>
    <w:rsid w:val="00FD7F8E"/>
    <w:rsid w:val="00FE0349"/>
    <w:rsid w:val="00FE04BE"/>
    <w:rsid w:val="00FE0A8E"/>
    <w:rsid w:val="00FE0B6E"/>
    <w:rsid w:val="00FE0D32"/>
    <w:rsid w:val="00FE0EC0"/>
    <w:rsid w:val="00FE0F18"/>
    <w:rsid w:val="00FE0F6D"/>
    <w:rsid w:val="00FE0F7E"/>
    <w:rsid w:val="00FE1118"/>
    <w:rsid w:val="00FE116A"/>
    <w:rsid w:val="00FE1236"/>
    <w:rsid w:val="00FE1250"/>
    <w:rsid w:val="00FE135C"/>
    <w:rsid w:val="00FE142E"/>
    <w:rsid w:val="00FE1594"/>
    <w:rsid w:val="00FE1820"/>
    <w:rsid w:val="00FE18CE"/>
    <w:rsid w:val="00FE19E1"/>
    <w:rsid w:val="00FE1A3C"/>
    <w:rsid w:val="00FE1AD6"/>
    <w:rsid w:val="00FE1B8B"/>
    <w:rsid w:val="00FE1BBD"/>
    <w:rsid w:val="00FE1D87"/>
    <w:rsid w:val="00FE1DB0"/>
    <w:rsid w:val="00FE1F09"/>
    <w:rsid w:val="00FE1F4A"/>
    <w:rsid w:val="00FE208F"/>
    <w:rsid w:val="00FE20A8"/>
    <w:rsid w:val="00FE233B"/>
    <w:rsid w:val="00FE23DD"/>
    <w:rsid w:val="00FE2562"/>
    <w:rsid w:val="00FE26E9"/>
    <w:rsid w:val="00FE27DD"/>
    <w:rsid w:val="00FE29EA"/>
    <w:rsid w:val="00FE2A37"/>
    <w:rsid w:val="00FE2ACF"/>
    <w:rsid w:val="00FE2B73"/>
    <w:rsid w:val="00FE2C47"/>
    <w:rsid w:val="00FE2CFC"/>
    <w:rsid w:val="00FE2DC5"/>
    <w:rsid w:val="00FE2F76"/>
    <w:rsid w:val="00FE2FDE"/>
    <w:rsid w:val="00FE31D8"/>
    <w:rsid w:val="00FE31FB"/>
    <w:rsid w:val="00FE32CE"/>
    <w:rsid w:val="00FE345E"/>
    <w:rsid w:val="00FE3988"/>
    <w:rsid w:val="00FE3A18"/>
    <w:rsid w:val="00FE3D19"/>
    <w:rsid w:val="00FE3DA5"/>
    <w:rsid w:val="00FE3DC4"/>
    <w:rsid w:val="00FE40E5"/>
    <w:rsid w:val="00FE42AD"/>
    <w:rsid w:val="00FE44B1"/>
    <w:rsid w:val="00FE4739"/>
    <w:rsid w:val="00FE49A9"/>
    <w:rsid w:val="00FE4CF1"/>
    <w:rsid w:val="00FE4DB2"/>
    <w:rsid w:val="00FE4F11"/>
    <w:rsid w:val="00FE519C"/>
    <w:rsid w:val="00FE52B5"/>
    <w:rsid w:val="00FE5585"/>
    <w:rsid w:val="00FE5A08"/>
    <w:rsid w:val="00FE5A77"/>
    <w:rsid w:val="00FE5C3A"/>
    <w:rsid w:val="00FE5C50"/>
    <w:rsid w:val="00FE5ECD"/>
    <w:rsid w:val="00FE5F4D"/>
    <w:rsid w:val="00FE62A2"/>
    <w:rsid w:val="00FE648B"/>
    <w:rsid w:val="00FE6572"/>
    <w:rsid w:val="00FE6695"/>
    <w:rsid w:val="00FE669B"/>
    <w:rsid w:val="00FE681D"/>
    <w:rsid w:val="00FE687A"/>
    <w:rsid w:val="00FE6AAF"/>
    <w:rsid w:val="00FE6D59"/>
    <w:rsid w:val="00FE6E28"/>
    <w:rsid w:val="00FE6F55"/>
    <w:rsid w:val="00FE6FD6"/>
    <w:rsid w:val="00FE7008"/>
    <w:rsid w:val="00FE70D8"/>
    <w:rsid w:val="00FE72AF"/>
    <w:rsid w:val="00FE72CB"/>
    <w:rsid w:val="00FE74DF"/>
    <w:rsid w:val="00FE7557"/>
    <w:rsid w:val="00FE75EC"/>
    <w:rsid w:val="00FE7BB8"/>
    <w:rsid w:val="00FE7CE4"/>
    <w:rsid w:val="00FE7D52"/>
    <w:rsid w:val="00FE7F3E"/>
    <w:rsid w:val="00FE7FE5"/>
    <w:rsid w:val="00FF018B"/>
    <w:rsid w:val="00FF0271"/>
    <w:rsid w:val="00FF05F7"/>
    <w:rsid w:val="00FF05FE"/>
    <w:rsid w:val="00FF065F"/>
    <w:rsid w:val="00FF0761"/>
    <w:rsid w:val="00FF08FB"/>
    <w:rsid w:val="00FF0931"/>
    <w:rsid w:val="00FF0D1A"/>
    <w:rsid w:val="00FF0DBD"/>
    <w:rsid w:val="00FF0E24"/>
    <w:rsid w:val="00FF0F18"/>
    <w:rsid w:val="00FF10DC"/>
    <w:rsid w:val="00FF12D4"/>
    <w:rsid w:val="00FF12E1"/>
    <w:rsid w:val="00FF16F3"/>
    <w:rsid w:val="00FF18A6"/>
    <w:rsid w:val="00FF18A9"/>
    <w:rsid w:val="00FF1931"/>
    <w:rsid w:val="00FF1E0A"/>
    <w:rsid w:val="00FF1FAC"/>
    <w:rsid w:val="00FF2100"/>
    <w:rsid w:val="00FF2295"/>
    <w:rsid w:val="00FF233C"/>
    <w:rsid w:val="00FF2418"/>
    <w:rsid w:val="00FF2424"/>
    <w:rsid w:val="00FF272B"/>
    <w:rsid w:val="00FF285E"/>
    <w:rsid w:val="00FF29F5"/>
    <w:rsid w:val="00FF2B43"/>
    <w:rsid w:val="00FF2D50"/>
    <w:rsid w:val="00FF2E77"/>
    <w:rsid w:val="00FF3593"/>
    <w:rsid w:val="00FF36EF"/>
    <w:rsid w:val="00FF39FD"/>
    <w:rsid w:val="00FF3A07"/>
    <w:rsid w:val="00FF3B10"/>
    <w:rsid w:val="00FF3C11"/>
    <w:rsid w:val="00FF3F94"/>
    <w:rsid w:val="00FF3FEA"/>
    <w:rsid w:val="00FF403F"/>
    <w:rsid w:val="00FF4121"/>
    <w:rsid w:val="00FF412E"/>
    <w:rsid w:val="00FF414B"/>
    <w:rsid w:val="00FF42DB"/>
    <w:rsid w:val="00FF434B"/>
    <w:rsid w:val="00FF45B1"/>
    <w:rsid w:val="00FF47BF"/>
    <w:rsid w:val="00FF4826"/>
    <w:rsid w:val="00FF4986"/>
    <w:rsid w:val="00FF4A36"/>
    <w:rsid w:val="00FF4A38"/>
    <w:rsid w:val="00FF4B12"/>
    <w:rsid w:val="00FF4B3B"/>
    <w:rsid w:val="00FF4C68"/>
    <w:rsid w:val="00FF502A"/>
    <w:rsid w:val="00FF51D6"/>
    <w:rsid w:val="00FF51F2"/>
    <w:rsid w:val="00FF5321"/>
    <w:rsid w:val="00FF5398"/>
    <w:rsid w:val="00FF5728"/>
    <w:rsid w:val="00FF58F1"/>
    <w:rsid w:val="00FF5B85"/>
    <w:rsid w:val="00FF5BC2"/>
    <w:rsid w:val="00FF5D71"/>
    <w:rsid w:val="00FF5E00"/>
    <w:rsid w:val="00FF5E31"/>
    <w:rsid w:val="00FF5FFC"/>
    <w:rsid w:val="00FF60DB"/>
    <w:rsid w:val="00FF62D2"/>
    <w:rsid w:val="00FF6625"/>
    <w:rsid w:val="00FF6B4B"/>
    <w:rsid w:val="00FF6CC8"/>
    <w:rsid w:val="00FF6DBC"/>
    <w:rsid w:val="00FF6DF4"/>
    <w:rsid w:val="00FF6F69"/>
    <w:rsid w:val="00FF7117"/>
    <w:rsid w:val="00FF7457"/>
    <w:rsid w:val="00FF7697"/>
    <w:rsid w:val="00FF773E"/>
    <w:rsid w:val="00FF7768"/>
    <w:rsid w:val="00FF78D1"/>
    <w:rsid w:val="00FF7920"/>
    <w:rsid w:val="00FF7B81"/>
    <w:rsid w:val="00FF7C31"/>
    <w:rsid w:val="00FF7D9D"/>
    <w:rsid w:val="00FF7DD1"/>
    <w:rsid w:val="012BC8F2"/>
    <w:rsid w:val="012E31F3"/>
    <w:rsid w:val="019E5775"/>
    <w:rsid w:val="01A1A7ED"/>
    <w:rsid w:val="01CA044E"/>
    <w:rsid w:val="01CE7B90"/>
    <w:rsid w:val="0203B273"/>
    <w:rsid w:val="02437C7A"/>
    <w:rsid w:val="025089AA"/>
    <w:rsid w:val="02ADB0AE"/>
    <w:rsid w:val="02AE341A"/>
    <w:rsid w:val="02C6498A"/>
    <w:rsid w:val="02C899D5"/>
    <w:rsid w:val="034252AB"/>
    <w:rsid w:val="03C2CAAB"/>
    <w:rsid w:val="03C7AD64"/>
    <w:rsid w:val="03DEAFDB"/>
    <w:rsid w:val="03EA9935"/>
    <w:rsid w:val="0410D9A6"/>
    <w:rsid w:val="042B2B55"/>
    <w:rsid w:val="0448F511"/>
    <w:rsid w:val="0455C77E"/>
    <w:rsid w:val="04A6E332"/>
    <w:rsid w:val="0511E9AE"/>
    <w:rsid w:val="0567C458"/>
    <w:rsid w:val="05742CD0"/>
    <w:rsid w:val="0577A7FC"/>
    <w:rsid w:val="05A8CCAB"/>
    <w:rsid w:val="05D39483"/>
    <w:rsid w:val="05E33760"/>
    <w:rsid w:val="05E62BD9"/>
    <w:rsid w:val="05ECC564"/>
    <w:rsid w:val="06012E36"/>
    <w:rsid w:val="0604ED33"/>
    <w:rsid w:val="0656A42C"/>
    <w:rsid w:val="069E8183"/>
    <w:rsid w:val="06A7175E"/>
    <w:rsid w:val="06ADA2D1"/>
    <w:rsid w:val="06ADBA0F"/>
    <w:rsid w:val="070B8C35"/>
    <w:rsid w:val="072F6D63"/>
    <w:rsid w:val="07BB334B"/>
    <w:rsid w:val="07C6A315"/>
    <w:rsid w:val="07ED868B"/>
    <w:rsid w:val="07F17903"/>
    <w:rsid w:val="082EA448"/>
    <w:rsid w:val="08B0B86B"/>
    <w:rsid w:val="08CC671F"/>
    <w:rsid w:val="08EE77A0"/>
    <w:rsid w:val="08FD440E"/>
    <w:rsid w:val="09397E2C"/>
    <w:rsid w:val="09F173F7"/>
    <w:rsid w:val="09F6019D"/>
    <w:rsid w:val="0A26A836"/>
    <w:rsid w:val="0A84A59A"/>
    <w:rsid w:val="0A85BA7F"/>
    <w:rsid w:val="0ABA7158"/>
    <w:rsid w:val="0ABE65A7"/>
    <w:rsid w:val="0B422BB4"/>
    <w:rsid w:val="0BF8283F"/>
    <w:rsid w:val="0BFAB6F4"/>
    <w:rsid w:val="0C175191"/>
    <w:rsid w:val="0C997AD3"/>
    <w:rsid w:val="0D3CD5BA"/>
    <w:rsid w:val="0D4695E9"/>
    <w:rsid w:val="0D77C668"/>
    <w:rsid w:val="0D77FAA2"/>
    <w:rsid w:val="0D7C09A7"/>
    <w:rsid w:val="0DC7FBB5"/>
    <w:rsid w:val="0DE88FFD"/>
    <w:rsid w:val="0E05F810"/>
    <w:rsid w:val="0E314648"/>
    <w:rsid w:val="0E3337A1"/>
    <w:rsid w:val="0E358D15"/>
    <w:rsid w:val="0E75CD12"/>
    <w:rsid w:val="0E93850A"/>
    <w:rsid w:val="0EB1F481"/>
    <w:rsid w:val="0EBBB509"/>
    <w:rsid w:val="0EFA14DE"/>
    <w:rsid w:val="0F0A3353"/>
    <w:rsid w:val="0F6D8FFA"/>
    <w:rsid w:val="0F83BF04"/>
    <w:rsid w:val="0F8D0278"/>
    <w:rsid w:val="0FDF80B6"/>
    <w:rsid w:val="1008E413"/>
    <w:rsid w:val="1010288E"/>
    <w:rsid w:val="101EA5DB"/>
    <w:rsid w:val="102EB544"/>
    <w:rsid w:val="10454122"/>
    <w:rsid w:val="104EA349"/>
    <w:rsid w:val="10558CA3"/>
    <w:rsid w:val="1076C341"/>
    <w:rsid w:val="10FCEFB6"/>
    <w:rsid w:val="110F98E0"/>
    <w:rsid w:val="1169A13C"/>
    <w:rsid w:val="11833677"/>
    <w:rsid w:val="11906079"/>
    <w:rsid w:val="11CAAD12"/>
    <w:rsid w:val="12065E78"/>
    <w:rsid w:val="1251089B"/>
    <w:rsid w:val="12E6087E"/>
    <w:rsid w:val="132DC891"/>
    <w:rsid w:val="13435FFE"/>
    <w:rsid w:val="136B337C"/>
    <w:rsid w:val="136E2A8D"/>
    <w:rsid w:val="13A86B59"/>
    <w:rsid w:val="13C03651"/>
    <w:rsid w:val="142085C3"/>
    <w:rsid w:val="1420A5FD"/>
    <w:rsid w:val="14D1F71F"/>
    <w:rsid w:val="14D6E756"/>
    <w:rsid w:val="14E27340"/>
    <w:rsid w:val="14F8628B"/>
    <w:rsid w:val="1516FD4C"/>
    <w:rsid w:val="15195E3A"/>
    <w:rsid w:val="153CA2D7"/>
    <w:rsid w:val="157307DE"/>
    <w:rsid w:val="159D8276"/>
    <w:rsid w:val="15AB9AA9"/>
    <w:rsid w:val="15D4B8F8"/>
    <w:rsid w:val="15EC9843"/>
    <w:rsid w:val="16016DC1"/>
    <w:rsid w:val="16734B99"/>
    <w:rsid w:val="16BB9322"/>
    <w:rsid w:val="1707D427"/>
    <w:rsid w:val="1712429F"/>
    <w:rsid w:val="174B07F7"/>
    <w:rsid w:val="175717CF"/>
    <w:rsid w:val="1762FA77"/>
    <w:rsid w:val="1767EDFF"/>
    <w:rsid w:val="1799924F"/>
    <w:rsid w:val="17EB1D47"/>
    <w:rsid w:val="17ED892C"/>
    <w:rsid w:val="17FD8836"/>
    <w:rsid w:val="1832B765"/>
    <w:rsid w:val="1875A3EB"/>
    <w:rsid w:val="1876F8D6"/>
    <w:rsid w:val="188EAF86"/>
    <w:rsid w:val="189A9364"/>
    <w:rsid w:val="1911D591"/>
    <w:rsid w:val="194783D6"/>
    <w:rsid w:val="19648480"/>
    <w:rsid w:val="199BB5D1"/>
    <w:rsid w:val="19A9738F"/>
    <w:rsid w:val="1A07F131"/>
    <w:rsid w:val="1A17CEAF"/>
    <w:rsid w:val="1A509A55"/>
    <w:rsid w:val="1A6BC1C0"/>
    <w:rsid w:val="1BB46E50"/>
    <w:rsid w:val="1BB91375"/>
    <w:rsid w:val="1BC7AA57"/>
    <w:rsid w:val="1BCC25B6"/>
    <w:rsid w:val="1BD928CD"/>
    <w:rsid w:val="1C4096E1"/>
    <w:rsid w:val="1C45BEC7"/>
    <w:rsid w:val="1C4E0AF8"/>
    <w:rsid w:val="1C560AF6"/>
    <w:rsid w:val="1C5F25C5"/>
    <w:rsid w:val="1C6542B2"/>
    <w:rsid w:val="1C799E7F"/>
    <w:rsid w:val="1C7F2E97"/>
    <w:rsid w:val="1CB34409"/>
    <w:rsid w:val="1CCA1672"/>
    <w:rsid w:val="1D1F4765"/>
    <w:rsid w:val="1D24EDD5"/>
    <w:rsid w:val="1D7D9E97"/>
    <w:rsid w:val="1DB738A2"/>
    <w:rsid w:val="1DCE8F0D"/>
    <w:rsid w:val="1DEB60A4"/>
    <w:rsid w:val="1E029597"/>
    <w:rsid w:val="1E474829"/>
    <w:rsid w:val="1E7DBA00"/>
    <w:rsid w:val="1E97CDD6"/>
    <w:rsid w:val="1EA4D854"/>
    <w:rsid w:val="1EE7E924"/>
    <w:rsid w:val="1F15A0D2"/>
    <w:rsid w:val="1F86A9F4"/>
    <w:rsid w:val="1F9DD4FB"/>
    <w:rsid w:val="1FBFE8FF"/>
    <w:rsid w:val="20D1F7BF"/>
    <w:rsid w:val="20E13F78"/>
    <w:rsid w:val="211053D8"/>
    <w:rsid w:val="21304AE0"/>
    <w:rsid w:val="214A0A32"/>
    <w:rsid w:val="215A703E"/>
    <w:rsid w:val="217276E4"/>
    <w:rsid w:val="2175E994"/>
    <w:rsid w:val="21A8B921"/>
    <w:rsid w:val="21F9A23B"/>
    <w:rsid w:val="2232A6FF"/>
    <w:rsid w:val="22C26E46"/>
    <w:rsid w:val="22C4F781"/>
    <w:rsid w:val="22D81A90"/>
    <w:rsid w:val="22E2AA4B"/>
    <w:rsid w:val="230425D6"/>
    <w:rsid w:val="23061E58"/>
    <w:rsid w:val="23D3C609"/>
    <w:rsid w:val="23F4CCD6"/>
    <w:rsid w:val="2450D713"/>
    <w:rsid w:val="24C95702"/>
    <w:rsid w:val="24FA007F"/>
    <w:rsid w:val="250068E9"/>
    <w:rsid w:val="259CACED"/>
    <w:rsid w:val="25B4217C"/>
    <w:rsid w:val="25D15201"/>
    <w:rsid w:val="26025766"/>
    <w:rsid w:val="2644B87B"/>
    <w:rsid w:val="26529E0B"/>
    <w:rsid w:val="26A554B9"/>
    <w:rsid w:val="26A95953"/>
    <w:rsid w:val="26B544CE"/>
    <w:rsid w:val="26B5EF6C"/>
    <w:rsid w:val="27046518"/>
    <w:rsid w:val="271BE3B5"/>
    <w:rsid w:val="275285B3"/>
    <w:rsid w:val="2798AB92"/>
    <w:rsid w:val="27AB5D5A"/>
    <w:rsid w:val="27CF7EBB"/>
    <w:rsid w:val="27D431C4"/>
    <w:rsid w:val="281B2CF5"/>
    <w:rsid w:val="2828F65C"/>
    <w:rsid w:val="2829AC07"/>
    <w:rsid w:val="283B6B98"/>
    <w:rsid w:val="2889A25C"/>
    <w:rsid w:val="28F3706D"/>
    <w:rsid w:val="291C2F21"/>
    <w:rsid w:val="292CA078"/>
    <w:rsid w:val="292F6512"/>
    <w:rsid w:val="29528BD8"/>
    <w:rsid w:val="29A8A280"/>
    <w:rsid w:val="2A247B58"/>
    <w:rsid w:val="2A771A31"/>
    <w:rsid w:val="2AA14F90"/>
    <w:rsid w:val="2AB935CD"/>
    <w:rsid w:val="2AEC2F0E"/>
    <w:rsid w:val="2B26508B"/>
    <w:rsid w:val="2B6817A0"/>
    <w:rsid w:val="2B8BA653"/>
    <w:rsid w:val="2B98B81D"/>
    <w:rsid w:val="2BC14228"/>
    <w:rsid w:val="2C2E6E9B"/>
    <w:rsid w:val="2C4C2C25"/>
    <w:rsid w:val="2C53E7D0"/>
    <w:rsid w:val="2C8D53C8"/>
    <w:rsid w:val="2CCA0FA8"/>
    <w:rsid w:val="2D221EBD"/>
    <w:rsid w:val="2D42FF4F"/>
    <w:rsid w:val="2D61D779"/>
    <w:rsid w:val="2D642FB8"/>
    <w:rsid w:val="2D6A353E"/>
    <w:rsid w:val="2D7730F7"/>
    <w:rsid w:val="2D8C22C8"/>
    <w:rsid w:val="2D9B66BC"/>
    <w:rsid w:val="2DB78E0E"/>
    <w:rsid w:val="2DBD792A"/>
    <w:rsid w:val="2DCEB403"/>
    <w:rsid w:val="2DED827A"/>
    <w:rsid w:val="2DEFB831"/>
    <w:rsid w:val="2E5630E9"/>
    <w:rsid w:val="2E69180A"/>
    <w:rsid w:val="2EB9C61E"/>
    <w:rsid w:val="2EDDAEC5"/>
    <w:rsid w:val="2F17A0B0"/>
    <w:rsid w:val="2F40DE25"/>
    <w:rsid w:val="2F4380C1"/>
    <w:rsid w:val="2FD5D2B1"/>
    <w:rsid w:val="2FF28A87"/>
    <w:rsid w:val="30011E53"/>
    <w:rsid w:val="305E3DFE"/>
    <w:rsid w:val="30AA2D4B"/>
    <w:rsid w:val="30B50D60"/>
    <w:rsid w:val="30B754C9"/>
    <w:rsid w:val="317AE560"/>
    <w:rsid w:val="31FB1B0E"/>
    <w:rsid w:val="32037880"/>
    <w:rsid w:val="320B94F9"/>
    <w:rsid w:val="321A792E"/>
    <w:rsid w:val="32573D7E"/>
    <w:rsid w:val="326B2EC8"/>
    <w:rsid w:val="32A361BB"/>
    <w:rsid w:val="32CEB6B8"/>
    <w:rsid w:val="331465D0"/>
    <w:rsid w:val="33DAFDC6"/>
    <w:rsid w:val="33F3CAF8"/>
    <w:rsid w:val="3439B7EA"/>
    <w:rsid w:val="344EE634"/>
    <w:rsid w:val="35165104"/>
    <w:rsid w:val="352C36A9"/>
    <w:rsid w:val="352ED4BA"/>
    <w:rsid w:val="3569497A"/>
    <w:rsid w:val="3571F404"/>
    <w:rsid w:val="35E35411"/>
    <w:rsid w:val="36001D1C"/>
    <w:rsid w:val="361116E2"/>
    <w:rsid w:val="3621A7F2"/>
    <w:rsid w:val="364249B7"/>
    <w:rsid w:val="366A56D8"/>
    <w:rsid w:val="36AE8BEA"/>
    <w:rsid w:val="36DAE988"/>
    <w:rsid w:val="36E10962"/>
    <w:rsid w:val="36F785CD"/>
    <w:rsid w:val="372CBE5E"/>
    <w:rsid w:val="3737C36F"/>
    <w:rsid w:val="374A376D"/>
    <w:rsid w:val="374B2CAF"/>
    <w:rsid w:val="378C66B6"/>
    <w:rsid w:val="378DC3D3"/>
    <w:rsid w:val="3791730C"/>
    <w:rsid w:val="37AB9C2E"/>
    <w:rsid w:val="37BE65F6"/>
    <w:rsid w:val="381AE5A8"/>
    <w:rsid w:val="3829A576"/>
    <w:rsid w:val="38900984"/>
    <w:rsid w:val="38AFD17A"/>
    <w:rsid w:val="38D60352"/>
    <w:rsid w:val="38E39E19"/>
    <w:rsid w:val="38FA9A11"/>
    <w:rsid w:val="3938DE6E"/>
    <w:rsid w:val="3996666E"/>
    <w:rsid w:val="39E82D10"/>
    <w:rsid w:val="3A0164F0"/>
    <w:rsid w:val="3A191065"/>
    <w:rsid w:val="3A81EA5C"/>
    <w:rsid w:val="3AA75E53"/>
    <w:rsid w:val="3AD4ADAA"/>
    <w:rsid w:val="3AF8DADB"/>
    <w:rsid w:val="3B224981"/>
    <w:rsid w:val="3B2C6706"/>
    <w:rsid w:val="3B38B72B"/>
    <w:rsid w:val="3B496C2B"/>
    <w:rsid w:val="3B58A987"/>
    <w:rsid w:val="3BE4F84E"/>
    <w:rsid w:val="3BF68BCC"/>
    <w:rsid w:val="3C213B74"/>
    <w:rsid w:val="3C22F443"/>
    <w:rsid w:val="3C231C6D"/>
    <w:rsid w:val="3CA2327A"/>
    <w:rsid w:val="3CA30A2F"/>
    <w:rsid w:val="3CE000E7"/>
    <w:rsid w:val="3D318BB9"/>
    <w:rsid w:val="3D5826FA"/>
    <w:rsid w:val="3D5A6F2C"/>
    <w:rsid w:val="3D64105D"/>
    <w:rsid w:val="3D6472A0"/>
    <w:rsid w:val="3D6DBDCE"/>
    <w:rsid w:val="3D6FBFAB"/>
    <w:rsid w:val="3DA8116A"/>
    <w:rsid w:val="3DAF7F12"/>
    <w:rsid w:val="3DB72212"/>
    <w:rsid w:val="3DB8CCDB"/>
    <w:rsid w:val="3DC09128"/>
    <w:rsid w:val="3DEB54BD"/>
    <w:rsid w:val="3E2ED6F6"/>
    <w:rsid w:val="3E7506E1"/>
    <w:rsid w:val="3E795238"/>
    <w:rsid w:val="3E7A1289"/>
    <w:rsid w:val="3E8C3AAB"/>
    <w:rsid w:val="3E8F058D"/>
    <w:rsid w:val="3E938D75"/>
    <w:rsid w:val="3E963C8C"/>
    <w:rsid w:val="3EFCC805"/>
    <w:rsid w:val="3F07555E"/>
    <w:rsid w:val="3F0918DF"/>
    <w:rsid w:val="3F6EED2C"/>
    <w:rsid w:val="3F7403E4"/>
    <w:rsid w:val="3F99CEE3"/>
    <w:rsid w:val="3FC7F17D"/>
    <w:rsid w:val="40108D96"/>
    <w:rsid w:val="401A7821"/>
    <w:rsid w:val="402474DE"/>
    <w:rsid w:val="403C37BD"/>
    <w:rsid w:val="40554DD7"/>
    <w:rsid w:val="417AF710"/>
    <w:rsid w:val="419C9D7E"/>
    <w:rsid w:val="41BBF666"/>
    <w:rsid w:val="4256286E"/>
    <w:rsid w:val="4262F8C0"/>
    <w:rsid w:val="42738EE6"/>
    <w:rsid w:val="42880AD7"/>
    <w:rsid w:val="428A2E1E"/>
    <w:rsid w:val="429E6D86"/>
    <w:rsid w:val="42AD8C75"/>
    <w:rsid w:val="42B14403"/>
    <w:rsid w:val="42CD89AC"/>
    <w:rsid w:val="42D110D9"/>
    <w:rsid w:val="43108E90"/>
    <w:rsid w:val="432042FB"/>
    <w:rsid w:val="432799EF"/>
    <w:rsid w:val="4338C591"/>
    <w:rsid w:val="437FBF03"/>
    <w:rsid w:val="43B11553"/>
    <w:rsid w:val="43C2C9DF"/>
    <w:rsid w:val="44161749"/>
    <w:rsid w:val="446045FE"/>
    <w:rsid w:val="448307F9"/>
    <w:rsid w:val="4546D438"/>
    <w:rsid w:val="4555DD42"/>
    <w:rsid w:val="459EA010"/>
    <w:rsid w:val="45C060CC"/>
    <w:rsid w:val="45E5EC30"/>
    <w:rsid w:val="45ECCDA4"/>
    <w:rsid w:val="45F20476"/>
    <w:rsid w:val="461DA266"/>
    <w:rsid w:val="4649FFC9"/>
    <w:rsid w:val="465C8A7D"/>
    <w:rsid w:val="466273F0"/>
    <w:rsid w:val="46827F71"/>
    <w:rsid w:val="4695A36A"/>
    <w:rsid w:val="469A6FA1"/>
    <w:rsid w:val="46ABE342"/>
    <w:rsid w:val="46BAC266"/>
    <w:rsid w:val="46BE0F45"/>
    <w:rsid w:val="46D4BD03"/>
    <w:rsid w:val="47140390"/>
    <w:rsid w:val="484C952F"/>
    <w:rsid w:val="48762382"/>
    <w:rsid w:val="48CD77B2"/>
    <w:rsid w:val="48FA1533"/>
    <w:rsid w:val="4913C916"/>
    <w:rsid w:val="492F820E"/>
    <w:rsid w:val="49816D7E"/>
    <w:rsid w:val="49E92F21"/>
    <w:rsid w:val="49FD1147"/>
    <w:rsid w:val="4A12270D"/>
    <w:rsid w:val="4AC3B48A"/>
    <w:rsid w:val="4AFEDFA3"/>
    <w:rsid w:val="4BFF6095"/>
    <w:rsid w:val="4C43351A"/>
    <w:rsid w:val="4C78F51F"/>
    <w:rsid w:val="4C855124"/>
    <w:rsid w:val="4C884EFF"/>
    <w:rsid w:val="4C91E484"/>
    <w:rsid w:val="4CA51756"/>
    <w:rsid w:val="4CB71B51"/>
    <w:rsid w:val="4CBF34E3"/>
    <w:rsid w:val="4CCE26E6"/>
    <w:rsid w:val="4CDD2F25"/>
    <w:rsid w:val="4CFC3DD8"/>
    <w:rsid w:val="4D2B2170"/>
    <w:rsid w:val="4DB3A8A2"/>
    <w:rsid w:val="4DE1B8B1"/>
    <w:rsid w:val="4DE2C13D"/>
    <w:rsid w:val="4EB7E17A"/>
    <w:rsid w:val="4EBD164C"/>
    <w:rsid w:val="4EFD81A0"/>
    <w:rsid w:val="4F246A60"/>
    <w:rsid w:val="4F538035"/>
    <w:rsid w:val="4FABB84F"/>
    <w:rsid w:val="4FC51B31"/>
    <w:rsid w:val="4FFBBAF5"/>
    <w:rsid w:val="4FFDA07D"/>
    <w:rsid w:val="502F097F"/>
    <w:rsid w:val="50484BB2"/>
    <w:rsid w:val="506CBBD2"/>
    <w:rsid w:val="509C3520"/>
    <w:rsid w:val="50AEE077"/>
    <w:rsid w:val="50C14A6F"/>
    <w:rsid w:val="510ECA9E"/>
    <w:rsid w:val="51182A38"/>
    <w:rsid w:val="51240BD9"/>
    <w:rsid w:val="5198F519"/>
    <w:rsid w:val="51A879C1"/>
    <w:rsid w:val="51B708A9"/>
    <w:rsid w:val="5244CDD0"/>
    <w:rsid w:val="5245B950"/>
    <w:rsid w:val="5248EB3E"/>
    <w:rsid w:val="527CB9B5"/>
    <w:rsid w:val="52C3BAB9"/>
    <w:rsid w:val="5310635F"/>
    <w:rsid w:val="53605C5E"/>
    <w:rsid w:val="53836908"/>
    <w:rsid w:val="53A7D8C7"/>
    <w:rsid w:val="53AB8BCE"/>
    <w:rsid w:val="53F034AD"/>
    <w:rsid w:val="54488A68"/>
    <w:rsid w:val="54C5C07E"/>
    <w:rsid w:val="54EF698C"/>
    <w:rsid w:val="55806B7F"/>
    <w:rsid w:val="55815D5D"/>
    <w:rsid w:val="559FB44B"/>
    <w:rsid w:val="55D19A36"/>
    <w:rsid w:val="55E8FB92"/>
    <w:rsid w:val="56104AC1"/>
    <w:rsid w:val="56910FFC"/>
    <w:rsid w:val="56CE707C"/>
    <w:rsid w:val="56E1D0E0"/>
    <w:rsid w:val="5724BC74"/>
    <w:rsid w:val="576F5827"/>
    <w:rsid w:val="577006A4"/>
    <w:rsid w:val="57ABB8FA"/>
    <w:rsid w:val="57F4CA83"/>
    <w:rsid w:val="58261F15"/>
    <w:rsid w:val="58394C20"/>
    <w:rsid w:val="585DCA9A"/>
    <w:rsid w:val="586B69C5"/>
    <w:rsid w:val="587E480A"/>
    <w:rsid w:val="5883C9C8"/>
    <w:rsid w:val="58E78106"/>
    <w:rsid w:val="58EAC736"/>
    <w:rsid w:val="590D6269"/>
    <w:rsid w:val="5931ECE8"/>
    <w:rsid w:val="59735478"/>
    <w:rsid w:val="59D56876"/>
    <w:rsid w:val="5A695C1D"/>
    <w:rsid w:val="5A7A5842"/>
    <w:rsid w:val="5ABDDDD9"/>
    <w:rsid w:val="5AC8E554"/>
    <w:rsid w:val="5B482B35"/>
    <w:rsid w:val="5BCA883A"/>
    <w:rsid w:val="5BF2672F"/>
    <w:rsid w:val="5C51E662"/>
    <w:rsid w:val="5C855B16"/>
    <w:rsid w:val="5CBA47B0"/>
    <w:rsid w:val="5CDD252C"/>
    <w:rsid w:val="5CDDE029"/>
    <w:rsid w:val="5CE08A76"/>
    <w:rsid w:val="5CF293F3"/>
    <w:rsid w:val="5D24BBAB"/>
    <w:rsid w:val="5D481673"/>
    <w:rsid w:val="5DBED253"/>
    <w:rsid w:val="5DD5797E"/>
    <w:rsid w:val="5DEAFA8D"/>
    <w:rsid w:val="5E15D30E"/>
    <w:rsid w:val="5E1CA5B4"/>
    <w:rsid w:val="5E219AFE"/>
    <w:rsid w:val="5E66BF4A"/>
    <w:rsid w:val="5E96DE05"/>
    <w:rsid w:val="5EB32FEE"/>
    <w:rsid w:val="5EB622EC"/>
    <w:rsid w:val="5EBE61C6"/>
    <w:rsid w:val="5FD683B3"/>
    <w:rsid w:val="5FFAA0F8"/>
    <w:rsid w:val="5FFD5C88"/>
    <w:rsid w:val="5FFF57AA"/>
    <w:rsid w:val="600466F3"/>
    <w:rsid w:val="600D2A13"/>
    <w:rsid w:val="60192B4E"/>
    <w:rsid w:val="60410219"/>
    <w:rsid w:val="6066B7C1"/>
    <w:rsid w:val="6094B11B"/>
    <w:rsid w:val="60A83828"/>
    <w:rsid w:val="60BF1E7E"/>
    <w:rsid w:val="6118FD5F"/>
    <w:rsid w:val="6137FFBA"/>
    <w:rsid w:val="6157B77D"/>
    <w:rsid w:val="61935C9D"/>
    <w:rsid w:val="61B8642C"/>
    <w:rsid w:val="61CFEAC3"/>
    <w:rsid w:val="61DB1A46"/>
    <w:rsid w:val="61FB330F"/>
    <w:rsid w:val="6265136F"/>
    <w:rsid w:val="628B8A87"/>
    <w:rsid w:val="62908C14"/>
    <w:rsid w:val="62DDE0B3"/>
    <w:rsid w:val="62FD2851"/>
    <w:rsid w:val="631170FA"/>
    <w:rsid w:val="63451745"/>
    <w:rsid w:val="634652F2"/>
    <w:rsid w:val="635D1AB2"/>
    <w:rsid w:val="63AF6C1C"/>
    <w:rsid w:val="6402DD09"/>
    <w:rsid w:val="642E1FF6"/>
    <w:rsid w:val="64C7ACF9"/>
    <w:rsid w:val="650C0E1D"/>
    <w:rsid w:val="651BE81F"/>
    <w:rsid w:val="655DF9D8"/>
    <w:rsid w:val="658529FE"/>
    <w:rsid w:val="6597C4F2"/>
    <w:rsid w:val="659D4186"/>
    <w:rsid w:val="65AFC38B"/>
    <w:rsid w:val="65C79F87"/>
    <w:rsid w:val="65D34D26"/>
    <w:rsid w:val="662565CB"/>
    <w:rsid w:val="663A8C2C"/>
    <w:rsid w:val="665CEFDD"/>
    <w:rsid w:val="6673F081"/>
    <w:rsid w:val="66907483"/>
    <w:rsid w:val="66B680A4"/>
    <w:rsid w:val="66B7B880"/>
    <w:rsid w:val="66CF1FF7"/>
    <w:rsid w:val="66EBCE64"/>
    <w:rsid w:val="66FD72B4"/>
    <w:rsid w:val="674CB263"/>
    <w:rsid w:val="67B484A5"/>
    <w:rsid w:val="67CDDC78"/>
    <w:rsid w:val="67E59DFB"/>
    <w:rsid w:val="67E62DB8"/>
    <w:rsid w:val="6819F439"/>
    <w:rsid w:val="6833719D"/>
    <w:rsid w:val="6834A1EC"/>
    <w:rsid w:val="684D63C7"/>
    <w:rsid w:val="687F4EE6"/>
    <w:rsid w:val="68A59664"/>
    <w:rsid w:val="68BC2E3A"/>
    <w:rsid w:val="68DEB58F"/>
    <w:rsid w:val="68E36B25"/>
    <w:rsid w:val="694EB8A0"/>
    <w:rsid w:val="69B1709A"/>
    <w:rsid w:val="69DD559D"/>
    <w:rsid w:val="69F3CD97"/>
    <w:rsid w:val="6A9F5436"/>
    <w:rsid w:val="6AB88F42"/>
    <w:rsid w:val="6AC3212D"/>
    <w:rsid w:val="6ACEE6F0"/>
    <w:rsid w:val="6AD33E44"/>
    <w:rsid w:val="6AD6A474"/>
    <w:rsid w:val="6B07E948"/>
    <w:rsid w:val="6B234107"/>
    <w:rsid w:val="6B6F68A3"/>
    <w:rsid w:val="6B7B0109"/>
    <w:rsid w:val="6B8F7E5E"/>
    <w:rsid w:val="6BB07E95"/>
    <w:rsid w:val="6BCD4FAF"/>
    <w:rsid w:val="6C4631D5"/>
    <w:rsid w:val="6CDE3D67"/>
    <w:rsid w:val="6D18E65B"/>
    <w:rsid w:val="6D3FA9AA"/>
    <w:rsid w:val="6D6C2000"/>
    <w:rsid w:val="6D7E9906"/>
    <w:rsid w:val="6D8E8C1D"/>
    <w:rsid w:val="6D8EE80C"/>
    <w:rsid w:val="6DA09508"/>
    <w:rsid w:val="6DE111BE"/>
    <w:rsid w:val="6E037BF1"/>
    <w:rsid w:val="6E6E13D2"/>
    <w:rsid w:val="6E83E684"/>
    <w:rsid w:val="6EAA1CDC"/>
    <w:rsid w:val="6EB1F5AB"/>
    <w:rsid w:val="6F2A8722"/>
    <w:rsid w:val="6F5A9E9D"/>
    <w:rsid w:val="6F65A902"/>
    <w:rsid w:val="6FCBD776"/>
    <w:rsid w:val="6FD6D59E"/>
    <w:rsid w:val="6FEEA22C"/>
    <w:rsid w:val="702D6D6E"/>
    <w:rsid w:val="70392432"/>
    <w:rsid w:val="718CB71F"/>
    <w:rsid w:val="71E6EEED"/>
    <w:rsid w:val="71F97F22"/>
    <w:rsid w:val="72308EC1"/>
    <w:rsid w:val="724A917C"/>
    <w:rsid w:val="728473E9"/>
    <w:rsid w:val="72949D3F"/>
    <w:rsid w:val="72E0F9A7"/>
    <w:rsid w:val="73144106"/>
    <w:rsid w:val="731969C6"/>
    <w:rsid w:val="735B245E"/>
    <w:rsid w:val="73F0D386"/>
    <w:rsid w:val="740FF370"/>
    <w:rsid w:val="74201179"/>
    <w:rsid w:val="7440DF6A"/>
    <w:rsid w:val="744B43C2"/>
    <w:rsid w:val="745487EB"/>
    <w:rsid w:val="7488551B"/>
    <w:rsid w:val="74AFD1BC"/>
    <w:rsid w:val="74D0B5D5"/>
    <w:rsid w:val="74D3A76C"/>
    <w:rsid w:val="74E11869"/>
    <w:rsid w:val="74FD52F5"/>
    <w:rsid w:val="7520CA08"/>
    <w:rsid w:val="7534A541"/>
    <w:rsid w:val="75747892"/>
    <w:rsid w:val="75851681"/>
    <w:rsid w:val="75ACF239"/>
    <w:rsid w:val="75C77B5C"/>
    <w:rsid w:val="75E315FD"/>
    <w:rsid w:val="75E8379D"/>
    <w:rsid w:val="75F1F1D7"/>
    <w:rsid w:val="762ED6F6"/>
    <w:rsid w:val="763076D2"/>
    <w:rsid w:val="7677D02D"/>
    <w:rsid w:val="76D8B0D8"/>
    <w:rsid w:val="770AE450"/>
    <w:rsid w:val="771007E5"/>
    <w:rsid w:val="774FAC62"/>
    <w:rsid w:val="777F5113"/>
    <w:rsid w:val="77C5D51E"/>
    <w:rsid w:val="77ED414F"/>
    <w:rsid w:val="77F7DCA1"/>
    <w:rsid w:val="78444AEE"/>
    <w:rsid w:val="78611ED9"/>
    <w:rsid w:val="78B86BC2"/>
    <w:rsid w:val="78BB8213"/>
    <w:rsid w:val="78C42D8B"/>
    <w:rsid w:val="78E3FA16"/>
    <w:rsid w:val="78FAAF1F"/>
    <w:rsid w:val="7908766A"/>
    <w:rsid w:val="79551C0E"/>
    <w:rsid w:val="79638E0D"/>
    <w:rsid w:val="7984A4A0"/>
    <w:rsid w:val="79C57697"/>
    <w:rsid w:val="7A350ADD"/>
    <w:rsid w:val="7A60FB06"/>
    <w:rsid w:val="7A856D39"/>
    <w:rsid w:val="7AEB2552"/>
    <w:rsid w:val="7AF736D8"/>
    <w:rsid w:val="7AF89219"/>
    <w:rsid w:val="7B4602C7"/>
    <w:rsid w:val="7B7E1448"/>
    <w:rsid w:val="7BD14CCD"/>
    <w:rsid w:val="7BE12A15"/>
    <w:rsid w:val="7BE75C44"/>
    <w:rsid w:val="7BEF59B5"/>
    <w:rsid w:val="7C1A4D2E"/>
    <w:rsid w:val="7C1AE695"/>
    <w:rsid w:val="7C5C9CED"/>
    <w:rsid w:val="7C789602"/>
    <w:rsid w:val="7CADD558"/>
    <w:rsid w:val="7CAFC550"/>
    <w:rsid w:val="7CBEBA9B"/>
    <w:rsid w:val="7CCB2EDF"/>
    <w:rsid w:val="7CDBB5CA"/>
    <w:rsid w:val="7D8E499D"/>
    <w:rsid w:val="7D928656"/>
    <w:rsid w:val="7D986A05"/>
    <w:rsid w:val="7D9ABDB6"/>
    <w:rsid w:val="7DDB09D3"/>
    <w:rsid w:val="7E7D8B61"/>
    <w:rsid w:val="7E8A68C2"/>
    <w:rsid w:val="7E8CF43F"/>
    <w:rsid w:val="7E8E48C5"/>
    <w:rsid w:val="7F24340D"/>
    <w:rsid w:val="7F371176"/>
    <w:rsid w:val="7F6A2E26"/>
    <w:rsid w:val="7F90591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paragraph" w:styleId="Heading5">
    <w:name w:val="heading 5"/>
    <w:basedOn w:val="Heading4"/>
    <w:next w:val="3-BodyText"/>
    <w:link w:val="Heading5Char"/>
    <w:uiPriority w:val="9"/>
    <w:unhideWhenUsed/>
    <w:qFormat/>
    <w:rsid w:val="003D239F"/>
    <w:pPr>
      <w:spacing w:before="120" w:after="120"/>
      <w:outlineLvl w:val="4"/>
    </w:pPr>
    <w:rPr>
      <w:rFonts w:asciiTheme="majorHAnsi" w:hAnsiTheme="majorHAnsi"/>
      <w:b/>
      <w:i w:val="0"/>
      <w:color w:val="000000" w:themeColor="text1"/>
      <w:u w:val="single"/>
    </w:rPr>
  </w:style>
  <w:style w:type="paragraph" w:styleId="Heading6">
    <w:name w:val="heading 6"/>
    <w:basedOn w:val="Heading5"/>
    <w:next w:val="3-BodyText"/>
    <w:link w:val="Heading6Char"/>
    <w:uiPriority w:val="9"/>
    <w:unhideWhenUsed/>
    <w:qFormat/>
    <w:rsid w:val="003D239F"/>
    <w:pPr>
      <w:outlineLvl w:val="5"/>
    </w:pPr>
    <w:rPr>
      <w:i/>
    </w:rPr>
  </w:style>
  <w:style w:type="paragraph" w:styleId="Heading7">
    <w:name w:val="heading 7"/>
    <w:basedOn w:val="Normal"/>
    <w:next w:val="Normal"/>
    <w:link w:val="Heading7Char"/>
    <w:uiPriority w:val="9"/>
    <w:unhideWhenUsed/>
    <w:qFormat/>
    <w:rsid w:val="003D239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D239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D239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TAtableplain,HealthConsult"/>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Numbered para,BulletPoints,Styl moj,Akapit z listą11,ES Paragraph,PBAC ES Paragraph,Body Text Bullet Points,List Paragraph1,Bullet point,List Paragraph11,Recommendation,Section heading,Footnote,PBAC normal points,Bullet List"/>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F222F2"/>
    <w:pPr>
      <w:tabs>
        <w:tab w:val="left" w:pos="567"/>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F222F2"/>
    <w:pPr>
      <w:tabs>
        <w:tab w:val="left" w:pos="1134"/>
        <w:tab w:val="right" w:leader="dot" w:pos="9072"/>
      </w:tabs>
      <w:spacing w:after="100" w:line="240" w:lineRule="auto"/>
    </w:pPr>
    <w:rPr>
      <w:rFonts w:asciiTheme="minorHAnsi" w:hAnsiTheme="minorHAnsi"/>
    </w:rPr>
  </w:style>
  <w:style w:type="paragraph" w:styleId="TOC3">
    <w:name w:val="toc 3"/>
    <w:basedOn w:val="Normal"/>
    <w:next w:val="Normal"/>
    <w:autoRedefine/>
    <w:uiPriority w:val="39"/>
    <w:unhideWhenUsed/>
    <w:rsid w:val="00F222F2"/>
    <w:pPr>
      <w:spacing w:after="100" w:line="240" w:lineRule="auto"/>
      <w:ind w:left="567"/>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F8405E"/>
    <w:pPr>
      <w:tabs>
        <w:tab w:val="left" w:pos="284"/>
      </w:tabs>
      <w:spacing w:before="0"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F8405E"/>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BE242F"/>
    <w:pPr>
      <w:widowControl w:val="0"/>
      <w:spacing w:before="0"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BE242F"/>
    <w:rPr>
      <w:rFonts w:ascii="Arial Narrow" w:eastAsia="Times New Roman" w:hAnsi="Arial Narrow" w:cs="Arial"/>
      <w:snapToGrid w:val="0"/>
      <w:sz w:val="18"/>
      <w:szCs w:val="20"/>
    </w:rPr>
  </w:style>
  <w:style w:type="character" w:customStyle="1" w:styleId="ListParagraphChar">
    <w:name w:val="List Paragraph Char"/>
    <w:aliases w:val="Numbered para Char,BulletPoints Char,Styl moj Char,Akapit z listą11 Char,ES Paragraph Char,PBAC ES Paragraph Char,Body Text Bullet Points Char,List Paragraph1 Char,Bullet point Char,List Paragraph11 Char,Recommendation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BE242F"/>
    <w:pPr>
      <w:spacing w:before="0"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BE242F"/>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spacing w:after="120" w:line="240" w:lineRule="auto"/>
      <w:ind w:left="720" w:hanging="360"/>
    </w:pPr>
    <w:rPr>
      <w:rFonts w:ascii="Calibri" w:hAnsi="Calibri" w:cs="Calibri"/>
      <w:color w:val="0070C0"/>
      <w:sz w:val="24"/>
    </w:rPr>
  </w:style>
  <w:style w:type="character" w:customStyle="1" w:styleId="TableFooterChar">
    <w:name w:val="Table Footer Char"/>
    <w:link w:val="TableFooter"/>
    <w:locked/>
    <w:rsid w:val="00F8405E"/>
    <w:rPr>
      <w:rFonts w:ascii="Arial Narrow" w:eastAsia="Times New Roman" w:hAnsi="Arial Narrow" w:cs="Arial"/>
      <w:sz w:val="18"/>
      <w:szCs w:val="20"/>
    </w:rPr>
  </w:style>
  <w:style w:type="paragraph" w:customStyle="1" w:styleId="TableFooter">
    <w:name w:val="Table Footer"/>
    <w:basedOn w:val="Normal"/>
    <w:link w:val="TableFooterChar"/>
    <w:qFormat/>
    <w:rsid w:val="00F8405E"/>
    <w:pPr>
      <w:widowControl w:val="0"/>
      <w:snapToGrid w:val="0"/>
      <w:spacing w:before="0"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Franklin Gothic Book" w:hAnsi="Franklin Gothic Book"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Franklin Gothic Book" w:hAnsi="Franklin Gothic Book"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Franklin Gothic Book" w:hAnsi="Franklin Gothic Book"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aliases w:val="Footnote Text Char Char,Footnote Text Char2,Footnote Text Char Char1"/>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aliases w:val="Footnote Text Char Char Char,Footnote Text Char2 Char,Footnote Text Char Char1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numId w:val="6"/>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7"/>
      </w:numPr>
      <w:spacing w:after="40"/>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8"/>
      </w:numPr>
      <w:spacing w:before="0" w:after="0"/>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styleId="UnresolvedMention">
    <w:name w:val="Unresolved Mention"/>
    <w:basedOn w:val="DefaultParagraphFont"/>
    <w:uiPriority w:val="99"/>
    <w:semiHidden/>
    <w:unhideWhenUsed/>
    <w:rsid w:val="00B313DF"/>
    <w:rPr>
      <w:color w:val="605E5C"/>
      <w:shd w:val="clear" w:color="auto" w:fill="E1DFDD"/>
    </w:rPr>
  </w:style>
  <w:style w:type="character" w:customStyle="1" w:styleId="Heading5Char">
    <w:name w:val="Heading 5 Char"/>
    <w:basedOn w:val="DefaultParagraphFont"/>
    <w:link w:val="Heading5"/>
    <w:uiPriority w:val="9"/>
    <w:rsid w:val="003D239F"/>
    <w:rPr>
      <w:rFonts w:asciiTheme="majorHAnsi" w:eastAsiaTheme="majorEastAsia" w:hAnsiTheme="majorHAnsi" w:cstheme="majorBidi"/>
      <w:b/>
      <w:color w:val="000000" w:themeColor="text1"/>
      <w:sz w:val="24"/>
      <w:szCs w:val="24"/>
      <w:u w:val="single"/>
    </w:rPr>
  </w:style>
  <w:style w:type="character" w:customStyle="1" w:styleId="Heading6Char">
    <w:name w:val="Heading 6 Char"/>
    <w:basedOn w:val="DefaultParagraphFont"/>
    <w:link w:val="Heading6"/>
    <w:uiPriority w:val="9"/>
    <w:rsid w:val="003D239F"/>
    <w:rPr>
      <w:rFonts w:asciiTheme="majorHAnsi" w:eastAsiaTheme="majorEastAsia" w:hAnsiTheme="majorHAnsi" w:cstheme="majorBidi"/>
      <w:b/>
      <w:i/>
      <w:color w:val="000000" w:themeColor="text1"/>
      <w:sz w:val="24"/>
      <w:szCs w:val="24"/>
      <w:u w:val="single"/>
    </w:rPr>
  </w:style>
  <w:style w:type="character" w:customStyle="1" w:styleId="Heading7Char">
    <w:name w:val="Heading 7 Char"/>
    <w:basedOn w:val="DefaultParagraphFont"/>
    <w:link w:val="Heading7"/>
    <w:uiPriority w:val="9"/>
    <w:rsid w:val="003D239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D239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D239F"/>
    <w:rPr>
      <w:rFonts w:asciiTheme="majorHAnsi" w:eastAsiaTheme="majorEastAsia" w:hAnsiTheme="majorHAnsi" w:cstheme="majorBidi"/>
      <w:i/>
      <w:iCs/>
      <w:color w:val="272727" w:themeColor="text1" w:themeTint="D8"/>
      <w:sz w:val="21"/>
      <w:szCs w:val="21"/>
    </w:rPr>
  </w:style>
  <w:style w:type="paragraph" w:customStyle="1" w:styleId="EndNoteBibliographyTitle">
    <w:name w:val="EndNote Bibliography Title"/>
    <w:basedOn w:val="Normal"/>
    <w:link w:val="EndNoteBibliographyTitleChar"/>
    <w:rsid w:val="003D239F"/>
    <w:pPr>
      <w:spacing w:before="0"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3D239F"/>
    <w:rPr>
      <w:rFonts w:ascii="Franklin Gothic Book" w:hAnsi="Franklin Gothic Book" w:cs="Calibri"/>
      <w:noProof/>
      <w:lang w:val="en-US"/>
    </w:rPr>
  </w:style>
  <w:style w:type="paragraph" w:customStyle="1" w:styleId="EndNoteBibliography">
    <w:name w:val="EndNote Bibliography"/>
    <w:basedOn w:val="Normal"/>
    <w:link w:val="EndNoteBibliographyChar"/>
    <w:rsid w:val="003D239F"/>
    <w:pPr>
      <w:spacing w:before="0" w:line="240" w:lineRule="auto"/>
    </w:pPr>
    <w:rPr>
      <w:rFonts w:cs="Calibri"/>
      <w:noProof/>
      <w:lang w:val="en-US"/>
    </w:rPr>
  </w:style>
  <w:style w:type="character" w:customStyle="1" w:styleId="EndNoteBibliographyChar">
    <w:name w:val="EndNote Bibliography Char"/>
    <w:basedOn w:val="DefaultParagraphFont"/>
    <w:link w:val="EndNoteBibliography"/>
    <w:rsid w:val="003D239F"/>
    <w:rPr>
      <w:rFonts w:ascii="Franklin Gothic Book" w:hAnsi="Franklin Gothic Book" w:cs="Calibri"/>
      <w:noProof/>
      <w:lang w:val="en-US"/>
    </w:rPr>
  </w:style>
  <w:style w:type="paragraph" w:customStyle="1" w:styleId="TableBodyText-H54">
    <w:name w:val="Table Body Text - H54"/>
    <w:basedOn w:val="BodyText"/>
    <w:link w:val="TableBodyText-H54Char"/>
    <w:qFormat/>
    <w:rsid w:val="003D239F"/>
    <w:pPr>
      <w:keepNext/>
      <w:widowControl w:val="0"/>
      <w:spacing w:before="20" w:after="20" w:line="360" w:lineRule="auto"/>
    </w:pPr>
    <w:rPr>
      <w:rFonts w:ascii="Arial Narrow" w:eastAsia="Times New Roman" w:hAnsi="Arial Narrow" w:cs="Times New Roman"/>
      <w:color w:val="000000" w:themeColor="text1"/>
      <w:sz w:val="20"/>
      <w:szCs w:val="20"/>
      <w:lang w:val="en-GB"/>
    </w:rPr>
  </w:style>
  <w:style w:type="character" w:customStyle="1" w:styleId="TableBodyText-H54Char">
    <w:name w:val="Table Body Text - H54 Char"/>
    <w:basedOn w:val="DefaultParagraphFont"/>
    <w:link w:val="TableBodyText-H54"/>
    <w:rsid w:val="003D239F"/>
    <w:rPr>
      <w:rFonts w:ascii="Arial Narrow" w:eastAsia="Times New Roman" w:hAnsi="Arial Narrow" w:cs="Times New Roman"/>
      <w:color w:val="000000" w:themeColor="text1"/>
      <w:sz w:val="20"/>
      <w:szCs w:val="20"/>
      <w:lang w:val="en-GB"/>
    </w:rPr>
  </w:style>
  <w:style w:type="paragraph" w:styleId="BodyText">
    <w:name w:val="Body Text"/>
    <w:basedOn w:val="Normal"/>
    <w:link w:val="BodyTextChar"/>
    <w:uiPriority w:val="99"/>
    <w:unhideWhenUsed/>
    <w:rsid w:val="003D239F"/>
    <w:pPr>
      <w:spacing w:before="0" w:after="120"/>
    </w:pPr>
  </w:style>
  <w:style w:type="character" w:customStyle="1" w:styleId="BodyTextChar">
    <w:name w:val="Body Text Char"/>
    <w:basedOn w:val="DefaultParagraphFont"/>
    <w:link w:val="BodyText"/>
    <w:uiPriority w:val="99"/>
    <w:rsid w:val="003D239F"/>
    <w:rPr>
      <w:rFonts w:ascii="Franklin Gothic Book" w:hAnsi="Franklin Gothic Book"/>
    </w:rPr>
  </w:style>
  <w:style w:type="table" w:customStyle="1" w:styleId="HTATable">
    <w:name w:val="HTA Table"/>
    <w:basedOn w:val="TableNormal"/>
    <w:rsid w:val="003D239F"/>
    <w:pPr>
      <w:spacing w:before="40" w:after="20" w:line="240" w:lineRule="auto"/>
      <w:jc w:val="center"/>
    </w:pPr>
    <w:rPr>
      <w:rFonts w:ascii="Arial Narrow" w:eastAsia="Times New Roman" w:hAnsi="Arial Narrow"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rPr>
        <w:rFonts w:ascii="Segoe Print" w:hAnsi="Segoe Print"/>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tblStylePr>
    <w:tblStylePr w:type="nwCell">
      <w:pPr>
        <w:jc w:val="left"/>
      </w:pPr>
      <w:rPr>
        <w:b/>
      </w:rPr>
    </w:tblStylePr>
  </w:style>
  <w:style w:type="table" w:customStyle="1" w:styleId="AZTable">
    <w:name w:val="AZ Table"/>
    <w:basedOn w:val="TableNormal"/>
    <w:uiPriority w:val="99"/>
    <w:rsid w:val="003D239F"/>
    <w:pPr>
      <w:spacing w:before="40" w:after="40" w:line="240" w:lineRule="auto"/>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table" w:customStyle="1" w:styleId="AZTable1">
    <w:name w:val="AZ Table1"/>
    <w:basedOn w:val="TableNormal"/>
    <w:uiPriority w:val="99"/>
    <w:rsid w:val="003D2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character" w:styleId="PlaceholderText">
    <w:name w:val="Placeholder Text"/>
    <w:basedOn w:val="DefaultParagraphFont"/>
    <w:uiPriority w:val="99"/>
    <w:semiHidden/>
    <w:rsid w:val="003D239F"/>
    <w:rPr>
      <w:color w:val="808080"/>
    </w:rPr>
  </w:style>
  <w:style w:type="paragraph" w:styleId="EndnoteText">
    <w:name w:val="endnote text"/>
    <w:basedOn w:val="Normal"/>
    <w:link w:val="EndnoteTextChar"/>
    <w:uiPriority w:val="99"/>
    <w:semiHidden/>
    <w:unhideWhenUsed/>
    <w:rsid w:val="003D239F"/>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D239F"/>
    <w:rPr>
      <w:rFonts w:ascii="Franklin Gothic Book" w:hAnsi="Franklin Gothic Book"/>
      <w:sz w:val="20"/>
      <w:szCs w:val="20"/>
    </w:rPr>
  </w:style>
  <w:style w:type="character" w:styleId="EndnoteReference">
    <w:name w:val="endnote reference"/>
    <w:basedOn w:val="DefaultParagraphFont"/>
    <w:uiPriority w:val="99"/>
    <w:semiHidden/>
    <w:unhideWhenUsed/>
    <w:rsid w:val="003D239F"/>
    <w:rPr>
      <w:vertAlign w:val="superscript"/>
    </w:rPr>
  </w:style>
  <w:style w:type="paragraph" w:styleId="NormalWeb">
    <w:name w:val="Normal (Web)"/>
    <w:basedOn w:val="Normal"/>
    <w:uiPriority w:val="99"/>
    <w:unhideWhenUsed/>
    <w:rsid w:val="003D239F"/>
    <w:pPr>
      <w:spacing w:before="0" w:after="200" w:line="264" w:lineRule="auto"/>
    </w:pPr>
    <w:rPr>
      <w:rFonts w:ascii="Times New Roman" w:eastAsiaTheme="minorEastAsia" w:hAnsi="Times New Roman" w:cs="Times New Roman"/>
      <w:sz w:val="24"/>
      <w:szCs w:val="24"/>
      <w:lang w:eastAsia="zh-CN"/>
    </w:rPr>
  </w:style>
  <w:style w:type="paragraph" w:customStyle="1" w:styleId="Tabletextindent">
    <w:name w:val="Table text indent"/>
    <w:basedOn w:val="Normal"/>
    <w:qFormat/>
    <w:rsid w:val="003D239F"/>
    <w:pPr>
      <w:spacing w:before="40" w:after="40" w:line="240" w:lineRule="auto"/>
      <w:ind w:left="720" w:hanging="360"/>
    </w:pPr>
    <w:rPr>
      <w:rFonts w:ascii="Cambria" w:eastAsia="Times New Roman" w:hAnsi="Cambria" w:cs="SimSun"/>
      <w:color w:val="000000"/>
      <w:sz w:val="20"/>
      <w:szCs w:val="20"/>
    </w:rPr>
  </w:style>
  <w:style w:type="paragraph" w:customStyle="1" w:styleId="TableTextindent2">
    <w:name w:val="Table Text indent2"/>
    <w:basedOn w:val="Tabletextindent"/>
    <w:semiHidden/>
    <w:unhideWhenUsed/>
    <w:qFormat/>
    <w:rsid w:val="003D239F"/>
    <w:pPr>
      <w:tabs>
        <w:tab w:val="num" w:pos="360"/>
        <w:tab w:val="num" w:pos="1440"/>
      </w:tabs>
      <w:ind w:left="1307"/>
    </w:pPr>
  </w:style>
  <w:style w:type="paragraph" w:customStyle="1" w:styleId="H2noNum">
    <w:name w:val="H2 noNum"/>
    <w:basedOn w:val="Heading2"/>
    <w:link w:val="H2noNumChar"/>
    <w:qFormat/>
    <w:rsid w:val="003D239F"/>
    <w:pPr>
      <w:keepLines w:val="0"/>
      <w:spacing w:before="240" w:line="312" w:lineRule="auto"/>
    </w:pPr>
    <w:rPr>
      <w:rFonts w:ascii="Calibri" w:eastAsia="Times New Roman" w:hAnsi="Calibri" w:cs="Tahoma"/>
      <w:b/>
      <w:smallCaps/>
      <w:sz w:val="28"/>
      <w:lang w:eastAsia="en-AU"/>
    </w:rPr>
  </w:style>
  <w:style w:type="numbering" w:customStyle="1" w:styleId="Style1">
    <w:name w:val="Style1"/>
    <w:uiPriority w:val="99"/>
    <w:rsid w:val="003D239F"/>
  </w:style>
  <w:style w:type="character" w:customStyle="1" w:styleId="H2noNumChar">
    <w:name w:val="H2 noNum Char"/>
    <w:basedOn w:val="Heading2Char"/>
    <w:link w:val="H2noNum"/>
    <w:rsid w:val="003D239F"/>
    <w:rPr>
      <w:rFonts w:ascii="Calibri" w:eastAsia="Times New Roman" w:hAnsi="Calibri" w:cs="Tahoma"/>
      <w:b/>
      <w:smallCaps/>
      <w:color w:val="000000" w:themeColor="text1"/>
      <w:sz w:val="28"/>
      <w:szCs w:val="26"/>
      <w:lang w:eastAsia="en-AU"/>
    </w:rPr>
  </w:style>
  <w:style w:type="paragraph" w:customStyle="1" w:styleId="ESSectionHeading-numbered0">
    <w:name w:val="ES. Section Heading - numbered"/>
    <w:basedOn w:val="Heading3"/>
    <w:rsid w:val="003D239F"/>
    <w:pPr>
      <w:keepLines w:val="0"/>
      <w:numPr>
        <w:numId w:val="17"/>
      </w:numPr>
      <w:tabs>
        <w:tab w:val="clear" w:pos="851"/>
      </w:tabs>
      <w:spacing w:before="240" w:after="120" w:line="312" w:lineRule="auto"/>
    </w:pPr>
    <w:rPr>
      <w:rFonts w:ascii="Calibri" w:eastAsia="Times New Roman" w:hAnsi="Calibri" w:cs="Tahoma"/>
      <w:b/>
      <w:smallCaps/>
      <w:color w:val="000000" w:themeColor="text1"/>
      <w:lang w:eastAsia="en-AU"/>
    </w:rPr>
  </w:style>
  <w:style w:type="character" w:customStyle="1" w:styleId="label">
    <w:name w:val="label"/>
    <w:basedOn w:val="DefaultParagraphFont"/>
    <w:rsid w:val="003D239F"/>
  </w:style>
  <w:style w:type="table" w:customStyle="1" w:styleId="HTATable1">
    <w:name w:val="HTA Table1"/>
    <w:basedOn w:val="TableNormal"/>
    <w:rsid w:val="003D239F"/>
    <w:pPr>
      <w:spacing w:before="40" w:after="20" w:line="240" w:lineRule="auto"/>
      <w:jc w:val="center"/>
    </w:pPr>
    <w:rPr>
      <w:rFonts w:ascii="Arial Narrow" w:eastAsia="Times New Roman" w:hAnsi="Arial Narrow"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rPr>
        <w:rFonts w:ascii="Segoe Print" w:hAnsi="Segoe Print"/>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tblStylePr>
    <w:tblStylePr w:type="nwCell">
      <w:pPr>
        <w:jc w:val="left"/>
      </w:pPr>
      <w:rPr>
        <w:b/>
      </w:rPr>
    </w:tblStylePr>
  </w:style>
  <w:style w:type="table" w:customStyle="1" w:styleId="HTATable2">
    <w:name w:val="HTA Table2"/>
    <w:basedOn w:val="TableNormal"/>
    <w:rsid w:val="003D239F"/>
    <w:pPr>
      <w:spacing w:before="40" w:after="20" w:line="240" w:lineRule="auto"/>
      <w:jc w:val="center"/>
    </w:pPr>
    <w:rPr>
      <w:rFonts w:ascii="Arial Narrow" w:eastAsia="Times New Roman" w:hAnsi="Arial Narrow"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rPr>
        <w:rFonts w:ascii="Segoe Print" w:hAnsi="Segoe Print"/>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tblStylePr>
    <w:tblStylePr w:type="nwCell">
      <w:pPr>
        <w:jc w:val="left"/>
      </w:pPr>
      <w:rPr>
        <w:b/>
      </w:rPr>
    </w:tblStylePr>
  </w:style>
  <w:style w:type="paragraph" w:customStyle="1" w:styleId="TableTextcenter">
    <w:name w:val="Table Text center"/>
    <w:basedOn w:val="Normal"/>
    <w:qFormat/>
    <w:rsid w:val="003D239F"/>
    <w:pPr>
      <w:keepNext/>
      <w:spacing w:before="40" w:after="40" w:line="240" w:lineRule="auto"/>
      <w:jc w:val="center"/>
    </w:pPr>
    <w:rPr>
      <w:rFonts w:ascii="Arial Narrow" w:eastAsia="Times New Roman" w:hAnsi="Arial Narrow" w:cs="Tahoma"/>
      <w:sz w:val="20"/>
    </w:rPr>
  </w:style>
  <w:style w:type="paragraph" w:customStyle="1" w:styleId="TableHeadingcenter">
    <w:name w:val="Table Heading center"/>
    <w:basedOn w:val="TableTextcenter"/>
    <w:next w:val="TableTextcenter"/>
    <w:qFormat/>
    <w:rsid w:val="003D239F"/>
    <w:rPr>
      <w:b/>
    </w:rPr>
  </w:style>
  <w:style w:type="paragraph" w:customStyle="1" w:styleId="TableTextLeft">
    <w:name w:val="Table Text Left"/>
    <w:basedOn w:val="Tabletext0"/>
    <w:link w:val="TableTextLeftChar"/>
    <w:qFormat/>
    <w:rsid w:val="003D239F"/>
    <w:pPr>
      <w:keepNext/>
      <w:jc w:val="left"/>
    </w:pPr>
    <w:rPr>
      <w:szCs w:val="22"/>
      <w:lang w:eastAsia="en-US"/>
    </w:rPr>
  </w:style>
  <w:style w:type="character" w:customStyle="1" w:styleId="TableTextLeftChar">
    <w:name w:val="Table Text Left Char"/>
    <w:link w:val="TableTextLeft"/>
    <w:rsid w:val="003D239F"/>
    <w:rPr>
      <w:rFonts w:ascii="Arial Narrow" w:eastAsia="Times New Roman" w:hAnsi="Arial Narrow" w:cs="Tahoma"/>
      <w:sz w:val="20"/>
    </w:rPr>
  </w:style>
  <w:style w:type="table" w:styleId="TableGridLight">
    <w:name w:val="Grid Table Light"/>
    <w:basedOn w:val="TableNormal"/>
    <w:uiPriority w:val="40"/>
    <w:rsid w:val="003D23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DefaultParagraphFont"/>
    <w:rsid w:val="003D239F"/>
    <w:rPr>
      <w:rFonts w:ascii="Segoe UI" w:hAnsi="Segoe UI" w:cs="Segoe UI" w:hint="default"/>
      <w:sz w:val="18"/>
      <w:szCs w:val="18"/>
    </w:rPr>
  </w:style>
  <w:style w:type="numbering" w:customStyle="1" w:styleId="MSAC">
    <w:name w:val="MSAC"/>
    <w:uiPriority w:val="99"/>
    <w:rsid w:val="003D239F"/>
    <w:pPr>
      <w:numPr>
        <w:numId w:val="9"/>
      </w:numPr>
    </w:pPr>
  </w:style>
  <w:style w:type="table" w:customStyle="1" w:styleId="TableGrid11">
    <w:name w:val="Table Grid11"/>
    <w:basedOn w:val="TableNormal"/>
    <w:next w:val="TableGrid"/>
    <w:rsid w:val="003D239F"/>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ahnschrift SemiLight SemiConde" w:hAnsi="Bahnschrift SemiLight SemiConde"/>
        <w:b w:val="0"/>
        <w:sz w:val="20"/>
      </w:rPr>
    </w:tblStylePr>
  </w:style>
  <w:style w:type="paragraph" w:customStyle="1" w:styleId="Tabletextboldleft">
    <w:name w:val="Table text bold left"/>
    <w:basedOn w:val="Normal"/>
    <w:link w:val="TabletextboldleftChar"/>
    <w:qFormat/>
    <w:rsid w:val="003D239F"/>
    <w:pPr>
      <w:keepNext/>
      <w:spacing w:before="0" w:after="0" w:line="240" w:lineRule="auto"/>
    </w:pPr>
    <w:rPr>
      <w:rFonts w:ascii="Arial Narrow" w:eastAsia="Times New Roman" w:hAnsi="Arial Narrow" w:cs="Arial"/>
      <w:b/>
      <w:sz w:val="20"/>
      <w:szCs w:val="20"/>
    </w:rPr>
  </w:style>
  <w:style w:type="character" w:customStyle="1" w:styleId="TabletextboldleftChar">
    <w:name w:val="Table text bold left Char"/>
    <w:basedOn w:val="DefaultParagraphFont"/>
    <w:link w:val="Tabletextboldleft"/>
    <w:rsid w:val="003D239F"/>
    <w:rPr>
      <w:rFonts w:ascii="Arial Narrow" w:eastAsia="Times New Roman" w:hAnsi="Arial Narrow" w:cs="Arial"/>
      <w:b/>
      <w:sz w:val="20"/>
      <w:szCs w:val="20"/>
    </w:rPr>
  </w:style>
  <w:style w:type="paragraph" w:customStyle="1" w:styleId="Tabletextbold">
    <w:name w:val="Table text bold"/>
    <w:basedOn w:val="Normal"/>
    <w:link w:val="TabletextboldChar"/>
    <w:qFormat/>
    <w:rsid w:val="003D239F"/>
    <w:pPr>
      <w:keepNext/>
      <w:spacing w:before="0" w:after="0" w:line="240" w:lineRule="auto"/>
      <w:jc w:val="center"/>
    </w:pPr>
    <w:rPr>
      <w:rFonts w:ascii="Arial Narrow" w:eastAsia="Times New Roman" w:hAnsi="Arial Narrow" w:cs="Arial"/>
      <w:b/>
      <w:sz w:val="20"/>
      <w:szCs w:val="20"/>
    </w:rPr>
  </w:style>
  <w:style w:type="character" w:customStyle="1" w:styleId="TabletextboldChar">
    <w:name w:val="Table text bold Char"/>
    <w:basedOn w:val="DefaultParagraphFont"/>
    <w:link w:val="Tabletextbold"/>
    <w:rsid w:val="003D239F"/>
    <w:rPr>
      <w:rFonts w:ascii="Arial Narrow" w:eastAsia="Times New Roman" w:hAnsi="Arial Narrow" w:cs="Arial"/>
      <w:b/>
      <w:sz w:val="20"/>
      <w:szCs w:val="20"/>
    </w:rPr>
  </w:style>
  <w:style w:type="paragraph" w:customStyle="1" w:styleId="Heading1notoc">
    <w:name w:val="Heading 1 no toc"/>
    <w:basedOn w:val="Heading1"/>
    <w:qFormat/>
    <w:rsid w:val="003D239F"/>
    <w:pPr>
      <w:numPr>
        <w:numId w:val="0"/>
      </w:numPr>
    </w:pPr>
  </w:style>
  <w:style w:type="paragraph" w:customStyle="1" w:styleId="Heading1nonum">
    <w:name w:val="Heading 1 no num"/>
    <w:basedOn w:val="Heading1"/>
    <w:qFormat/>
    <w:rsid w:val="003D239F"/>
    <w:pPr>
      <w:numPr>
        <w:numId w:val="0"/>
      </w:numPr>
    </w:pPr>
  </w:style>
  <w:style w:type="paragraph" w:customStyle="1" w:styleId="Heading12B">
    <w:name w:val="Heading 1 (2B)"/>
    <w:basedOn w:val="Heading1"/>
    <w:qFormat/>
    <w:rsid w:val="003D239F"/>
    <w:pPr>
      <w:numPr>
        <w:numId w:val="9"/>
      </w:numPr>
    </w:pPr>
  </w:style>
  <w:style w:type="paragraph" w:customStyle="1" w:styleId="Heading22B">
    <w:name w:val="Heading 2 (2B)"/>
    <w:basedOn w:val="Heading2"/>
    <w:qFormat/>
    <w:rsid w:val="003D239F"/>
    <w:pPr>
      <w:ind w:left="1134" w:hanging="1134"/>
    </w:pPr>
  </w:style>
  <w:style w:type="paragraph" w:customStyle="1" w:styleId="Heading32B">
    <w:name w:val="Heading 3 (2B)"/>
    <w:basedOn w:val="Heading3"/>
    <w:qFormat/>
    <w:rsid w:val="003D239F"/>
    <w:pPr>
      <w:ind w:left="1134" w:hanging="1134"/>
    </w:pPr>
    <w:rPr>
      <w:color w:val="000000" w:themeColor="text1"/>
    </w:rPr>
  </w:style>
  <w:style w:type="paragraph" w:customStyle="1" w:styleId="Heading42B">
    <w:name w:val="Heading 4 (2B)"/>
    <w:basedOn w:val="Normal"/>
    <w:rsid w:val="003D239F"/>
    <w:pPr>
      <w:spacing w:before="0"/>
      <w:ind w:left="1134" w:hanging="1134"/>
    </w:pPr>
    <w:rPr>
      <w:rFonts w:ascii="Franklin Gothic Medium" w:hAnsi="Franklin Gothic Medium"/>
      <w:i/>
      <w:sz w:val="24"/>
    </w:rPr>
  </w:style>
  <w:style w:type="paragraph" w:customStyle="1" w:styleId="Heading3B">
    <w:name w:val="Heading 3 (B)"/>
    <w:basedOn w:val="Normal"/>
    <w:rsid w:val="003D239F"/>
    <w:pPr>
      <w:spacing w:before="0"/>
    </w:pPr>
    <w:rPr>
      <w:rFonts w:asciiTheme="minorHAnsi" w:hAnsiTheme="minorHAnsi"/>
    </w:rPr>
  </w:style>
  <w:style w:type="paragraph" w:customStyle="1" w:styleId="Heading44B">
    <w:name w:val="Heading 4 (4B)"/>
    <w:basedOn w:val="Normal"/>
    <w:rsid w:val="003D239F"/>
    <w:pPr>
      <w:spacing w:before="0"/>
    </w:pPr>
    <w:rPr>
      <w:rFonts w:asciiTheme="minorHAnsi" w:hAnsiTheme="minorHAnsi"/>
    </w:rPr>
  </w:style>
  <w:style w:type="paragraph" w:customStyle="1" w:styleId="Heading13A">
    <w:name w:val="Heading 1 (3A)"/>
    <w:basedOn w:val="Heading1"/>
    <w:qFormat/>
    <w:rsid w:val="003D239F"/>
    <w:pPr>
      <w:numPr>
        <w:numId w:val="10"/>
      </w:numPr>
      <w:ind w:left="357" w:hanging="357"/>
    </w:pPr>
  </w:style>
  <w:style w:type="paragraph" w:customStyle="1" w:styleId="Heading23A">
    <w:name w:val="Heading 2 (3A)"/>
    <w:basedOn w:val="Heading2"/>
    <w:qFormat/>
    <w:rsid w:val="003D239F"/>
    <w:pPr>
      <w:numPr>
        <w:ilvl w:val="1"/>
        <w:numId w:val="10"/>
      </w:numPr>
      <w:ind w:left="1440"/>
    </w:pPr>
  </w:style>
  <w:style w:type="paragraph" w:customStyle="1" w:styleId="Heading33A">
    <w:name w:val="Heading 3 (3A)"/>
    <w:basedOn w:val="Heading2"/>
    <w:qFormat/>
    <w:rsid w:val="003D239F"/>
    <w:pPr>
      <w:numPr>
        <w:ilvl w:val="2"/>
        <w:numId w:val="10"/>
      </w:numPr>
      <w:ind w:left="2160" w:hanging="180"/>
    </w:pPr>
    <w:rPr>
      <w:sz w:val="24"/>
    </w:rPr>
  </w:style>
  <w:style w:type="paragraph" w:customStyle="1" w:styleId="Heading43A">
    <w:name w:val="Heading 4 (3A)"/>
    <w:basedOn w:val="Heading4"/>
    <w:qFormat/>
    <w:rsid w:val="003D239F"/>
    <w:pPr>
      <w:numPr>
        <w:ilvl w:val="3"/>
        <w:numId w:val="10"/>
      </w:numPr>
    </w:pPr>
    <w:rPr>
      <w:color w:val="000000" w:themeColor="text1"/>
    </w:rPr>
  </w:style>
  <w:style w:type="paragraph" w:customStyle="1" w:styleId="subtlebody">
    <w:name w:val="subtle body"/>
    <w:basedOn w:val="Heading7"/>
    <w:qFormat/>
    <w:rsid w:val="003D239F"/>
  </w:style>
  <w:style w:type="paragraph" w:customStyle="1" w:styleId="Abbreviations">
    <w:name w:val="Abbreviations"/>
    <w:basedOn w:val="Normal"/>
    <w:link w:val="AbbreviationsChar"/>
    <w:qFormat/>
    <w:rsid w:val="003D239F"/>
    <w:pPr>
      <w:spacing w:before="40" w:after="360" w:line="240" w:lineRule="auto"/>
      <w:ind w:left="57" w:right="57"/>
      <w:contextualSpacing/>
    </w:pPr>
    <w:rPr>
      <w:rFonts w:ascii="Arial Narrow" w:hAnsi="Arial Narrow" w:cs="Arial"/>
      <w:sz w:val="16"/>
    </w:rPr>
  </w:style>
  <w:style w:type="character" w:customStyle="1" w:styleId="AbbreviationsChar">
    <w:name w:val="Abbreviations Char"/>
    <w:basedOn w:val="DefaultParagraphFont"/>
    <w:link w:val="Abbreviations"/>
    <w:rsid w:val="003D239F"/>
    <w:rPr>
      <w:rFonts w:ascii="Arial Narrow" w:hAnsi="Arial Narrow" w:cs="Arial"/>
      <w:sz w:val="16"/>
    </w:rPr>
  </w:style>
  <w:style w:type="paragraph" w:customStyle="1" w:styleId="Heading3notoc">
    <w:name w:val="Heading 3 notoc"/>
    <w:basedOn w:val="Heading3"/>
    <w:qFormat/>
    <w:rsid w:val="003D239F"/>
    <w:pPr>
      <w:ind w:right="57"/>
    </w:pPr>
    <w:rPr>
      <w:color w:val="000000" w:themeColor="text1"/>
    </w:rPr>
  </w:style>
  <w:style w:type="character" w:customStyle="1" w:styleId="term">
    <w:name w:val="term"/>
    <w:basedOn w:val="DefaultParagraphFont"/>
    <w:rsid w:val="003D239F"/>
  </w:style>
  <w:style w:type="paragraph" w:customStyle="1" w:styleId="Heading2notoc">
    <w:name w:val="Heading 2 notoc"/>
    <w:basedOn w:val="Heading2"/>
    <w:qFormat/>
    <w:rsid w:val="003D239F"/>
  </w:style>
  <w:style w:type="paragraph" w:styleId="TableofFigures">
    <w:name w:val="table of figures"/>
    <w:basedOn w:val="Normal"/>
    <w:next w:val="Normal"/>
    <w:uiPriority w:val="99"/>
    <w:unhideWhenUsed/>
    <w:rsid w:val="00203897"/>
    <w:pPr>
      <w:spacing w:before="0" w:after="0"/>
      <w:ind w:left="1134" w:hanging="1134"/>
    </w:pPr>
    <w:rPr>
      <w:rFonts w:asciiTheme="minorHAnsi" w:hAnsiTheme="minorHAnsi"/>
    </w:rPr>
  </w:style>
  <w:style w:type="paragraph" w:customStyle="1" w:styleId="HeadingAppendix">
    <w:name w:val="Heading Appendix"/>
    <w:basedOn w:val="Heading1"/>
    <w:qFormat/>
    <w:rsid w:val="00F8405E"/>
    <w:pPr>
      <w:numPr>
        <w:numId w:val="11"/>
      </w:numPr>
      <w:tabs>
        <w:tab w:val="left" w:pos="2835"/>
      </w:tabs>
      <w:ind w:left="2835" w:hanging="2835"/>
    </w:pPr>
  </w:style>
  <w:style w:type="paragraph" w:customStyle="1" w:styleId="HeadingforS4">
    <w:name w:val="Heading for S4"/>
    <w:basedOn w:val="Heading2"/>
    <w:qFormat/>
    <w:rsid w:val="003D239F"/>
    <w:pPr>
      <w:numPr>
        <w:numId w:val="12"/>
      </w:numPr>
    </w:pPr>
  </w:style>
  <w:style w:type="paragraph" w:customStyle="1" w:styleId="pf0">
    <w:name w:val="pf0"/>
    <w:basedOn w:val="Normal"/>
    <w:rsid w:val="003D239F"/>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12">
    <w:name w:val="Table Grid12"/>
    <w:basedOn w:val="TableNormal"/>
    <w:next w:val="TableGrid"/>
    <w:locked/>
    <w:rsid w:val="003D239F"/>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val="0"/>
        <w:sz w:val="20"/>
      </w:rPr>
    </w:tblStylePr>
  </w:style>
  <w:style w:type="table" w:customStyle="1" w:styleId="TableGrid13">
    <w:name w:val="Table Grid13"/>
    <w:basedOn w:val="TableNormal"/>
    <w:next w:val="TableGrid"/>
    <w:locked/>
    <w:rsid w:val="00F43FE0"/>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val="0"/>
        <w:sz w:val="20"/>
      </w:rPr>
    </w:tblStylePr>
  </w:style>
  <w:style w:type="table" w:customStyle="1" w:styleId="PBACTableStyle1">
    <w:name w:val="PBAC Table Style1"/>
    <w:basedOn w:val="TableGrid10"/>
    <w:uiPriority w:val="99"/>
    <w:rsid w:val="00B11209"/>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Franklin Gothic Book" w:hAnsi="Franklin Gothic Book"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Franklin Gothic Book" w:hAnsi="Franklin Gothic Book"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Franklin Gothic Book" w:hAnsi="Franklin Gothic Book"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TableGrid121">
    <w:name w:val="Table Grid121"/>
    <w:basedOn w:val="TableNormal"/>
    <w:next w:val="TableGrid"/>
    <w:locked/>
    <w:rsid w:val="00F43FE0"/>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val="0"/>
        <w:sz w:val="20"/>
      </w:rPr>
    </w:tblStylePr>
  </w:style>
  <w:style w:type="paragraph" w:customStyle="1" w:styleId="Default">
    <w:name w:val="Default"/>
    <w:rsid w:val="00A9036A"/>
    <w:pPr>
      <w:autoSpaceDE w:val="0"/>
      <w:autoSpaceDN w:val="0"/>
      <w:adjustRightInd w:val="0"/>
      <w:spacing w:after="0" w:line="240" w:lineRule="auto"/>
    </w:pPr>
    <w:rPr>
      <w:rFonts w:ascii="Arial" w:hAnsi="Arial" w:cs="Arial"/>
      <w:color w:val="000000"/>
      <w:sz w:val="24"/>
      <w:szCs w:val="24"/>
    </w:rPr>
  </w:style>
  <w:style w:type="character" w:customStyle="1" w:styleId="UnresolvedMention3">
    <w:name w:val="Unresolved Mention3"/>
    <w:basedOn w:val="DefaultParagraphFont"/>
    <w:uiPriority w:val="99"/>
    <w:semiHidden/>
    <w:unhideWhenUsed/>
    <w:rsid w:val="00311E39"/>
    <w:rPr>
      <w:color w:val="605E5C"/>
      <w:shd w:val="clear" w:color="auto" w:fill="E1DFDD"/>
    </w:rPr>
  </w:style>
  <w:style w:type="character" w:customStyle="1" w:styleId="Mention1">
    <w:name w:val="Mention1"/>
    <w:basedOn w:val="DefaultParagraphFont"/>
    <w:uiPriority w:val="99"/>
    <w:unhideWhenUsed/>
    <w:rsid w:val="0050022D"/>
    <w:rPr>
      <w:color w:val="2B579A"/>
      <w:shd w:val="clear" w:color="auto" w:fill="E1DFDD"/>
    </w:rPr>
  </w:style>
  <w:style w:type="character" w:styleId="Mention">
    <w:name w:val="Mention"/>
    <w:basedOn w:val="DefaultParagraphFont"/>
    <w:uiPriority w:val="99"/>
    <w:unhideWhenUsed/>
    <w:rsid w:val="002F3895"/>
    <w:rPr>
      <w:color w:val="2B579A"/>
      <w:shd w:val="clear" w:color="auto" w:fill="E1DFDD"/>
    </w:rPr>
  </w:style>
  <w:style w:type="numbering" w:customStyle="1" w:styleId="NoList1">
    <w:name w:val="No List1"/>
    <w:next w:val="NoList"/>
    <w:uiPriority w:val="99"/>
    <w:semiHidden/>
    <w:unhideWhenUsed/>
    <w:rsid w:val="00212174"/>
  </w:style>
  <w:style w:type="character" w:customStyle="1" w:styleId="eop">
    <w:name w:val="eop"/>
    <w:basedOn w:val="DefaultParagraphFont"/>
    <w:rsid w:val="00410AB2"/>
  </w:style>
  <w:style w:type="paragraph" w:styleId="NoSpacing">
    <w:name w:val="No Spacing"/>
    <w:uiPriority w:val="1"/>
    <w:qFormat/>
    <w:rsid w:val="00C91737"/>
    <w:pPr>
      <w:spacing w:after="0" w:line="240" w:lineRule="auto"/>
    </w:pPr>
    <w:rPr>
      <w:rFonts w:ascii="Calibri" w:eastAsia="Calibri" w:hAnsi="Calibri" w:cs="Times New Roman"/>
    </w:rPr>
  </w:style>
  <w:style w:type="character" w:customStyle="1" w:styleId="ui-provider">
    <w:name w:val="ui-provider"/>
    <w:basedOn w:val="DefaultParagraphFont"/>
    <w:rsid w:val="009C32CC"/>
  </w:style>
  <w:style w:type="paragraph" w:customStyle="1" w:styleId="BulletBeforeDash">
    <w:name w:val="BulletBeforeDash"/>
    <w:basedOn w:val="Normal"/>
    <w:rsid w:val="00B14B85"/>
    <w:pPr>
      <w:numPr>
        <w:numId w:val="22"/>
      </w:numPr>
      <w:spacing w:before="0" w:after="0" w:line="240" w:lineRule="auto"/>
    </w:pPr>
    <w:rPr>
      <w:rFonts w:eastAsia="Times New Roman" w:cs="Times New Roman"/>
      <w:color w:val="000000"/>
      <w:szCs w:val="20"/>
      <w:lang w:eastAsia="en-AU"/>
    </w:rPr>
  </w:style>
  <w:style w:type="paragraph" w:customStyle="1" w:styleId="BulletLast">
    <w:name w:val="BulletLast"/>
    <w:basedOn w:val="Bullet"/>
    <w:qFormat/>
    <w:rsid w:val="00B14B85"/>
    <w:pPr>
      <w:numPr>
        <w:numId w:val="0"/>
      </w:numPr>
      <w:spacing w:before="0" w:after="240"/>
      <w:ind w:left="786" w:hanging="360"/>
    </w:pPr>
    <w:rPr>
      <w:rFonts w:ascii="Franklin Gothic Book" w:eastAsia="Times New Roman" w:hAnsi="Franklin Gothic Book" w:cs="Times New Roman"/>
      <w:color w:val="000000"/>
      <w:szCs w:val="20"/>
      <w:lang w:eastAsia="en-AU"/>
    </w:rPr>
  </w:style>
  <w:style w:type="paragraph" w:customStyle="1" w:styleId="NormalBeforeBullet0">
    <w:name w:val="NormalBeforeBullet"/>
    <w:basedOn w:val="Normal"/>
    <w:qFormat/>
    <w:rsid w:val="00B14B85"/>
    <w:pPr>
      <w:keepNext/>
      <w:spacing w:before="0" w:after="120" w:line="240" w:lineRule="auto"/>
    </w:pPr>
    <w:rPr>
      <w:rFonts w:eastAsia="Times New Roman" w:cs="Times New Roman"/>
      <w:color w:val="00000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5625">
      <w:bodyDiv w:val="1"/>
      <w:marLeft w:val="0"/>
      <w:marRight w:val="0"/>
      <w:marTop w:val="0"/>
      <w:marBottom w:val="0"/>
      <w:divBdr>
        <w:top w:val="none" w:sz="0" w:space="0" w:color="auto"/>
        <w:left w:val="none" w:sz="0" w:space="0" w:color="auto"/>
        <w:bottom w:val="none" w:sz="0" w:space="0" w:color="auto"/>
        <w:right w:val="none" w:sz="0" w:space="0" w:color="auto"/>
      </w:divBdr>
    </w:div>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02039700">
      <w:bodyDiv w:val="1"/>
      <w:marLeft w:val="0"/>
      <w:marRight w:val="0"/>
      <w:marTop w:val="0"/>
      <w:marBottom w:val="0"/>
      <w:divBdr>
        <w:top w:val="none" w:sz="0" w:space="0" w:color="auto"/>
        <w:left w:val="none" w:sz="0" w:space="0" w:color="auto"/>
        <w:bottom w:val="none" w:sz="0" w:space="0" w:color="auto"/>
        <w:right w:val="none" w:sz="0" w:space="0" w:color="auto"/>
      </w:divBdr>
    </w:div>
    <w:div w:id="124549661">
      <w:bodyDiv w:val="1"/>
      <w:marLeft w:val="0"/>
      <w:marRight w:val="0"/>
      <w:marTop w:val="0"/>
      <w:marBottom w:val="0"/>
      <w:divBdr>
        <w:top w:val="none" w:sz="0" w:space="0" w:color="auto"/>
        <w:left w:val="none" w:sz="0" w:space="0" w:color="auto"/>
        <w:bottom w:val="none" w:sz="0" w:space="0" w:color="auto"/>
        <w:right w:val="none" w:sz="0" w:space="0" w:color="auto"/>
      </w:divBdr>
    </w:div>
    <w:div w:id="16011922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12426643">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280189437">
      <w:bodyDiv w:val="1"/>
      <w:marLeft w:val="0"/>
      <w:marRight w:val="0"/>
      <w:marTop w:val="0"/>
      <w:marBottom w:val="0"/>
      <w:divBdr>
        <w:top w:val="none" w:sz="0" w:space="0" w:color="auto"/>
        <w:left w:val="none" w:sz="0" w:space="0" w:color="auto"/>
        <w:bottom w:val="none" w:sz="0" w:space="0" w:color="auto"/>
        <w:right w:val="none" w:sz="0" w:space="0" w:color="auto"/>
      </w:divBdr>
    </w:div>
    <w:div w:id="296568670">
      <w:bodyDiv w:val="1"/>
      <w:marLeft w:val="0"/>
      <w:marRight w:val="0"/>
      <w:marTop w:val="0"/>
      <w:marBottom w:val="0"/>
      <w:divBdr>
        <w:top w:val="none" w:sz="0" w:space="0" w:color="auto"/>
        <w:left w:val="none" w:sz="0" w:space="0" w:color="auto"/>
        <w:bottom w:val="none" w:sz="0" w:space="0" w:color="auto"/>
        <w:right w:val="none" w:sz="0" w:space="0" w:color="auto"/>
      </w:divBdr>
    </w:div>
    <w:div w:id="312492570">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162197">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399719177">
      <w:bodyDiv w:val="1"/>
      <w:marLeft w:val="0"/>
      <w:marRight w:val="0"/>
      <w:marTop w:val="0"/>
      <w:marBottom w:val="0"/>
      <w:divBdr>
        <w:top w:val="none" w:sz="0" w:space="0" w:color="auto"/>
        <w:left w:val="none" w:sz="0" w:space="0" w:color="auto"/>
        <w:bottom w:val="none" w:sz="0" w:space="0" w:color="auto"/>
        <w:right w:val="none" w:sz="0" w:space="0" w:color="auto"/>
      </w:divBdr>
    </w:div>
    <w:div w:id="409499287">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46896561">
      <w:bodyDiv w:val="1"/>
      <w:marLeft w:val="0"/>
      <w:marRight w:val="0"/>
      <w:marTop w:val="0"/>
      <w:marBottom w:val="0"/>
      <w:divBdr>
        <w:top w:val="none" w:sz="0" w:space="0" w:color="auto"/>
        <w:left w:val="none" w:sz="0" w:space="0" w:color="auto"/>
        <w:bottom w:val="none" w:sz="0" w:space="0" w:color="auto"/>
        <w:right w:val="none" w:sz="0" w:space="0" w:color="auto"/>
      </w:divBdr>
    </w:div>
    <w:div w:id="459568733">
      <w:bodyDiv w:val="1"/>
      <w:marLeft w:val="0"/>
      <w:marRight w:val="0"/>
      <w:marTop w:val="0"/>
      <w:marBottom w:val="0"/>
      <w:divBdr>
        <w:top w:val="none" w:sz="0" w:space="0" w:color="auto"/>
        <w:left w:val="none" w:sz="0" w:space="0" w:color="auto"/>
        <w:bottom w:val="none" w:sz="0" w:space="0" w:color="auto"/>
        <w:right w:val="none" w:sz="0" w:space="0" w:color="auto"/>
      </w:divBdr>
    </w:div>
    <w:div w:id="468866248">
      <w:bodyDiv w:val="1"/>
      <w:marLeft w:val="0"/>
      <w:marRight w:val="0"/>
      <w:marTop w:val="0"/>
      <w:marBottom w:val="0"/>
      <w:divBdr>
        <w:top w:val="none" w:sz="0" w:space="0" w:color="auto"/>
        <w:left w:val="none" w:sz="0" w:space="0" w:color="auto"/>
        <w:bottom w:val="none" w:sz="0" w:space="0" w:color="auto"/>
        <w:right w:val="none" w:sz="0" w:space="0" w:color="auto"/>
      </w:divBdr>
    </w:div>
    <w:div w:id="473445683">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498932908">
      <w:bodyDiv w:val="1"/>
      <w:marLeft w:val="0"/>
      <w:marRight w:val="0"/>
      <w:marTop w:val="0"/>
      <w:marBottom w:val="0"/>
      <w:divBdr>
        <w:top w:val="none" w:sz="0" w:space="0" w:color="auto"/>
        <w:left w:val="none" w:sz="0" w:space="0" w:color="auto"/>
        <w:bottom w:val="none" w:sz="0" w:space="0" w:color="auto"/>
        <w:right w:val="none" w:sz="0" w:space="0" w:color="auto"/>
      </w:divBdr>
    </w:div>
    <w:div w:id="508523926">
      <w:bodyDiv w:val="1"/>
      <w:marLeft w:val="0"/>
      <w:marRight w:val="0"/>
      <w:marTop w:val="0"/>
      <w:marBottom w:val="0"/>
      <w:divBdr>
        <w:top w:val="none" w:sz="0" w:space="0" w:color="auto"/>
        <w:left w:val="none" w:sz="0" w:space="0" w:color="auto"/>
        <w:bottom w:val="none" w:sz="0" w:space="0" w:color="auto"/>
        <w:right w:val="none" w:sz="0" w:space="0" w:color="auto"/>
      </w:divBdr>
    </w:div>
    <w:div w:id="539244964">
      <w:bodyDiv w:val="1"/>
      <w:marLeft w:val="0"/>
      <w:marRight w:val="0"/>
      <w:marTop w:val="0"/>
      <w:marBottom w:val="0"/>
      <w:divBdr>
        <w:top w:val="none" w:sz="0" w:space="0" w:color="auto"/>
        <w:left w:val="none" w:sz="0" w:space="0" w:color="auto"/>
        <w:bottom w:val="none" w:sz="0" w:space="0" w:color="auto"/>
        <w:right w:val="none" w:sz="0" w:space="0" w:color="auto"/>
      </w:divBdr>
    </w:div>
    <w:div w:id="540896000">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64923206">
      <w:bodyDiv w:val="1"/>
      <w:marLeft w:val="0"/>
      <w:marRight w:val="0"/>
      <w:marTop w:val="0"/>
      <w:marBottom w:val="0"/>
      <w:divBdr>
        <w:top w:val="none" w:sz="0" w:space="0" w:color="auto"/>
        <w:left w:val="none" w:sz="0" w:space="0" w:color="auto"/>
        <w:bottom w:val="none" w:sz="0" w:space="0" w:color="auto"/>
        <w:right w:val="none" w:sz="0" w:space="0" w:color="auto"/>
      </w:divBdr>
    </w:div>
    <w:div w:id="614294977">
      <w:bodyDiv w:val="1"/>
      <w:marLeft w:val="0"/>
      <w:marRight w:val="0"/>
      <w:marTop w:val="0"/>
      <w:marBottom w:val="0"/>
      <w:divBdr>
        <w:top w:val="none" w:sz="0" w:space="0" w:color="auto"/>
        <w:left w:val="none" w:sz="0" w:space="0" w:color="auto"/>
        <w:bottom w:val="none" w:sz="0" w:space="0" w:color="auto"/>
        <w:right w:val="none" w:sz="0" w:space="0" w:color="auto"/>
      </w:divBdr>
    </w:div>
    <w:div w:id="620307450">
      <w:bodyDiv w:val="1"/>
      <w:marLeft w:val="0"/>
      <w:marRight w:val="0"/>
      <w:marTop w:val="0"/>
      <w:marBottom w:val="0"/>
      <w:divBdr>
        <w:top w:val="none" w:sz="0" w:space="0" w:color="auto"/>
        <w:left w:val="none" w:sz="0" w:space="0" w:color="auto"/>
        <w:bottom w:val="none" w:sz="0" w:space="0" w:color="auto"/>
        <w:right w:val="none" w:sz="0" w:space="0" w:color="auto"/>
      </w:divBdr>
    </w:div>
    <w:div w:id="627323414">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42194642">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86450327">
      <w:bodyDiv w:val="1"/>
      <w:marLeft w:val="0"/>
      <w:marRight w:val="0"/>
      <w:marTop w:val="0"/>
      <w:marBottom w:val="0"/>
      <w:divBdr>
        <w:top w:val="none" w:sz="0" w:space="0" w:color="auto"/>
        <w:left w:val="none" w:sz="0" w:space="0" w:color="auto"/>
        <w:bottom w:val="none" w:sz="0" w:space="0" w:color="auto"/>
        <w:right w:val="none" w:sz="0" w:space="0" w:color="auto"/>
      </w:divBdr>
    </w:div>
    <w:div w:id="701832702">
      <w:bodyDiv w:val="1"/>
      <w:marLeft w:val="0"/>
      <w:marRight w:val="0"/>
      <w:marTop w:val="0"/>
      <w:marBottom w:val="0"/>
      <w:divBdr>
        <w:top w:val="none" w:sz="0" w:space="0" w:color="auto"/>
        <w:left w:val="none" w:sz="0" w:space="0" w:color="auto"/>
        <w:bottom w:val="none" w:sz="0" w:space="0" w:color="auto"/>
        <w:right w:val="none" w:sz="0" w:space="0" w:color="auto"/>
      </w:divBdr>
    </w:div>
    <w:div w:id="713429323">
      <w:bodyDiv w:val="1"/>
      <w:marLeft w:val="0"/>
      <w:marRight w:val="0"/>
      <w:marTop w:val="0"/>
      <w:marBottom w:val="0"/>
      <w:divBdr>
        <w:top w:val="none" w:sz="0" w:space="0" w:color="auto"/>
        <w:left w:val="none" w:sz="0" w:space="0" w:color="auto"/>
        <w:bottom w:val="none" w:sz="0" w:space="0" w:color="auto"/>
        <w:right w:val="none" w:sz="0" w:space="0" w:color="auto"/>
      </w:divBdr>
    </w:div>
    <w:div w:id="714045513">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0888213">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66538015">
      <w:bodyDiv w:val="1"/>
      <w:marLeft w:val="0"/>
      <w:marRight w:val="0"/>
      <w:marTop w:val="0"/>
      <w:marBottom w:val="0"/>
      <w:divBdr>
        <w:top w:val="none" w:sz="0" w:space="0" w:color="auto"/>
        <w:left w:val="none" w:sz="0" w:space="0" w:color="auto"/>
        <w:bottom w:val="none" w:sz="0" w:space="0" w:color="auto"/>
        <w:right w:val="none" w:sz="0" w:space="0" w:color="auto"/>
      </w:divBdr>
    </w:div>
    <w:div w:id="791556807">
      <w:bodyDiv w:val="1"/>
      <w:marLeft w:val="0"/>
      <w:marRight w:val="0"/>
      <w:marTop w:val="0"/>
      <w:marBottom w:val="0"/>
      <w:divBdr>
        <w:top w:val="none" w:sz="0" w:space="0" w:color="auto"/>
        <w:left w:val="none" w:sz="0" w:space="0" w:color="auto"/>
        <w:bottom w:val="none" w:sz="0" w:space="0" w:color="auto"/>
        <w:right w:val="none" w:sz="0" w:space="0" w:color="auto"/>
      </w:divBdr>
    </w:div>
    <w:div w:id="80512688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890657631">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12933849">
      <w:bodyDiv w:val="1"/>
      <w:marLeft w:val="0"/>
      <w:marRight w:val="0"/>
      <w:marTop w:val="0"/>
      <w:marBottom w:val="0"/>
      <w:divBdr>
        <w:top w:val="none" w:sz="0" w:space="0" w:color="auto"/>
        <w:left w:val="none" w:sz="0" w:space="0" w:color="auto"/>
        <w:bottom w:val="none" w:sz="0" w:space="0" w:color="auto"/>
        <w:right w:val="none" w:sz="0" w:space="0" w:color="auto"/>
      </w:divBdr>
    </w:div>
    <w:div w:id="913468976">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29235627">
      <w:bodyDiv w:val="1"/>
      <w:marLeft w:val="0"/>
      <w:marRight w:val="0"/>
      <w:marTop w:val="0"/>
      <w:marBottom w:val="0"/>
      <w:divBdr>
        <w:top w:val="none" w:sz="0" w:space="0" w:color="auto"/>
        <w:left w:val="none" w:sz="0" w:space="0" w:color="auto"/>
        <w:bottom w:val="none" w:sz="0" w:space="0" w:color="auto"/>
        <w:right w:val="none" w:sz="0" w:space="0" w:color="auto"/>
      </w:divBdr>
    </w:div>
    <w:div w:id="940339356">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6397101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1685072">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48846126">
      <w:bodyDiv w:val="1"/>
      <w:marLeft w:val="0"/>
      <w:marRight w:val="0"/>
      <w:marTop w:val="0"/>
      <w:marBottom w:val="0"/>
      <w:divBdr>
        <w:top w:val="none" w:sz="0" w:space="0" w:color="auto"/>
        <w:left w:val="none" w:sz="0" w:space="0" w:color="auto"/>
        <w:bottom w:val="none" w:sz="0" w:space="0" w:color="auto"/>
        <w:right w:val="none" w:sz="0" w:space="0" w:color="auto"/>
      </w:divBdr>
    </w:div>
    <w:div w:id="1095635958">
      <w:bodyDiv w:val="1"/>
      <w:marLeft w:val="0"/>
      <w:marRight w:val="0"/>
      <w:marTop w:val="0"/>
      <w:marBottom w:val="0"/>
      <w:divBdr>
        <w:top w:val="none" w:sz="0" w:space="0" w:color="auto"/>
        <w:left w:val="none" w:sz="0" w:space="0" w:color="auto"/>
        <w:bottom w:val="none" w:sz="0" w:space="0" w:color="auto"/>
        <w:right w:val="none" w:sz="0" w:space="0" w:color="auto"/>
      </w:divBdr>
    </w:div>
    <w:div w:id="1099331377">
      <w:bodyDiv w:val="1"/>
      <w:marLeft w:val="0"/>
      <w:marRight w:val="0"/>
      <w:marTop w:val="0"/>
      <w:marBottom w:val="0"/>
      <w:divBdr>
        <w:top w:val="none" w:sz="0" w:space="0" w:color="auto"/>
        <w:left w:val="none" w:sz="0" w:space="0" w:color="auto"/>
        <w:bottom w:val="none" w:sz="0" w:space="0" w:color="auto"/>
        <w:right w:val="none" w:sz="0" w:space="0" w:color="auto"/>
      </w:divBdr>
    </w:div>
    <w:div w:id="1101802676">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25540453">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62232790">
      <w:bodyDiv w:val="1"/>
      <w:marLeft w:val="0"/>
      <w:marRight w:val="0"/>
      <w:marTop w:val="0"/>
      <w:marBottom w:val="0"/>
      <w:divBdr>
        <w:top w:val="none" w:sz="0" w:space="0" w:color="auto"/>
        <w:left w:val="none" w:sz="0" w:space="0" w:color="auto"/>
        <w:bottom w:val="none" w:sz="0" w:space="0" w:color="auto"/>
        <w:right w:val="none" w:sz="0" w:space="0" w:color="auto"/>
      </w:divBdr>
    </w:div>
    <w:div w:id="1169055788">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04977028">
      <w:bodyDiv w:val="1"/>
      <w:marLeft w:val="0"/>
      <w:marRight w:val="0"/>
      <w:marTop w:val="0"/>
      <w:marBottom w:val="0"/>
      <w:divBdr>
        <w:top w:val="none" w:sz="0" w:space="0" w:color="auto"/>
        <w:left w:val="none" w:sz="0" w:space="0" w:color="auto"/>
        <w:bottom w:val="none" w:sz="0" w:space="0" w:color="auto"/>
        <w:right w:val="none" w:sz="0" w:space="0" w:color="auto"/>
      </w:divBdr>
    </w:div>
    <w:div w:id="1209798276">
      <w:bodyDiv w:val="1"/>
      <w:marLeft w:val="0"/>
      <w:marRight w:val="0"/>
      <w:marTop w:val="0"/>
      <w:marBottom w:val="0"/>
      <w:divBdr>
        <w:top w:val="none" w:sz="0" w:space="0" w:color="auto"/>
        <w:left w:val="none" w:sz="0" w:space="0" w:color="auto"/>
        <w:bottom w:val="none" w:sz="0" w:space="0" w:color="auto"/>
        <w:right w:val="none" w:sz="0" w:space="0" w:color="auto"/>
      </w:divBdr>
    </w:div>
    <w:div w:id="1212619553">
      <w:bodyDiv w:val="1"/>
      <w:marLeft w:val="0"/>
      <w:marRight w:val="0"/>
      <w:marTop w:val="0"/>
      <w:marBottom w:val="0"/>
      <w:divBdr>
        <w:top w:val="none" w:sz="0" w:space="0" w:color="auto"/>
        <w:left w:val="none" w:sz="0" w:space="0" w:color="auto"/>
        <w:bottom w:val="none" w:sz="0" w:space="0" w:color="auto"/>
        <w:right w:val="none" w:sz="0" w:space="0" w:color="auto"/>
      </w:divBdr>
    </w:div>
    <w:div w:id="1218541954">
      <w:bodyDiv w:val="1"/>
      <w:marLeft w:val="0"/>
      <w:marRight w:val="0"/>
      <w:marTop w:val="0"/>
      <w:marBottom w:val="0"/>
      <w:divBdr>
        <w:top w:val="none" w:sz="0" w:space="0" w:color="auto"/>
        <w:left w:val="none" w:sz="0" w:space="0" w:color="auto"/>
        <w:bottom w:val="none" w:sz="0" w:space="0" w:color="auto"/>
        <w:right w:val="none" w:sz="0" w:space="0" w:color="auto"/>
      </w:divBdr>
    </w:div>
    <w:div w:id="122206115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339232414">
      <w:bodyDiv w:val="1"/>
      <w:marLeft w:val="0"/>
      <w:marRight w:val="0"/>
      <w:marTop w:val="0"/>
      <w:marBottom w:val="0"/>
      <w:divBdr>
        <w:top w:val="none" w:sz="0" w:space="0" w:color="auto"/>
        <w:left w:val="none" w:sz="0" w:space="0" w:color="auto"/>
        <w:bottom w:val="none" w:sz="0" w:space="0" w:color="auto"/>
        <w:right w:val="none" w:sz="0" w:space="0" w:color="auto"/>
      </w:divBdr>
    </w:div>
    <w:div w:id="1342587398">
      <w:bodyDiv w:val="1"/>
      <w:marLeft w:val="0"/>
      <w:marRight w:val="0"/>
      <w:marTop w:val="0"/>
      <w:marBottom w:val="0"/>
      <w:divBdr>
        <w:top w:val="none" w:sz="0" w:space="0" w:color="auto"/>
        <w:left w:val="none" w:sz="0" w:space="0" w:color="auto"/>
        <w:bottom w:val="none" w:sz="0" w:space="0" w:color="auto"/>
        <w:right w:val="none" w:sz="0" w:space="0" w:color="auto"/>
      </w:divBdr>
    </w:div>
    <w:div w:id="1408334675">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22531174">
      <w:bodyDiv w:val="1"/>
      <w:marLeft w:val="0"/>
      <w:marRight w:val="0"/>
      <w:marTop w:val="0"/>
      <w:marBottom w:val="0"/>
      <w:divBdr>
        <w:top w:val="none" w:sz="0" w:space="0" w:color="auto"/>
        <w:left w:val="none" w:sz="0" w:space="0" w:color="auto"/>
        <w:bottom w:val="none" w:sz="0" w:space="0" w:color="auto"/>
        <w:right w:val="none" w:sz="0" w:space="0" w:color="auto"/>
      </w:divBdr>
    </w:div>
    <w:div w:id="1434664538">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471702365">
      <w:bodyDiv w:val="1"/>
      <w:marLeft w:val="0"/>
      <w:marRight w:val="0"/>
      <w:marTop w:val="0"/>
      <w:marBottom w:val="0"/>
      <w:divBdr>
        <w:top w:val="none" w:sz="0" w:space="0" w:color="auto"/>
        <w:left w:val="none" w:sz="0" w:space="0" w:color="auto"/>
        <w:bottom w:val="none" w:sz="0" w:space="0" w:color="auto"/>
        <w:right w:val="none" w:sz="0" w:space="0" w:color="auto"/>
      </w:divBdr>
    </w:div>
    <w:div w:id="1475025092">
      <w:bodyDiv w:val="1"/>
      <w:marLeft w:val="0"/>
      <w:marRight w:val="0"/>
      <w:marTop w:val="0"/>
      <w:marBottom w:val="0"/>
      <w:divBdr>
        <w:top w:val="none" w:sz="0" w:space="0" w:color="auto"/>
        <w:left w:val="none" w:sz="0" w:space="0" w:color="auto"/>
        <w:bottom w:val="none" w:sz="0" w:space="0" w:color="auto"/>
        <w:right w:val="none" w:sz="0" w:space="0" w:color="auto"/>
      </w:divBdr>
    </w:div>
    <w:div w:id="1496726468">
      <w:bodyDiv w:val="1"/>
      <w:marLeft w:val="0"/>
      <w:marRight w:val="0"/>
      <w:marTop w:val="0"/>
      <w:marBottom w:val="0"/>
      <w:divBdr>
        <w:top w:val="none" w:sz="0" w:space="0" w:color="auto"/>
        <w:left w:val="none" w:sz="0" w:space="0" w:color="auto"/>
        <w:bottom w:val="none" w:sz="0" w:space="0" w:color="auto"/>
        <w:right w:val="none" w:sz="0" w:space="0" w:color="auto"/>
      </w:divBdr>
    </w:div>
    <w:div w:id="1508133504">
      <w:bodyDiv w:val="1"/>
      <w:marLeft w:val="0"/>
      <w:marRight w:val="0"/>
      <w:marTop w:val="0"/>
      <w:marBottom w:val="0"/>
      <w:divBdr>
        <w:top w:val="none" w:sz="0" w:space="0" w:color="auto"/>
        <w:left w:val="none" w:sz="0" w:space="0" w:color="auto"/>
        <w:bottom w:val="none" w:sz="0" w:space="0" w:color="auto"/>
        <w:right w:val="none" w:sz="0" w:space="0" w:color="auto"/>
      </w:divBdr>
    </w:div>
    <w:div w:id="1511065226">
      <w:bodyDiv w:val="1"/>
      <w:marLeft w:val="0"/>
      <w:marRight w:val="0"/>
      <w:marTop w:val="0"/>
      <w:marBottom w:val="0"/>
      <w:divBdr>
        <w:top w:val="none" w:sz="0" w:space="0" w:color="auto"/>
        <w:left w:val="none" w:sz="0" w:space="0" w:color="auto"/>
        <w:bottom w:val="none" w:sz="0" w:space="0" w:color="auto"/>
        <w:right w:val="none" w:sz="0" w:space="0" w:color="auto"/>
      </w:divBdr>
    </w:div>
    <w:div w:id="1516726167">
      <w:bodyDiv w:val="1"/>
      <w:marLeft w:val="0"/>
      <w:marRight w:val="0"/>
      <w:marTop w:val="0"/>
      <w:marBottom w:val="0"/>
      <w:divBdr>
        <w:top w:val="none" w:sz="0" w:space="0" w:color="auto"/>
        <w:left w:val="none" w:sz="0" w:space="0" w:color="auto"/>
        <w:bottom w:val="none" w:sz="0" w:space="0" w:color="auto"/>
        <w:right w:val="none" w:sz="0" w:space="0" w:color="auto"/>
      </w:divBdr>
    </w:div>
    <w:div w:id="1528060034">
      <w:bodyDiv w:val="1"/>
      <w:marLeft w:val="0"/>
      <w:marRight w:val="0"/>
      <w:marTop w:val="0"/>
      <w:marBottom w:val="0"/>
      <w:divBdr>
        <w:top w:val="none" w:sz="0" w:space="0" w:color="auto"/>
        <w:left w:val="none" w:sz="0" w:space="0" w:color="auto"/>
        <w:bottom w:val="none" w:sz="0" w:space="0" w:color="auto"/>
        <w:right w:val="none" w:sz="0" w:space="0" w:color="auto"/>
      </w:divBdr>
    </w:div>
    <w:div w:id="1590388485">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3513689">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49435766">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58529964">
      <w:bodyDiv w:val="1"/>
      <w:marLeft w:val="0"/>
      <w:marRight w:val="0"/>
      <w:marTop w:val="0"/>
      <w:marBottom w:val="0"/>
      <w:divBdr>
        <w:top w:val="none" w:sz="0" w:space="0" w:color="auto"/>
        <w:left w:val="none" w:sz="0" w:space="0" w:color="auto"/>
        <w:bottom w:val="none" w:sz="0" w:space="0" w:color="auto"/>
        <w:right w:val="none" w:sz="0" w:space="0" w:color="auto"/>
      </w:divBdr>
    </w:div>
    <w:div w:id="1658537999">
      <w:bodyDiv w:val="1"/>
      <w:marLeft w:val="0"/>
      <w:marRight w:val="0"/>
      <w:marTop w:val="0"/>
      <w:marBottom w:val="0"/>
      <w:divBdr>
        <w:top w:val="none" w:sz="0" w:space="0" w:color="auto"/>
        <w:left w:val="none" w:sz="0" w:space="0" w:color="auto"/>
        <w:bottom w:val="none" w:sz="0" w:space="0" w:color="auto"/>
        <w:right w:val="none" w:sz="0" w:space="0" w:color="auto"/>
      </w:divBdr>
    </w:div>
    <w:div w:id="1720786703">
      <w:bodyDiv w:val="1"/>
      <w:marLeft w:val="0"/>
      <w:marRight w:val="0"/>
      <w:marTop w:val="0"/>
      <w:marBottom w:val="0"/>
      <w:divBdr>
        <w:top w:val="none" w:sz="0" w:space="0" w:color="auto"/>
        <w:left w:val="none" w:sz="0" w:space="0" w:color="auto"/>
        <w:bottom w:val="none" w:sz="0" w:space="0" w:color="auto"/>
        <w:right w:val="none" w:sz="0" w:space="0" w:color="auto"/>
      </w:divBdr>
    </w:div>
    <w:div w:id="176168040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56456097">
      <w:bodyDiv w:val="1"/>
      <w:marLeft w:val="0"/>
      <w:marRight w:val="0"/>
      <w:marTop w:val="0"/>
      <w:marBottom w:val="0"/>
      <w:divBdr>
        <w:top w:val="none" w:sz="0" w:space="0" w:color="auto"/>
        <w:left w:val="none" w:sz="0" w:space="0" w:color="auto"/>
        <w:bottom w:val="none" w:sz="0" w:space="0" w:color="auto"/>
        <w:right w:val="none" w:sz="0" w:space="0" w:color="auto"/>
      </w:divBdr>
    </w:div>
    <w:div w:id="1856964032">
      <w:bodyDiv w:val="1"/>
      <w:marLeft w:val="0"/>
      <w:marRight w:val="0"/>
      <w:marTop w:val="0"/>
      <w:marBottom w:val="0"/>
      <w:divBdr>
        <w:top w:val="none" w:sz="0" w:space="0" w:color="auto"/>
        <w:left w:val="none" w:sz="0" w:space="0" w:color="auto"/>
        <w:bottom w:val="none" w:sz="0" w:space="0" w:color="auto"/>
        <w:right w:val="none" w:sz="0" w:space="0" w:color="auto"/>
      </w:divBdr>
    </w:div>
    <w:div w:id="1863855717">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5497967">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29326111">
      <w:bodyDiv w:val="1"/>
      <w:marLeft w:val="0"/>
      <w:marRight w:val="0"/>
      <w:marTop w:val="0"/>
      <w:marBottom w:val="0"/>
      <w:divBdr>
        <w:top w:val="none" w:sz="0" w:space="0" w:color="auto"/>
        <w:left w:val="none" w:sz="0" w:space="0" w:color="auto"/>
        <w:bottom w:val="none" w:sz="0" w:space="0" w:color="auto"/>
        <w:right w:val="none" w:sz="0" w:space="0" w:color="auto"/>
      </w:divBdr>
    </w:div>
    <w:div w:id="2034645028">
      <w:bodyDiv w:val="1"/>
      <w:marLeft w:val="0"/>
      <w:marRight w:val="0"/>
      <w:marTop w:val="0"/>
      <w:marBottom w:val="0"/>
      <w:divBdr>
        <w:top w:val="none" w:sz="0" w:space="0" w:color="auto"/>
        <w:left w:val="none" w:sz="0" w:space="0" w:color="auto"/>
        <w:bottom w:val="none" w:sz="0" w:space="0" w:color="auto"/>
        <w:right w:val="none" w:sz="0" w:space="0" w:color="auto"/>
      </w:divBdr>
    </w:div>
    <w:div w:id="2037266892">
      <w:bodyDiv w:val="1"/>
      <w:marLeft w:val="0"/>
      <w:marRight w:val="0"/>
      <w:marTop w:val="0"/>
      <w:marBottom w:val="0"/>
      <w:divBdr>
        <w:top w:val="none" w:sz="0" w:space="0" w:color="auto"/>
        <w:left w:val="none" w:sz="0" w:space="0" w:color="auto"/>
        <w:bottom w:val="none" w:sz="0" w:space="0" w:color="auto"/>
        <w:right w:val="none" w:sz="0" w:space="0" w:color="auto"/>
      </w:divBdr>
    </w:div>
    <w:div w:id="2050719536">
      <w:bodyDiv w:val="1"/>
      <w:marLeft w:val="0"/>
      <w:marRight w:val="0"/>
      <w:marTop w:val="0"/>
      <w:marBottom w:val="0"/>
      <w:divBdr>
        <w:top w:val="none" w:sz="0" w:space="0" w:color="auto"/>
        <w:left w:val="none" w:sz="0" w:space="0" w:color="auto"/>
        <w:bottom w:val="none" w:sz="0" w:space="0" w:color="auto"/>
        <w:right w:val="none" w:sz="0" w:space="0" w:color="auto"/>
      </w:divBdr>
    </w:div>
    <w:div w:id="2061319034">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msac.gov.au/internet/msac/publishing.nsf/Content/Home-1" TargetMode="External"/><Relationship Id="rId4" Type="http://schemas.openxmlformats.org/officeDocument/2006/relationships/settings" Target="settings.xml"/><Relationship Id="rId9" Type="http://schemas.openxmlformats.org/officeDocument/2006/relationships/hyperlink" Target="http://www.msac.gov.au/internet/msac/publishing.nsf/Content/67D026849586C408CA25879B008371EC/$File/1707%20Final%20PSD-Nov2022_redacted.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msac.gov.au/internet/msac/publishing.nsf/Content/67D026849586C408CA25879B008371EC/$File/1707%20Final%20PSD-Nov2022_redacted.pdf" TargetMode="External"/><Relationship Id="rId2" Type="http://schemas.openxmlformats.org/officeDocument/2006/relationships/hyperlink" Target="https://www.nccn.org/professionals/physician_gls/pdf/all.pdf" TargetMode="External"/><Relationship Id="rId1" Type="http://schemas.openxmlformats.org/officeDocument/2006/relationships/hyperlink" Target="http://www.msac.gov.au/internet/msac/publishing.nsf/Content/1707-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9BF9-FD08-4387-B006-D7F34390F536}">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33</Pages>
  <Words>15555</Words>
  <Characters>87889</Characters>
  <Application>Microsoft Office Word</Application>
  <DocSecurity>0</DocSecurity>
  <Lines>2253</Lines>
  <Paragraphs>1149</Paragraphs>
  <ScaleCrop>false</ScaleCrop>
  <Company/>
  <LinksUpToDate>false</LinksUpToDate>
  <CharactersWithSpaces>102295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2023-06-19T01:53:00Z</dcterms:created>
  <dcterms:modified xsi:type="dcterms:W3CDTF">2023-06-19T01:53:00Z</dcterms:modified>
</cp:coreProperties>
</file>