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B9BF" w14:textId="77777777" w:rsidR="00F636F1" w:rsidRPr="00707064" w:rsidRDefault="00F636F1" w:rsidP="00F636F1">
      <w:pPr>
        <w:spacing w:after="240"/>
        <w:jc w:val="center"/>
        <w:rPr>
          <w:b/>
          <w:i/>
          <w:szCs w:val="24"/>
          <w:highlight w:val="yellow"/>
        </w:rPr>
      </w:pPr>
      <w:r>
        <w:rPr>
          <w:rFonts w:ascii="Arial" w:hAnsi="Arial" w:cs="Arial"/>
          <w:b/>
          <w:noProof/>
          <w:color w:val="000080"/>
          <w:sz w:val="28"/>
          <w:szCs w:val="28"/>
        </w:rPr>
        <w:drawing>
          <wp:inline distT="0" distB="0" distL="0" distR="0" wp14:anchorId="4772430A" wp14:editId="0582B426">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49BBB56B" w14:textId="77777777" w:rsidR="00F636F1" w:rsidRPr="00F715D1" w:rsidRDefault="00F636F1" w:rsidP="00F636F1">
      <w:pPr>
        <w:pStyle w:val="Title"/>
        <w:tabs>
          <w:tab w:val="left" w:pos="1926"/>
          <w:tab w:val="center" w:pos="4513"/>
        </w:tabs>
        <w:jc w:val="left"/>
      </w:pPr>
      <w:r>
        <w:tab/>
      </w:r>
      <w:r>
        <w:tab/>
      </w:r>
      <w:r w:rsidRPr="00F715D1">
        <w:t>Public Summary Document</w:t>
      </w:r>
    </w:p>
    <w:p w14:paraId="412BAC54" w14:textId="316B024C" w:rsidR="00F636F1" w:rsidRPr="00F715D1" w:rsidRDefault="00F636F1" w:rsidP="00F636F1">
      <w:pPr>
        <w:pStyle w:val="Subtitle"/>
      </w:pPr>
      <w:r w:rsidRPr="00F715D1">
        <w:t xml:space="preserve">Application No. </w:t>
      </w:r>
      <w:r>
        <w:t>1565</w:t>
      </w:r>
      <w:r w:rsidRPr="00F715D1">
        <w:t xml:space="preserve"> – </w:t>
      </w:r>
      <w:r w:rsidR="004F24F3">
        <w:t xml:space="preserve">Review of immunoglobulin use for </w:t>
      </w:r>
      <w:bookmarkStart w:id="0" w:name="_GoBack"/>
      <w:bookmarkEnd w:id="0"/>
      <w:r w:rsidRPr="00F636F1">
        <w:t xml:space="preserve">Acquired Hypogammaglobulinaemia Secondary to Haematological Malignancies and </w:t>
      </w:r>
      <w:r w:rsidR="00D3172D" w:rsidRPr="00F636F1">
        <w:t>haemopoietic</w:t>
      </w:r>
      <w:r w:rsidRPr="00F636F1">
        <w:t xml:space="preserve"> stem cell transplantation</w:t>
      </w:r>
    </w:p>
    <w:p w14:paraId="437EDFEB" w14:textId="0D0D5771" w:rsidR="00F636F1" w:rsidRPr="00F715D1" w:rsidRDefault="00F636F1" w:rsidP="00F636F1">
      <w:pPr>
        <w:tabs>
          <w:tab w:val="left" w:pos="3686"/>
        </w:tabs>
        <w:spacing w:after="240"/>
        <w:ind w:left="1440" w:hanging="1440"/>
        <w:rPr>
          <w:rFonts w:ascii="Arial" w:hAnsi="Arial" w:cs="Arial"/>
          <w:b/>
          <w:szCs w:val="24"/>
        </w:rPr>
      </w:pPr>
      <w:r w:rsidRPr="00F715D1">
        <w:rPr>
          <w:rFonts w:ascii="Arial" w:hAnsi="Arial" w:cs="Arial"/>
          <w:b/>
          <w:szCs w:val="24"/>
        </w:rPr>
        <w:t>Applicant</w:t>
      </w:r>
      <w:r>
        <w:rPr>
          <w:rFonts w:ascii="Arial" w:hAnsi="Arial" w:cs="Arial"/>
          <w:b/>
          <w:szCs w:val="24"/>
        </w:rPr>
        <w:t>:</w:t>
      </w:r>
      <w:r>
        <w:rPr>
          <w:rFonts w:ascii="Arial" w:hAnsi="Arial" w:cs="Arial"/>
          <w:b/>
          <w:szCs w:val="24"/>
        </w:rPr>
        <w:tab/>
      </w:r>
      <w:r w:rsidR="009735F2">
        <w:rPr>
          <w:rFonts w:ascii="Arial" w:hAnsi="Arial" w:cs="Arial"/>
          <w:b/>
          <w:szCs w:val="24"/>
        </w:rPr>
        <w:tab/>
      </w:r>
      <w:r>
        <w:rPr>
          <w:rFonts w:ascii="Arial" w:hAnsi="Arial" w:cs="Arial"/>
          <w:b/>
          <w:szCs w:val="24"/>
        </w:rPr>
        <w:t>National Blood Authority</w:t>
      </w:r>
    </w:p>
    <w:p w14:paraId="75610632" w14:textId="77777777" w:rsidR="00F636F1" w:rsidRPr="00F715D1" w:rsidRDefault="00F636F1" w:rsidP="00F636F1">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77</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28-29 November 2019</w:t>
      </w:r>
    </w:p>
    <w:p w14:paraId="2637A57A" w14:textId="77777777" w:rsidR="00F636F1" w:rsidRPr="00B03EAB" w:rsidRDefault="00F636F1" w:rsidP="00F636F1">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3FD3EFCB" w14:textId="77777777" w:rsidR="00F636F1" w:rsidRPr="00F715D1" w:rsidRDefault="00F636F1" w:rsidP="00F636F1">
      <w:pPr>
        <w:pStyle w:val="Heading1"/>
      </w:pPr>
      <w:r w:rsidRPr="00F715D1">
        <w:t xml:space="preserve">Purpose of application </w:t>
      </w:r>
    </w:p>
    <w:p w14:paraId="4C40A0AC" w14:textId="05C6A165" w:rsidR="00331B86" w:rsidRDefault="00331B86" w:rsidP="00EF524D">
      <w:pPr>
        <w:tabs>
          <w:tab w:val="left" w:pos="720"/>
          <w:tab w:val="left" w:pos="1140"/>
        </w:tabs>
        <w:spacing w:after="240"/>
        <w:rPr>
          <w:szCs w:val="24"/>
        </w:rPr>
      </w:pPr>
      <w:r>
        <w:rPr>
          <w:szCs w:val="24"/>
        </w:rPr>
        <w:t>This Post-market Review requests MSAC advice on the Government funded supply of replacement human gamma immunoglobulin (Ig) therapy under the National Blood Arrangements for the treatment of acquired hypogammaglobulinaemia secondary to haematological malignancies, or post-haemopoietic stem cell transplantation (HSCT). The application (referral) was received by the Department of Health from the National Blood Authority (NBA).</w:t>
      </w:r>
    </w:p>
    <w:p w14:paraId="6660C3B1" w14:textId="2640E753" w:rsidR="00331B86" w:rsidRDefault="007C0B47" w:rsidP="00331B86">
      <w:pPr>
        <w:tabs>
          <w:tab w:val="left" w:pos="720"/>
          <w:tab w:val="left" w:pos="1140"/>
        </w:tabs>
        <w:rPr>
          <w:szCs w:val="24"/>
        </w:rPr>
      </w:pPr>
      <w:r>
        <w:t xml:space="preserve">A </w:t>
      </w:r>
      <w:r w:rsidR="009735F2">
        <w:t>Post-market Review has been conducted to assess the clinical effectiv</w:t>
      </w:r>
      <w:r w:rsidR="00D3172D">
        <w:t>eness and cost-effectiveness of</w:t>
      </w:r>
      <w:r w:rsidR="00331B86">
        <w:rPr>
          <w:szCs w:val="24"/>
        </w:rPr>
        <w:t xml:space="preserve"> replacement Ig therapy (with or without ant</w:t>
      </w:r>
      <w:r w:rsidR="00CB0CC0">
        <w:rPr>
          <w:szCs w:val="24"/>
        </w:rPr>
        <w:t xml:space="preserve">ibiotics) versus no Ig (with or </w:t>
      </w:r>
      <w:r w:rsidR="00331B86">
        <w:rPr>
          <w:szCs w:val="24"/>
        </w:rPr>
        <w:t>without antibiotics)</w:t>
      </w:r>
      <w:r w:rsidR="00CD1515">
        <w:rPr>
          <w:szCs w:val="24"/>
        </w:rPr>
        <w:t xml:space="preserve"> for the treatment of acquired hypogammaglobulinaemia secondary to haematological malignancies, or post-haemopoietic stem cell transplantation (HSCT)</w:t>
      </w:r>
      <w:r w:rsidR="00331B86">
        <w:rPr>
          <w:szCs w:val="24"/>
        </w:rPr>
        <w:t xml:space="preserve">. </w:t>
      </w:r>
    </w:p>
    <w:p w14:paraId="29405C02" w14:textId="77777777" w:rsidR="00F636F1" w:rsidRPr="00F715D1" w:rsidRDefault="00F636F1" w:rsidP="001E2801">
      <w:pPr>
        <w:pStyle w:val="Heading1"/>
        <w:keepNext w:val="0"/>
        <w:keepLines w:val="0"/>
      </w:pPr>
      <w:r w:rsidRPr="00F715D1">
        <w:t>MSAC’s advice to the Minister</w:t>
      </w:r>
    </w:p>
    <w:p w14:paraId="567A763E" w14:textId="36E4DC78" w:rsidR="009735F2" w:rsidRPr="00BD6AE8" w:rsidRDefault="009735F2" w:rsidP="00BD6AE8">
      <w:r w:rsidRPr="00BD6AE8">
        <w:t xml:space="preserve">After considering the strength of the available evidence in relation to comparative safety, clinical effectiveness and cost-effectiveness, MSAC advised that immunoglobulin (Ig) is </w:t>
      </w:r>
      <w:r w:rsidR="000514F8" w:rsidRPr="00BD6AE8">
        <w:t xml:space="preserve">not </w:t>
      </w:r>
      <w:r w:rsidRPr="00BD6AE8">
        <w:t xml:space="preserve">a cost-effective therapy to manage infections in </w:t>
      </w:r>
      <w:r w:rsidR="00A66646" w:rsidRPr="00BD6AE8">
        <w:t xml:space="preserve">all </w:t>
      </w:r>
      <w:r w:rsidRPr="00BD6AE8">
        <w:t xml:space="preserve">patients who have acquired hypogammaglobulinaemia secondary to haematological malignancies or post-haemopoietic stem cell transplantation (HSCT) at the current price. MSAC considered that Ig </w:t>
      </w:r>
      <w:r w:rsidR="00A66646" w:rsidRPr="00BD6AE8">
        <w:t xml:space="preserve">could </w:t>
      </w:r>
      <w:r w:rsidRPr="00BD6AE8">
        <w:t>be cost-effective</w:t>
      </w:r>
      <w:r w:rsidR="00A66646" w:rsidRPr="00BD6AE8">
        <w:t xml:space="preserve"> in some patients currently eligible for Ig under the Criteria</w:t>
      </w:r>
      <w:r w:rsidR="007476D1" w:rsidRPr="00BD6AE8">
        <w:t xml:space="preserve"> (version 3)</w:t>
      </w:r>
      <w:r w:rsidR="00A66646" w:rsidRPr="00BD6AE8">
        <w:t xml:space="preserve"> for this</w:t>
      </w:r>
      <w:r w:rsidR="00886704" w:rsidRPr="00BD6AE8">
        <w:t xml:space="preserve"> </w:t>
      </w:r>
      <w:r w:rsidR="00394779" w:rsidRPr="00BD6AE8">
        <w:t>indication</w:t>
      </w:r>
      <w:r w:rsidR="00A66646" w:rsidRPr="00BD6AE8">
        <w:t xml:space="preserve">, however the variation in </w:t>
      </w:r>
      <w:r w:rsidR="00FA7EDB" w:rsidRPr="00BD6AE8">
        <w:t xml:space="preserve">the </w:t>
      </w:r>
      <w:r w:rsidR="00CD1515" w:rsidRPr="00BD6AE8">
        <w:t xml:space="preserve">underlying </w:t>
      </w:r>
      <w:r w:rsidR="00FA7EDB" w:rsidRPr="00BD6AE8">
        <w:t xml:space="preserve">patient </w:t>
      </w:r>
      <w:r w:rsidR="007476D1" w:rsidRPr="00BD6AE8">
        <w:t>conditions</w:t>
      </w:r>
      <w:r w:rsidR="00CD1515" w:rsidRPr="00BD6AE8">
        <w:t xml:space="preserve"> and treatments causing hypogammaglobinaemia in this population</w:t>
      </w:r>
      <w:r w:rsidR="00A66646" w:rsidRPr="00BD6AE8">
        <w:t xml:space="preserve"> made an overall </w:t>
      </w:r>
      <w:r w:rsidR="00394779" w:rsidRPr="00BD6AE8">
        <w:t xml:space="preserve">conclusion about </w:t>
      </w:r>
      <w:r w:rsidR="00AF1B16" w:rsidRPr="00BD6AE8">
        <w:t xml:space="preserve">the </w:t>
      </w:r>
      <w:r w:rsidR="00A66646" w:rsidRPr="00BD6AE8">
        <w:t xml:space="preserve">cost-effectiveness </w:t>
      </w:r>
      <w:r w:rsidR="00CD1515" w:rsidRPr="00BD6AE8">
        <w:t xml:space="preserve">of Ig </w:t>
      </w:r>
      <w:r w:rsidR="00A66646" w:rsidRPr="00BD6AE8">
        <w:t>difficult.</w:t>
      </w:r>
      <w:r w:rsidR="00FA7EDB" w:rsidRPr="00BD6AE8">
        <w:t xml:space="preserve"> The range of </w:t>
      </w:r>
      <w:r w:rsidR="00C03E64" w:rsidRPr="00BD6AE8">
        <w:t>incremental cost-effectiveness ratios (</w:t>
      </w:r>
      <w:r w:rsidR="00E34975" w:rsidRPr="00BD6AE8">
        <w:t>ICERs</w:t>
      </w:r>
      <w:r w:rsidR="00C03E64" w:rsidRPr="00BD6AE8">
        <w:t>)</w:t>
      </w:r>
      <w:r w:rsidR="007D72D8" w:rsidRPr="00BD6AE8">
        <w:t xml:space="preserve"> derived in this</w:t>
      </w:r>
      <w:r w:rsidR="00E34975" w:rsidRPr="00BD6AE8">
        <w:t xml:space="preserve"> review </w:t>
      </w:r>
      <w:r w:rsidR="00FA7EDB" w:rsidRPr="00BD6AE8">
        <w:t xml:space="preserve">varied greatly and the majority </w:t>
      </w:r>
      <w:r w:rsidR="00E34975" w:rsidRPr="00BD6AE8">
        <w:t>exceed that which MSAC has previously considered acceptable for reimbursement.</w:t>
      </w:r>
    </w:p>
    <w:p w14:paraId="3317097B" w14:textId="36E2CB08" w:rsidR="009735F2" w:rsidRPr="00BD6AE8" w:rsidRDefault="009735F2" w:rsidP="00BD6AE8">
      <w:pPr>
        <w:spacing w:before="240"/>
      </w:pPr>
      <w:r w:rsidRPr="00BD6AE8">
        <w:t xml:space="preserve">MSAC advised that no immediate changes were required to the current eligibility criteria, but considered there should be further research to determine the </w:t>
      </w:r>
      <w:r w:rsidR="00006DAF" w:rsidRPr="00BD6AE8">
        <w:t xml:space="preserve">specific </w:t>
      </w:r>
      <w:r w:rsidRPr="00BD6AE8">
        <w:t xml:space="preserve">patient groups and best-practice use for Ig to </w:t>
      </w:r>
      <w:r w:rsidR="00006DAF" w:rsidRPr="00BD6AE8">
        <w:t>achieve</w:t>
      </w:r>
      <w:r w:rsidRPr="00BD6AE8">
        <w:t xml:space="preserve"> the greatest benefit.</w:t>
      </w:r>
    </w:p>
    <w:tbl>
      <w:tblPr>
        <w:tblStyle w:val="TableGrid"/>
        <w:tblW w:w="0" w:type="auto"/>
        <w:tblLook w:val="04A0" w:firstRow="1" w:lastRow="0" w:firstColumn="1" w:lastColumn="0" w:noHBand="0" w:noVBand="1"/>
        <w:tblDescription w:val="Consumer summary of MSAC consideration"/>
      </w:tblPr>
      <w:tblGrid>
        <w:gridCol w:w="9016"/>
      </w:tblGrid>
      <w:tr w:rsidR="00D3172D" w14:paraId="3D50C9A5" w14:textId="77777777" w:rsidTr="00BD6AE8">
        <w:trPr>
          <w:trHeight w:val="10905"/>
          <w:tblHeader/>
        </w:trPr>
        <w:tc>
          <w:tcPr>
            <w:tcW w:w="9016" w:type="dxa"/>
          </w:tcPr>
          <w:p w14:paraId="1958669A" w14:textId="77777777" w:rsidR="00D3172D" w:rsidRPr="00D3172D" w:rsidRDefault="00D3172D" w:rsidP="00EF524D">
            <w:pPr>
              <w:spacing w:before="120" w:after="120"/>
              <w:rPr>
                <w:rFonts w:ascii="Times New Roman" w:hAnsi="Times New Roman" w:cs="Times New Roman"/>
                <w:b/>
                <w:sz w:val="24"/>
                <w:szCs w:val="24"/>
              </w:rPr>
            </w:pPr>
            <w:r w:rsidRPr="00D3172D">
              <w:rPr>
                <w:rFonts w:ascii="Times New Roman" w:hAnsi="Times New Roman" w:cs="Times New Roman"/>
                <w:b/>
                <w:sz w:val="24"/>
                <w:szCs w:val="24"/>
              </w:rPr>
              <w:lastRenderedPageBreak/>
              <w:t>Consumer summary</w:t>
            </w:r>
          </w:p>
          <w:p w14:paraId="6F64EEAB" w14:textId="77777777" w:rsidR="00D3172D" w:rsidRPr="00D3172D" w:rsidRDefault="00D3172D" w:rsidP="00D3172D">
            <w:pPr>
              <w:rPr>
                <w:rFonts w:ascii="Times New Roman" w:hAnsi="Times New Roman" w:cs="Times New Roman"/>
                <w:sz w:val="24"/>
                <w:szCs w:val="24"/>
              </w:rPr>
            </w:pPr>
            <w:r w:rsidRPr="00D3172D">
              <w:rPr>
                <w:rFonts w:ascii="Times New Roman" w:hAnsi="Times New Roman" w:cs="Times New Roman"/>
                <w:sz w:val="24"/>
                <w:szCs w:val="24"/>
              </w:rPr>
              <w:t>The National Blood Authority (NBA) sought advice from MSAC on the government-funded supply of human antibodies (immunoglobulin, or Ig) that are used to improve immunity in people with blood cancers or after a stem cell transplant.</w:t>
            </w:r>
          </w:p>
          <w:p w14:paraId="0E251654" w14:textId="17F39FAF" w:rsidR="00D3172D" w:rsidRPr="00D3172D" w:rsidRDefault="00D3172D" w:rsidP="00D3172D">
            <w:pPr>
              <w:spacing w:before="240"/>
              <w:rPr>
                <w:rFonts w:ascii="Times New Roman" w:hAnsi="Times New Roman" w:cs="Times New Roman"/>
                <w:sz w:val="24"/>
                <w:szCs w:val="24"/>
              </w:rPr>
            </w:pPr>
            <w:r w:rsidRPr="00D3172D">
              <w:rPr>
                <w:rFonts w:ascii="Times New Roman" w:hAnsi="Times New Roman" w:cs="Times New Roman"/>
                <w:sz w:val="24"/>
                <w:szCs w:val="24"/>
              </w:rPr>
              <w:t xml:space="preserve">Our blood cells make antibodies to help fight infections. People who have cancer in their blood cells (such as leukaemia) or people who have had a stem cell transplant may not be able to make their own antibodies. Instead, they can have an injection of antibodies called Ig that is collected from donated plasma. </w:t>
            </w:r>
            <w:r w:rsidR="002C5CEC" w:rsidRPr="002C5CEC">
              <w:rPr>
                <w:rFonts w:ascii="Times New Roman" w:hAnsi="Times New Roman" w:cs="Times New Roman"/>
                <w:sz w:val="24"/>
                <w:szCs w:val="24"/>
              </w:rPr>
              <w:t>This application was for people living with acquired hypogammaglobulinaemia secondary to haematological malignancies, or post-haemopoietic stem cell transplantation (HSCT).</w:t>
            </w:r>
            <w:r w:rsidR="00E66ED4">
              <w:rPr>
                <w:rFonts w:ascii="Times New Roman" w:hAnsi="Times New Roman" w:cs="Times New Roman"/>
                <w:sz w:val="24"/>
                <w:szCs w:val="24"/>
              </w:rPr>
              <w:t xml:space="preserve"> In 2015/16 approximately 4700 people accessed Ig therapy for acquired hypogammaglobulinaemia and this number is expected to increase to around 6500 people in 2019/20.</w:t>
            </w:r>
            <w:r w:rsidR="002C5CEC">
              <w:t xml:space="preserve"> </w:t>
            </w:r>
          </w:p>
          <w:p w14:paraId="3FD63FE6" w14:textId="7EEA13E1" w:rsidR="00D3172D" w:rsidRPr="00D3172D" w:rsidRDefault="00D3172D" w:rsidP="00D3172D">
            <w:pPr>
              <w:spacing w:before="240"/>
              <w:rPr>
                <w:rFonts w:ascii="Times New Roman" w:hAnsi="Times New Roman" w:cs="Times New Roman"/>
                <w:sz w:val="24"/>
                <w:szCs w:val="24"/>
              </w:rPr>
            </w:pPr>
            <w:r w:rsidRPr="00D3172D">
              <w:rPr>
                <w:rFonts w:ascii="Times New Roman" w:hAnsi="Times New Roman" w:cs="Times New Roman"/>
                <w:sz w:val="24"/>
                <w:szCs w:val="24"/>
              </w:rPr>
              <w:t xml:space="preserve">MSAC considered that Ig use is </w:t>
            </w:r>
            <w:r w:rsidR="002C5CEC" w:rsidRPr="002C5CEC">
              <w:rPr>
                <w:rFonts w:ascii="Times New Roman" w:hAnsi="Times New Roman" w:cs="Times New Roman"/>
                <w:sz w:val="24"/>
                <w:szCs w:val="24"/>
              </w:rPr>
              <w:t>likely to be</w:t>
            </w:r>
            <w:r w:rsidR="002C5CEC">
              <w:t xml:space="preserve"> </w:t>
            </w:r>
            <w:r w:rsidRPr="00D3172D">
              <w:rPr>
                <w:rFonts w:ascii="Times New Roman" w:hAnsi="Times New Roman" w:cs="Times New Roman"/>
                <w:sz w:val="24"/>
                <w:szCs w:val="24"/>
              </w:rPr>
              <w:t>safe and effective in these people, but the</w:t>
            </w:r>
            <w:r w:rsidR="00FA6E14">
              <w:rPr>
                <w:rFonts w:ascii="Times New Roman" w:hAnsi="Times New Roman" w:cs="Times New Roman"/>
                <w:sz w:val="24"/>
                <w:szCs w:val="24"/>
              </w:rPr>
              <w:t xml:space="preserve"> research</w:t>
            </w:r>
            <w:r w:rsidRPr="00D3172D">
              <w:rPr>
                <w:rFonts w:ascii="Times New Roman" w:hAnsi="Times New Roman" w:cs="Times New Roman"/>
                <w:sz w:val="24"/>
                <w:szCs w:val="24"/>
              </w:rPr>
              <w:t xml:space="preserve"> evidence base is </w:t>
            </w:r>
            <w:r w:rsidR="002C5CEC">
              <w:rPr>
                <w:rFonts w:ascii="Times New Roman" w:hAnsi="Times New Roman" w:cs="Times New Roman"/>
                <w:sz w:val="24"/>
                <w:szCs w:val="24"/>
              </w:rPr>
              <w:t>limited</w:t>
            </w:r>
            <w:r w:rsidR="002C5CEC" w:rsidRPr="00D3172D">
              <w:rPr>
                <w:rFonts w:ascii="Times New Roman" w:hAnsi="Times New Roman" w:cs="Times New Roman"/>
                <w:sz w:val="24"/>
                <w:szCs w:val="24"/>
              </w:rPr>
              <w:t xml:space="preserve"> </w:t>
            </w:r>
            <w:r w:rsidRPr="00D3172D">
              <w:rPr>
                <w:rFonts w:ascii="Times New Roman" w:hAnsi="Times New Roman" w:cs="Times New Roman"/>
                <w:sz w:val="24"/>
                <w:szCs w:val="24"/>
              </w:rPr>
              <w:t xml:space="preserve">and </w:t>
            </w:r>
            <w:r w:rsidR="00FA6E14">
              <w:rPr>
                <w:rFonts w:ascii="Times New Roman" w:hAnsi="Times New Roman" w:cs="Times New Roman"/>
                <w:sz w:val="24"/>
                <w:szCs w:val="24"/>
              </w:rPr>
              <w:t>does not cover all the haematological</w:t>
            </w:r>
            <w:r w:rsidR="008B2650">
              <w:rPr>
                <w:rFonts w:ascii="Times New Roman" w:hAnsi="Times New Roman" w:cs="Times New Roman"/>
                <w:sz w:val="24"/>
                <w:szCs w:val="24"/>
              </w:rPr>
              <w:t xml:space="preserve"> (blood)</w:t>
            </w:r>
            <w:r w:rsidR="00FA6E14">
              <w:rPr>
                <w:rFonts w:ascii="Times New Roman" w:hAnsi="Times New Roman" w:cs="Times New Roman"/>
                <w:sz w:val="24"/>
                <w:szCs w:val="24"/>
              </w:rPr>
              <w:t xml:space="preserve"> malignancies eligible for Ig.</w:t>
            </w:r>
            <w:r w:rsidRPr="00D3172D">
              <w:rPr>
                <w:rFonts w:ascii="Times New Roman" w:hAnsi="Times New Roman" w:cs="Times New Roman"/>
                <w:sz w:val="24"/>
                <w:szCs w:val="24"/>
              </w:rPr>
              <w:t xml:space="preserve"> Ig may be more effective in some patients than others, but more research needs to be done to check this. MSAC noted some uncertainties with the economic analysis in this application and </w:t>
            </w:r>
            <w:r w:rsidR="002C5CEC">
              <w:rPr>
                <w:rFonts w:ascii="Times New Roman" w:hAnsi="Times New Roman" w:cs="Times New Roman"/>
                <w:sz w:val="24"/>
                <w:szCs w:val="24"/>
              </w:rPr>
              <w:t>assessed</w:t>
            </w:r>
            <w:r w:rsidRPr="00D3172D">
              <w:rPr>
                <w:rFonts w:ascii="Times New Roman" w:hAnsi="Times New Roman" w:cs="Times New Roman"/>
                <w:sz w:val="24"/>
                <w:szCs w:val="24"/>
              </w:rPr>
              <w:t xml:space="preserve"> the cost was very high for the </w:t>
            </w:r>
            <w:r w:rsidR="002C5CEC">
              <w:rPr>
                <w:rFonts w:ascii="Times New Roman" w:hAnsi="Times New Roman" w:cs="Times New Roman"/>
                <w:sz w:val="24"/>
                <w:szCs w:val="24"/>
              </w:rPr>
              <w:t xml:space="preserve">clinical </w:t>
            </w:r>
            <w:r w:rsidRPr="00D3172D">
              <w:rPr>
                <w:rFonts w:ascii="Times New Roman" w:hAnsi="Times New Roman" w:cs="Times New Roman"/>
                <w:sz w:val="24"/>
                <w:szCs w:val="24"/>
              </w:rPr>
              <w:t xml:space="preserve">benefit patients receive. Ig is very expensive – the review estimated that Ig will cost the government approximately $100 million for this indication alone in the 2019-20 financial year. In 2018-19, a total of 6.57 million grams of Ig was supplied nationally for all indications, representing a total cost of $613.0 million (including the cost of plasma for fractionation). This cost is increasing because more people are using Ig every year </w:t>
            </w:r>
            <w:r w:rsidR="002C5CEC">
              <w:rPr>
                <w:rFonts w:ascii="Times New Roman" w:hAnsi="Times New Roman" w:cs="Times New Roman"/>
                <w:sz w:val="24"/>
                <w:szCs w:val="24"/>
              </w:rPr>
              <w:t xml:space="preserve">and long-term </w:t>
            </w:r>
            <w:r w:rsidRPr="00D3172D">
              <w:rPr>
                <w:rFonts w:ascii="Times New Roman" w:hAnsi="Times New Roman" w:cs="Times New Roman"/>
                <w:sz w:val="24"/>
                <w:szCs w:val="24"/>
              </w:rPr>
              <w:t xml:space="preserve">to treat a range of </w:t>
            </w:r>
            <w:r w:rsidR="002C5CEC">
              <w:rPr>
                <w:rFonts w:ascii="Times New Roman" w:hAnsi="Times New Roman" w:cs="Times New Roman"/>
                <w:sz w:val="24"/>
                <w:szCs w:val="24"/>
              </w:rPr>
              <w:t>conditions</w:t>
            </w:r>
            <w:r w:rsidRPr="00D3172D">
              <w:rPr>
                <w:rFonts w:ascii="Times New Roman" w:hAnsi="Times New Roman" w:cs="Times New Roman"/>
                <w:sz w:val="24"/>
                <w:szCs w:val="24"/>
              </w:rPr>
              <w:t xml:space="preserve">. There is a worldwide shortage of Ig affecting the price and supply. MSAC acknowledged the need to ensure this high-cost and limited resource is targeted to the patients who will get the most </w:t>
            </w:r>
            <w:r w:rsidR="002C5CEC">
              <w:rPr>
                <w:rFonts w:ascii="Times New Roman" w:hAnsi="Times New Roman" w:cs="Times New Roman"/>
                <w:sz w:val="24"/>
                <w:szCs w:val="24"/>
              </w:rPr>
              <w:t xml:space="preserve">health </w:t>
            </w:r>
            <w:r w:rsidRPr="00D3172D">
              <w:rPr>
                <w:rFonts w:ascii="Times New Roman" w:hAnsi="Times New Roman" w:cs="Times New Roman"/>
                <w:sz w:val="24"/>
                <w:szCs w:val="24"/>
              </w:rPr>
              <w:t>benefit.</w:t>
            </w:r>
          </w:p>
          <w:p w14:paraId="195E3AEA" w14:textId="77777777" w:rsidR="00D3172D" w:rsidRPr="00D3172D" w:rsidRDefault="00D3172D" w:rsidP="00D3172D">
            <w:pPr>
              <w:spacing w:before="240" w:after="120"/>
              <w:rPr>
                <w:rFonts w:ascii="Times New Roman" w:hAnsi="Times New Roman" w:cs="Times New Roman"/>
                <w:b/>
                <w:sz w:val="24"/>
                <w:szCs w:val="24"/>
              </w:rPr>
            </w:pPr>
            <w:r w:rsidRPr="00D3172D">
              <w:rPr>
                <w:rFonts w:ascii="Times New Roman" w:hAnsi="Times New Roman" w:cs="Times New Roman"/>
                <w:b/>
                <w:sz w:val="24"/>
                <w:szCs w:val="24"/>
              </w:rPr>
              <w:t>MSAC’s advice to the National Blood Authority</w:t>
            </w:r>
          </w:p>
          <w:p w14:paraId="27F356AC" w14:textId="37064FAA" w:rsidR="00D3172D" w:rsidRPr="00D3172D" w:rsidRDefault="00D3172D" w:rsidP="00E66ED4">
            <w:pPr>
              <w:spacing w:after="120"/>
              <w:rPr>
                <w:rFonts w:ascii="Times New Roman" w:hAnsi="Times New Roman" w:cs="Times New Roman"/>
                <w:sz w:val="24"/>
                <w:szCs w:val="24"/>
              </w:rPr>
            </w:pPr>
            <w:r w:rsidRPr="00D3172D">
              <w:rPr>
                <w:rFonts w:ascii="Times New Roman" w:hAnsi="Times New Roman" w:cs="Times New Roman"/>
                <w:sz w:val="24"/>
                <w:szCs w:val="24"/>
              </w:rPr>
              <w:t>MSAC advised that</w:t>
            </w:r>
            <w:r w:rsidR="00E66ED4">
              <w:rPr>
                <w:rFonts w:ascii="Times New Roman" w:hAnsi="Times New Roman" w:cs="Times New Roman"/>
                <w:sz w:val="24"/>
                <w:szCs w:val="24"/>
              </w:rPr>
              <w:t xml:space="preserve"> at</w:t>
            </w:r>
            <w:r w:rsidRPr="00D3172D">
              <w:rPr>
                <w:rFonts w:ascii="Times New Roman" w:hAnsi="Times New Roman" w:cs="Times New Roman"/>
                <w:sz w:val="24"/>
                <w:szCs w:val="24"/>
              </w:rPr>
              <w:t xml:space="preserve"> </w:t>
            </w:r>
            <w:r w:rsidR="002C5CEC">
              <w:rPr>
                <w:rFonts w:ascii="Times New Roman" w:hAnsi="Times New Roman" w:cs="Times New Roman"/>
                <w:sz w:val="24"/>
                <w:szCs w:val="24"/>
              </w:rPr>
              <w:t xml:space="preserve">the current price </w:t>
            </w:r>
            <w:r w:rsidRPr="00D3172D">
              <w:rPr>
                <w:rFonts w:ascii="Times New Roman" w:hAnsi="Times New Roman" w:cs="Times New Roman"/>
                <w:sz w:val="24"/>
                <w:szCs w:val="24"/>
              </w:rPr>
              <w:t xml:space="preserve">Ig is not cost-effective for all eligible patients under the criteria for acquired hypogammaglobulinaemia secondary to haematological malignancies, or post-haemopoietic stem cell transplantation (HSCT). MSAC </w:t>
            </w:r>
            <w:r w:rsidR="002C5CEC">
              <w:rPr>
                <w:rFonts w:ascii="Times New Roman" w:hAnsi="Times New Roman" w:cs="Times New Roman"/>
                <w:sz w:val="24"/>
                <w:szCs w:val="24"/>
              </w:rPr>
              <w:t>considered that</w:t>
            </w:r>
            <w:r w:rsidR="002C5CEC" w:rsidRPr="00D3172D">
              <w:rPr>
                <w:rFonts w:ascii="Times New Roman" w:hAnsi="Times New Roman" w:cs="Times New Roman"/>
                <w:sz w:val="24"/>
                <w:szCs w:val="24"/>
              </w:rPr>
              <w:t xml:space="preserve"> </w:t>
            </w:r>
            <w:r w:rsidRPr="00D3172D">
              <w:rPr>
                <w:rFonts w:ascii="Times New Roman" w:hAnsi="Times New Roman" w:cs="Times New Roman"/>
                <w:sz w:val="24"/>
                <w:szCs w:val="24"/>
              </w:rPr>
              <w:t xml:space="preserve">further research is required to </w:t>
            </w:r>
            <w:r w:rsidR="002C5CEC">
              <w:rPr>
                <w:rFonts w:ascii="Times New Roman" w:hAnsi="Times New Roman" w:cs="Times New Roman"/>
                <w:sz w:val="24"/>
                <w:szCs w:val="24"/>
              </w:rPr>
              <w:t>do a full</w:t>
            </w:r>
            <w:r w:rsidRPr="00D3172D">
              <w:rPr>
                <w:rFonts w:ascii="Times New Roman" w:hAnsi="Times New Roman" w:cs="Times New Roman"/>
                <w:sz w:val="24"/>
                <w:szCs w:val="24"/>
              </w:rPr>
              <w:t xml:space="preserve"> economic assessment of Ig use across the sub-groups of patients treated under this indication. This research </w:t>
            </w:r>
            <w:r w:rsidR="00CE7E38">
              <w:rPr>
                <w:rFonts w:ascii="Times New Roman" w:hAnsi="Times New Roman" w:cs="Times New Roman"/>
                <w:sz w:val="24"/>
                <w:szCs w:val="24"/>
              </w:rPr>
              <w:t xml:space="preserve">should </w:t>
            </w:r>
            <w:r w:rsidRPr="00D3172D">
              <w:rPr>
                <w:rFonts w:ascii="Times New Roman" w:hAnsi="Times New Roman" w:cs="Times New Roman"/>
                <w:sz w:val="24"/>
                <w:szCs w:val="24"/>
              </w:rPr>
              <w:t xml:space="preserve">include analysis of Australian data on both the effectiveness and utilisation of Ig in specific patient conditions. MSAC also suggested the NBA consider aspects of eligibility criteria used in Europe </w:t>
            </w:r>
            <w:r w:rsidR="00CE7E38">
              <w:rPr>
                <w:rFonts w:ascii="Times New Roman" w:hAnsi="Times New Roman" w:cs="Times New Roman"/>
                <w:sz w:val="24"/>
                <w:szCs w:val="24"/>
              </w:rPr>
              <w:t>and</w:t>
            </w:r>
            <w:r w:rsidR="00CE7E38" w:rsidRPr="00D3172D">
              <w:rPr>
                <w:rFonts w:ascii="Times New Roman" w:hAnsi="Times New Roman" w:cs="Times New Roman"/>
                <w:sz w:val="24"/>
                <w:szCs w:val="24"/>
              </w:rPr>
              <w:t xml:space="preserve"> </w:t>
            </w:r>
            <w:r w:rsidRPr="00D3172D">
              <w:rPr>
                <w:rFonts w:ascii="Times New Roman" w:hAnsi="Times New Roman" w:cs="Times New Roman"/>
                <w:sz w:val="24"/>
                <w:szCs w:val="24"/>
              </w:rPr>
              <w:t xml:space="preserve">other countries, and further research be undertaken where necessary, to </w:t>
            </w:r>
            <w:r w:rsidR="00CE7E38">
              <w:rPr>
                <w:rFonts w:ascii="Times New Roman" w:hAnsi="Times New Roman" w:cs="Times New Roman"/>
                <w:sz w:val="24"/>
                <w:szCs w:val="24"/>
              </w:rPr>
              <w:t>inform decision-making so</w:t>
            </w:r>
            <w:r w:rsidR="00CE7E38" w:rsidRPr="00D3172D">
              <w:rPr>
                <w:rFonts w:ascii="Times New Roman" w:hAnsi="Times New Roman" w:cs="Times New Roman"/>
                <w:sz w:val="24"/>
                <w:szCs w:val="24"/>
              </w:rPr>
              <w:t xml:space="preserve"> </w:t>
            </w:r>
            <w:r w:rsidRPr="00D3172D">
              <w:rPr>
                <w:rFonts w:ascii="Times New Roman" w:hAnsi="Times New Roman" w:cs="Times New Roman"/>
                <w:sz w:val="24"/>
                <w:szCs w:val="24"/>
              </w:rPr>
              <w:t xml:space="preserve">Ig </w:t>
            </w:r>
            <w:r w:rsidR="00CE7E38">
              <w:rPr>
                <w:rFonts w:ascii="Times New Roman" w:hAnsi="Times New Roman" w:cs="Times New Roman"/>
                <w:sz w:val="24"/>
                <w:szCs w:val="24"/>
              </w:rPr>
              <w:t>supply targets</w:t>
            </w:r>
            <w:r w:rsidRPr="00D3172D">
              <w:rPr>
                <w:rFonts w:ascii="Times New Roman" w:hAnsi="Times New Roman" w:cs="Times New Roman"/>
                <w:sz w:val="24"/>
                <w:szCs w:val="24"/>
              </w:rPr>
              <w:t xml:space="preserve"> the people who will benefit the most.</w:t>
            </w:r>
          </w:p>
        </w:tc>
      </w:tr>
    </w:tbl>
    <w:p w14:paraId="03EB2DD7" w14:textId="77777777" w:rsidR="00F636F1" w:rsidRPr="00F715D1" w:rsidRDefault="00F636F1" w:rsidP="00F636F1">
      <w:pPr>
        <w:pStyle w:val="Heading1"/>
      </w:pPr>
      <w:r w:rsidRPr="00F715D1">
        <w:t xml:space="preserve">Summary of consideration and rationale for MSAC’s advice </w:t>
      </w:r>
    </w:p>
    <w:p w14:paraId="7AC78AE6" w14:textId="35FB1831" w:rsidR="009735F2" w:rsidRDefault="009735F2" w:rsidP="00597E26">
      <w:pPr>
        <w:pStyle w:val="NormalBeforeBullet"/>
        <w:spacing w:after="80"/>
      </w:pPr>
      <w:r>
        <w:t xml:space="preserve">MSAC noted that the relevant conditions listed as eligible for treatment under the </w:t>
      </w:r>
      <w:r w:rsidRPr="00863A4B">
        <w:rPr>
          <w:i/>
          <w:iCs/>
        </w:rPr>
        <w:t>Criteria for the clinical use of immunoglobulin in Australia</w:t>
      </w:r>
      <w:r>
        <w:t xml:space="preserve"> (version 3) </w:t>
      </w:r>
      <w:r w:rsidR="00037245">
        <w:t xml:space="preserve">for this indication </w:t>
      </w:r>
      <w:r>
        <w:t>are:</w:t>
      </w:r>
    </w:p>
    <w:p w14:paraId="54289197" w14:textId="3847F56D" w:rsidR="009735F2" w:rsidRDefault="009735F2" w:rsidP="00597E26">
      <w:pPr>
        <w:pStyle w:val="Bullet"/>
        <w:spacing w:after="80"/>
      </w:pPr>
      <w:r>
        <w:t>acute leukaemia</w:t>
      </w:r>
    </w:p>
    <w:p w14:paraId="33662765" w14:textId="77777777" w:rsidR="009735F2" w:rsidRDefault="009735F2" w:rsidP="00597E26">
      <w:pPr>
        <w:pStyle w:val="Bullet"/>
        <w:spacing w:after="80"/>
      </w:pPr>
      <w:r>
        <w:t>chronic lymphocytic leukaemia</w:t>
      </w:r>
    </w:p>
    <w:p w14:paraId="710229DA" w14:textId="77777777" w:rsidR="009735F2" w:rsidRDefault="009735F2" w:rsidP="00597E26">
      <w:pPr>
        <w:pStyle w:val="Bullet"/>
        <w:spacing w:after="80"/>
        <w:ind w:left="714" w:hanging="357"/>
      </w:pPr>
      <w:r>
        <w:t>multiple myeloma</w:t>
      </w:r>
    </w:p>
    <w:p w14:paraId="7B0C7A11" w14:textId="0FDE0611" w:rsidR="009735F2" w:rsidRDefault="009735F2" w:rsidP="00597E26">
      <w:pPr>
        <w:pStyle w:val="Bullet"/>
        <w:spacing w:after="80"/>
      </w:pPr>
      <w:r>
        <w:t>non-Hodgkin lymphoma</w:t>
      </w:r>
    </w:p>
    <w:p w14:paraId="43C37ABF" w14:textId="77777777" w:rsidR="005A21FE" w:rsidRPr="00863A4B" w:rsidRDefault="005A21FE" w:rsidP="00597E26">
      <w:pPr>
        <w:pStyle w:val="BulletLast"/>
        <w:spacing w:after="80"/>
        <w:ind w:left="714" w:hanging="357"/>
      </w:pPr>
      <w:r>
        <w:t xml:space="preserve">memory B cell deficiency secondary to HSCT. </w:t>
      </w:r>
    </w:p>
    <w:p w14:paraId="28B3D158" w14:textId="77777777" w:rsidR="009735F2" w:rsidRDefault="009735F2" w:rsidP="00597E26">
      <w:pPr>
        <w:pStyle w:val="Bullet"/>
        <w:spacing w:after="80"/>
      </w:pPr>
      <w:r>
        <w:t>other haematological malignancies</w:t>
      </w:r>
    </w:p>
    <w:p w14:paraId="71C1AAED" w14:textId="5B045736" w:rsidR="009735F2" w:rsidRDefault="009735F2" w:rsidP="009735F2">
      <w:r>
        <w:lastRenderedPageBreak/>
        <w:t>Regarding safety, MSAC noted that Ig has inferior safety compared with no Ig due to infusion-related adverse events and a small risk of thromboembolic events. However, antibiotic-related adverse events were not captured, as these were not adequately described in the studies</w:t>
      </w:r>
      <w:r w:rsidR="005A21FE">
        <w:t xml:space="preserve"> identified</w:t>
      </w:r>
      <w:r>
        <w:t>.</w:t>
      </w:r>
    </w:p>
    <w:p w14:paraId="598910E5" w14:textId="1FC47CD4" w:rsidR="00F11A28" w:rsidRPr="001572CD" w:rsidRDefault="009735F2" w:rsidP="00EF524D">
      <w:pPr>
        <w:spacing w:before="240" w:after="240"/>
      </w:pPr>
      <w:r>
        <w:t xml:space="preserve">Regarding clinical effectiveness, comparative analysis favoured Ig treatment for serious and non-serious infections. One trial found that patients who received Ig had fewer days of hospitalisation per year, fewer days of antibiotic treatment per year, and increased quality of life, compared with patients who did not receive Ig. MSAC also noted the feedback from consumers that claimed superior effectiveness </w:t>
      </w:r>
      <w:r w:rsidRPr="001572CD">
        <w:t xml:space="preserve">compared with no Ig in terms of reduced hospitalisations, reduced exposure to antibiotics, improved quality of life and improved participation in society. However, MSAC noted the limited evidence base, with most studies from the 1990s and not necessarily </w:t>
      </w:r>
      <w:r w:rsidR="005A21FE" w:rsidRPr="001572CD">
        <w:t xml:space="preserve">being </w:t>
      </w:r>
      <w:r w:rsidRPr="001572CD">
        <w:t xml:space="preserve">reflective of the current Australian context (e.g. many studies used Ig for a </w:t>
      </w:r>
      <w:r w:rsidR="00744A51" w:rsidRPr="001572CD">
        <w:t>short p</w:t>
      </w:r>
      <w:r w:rsidRPr="001572CD">
        <w:t>eriod</w:t>
      </w:r>
      <w:r w:rsidR="00744A51" w:rsidRPr="001572CD">
        <w:t xml:space="preserve"> of six months or less</w:t>
      </w:r>
      <w:r w:rsidR="00EF524D">
        <w:t>).</w:t>
      </w:r>
    </w:p>
    <w:p w14:paraId="3B404E53" w14:textId="266BD9B2" w:rsidR="009735F2" w:rsidRDefault="00F11A28" w:rsidP="004D042D">
      <w:r w:rsidRPr="001572CD">
        <w:t>In r</w:t>
      </w:r>
      <w:r w:rsidR="009735F2" w:rsidRPr="001572CD">
        <w:t>egard</w:t>
      </w:r>
      <w:r w:rsidRPr="001572CD">
        <w:t xml:space="preserve"> to</w:t>
      </w:r>
      <w:r w:rsidR="009735F2" w:rsidRPr="001572CD">
        <w:t xml:space="preserve"> the economic analysis, MSAC noted the high and uncertain incremental cost-effectiveness ratio (ICER) in the base case of $99,803 per quality-adjusted life year (QALY), based on a cost per gram of Ig of $60.41. The economic model was highly sensitive to the inclusion of health </w:t>
      </w:r>
      <w:r w:rsidR="00D3172D" w:rsidRPr="001572CD">
        <w:t xml:space="preserve">states for bronchiectasis. The </w:t>
      </w:r>
      <w:r w:rsidR="009735F2" w:rsidRPr="001572CD">
        <w:t xml:space="preserve">rationale for including bronchiectasis was the higher proportion of patients who develop this condition in the absence of Ig, who continue to have poorer quality of life and higher risk of infection throughout the modelled time horizon. </w:t>
      </w:r>
      <w:r w:rsidR="005A21FE" w:rsidRPr="001572CD">
        <w:t xml:space="preserve">MSAC noted that the aim of treatment would be to prevent bronchiectasis occurring in the first place. </w:t>
      </w:r>
      <w:r w:rsidR="009735F2" w:rsidRPr="001572CD">
        <w:t xml:space="preserve">However, MSAC noted the lack of data on bronchiectasis incidence in patients with or without Ig. Sensitivity analysis (as requested by ESC) on reducing the probability of transition to bronchiectasis had substantial and non-proportional effects on the ICER (e.g. a 25% reduction in bronchiectasis transition probability led to an ICER of $117,858; a 95% reduction in bronchiectasis transition probability led to an ICER of $929,801). Removing bronchiectasis from the model increased the ICER to $2.9 million per QALY. MSAC acknowledged that bronchiectasis is </w:t>
      </w:r>
      <w:r w:rsidR="005A21FE" w:rsidRPr="001572CD">
        <w:t xml:space="preserve">a </w:t>
      </w:r>
      <w:r w:rsidR="009735F2" w:rsidRPr="001572CD">
        <w:t>clinically important</w:t>
      </w:r>
      <w:r w:rsidR="005A21FE" w:rsidRPr="001572CD">
        <w:t xml:space="preserve"> end-point</w:t>
      </w:r>
      <w:r w:rsidR="009735F2" w:rsidRPr="001572CD">
        <w:t>, but noted the lack of data to inform these transition probabilities</w:t>
      </w:r>
      <w:r w:rsidR="009735F2">
        <w:t>.</w:t>
      </w:r>
    </w:p>
    <w:p w14:paraId="2D09A1A4" w14:textId="0951641C" w:rsidR="009735F2" w:rsidRDefault="009735F2" w:rsidP="009735F2">
      <w:pPr>
        <w:spacing w:before="240"/>
      </w:pPr>
      <w:r>
        <w:t>MSAC considered</w:t>
      </w:r>
      <w:r w:rsidR="00634A86">
        <w:t xml:space="preserve"> one stakeholder’s view </w:t>
      </w:r>
      <w:r>
        <w:t xml:space="preserve">that a single health state for ‘infection’ was inadequate. ESC had suggested that it was not possible to </w:t>
      </w:r>
      <w:r w:rsidR="006F67DF">
        <w:t xml:space="preserve">reasonably </w:t>
      </w:r>
      <w:r>
        <w:t>infer transition probabilities for serious v</w:t>
      </w:r>
      <w:r w:rsidR="00FD7BD3">
        <w:t>er</w:t>
      </w:r>
      <w:r w:rsidR="00634A86">
        <w:t>s</w:t>
      </w:r>
      <w:r w:rsidR="00FD7BD3">
        <w:t>us</w:t>
      </w:r>
      <w:r>
        <w:t xml:space="preserve"> non-serious infections from the </w:t>
      </w:r>
      <w:r w:rsidR="00600207">
        <w:t xml:space="preserve">available evidence in the </w:t>
      </w:r>
      <w:r>
        <w:t xml:space="preserve">literature. However, MSAC considered that splitting this health state into serious and non-serious infections </w:t>
      </w:r>
      <w:r w:rsidR="00744A51">
        <w:t xml:space="preserve">could </w:t>
      </w:r>
      <w:r>
        <w:t>be explored.</w:t>
      </w:r>
    </w:p>
    <w:p w14:paraId="5E1025D7" w14:textId="55E3765E" w:rsidR="001177EE" w:rsidRDefault="009735F2" w:rsidP="009735F2">
      <w:pPr>
        <w:spacing w:before="240"/>
      </w:pPr>
      <w:r>
        <w:t xml:space="preserve">The cost per gram of Ig was also a significant driver of the model. MSAC noted that the scope to influence </w:t>
      </w:r>
      <w:r w:rsidR="00F11A28">
        <w:t xml:space="preserve">the price of </w:t>
      </w:r>
      <w:r>
        <w:t xml:space="preserve">Ig is limited due to the current global shortage </w:t>
      </w:r>
      <w:r w:rsidR="009D2DC6">
        <w:t>and current pricing arrangements</w:t>
      </w:r>
      <w:r>
        <w:t>.</w:t>
      </w:r>
    </w:p>
    <w:p w14:paraId="0C229368" w14:textId="6067D7D0" w:rsidR="00EA6695" w:rsidRDefault="00D5516D" w:rsidP="00EF524D">
      <w:pPr>
        <w:spacing w:before="240" w:after="240"/>
      </w:pPr>
      <w:r>
        <w:t>A</w:t>
      </w:r>
      <w:r w:rsidR="00C03E64">
        <w:t xml:space="preserve">n additional </w:t>
      </w:r>
      <w:r>
        <w:t>s</w:t>
      </w:r>
      <w:r w:rsidR="009735F2">
        <w:t xml:space="preserve">ensitivity analysis to extend </w:t>
      </w:r>
      <w:r w:rsidR="009735F2" w:rsidRPr="001572CD">
        <w:t>the time horizon</w:t>
      </w:r>
      <w:r w:rsidR="00B775F7" w:rsidRPr="001572CD">
        <w:t xml:space="preserve"> from</w:t>
      </w:r>
      <w:r w:rsidR="00C03E64" w:rsidRPr="001572CD">
        <w:t xml:space="preserve"> 1</w:t>
      </w:r>
      <w:r w:rsidR="00B775F7" w:rsidRPr="001572CD">
        <w:t>0 years in the base case</w:t>
      </w:r>
      <w:r w:rsidR="009735F2" w:rsidRPr="001572CD">
        <w:t xml:space="preserve">, as requested by ESC, had the effect of reducing the ICER ($65,957 for a time horizon of 15 years; </w:t>
      </w:r>
      <w:r w:rsidR="00600207" w:rsidRPr="001572CD">
        <w:t xml:space="preserve">and </w:t>
      </w:r>
      <w:r w:rsidR="009735F2" w:rsidRPr="001572CD">
        <w:t>$55,303 for 20 years).</w:t>
      </w:r>
      <w:r w:rsidR="00FD7BD3" w:rsidRPr="001572CD">
        <w:t xml:space="preserve"> </w:t>
      </w:r>
      <w:r w:rsidR="00F11A28" w:rsidRPr="001572CD">
        <w:t xml:space="preserve">MSAC considered that </w:t>
      </w:r>
      <w:r w:rsidR="007B0A28" w:rsidRPr="001572CD">
        <w:t xml:space="preserve">due to </w:t>
      </w:r>
      <w:r w:rsidR="00F11A28" w:rsidRPr="001572CD">
        <w:t xml:space="preserve">the range of </w:t>
      </w:r>
      <w:r w:rsidR="007B0A28" w:rsidRPr="001572CD">
        <w:t xml:space="preserve">malignancies and the varying </w:t>
      </w:r>
      <w:r w:rsidR="00F11A28" w:rsidRPr="001572CD">
        <w:t xml:space="preserve">of age </w:t>
      </w:r>
      <w:r w:rsidR="007B0A28" w:rsidRPr="001572CD">
        <w:t xml:space="preserve">of the patients treated, accepting one time horizon for all eligible patients was not possible. </w:t>
      </w:r>
      <w:r w:rsidR="00C03E64" w:rsidRPr="001572CD">
        <w:t>In addition, t</w:t>
      </w:r>
      <w:r w:rsidR="007B0A28" w:rsidRPr="001572CD">
        <w:t>here is likely to be significant variation in the length of time patients remain on treatment and the ongoing level of benefit achieved from Ig</w:t>
      </w:r>
      <w:r w:rsidR="00A27434" w:rsidRPr="001572CD">
        <w:t>, given anticipated changes to the therapeutic options available</w:t>
      </w:r>
      <w:r w:rsidR="007B0A28" w:rsidRPr="001572CD">
        <w:t>.</w:t>
      </w:r>
    </w:p>
    <w:p w14:paraId="4B44B006" w14:textId="3E0A0810" w:rsidR="009735F2" w:rsidRDefault="009735F2" w:rsidP="009735F2">
      <w:r>
        <w:t>MSAC noted several issues</w:t>
      </w:r>
      <w:r w:rsidR="00E87C01">
        <w:t xml:space="preserve"> raised by</w:t>
      </w:r>
      <w:r w:rsidR="001177EE">
        <w:t xml:space="preserve"> a stakeholder</w:t>
      </w:r>
      <w:r w:rsidR="00E87C01">
        <w:t xml:space="preserve"> </w:t>
      </w:r>
      <w:r>
        <w:t>including that disutilit</w:t>
      </w:r>
      <w:r w:rsidR="00003F7D">
        <w:t xml:space="preserve">y associated with </w:t>
      </w:r>
      <w:r>
        <w:t xml:space="preserve">intravenous </w:t>
      </w:r>
      <w:r w:rsidR="00003F7D">
        <w:t xml:space="preserve">infusion of </w:t>
      </w:r>
      <w:r>
        <w:t xml:space="preserve">antibiotics </w:t>
      </w:r>
      <w:r w:rsidR="00003F7D">
        <w:t>was</w:t>
      </w:r>
      <w:r>
        <w:t xml:space="preserve"> not accounted for in the model, and </w:t>
      </w:r>
      <w:r w:rsidR="00003F7D">
        <w:t>that the disutility</w:t>
      </w:r>
      <w:r>
        <w:t xml:space="preserve"> associated with intravenous Ig </w:t>
      </w:r>
      <w:r w:rsidR="00003F7D">
        <w:t>infusion was</w:t>
      </w:r>
      <w:r>
        <w:t xml:space="preserve"> high compared with </w:t>
      </w:r>
      <w:r w:rsidR="005E2AC1">
        <w:t xml:space="preserve">the </w:t>
      </w:r>
      <w:r w:rsidR="00003F7D">
        <w:t>disutility</w:t>
      </w:r>
      <w:r>
        <w:t xml:space="preserve"> associated with </w:t>
      </w:r>
      <w:r>
        <w:lastRenderedPageBreak/>
        <w:t xml:space="preserve">infection. </w:t>
      </w:r>
      <w:r w:rsidR="009D2DC6">
        <w:t xml:space="preserve">MSAC noted that there is a </w:t>
      </w:r>
      <w:r w:rsidR="00CD00E7">
        <w:t xml:space="preserve">broad </w:t>
      </w:r>
      <w:r w:rsidR="009D2DC6">
        <w:t xml:space="preserve">need to consider appropriate population-level antibiotic stewardship in conjunction with </w:t>
      </w:r>
      <w:r w:rsidR="00CD00E7">
        <w:t xml:space="preserve">any change in </w:t>
      </w:r>
      <w:r w:rsidR="009D2DC6">
        <w:t>Ig usage in these conditions.</w:t>
      </w:r>
    </w:p>
    <w:p w14:paraId="2521A12F" w14:textId="39E4F6E0" w:rsidR="009735F2" w:rsidRDefault="009735F2" w:rsidP="009735F2">
      <w:pPr>
        <w:spacing w:before="240"/>
      </w:pPr>
      <w:r>
        <w:t xml:space="preserve">Regarding financial and budgetary impacts, MSAC noted that </w:t>
      </w:r>
      <w:r w:rsidR="00FC4668">
        <w:t xml:space="preserve">total </w:t>
      </w:r>
      <w:r>
        <w:t>Ig use comprises more than half of the budget for blood arrangements in Australia and has increased at a rate of 11% per year in recent years. Use of Ig is projected to increase further over the next 5 years, along with projected costs to government (totalling $550.3 million over 5 years</w:t>
      </w:r>
      <w:r w:rsidR="00FC4668">
        <w:t xml:space="preserve"> for this indication alone</w:t>
      </w:r>
      <w:r>
        <w:t xml:space="preserve">). However, the National Blood Authority (NBA) noted that, with the transition to </w:t>
      </w:r>
      <w:r w:rsidR="003D04C4">
        <w:t>V</w:t>
      </w:r>
      <w:r>
        <w:t xml:space="preserve">ersion 3 of the </w:t>
      </w:r>
      <w:r w:rsidR="003D04C4">
        <w:t>C</w:t>
      </w:r>
      <w:r>
        <w:t>riteria, the rate of growth has slowed as some patients suspend their Ig use to determine their native immunological status. MSAC acknowledged the need to ensure this high-cost and limited resource is targeted to the patients for whom it is most beneficial, based on robust health technology assessment.</w:t>
      </w:r>
      <w:r w:rsidR="009D2DC6">
        <w:t xml:space="preserve"> MSAC noted that the number of therapies available to treat haematological malignancies is increasing, which may also be a driver of increased Ig demand in Australia, and globally.</w:t>
      </w:r>
    </w:p>
    <w:p w14:paraId="16315B19" w14:textId="412E7325" w:rsidR="009735F2" w:rsidRDefault="009735F2" w:rsidP="009735F2">
      <w:pPr>
        <w:spacing w:before="240"/>
      </w:pPr>
      <w:r>
        <w:t xml:space="preserve">MSAC noted the pre-MSAC responses from the NBA and </w:t>
      </w:r>
      <w:r w:rsidR="001177EE">
        <w:t>stakeholders</w:t>
      </w:r>
      <w:r>
        <w:t>.</w:t>
      </w:r>
      <w:r w:rsidR="001177EE">
        <w:t xml:space="preserve"> One stakeholder </w:t>
      </w:r>
      <w:r>
        <w:t>response</w:t>
      </w:r>
      <w:r w:rsidR="001177EE">
        <w:t xml:space="preserve"> provided</w:t>
      </w:r>
      <w:r>
        <w:t xml:space="preserve"> </w:t>
      </w:r>
      <w:r w:rsidR="00DA69DA">
        <w:t xml:space="preserve">a respecified </w:t>
      </w:r>
      <w:r>
        <w:t xml:space="preserve">economic model </w:t>
      </w:r>
      <w:r w:rsidR="00DA69DA">
        <w:t>that</w:t>
      </w:r>
      <w:r>
        <w:t xml:space="preserve"> include</w:t>
      </w:r>
      <w:r w:rsidR="00DA69DA">
        <w:t>d</w:t>
      </w:r>
      <w:r w:rsidR="00D950DF">
        <w:t>:</w:t>
      </w:r>
      <w:r>
        <w:t xml:space="preserve"> separate states for serious and non-serious infections</w:t>
      </w:r>
      <w:r w:rsidR="00D5516D">
        <w:t>;</w:t>
      </w:r>
      <w:r>
        <w:t xml:space="preserve"> a revised (lower) weighted average cost per gram of Ig</w:t>
      </w:r>
      <w:r w:rsidR="00D5516D">
        <w:t>;</w:t>
      </w:r>
      <w:r>
        <w:t xml:space="preserve"> and </w:t>
      </w:r>
      <w:r w:rsidR="00D5516D">
        <w:t xml:space="preserve">a </w:t>
      </w:r>
      <w:r>
        <w:t xml:space="preserve">revised baseline infection rate (based on data from multiple studies, rather than a single small Australian study). </w:t>
      </w:r>
      <w:r w:rsidR="00DA69DA">
        <w:t xml:space="preserve">The stakeholder also </w:t>
      </w:r>
      <w:r>
        <w:t xml:space="preserve">conducted </w:t>
      </w:r>
      <w:r w:rsidR="00003F7D">
        <w:t xml:space="preserve">a </w:t>
      </w:r>
      <w:r>
        <w:t xml:space="preserve">sensitivity analysis on bronchiectasis transition </w:t>
      </w:r>
      <w:r w:rsidRPr="00F557CA">
        <w:t>probabilities</w:t>
      </w:r>
      <w:r w:rsidR="00DA69DA">
        <w:t xml:space="preserve"> in the respecified model,</w:t>
      </w:r>
      <w:r w:rsidRPr="00F557CA">
        <w:t xml:space="preserve"> </w:t>
      </w:r>
      <w:r w:rsidR="00DA69DA">
        <w:t xml:space="preserve">which produced lower ICERs than those presented in the </w:t>
      </w:r>
      <w:r w:rsidR="00D950DF">
        <w:t>C</w:t>
      </w:r>
      <w:r w:rsidR="00DA69DA">
        <w:t xml:space="preserve">ontracted </w:t>
      </w:r>
      <w:r w:rsidR="00D950DF">
        <w:t>A</w:t>
      </w:r>
      <w:r w:rsidR="00DA69DA">
        <w:t>ssessment</w:t>
      </w:r>
      <w:r w:rsidR="00D950DF">
        <w:t xml:space="preserve"> (CA)</w:t>
      </w:r>
      <w:r w:rsidR="00DA69DA">
        <w:t>.</w:t>
      </w:r>
      <w:r w:rsidRPr="00F557CA">
        <w:t xml:space="preserve"> </w:t>
      </w:r>
      <w:r w:rsidR="00DA69DA">
        <w:t xml:space="preserve">Other model inputs were also questioned and the MSAC agreed that many </w:t>
      </w:r>
      <w:r w:rsidR="00D950DF">
        <w:t>inputs to</w:t>
      </w:r>
      <w:r w:rsidR="00DA69DA">
        <w:t xml:space="preserve"> the economic model were</w:t>
      </w:r>
      <w:r w:rsidR="00D950DF">
        <w:t xml:space="preserve"> uncertain</w:t>
      </w:r>
      <w:r w:rsidR="003D04C4">
        <w:t>;</w:t>
      </w:r>
      <w:r w:rsidR="00D950DF">
        <w:t xml:space="preserve"> however</w:t>
      </w:r>
      <w:r w:rsidR="003D04C4">
        <w:t>,</w:t>
      </w:r>
      <w:r w:rsidR="00D950DF">
        <w:t xml:space="preserve"> the direction of effect of these uncertainties on the ICER could be in either direction. MSAC also noted that the cost of Ig used in the </w:t>
      </w:r>
      <w:r w:rsidR="00796386">
        <w:t>CA</w:t>
      </w:r>
      <w:r w:rsidR="00D950DF">
        <w:t xml:space="preserve"> was agreed</w:t>
      </w:r>
      <w:r w:rsidR="00796386">
        <w:t xml:space="preserve"> by the Ig Reference Group</w:t>
      </w:r>
      <w:r w:rsidR="00D950DF">
        <w:t xml:space="preserve"> at the commencement of the review </w:t>
      </w:r>
      <w:r w:rsidR="00796386">
        <w:t xml:space="preserve">process </w:t>
      </w:r>
      <w:r w:rsidR="00D950DF">
        <w:t>for consistency across CA’s for all Ig Review indications.</w:t>
      </w:r>
      <w:r w:rsidR="00796386">
        <w:t xml:space="preserve"> Acknowledging the cost of Ig quoted by the stakeholder</w:t>
      </w:r>
      <w:r w:rsidR="00261C94">
        <w:t xml:space="preserve"> (using 2019 prices) </w:t>
      </w:r>
      <w:r w:rsidR="00796386">
        <w:t xml:space="preserve">is </w:t>
      </w:r>
      <w:r w:rsidR="00D950DF">
        <w:t>lowe</w:t>
      </w:r>
      <w:r w:rsidR="00796386">
        <w:t xml:space="preserve">r than that used in the </w:t>
      </w:r>
      <w:r w:rsidR="00261C94">
        <w:t>base case</w:t>
      </w:r>
      <w:r w:rsidR="00796386">
        <w:t xml:space="preserve">, MSAC noted </w:t>
      </w:r>
      <w:r w:rsidR="00261C94">
        <w:t xml:space="preserve">the CA presented sensitivity analyses including a range of Ig prices and that </w:t>
      </w:r>
      <w:r w:rsidR="00D950DF">
        <w:t xml:space="preserve">this </w:t>
      </w:r>
      <w:r w:rsidR="00796386">
        <w:t>cha</w:t>
      </w:r>
      <w:r w:rsidR="00D950DF">
        <w:t xml:space="preserve">nge </w:t>
      </w:r>
      <w:r w:rsidR="00796386">
        <w:t xml:space="preserve">alone did not reduce the ICER sufficiently. </w:t>
      </w:r>
    </w:p>
    <w:p w14:paraId="7E808B72" w14:textId="49B15D21" w:rsidR="009735F2" w:rsidRDefault="009735F2" w:rsidP="009735F2">
      <w:pPr>
        <w:spacing w:before="240"/>
      </w:pPr>
      <w:r>
        <w:t xml:space="preserve">MSAC noted an ongoing clinical trial by Monash University </w:t>
      </w:r>
      <w:r w:rsidR="00CA3436">
        <w:t>(</w:t>
      </w:r>
      <w:r w:rsidR="00CA3436" w:rsidRPr="00A35185">
        <w:t>ACTRN12616001723471</w:t>
      </w:r>
      <w:r w:rsidR="00CA3436">
        <w:t xml:space="preserve">) </w:t>
      </w:r>
      <w:r>
        <w:t xml:space="preserve">comparing </w:t>
      </w:r>
      <w:r w:rsidRPr="002E1CE6">
        <w:t xml:space="preserve">the efficacy of prophylactic </w:t>
      </w:r>
      <w:r>
        <w:t>intravenous Ig</w:t>
      </w:r>
      <w:r w:rsidRPr="002E1CE6">
        <w:t xml:space="preserve"> with prophylactic antibiotics in patients w</w:t>
      </w:r>
      <w:bookmarkStart w:id="1" w:name="Editing"/>
      <w:bookmarkEnd w:id="1"/>
      <w:r w:rsidRPr="002E1CE6">
        <w:t>ith acquired hypogammaglobulin</w:t>
      </w:r>
      <w:r>
        <w:t>a</w:t>
      </w:r>
      <w:r w:rsidRPr="002E1CE6">
        <w:t>emia secondary to haematological malignancies</w:t>
      </w:r>
      <w:r>
        <w:t>, which will help address th</w:t>
      </w:r>
      <w:r w:rsidR="003D04C4">
        <w:t>e</w:t>
      </w:r>
      <w:r>
        <w:t xml:space="preserve"> evidence</w:t>
      </w:r>
      <w:r w:rsidR="00CA3436">
        <w:t xml:space="preserve"> void</w:t>
      </w:r>
      <w:r>
        <w:t>.</w:t>
      </w:r>
    </w:p>
    <w:p w14:paraId="24728B8D" w14:textId="1E084517" w:rsidR="009735F2" w:rsidRPr="001572CD" w:rsidRDefault="009735F2" w:rsidP="009735F2">
      <w:pPr>
        <w:spacing w:before="240"/>
      </w:pPr>
      <w:r>
        <w:t xml:space="preserve">Overall, MSAC considered that Ig was not a cost-effective therapy to manage infections in </w:t>
      </w:r>
      <w:r w:rsidR="00FC4668">
        <w:t xml:space="preserve">all </w:t>
      </w:r>
      <w:r>
        <w:t>people with a</w:t>
      </w:r>
      <w:r w:rsidRPr="00C73C38">
        <w:t xml:space="preserve">cquired hypogammaglobulinaemia </w:t>
      </w:r>
      <w:r w:rsidRPr="001572CD">
        <w:t xml:space="preserve">secondary to haematological malignancies and HSCT, noting the small and </w:t>
      </w:r>
      <w:r w:rsidR="006F7C7E" w:rsidRPr="001572CD">
        <w:t xml:space="preserve">incomplete </w:t>
      </w:r>
      <w:r w:rsidRPr="001572CD">
        <w:t>evidence base, the high and uncertain ICER, and the large and expanding budget impact.</w:t>
      </w:r>
    </w:p>
    <w:p w14:paraId="596072DE" w14:textId="647A3009" w:rsidR="009735F2" w:rsidRDefault="009735F2" w:rsidP="009735F2">
      <w:pPr>
        <w:spacing w:before="240"/>
      </w:pPr>
      <w:r w:rsidRPr="001572CD">
        <w:t xml:space="preserve">MSAC considered whether it would be feasible to explore the heterogeneity of patient groups to assess whether Ig is cost-effective in certain </w:t>
      </w:r>
      <w:r w:rsidR="009D2DC6" w:rsidRPr="001572CD">
        <w:t>sub-</w:t>
      </w:r>
      <w:r w:rsidRPr="001572CD">
        <w:t>groups. For example, for multiple myeloma, the single included study indicates that Ig is highly effective, but for non-Hodgkin lymphoma (the largest patient group), there are no studies on the effectiveness of Ig. MSAC considered there may be value in using data for individual groups rather than pooled data, and this would require additional research and modelling to</w:t>
      </w:r>
      <w:r>
        <w:t xml:space="preserve"> identify those who are most likely to benefit.</w:t>
      </w:r>
      <w:r w:rsidR="009D2DC6">
        <w:t xml:space="preserve"> Furthermore, MSAC noted that within disease populations, there is heterogeneity of need for Ig, depending on the therapies a patient is receiving, or has received.</w:t>
      </w:r>
    </w:p>
    <w:p w14:paraId="642395E6" w14:textId="520D5409" w:rsidR="009735F2" w:rsidRDefault="009735F2" w:rsidP="009735F2">
      <w:pPr>
        <w:spacing w:before="240"/>
      </w:pPr>
      <w:r>
        <w:t xml:space="preserve">MSAC noted that this is the first assessment of many under the Ig Reviews, and that future assessments of Ig use are likely to have less data and lower-quality data to inform decisions. In addition, not all outcomes </w:t>
      </w:r>
      <w:r w:rsidR="009D2DC6">
        <w:t xml:space="preserve">reported in other conditions </w:t>
      </w:r>
      <w:r>
        <w:t xml:space="preserve">will be measured in costs per QALY. MSAC noted the importance of developing clearly defined parameters in the model </w:t>
      </w:r>
      <w:r>
        <w:lastRenderedPageBreak/>
        <w:t>to justify its advice to the NBA, and also develop</w:t>
      </w:r>
      <w:r w:rsidR="007D0D6A">
        <w:t>ing</w:t>
      </w:r>
      <w:r>
        <w:t xml:space="preserve"> criteria that inform cost-effectiveness that could be used across </w:t>
      </w:r>
      <w:r w:rsidR="003D04C4">
        <w:t xml:space="preserve">the </w:t>
      </w:r>
      <w:r>
        <w:t xml:space="preserve">Ig Reviews. </w:t>
      </w:r>
    </w:p>
    <w:p w14:paraId="1131ABDD" w14:textId="3E4F4C1C" w:rsidR="002F4197" w:rsidRDefault="002F4197" w:rsidP="009735F2">
      <w:pPr>
        <w:spacing w:before="240"/>
      </w:pPr>
      <w:r>
        <w:t>Other evidence to inform and improve the cost-effectiveness of Ig in the Australian context could include</w:t>
      </w:r>
      <w:r w:rsidR="00F10752">
        <w:t xml:space="preserve"> further </w:t>
      </w:r>
      <w:r>
        <w:t xml:space="preserve">analysis of Ig utilisation data on frequency and dose of Ig treatment (per condition), use of ideal versus actual body weight for dosing, and the length of time </w:t>
      </w:r>
      <w:r w:rsidR="00F10752">
        <w:t xml:space="preserve">patients remain </w:t>
      </w:r>
      <w:r>
        <w:t>on Ig treatment.</w:t>
      </w:r>
      <w:r w:rsidR="00261C94">
        <w:t xml:space="preserve"> Accurate capture of antibiotic use across these patient groups would also be informing. </w:t>
      </w:r>
    </w:p>
    <w:p w14:paraId="443A7DEF" w14:textId="26206170" w:rsidR="009735F2" w:rsidRDefault="009735F2" w:rsidP="009735F2">
      <w:pPr>
        <w:spacing w:before="240"/>
      </w:pPr>
      <w:r w:rsidRPr="00F6613E">
        <w:t>MSAC advised no immediate changes to the current eligibility criteria</w:t>
      </w:r>
      <w:r>
        <w:t xml:space="preserve">, but noted that </w:t>
      </w:r>
      <w:r w:rsidR="00D84FC5">
        <w:t xml:space="preserve">some aspects of the </w:t>
      </w:r>
      <w:r>
        <w:t xml:space="preserve">criteria for Ig use in Europe </w:t>
      </w:r>
      <w:r w:rsidR="00D84FC5">
        <w:t>could be considered. For example,</w:t>
      </w:r>
      <w:r>
        <w:t xml:space="preserve"> patients should be </w:t>
      </w:r>
      <w:r w:rsidR="001373F6">
        <w:t xml:space="preserve">appropriately </w:t>
      </w:r>
      <w:r w:rsidR="009D2DC6">
        <w:t>immunised</w:t>
      </w:r>
      <w:r>
        <w:t xml:space="preserve"> against </w:t>
      </w:r>
      <w:r w:rsidR="009D2DC6">
        <w:t xml:space="preserve">vaccine-preventable </w:t>
      </w:r>
      <w:r>
        <w:t>diseases</w:t>
      </w:r>
      <w:r w:rsidR="00CA3436">
        <w:t>, where clinically feasible,</w:t>
      </w:r>
      <w:r>
        <w:t xml:space="preserve"> and undergo a 3-month trial of antibiotics</w:t>
      </w:r>
      <w:r w:rsidR="002F4197">
        <w:t xml:space="preserve"> with monitoring</w:t>
      </w:r>
      <w:r>
        <w:t xml:space="preserve"> before starting Ig therapy</w:t>
      </w:r>
      <w:r w:rsidR="002F4197">
        <w:t>.</w:t>
      </w:r>
      <w:r>
        <w:t xml:space="preserve"> </w:t>
      </w:r>
      <w:r w:rsidR="00F10752">
        <w:t>Consideration should also be given to c</w:t>
      </w:r>
      <w:r w:rsidR="00B233C1">
        <w:t>hang</w:t>
      </w:r>
      <w:r w:rsidR="00F10752">
        <w:t xml:space="preserve">ing </w:t>
      </w:r>
      <w:r w:rsidR="00B233C1">
        <w:t xml:space="preserve">criteria for ongoing treatment </w:t>
      </w:r>
      <w:r w:rsidR="002F4197">
        <w:t xml:space="preserve">such as </w:t>
      </w:r>
      <w:r w:rsidR="00CD00E7">
        <w:t xml:space="preserve">more frequent </w:t>
      </w:r>
      <w:r>
        <w:t xml:space="preserve">assessment of immunological status, and </w:t>
      </w:r>
      <w:r w:rsidR="00261C94">
        <w:t xml:space="preserve">objective </w:t>
      </w:r>
      <w:r>
        <w:t>response criteria</w:t>
      </w:r>
      <w:r w:rsidR="00F10752">
        <w:t xml:space="preserve"> </w:t>
      </w:r>
      <w:r>
        <w:t>to develop clear</w:t>
      </w:r>
      <w:r w:rsidR="00CD00E7">
        <w:t xml:space="preserve"> review</w:t>
      </w:r>
      <w:r w:rsidR="006F7C7E">
        <w:t xml:space="preserve"> </w:t>
      </w:r>
      <w:r>
        <w:t>and stopping rules to ensure efficient use of</w:t>
      </w:r>
      <w:r w:rsidR="00F10752">
        <w:t xml:space="preserve"> Ig</w:t>
      </w:r>
      <w:r>
        <w:t xml:space="preserve"> in the patient</w:t>
      </w:r>
      <w:r w:rsidR="006E4EBB">
        <w:t>s</w:t>
      </w:r>
      <w:r>
        <w:t xml:space="preserve"> who are </w:t>
      </w:r>
      <w:r w:rsidR="006E4EBB">
        <w:t xml:space="preserve">continuing to </w:t>
      </w:r>
      <w:r>
        <w:t>benefit.</w:t>
      </w:r>
    </w:p>
    <w:p w14:paraId="12FE0A73" w14:textId="69D0410D" w:rsidR="009735F2" w:rsidRDefault="009735F2" w:rsidP="009735F2">
      <w:pPr>
        <w:spacing w:before="240"/>
      </w:pPr>
      <w:r>
        <w:t xml:space="preserve">It was noted that the current model was constructed using the </w:t>
      </w:r>
      <w:r w:rsidR="003D04C4">
        <w:t>V</w:t>
      </w:r>
      <w:r>
        <w:t xml:space="preserve">ersion 2 criteria and is not configured to explore stopping rules. MSAC considered it would be beneficial to reconstruct the model to allow this, and to align the model with </w:t>
      </w:r>
      <w:r w:rsidR="006F2BDD">
        <w:t>the V</w:t>
      </w:r>
      <w:r>
        <w:t xml:space="preserve">ersion 3 </w:t>
      </w:r>
      <w:r w:rsidR="006F2BDD">
        <w:t>C</w:t>
      </w:r>
      <w:r>
        <w:t xml:space="preserve">riteria, given the reduction in growth of Ig use since implementation of the </w:t>
      </w:r>
      <w:r w:rsidR="006F2BDD">
        <w:t>V</w:t>
      </w:r>
      <w:r>
        <w:t xml:space="preserve">ersion 3 </w:t>
      </w:r>
      <w:r w:rsidR="006F2BDD">
        <w:t>C</w:t>
      </w:r>
      <w:r>
        <w:t xml:space="preserve">riteria (which include </w:t>
      </w:r>
      <w:r w:rsidR="006F2BDD">
        <w:t xml:space="preserve">continuation </w:t>
      </w:r>
      <w:r>
        <w:t>rules)</w:t>
      </w:r>
      <w:r w:rsidR="00F10752">
        <w:t>.</w:t>
      </w:r>
    </w:p>
    <w:p w14:paraId="36E3A256" w14:textId="755C73E6" w:rsidR="009735F2" w:rsidRPr="00EC1DD2" w:rsidRDefault="009735F2" w:rsidP="009735F2">
      <w:pPr>
        <w:spacing w:before="240"/>
      </w:pPr>
      <w:r>
        <w:t>MSAC considered that</w:t>
      </w:r>
      <w:r w:rsidR="00A35185">
        <w:t xml:space="preserve"> ongoing review of</w:t>
      </w:r>
      <w:r>
        <w:t xml:space="preserve"> Ig use would be an appropriate research topic for the Medical Research Future Fund (MRFF), given the </w:t>
      </w:r>
      <w:r w:rsidR="00A35185">
        <w:t xml:space="preserve">current </w:t>
      </w:r>
      <w:r>
        <w:t xml:space="preserve">high cost and uncertain effectiveness of Ig treatment. It was noted that any research questions for the MRFF would require careful scoping to ensure that the research answers could inform decisions about cost-effectiveness in a practical way. MSAC </w:t>
      </w:r>
      <w:r w:rsidR="006F7C7E">
        <w:t xml:space="preserve">considered </w:t>
      </w:r>
      <w:r>
        <w:t>that the Ig Review Reference Group could progress this issue and scope potential research questions before consulting more widely with consumers and interest groups.</w:t>
      </w:r>
    </w:p>
    <w:p w14:paraId="4B2CFFB4" w14:textId="77777777" w:rsidR="00F636F1" w:rsidRPr="00F715D1" w:rsidRDefault="00F636F1" w:rsidP="00F636F1">
      <w:pPr>
        <w:pStyle w:val="Heading1"/>
      </w:pPr>
      <w:r w:rsidRPr="00F715D1">
        <w:t>Background</w:t>
      </w:r>
    </w:p>
    <w:p w14:paraId="5F76DE20" w14:textId="2829B46C" w:rsidR="00331B86" w:rsidRPr="00EF524D" w:rsidRDefault="00331B86" w:rsidP="00EF524D">
      <w:pPr>
        <w:tabs>
          <w:tab w:val="left" w:pos="720"/>
          <w:tab w:val="left" w:pos="1140"/>
        </w:tabs>
        <w:spacing w:after="240"/>
      </w:pPr>
      <w:r w:rsidRPr="007075AE">
        <w:rPr>
          <w:color w:val="222222"/>
          <w:szCs w:val="24"/>
        </w:rPr>
        <w:t xml:space="preserve">All Australian Governments, through the Jurisdictional Blood Committee (JBC), have agreed to conduct robust </w:t>
      </w:r>
      <w:r w:rsidR="00F36534">
        <w:rPr>
          <w:color w:val="222222"/>
          <w:szCs w:val="24"/>
        </w:rPr>
        <w:t xml:space="preserve">Post-market </w:t>
      </w:r>
      <w:r w:rsidRPr="007075AE">
        <w:rPr>
          <w:color w:val="222222"/>
          <w:szCs w:val="24"/>
        </w:rPr>
        <w:t>Health Technology Assessments (HTAs) of immunoglobulin use (Ig Reviews) fu</w:t>
      </w:r>
      <w:r w:rsidR="001677A4">
        <w:rPr>
          <w:color w:val="222222"/>
          <w:szCs w:val="24"/>
        </w:rPr>
        <w:t xml:space="preserve">nded under the National Blood Arrangements </w:t>
      </w:r>
      <w:r>
        <w:rPr>
          <w:color w:val="222222"/>
          <w:szCs w:val="24"/>
        </w:rPr>
        <w:t xml:space="preserve"> </w:t>
      </w:r>
      <w:r w:rsidRPr="005709B9">
        <w:rPr>
          <w:color w:val="222222"/>
          <w:szCs w:val="24"/>
        </w:rPr>
        <w:t>to ensure governmen</w:t>
      </w:r>
      <w:r>
        <w:rPr>
          <w:color w:val="222222"/>
          <w:szCs w:val="24"/>
        </w:rPr>
        <w:t xml:space="preserve">t-funded immunoglobulin use </w:t>
      </w:r>
      <w:r w:rsidRPr="005709B9">
        <w:rPr>
          <w:color w:val="222222"/>
          <w:szCs w:val="24"/>
        </w:rPr>
        <w:t>is based on stron</w:t>
      </w:r>
      <w:r>
        <w:rPr>
          <w:color w:val="222222"/>
          <w:szCs w:val="24"/>
        </w:rPr>
        <w:t xml:space="preserve">g evidence of clinical and cost </w:t>
      </w:r>
      <w:r w:rsidRPr="005709B9">
        <w:rPr>
          <w:color w:val="222222"/>
          <w:szCs w:val="24"/>
        </w:rPr>
        <w:t>effectiveness.</w:t>
      </w:r>
      <w:r>
        <w:rPr>
          <w:color w:val="3366FF"/>
          <w:szCs w:val="24"/>
        </w:rPr>
        <w:t xml:space="preserve"> </w:t>
      </w:r>
      <w:r w:rsidRPr="00E708EE">
        <w:t>The National Blood Agreement provides for MSAC to undertake evidence-based evaluation of blood products funded under the national blood supply arrangements at the request of the</w:t>
      </w:r>
      <w:r>
        <w:t xml:space="preserve"> JBC.</w:t>
      </w:r>
    </w:p>
    <w:p w14:paraId="6E344FA8" w14:textId="234FF489" w:rsidR="00331B86" w:rsidRPr="00E708EE" w:rsidRDefault="00331B86" w:rsidP="00331B86">
      <w:pPr>
        <w:tabs>
          <w:tab w:val="left" w:pos="720"/>
          <w:tab w:val="left" w:pos="1140"/>
        </w:tabs>
        <w:rPr>
          <w:color w:val="3366FF"/>
          <w:szCs w:val="24"/>
        </w:rPr>
      </w:pPr>
      <w:r w:rsidRPr="00A13054">
        <w:rPr>
          <w:color w:val="222222"/>
          <w:szCs w:val="24"/>
        </w:rPr>
        <w:t>The</w:t>
      </w:r>
      <w:r w:rsidR="00F36534">
        <w:rPr>
          <w:color w:val="222222"/>
          <w:szCs w:val="24"/>
        </w:rPr>
        <w:t xml:space="preserve"> Ig</w:t>
      </w:r>
      <w:r w:rsidRPr="00A13054">
        <w:rPr>
          <w:color w:val="222222"/>
          <w:szCs w:val="24"/>
        </w:rPr>
        <w:t xml:space="preserve"> </w:t>
      </w:r>
      <w:r>
        <w:rPr>
          <w:szCs w:val="24"/>
        </w:rPr>
        <w:t>Review of Immunoglobulin use in Australia</w:t>
      </w:r>
      <w:r>
        <w:rPr>
          <w:color w:val="222222"/>
          <w:szCs w:val="24"/>
        </w:rPr>
        <w:t xml:space="preserve"> is </w:t>
      </w:r>
      <w:r w:rsidRPr="00A13054">
        <w:rPr>
          <w:color w:val="222222"/>
          <w:szCs w:val="24"/>
        </w:rPr>
        <w:t>supported by a bespoke reference group</w:t>
      </w:r>
      <w:r>
        <w:rPr>
          <w:color w:val="222222"/>
          <w:szCs w:val="24"/>
        </w:rPr>
        <w:t xml:space="preserve">, which </w:t>
      </w:r>
      <w:r w:rsidRPr="00A13054">
        <w:rPr>
          <w:color w:val="222222"/>
          <w:szCs w:val="24"/>
        </w:rPr>
        <w:t>oversee</w:t>
      </w:r>
      <w:r>
        <w:rPr>
          <w:color w:val="222222"/>
          <w:szCs w:val="24"/>
        </w:rPr>
        <w:t>s</w:t>
      </w:r>
      <w:r w:rsidRPr="00A13054">
        <w:rPr>
          <w:color w:val="222222"/>
          <w:szCs w:val="24"/>
        </w:rPr>
        <w:t xml:space="preserve"> </w:t>
      </w:r>
      <w:r>
        <w:rPr>
          <w:color w:val="222222"/>
          <w:szCs w:val="24"/>
        </w:rPr>
        <w:t xml:space="preserve">and provides advice on evaluation of </w:t>
      </w:r>
      <w:r w:rsidRPr="00A13054">
        <w:rPr>
          <w:color w:val="222222"/>
          <w:szCs w:val="24"/>
        </w:rPr>
        <w:t>all immunoglobulin HTA review applications.</w:t>
      </w:r>
      <w:r>
        <w:rPr>
          <w:color w:val="3366FF"/>
          <w:szCs w:val="24"/>
        </w:rPr>
        <w:t xml:space="preserve"> </w:t>
      </w:r>
      <w:r w:rsidRPr="007D0AA8">
        <w:t xml:space="preserve">The PICO Confirmations for </w:t>
      </w:r>
      <w:r>
        <w:t>the</w:t>
      </w:r>
      <w:r w:rsidR="001677A4">
        <w:t xml:space="preserve"> Pilot</w:t>
      </w:r>
      <w:r>
        <w:t xml:space="preserve"> Ig Reviews </w:t>
      </w:r>
      <w:r w:rsidR="001677A4">
        <w:t xml:space="preserve">have been </w:t>
      </w:r>
      <w:r w:rsidRPr="007D0AA8">
        <w:t>considered by the Review Reference Group instead of the PICO Advisory Sub-committee (PASC). Otherwise</w:t>
      </w:r>
      <w:r w:rsidR="00AD1445">
        <w:t>,</w:t>
      </w:r>
      <w:r w:rsidRPr="007D0AA8">
        <w:t xml:space="preserve"> the MSAC evaluation process remains the same as for applications for funding of items on the Medical Benefits Schedule (MBS).</w:t>
      </w:r>
      <w:r>
        <w:t xml:space="preserve"> </w:t>
      </w:r>
      <w:r>
        <w:rPr>
          <w:szCs w:val="24"/>
        </w:rPr>
        <w:t>Application 1565 is the first report from the</w:t>
      </w:r>
      <w:r w:rsidR="001677A4">
        <w:rPr>
          <w:szCs w:val="24"/>
        </w:rPr>
        <w:t xml:space="preserve"> Pilot </w:t>
      </w:r>
      <w:r>
        <w:rPr>
          <w:szCs w:val="24"/>
        </w:rPr>
        <w:t>I</w:t>
      </w:r>
      <w:r w:rsidR="00F36534">
        <w:rPr>
          <w:szCs w:val="24"/>
        </w:rPr>
        <w:t>g</w:t>
      </w:r>
      <w:r>
        <w:rPr>
          <w:szCs w:val="24"/>
        </w:rPr>
        <w:t xml:space="preserve"> Review</w:t>
      </w:r>
      <w:r w:rsidR="00F36534">
        <w:rPr>
          <w:szCs w:val="24"/>
        </w:rPr>
        <w:t>s</w:t>
      </w:r>
      <w:r w:rsidR="00D3172D">
        <w:rPr>
          <w:szCs w:val="24"/>
        </w:rPr>
        <w:t xml:space="preserve"> </w:t>
      </w:r>
      <w:r>
        <w:rPr>
          <w:szCs w:val="24"/>
        </w:rPr>
        <w:t xml:space="preserve">to be progressed to MSAC. </w:t>
      </w:r>
    </w:p>
    <w:p w14:paraId="38CAD256" w14:textId="77777777" w:rsidR="00F636F1" w:rsidRPr="00F715D1" w:rsidRDefault="00F636F1" w:rsidP="00F636F1">
      <w:pPr>
        <w:pStyle w:val="Heading1"/>
      </w:pPr>
      <w:r w:rsidRPr="00F715D1">
        <w:lastRenderedPageBreak/>
        <w:t>Prerequisites to implementation of any funding advice</w:t>
      </w:r>
    </w:p>
    <w:p w14:paraId="457EBC4C" w14:textId="50B63F6E" w:rsidR="00331B86" w:rsidRDefault="00331B86" w:rsidP="00EF524D">
      <w:pPr>
        <w:tabs>
          <w:tab w:val="left" w:pos="720"/>
          <w:tab w:val="left" w:pos="1140"/>
        </w:tabs>
        <w:spacing w:after="240"/>
        <w:rPr>
          <w:color w:val="3366FF"/>
          <w:szCs w:val="24"/>
        </w:rPr>
      </w:pPr>
      <w:r>
        <w:rPr>
          <w:szCs w:val="24"/>
        </w:rPr>
        <w:t>Human normal immun</w:t>
      </w:r>
      <w:r w:rsidRPr="00A91C55">
        <w:rPr>
          <w:szCs w:val="24"/>
        </w:rPr>
        <w:t>oglobulin</w:t>
      </w:r>
      <w:r w:rsidRPr="00A91C55">
        <w:t xml:space="preserve"> </w:t>
      </w:r>
      <w:r>
        <w:t xml:space="preserve">is listed on the </w:t>
      </w:r>
      <w:r w:rsidRPr="00A86110">
        <w:t>Australian Register of Therapeutic Goods (ARTG)</w:t>
      </w:r>
      <w:r>
        <w:t xml:space="preserve"> for replacement IgG therapy in symptomatic hypogammaglobulinaemia secondary to underlying disease or treatment. </w:t>
      </w:r>
      <w:r>
        <w:rPr>
          <w:rFonts w:eastAsia="Calibri"/>
          <w:lang w:eastAsia="en-US"/>
        </w:rPr>
        <w:t>All IgG products</w:t>
      </w:r>
      <w:r w:rsidRPr="007D0AA8">
        <w:rPr>
          <w:rFonts w:eastAsia="Calibri"/>
          <w:lang w:eastAsia="en-US"/>
        </w:rPr>
        <w:t xml:space="preserve"> registered on the ARTG, </w:t>
      </w:r>
      <w:r>
        <w:rPr>
          <w:rFonts w:eastAsia="Calibri"/>
        </w:rPr>
        <w:t xml:space="preserve">including the sponsor, </w:t>
      </w:r>
      <w:r w:rsidRPr="007D0AA8">
        <w:rPr>
          <w:rFonts w:eastAsia="Calibri"/>
        </w:rPr>
        <w:t>route(s) of administration</w:t>
      </w:r>
      <w:r>
        <w:rPr>
          <w:rFonts w:eastAsia="Calibri"/>
        </w:rPr>
        <w:t>, and NBA funding status at the time of the application,</w:t>
      </w:r>
      <w:r w:rsidRPr="007D0AA8">
        <w:rPr>
          <w:rFonts w:eastAsia="Calibri"/>
        </w:rPr>
        <w:t xml:space="preserve"> are</w:t>
      </w:r>
      <w:r w:rsidR="00AD1445">
        <w:rPr>
          <w:rFonts w:eastAsia="Calibri"/>
        </w:rPr>
        <w:t xml:space="preserve"> </w:t>
      </w:r>
      <w:r w:rsidRPr="007D0AA8">
        <w:rPr>
          <w:rFonts w:eastAsia="Calibri"/>
        </w:rPr>
        <w:t xml:space="preserve">listed in </w:t>
      </w:r>
      <w:r>
        <w:rPr>
          <w:rFonts w:eastAsia="Calibri"/>
        </w:rPr>
        <w:t>Table 1.</w:t>
      </w:r>
    </w:p>
    <w:p w14:paraId="2A0A7957" w14:textId="77777777" w:rsidR="00331B86" w:rsidRPr="00BD6AE8" w:rsidRDefault="00331B86" w:rsidP="00BD6AE8">
      <w:pPr>
        <w:rPr>
          <w:rFonts w:ascii="Arial Narrow" w:hAnsi="Arial Narrow"/>
          <w:b/>
          <w:sz w:val="20"/>
        </w:rPr>
      </w:pPr>
      <w:bookmarkStart w:id="2" w:name="_Ref1645380"/>
      <w:bookmarkStart w:id="3" w:name="_Toc1645308"/>
      <w:bookmarkStart w:id="4" w:name="_Ref10110574"/>
      <w:bookmarkStart w:id="5" w:name="_Toc14429553"/>
      <w:bookmarkStart w:id="6" w:name="_Toc16671608"/>
      <w:r w:rsidRPr="00BD6AE8">
        <w:rPr>
          <w:rFonts w:ascii="Arial Narrow" w:hAnsi="Arial Narrow"/>
          <w:b/>
          <w:sz w:val="20"/>
        </w:rPr>
        <w:t>Table</w:t>
      </w:r>
      <w:bookmarkEnd w:id="2"/>
      <w:r w:rsidRPr="00BD6AE8">
        <w:rPr>
          <w:rFonts w:ascii="Arial Narrow" w:hAnsi="Arial Narrow"/>
          <w:b/>
          <w:sz w:val="20"/>
        </w:rPr>
        <w:t xml:space="preserve"> 1</w:t>
      </w:r>
      <w:r w:rsidRPr="00BD6AE8">
        <w:rPr>
          <w:rFonts w:ascii="Arial Narrow" w:hAnsi="Arial Narrow"/>
          <w:b/>
          <w:sz w:val="20"/>
        </w:rPr>
        <w:tab/>
        <w:t>IgG products registered on the ARTG</w:t>
      </w:r>
      <w:bookmarkEnd w:id="3"/>
      <w:bookmarkEnd w:id="4"/>
      <w:bookmarkEnd w:id="5"/>
      <w:bookmarkEnd w:id="6"/>
    </w:p>
    <w:tbl>
      <w:tblPr>
        <w:tblStyle w:val="TableGrid1"/>
        <w:tblW w:w="5000" w:type="pct"/>
        <w:tblLook w:val="04A0" w:firstRow="1" w:lastRow="0" w:firstColumn="1" w:lastColumn="0" w:noHBand="0" w:noVBand="1"/>
        <w:tblDescription w:val="IgG products registered on the ARTG"/>
      </w:tblPr>
      <w:tblGrid>
        <w:gridCol w:w="2441"/>
        <w:gridCol w:w="1960"/>
        <w:gridCol w:w="2508"/>
        <w:gridCol w:w="2107"/>
      </w:tblGrid>
      <w:tr w:rsidR="00331B86" w:rsidRPr="008742A1" w14:paraId="33E24B5E" w14:textId="77777777" w:rsidTr="00160DD2">
        <w:trPr>
          <w:cnfStyle w:val="100000000000" w:firstRow="1" w:lastRow="0" w:firstColumn="0" w:lastColumn="0" w:oddVBand="0" w:evenVBand="0" w:oddHBand="0" w:evenHBand="0" w:firstRowFirstColumn="0" w:firstRowLastColumn="0" w:lastRowFirstColumn="0" w:lastRowLastColumn="0"/>
          <w:tblHeader/>
        </w:trPr>
        <w:tc>
          <w:tcPr>
            <w:tcW w:w="1477" w:type="pct"/>
            <w:hideMark/>
          </w:tcPr>
          <w:p w14:paraId="6EDDCE40" w14:textId="77777777" w:rsidR="00331B86" w:rsidRPr="008742A1" w:rsidRDefault="00331B86" w:rsidP="009735F2">
            <w:pPr>
              <w:pStyle w:val="TableHeading"/>
              <w:keepLines/>
            </w:pPr>
            <w:r w:rsidRPr="008742A1">
              <w:t>Product</w:t>
            </w:r>
          </w:p>
        </w:tc>
        <w:tc>
          <w:tcPr>
            <w:tcW w:w="1209" w:type="pct"/>
            <w:hideMark/>
          </w:tcPr>
          <w:p w14:paraId="4E3E70AC" w14:textId="77777777" w:rsidR="00331B86" w:rsidRPr="008742A1" w:rsidRDefault="00331B86" w:rsidP="009735F2">
            <w:pPr>
              <w:pStyle w:val="TableHeading"/>
              <w:keepLines/>
            </w:pPr>
            <w:r w:rsidRPr="008742A1">
              <w:t>Sponsor</w:t>
            </w:r>
          </w:p>
        </w:tc>
        <w:tc>
          <w:tcPr>
            <w:tcW w:w="1494" w:type="pct"/>
            <w:hideMark/>
          </w:tcPr>
          <w:p w14:paraId="4C756767" w14:textId="77777777" w:rsidR="00331B86" w:rsidRPr="008742A1" w:rsidRDefault="00331B86" w:rsidP="009735F2">
            <w:pPr>
              <w:pStyle w:val="TableHeading"/>
              <w:keepLines/>
            </w:pPr>
            <w:r w:rsidRPr="008742A1">
              <w:t>Route of Administration</w:t>
            </w:r>
          </w:p>
        </w:tc>
        <w:tc>
          <w:tcPr>
            <w:tcW w:w="820" w:type="pct"/>
            <w:hideMark/>
          </w:tcPr>
          <w:p w14:paraId="4F0CA9FE" w14:textId="77777777" w:rsidR="00331B86" w:rsidRPr="008742A1" w:rsidRDefault="00331B86" w:rsidP="009735F2">
            <w:pPr>
              <w:pStyle w:val="TableHeading"/>
              <w:keepLines/>
            </w:pPr>
            <w:r w:rsidRPr="008742A1">
              <w:t>NBA Funded*?</w:t>
            </w:r>
          </w:p>
        </w:tc>
      </w:tr>
      <w:tr w:rsidR="00331B86" w:rsidRPr="007D0AA8" w14:paraId="16B56D88" w14:textId="77777777" w:rsidTr="00160DD2">
        <w:tc>
          <w:tcPr>
            <w:tcW w:w="1477" w:type="pct"/>
            <w:hideMark/>
          </w:tcPr>
          <w:p w14:paraId="0B7223AD" w14:textId="77777777" w:rsidR="00331B86" w:rsidRPr="007D0AA8" w:rsidRDefault="00331B86" w:rsidP="009735F2">
            <w:pPr>
              <w:pStyle w:val="Tabletext"/>
              <w:keepNext/>
              <w:keepLines/>
            </w:pPr>
            <w:r w:rsidRPr="007D0AA8">
              <w:t>Intragam 10</w:t>
            </w:r>
          </w:p>
        </w:tc>
        <w:tc>
          <w:tcPr>
            <w:tcW w:w="1209" w:type="pct"/>
            <w:hideMark/>
          </w:tcPr>
          <w:p w14:paraId="34CF651C" w14:textId="77777777" w:rsidR="00331B86" w:rsidRPr="007D0AA8" w:rsidRDefault="00331B86" w:rsidP="009735F2">
            <w:pPr>
              <w:pStyle w:val="Tabletext"/>
              <w:keepNext/>
              <w:keepLines/>
            </w:pPr>
            <w:r w:rsidRPr="007D0AA8">
              <w:t>CSL Behring</w:t>
            </w:r>
          </w:p>
        </w:tc>
        <w:tc>
          <w:tcPr>
            <w:tcW w:w="1494" w:type="pct"/>
            <w:hideMark/>
          </w:tcPr>
          <w:p w14:paraId="1366C508" w14:textId="77777777" w:rsidR="00331B86" w:rsidRPr="007D0AA8" w:rsidRDefault="00331B86" w:rsidP="009735F2">
            <w:pPr>
              <w:pStyle w:val="Tabletext"/>
              <w:keepNext/>
              <w:keepLines/>
            </w:pPr>
            <w:r w:rsidRPr="007D0AA8">
              <w:t>IV</w:t>
            </w:r>
          </w:p>
        </w:tc>
        <w:tc>
          <w:tcPr>
            <w:tcW w:w="820" w:type="pct"/>
            <w:hideMark/>
          </w:tcPr>
          <w:p w14:paraId="68A17FEC" w14:textId="77777777" w:rsidR="00331B86" w:rsidRPr="007D0AA8" w:rsidRDefault="00331B86" w:rsidP="009735F2">
            <w:pPr>
              <w:pStyle w:val="Tabletext"/>
              <w:keepNext/>
              <w:keepLines/>
            </w:pPr>
            <w:r w:rsidRPr="007D0AA8">
              <w:t>Yes</w:t>
            </w:r>
          </w:p>
        </w:tc>
      </w:tr>
      <w:tr w:rsidR="00331B86" w:rsidRPr="007D0AA8" w14:paraId="01C1C24C" w14:textId="77777777" w:rsidTr="00160DD2">
        <w:tc>
          <w:tcPr>
            <w:tcW w:w="1477" w:type="pct"/>
            <w:hideMark/>
          </w:tcPr>
          <w:p w14:paraId="4937CA5B" w14:textId="77777777" w:rsidR="00331B86" w:rsidRPr="007D0AA8" w:rsidRDefault="00331B86" w:rsidP="009735F2">
            <w:pPr>
              <w:pStyle w:val="Tabletext"/>
              <w:keepNext/>
              <w:keepLines/>
            </w:pPr>
            <w:r w:rsidRPr="007D0AA8">
              <w:t>Privigen 10%</w:t>
            </w:r>
          </w:p>
        </w:tc>
        <w:tc>
          <w:tcPr>
            <w:tcW w:w="1209" w:type="pct"/>
            <w:hideMark/>
          </w:tcPr>
          <w:p w14:paraId="7C5AD7A0" w14:textId="77777777" w:rsidR="00331B86" w:rsidRPr="007D0AA8" w:rsidRDefault="00331B86" w:rsidP="009735F2">
            <w:pPr>
              <w:pStyle w:val="Tabletext"/>
              <w:keepNext/>
              <w:keepLines/>
            </w:pPr>
            <w:r w:rsidRPr="007D0AA8">
              <w:t>CSL Behring</w:t>
            </w:r>
          </w:p>
        </w:tc>
        <w:tc>
          <w:tcPr>
            <w:tcW w:w="1494" w:type="pct"/>
            <w:hideMark/>
          </w:tcPr>
          <w:p w14:paraId="440F1BC5" w14:textId="77777777" w:rsidR="00331B86" w:rsidRPr="007D0AA8" w:rsidRDefault="00331B86" w:rsidP="009735F2">
            <w:pPr>
              <w:pStyle w:val="Tabletext"/>
              <w:keepNext/>
              <w:keepLines/>
            </w:pPr>
            <w:r w:rsidRPr="007D0AA8">
              <w:t>IV</w:t>
            </w:r>
          </w:p>
        </w:tc>
        <w:tc>
          <w:tcPr>
            <w:tcW w:w="820" w:type="pct"/>
            <w:hideMark/>
          </w:tcPr>
          <w:p w14:paraId="12A93E25" w14:textId="77777777" w:rsidR="00331B86" w:rsidRPr="007D0AA8" w:rsidRDefault="00331B86" w:rsidP="009735F2">
            <w:pPr>
              <w:pStyle w:val="Tabletext"/>
              <w:keepNext/>
              <w:keepLines/>
            </w:pPr>
            <w:r w:rsidRPr="007D0AA8">
              <w:t>Yes</w:t>
            </w:r>
          </w:p>
        </w:tc>
      </w:tr>
      <w:tr w:rsidR="00331B86" w:rsidRPr="007D0AA8" w14:paraId="1CED8088" w14:textId="77777777" w:rsidTr="00160DD2">
        <w:tc>
          <w:tcPr>
            <w:tcW w:w="1477" w:type="pct"/>
            <w:hideMark/>
          </w:tcPr>
          <w:p w14:paraId="0147A193" w14:textId="77777777" w:rsidR="00331B86" w:rsidRPr="007D0AA8" w:rsidRDefault="00331B86" w:rsidP="009735F2">
            <w:pPr>
              <w:pStyle w:val="Tabletext"/>
              <w:keepNext/>
              <w:keepLines/>
            </w:pPr>
            <w:r w:rsidRPr="007D0AA8">
              <w:t xml:space="preserve">Hizentra </w:t>
            </w:r>
          </w:p>
        </w:tc>
        <w:tc>
          <w:tcPr>
            <w:tcW w:w="1209" w:type="pct"/>
            <w:hideMark/>
          </w:tcPr>
          <w:p w14:paraId="340E2E37" w14:textId="77777777" w:rsidR="00331B86" w:rsidRPr="007D0AA8" w:rsidRDefault="00331B86" w:rsidP="009735F2">
            <w:pPr>
              <w:pStyle w:val="Tabletext"/>
              <w:keepNext/>
              <w:keepLines/>
            </w:pPr>
            <w:r w:rsidRPr="007D0AA8">
              <w:t>CSL Behring</w:t>
            </w:r>
          </w:p>
        </w:tc>
        <w:tc>
          <w:tcPr>
            <w:tcW w:w="1494" w:type="pct"/>
            <w:hideMark/>
          </w:tcPr>
          <w:p w14:paraId="1F0FCC18" w14:textId="77777777" w:rsidR="00331B86" w:rsidRPr="007D0AA8" w:rsidRDefault="00331B86" w:rsidP="009735F2">
            <w:pPr>
              <w:pStyle w:val="Tabletext"/>
              <w:keepNext/>
              <w:keepLines/>
            </w:pPr>
            <w:r w:rsidRPr="007D0AA8">
              <w:t>SC</w:t>
            </w:r>
          </w:p>
        </w:tc>
        <w:tc>
          <w:tcPr>
            <w:tcW w:w="820" w:type="pct"/>
            <w:hideMark/>
          </w:tcPr>
          <w:p w14:paraId="3C156C6E" w14:textId="77777777" w:rsidR="00331B86" w:rsidRPr="007D0AA8" w:rsidRDefault="00331B86" w:rsidP="009735F2">
            <w:pPr>
              <w:pStyle w:val="Tabletext"/>
              <w:keepNext/>
              <w:keepLines/>
            </w:pPr>
            <w:r w:rsidRPr="007D0AA8">
              <w:t>Yes</w:t>
            </w:r>
          </w:p>
        </w:tc>
      </w:tr>
      <w:tr w:rsidR="00331B86" w:rsidRPr="007D0AA8" w14:paraId="15F1A98B" w14:textId="77777777" w:rsidTr="00160DD2">
        <w:tc>
          <w:tcPr>
            <w:tcW w:w="1477" w:type="pct"/>
            <w:hideMark/>
          </w:tcPr>
          <w:p w14:paraId="5E68A4FD" w14:textId="77777777" w:rsidR="00331B86" w:rsidRPr="007D0AA8" w:rsidRDefault="00331B86" w:rsidP="009735F2">
            <w:pPr>
              <w:pStyle w:val="Tabletext"/>
              <w:keepNext/>
              <w:keepLines/>
            </w:pPr>
            <w:r w:rsidRPr="007D0AA8">
              <w:t>Gamunex 10%</w:t>
            </w:r>
          </w:p>
        </w:tc>
        <w:tc>
          <w:tcPr>
            <w:tcW w:w="1209" w:type="pct"/>
            <w:hideMark/>
          </w:tcPr>
          <w:p w14:paraId="6F8E77F7" w14:textId="77777777" w:rsidR="00331B86" w:rsidRPr="007D0AA8" w:rsidRDefault="00331B86" w:rsidP="009735F2">
            <w:pPr>
              <w:pStyle w:val="Tabletext"/>
              <w:keepNext/>
              <w:keepLines/>
            </w:pPr>
            <w:r w:rsidRPr="007D0AA8">
              <w:t xml:space="preserve">Grifols </w:t>
            </w:r>
          </w:p>
        </w:tc>
        <w:tc>
          <w:tcPr>
            <w:tcW w:w="1494" w:type="pct"/>
            <w:hideMark/>
          </w:tcPr>
          <w:p w14:paraId="479D3AD0" w14:textId="77777777" w:rsidR="00331B86" w:rsidRPr="007D0AA8" w:rsidRDefault="00331B86" w:rsidP="009735F2">
            <w:pPr>
              <w:pStyle w:val="Tabletext"/>
              <w:keepNext/>
              <w:keepLines/>
            </w:pPr>
            <w:r w:rsidRPr="007D0AA8">
              <w:t>IV and SC</w:t>
            </w:r>
          </w:p>
        </w:tc>
        <w:tc>
          <w:tcPr>
            <w:tcW w:w="820" w:type="pct"/>
            <w:hideMark/>
          </w:tcPr>
          <w:p w14:paraId="75E60F9B" w14:textId="77777777" w:rsidR="00331B86" w:rsidRPr="007D0AA8" w:rsidRDefault="00331B86" w:rsidP="009735F2">
            <w:pPr>
              <w:pStyle w:val="Tabletext"/>
              <w:keepNext/>
              <w:keepLines/>
            </w:pPr>
            <w:r w:rsidRPr="007D0AA8">
              <w:t>No</w:t>
            </w:r>
          </w:p>
        </w:tc>
      </w:tr>
      <w:tr w:rsidR="00331B86" w:rsidRPr="007D0AA8" w14:paraId="483273C2" w14:textId="77777777" w:rsidTr="00160DD2">
        <w:tc>
          <w:tcPr>
            <w:tcW w:w="1477" w:type="pct"/>
            <w:hideMark/>
          </w:tcPr>
          <w:p w14:paraId="7301F343" w14:textId="77777777" w:rsidR="00331B86" w:rsidRPr="007D0AA8" w:rsidRDefault="00331B86" w:rsidP="009735F2">
            <w:pPr>
              <w:pStyle w:val="Tabletext"/>
              <w:keepNext/>
              <w:keepLines/>
            </w:pPr>
            <w:r w:rsidRPr="007D0AA8">
              <w:t>Flebogamma 10%</w:t>
            </w:r>
          </w:p>
        </w:tc>
        <w:tc>
          <w:tcPr>
            <w:tcW w:w="1209" w:type="pct"/>
            <w:hideMark/>
          </w:tcPr>
          <w:p w14:paraId="2CDE5344" w14:textId="77777777" w:rsidR="00331B86" w:rsidRPr="007D0AA8" w:rsidRDefault="00331B86" w:rsidP="009735F2">
            <w:pPr>
              <w:pStyle w:val="Tabletext"/>
              <w:keepNext/>
              <w:keepLines/>
            </w:pPr>
            <w:r w:rsidRPr="007D0AA8">
              <w:t xml:space="preserve">Grifols </w:t>
            </w:r>
          </w:p>
        </w:tc>
        <w:tc>
          <w:tcPr>
            <w:tcW w:w="1494" w:type="pct"/>
            <w:hideMark/>
          </w:tcPr>
          <w:p w14:paraId="682D3057" w14:textId="77777777" w:rsidR="00331B86" w:rsidRPr="007D0AA8" w:rsidRDefault="00331B86" w:rsidP="009735F2">
            <w:pPr>
              <w:pStyle w:val="Tabletext"/>
              <w:keepNext/>
              <w:keepLines/>
            </w:pPr>
            <w:r w:rsidRPr="007D0AA8">
              <w:t>IV</w:t>
            </w:r>
          </w:p>
        </w:tc>
        <w:tc>
          <w:tcPr>
            <w:tcW w:w="820" w:type="pct"/>
            <w:hideMark/>
          </w:tcPr>
          <w:p w14:paraId="28A4753D" w14:textId="77777777" w:rsidR="00331B86" w:rsidRPr="007D0AA8" w:rsidRDefault="00331B86" w:rsidP="009735F2">
            <w:pPr>
              <w:pStyle w:val="Tabletext"/>
              <w:keepNext/>
              <w:keepLines/>
            </w:pPr>
            <w:r w:rsidRPr="007D0AA8">
              <w:t>Yes</w:t>
            </w:r>
          </w:p>
        </w:tc>
      </w:tr>
      <w:tr w:rsidR="00331B86" w:rsidRPr="007D0AA8" w14:paraId="2F7A13DB" w14:textId="77777777" w:rsidTr="00160DD2">
        <w:tc>
          <w:tcPr>
            <w:tcW w:w="1477" w:type="pct"/>
            <w:hideMark/>
          </w:tcPr>
          <w:p w14:paraId="528FC812" w14:textId="77777777" w:rsidR="00331B86" w:rsidRPr="007D0AA8" w:rsidRDefault="00331B86" w:rsidP="009735F2">
            <w:pPr>
              <w:pStyle w:val="Tabletext"/>
              <w:keepNext/>
              <w:keepLines/>
            </w:pPr>
            <w:r w:rsidRPr="007D0AA8">
              <w:t>Flebogamma 5%</w:t>
            </w:r>
          </w:p>
        </w:tc>
        <w:tc>
          <w:tcPr>
            <w:tcW w:w="1209" w:type="pct"/>
            <w:hideMark/>
          </w:tcPr>
          <w:p w14:paraId="70FB3846" w14:textId="77777777" w:rsidR="00331B86" w:rsidRPr="007D0AA8" w:rsidRDefault="00331B86" w:rsidP="009735F2">
            <w:pPr>
              <w:pStyle w:val="Tabletext"/>
              <w:keepNext/>
              <w:keepLines/>
            </w:pPr>
            <w:r w:rsidRPr="007D0AA8">
              <w:t xml:space="preserve">Grifols </w:t>
            </w:r>
          </w:p>
        </w:tc>
        <w:tc>
          <w:tcPr>
            <w:tcW w:w="1494" w:type="pct"/>
            <w:hideMark/>
          </w:tcPr>
          <w:p w14:paraId="70AAB82F" w14:textId="77777777" w:rsidR="00331B86" w:rsidRPr="007D0AA8" w:rsidRDefault="00331B86" w:rsidP="009735F2">
            <w:pPr>
              <w:pStyle w:val="Tabletext"/>
              <w:keepNext/>
              <w:keepLines/>
            </w:pPr>
            <w:r w:rsidRPr="007D0AA8">
              <w:t>IV</w:t>
            </w:r>
          </w:p>
        </w:tc>
        <w:tc>
          <w:tcPr>
            <w:tcW w:w="820" w:type="pct"/>
            <w:hideMark/>
          </w:tcPr>
          <w:p w14:paraId="6068CC7F" w14:textId="77777777" w:rsidR="00331B86" w:rsidRPr="007D0AA8" w:rsidRDefault="00331B86" w:rsidP="009735F2">
            <w:pPr>
              <w:pStyle w:val="Tabletext"/>
              <w:keepNext/>
              <w:keepLines/>
            </w:pPr>
            <w:r w:rsidRPr="007D0AA8">
              <w:t>Yes</w:t>
            </w:r>
          </w:p>
        </w:tc>
      </w:tr>
      <w:tr w:rsidR="00331B86" w:rsidRPr="007D0AA8" w14:paraId="04A66806" w14:textId="77777777" w:rsidTr="00160DD2">
        <w:tc>
          <w:tcPr>
            <w:tcW w:w="1477" w:type="pct"/>
            <w:hideMark/>
          </w:tcPr>
          <w:p w14:paraId="79588BBA" w14:textId="77777777" w:rsidR="00331B86" w:rsidRPr="007D0AA8" w:rsidRDefault="00331B86" w:rsidP="009735F2">
            <w:pPr>
              <w:pStyle w:val="Tabletext"/>
              <w:keepNext/>
              <w:keepLines/>
              <w:rPr>
                <w:i/>
              </w:rPr>
            </w:pPr>
            <w:r w:rsidRPr="007D0AA8">
              <w:rPr>
                <w:i/>
              </w:rPr>
              <w:t>Intragam P</w:t>
            </w:r>
          </w:p>
        </w:tc>
        <w:tc>
          <w:tcPr>
            <w:tcW w:w="1209" w:type="pct"/>
            <w:hideMark/>
          </w:tcPr>
          <w:p w14:paraId="54F5503C" w14:textId="77777777" w:rsidR="00331B86" w:rsidRPr="007D0AA8" w:rsidRDefault="00331B86" w:rsidP="009735F2">
            <w:pPr>
              <w:pStyle w:val="Tabletext"/>
              <w:keepNext/>
              <w:keepLines/>
              <w:rPr>
                <w:i/>
              </w:rPr>
            </w:pPr>
            <w:r w:rsidRPr="007D0AA8">
              <w:rPr>
                <w:i/>
              </w:rPr>
              <w:t>CSL Behring</w:t>
            </w:r>
          </w:p>
        </w:tc>
        <w:tc>
          <w:tcPr>
            <w:tcW w:w="1494" w:type="pct"/>
            <w:hideMark/>
          </w:tcPr>
          <w:p w14:paraId="6213FCC4" w14:textId="77777777" w:rsidR="00331B86" w:rsidRPr="007D0AA8" w:rsidRDefault="00331B86" w:rsidP="009735F2">
            <w:pPr>
              <w:pStyle w:val="Tabletext"/>
              <w:keepNext/>
              <w:keepLines/>
              <w:rPr>
                <w:i/>
              </w:rPr>
            </w:pPr>
            <w:r w:rsidRPr="007D0AA8">
              <w:rPr>
                <w:i/>
              </w:rPr>
              <w:t>IV</w:t>
            </w:r>
          </w:p>
        </w:tc>
        <w:tc>
          <w:tcPr>
            <w:tcW w:w="820" w:type="pct"/>
            <w:hideMark/>
          </w:tcPr>
          <w:p w14:paraId="33D4C56B" w14:textId="77777777" w:rsidR="00331B86" w:rsidRPr="007D0AA8" w:rsidRDefault="00331B86" w:rsidP="009735F2">
            <w:pPr>
              <w:pStyle w:val="Tabletext"/>
              <w:keepNext/>
              <w:keepLines/>
              <w:rPr>
                <w:i/>
              </w:rPr>
            </w:pPr>
            <w:r w:rsidRPr="007D0AA8">
              <w:rPr>
                <w:i/>
              </w:rPr>
              <w:t>Yes</w:t>
            </w:r>
            <w:r w:rsidRPr="007D0AA8">
              <w:rPr>
                <w:i/>
                <w:vertAlign w:val="superscript"/>
              </w:rPr>
              <w:t>**</w:t>
            </w:r>
          </w:p>
        </w:tc>
      </w:tr>
      <w:tr w:rsidR="00331B86" w:rsidRPr="007D0AA8" w14:paraId="141860FC" w14:textId="77777777" w:rsidTr="00160DD2">
        <w:tc>
          <w:tcPr>
            <w:tcW w:w="1477" w:type="pct"/>
            <w:hideMark/>
          </w:tcPr>
          <w:p w14:paraId="7EF172F6" w14:textId="77777777" w:rsidR="00331B86" w:rsidRPr="007D0AA8" w:rsidRDefault="00331B86" w:rsidP="009735F2">
            <w:pPr>
              <w:pStyle w:val="Tabletext"/>
              <w:keepNext/>
              <w:keepLines/>
            </w:pPr>
            <w:r w:rsidRPr="007D0AA8">
              <w:t>Evogam</w:t>
            </w:r>
          </w:p>
        </w:tc>
        <w:tc>
          <w:tcPr>
            <w:tcW w:w="1209" w:type="pct"/>
            <w:hideMark/>
          </w:tcPr>
          <w:p w14:paraId="0FD43DD5" w14:textId="77777777" w:rsidR="00331B86" w:rsidRPr="007D0AA8" w:rsidRDefault="00331B86" w:rsidP="009735F2">
            <w:pPr>
              <w:pStyle w:val="Tabletext"/>
              <w:keepNext/>
              <w:keepLines/>
            </w:pPr>
            <w:r w:rsidRPr="007D0AA8">
              <w:t>CSL Behring</w:t>
            </w:r>
          </w:p>
        </w:tc>
        <w:tc>
          <w:tcPr>
            <w:tcW w:w="1494" w:type="pct"/>
            <w:hideMark/>
          </w:tcPr>
          <w:p w14:paraId="5C54CE99" w14:textId="77777777" w:rsidR="00331B86" w:rsidRPr="007D0AA8" w:rsidRDefault="00331B86" w:rsidP="009735F2">
            <w:pPr>
              <w:pStyle w:val="Tabletext"/>
              <w:keepNext/>
              <w:keepLines/>
            </w:pPr>
            <w:r w:rsidRPr="007D0AA8">
              <w:t>SC</w:t>
            </w:r>
          </w:p>
        </w:tc>
        <w:tc>
          <w:tcPr>
            <w:tcW w:w="820" w:type="pct"/>
            <w:hideMark/>
          </w:tcPr>
          <w:p w14:paraId="3C86A297" w14:textId="77777777" w:rsidR="00331B86" w:rsidRPr="007D0AA8" w:rsidRDefault="00331B86" w:rsidP="009735F2">
            <w:pPr>
              <w:pStyle w:val="Tabletext"/>
              <w:keepNext/>
              <w:keepLines/>
            </w:pPr>
            <w:r w:rsidRPr="007D0AA8">
              <w:t>No</w:t>
            </w:r>
          </w:p>
        </w:tc>
      </w:tr>
      <w:tr w:rsidR="00331B86" w:rsidRPr="007D0AA8" w14:paraId="7A93F273" w14:textId="77777777" w:rsidTr="00160DD2">
        <w:tc>
          <w:tcPr>
            <w:tcW w:w="1477" w:type="pct"/>
            <w:hideMark/>
          </w:tcPr>
          <w:p w14:paraId="064D6D21" w14:textId="77777777" w:rsidR="00331B86" w:rsidRPr="007D0AA8" w:rsidRDefault="00331B86" w:rsidP="009735F2">
            <w:pPr>
              <w:pStyle w:val="Tabletext"/>
              <w:keepNext/>
              <w:keepLines/>
            </w:pPr>
            <w:r w:rsidRPr="007D0AA8">
              <w:t>Panzyga</w:t>
            </w:r>
          </w:p>
        </w:tc>
        <w:tc>
          <w:tcPr>
            <w:tcW w:w="1209" w:type="pct"/>
            <w:hideMark/>
          </w:tcPr>
          <w:p w14:paraId="63604CB3" w14:textId="77777777" w:rsidR="00331B86" w:rsidRPr="007D0AA8" w:rsidRDefault="00331B86" w:rsidP="009735F2">
            <w:pPr>
              <w:pStyle w:val="Tabletext"/>
              <w:keepNext/>
              <w:keepLines/>
            </w:pPr>
            <w:r w:rsidRPr="007D0AA8">
              <w:t>Octapha</w:t>
            </w:r>
            <w:r>
              <w:t>r</w:t>
            </w:r>
            <w:r w:rsidRPr="007D0AA8">
              <w:t xml:space="preserve">ma </w:t>
            </w:r>
          </w:p>
        </w:tc>
        <w:tc>
          <w:tcPr>
            <w:tcW w:w="1494" w:type="pct"/>
            <w:hideMark/>
          </w:tcPr>
          <w:p w14:paraId="006B5456" w14:textId="77777777" w:rsidR="00331B86" w:rsidRPr="007D0AA8" w:rsidRDefault="00331B86" w:rsidP="009735F2">
            <w:pPr>
              <w:pStyle w:val="Tabletext"/>
              <w:keepNext/>
              <w:keepLines/>
            </w:pPr>
            <w:r w:rsidRPr="007D0AA8">
              <w:t>IV</w:t>
            </w:r>
          </w:p>
        </w:tc>
        <w:tc>
          <w:tcPr>
            <w:tcW w:w="820" w:type="pct"/>
            <w:hideMark/>
          </w:tcPr>
          <w:p w14:paraId="308F0A89" w14:textId="77777777" w:rsidR="00331B86" w:rsidRPr="007D0AA8" w:rsidRDefault="00331B86" w:rsidP="009735F2">
            <w:pPr>
              <w:pStyle w:val="Tabletext"/>
              <w:keepNext/>
              <w:keepLines/>
            </w:pPr>
            <w:r w:rsidRPr="007D0AA8">
              <w:t>No</w:t>
            </w:r>
          </w:p>
        </w:tc>
      </w:tr>
      <w:tr w:rsidR="00331B86" w:rsidRPr="007D0AA8" w14:paraId="15FB9E4D" w14:textId="77777777" w:rsidTr="00160DD2">
        <w:tc>
          <w:tcPr>
            <w:tcW w:w="1477" w:type="pct"/>
            <w:hideMark/>
          </w:tcPr>
          <w:p w14:paraId="18C91277" w14:textId="77777777" w:rsidR="00331B86" w:rsidRPr="007D0AA8" w:rsidRDefault="00331B86" w:rsidP="009735F2">
            <w:pPr>
              <w:pStyle w:val="Tabletext"/>
              <w:keepNext/>
              <w:keepLines/>
            </w:pPr>
            <w:r w:rsidRPr="007D0AA8">
              <w:t>Hyqvia</w:t>
            </w:r>
          </w:p>
        </w:tc>
        <w:tc>
          <w:tcPr>
            <w:tcW w:w="1209" w:type="pct"/>
            <w:hideMark/>
          </w:tcPr>
          <w:p w14:paraId="74D611A8" w14:textId="77777777" w:rsidR="00331B86" w:rsidRPr="007D0AA8" w:rsidRDefault="00331B86" w:rsidP="009735F2">
            <w:pPr>
              <w:pStyle w:val="Tabletext"/>
              <w:keepNext/>
              <w:keepLines/>
            </w:pPr>
            <w:r w:rsidRPr="007D0AA8">
              <w:t>Shire</w:t>
            </w:r>
          </w:p>
        </w:tc>
        <w:tc>
          <w:tcPr>
            <w:tcW w:w="1494" w:type="pct"/>
            <w:hideMark/>
          </w:tcPr>
          <w:p w14:paraId="53703D3C" w14:textId="77777777" w:rsidR="00331B86" w:rsidRPr="007D0AA8" w:rsidRDefault="00331B86" w:rsidP="009735F2">
            <w:pPr>
              <w:pStyle w:val="Tabletext"/>
              <w:keepNext/>
              <w:keepLines/>
            </w:pPr>
            <w:r w:rsidRPr="007D0AA8">
              <w:t>SC</w:t>
            </w:r>
          </w:p>
        </w:tc>
        <w:tc>
          <w:tcPr>
            <w:tcW w:w="820" w:type="pct"/>
            <w:hideMark/>
          </w:tcPr>
          <w:p w14:paraId="13EA1385" w14:textId="77777777" w:rsidR="00331B86" w:rsidRPr="007D0AA8" w:rsidRDefault="00331B86" w:rsidP="009735F2">
            <w:pPr>
              <w:pStyle w:val="Tabletext"/>
              <w:keepNext/>
              <w:keepLines/>
            </w:pPr>
            <w:r w:rsidRPr="007D0AA8">
              <w:t>No</w:t>
            </w:r>
          </w:p>
        </w:tc>
      </w:tr>
      <w:tr w:rsidR="00331B86" w:rsidRPr="007D0AA8" w14:paraId="1F508EF6" w14:textId="77777777" w:rsidTr="00160DD2">
        <w:tc>
          <w:tcPr>
            <w:tcW w:w="1477" w:type="pct"/>
            <w:hideMark/>
          </w:tcPr>
          <w:p w14:paraId="70F4A04C" w14:textId="77777777" w:rsidR="00331B86" w:rsidRPr="007D0AA8" w:rsidRDefault="00331B86" w:rsidP="009735F2">
            <w:pPr>
              <w:pStyle w:val="Tabletext"/>
              <w:keepNext/>
              <w:keepLines/>
            </w:pPr>
            <w:r w:rsidRPr="007D0AA8">
              <w:t>Intratect</w:t>
            </w:r>
          </w:p>
        </w:tc>
        <w:tc>
          <w:tcPr>
            <w:tcW w:w="1209" w:type="pct"/>
            <w:hideMark/>
          </w:tcPr>
          <w:p w14:paraId="73B689E1" w14:textId="77777777" w:rsidR="00331B86" w:rsidRPr="007D0AA8" w:rsidRDefault="00331B86" w:rsidP="009735F2">
            <w:pPr>
              <w:pStyle w:val="Tabletext"/>
              <w:keepNext/>
              <w:keepLines/>
            </w:pPr>
            <w:r w:rsidRPr="007D0AA8">
              <w:t xml:space="preserve">Pfizer </w:t>
            </w:r>
          </w:p>
        </w:tc>
        <w:tc>
          <w:tcPr>
            <w:tcW w:w="1494" w:type="pct"/>
            <w:hideMark/>
          </w:tcPr>
          <w:p w14:paraId="3CD469C2" w14:textId="77777777" w:rsidR="00331B86" w:rsidRPr="007D0AA8" w:rsidRDefault="00331B86" w:rsidP="009735F2">
            <w:pPr>
              <w:pStyle w:val="Tabletext"/>
              <w:keepNext/>
              <w:keepLines/>
            </w:pPr>
            <w:r w:rsidRPr="007D0AA8">
              <w:t>IV</w:t>
            </w:r>
          </w:p>
        </w:tc>
        <w:tc>
          <w:tcPr>
            <w:tcW w:w="820" w:type="pct"/>
            <w:hideMark/>
          </w:tcPr>
          <w:p w14:paraId="3BEA1C68" w14:textId="77777777" w:rsidR="00331B86" w:rsidRPr="007D0AA8" w:rsidRDefault="00331B86" w:rsidP="009735F2">
            <w:pPr>
              <w:pStyle w:val="Tabletext"/>
              <w:keepNext/>
              <w:keepLines/>
            </w:pPr>
            <w:r w:rsidRPr="007D0AA8">
              <w:t>No</w:t>
            </w:r>
          </w:p>
        </w:tc>
      </w:tr>
      <w:tr w:rsidR="00331B86" w:rsidRPr="007D0AA8" w14:paraId="66D4A02A" w14:textId="77777777" w:rsidTr="00160DD2">
        <w:tc>
          <w:tcPr>
            <w:tcW w:w="1477" w:type="pct"/>
            <w:hideMark/>
          </w:tcPr>
          <w:p w14:paraId="70892A49" w14:textId="77777777" w:rsidR="00331B86" w:rsidRPr="007D0AA8" w:rsidRDefault="00331B86" w:rsidP="009735F2">
            <w:pPr>
              <w:pStyle w:val="Tabletext"/>
              <w:keepNext/>
              <w:keepLines/>
            </w:pPr>
            <w:r w:rsidRPr="007D0AA8">
              <w:t>Intratect 5%</w:t>
            </w:r>
          </w:p>
        </w:tc>
        <w:tc>
          <w:tcPr>
            <w:tcW w:w="1209" w:type="pct"/>
            <w:hideMark/>
          </w:tcPr>
          <w:p w14:paraId="59283831" w14:textId="77777777" w:rsidR="00331B86" w:rsidRPr="007D0AA8" w:rsidRDefault="00331B86" w:rsidP="009735F2">
            <w:pPr>
              <w:pStyle w:val="Tabletext"/>
              <w:keepNext/>
              <w:keepLines/>
            </w:pPr>
            <w:r w:rsidRPr="007D0AA8">
              <w:t xml:space="preserve">Pfizer </w:t>
            </w:r>
          </w:p>
        </w:tc>
        <w:tc>
          <w:tcPr>
            <w:tcW w:w="1494" w:type="pct"/>
            <w:hideMark/>
          </w:tcPr>
          <w:p w14:paraId="77008B6F" w14:textId="77777777" w:rsidR="00331B86" w:rsidRPr="007D0AA8" w:rsidRDefault="00331B86" w:rsidP="009735F2">
            <w:pPr>
              <w:pStyle w:val="Tabletext"/>
              <w:keepNext/>
              <w:keepLines/>
            </w:pPr>
            <w:r w:rsidRPr="007D0AA8">
              <w:t>IV</w:t>
            </w:r>
          </w:p>
        </w:tc>
        <w:tc>
          <w:tcPr>
            <w:tcW w:w="820" w:type="pct"/>
            <w:hideMark/>
          </w:tcPr>
          <w:p w14:paraId="6AF22725" w14:textId="77777777" w:rsidR="00331B86" w:rsidRPr="007D0AA8" w:rsidRDefault="00331B86" w:rsidP="009735F2">
            <w:pPr>
              <w:pStyle w:val="Tabletext"/>
              <w:keepNext/>
              <w:keepLines/>
            </w:pPr>
            <w:r w:rsidRPr="007D0AA8">
              <w:t>No</w:t>
            </w:r>
          </w:p>
        </w:tc>
      </w:tr>
      <w:tr w:rsidR="00331B86" w:rsidRPr="007D0AA8" w14:paraId="7E5AA731" w14:textId="77777777" w:rsidTr="00160DD2">
        <w:tc>
          <w:tcPr>
            <w:tcW w:w="1477" w:type="pct"/>
            <w:hideMark/>
          </w:tcPr>
          <w:p w14:paraId="0611507D" w14:textId="77777777" w:rsidR="00331B86" w:rsidRPr="007D0AA8" w:rsidRDefault="00331B86" w:rsidP="009735F2">
            <w:pPr>
              <w:pStyle w:val="Tabletext"/>
              <w:keepNext/>
              <w:keepLines/>
            </w:pPr>
            <w:r w:rsidRPr="007D0AA8">
              <w:t>Octagam</w:t>
            </w:r>
          </w:p>
        </w:tc>
        <w:tc>
          <w:tcPr>
            <w:tcW w:w="1209" w:type="pct"/>
            <w:hideMark/>
          </w:tcPr>
          <w:p w14:paraId="61498E18" w14:textId="77777777" w:rsidR="00331B86" w:rsidRPr="007D0AA8" w:rsidRDefault="00331B86" w:rsidP="009735F2">
            <w:pPr>
              <w:pStyle w:val="Tabletext"/>
              <w:keepNext/>
              <w:keepLines/>
            </w:pPr>
            <w:r w:rsidRPr="007D0AA8">
              <w:t xml:space="preserve">Octapharma </w:t>
            </w:r>
          </w:p>
        </w:tc>
        <w:tc>
          <w:tcPr>
            <w:tcW w:w="1494" w:type="pct"/>
            <w:hideMark/>
          </w:tcPr>
          <w:p w14:paraId="5DDD21E2" w14:textId="77777777" w:rsidR="00331B86" w:rsidRPr="007D0AA8" w:rsidRDefault="00331B86" w:rsidP="009735F2">
            <w:pPr>
              <w:pStyle w:val="Tabletext"/>
              <w:keepNext/>
              <w:keepLines/>
            </w:pPr>
            <w:r w:rsidRPr="007D0AA8">
              <w:t>IV</w:t>
            </w:r>
          </w:p>
        </w:tc>
        <w:tc>
          <w:tcPr>
            <w:tcW w:w="820" w:type="pct"/>
            <w:hideMark/>
          </w:tcPr>
          <w:p w14:paraId="0769BBEA" w14:textId="77777777" w:rsidR="00331B86" w:rsidRPr="007D0AA8" w:rsidRDefault="00331B86" w:rsidP="009735F2">
            <w:pPr>
              <w:pStyle w:val="Tabletext"/>
              <w:keepNext/>
              <w:keepLines/>
            </w:pPr>
            <w:r w:rsidRPr="007D0AA8">
              <w:t>No</w:t>
            </w:r>
          </w:p>
        </w:tc>
      </w:tr>
      <w:tr w:rsidR="00331B86" w:rsidRPr="007D0AA8" w14:paraId="00C75C72" w14:textId="77777777" w:rsidTr="00160DD2">
        <w:tc>
          <w:tcPr>
            <w:tcW w:w="1477" w:type="pct"/>
            <w:hideMark/>
          </w:tcPr>
          <w:p w14:paraId="76CD02ED" w14:textId="77777777" w:rsidR="00331B86" w:rsidRPr="007D0AA8" w:rsidRDefault="00331B86" w:rsidP="009735F2">
            <w:pPr>
              <w:pStyle w:val="Tabletext"/>
              <w:keepNext/>
              <w:keepLines/>
            </w:pPr>
            <w:r w:rsidRPr="007D0AA8">
              <w:t>Kiovig</w:t>
            </w:r>
          </w:p>
        </w:tc>
        <w:tc>
          <w:tcPr>
            <w:tcW w:w="1209" w:type="pct"/>
            <w:hideMark/>
          </w:tcPr>
          <w:p w14:paraId="31F62F51" w14:textId="77777777" w:rsidR="00331B86" w:rsidRPr="007D0AA8" w:rsidRDefault="00331B86" w:rsidP="009735F2">
            <w:pPr>
              <w:pStyle w:val="Tabletext"/>
              <w:keepNext/>
              <w:keepLines/>
            </w:pPr>
            <w:r w:rsidRPr="007D0AA8">
              <w:t>Shire</w:t>
            </w:r>
          </w:p>
        </w:tc>
        <w:tc>
          <w:tcPr>
            <w:tcW w:w="1494" w:type="pct"/>
            <w:hideMark/>
          </w:tcPr>
          <w:p w14:paraId="4C81FB96" w14:textId="77777777" w:rsidR="00331B86" w:rsidRPr="007D0AA8" w:rsidRDefault="00331B86" w:rsidP="009735F2">
            <w:pPr>
              <w:pStyle w:val="Tabletext"/>
              <w:keepNext/>
              <w:keepLines/>
            </w:pPr>
            <w:r w:rsidRPr="007D0AA8">
              <w:t>IV and SC</w:t>
            </w:r>
          </w:p>
        </w:tc>
        <w:tc>
          <w:tcPr>
            <w:tcW w:w="820" w:type="pct"/>
            <w:hideMark/>
          </w:tcPr>
          <w:p w14:paraId="319D7612" w14:textId="77777777" w:rsidR="00331B86" w:rsidRPr="007D0AA8" w:rsidRDefault="00331B86" w:rsidP="009735F2">
            <w:pPr>
              <w:pStyle w:val="Tabletext"/>
              <w:keepNext/>
              <w:keepLines/>
            </w:pPr>
            <w:r w:rsidRPr="007D0AA8">
              <w:t>No</w:t>
            </w:r>
          </w:p>
        </w:tc>
      </w:tr>
      <w:tr w:rsidR="00331B86" w:rsidRPr="007D0AA8" w14:paraId="215C2D43" w14:textId="77777777" w:rsidTr="00160DD2">
        <w:tc>
          <w:tcPr>
            <w:tcW w:w="1477" w:type="pct"/>
            <w:hideMark/>
          </w:tcPr>
          <w:p w14:paraId="7B3234F6" w14:textId="77777777" w:rsidR="00331B86" w:rsidRPr="007D0AA8" w:rsidRDefault="00331B86" w:rsidP="009735F2">
            <w:pPr>
              <w:pStyle w:val="Tabletext"/>
              <w:keepNext/>
              <w:keepLines/>
            </w:pPr>
            <w:r w:rsidRPr="007D0AA8">
              <w:t>Gammanorm</w:t>
            </w:r>
          </w:p>
        </w:tc>
        <w:tc>
          <w:tcPr>
            <w:tcW w:w="1209" w:type="pct"/>
            <w:hideMark/>
          </w:tcPr>
          <w:p w14:paraId="5026C05F" w14:textId="77777777" w:rsidR="00331B86" w:rsidRPr="007D0AA8" w:rsidRDefault="00331B86" w:rsidP="009735F2">
            <w:pPr>
              <w:pStyle w:val="Tabletext"/>
              <w:keepNext/>
              <w:keepLines/>
            </w:pPr>
            <w:r w:rsidRPr="007D0AA8">
              <w:t xml:space="preserve">Octapharma </w:t>
            </w:r>
          </w:p>
        </w:tc>
        <w:tc>
          <w:tcPr>
            <w:tcW w:w="1494" w:type="pct"/>
            <w:hideMark/>
          </w:tcPr>
          <w:p w14:paraId="79AEDD64" w14:textId="77777777" w:rsidR="00331B86" w:rsidRPr="007D0AA8" w:rsidRDefault="00331B86" w:rsidP="009735F2">
            <w:pPr>
              <w:pStyle w:val="Tabletext"/>
              <w:keepNext/>
              <w:keepLines/>
            </w:pPr>
            <w:r w:rsidRPr="007D0AA8">
              <w:t>SC (and IM)</w:t>
            </w:r>
          </w:p>
        </w:tc>
        <w:tc>
          <w:tcPr>
            <w:tcW w:w="820" w:type="pct"/>
            <w:hideMark/>
          </w:tcPr>
          <w:p w14:paraId="44704036" w14:textId="77777777" w:rsidR="00331B86" w:rsidRPr="007D0AA8" w:rsidRDefault="00331B86" w:rsidP="009735F2">
            <w:pPr>
              <w:pStyle w:val="Tabletext"/>
              <w:keepNext/>
              <w:keepLines/>
            </w:pPr>
            <w:r w:rsidRPr="007D0AA8">
              <w:t>No</w:t>
            </w:r>
          </w:p>
        </w:tc>
      </w:tr>
      <w:tr w:rsidR="00331B86" w:rsidRPr="007D0AA8" w14:paraId="702F078F" w14:textId="77777777" w:rsidTr="00160DD2">
        <w:tc>
          <w:tcPr>
            <w:tcW w:w="1477" w:type="pct"/>
            <w:hideMark/>
          </w:tcPr>
          <w:p w14:paraId="68412E6A" w14:textId="77777777" w:rsidR="00331B86" w:rsidRPr="007D0AA8" w:rsidRDefault="00331B86" w:rsidP="009735F2">
            <w:pPr>
              <w:pStyle w:val="Tabletext"/>
              <w:keepNext/>
              <w:keepLines/>
            </w:pPr>
            <w:r w:rsidRPr="007D0AA8">
              <w:t>Cuvitru</w:t>
            </w:r>
          </w:p>
        </w:tc>
        <w:tc>
          <w:tcPr>
            <w:tcW w:w="1209" w:type="pct"/>
            <w:hideMark/>
          </w:tcPr>
          <w:p w14:paraId="279E98DD" w14:textId="77777777" w:rsidR="00331B86" w:rsidRPr="007D0AA8" w:rsidRDefault="00331B86" w:rsidP="009735F2">
            <w:pPr>
              <w:pStyle w:val="Tabletext"/>
              <w:keepNext/>
              <w:keepLines/>
            </w:pPr>
            <w:r w:rsidRPr="007D0AA8">
              <w:t>Shire</w:t>
            </w:r>
          </w:p>
        </w:tc>
        <w:tc>
          <w:tcPr>
            <w:tcW w:w="1494" w:type="pct"/>
            <w:hideMark/>
          </w:tcPr>
          <w:p w14:paraId="0A5B0F89" w14:textId="77777777" w:rsidR="00331B86" w:rsidRPr="007D0AA8" w:rsidRDefault="00331B86" w:rsidP="009735F2">
            <w:pPr>
              <w:pStyle w:val="Tabletext"/>
              <w:keepNext/>
              <w:keepLines/>
            </w:pPr>
            <w:r w:rsidRPr="007D0AA8">
              <w:t>SC</w:t>
            </w:r>
          </w:p>
        </w:tc>
        <w:tc>
          <w:tcPr>
            <w:tcW w:w="820" w:type="pct"/>
            <w:hideMark/>
          </w:tcPr>
          <w:p w14:paraId="626FA58D" w14:textId="77777777" w:rsidR="00331B86" w:rsidRPr="007D0AA8" w:rsidRDefault="00331B86" w:rsidP="009735F2">
            <w:pPr>
              <w:pStyle w:val="Tabletext"/>
              <w:keepNext/>
              <w:keepLines/>
            </w:pPr>
            <w:r w:rsidRPr="007D0AA8">
              <w:t>No</w:t>
            </w:r>
          </w:p>
        </w:tc>
      </w:tr>
      <w:tr w:rsidR="00331B86" w:rsidRPr="007D0AA8" w14:paraId="7EEE7AAE" w14:textId="77777777" w:rsidTr="00160DD2">
        <w:tc>
          <w:tcPr>
            <w:tcW w:w="1477" w:type="pct"/>
            <w:hideMark/>
          </w:tcPr>
          <w:p w14:paraId="5741E405" w14:textId="77777777" w:rsidR="00331B86" w:rsidRPr="007D0AA8" w:rsidRDefault="00331B86" w:rsidP="009735F2">
            <w:pPr>
              <w:pStyle w:val="Tabletext"/>
              <w:keepNext/>
              <w:keepLines/>
              <w:rPr>
                <w:i/>
              </w:rPr>
            </w:pPr>
            <w:r w:rsidRPr="007D0AA8">
              <w:rPr>
                <w:i/>
              </w:rPr>
              <w:t>CSL Normal Immunoglobulin VF</w:t>
            </w:r>
          </w:p>
        </w:tc>
        <w:tc>
          <w:tcPr>
            <w:tcW w:w="1209" w:type="pct"/>
            <w:hideMark/>
          </w:tcPr>
          <w:p w14:paraId="15D58363" w14:textId="77777777" w:rsidR="00331B86" w:rsidRPr="007D0AA8" w:rsidRDefault="00331B86" w:rsidP="009735F2">
            <w:pPr>
              <w:pStyle w:val="Tabletext"/>
              <w:keepNext/>
              <w:keepLines/>
              <w:rPr>
                <w:i/>
              </w:rPr>
            </w:pPr>
            <w:r w:rsidRPr="007D0AA8">
              <w:rPr>
                <w:i/>
              </w:rPr>
              <w:t>CSL Behring</w:t>
            </w:r>
          </w:p>
        </w:tc>
        <w:tc>
          <w:tcPr>
            <w:tcW w:w="1494" w:type="pct"/>
            <w:hideMark/>
          </w:tcPr>
          <w:p w14:paraId="3B1E3233" w14:textId="77777777" w:rsidR="00331B86" w:rsidRPr="007D0AA8" w:rsidRDefault="00331B86" w:rsidP="009735F2">
            <w:pPr>
              <w:pStyle w:val="Tabletext"/>
              <w:keepNext/>
              <w:keepLines/>
              <w:rPr>
                <w:i/>
              </w:rPr>
            </w:pPr>
            <w:r w:rsidRPr="007D0AA8">
              <w:rPr>
                <w:i/>
              </w:rPr>
              <w:t>IM</w:t>
            </w:r>
          </w:p>
        </w:tc>
        <w:tc>
          <w:tcPr>
            <w:tcW w:w="820" w:type="pct"/>
            <w:hideMark/>
          </w:tcPr>
          <w:p w14:paraId="1078A213" w14:textId="77777777" w:rsidR="00331B86" w:rsidRPr="007D0AA8" w:rsidRDefault="00331B86" w:rsidP="009735F2">
            <w:pPr>
              <w:pStyle w:val="Tabletext"/>
              <w:keepNext/>
              <w:keepLines/>
              <w:rPr>
                <w:i/>
              </w:rPr>
            </w:pPr>
            <w:r w:rsidRPr="007D0AA8">
              <w:rPr>
                <w:i/>
              </w:rPr>
              <w:t>Out of scope</w:t>
            </w:r>
          </w:p>
        </w:tc>
      </w:tr>
    </w:tbl>
    <w:p w14:paraId="1DE565DD" w14:textId="77777777" w:rsidR="00331B86" w:rsidRPr="00D67A6E" w:rsidRDefault="00331B86" w:rsidP="00D3172D">
      <w:pPr>
        <w:pStyle w:val="Tablenotes"/>
        <w:rPr>
          <w:rFonts w:eastAsia="Calibri"/>
          <w:vertAlign w:val="superscript"/>
        </w:rPr>
      </w:pPr>
      <w:r w:rsidRPr="00D67A6E">
        <w:t>* Indicates that Ig is currently</w:t>
      </w:r>
      <w:r w:rsidRPr="00D67A6E">
        <w:rPr>
          <w:i/>
        </w:rPr>
        <w:t xml:space="preserve"> </w:t>
      </w:r>
      <w:r w:rsidRPr="00D67A6E">
        <w:t xml:space="preserve">funded for the indication sought in this application. Tendering arrangements may change products funded in the future. </w:t>
      </w:r>
    </w:p>
    <w:p w14:paraId="0481A47C" w14:textId="77777777" w:rsidR="00331B86" w:rsidRPr="00D67A6E" w:rsidRDefault="00331B86" w:rsidP="00D3172D">
      <w:pPr>
        <w:pStyle w:val="Tablenotes"/>
      </w:pPr>
      <w:r w:rsidRPr="00D67A6E">
        <w:t>**With the introduction of Intragam 10, Intragam P manufacturing ceased in 2017. Inventories of Intragam P were expected to be exhausted by between mid-March and mid-April 2017 and it is expected to be discontinued by the time this evaluation is completed. The Ig Review Reference Group has indicated it should be out of scope for this application.</w:t>
      </w:r>
    </w:p>
    <w:p w14:paraId="7C8FCA50" w14:textId="77777777" w:rsidR="00331B86" w:rsidRPr="00D67A6E" w:rsidRDefault="00331B86" w:rsidP="00D3172D">
      <w:pPr>
        <w:pStyle w:val="Tablenotes"/>
      </w:pPr>
      <w:r w:rsidRPr="00D67A6E">
        <w:t xml:space="preserve">IV – intravenous; SC – subcutaneous; IM – intramuscular </w:t>
      </w:r>
    </w:p>
    <w:p w14:paraId="335151C7" w14:textId="77777777" w:rsidR="00331B86" w:rsidRDefault="00331B86" w:rsidP="00D3172D">
      <w:pPr>
        <w:pStyle w:val="Tablenotes"/>
      </w:pPr>
      <w:r w:rsidRPr="00A91C55">
        <w:rPr>
          <w:b/>
        </w:rPr>
        <w:t>Source:</w:t>
      </w:r>
      <w:r w:rsidRPr="00D67A6E">
        <w:t xml:space="preserve"> </w:t>
      </w:r>
      <w:r>
        <w:t xml:space="preserve">Contracted Assessment, Table 10 (from the </w:t>
      </w:r>
      <w:r w:rsidRPr="00D67A6E">
        <w:t>Therapeutic Goods Administration (www.ebs.tga.gov.au), accessed January 2019</w:t>
      </w:r>
      <w:r>
        <w:t>)</w:t>
      </w:r>
    </w:p>
    <w:p w14:paraId="51BB1CBA" w14:textId="77777777" w:rsidR="00331B86" w:rsidRPr="00D67A6E" w:rsidRDefault="00331B86" w:rsidP="00D3172D">
      <w:pPr>
        <w:pStyle w:val="Tablenotes"/>
      </w:pPr>
      <w:r w:rsidRPr="00A91C55">
        <w:rPr>
          <w:b/>
        </w:rPr>
        <w:t>Abbreviations:</w:t>
      </w:r>
      <w:r>
        <w:t xml:space="preserve"> ARTG = Australian register of Therapeutic Goods; IV = intravenous; NBA = National Blood Authority; SC = subcutaneous</w:t>
      </w:r>
    </w:p>
    <w:p w14:paraId="1249F8D2" w14:textId="77777777" w:rsidR="00F636F1" w:rsidRPr="00F715D1" w:rsidRDefault="00F636F1" w:rsidP="00F636F1">
      <w:pPr>
        <w:pStyle w:val="Heading1"/>
      </w:pPr>
      <w:r w:rsidRPr="00F715D1">
        <w:t>Proposal for public funding</w:t>
      </w:r>
    </w:p>
    <w:p w14:paraId="07CC5300" w14:textId="19C2E7F0" w:rsidR="00331B86" w:rsidRPr="009F2BEA" w:rsidRDefault="00331B86" w:rsidP="00EF524D">
      <w:r w:rsidRPr="00E708EE">
        <w:t xml:space="preserve">Ig </w:t>
      </w:r>
      <w:r>
        <w:t xml:space="preserve">replacement therapy, </w:t>
      </w:r>
      <w:r w:rsidRPr="00E708EE">
        <w:t>in this indication</w:t>
      </w:r>
      <w:r>
        <w:t>,</w:t>
      </w:r>
      <w:r w:rsidRPr="00E708EE">
        <w:t xml:space="preserve"> is presently funded under the national blood supply arrangements </w:t>
      </w:r>
      <w:r>
        <w:t xml:space="preserve">as an </w:t>
      </w:r>
      <w:r>
        <w:rPr>
          <w:szCs w:val="24"/>
        </w:rPr>
        <w:t xml:space="preserve">“Established Therapeutic Role”, </w:t>
      </w:r>
      <w:r w:rsidRPr="00E708EE">
        <w:t>but cost-effectiveness of this use has not previously been established.</w:t>
      </w:r>
      <w:r>
        <w:t xml:space="preserve"> </w:t>
      </w:r>
      <w:r w:rsidRPr="00002EB6">
        <w:t>The products curre</w:t>
      </w:r>
      <w:r>
        <w:t>ntly funded</w:t>
      </w:r>
      <w:r w:rsidR="00B81123">
        <w:t xml:space="preserve"> as at the time of application</w:t>
      </w:r>
      <w:r>
        <w:t xml:space="preserve"> </w:t>
      </w:r>
      <w:r w:rsidR="00BE4D82">
        <w:t xml:space="preserve">through the NBA </w:t>
      </w:r>
      <w:r>
        <w:t>are shown in Table 2</w:t>
      </w:r>
      <w:r w:rsidRPr="00002EB6">
        <w:t xml:space="preserve"> (below).</w:t>
      </w:r>
    </w:p>
    <w:p w14:paraId="4498E32B" w14:textId="77777777" w:rsidR="00331B86" w:rsidRPr="00160DD2" w:rsidRDefault="00331B86" w:rsidP="00160DD2">
      <w:pPr>
        <w:keepNext/>
        <w:keepLines/>
        <w:rPr>
          <w:rFonts w:ascii="Arial Narrow" w:hAnsi="Arial Narrow"/>
          <w:b/>
          <w:sz w:val="20"/>
        </w:rPr>
      </w:pPr>
      <w:bookmarkStart w:id="7" w:name="_Ref10113234"/>
      <w:bookmarkStart w:id="8" w:name="_Ref10113225"/>
      <w:bookmarkStart w:id="9" w:name="_Toc14429544"/>
      <w:bookmarkStart w:id="10" w:name="_Toc16671599"/>
      <w:r w:rsidRPr="00160DD2">
        <w:rPr>
          <w:rFonts w:ascii="Arial Narrow" w:hAnsi="Arial Narrow"/>
          <w:b/>
          <w:sz w:val="20"/>
        </w:rPr>
        <w:lastRenderedPageBreak/>
        <w:t>Table</w:t>
      </w:r>
      <w:bookmarkEnd w:id="7"/>
      <w:r w:rsidRPr="00160DD2">
        <w:rPr>
          <w:rFonts w:ascii="Arial Narrow" w:hAnsi="Arial Narrow"/>
          <w:b/>
          <w:sz w:val="20"/>
        </w:rPr>
        <w:t xml:space="preserve"> 2</w:t>
      </w:r>
      <w:r w:rsidRPr="00160DD2">
        <w:rPr>
          <w:rFonts w:ascii="Arial Narrow" w:hAnsi="Arial Narrow"/>
          <w:b/>
          <w:sz w:val="20"/>
        </w:rPr>
        <w:tab/>
      </w:r>
      <w:r w:rsidRPr="00160DD2">
        <w:rPr>
          <w:rFonts w:ascii="Arial Narrow" w:hAnsi="Arial Narrow"/>
          <w:b/>
          <w:sz w:val="20"/>
        </w:rPr>
        <w:tab/>
        <w:t>Ig products funded for this indication</w:t>
      </w:r>
      <w:bookmarkEnd w:id="8"/>
      <w:bookmarkEnd w:id="9"/>
      <w:bookmarkEnd w:id="10"/>
      <w:r w:rsidRPr="00160DD2">
        <w:rPr>
          <w:rFonts w:ascii="Arial Narrow" w:hAnsi="Arial Narrow"/>
          <w:b/>
          <w:sz w:val="20"/>
        </w:rPr>
        <w:t xml:space="preserve"> (at July 2019)</w:t>
      </w:r>
    </w:p>
    <w:tbl>
      <w:tblPr>
        <w:tblStyle w:val="TableGrid1"/>
        <w:tblW w:w="5000" w:type="pct"/>
        <w:tblLook w:val="04A0" w:firstRow="1" w:lastRow="0" w:firstColumn="1" w:lastColumn="0" w:noHBand="0" w:noVBand="1"/>
        <w:tblDescription w:val="Ig products funded for this indication (at July 2019)"/>
      </w:tblPr>
      <w:tblGrid>
        <w:gridCol w:w="1835"/>
        <w:gridCol w:w="1421"/>
        <w:gridCol w:w="1906"/>
        <w:gridCol w:w="1927"/>
        <w:gridCol w:w="1927"/>
      </w:tblGrid>
      <w:tr w:rsidR="00331B86" w:rsidRPr="00386411" w14:paraId="0F0C9014" w14:textId="77777777" w:rsidTr="00160DD2">
        <w:trPr>
          <w:cnfStyle w:val="100000000000" w:firstRow="1" w:lastRow="0" w:firstColumn="0" w:lastColumn="0" w:oddVBand="0" w:evenVBand="0" w:oddHBand="0" w:evenHBand="0" w:firstRowFirstColumn="0" w:firstRowLastColumn="0" w:lastRowFirstColumn="0" w:lastRowLastColumn="0"/>
          <w:tblHeader/>
        </w:trPr>
        <w:tc>
          <w:tcPr>
            <w:tcW w:w="1055" w:type="pct"/>
            <w:hideMark/>
          </w:tcPr>
          <w:p w14:paraId="384FBCFE" w14:textId="77777777" w:rsidR="00331B86" w:rsidRPr="00386411" w:rsidRDefault="00331B86" w:rsidP="00160DD2">
            <w:pPr>
              <w:pStyle w:val="TableHeading"/>
              <w:keepLines/>
            </w:pPr>
            <w:r w:rsidRPr="00386411">
              <w:t>Product</w:t>
            </w:r>
          </w:p>
        </w:tc>
        <w:tc>
          <w:tcPr>
            <w:tcW w:w="825" w:type="pct"/>
            <w:hideMark/>
          </w:tcPr>
          <w:p w14:paraId="661223FA" w14:textId="77777777" w:rsidR="00331B86" w:rsidRPr="00386411" w:rsidRDefault="00331B86" w:rsidP="00160DD2">
            <w:pPr>
              <w:pStyle w:val="TableHeading"/>
              <w:keepLines/>
            </w:pPr>
            <w:r w:rsidRPr="00386411">
              <w:t>Sponsor</w:t>
            </w:r>
          </w:p>
        </w:tc>
        <w:tc>
          <w:tcPr>
            <w:tcW w:w="909" w:type="pct"/>
            <w:hideMark/>
          </w:tcPr>
          <w:p w14:paraId="60FB2781" w14:textId="77777777" w:rsidR="00331B86" w:rsidRPr="00386411" w:rsidRDefault="00331B86" w:rsidP="00160DD2">
            <w:pPr>
              <w:pStyle w:val="TableHeading"/>
              <w:keepLines/>
            </w:pPr>
            <w:r w:rsidRPr="00386411">
              <w:t>Route of Admin.</w:t>
            </w:r>
          </w:p>
        </w:tc>
        <w:tc>
          <w:tcPr>
            <w:tcW w:w="1106" w:type="pct"/>
            <w:hideMark/>
          </w:tcPr>
          <w:p w14:paraId="1E27591B" w14:textId="77777777" w:rsidR="00331B86" w:rsidRPr="00386411" w:rsidRDefault="00331B86" w:rsidP="00160DD2">
            <w:pPr>
              <w:pStyle w:val="TableHeading"/>
              <w:keepLines/>
            </w:pPr>
            <w:r w:rsidRPr="00386411">
              <w:t>Strength</w:t>
            </w:r>
          </w:p>
        </w:tc>
        <w:tc>
          <w:tcPr>
            <w:tcW w:w="1105" w:type="pct"/>
            <w:hideMark/>
          </w:tcPr>
          <w:p w14:paraId="66922118" w14:textId="77777777" w:rsidR="00331B86" w:rsidRPr="00386411" w:rsidRDefault="00331B86" w:rsidP="00160DD2">
            <w:pPr>
              <w:pStyle w:val="TableHeading"/>
              <w:keepLines/>
            </w:pPr>
            <w:r w:rsidRPr="00386411">
              <w:t>NBA price</w:t>
            </w:r>
          </w:p>
        </w:tc>
      </w:tr>
      <w:tr w:rsidR="00331B86" w:rsidRPr="007D0AA8" w14:paraId="0CA65B15" w14:textId="77777777" w:rsidTr="00160DD2">
        <w:tc>
          <w:tcPr>
            <w:tcW w:w="1055" w:type="pct"/>
            <w:hideMark/>
          </w:tcPr>
          <w:p w14:paraId="70001A7E" w14:textId="77777777" w:rsidR="00331B86" w:rsidRPr="007D0AA8" w:rsidRDefault="00331B86" w:rsidP="00160DD2">
            <w:pPr>
              <w:pStyle w:val="Tabletext"/>
              <w:keepNext/>
              <w:keepLines/>
            </w:pPr>
            <w:r w:rsidRPr="007D0AA8">
              <w:t>Intragam 10</w:t>
            </w:r>
          </w:p>
        </w:tc>
        <w:tc>
          <w:tcPr>
            <w:tcW w:w="825" w:type="pct"/>
            <w:hideMark/>
          </w:tcPr>
          <w:p w14:paraId="4F053BB3" w14:textId="77777777" w:rsidR="00331B86" w:rsidRPr="007D0AA8" w:rsidRDefault="00331B86" w:rsidP="00160DD2">
            <w:pPr>
              <w:pStyle w:val="Tabletext"/>
              <w:keepNext/>
              <w:keepLines/>
            </w:pPr>
            <w:r w:rsidRPr="007D0AA8">
              <w:t>CSL Behring</w:t>
            </w:r>
          </w:p>
        </w:tc>
        <w:tc>
          <w:tcPr>
            <w:tcW w:w="909" w:type="pct"/>
            <w:hideMark/>
          </w:tcPr>
          <w:p w14:paraId="16D01979" w14:textId="77777777" w:rsidR="00331B86" w:rsidRPr="007D0AA8" w:rsidRDefault="00331B86" w:rsidP="00160DD2">
            <w:pPr>
              <w:pStyle w:val="Tabletext"/>
              <w:keepNext/>
              <w:keepLines/>
            </w:pPr>
            <w:r w:rsidRPr="007D0AA8">
              <w:t>IV</w:t>
            </w:r>
          </w:p>
        </w:tc>
        <w:tc>
          <w:tcPr>
            <w:tcW w:w="1106" w:type="pct"/>
            <w:hideMark/>
          </w:tcPr>
          <w:p w14:paraId="486DE975" w14:textId="77777777" w:rsidR="00331B86" w:rsidRPr="007D0AA8" w:rsidRDefault="00331B86" w:rsidP="00160DD2">
            <w:pPr>
              <w:pStyle w:val="Tabletext"/>
              <w:keepNext/>
              <w:keepLines/>
            </w:pPr>
            <w:r w:rsidRPr="007D0AA8">
              <w:t>2.5g/25mL</w:t>
            </w:r>
          </w:p>
          <w:p w14:paraId="3BA217AE" w14:textId="77777777" w:rsidR="00331B86" w:rsidRPr="007D0AA8" w:rsidRDefault="00331B86" w:rsidP="00160DD2">
            <w:pPr>
              <w:pStyle w:val="Tabletext"/>
              <w:keepNext/>
              <w:keepLines/>
            </w:pPr>
            <w:r w:rsidRPr="007D0AA8">
              <w:t>10g/100mL</w:t>
            </w:r>
          </w:p>
          <w:p w14:paraId="54733072" w14:textId="77777777" w:rsidR="00331B86" w:rsidRPr="007D0AA8" w:rsidRDefault="00331B86" w:rsidP="00160DD2">
            <w:pPr>
              <w:pStyle w:val="Tabletext"/>
              <w:keepNext/>
              <w:keepLines/>
              <w:rPr>
                <w:highlight w:val="yellow"/>
              </w:rPr>
            </w:pPr>
            <w:r w:rsidRPr="007D0AA8">
              <w:t>20g/200mL</w:t>
            </w:r>
          </w:p>
        </w:tc>
        <w:tc>
          <w:tcPr>
            <w:tcW w:w="1105" w:type="pct"/>
            <w:hideMark/>
          </w:tcPr>
          <w:p w14:paraId="62167521" w14:textId="77777777" w:rsidR="00331B86" w:rsidRPr="001B37A5" w:rsidRDefault="00331B86" w:rsidP="00160DD2">
            <w:pPr>
              <w:pStyle w:val="Tabletext"/>
              <w:keepNext/>
              <w:keepLines/>
            </w:pPr>
            <w:r>
              <w:t>$145.57</w:t>
            </w:r>
          </w:p>
          <w:p w14:paraId="12986C86" w14:textId="77777777" w:rsidR="00331B86" w:rsidRPr="001B37A5" w:rsidRDefault="00331B86" w:rsidP="00160DD2">
            <w:pPr>
              <w:pStyle w:val="Tabletext"/>
              <w:keepNext/>
              <w:keepLines/>
            </w:pPr>
            <w:r>
              <w:t>$582.30</w:t>
            </w:r>
          </w:p>
          <w:p w14:paraId="7C881BFB" w14:textId="77777777" w:rsidR="00331B86" w:rsidRPr="007D0AA8" w:rsidRDefault="00331B86" w:rsidP="00160DD2">
            <w:pPr>
              <w:pStyle w:val="Tabletext"/>
              <w:keepNext/>
              <w:keepLines/>
              <w:rPr>
                <w:highlight w:val="yellow"/>
              </w:rPr>
            </w:pPr>
            <w:r>
              <w:t>$1,164.59</w:t>
            </w:r>
          </w:p>
        </w:tc>
      </w:tr>
      <w:tr w:rsidR="00331B86" w:rsidRPr="007D0AA8" w14:paraId="6C4DA221" w14:textId="77777777" w:rsidTr="00160DD2">
        <w:tc>
          <w:tcPr>
            <w:tcW w:w="1055" w:type="pct"/>
            <w:hideMark/>
          </w:tcPr>
          <w:p w14:paraId="6500E182" w14:textId="77777777" w:rsidR="00331B86" w:rsidRPr="007D0AA8" w:rsidRDefault="00331B86" w:rsidP="009735F2">
            <w:pPr>
              <w:pStyle w:val="Tabletext"/>
              <w:keepNext/>
              <w:keepLines/>
            </w:pPr>
            <w:r>
              <w:t>Privigen 10%</w:t>
            </w:r>
          </w:p>
        </w:tc>
        <w:tc>
          <w:tcPr>
            <w:tcW w:w="825" w:type="pct"/>
            <w:hideMark/>
          </w:tcPr>
          <w:p w14:paraId="6DD830DC" w14:textId="77777777" w:rsidR="00331B86" w:rsidRPr="007D0AA8" w:rsidRDefault="00331B86" w:rsidP="009735F2">
            <w:pPr>
              <w:pStyle w:val="Tabletext"/>
              <w:keepNext/>
              <w:keepLines/>
            </w:pPr>
            <w:r w:rsidRPr="007D0AA8">
              <w:t>CSL Behring</w:t>
            </w:r>
          </w:p>
        </w:tc>
        <w:tc>
          <w:tcPr>
            <w:tcW w:w="909" w:type="pct"/>
            <w:hideMark/>
          </w:tcPr>
          <w:p w14:paraId="19D752B3" w14:textId="77777777" w:rsidR="00331B86" w:rsidRPr="007D0AA8" w:rsidRDefault="00331B86" w:rsidP="009735F2">
            <w:pPr>
              <w:pStyle w:val="Tabletext"/>
              <w:keepNext/>
              <w:keepLines/>
            </w:pPr>
            <w:r w:rsidRPr="007D0AA8">
              <w:t>IV</w:t>
            </w:r>
          </w:p>
        </w:tc>
        <w:tc>
          <w:tcPr>
            <w:tcW w:w="1106" w:type="pct"/>
            <w:hideMark/>
          </w:tcPr>
          <w:p w14:paraId="748C4A5B" w14:textId="77777777" w:rsidR="00331B86" w:rsidRPr="007D0AA8" w:rsidRDefault="00331B86" w:rsidP="009735F2">
            <w:pPr>
              <w:pStyle w:val="Tabletext"/>
              <w:keepNext/>
              <w:keepLines/>
            </w:pPr>
            <w:r w:rsidRPr="007D0AA8">
              <w:t>5g/50mL</w:t>
            </w:r>
          </w:p>
          <w:p w14:paraId="450D8124" w14:textId="77777777" w:rsidR="00331B86" w:rsidRPr="007D0AA8" w:rsidRDefault="00331B86" w:rsidP="009735F2">
            <w:pPr>
              <w:pStyle w:val="Tabletext"/>
              <w:keepNext/>
              <w:keepLines/>
            </w:pPr>
            <w:r w:rsidRPr="007D0AA8">
              <w:t>10g/100mL</w:t>
            </w:r>
          </w:p>
          <w:p w14:paraId="32201420" w14:textId="77777777" w:rsidR="00331B86" w:rsidRPr="007D0AA8" w:rsidRDefault="00331B86" w:rsidP="009735F2">
            <w:pPr>
              <w:pStyle w:val="Tabletext"/>
              <w:keepNext/>
              <w:keepLines/>
            </w:pPr>
            <w:r w:rsidRPr="007D0AA8">
              <w:t>20g/200mL</w:t>
            </w:r>
          </w:p>
          <w:p w14:paraId="13B0E57F" w14:textId="77777777" w:rsidR="00331B86" w:rsidRPr="007D0AA8" w:rsidRDefault="00331B86" w:rsidP="009735F2">
            <w:pPr>
              <w:pStyle w:val="Tabletext"/>
              <w:keepNext/>
              <w:keepLines/>
              <w:rPr>
                <w:highlight w:val="yellow"/>
              </w:rPr>
            </w:pPr>
            <w:r w:rsidRPr="007D0AA8">
              <w:t>40g/400mL</w:t>
            </w:r>
          </w:p>
        </w:tc>
        <w:tc>
          <w:tcPr>
            <w:tcW w:w="1105" w:type="pct"/>
            <w:hideMark/>
          </w:tcPr>
          <w:p w14:paraId="0460F2C3" w14:textId="77777777" w:rsidR="00331B86" w:rsidRPr="007D0AA8" w:rsidRDefault="00331B86" w:rsidP="009735F2">
            <w:pPr>
              <w:pStyle w:val="Tabletext"/>
              <w:keepNext/>
              <w:keepLines/>
            </w:pPr>
            <w:r w:rsidRPr="007D0AA8">
              <w:t>$225.00</w:t>
            </w:r>
          </w:p>
          <w:p w14:paraId="164DCA1B" w14:textId="77777777" w:rsidR="00331B86" w:rsidRPr="007D0AA8" w:rsidRDefault="00331B86" w:rsidP="009735F2">
            <w:pPr>
              <w:pStyle w:val="Tabletext"/>
              <w:keepNext/>
              <w:keepLines/>
            </w:pPr>
            <w:r w:rsidRPr="007D0AA8">
              <w:t>$450.00</w:t>
            </w:r>
          </w:p>
          <w:p w14:paraId="414F282E" w14:textId="77777777" w:rsidR="00331B86" w:rsidRPr="007D0AA8" w:rsidRDefault="00331B86" w:rsidP="009735F2">
            <w:pPr>
              <w:pStyle w:val="Tabletext"/>
              <w:keepNext/>
              <w:keepLines/>
            </w:pPr>
            <w:r w:rsidRPr="007D0AA8">
              <w:t>$900.00</w:t>
            </w:r>
          </w:p>
          <w:p w14:paraId="14C5334C" w14:textId="77777777" w:rsidR="00331B86" w:rsidRPr="007D0AA8" w:rsidRDefault="00331B86" w:rsidP="009735F2">
            <w:pPr>
              <w:pStyle w:val="Tabletext"/>
              <w:keepNext/>
              <w:keepLines/>
              <w:rPr>
                <w:highlight w:val="yellow"/>
              </w:rPr>
            </w:pPr>
            <w:r w:rsidRPr="007D0AA8">
              <w:t>$1,800.00</w:t>
            </w:r>
          </w:p>
        </w:tc>
      </w:tr>
      <w:tr w:rsidR="00331B86" w:rsidRPr="007D0AA8" w14:paraId="111AEC7A" w14:textId="77777777" w:rsidTr="00160DD2">
        <w:tc>
          <w:tcPr>
            <w:tcW w:w="1055" w:type="pct"/>
            <w:hideMark/>
          </w:tcPr>
          <w:p w14:paraId="7951BCAD" w14:textId="77777777" w:rsidR="00331B86" w:rsidRPr="007D0AA8" w:rsidRDefault="00331B86" w:rsidP="009735F2">
            <w:pPr>
              <w:pStyle w:val="Tabletext"/>
              <w:keepNext/>
              <w:keepLines/>
            </w:pPr>
            <w:r w:rsidRPr="007D0AA8">
              <w:t>Hizentra</w:t>
            </w:r>
          </w:p>
        </w:tc>
        <w:tc>
          <w:tcPr>
            <w:tcW w:w="825" w:type="pct"/>
            <w:hideMark/>
          </w:tcPr>
          <w:p w14:paraId="4FC0403E" w14:textId="77777777" w:rsidR="00331B86" w:rsidRPr="007D0AA8" w:rsidRDefault="00331B86" w:rsidP="009735F2">
            <w:pPr>
              <w:pStyle w:val="Tabletext"/>
              <w:keepNext/>
              <w:keepLines/>
            </w:pPr>
            <w:r w:rsidRPr="007D0AA8">
              <w:t xml:space="preserve">CSL Behring </w:t>
            </w:r>
          </w:p>
        </w:tc>
        <w:tc>
          <w:tcPr>
            <w:tcW w:w="909" w:type="pct"/>
            <w:hideMark/>
          </w:tcPr>
          <w:p w14:paraId="1D6D6D0E" w14:textId="77777777" w:rsidR="00331B86" w:rsidRPr="007D0AA8" w:rsidRDefault="00331B86" w:rsidP="009735F2">
            <w:pPr>
              <w:pStyle w:val="Tabletext"/>
              <w:keepNext/>
              <w:keepLines/>
            </w:pPr>
            <w:r w:rsidRPr="007D0AA8">
              <w:t>SC</w:t>
            </w:r>
          </w:p>
        </w:tc>
        <w:tc>
          <w:tcPr>
            <w:tcW w:w="1106" w:type="pct"/>
            <w:hideMark/>
          </w:tcPr>
          <w:p w14:paraId="09FD8675" w14:textId="77777777" w:rsidR="00331B86" w:rsidRPr="007D0AA8" w:rsidRDefault="00331B86" w:rsidP="009735F2">
            <w:pPr>
              <w:pStyle w:val="Tabletext"/>
              <w:keepNext/>
              <w:keepLines/>
            </w:pPr>
            <w:r w:rsidRPr="007D0AA8">
              <w:t>1g/5mL</w:t>
            </w:r>
          </w:p>
          <w:p w14:paraId="5E1BFE35" w14:textId="77777777" w:rsidR="00331B86" w:rsidRPr="007D0AA8" w:rsidRDefault="00331B86" w:rsidP="009735F2">
            <w:pPr>
              <w:pStyle w:val="Tabletext"/>
              <w:keepNext/>
              <w:keepLines/>
            </w:pPr>
            <w:r w:rsidRPr="007D0AA8">
              <w:t>2g/10mL</w:t>
            </w:r>
          </w:p>
          <w:p w14:paraId="72F430EF" w14:textId="77777777" w:rsidR="00331B86" w:rsidRPr="007D0AA8" w:rsidRDefault="00331B86" w:rsidP="009735F2">
            <w:pPr>
              <w:pStyle w:val="Tabletext"/>
              <w:keepNext/>
              <w:keepLines/>
            </w:pPr>
            <w:r w:rsidRPr="007D0AA8">
              <w:t>4g/20mL</w:t>
            </w:r>
          </w:p>
          <w:p w14:paraId="1D06406E" w14:textId="77777777" w:rsidR="00331B86" w:rsidRPr="007D0AA8" w:rsidRDefault="00331B86" w:rsidP="009735F2">
            <w:pPr>
              <w:pStyle w:val="Tabletext"/>
              <w:keepNext/>
              <w:keepLines/>
              <w:rPr>
                <w:highlight w:val="yellow"/>
              </w:rPr>
            </w:pPr>
            <w:r w:rsidRPr="007D0AA8">
              <w:t>10g/50mL</w:t>
            </w:r>
          </w:p>
        </w:tc>
        <w:tc>
          <w:tcPr>
            <w:tcW w:w="1105" w:type="pct"/>
            <w:hideMark/>
          </w:tcPr>
          <w:p w14:paraId="13E27C54" w14:textId="77777777" w:rsidR="00331B86" w:rsidRPr="001B37A5" w:rsidRDefault="00331B86" w:rsidP="009735F2">
            <w:pPr>
              <w:pStyle w:val="Tabletext"/>
              <w:keepNext/>
              <w:keepLines/>
            </w:pPr>
            <w:r>
              <w:t>$59.15</w:t>
            </w:r>
          </w:p>
          <w:p w14:paraId="72C8571D" w14:textId="77777777" w:rsidR="00331B86" w:rsidRPr="001B37A5" w:rsidRDefault="00331B86" w:rsidP="009735F2">
            <w:pPr>
              <w:pStyle w:val="Tabletext"/>
              <w:keepNext/>
              <w:keepLines/>
            </w:pPr>
            <w:r>
              <w:t>$118.31</w:t>
            </w:r>
          </w:p>
          <w:p w14:paraId="0AC2E102" w14:textId="77777777" w:rsidR="00331B86" w:rsidRPr="001B37A5" w:rsidRDefault="00331B86" w:rsidP="009735F2">
            <w:pPr>
              <w:pStyle w:val="Tabletext"/>
              <w:keepNext/>
              <w:keepLines/>
            </w:pPr>
            <w:r>
              <w:t>$236.61</w:t>
            </w:r>
          </w:p>
          <w:p w14:paraId="713ECBBC" w14:textId="77777777" w:rsidR="00331B86" w:rsidRPr="007D0AA8" w:rsidRDefault="00331B86" w:rsidP="009735F2">
            <w:pPr>
              <w:pStyle w:val="Tabletext"/>
              <w:keepNext/>
              <w:keepLines/>
              <w:rPr>
                <w:highlight w:val="yellow"/>
              </w:rPr>
            </w:pPr>
            <w:r w:rsidRPr="001B37A5">
              <w:t>$591.53</w:t>
            </w:r>
          </w:p>
        </w:tc>
      </w:tr>
      <w:tr w:rsidR="00331B86" w:rsidRPr="007D0AA8" w14:paraId="4CE25F97" w14:textId="77777777" w:rsidTr="00160DD2">
        <w:tc>
          <w:tcPr>
            <w:tcW w:w="1055" w:type="pct"/>
            <w:hideMark/>
          </w:tcPr>
          <w:p w14:paraId="50EEBD7D" w14:textId="77777777" w:rsidR="00331B86" w:rsidRPr="007D0AA8" w:rsidRDefault="00331B86" w:rsidP="009735F2">
            <w:pPr>
              <w:pStyle w:val="Tabletext"/>
              <w:keepNext/>
              <w:keepLines/>
            </w:pPr>
            <w:r w:rsidRPr="007D0AA8">
              <w:t>Flebogamma 5%</w:t>
            </w:r>
          </w:p>
        </w:tc>
        <w:tc>
          <w:tcPr>
            <w:tcW w:w="825" w:type="pct"/>
            <w:hideMark/>
          </w:tcPr>
          <w:p w14:paraId="71E854F3" w14:textId="77777777" w:rsidR="00331B86" w:rsidRPr="007D0AA8" w:rsidRDefault="00331B86" w:rsidP="009735F2">
            <w:pPr>
              <w:pStyle w:val="Tabletext"/>
              <w:keepNext/>
              <w:keepLines/>
            </w:pPr>
            <w:r w:rsidRPr="007D0AA8">
              <w:t xml:space="preserve">Grifols </w:t>
            </w:r>
          </w:p>
        </w:tc>
        <w:tc>
          <w:tcPr>
            <w:tcW w:w="909" w:type="pct"/>
            <w:hideMark/>
          </w:tcPr>
          <w:p w14:paraId="790FE7BC" w14:textId="77777777" w:rsidR="00331B86" w:rsidRPr="007D0AA8" w:rsidRDefault="00331B86" w:rsidP="009735F2">
            <w:pPr>
              <w:pStyle w:val="Tabletext"/>
              <w:keepNext/>
              <w:keepLines/>
            </w:pPr>
            <w:r w:rsidRPr="007D0AA8">
              <w:t>IV</w:t>
            </w:r>
          </w:p>
        </w:tc>
        <w:tc>
          <w:tcPr>
            <w:tcW w:w="1106" w:type="pct"/>
            <w:hideMark/>
          </w:tcPr>
          <w:p w14:paraId="723A0211" w14:textId="77777777" w:rsidR="00331B86" w:rsidRPr="007D0AA8" w:rsidRDefault="00331B86" w:rsidP="009735F2">
            <w:pPr>
              <w:pStyle w:val="Tabletext"/>
              <w:keepNext/>
              <w:keepLines/>
            </w:pPr>
            <w:r w:rsidRPr="007D0AA8">
              <w:t>0.5g/10mL</w:t>
            </w:r>
          </w:p>
          <w:p w14:paraId="366E403C" w14:textId="77777777" w:rsidR="00331B86" w:rsidRPr="007D0AA8" w:rsidRDefault="00331B86" w:rsidP="009735F2">
            <w:pPr>
              <w:pStyle w:val="Tabletext"/>
              <w:keepNext/>
              <w:keepLines/>
            </w:pPr>
            <w:r w:rsidRPr="007D0AA8">
              <w:t>2.5g/50mL</w:t>
            </w:r>
          </w:p>
          <w:p w14:paraId="3EA31397" w14:textId="77777777" w:rsidR="00331B86" w:rsidRPr="007D0AA8" w:rsidRDefault="00331B86" w:rsidP="009735F2">
            <w:pPr>
              <w:pStyle w:val="Tabletext"/>
              <w:keepNext/>
              <w:keepLines/>
            </w:pPr>
            <w:r w:rsidRPr="007D0AA8">
              <w:t>5g/100mL</w:t>
            </w:r>
          </w:p>
          <w:p w14:paraId="113360E0" w14:textId="77777777" w:rsidR="00331B86" w:rsidRPr="007D0AA8" w:rsidRDefault="00331B86" w:rsidP="009735F2">
            <w:pPr>
              <w:pStyle w:val="Tabletext"/>
              <w:keepNext/>
              <w:keepLines/>
            </w:pPr>
            <w:r w:rsidRPr="007D0AA8">
              <w:t>10g/200mL</w:t>
            </w:r>
          </w:p>
          <w:p w14:paraId="7B181CC1" w14:textId="77777777" w:rsidR="00331B86" w:rsidRPr="007D0AA8" w:rsidRDefault="00331B86" w:rsidP="009735F2">
            <w:pPr>
              <w:pStyle w:val="Tabletext"/>
              <w:keepNext/>
              <w:keepLines/>
            </w:pPr>
            <w:r w:rsidRPr="007D0AA8">
              <w:t>20g/400mL</w:t>
            </w:r>
          </w:p>
        </w:tc>
        <w:tc>
          <w:tcPr>
            <w:tcW w:w="1105" w:type="pct"/>
            <w:hideMark/>
          </w:tcPr>
          <w:p w14:paraId="67141ED5" w14:textId="77777777" w:rsidR="00331B86" w:rsidRPr="001B37A5" w:rsidRDefault="00331B86" w:rsidP="009735F2">
            <w:pPr>
              <w:pStyle w:val="Tabletext"/>
              <w:keepNext/>
              <w:keepLines/>
            </w:pPr>
            <w:r w:rsidRPr="001B37A5">
              <w:t>$22.50</w:t>
            </w:r>
          </w:p>
          <w:p w14:paraId="09EFC200" w14:textId="77777777" w:rsidR="00331B86" w:rsidRPr="001B37A5" w:rsidRDefault="00331B86" w:rsidP="009735F2">
            <w:pPr>
              <w:pStyle w:val="Tabletext"/>
              <w:keepNext/>
              <w:keepLines/>
            </w:pPr>
            <w:r w:rsidRPr="001B37A5">
              <w:t>$112.50</w:t>
            </w:r>
          </w:p>
          <w:p w14:paraId="4DF22DB3" w14:textId="77777777" w:rsidR="00331B86" w:rsidRPr="001B37A5" w:rsidRDefault="00331B86" w:rsidP="009735F2">
            <w:pPr>
              <w:pStyle w:val="Tabletext"/>
              <w:keepNext/>
              <w:keepLines/>
            </w:pPr>
            <w:r w:rsidRPr="001B37A5">
              <w:t>$225.00</w:t>
            </w:r>
          </w:p>
          <w:p w14:paraId="5ED0129A" w14:textId="77777777" w:rsidR="00331B86" w:rsidRPr="001B37A5" w:rsidRDefault="00331B86" w:rsidP="009735F2">
            <w:pPr>
              <w:pStyle w:val="Tabletext"/>
              <w:keepNext/>
              <w:keepLines/>
            </w:pPr>
            <w:r>
              <w:t>$450.00</w:t>
            </w:r>
          </w:p>
          <w:p w14:paraId="6F669155" w14:textId="77777777" w:rsidR="00331B86" w:rsidRPr="007D0AA8" w:rsidRDefault="00331B86" w:rsidP="009735F2">
            <w:pPr>
              <w:pStyle w:val="Tabletext"/>
              <w:keepNext/>
              <w:keepLines/>
            </w:pPr>
            <w:r>
              <w:t>$900.00</w:t>
            </w:r>
          </w:p>
        </w:tc>
      </w:tr>
      <w:tr w:rsidR="00331B86" w:rsidRPr="007D0AA8" w14:paraId="71B845F4" w14:textId="77777777" w:rsidTr="00160DD2">
        <w:tc>
          <w:tcPr>
            <w:tcW w:w="1055" w:type="pct"/>
            <w:hideMark/>
          </w:tcPr>
          <w:p w14:paraId="237A0B7C" w14:textId="77777777" w:rsidR="00331B86" w:rsidRPr="007D0AA8" w:rsidRDefault="00331B86" w:rsidP="009735F2">
            <w:pPr>
              <w:pStyle w:val="Tabletext"/>
              <w:keepNext/>
              <w:keepLines/>
            </w:pPr>
            <w:r w:rsidRPr="007D0AA8">
              <w:t>Flebogamma 10%</w:t>
            </w:r>
          </w:p>
        </w:tc>
        <w:tc>
          <w:tcPr>
            <w:tcW w:w="825" w:type="pct"/>
            <w:hideMark/>
          </w:tcPr>
          <w:p w14:paraId="1C174F8B" w14:textId="77777777" w:rsidR="00331B86" w:rsidRPr="007D0AA8" w:rsidRDefault="00331B86" w:rsidP="009735F2">
            <w:pPr>
              <w:pStyle w:val="Tabletext"/>
              <w:keepNext/>
              <w:keepLines/>
            </w:pPr>
            <w:r w:rsidRPr="007D0AA8">
              <w:t xml:space="preserve">Grifols </w:t>
            </w:r>
          </w:p>
        </w:tc>
        <w:tc>
          <w:tcPr>
            <w:tcW w:w="909" w:type="pct"/>
            <w:hideMark/>
          </w:tcPr>
          <w:p w14:paraId="45534383" w14:textId="77777777" w:rsidR="00331B86" w:rsidRPr="007D0AA8" w:rsidRDefault="00331B86" w:rsidP="009735F2">
            <w:pPr>
              <w:pStyle w:val="Tabletext"/>
              <w:keepNext/>
              <w:keepLines/>
            </w:pPr>
            <w:r w:rsidRPr="007D0AA8">
              <w:t>IV</w:t>
            </w:r>
          </w:p>
        </w:tc>
        <w:tc>
          <w:tcPr>
            <w:tcW w:w="1106" w:type="pct"/>
            <w:hideMark/>
          </w:tcPr>
          <w:p w14:paraId="2651E563" w14:textId="77777777" w:rsidR="00331B86" w:rsidRPr="007D0AA8" w:rsidRDefault="00331B86" w:rsidP="009735F2">
            <w:pPr>
              <w:pStyle w:val="Tabletext"/>
              <w:keepNext/>
              <w:keepLines/>
            </w:pPr>
            <w:r w:rsidRPr="007D0AA8">
              <w:t>5g/50mL</w:t>
            </w:r>
          </w:p>
          <w:p w14:paraId="2ED9D6EA" w14:textId="77777777" w:rsidR="00331B86" w:rsidRPr="007D0AA8" w:rsidRDefault="00331B86" w:rsidP="009735F2">
            <w:pPr>
              <w:pStyle w:val="Tabletext"/>
              <w:keepNext/>
              <w:keepLines/>
            </w:pPr>
            <w:r w:rsidRPr="007D0AA8">
              <w:t>10g/100mL</w:t>
            </w:r>
          </w:p>
          <w:p w14:paraId="7616A193" w14:textId="77777777" w:rsidR="00331B86" w:rsidRPr="007D0AA8" w:rsidRDefault="00331B86" w:rsidP="009735F2">
            <w:pPr>
              <w:pStyle w:val="Tabletext"/>
              <w:keepNext/>
              <w:keepLines/>
            </w:pPr>
            <w:r w:rsidRPr="007D0AA8">
              <w:t>20g/200mL</w:t>
            </w:r>
          </w:p>
        </w:tc>
        <w:tc>
          <w:tcPr>
            <w:tcW w:w="1105" w:type="pct"/>
            <w:hideMark/>
          </w:tcPr>
          <w:p w14:paraId="5D418B0C" w14:textId="77777777" w:rsidR="00331B86" w:rsidRPr="001B37A5" w:rsidRDefault="00331B86" w:rsidP="009735F2">
            <w:pPr>
              <w:pStyle w:val="Tabletext"/>
              <w:keepNext/>
              <w:keepLines/>
            </w:pPr>
            <w:r w:rsidRPr="001B37A5">
              <w:t>$225.00</w:t>
            </w:r>
          </w:p>
          <w:p w14:paraId="368034EF" w14:textId="77777777" w:rsidR="00331B86" w:rsidRPr="001B37A5" w:rsidRDefault="00331B86" w:rsidP="009735F2">
            <w:pPr>
              <w:pStyle w:val="Tabletext"/>
              <w:keepNext/>
              <w:keepLines/>
            </w:pPr>
            <w:r w:rsidRPr="001B37A5">
              <w:t>$450.00</w:t>
            </w:r>
          </w:p>
          <w:p w14:paraId="6F7B8C0A" w14:textId="77777777" w:rsidR="00331B86" w:rsidRPr="007D0AA8" w:rsidRDefault="00331B86" w:rsidP="009735F2">
            <w:pPr>
              <w:pStyle w:val="Tabletext"/>
              <w:keepNext/>
              <w:keepLines/>
            </w:pPr>
            <w:r w:rsidRPr="001B37A5">
              <w:t>$900.00</w:t>
            </w:r>
          </w:p>
        </w:tc>
      </w:tr>
      <w:tr w:rsidR="00331B86" w:rsidRPr="007D0AA8" w14:paraId="45A02037" w14:textId="77777777" w:rsidTr="00160DD2">
        <w:tc>
          <w:tcPr>
            <w:tcW w:w="1055" w:type="pct"/>
            <w:hideMark/>
          </w:tcPr>
          <w:p w14:paraId="45609841" w14:textId="77777777" w:rsidR="00331B86" w:rsidRPr="007D0AA8" w:rsidRDefault="00331B86" w:rsidP="009735F2">
            <w:pPr>
              <w:pStyle w:val="Tabletext"/>
              <w:keepNext/>
              <w:keepLines/>
            </w:pPr>
            <w:r w:rsidRPr="007D0AA8">
              <w:t>Evogam</w:t>
            </w:r>
          </w:p>
        </w:tc>
        <w:tc>
          <w:tcPr>
            <w:tcW w:w="825" w:type="pct"/>
            <w:hideMark/>
          </w:tcPr>
          <w:p w14:paraId="25BDBDC5" w14:textId="77777777" w:rsidR="00331B86" w:rsidRPr="007D0AA8" w:rsidRDefault="00331B86" w:rsidP="009735F2">
            <w:pPr>
              <w:pStyle w:val="Tabletext"/>
              <w:keepNext/>
              <w:keepLines/>
            </w:pPr>
            <w:r w:rsidRPr="007D0AA8">
              <w:t xml:space="preserve">CSL Behring </w:t>
            </w:r>
          </w:p>
        </w:tc>
        <w:tc>
          <w:tcPr>
            <w:tcW w:w="909" w:type="pct"/>
            <w:hideMark/>
          </w:tcPr>
          <w:p w14:paraId="7B260555" w14:textId="77777777" w:rsidR="00331B86" w:rsidRPr="007D0AA8" w:rsidRDefault="00331B86" w:rsidP="009735F2">
            <w:pPr>
              <w:pStyle w:val="Tabletext"/>
              <w:keepNext/>
              <w:keepLines/>
            </w:pPr>
            <w:r w:rsidRPr="007D0AA8">
              <w:t>SC</w:t>
            </w:r>
          </w:p>
        </w:tc>
        <w:tc>
          <w:tcPr>
            <w:tcW w:w="1106" w:type="pct"/>
            <w:hideMark/>
          </w:tcPr>
          <w:p w14:paraId="7CA774C1" w14:textId="77777777" w:rsidR="00331B86" w:rsidRPr="007D0AA8" w:rsidRDefault="00331B86" w:rsidP="009735F2">
            <w:pPr>
              <w:pStyle w:val="Tabletext"/>
              <w:keepNext/>
              <w:keepLines/>
            </w:pPr>
            <w:r w:rsidRPr="007D0AA8">
              <w:t>16% 0.8g/5mL</w:t>
            </w:r>
          </w:p>
          <w:p w14:paraId="3F36F917" w14:textId="77777777" w:rsidR="00331B86" w:rsidRPr="007D0AA8" w:rsidRDefault="00331B86" w:rsidP="009735F2">
            <w:pPr>
              <w:pStyle w:val="Tabletext"/>
              <w:keepNext/>
              <w:keepLines/>
              <w:rPr>
                <w:highlight w:val="yellow"/>
              </w:rPr>
            </w:pPr>
            <w:r w:rsidRPr="007D0AA8">
              <w:t>16%3.2g/20mL</w:t>
            </w:r>
          </w:p>
        </w:tc>
        <w:tc>
          <w:tcPr>
            <w:tcW w:w="1105" w:type="pct"/>
            <w:hideMark/>
          </w:tcPr>
          <w:p w14:paraId="3AFEAD44" w14:textId="77777777" w:rsidR="00331B86" w:rsidRPr="001B37A5" w:rsidRDefault="00331B86" w:rsidP="009735F2">
            <w:pPr>
              <w:pStyle w:val="Tabletext"/>
              <w:keepNext/>
              <w:keepLines/>
            </w:pPr>
            <w:r>
              <w:t xml:space="preserve">$46.58 </w:t>
            </w:r>
          </w:p>
          <w:p w14:paraId="5749CF3C" w14:textId="77777777" w:rsidR="00331B86" w:rsidRPr="007D0AA8" w:rsidRDefault="00331B86" w:rsidP="009735F2">
            <w:pPr>
              <w:pStyle w:val="Tabletext"/>
              <w:keepNext/>
              <w:keepLines/>
              <w:rPr>
                <w:highlight w:val="yellow"/>
              </w:rPr>
            </w:pPr>
            <w:r>
              <w:t>$186.33</w:t>
            </w:r>
          </w:p>
        </w:tc>
      </w:tr>
    </w:tbl>
    <w:p w14:paraId="2B00BBA4" w14:textId="77777777" w:rsidR="00331B86" w:rsidRPr="00831EEA" w:rsidRDefault="00331B86" w:rsidP="00D3172D">
      <w:pPr>
        <w:pStyle w:val="Tablenotes"/>
      </w:pPr>
      <w:r w:rsidRPr="00BD10BF">
        <w:rPr>
          <w:b/>
        </w:rPr>
        <w:t>Abbreviations:</w:t>
      </w:r>
      <w:r>
        <w:t xml:space="preserve"> </w:t>
      </w:r>
      <w:r w:rsidRPr="00831EEA">
        <w:t xml:space="preserve">IV=intravenous; SC=subcutaneous </w:t>
      </w:r>
    </w:p>
    <w:p w14:paraId="58D0032E" w14:textId="0E88F425" w:rsidR="00331B86" w:rsidRPr="00D3172D" w:rsidRDefault="00331B86" w:rsidP="00D3172D">
      <w:pPr>
        <w:pStyle w:val="Tablenotes"/>
      </w:pPr>
      <w:r w:rsidRPr="00BD10BF">
        <w:rPr>
          <w:b/>
        </w:rPr>
        <w:t>Source:</w:t>
      </w:r>
      <w:r>
        <w:t xml:space="preserve"> Contracted Assessment, Table 11</w:t>
      </w:r>
      <w:r w:rsidRPr="00831EEA">
        <w:t xml:space="preserve">. </w:t>
      </w:r>
    </w:p>
    <w:p w14:paraId="6B2AC6F6" w14:textId="713F3442" w:rsidR="00331B86" w:rsidRDefault="00331B86" w:rsidP="00EF524D">
      <w:pPr>
        <w:spacing w:after="240"/>
      </w:pPr>
      <w:r>
        <w:t>As noted above, c</w:t>
      </w:r>
      <w:r w:rsidRPr="00443FFA">
        <w:t xml:space="preserve">linical criteria for eligible patients to access subsidised IgG are specified by the NBA’s </w:t>
      </w:r>
      <w:r w:rsidRPr="00443FFA">
        <w:rPr>
          <w:iCs/>
        </w:rPr>
        <w:t>Criteria</w:t>
      </w:r>
      <w:r>
        <w:t>. Th</w:t>
      </w:r>
      <w:r w:rsidRPr="007D0AA8">
        <w:rPr>
          <w:rFonts w:eastAsia="Calibri"/>
        </w:rPr>
        <w:t>e</w:t>
      </w:r>
      <w:r>
        <w:rPr>
          <w:rFonts w:eastAsia="Calibri"/>
        </w:rPr>
        <w:t xml:space="preserve"> Criteria are periodically updated, and the </w:t>
      </w:r>
      <w:r w:rsidRPr="007D0AA8">
        <w:rPr>
          <w:rFonts w:eastAsia="Calibri"/>
        </w:rPr>
        <w:t>eligibility criteria may be refined according to recommendations of the relevant NBA working group</w:t>
      </w:r>
      <w:r>
        <w:rPr>
          <w:rFonts w:eastAsia="Calibri"/>
        </w:rPr>
        <w:t xml:space="preserve"> and subsequent approval by the JBC</w:t>
      </w:r>
      <w:r w:rsidRPr="007D0AA8">
        <w:rPr>
          <w:rFonts w:eastAsia="Calibri"/>
        </w:rPr>
        <w:t>.</w:t>
      </w:r>
    </w:p>
    <w:p w14:paraId="631FAEA5" w14:textId="10103DDB" w:rsidR="00331B86" w:rsidRPr="00D22196" w:rsidRDefault="00331B86" w:rsidP="00331B86">
      <w:pPr>
        <w:pStyle w:val="NormalBulletList"/>
        <w:numPr>
          <w:ilvl w:val="0"/>
          <w:numId w:val="0"/>
        </w:numPr>
      </w:pPr>
      <w:r>
        <w:t>A</w:t>
      </w:r>
      <w:r w:rsidRPr="00D22196">
        <w:t>ccording to the</w:t>
      </w:r>
      <w:r>
        <w:t xml:space="preserve"> current</w:t>
      </w:r>
      <w:r>
        <w:rPr>
          <w:i/>
        </w:rPr>
        <w:t xml:space="preserve"> </w:t>
      </w:r>
      <w:r>
        <w:t>Criteria (</w:t>
      </w:r>
      <w:r w:rsidRPr="00105D72">
        <w:t>version 3</w:t>
      </w:r>
      <w:r>
        <w:t>)</w:t>
      </w:r>
      <w:r w:rsidRPr="00D22196">
        <w:t>,</w:t>
      </w:r>
      <w:r w:rsidR="00023689">
        <w:t xml:space="preserve"> one of</w:t>
      </w:r>
      <w:r w:rsidRPr="00D22196">
        <w:t xml:space="preserve"> the indication</w:t>
      </w:r>
      <w:r w:rsidR="00023689">
        <w:t>s</w:t>
      </w:r>
      <w:r>
        <w:t xml:space="preserve"> cover</w:t>
      </w:r>
      <w:r w:rsidR="00023689">
        <w:t xml:space="preserve">ed is acquired </w:t>
      </w:r>
      <w:r>
        <w:t xml:space="preserve">hypogammaglobulinaemia </w:t>
      </w:r>
      <w:r w:rsidRPr="00D22196">
        <w:t>secondary to the following specific conditions (or associated treatment):</w:t>
      </w:r>
    </w:p>
    <w:p w14:paraId="517BE3B4" w14:textId="77777777" w:rsidR="00331B86" w:rsidRPr="003C7185" w:rsidRDefault="00331B86" w:rsidP="004D042D">
      <w:pPr>
        <w:pStyle w:val="NormalBulletList"/>
        <w:spacing w:before="120"/>
        <w:ind w:left="357"/>
        <w:contextualSpacing w:val="0"/>
      </w:pPr>
      <w:r w:rsidRPr="003C7185">
        <w:t>Acute leukaemia</w:t>
      </w:r>
      <w:r>
        <w:t xml:space="preserve"> (AL)</w:t>
      </w:r>
    </w:p>
    <w:p w14:paraId="18DB6296" w14:textId="77777777" w:rsidR="00331B86" w:rsidRPr="003C7185" w:rsidRDefault="00331B86" w:rsidP="004D042D">
      <w:pPr>
        <w:pStyle w:val="NormalBulletList"/>
        <w:spacing w:before="120"/>
        <w:ind w:left="357"/>
        <w:contextualSpacing w:val="0"/>
      </w:pPr>
      <w:r w:rsidRPr="003C7185">
        <w:t>Chronic lymphocytic leukaemia (CLL)</w:t>
      </w:r>
    </w:p>
    <w:p w14:paraId="3361C113" w14:textId="77777777" w:rsidR="00331B86" w:rsidRPr="003C7185" w:rsidRDefault="00331B86" w:rsidP="004D042D">
      <w:pPr>
        <w:pStyle w:val="NormalBulletList"/>
        <w:spacing w:before="120"/>
        <w:ind w:left="357"/>
        <w:contextualSpacing w:val="0"/>
      </w:pPr>
      <w:r w:rsidRPr="003C7185">
        <w:t>Multiple myeloma (MM)</w:t>
      </w:r>
    </w:p>
    <w:p w14:paraId="4838D2AA" w14:textId="77777777" w:rsidR="00331B86" w:rsidRPr="003C7185" w:rsidRDefault="00331B86" w:rsidP="004D042D">
      <w:pPr>
        <w:pStyle w:val="NormalBulletList"/>
        <w:spacing w:before="120"/>
        <w:ind w:left="357"/>
        <w:contextualSpacing w:val="0"/>
      </w:pPr>
      <w:r w:rsidRPr="003C7185">
        <w:t>Non‐Hodgkin lymphoma (NHL)</w:t>
      </w:r>
    </w:p>
    <w:p w14:paraId="61191114" w14:textId="77777777" w:rsidR="00CD00E7" w:rsidRDefault="00CD00E7" w:rsidP="004D042D">
      <w:pPr>
        <w:pStyle w:val="NormalBulletList"/>
        <w:spacing w:before="120"/>
        <w:ind w:left="357"/>
        <w:contextualSpacing w:val="0"/>
      </w:pPr>
      <w:r w:rsidRPr="003C7185">
        <w:t>Memory B cell deficiency secondary to HSCT</w:t>
      </w:r>
      <w:r>
        <w:t>.</w:t>
      </w:r>
    </w:p>
    <w:p w14:paraId="46F698A7" w14:textId="77777777" w:rsidR="00331B86" w:rsidRPr="003C7185" w:rsidRDefault="00331B86" w:rsidP="004D042D">
      <w:pPr>
        <w:pStyle w:val="NormalBulletList"/>
        <w:spacing w:before="120"/>
        <w:ind w:left="357"/>
        <w:contextualSpacing w:val="0"/>
      </w:pPr>
      <w:r w:rsidRPr="003C7185">
        <w:t>Other Haematological malignancy</w:t>
      </w:r>
    </w:p>
    <w:p w14:paraId="1B8C2A49" w14:textId="14BC85FE" w:rsidR="00331B86" w:rsidRDefault="00331B86" w:rsidP="00EF524D">
      <w:pPr>
        <w:pStyle w:val="NormalBulletList"/>
        <w:numPr>
          <w:ilvl w:val="0"/>
          <w:numId w:val="0"/>
        </w:numPr>
        <w:spacing w:before="120" w:after="240"/>
        <w:ind w:left="357"/>
        <w:contextualSpacing w:val="0"/>
      </w:pPr>
      <w:r w:rsidRPr="003C7185">
        <w:t>[Diagnosis of haematological malignancies should be according to the criteria of the current World Health Organization (WHO) classification]</w:t>
      </w:r>
    </w:p>
    <w:p w14:paraId="664F61B6" w14:textId="2662269E" w:rsidR="00331B86" w:rsidRDefault="00331B86" w:rsidP="00331B86">
      <w:pPr>
        <w:pStyle w:val="NormalBulletList"/>
        <w:numPr>
          <w:ilvl w:val="0"/>
          <w:numId w:val="0"/>
        </w:numPr>
      </w:pPr>
      <w:r w:rsidRPr="009F2BEA">
        <w:t xml:space="preserve">There are different baseline risks of infection (higher in </w:t>
      </w:r>
      <w:r>
        <w:t xml:space="preserve">AL </w:t>
      </w:r>
      <w:r w:rsidRPr="009F2BEA">
        <w:t xml:space="preserve">and post-HSCT patients) </w:t>
      </w:r>
      <w:r>
        <w:t xml:space="preserve">and </w:t>
      </w:r>
      <w:r w:rsidRPr="009F2BEA">
        <w:t xml:space="preserve">baseline risk of intensive care admission </w:t>
      </w:r>
      <w:r>
        <w:t>(</w:t>
      </w:r>
      <w:r w:rsidRPr="009F2BEA">
        <w:t>greater for post-HSCT</w:t>
      </w:r>
      <w:r>
        <w:t>)</w:t>
      </w:r>
      <w:r w:rsidRPr="009F2BEA">
        <w:t xml:space="preserve"> among the above conditions. </w:t>
      </w:r>
      <w:r>
        <w:t>However, t</w:t>
      </w:r>
      <w:r w:rsidRPr="009F2BEA">
        <w:t>he way in which hypogammaglobulinaemia is diagnosed and treated (with or without access to Ig) is common across the patients in this indication.</w:t>
      </w:r>
    </w:p>
    <w:p w14:paraId="0E648246" w14:textId="62EB23EC" w:rsidR="00331B86" w:rsidRPr="009F2BEA" w:rsidRDefault="00331B86" w:rsidP="00331B86">
      <w:pPr>
        <w:pStyle w:val="NormalBulletList"/>
        <w:keepNext/>
        <w:keepLines/>
        <w:numPr>
          <w:ilvl w:val="0"/>
          <w:numId w:val="0"/>
        </w:numPr>
      </w:pPr>
      <w:r w:rsidRPr="009F2BEA">
        <w:lastRenderedPageBreak/>
        <w:t>The</w:t>
      </w:r>
      <w:r w:rsidRPr="009F2BEA">
        <w:rPr>
          <w:i/>
        </w:rPr>
        <w:t xml:space="preserve"> </w:t>
      </w:r>
      <w:r w:rsidRPr="001941B1">
        <w:t xml:space="preserve">Criteria </w:t>
      </w:r>
      <w:r w:rsidRPr="009F2BEA">
        <w:t>provide for Ig supply as follows:</w:t>
      </w:r>
    </w:p>
    <w:p w14:paraId="40E67446" w14:textId="74B981EE" w:rsidR="00331B86" w:rsidRPr="001941B1" w:rsidRDefault="00331B86" w:rsidP="004D042D">
      <w:pPr>
        <w:pStyle w:val="NormalBulletList"/>
        <w:keepNext/>
        <w:keepLines/>
        <w:spacing w:after="120"/>
        <w:ind w:left="357" w:hanging="357"/>
        <w:contextualSpacing w:val="0"/>
      </w:pPr>
      <w:r w:rsidRPr="001941B1">
        <w:t xml:space="preserve">Patients with serum IgG less than 4g/L regardless of episodes of infection or antibiotic use. </w:t>
      </w:r>
    </w:p>
    <w:p w14:paraId="0B25795E" w14:textId="58256DD2" w:rsidR="00331B86" w:rsidRDefault="00331B86" w:rsidP="00EF524D">
      <w:pPr>
        <w:pStyle w:val="NormalBulletList"/>
        <w:spacing w:after="240"/>
        <w:ind w:left="357" w:hanging="357"/>
        <w:contextualSpacing w:val="0"/>
      </w:pPr>
      <w:r w:rsidRPr="001941B1">
        <w:t>Patients with serum IgG greater than 4g/L, IF serum IgG is less than the lower limit of the age-related reference range, AND the patient has had either (1) at least one life-threatening infection in the last 12 months, or (2) two serious infections in the last six months requiring more than standard courses of antibiotics.</w:t>
      </w:r>
      <w:r w:rsidRPr="001941B1">
        <w:br/>
        <w:t>[Serum IgG refers to values excluding paraprotein]</w:t>
      </w:r>
    </w:p>
    <w:p w14:paraId="1EFE173B" w14:textId="3BE9F6AC" w:rsidR="00331B86" w:rsidRPr="00EF524D" w:rsidRDefault="00331B86" w:rsidP="00EF524D">
      <w:pPr>
        <w:pStyle w:val="NormalBulletList"/>
        <w:numPr>
          <w:ilvl w:val="0"/>
          <w:numId w:val="0"/>
        </w:numPr>
        <w:spacing w:before="240" w:after="240"/>
      </w:pPr>
      <w:r>
        <w:t>As advised by the I</w:t>
      </w:r>
      <w:r w:rsidR="00023689">
        <w:t>g</w:t>
      </w:r>
      <w:r>
        <w:t xml:space="preserve"> Review Reference Group, the literature search</w:t>
      </w:r>
      <w:r w:rsidRPr="00B27BF8">
        <w:t xml:space="preserve"> </w:t>
      </w:r>
      <w:r>
        <w:t xml:space="preserve">for the Contracted Assessment </w:t>
      </w:r>
      <w:r w:rsidRPr="00B27BF8">
        <w:t>include</w:t>
      </w:r>
      <w:r>
        <w:t>d</w:t>
      </w:r>
      <w:r w:rsidRPr="00B27BF8">
        <w:t xml:space="preserve"> a broad definition of the population not constrained by these </w:t>
      </w:r>
      <w:r>
        <w:t xml:space="preserve">criteria for access, but </w:t>
      </w:r>
      <w:r w:rsidRPr="00B27BF8">
        <w:t>limited to the ha</w:t>
      </w:r>
      <w:r>
        <w:t>ematological malignancies above</w:t>
      </w:r>
      <w:r w:rsidR="00EF524D">
        <w:t>.</w:t>
      </w:r>
    </w:p>
    <w:p w14:paraId="3CD9CC36" w14:textId="013403D2" w:rsidR="00331B86" w:rsidRPr="00EF524D" w:rsidRDefault="00331B86" w:rsidP="00EF524D">
      <w:pPr>
        <w:spacing w:after="240"/>
        <w:rPr>
          <w:rFonts w:eastAsia="Calibri"/>
          <w:lang w:eastAsia="en-US"/>
        </w:rPr>
      </w:pPr>
      <w:r w:rsidRPr="007D0AA8">
        <w:rPr>
          <w:rFonts w:eastAsia="Calibri"/>
          <w:lang w:eastAsia="en-US"/>
        </w:rPr>
        <w:t>In order to qualify for supply of Ig, a diagnosis must be made by an immunologist, haematologist, paediatrician, general medicine physician or an oncologist. Management and review of the patient and prescribing of continuing treatment should also be undertaken by one of these specialists. Applications for Ig are made through the BloodSTAR online portal and assessed against the</w:t>
      </w:r>
      <w:r>
        <w:rPr>
          <w:rFonts w:eastAsia="Calibri"/>
          <w:lang w:eastAsia="en-US"/>
        </w:rPr>
        <w:t xml:space="preserve"> Criteria</w:t>
      </w:r>
      <w:r w:rsidR="00EF524D">
        <w:rPr>
          <w:rFonts w:eastAsia="Calibri"/>
          <w:lang w:eastAsia="en-US"/>
        </w:rPr>
        <w:t>.</w:t>
      </w:r>
    </w:p>
    <w:p w14:paraId="0A7BF9D4" w14:textId="77777777" w:rsidR="00331B86" w:rsidRPr="007D0AA8" w:rsidRDefault="00331B86" w:rsidP="00331B86">
      <w:pPr>
        <w:rPr>
          <w:rFonts w:eastAsia="Calibri"/>
          <w:lang w:eastAsia="en-US"/>
        </w:rPr>
      </w:pPr>
      <w:r w:rsidRPr="007D0AA8">
        <w:rPr>
          <w:rFonts w:eastAsia="Calibri"/>
          <w:lang w:eastAsia="en-US"/>
        </w:rPr>
        <w:t>IVIg administration requires a hospital or clinic with IV infusion facilities. For access to SCIg</w:t>
      </w:r>
      <w:r>
        <w:rPr>
          <w:rFonts w:eastAsia="Calibri"/>
          <w:lang w:eastAsia="en-US"/>
        </w:rPr>
        <w:t xml:space="preserve">, </w:t>
      </w:r>
      <w:r w:rsidRPr="007D0AA8">
        <w:rPr>
          <w:rFonts w:eastAsia="Calibri"/>
          <w:lang w:eastAsia="en-US"/>
        </w:rPr>
        <w:t xml:space="preserve">the patient must be being treated by a clinical specialist within a hospital based SCIg program. The patient/carer must be trained in the procedure by a qualified nurse or technician to deliver SCIg in an out of hospital setting. </w:t>
      </w:r>
    </w:p>
    <w:p w14:paraId="1E651F63" w14:textId="09F9D6AC" w:rsidR="00F636F1" w:rsidRPr="00F715D1" w:rsidRDefault="00F636F1" w:rsidP="00F636F1">
      <w:pPr>
        <w:pStyle w:val="Heading1"/>
      </w:pPr>
      <w:r w:rsidRPr="00F715D1">
        <w:t xml:space="preserve">Summary of </w:t>
      </w:r>
      <w:r w:rsidR="009735F2">
        <w:t>public consultation feedback/c</w:t>
      </w:r>
      <w:r w:rsidRPr="00F715D1">
        <w:t>onsumer Issues</w:t>
      </w:r>
    </w:p>
    <w:p w14:paraId="3188F38B" w14:textId="30C37938" w:rsidR="00331B86" w:rsidRDefault="00331B86" w:rsidP="00EF524D">
      <w:pPr>
        <w:pStyle w:val="NormalBulletList"/>
        <w:numPr>
          <w:ilvl w:val="0"/>
          <w:numId w:val="0"/>
        </w:numPr>
        <w:spacing w:after="240"/>
        <w:contextualSpacing w:val="0"/>
      </w:pPr>
      <w:r>
        <w:t>Public consultation was undertaken on the Referral and draft Contracted Assessment, and sponsor companies had an additional opportunity to comment on the PICO and provide inpu</w:t>
      </w:r>
      <w:r w:rsidR="00EF524D">
        <w:t>t to the Contracted Assessment.</w:t>
      </w:r>
    </w:p>
    <w:p w14:paraId="6DF3DCD5" w14:textId="14EC75B9" w:rsidR="00331B86" w:rsidRDefault="00331B86" w:rsidP="00331B86">
      <w:pPr>
        <w:pStyle w:val="NormalBulletList"/>
        <w:numPr>
          <w:ilvl w:val="0"/>
          <w:numId w:val="0"/>
        </w:numPr>
      </w:pPr>
      <w:r w:rsidRPr="00E97B39">
        <w:t>Consumer groups agreed with the superior effectiveness of Ig versus no Ig. Claimed benefits to consumers include</w:t>
      </w:r>
      <w:r>
        <w:t>:</w:t>
      </w:r>
      <w:r w:rsidRPr="00E97B39">
        <w:t xml:space="preserve"> reduced exposure to antibiotics and development of antibiotic resistance; less hospitalisations and reduced time in hospital; improved quality of life (QoL); </w:t>
      </w:r>
      <w:r w:rsidRPr="007D0AA8">
        <w:t xml:space="preserve">reduced risk of </w:t>
      </w:r>
      <w:r>
        <w:t>graft-versus-host disease (GVHD) for HSCT patients;</w:t>
      </w:r>
      <w:r w:rsidRPr="007D0AA8">
        <w:t xml:space="preserve"> </w:t>
      </w:r>
      <w:r w:rsidRPr="00E97B39">
        <w:t>reduced risk of death; and mental health benefits. Consumers also claimed societal benefits from access to Ig including greater participation in education and/or work; greater participation in social and community activities; and reduced</w:t>
      </w:r>
      <w:r>
        <w:t xml:space="preserve"> pressure/anxiety for</w:t>
      </w:r>
      <w:r w:rsidRPr="00E97B39">
        <w:t xml:space="preserve"> family/carers.</w:t>
      </w:r>
      <w:r>
        <w:t xml:space="preserve"> Consumer groups acknowledged the side effects of Ig treatment. Issues with access in rural and remote areas, and access to SCIg were noted.</w:t>
      </w:r>
    </w:p>
    <w:p w14:paraId="3F6BC034" w14:textId="77777777" w:rsidR="00F636F1" w:rsidRPr="00F715D1" w:rsidRDefault="00F636F1" w:rsidP="00F636F1">
      <w:pPr>
        <w:pStyle w:val="Heading1"/>
      </w:pPr>
      <w:r w:rsidRPr="00F715D1">
        <w:t>Proposed intervention’s place in clinical management</w:t>
      </w:r>
    </w:p>
    <w:p w14:paraId="1B06A3D9" w14:textId="30C26AAD" w:rsidR="00331B86" w:rsidRDefault="00331B86" w:rsidP="00EF524D">
      <w:pPr>
        <w:spacing w:after="240"/>
      </w:pPr>
      <w:r>
        <w:t xml:space="preserve">Ig replacement therapy is currently funded where no other current active intervention is available for patients in this indication. However, the standard of care includes use of antibiotics as required, which may include antibiotic prophylaxis, and utilisation of antibiotics was </w:t>
      </w:r>
      <w:r w:rsidRPr="007D0AA8">
        <w:rPr>
          <w:rFonts w:eastAsia="Calibri"/>
          <w:lang w:eastAsia="en-US"/>
        </w:rPr>
        <w:t>expected to be higher in the comparator arm</w:t>
      </w:r>
      <w:r>
        <w:t xml:space="preserve"> (‘No Ig access, with or without antibiotics’). The clinical management algorithm for patients with acquired hypogammaglobulinaemia secondary to haematological malignancy or post-HSCT is provided in Figure 1.</w:t>
      </w:r>
    </w:p>
    <w:p w14:paraId="68C88423" w14:textId="79EC19A1" w:rsidR="00331B86" w:rsidRPr="00095345" w:rsidRDefault="00331B86" w:rsidP="009735F2">
      <w:pPr>
        <w:spacing w:after="240"/>
      </w:pPr>
      <w:r>
        <w:t>The</w:t>
      </w:r>
      <w:r w:rsidRPr="007D0AA8">
        <w:t xml:space="preserve"> </w:t>
      </w:r>
      <w:r>
        <w:t>C</w:t>
      </w:r>
      <w:r w:rsidRPr="007D0AA8">
        <w:t>ontracted</w:t>
      </w:r>
      <w:r>
        <w:t xml:space="preserve"> As</w:t>
      </w:r>
      <w:r w:rsidRPr="007D0AA8">
        <w:t>sessment of Ig for acquired hypogammaglobulinaemia addresses all of the PICO elements that were pre-specified in the PICO</w:t>
      </w:r>
      <w:r>
        <w:t xml:space="preserve"> Confirmation ratified by the I</w:t>
      </w:r>
      <w:r w:rsidR="00023689">
        <w:t>g</w:t>
      </w:r>
      <w:r w:rsidRPr="007D0AA8">
        <w:t xml:space="preserve"> Review </w:t>
      </w:r>
      <w:r w:rsidRPr="007D0AA8">
        <w:lastRenderedPageBreak/>
        <w:t>Reference Group.</w:t>
      </w:r>
      <w:r>
        <w:t xml:space="preserve"> However, there was limited clinical evidence available to inform the assessment.</w:t>
      </w:r>
    </w:p>
    <w:tbl>
      <w:tblPr>
        <w:tblStyle w:val="TableGrid"/>
        <w:tblW w:w="0" w:type="auto"/>
        <w:tblLook w:val="04A0" w:firstRow="1" w:lastRow="0" w:firstColumn="1" w:lastColumn="0" w:noHBand="0" w:noVBand="1"/>
        <w:tblCaption w:val="Treatment algorithm"/>
      </w:tblPr>
      <w:tblGrid>
        <w:gridCol w:w="9016"/>
      </w:tblGrid>
      <w:tr w:rsidR="00331B86" w:rsidRPr="00386411" w14:paraId="6CC94281" w14:textId="77777777" w:rsidTr="00331B86">
        <w:trPr>
          <w:tblHeader/>
        </w:trPr>
        <w:tc>
          <w:tcPr>
            <w:tcW w:w="9019" w:type="dxa"/>
            <w:shd w:val="clear" w:color="auto" w:fill="000000" w:themeFill="text1"/>
          </w:tcPr>
          <w:p w14:paraId="6F82176A" w14:textId="77777777" w:rsidR="00331B86" w:rsidRPr="00386411" w:rsidRDefault="00331B86" w:rsidP="00331B86">
            <w:pPr>
              <w:keepNext/>
              <w:rPr>
                <w:rFonts w:cstheme="minorHAnsi"/>
                <w:b/>
                <w:sz w:val="20"/>
              </w:rPr>
            </w:pPr>
            <w:r w:rsidRPr="00386411">
              <w:rPr>
                <w:rFonts w:cstheme="minorHAnsi"/>
                <w:b/>
                <w:sz w:val="20"/>
              </w:rPr>
              <w:t>(A) Initial Access to IgG funded under the National Blood Arrangements</w:t>
            </w:r>
          </w:p>
        </w:tc>
      </w:tr>
      <w:tr w:rsidR="00331B86" w:rsidRPr="00386411" w14:paraId="7CCCB7B8" w14:textId="77777777" w:rsidTr="00331B86">
        <w:tc>
          <w:tcPr>
            <w:tcW w:w="9019" w:type="dxa"/>
          </w:tcPr>
          <w:p w14:paraId="00093897" w14:textId="77777777" w:rsidR="00331B86" w:rsidRPr="00386411" w:rsidRDefault="00331B86" w:rsidP="00331B86">
            <w:pPr>
              <w:jc w:val="center"/>
              <w:rPr>
                <w:rFonts w:cstheme="minorHAnsi"/>
                <w:b/>
                <w:sz w:val="20"/>
              </w:rPr>
            </w:pPr>
            <w:r w:rsidRPr="00386411">
              <w:rPr>
                <w:rFonts w:cstheme="minorHAnsi"/>
                <w:b/>
                <w:noProof/>
                <w:sz w:val="20"/>
              </w:rPr>
              <w:drawing>
                <wp:inline distT="0" distB="0" distL="0" distR="0" wp14:anchorId="6983E1D9" wp14:editId="037C3AB2">
                  <wp:extent cx="5628178" cy="4446905"/>
                  <wp:effectExtent l="0" t="0" r="0" b="0"/>
                  <wp:docPr id="11" name="Picture 11" title="Treatment algorithm - Initial Access to IgG funded under the National Blood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696" r="2216" b="7472"/>
                          <a:stretch/>
                        </pic:blipFill>
                        <pic:spPr bwMode="auto">
                          <a:xfrm>
                            <a:off x="0" y="0"/>
                            <a:ext cx="5667799" cy="447821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4B0F6E5" w14:textId="77777777" w:rsidR="00331B86" w:rsidRDefault="00331B86" w:rsidP="00331B86"/>
    <w:tbl>
      <w:tblPr>
        <w:tblStyle w:val="TableGrid"/>
        <w:tblW w:w="0" w:type="auto"/>
        <w:tblLook w:val="04A0" w:firstRow="1" w:lastRow="0" w:firstColumn="1" w:lastColumn="0" w:noHBand="0" w:noVBand="1"/>
        <w:tblDescription w:val="Treatment algorithms for monitoring response to IgG therapy and treatment pathway when IgG is not an option"/>
      </w:tblPr>
      <w:tblGrid>
        <w:gridCol w:w="8976"/>
      </w:tblGrid>
      <w:tr w:rsidR="00331B86" w:rsidRPr="00386411" w14:paraId="2A3E8849" w14:textId="77777777" w:rsidTr="00C47D60">
        <w:trPr>
          <w:trHeight w:val="232"/>
          <w:tblHeader/>
        </w:trPr>
        <w:tc>
          <w:tcPr>
            <w:tcW w:w="8416" w:type="dxa"/>
            <w:shd w:val="clear" w:color="auto" w:fill="000000" w:themeFill="text1"/>
          </w:tcPr>
          <w:p w14:paraId="23FC89C8" w14:textId="77777777" w:rsidR="00331B86" w:rsidRPr="00386411" w:rsidRDefault="00331B86" w:rsidP="00C47D60">
            <w:pPr>
              <w:keepNext/>
              <w:rPr>
                <w:rFonts w:cstheme="minorHAnsi"/>
                <w:b/>
                <w:sz w:val="20"/>
              </w:rPr>
            </w:pPr>
            <w:r w:rsidRPr="00386411">
              <w:rPr>
                <w:rFonts w:cstheme="minorHAnsi"/>
                <w:b/>
                <w:sz w:val="20"/>
              </w:rPr>
              <w:lastRenderedPageBreak/>
              <w:t>(B) Monitoring response to IgG therapy</w:t>
            </w:r>
          </w:p>
        </w:tc>
      </w:tr>
      <w:tr w:rsidR="00331B86" w:rsidRPr="00386411" w14:paraId="47BD4AC9" w14:textId="77777777" w:rsidTr="00C47D60">
        <w:trPr>
          <w:trHeight w:val="9078"/>
        </w:trPr>
        <w:tc>
          <w:tcPr>
            <w:tcW w:w="8416" w:type="dxa"/>
          </w:tcPr>
          <w:p w14:paraId="3BFF2F10" w14:textId="77777777" w:rsidR="00331B86" w:rsidRPr="00386411" w:rsidRDefault="00331B86" w:rsidP="001C623B">
            <w:pPr>
              <w:keepNext/>
              <w:keepLines/>
              <w:rPr>
                <w:rFonts w:cstheme="minorHAnsi"/>
                <w:b/>
                <w:sz w:val="20"/>
              </w:rPr>
            </w:pPr>
            <w:r w:rsidRPr="00386411">
              <w:rPr>
                <w:rFonts w:cstheme="minorHAnsi"/>
                <w:b/>
                <w:noProof/>
                <w:sz w:val="20"/>
              </w:rPr>
              <w:drawing>
                <wp:inline distT="0" distB="0" distL="0" distR="0" wp14:anchorId="4FE4719D" wp14:editId="4CFFE20A">
                  <wp:extent cx="5554345" cy="5121910"/>
                  <wp:effectExtent l="0" t="0" r="8255" b="2540"/>
                  <wp:docPr id="15" name="Picture 15" title="Treatment algorithm - Monitoring response to IgG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54345" cy="5121910"/>
                          </a:xfrm>
                          <a:prstGeom prst="rect">
                            <a:avLst/>
                          </a:prstGeom>
                          <a:noFill/>
                          <a:ln>
                            <a:noFill/>
                          </a:ln>
                        </pic:spPr>
                      </pic:pic>
                    </a:graphicData>
                  </a:graphic>
                </wp:inline>
              </w:drawing>
            </w:r>
          </w:p>
        </w:tc>
      </w:tr>
      <w:tr w:rsidR="00331B86" w:rsidRPr="00386411" w14:paraId="22374E7A" w14:textId="77777777" w:rsidTr="00C47D60">
        <w:trPr>
          <w:trHeight w:val="232"/>
        </w:trPr>
        <w:tc>
          <w:tcPr>
            <w:tcW w:w="8416" w:type="dxa"/>
            <w:shd w:val="clear" w:color="auto" w:fill="000000" w:themeFill="text1"/>
          </w:tcPr>
          <w:p w14:paraId="43EACFEB" w14:textId="77777777" w:rsidR="00331B86" w:rsidRPr="00386411" w:rsidRDefault="00331B86" w:rsidP="001C623B">
            <w:pPr>
              <w:keepNext/>
              <w:keepLines/>
              <w:rPr>
                <w:rFonts w:cstheme="minorHAnsi"/>
                <w:b/>
                <w:sz w:val="20"/>
              </w:rPr>
            </w:pPr>
            <w:r w:rsidRPr="00386411">
              <w:rPr>
                <w:rFonts w:cstheme="minorHAnsi"/>
                <w:b/>
                <w:sz w:val="20"/>
              </w:rPr>
              <w:t>(C) Treatment pathway when IgG is not an option</w:t>
            </w:r>
          </w:p>
        </w:tc>
      </w:tr>
      <w:tr w:rsidR="00331B86" w:rsidRPr="00386411" w14:paraId="768DA44A" w14:textId="77777777" w:rsidTr="00C47D60">
        <w:trPr>
          <w:trHeight w:val="2903"/>
        </w:trPr>
        <w:tc>
          <w:tcPr>
            <w:tcW w:w="8416" w:type="dxa"/>
          </w:tcPr>
          <w:p w14:paraId="3ECA6B92" w14:textId="77777777" w:rsidR="00331B86" w:rsidRPr="00386411" w:rsidRDefault="00331B86" w:rsidP="001C623B">
            <w:pPr>
              <w:keepNext/>
              <w:keepLines/>
              <w:jc w:val="center"/>
              <w:rPr>
                <w:rFonts w:cstheme="minorHAnsi"/>
                <w:b/>
                <w:sz w:val="20"/>
              </w:rPr>
            </w:pPr>
            <w:r w:rsidRPr="00386411">
              <w:rPr>
                <w:rFonts w:cstheme="minorHAnsi"/>
                <w:b/>
                <w:noProof/>
                <w:sz w:val="20"/>
              </w:rPr>
              <w:drawing>
                <wp:inline distT="0" distB="0" distL="0" distR="0" wp14:anchorId="1165D9E8" wp14:editId="7A495B15">
                  <wp:extent cx="3434320" cy="1495425"/>
                  <wp:effectExtent l="0" t="0" r="0" b="0"/>
                  <wp:docPr id="17" name="Picture 17" title="Treatment algorithm - Treatment pathway when IgG is not an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335" r="23242" b="20103"/>
                          <a:stretch/>
                        </pic:blipFill>
                        <pic:spPr bwMode="auto">
                          <a:xfrm>
                            <a:off x="0" y="0"/>
                            <a:ext cx="3456139" cy="150492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2E4AC6F" w14:textId="77777777" w:rsidR="00331B86" w:rsidRPr="00BD6AE8" w:rsidRDefault="00331B86" w:rsidP="00BD6AE8">
      <w:pPr>
        <w:rPr>
          <w:rFonts w:ascii="Arial Narrow" w:hAnsi="Arial Narrow"/>
          <w:b/>
          <w:sz w:val="20"/>
        </w:rPr>
      </w:pPr>
      <w:bookmarkStart w:id="11" w:name="_Ref9797450"/>
      <w:bookmarkStart w:id="12" w:name="_Ref10113845"/>
      <w:bookmarkStart w:id="13" w:name="_Toc14429638"/>
      <w:bookmarkStart w:id="14" w:name="_Toc16671697"/>
      <w:r w:rsidRPr="00BD6AE8">
        <w:rPr>
          <w:rFonts w:ascii="Arial Narrow" w:hAnsi="Arial Narrow"/>
          <w:b/>
          <w:sz w:val="20"/>
        </w:rPr>
        <w:t xml:space="preserve">Figure </w:t>
      </w:r>
      <w:r w:rsidRPr="00BD6AE8">
        <w:rPr>
          <w:rFonts w:ascii="Arial Narrow" w:hAnsi="Arial Narrow"/>
          <w:b/>
          <w:sz w:val="20"/>
        </w:rPr>
        <w:fldChar w:fldCharType="begin"/>
      </w:r>
      <w:r w:rsidRPr="00BD6AE8">
        <w:rPr>
          <w:rFonts w:ascii="Arial Narrow" w:hAnsi="Arial Narrow"/>
          <w:b/>
          <w:sz w:val="20"/>
        </w:rPr>
        <w:instrText xml:space="preserve"> SEQ Figure \* ARABIC </w:instrText>
      </w:r>
      <w:r w:rsidRPr="00BD6AE8">
        <w:rPr>
          <w:rFonts w:ascii="Arial Narrow" w:hAnsi="Arial Narrow"/>
          <w:b/>
          <w:sz w:val="20"/>
        </w:rPr>
        <w:fldChar w:fldCharType="separate"/>
      </w:r>
      <w:r w:rsidRPr="00BD6AE8">
        <w:rPr>
          <w:rFonts w:ascii="Arial Narrow" w:hAnsi="Arial Narrow"/>
          <w:b/>
          <w:sz w:val="20"/>
        </w:rPr>
        <w:t>1</w:t>
      </w:r>
      <w:r w:rsidRPr="00BD6AE8">
        <w:rPr>
          <w:rFonts w:ascii="Arial Narrow" w:hAnsi="Arial Narrow"/>
          <w:b/>
          <w:sz w:val="20"/>
        </w:rPr>
        <w:fldChar w:fldCharType="end"/>
      </w:r>
      <w:bookmarkEnd w:id="11"/>
      <w:r w:rsidRPr="00BD6AE8">
        <w:rPr>
          <w:rFonts w:ascii="Arial Narrow" w:hAnsi="Arial Narrow"/>
          <w:b/>
          <w:sz w:val="20"/>
        </w:rPr>
        <w:tab/>
        <w:t>Clinical management algorithm</w:t>
      </w:r>
      <w:bookmarkEnd w:id="12"/>
      <w:bookmarkEnd w:id="13"/>
      <w:bookmarkEnd w:id="14"/>
      <w:r w:rsidRPr="00BD6AE8">
        <w:rPr>
          <w:rFonts w:ascii="Arial Narrow" w:hAnsi="Arial Narrow"/>
          <w:b/>
          <w:sz w:val="20"/>
        </w:rPr>
        <w:t xml:space="preserve"> for patients with acquired hypogammaglobulinaemia secondary to haematological malignancy or post-HSCT</w:t>
      </w:r>
    </w:p>
    <w:p w14:paraId="67AC2323" w14:textId="2B690038" w:rsidR="001C623B" w:rsidRDefault="00331B86" w:rsidP="00EF524D">
      <w:pPr>
        <w:pStyle w:val="Tablenotes"/>
      </w:pPr>
      <w:r w:rsidRPr="003420A7">
        <w:rPr>
          <w:b/>
        </w:rPr>
        <w:t>Source:</w:t>
      </w:r>
      <w:r>
        <w:t xml:space="preserve"> Contracted Assessment Figure 1</w:t>
      </w:r>
      <w:r w:rsidR="001C623B">
        <w:br w:type="page"/>
      </w:r>
    </w:p>
    <w:p w14:paraId="720E710C" w14:textId="77777777" w:rsidR="00F636F1" w:rsidRPr="00F715D1" w:rsidRDefault="00F636F1" w:rsidP="00F636F1">
      <w:pPr>
        <w:pStyle w:val="Heading1"/>
      </w:pPr>
      <w:r w:rsidRPr="00F715D1">
        <w:lastRenderedPageBreak/>
        <w:t xml:space="preserve">Comparator </w:t>
      </w:r>
    </w:p>
    <w:p w14:paraId="2F13D092" w14:textId="77777777" w:rsidR="00331B86" w:rsidRPr="00331B86" w:rsidRDefault="00331B86" w:rsidP="00331B86">
      <w:r>
        <w:t>The proposed comparator is: No Ig, with or without antibiotics. The comparator is consistent with the PICO Confirmation ratified by the Immunoglobulin Review Reference Group.</w:t>
      </w:r>
    </w:p>
    <w:p w14:paraId="26354A95" w14:textId="77777777" w:rsidR="00F636F1" w:rsidRPr="00F715D1" w:rsidRDefault="00F636F1" w:rsidP="00F636F1">
      <w:pPr>
        <w:pStyle w:val="Heading1"/>
      </w:pPr>
      <w:r w:rsidRPr="00F715D1">
        <w:t>Comparative safety</w:t>
      </w:r>
    </w:p>
    <w:p w14:paraId="37B9CCF9" w14:textId="087C6AE7" w:rsidR="00331B86" w:rsidRDefault="00331B86" w:rsidP="00EF524D">
      <w:pPr>
        <w:spacing w:after="240"/>
      </w:pPr>
      <w:r>
        <w:t>T</w:t>
      </w:r>
      <w:r w:rsidRPr="007D0AA8">
        <w:t>he studies</w:t>
      </w:r>
      <w:r>
        <w:t xml:space="preserve"> included in the assessment of safety were: six randomised trials; one cohort study;</w:t>
      </w:r>
      <w:r w:rsidRPr="007D0AA8">
        <w:t xml:space="preserve"> </w:t>
      </w:r>
      <w:r>
        <w:t>seven non-comparative case series; one dosing study; and one registry study investigating the risk of thromboembolic events (TEEs) associated with Ig administration</w:t>
      </w:r>
      <w:r w:rsidR="00EF524D">
        <w:t xml:space="preserve"> during 12 months of follow-up.</w:t>
      </w:r>
    </w:p>
    <w:p w14:paraId="0D1399EB" w14:textId="391331F0" w:rsidR="00331B86" w:rsidRDefault="00331B86" w:rsidP="00EF524D">
      <w:pPr>
        <w:spacing w:after="240"/>
      </w:pPr>
      <w:r>
        <w:t>S</w:t>
      </w:r>
      <w:r w:rsidRPr="007D0AA8">
        <w:t xml:space="preserve">afety data were limited to reports of systemic </w:t>
      </w:r>
      <w:r>
        <w:t>adverse events (</w:t>
      </w:r>
      <w:r w:rsidRPr="007D0AA8">
        <w:t>AEs</w:t>
      </w:r>
      <w:r>
        <w:t>)</w:t>
      </w:r>
      <w:r w:rsidRPr="007D0AA8">
        <w:t xml:space="preserve"> directly related to the infusion, with th</w:t>
      </w:r>
      <w:r>
        <w:t>e exception of the</w:t>
      </w:r>
      <w:r w:rsidRPr="007D0AA8">
        <w:t xml:space="preserve"> registry study reporting TEE risk. Otherwise</w:t>
      </w:r>
      <w:r w:rsidR="00AD1445">
        <w:t>,</w:t>
      </w:r>
      <w:r w:rsidRPr="007D0AA8">
        <w:t xml:space="preserve"> it wa</w:t>
      </w:r>
      <w:r>
        <w:t xml:space="preserve">s not feasible to consider long </w:t>
      </w:r>
      <w:r w:rsidRPr="007D0AA8">
        <w:t>term, rare or potentially unknown events.</w:t>
      </w:r>
      <w:r>
        <w:t xml:space="preserve"> Only two randomised trials reported AEs for both Ig and No Ig (sham injection) arms. One randomised trial did not report AEs associated with Ig, but reported liver AEs du</w:t>
      </w:r>
      <w:r w:rsidR="00EF524D">
        <w:t>e to concurrent antibiotic use.</w:t>
      </w:r>
    </w:p>
    <w:p w14:paraId="7A730778" w14:textId="6197D40C" w:rsidR="00331B86" w:rsidRDefault="00331B86" w:rsidP="00EF524D">
      <w:pPr>
        <w:spacing w:after="240"/>
      </w:pPr>
      <w:r>
        <w:t>Overall, the included studies support</w:t>
      </w:r>
      <w:r w:rsidRPr="007D0AA8">
        <w:t xml:space="preserve"> that Ig has inferior safety to No Ig</w:t>
      </w:r>
      <w:r>
        <w:t>, due to infusion-related AEs and a small risk of TEE</w:t>
      </w:r>
      <w:r w:rsidRPr="001A55A1">
        <w:t>s</w:t>
      </w:r>
      <w:r>
        <w:t>. It should be noted that safety was assessed in relation to unintended AEs, and the benefits and risks due to infections were considered as part of effectiveness</w:t>
      </w:r>
      <w:r w:rsidRPr="001A55A1">
        <w:t>.</w:t>
      </w:r>
      <w:r w:rsidRPr="007D0AA8">
        <w:t xml:space="preserve"> </w:t>
      </w:r>
      <w:r>
        <w:t>T</w:t>
      </w:r>
      <w:r w:rsidRPr="007D0AA8">
        <w:t>he included studies did not adequately describe antibiotic use</w:t>
      </w:r>
      <w:r>
        <w:t>, thus AEs arising from antibiotic use could not be evaluated as specified in the PICO</w:t>
      </w:r>
      <w:r w:rsidRPr="007D0AA8">
        <w:t>.</w:t>
      </w:r>
    </w:p>
    <w:p w14:paraId="55CE6D03" w14:textId="3B1933B7" w:rsidR="00331B86" w:rsidRDefault="00331B86" w:rsidP="00EF524D">
      <w:pPr>
        <w:spacing w:after="240"/>
      </w:pPr>
      <w:r w:rsidRPr="007D0AA8">
        <w:t xml:space="preserve">AEs associated with Ig </w:t>
      </w:r>
      <w:r>
        <w:t xml:space="preserve">infusion </w:t>
      </w:r>
      <w:r w:rsidRPr="007D0AA8">
        <w:t>were frequent</w:t>
      </w:r>
      <w:r>
        <w:t>,</w:t>
      </w:r>
      <w:r w:rsidRPr="007D0AA8">
        <w:t xml:space="preserve"> but generally mild (low grade) and were manageable with adjustments to infusion. Moderate AEs tended to be less frequent and were manageable with dose adjustment, cessation or corticosteroids. None of the included studies reported any AEs greater than Grade 3 severity, nor were there any deaths or anaphylaxis due to Ig. </w:t>
      </w:r>
      <w:r>
        <w:t xml:space="preserve">Two randomised trials </w:t>
      </w:r>
      <w:r w:rsidRPr="007D0AA8">
        <w:t>employed a sham injection of solution such as albumin or sal</w:t>
      </w:r>
      <w:r>
        <w:t>ine, which was</w:t>
      </w:r>
      <w:r w:rsidRPr="007D0AA8">
        <w:t xml:space="preserve"> also associated with</w:t>
      </w:r>
      <w:r>
        <w:t xml:space="preserve"> infusion-related</w:t>
      </w:r>
      <w:r w:rsidRPr="007D0AA8">
        <w:t xml:space="preserve"> AEs</w:t>
      </w:r>
      <w:r>
        <w:t>, but at a lower rate than Ig.</w:t>
      </w:r>
    </w:p>
    <w:p w14:paraId="6B3901E0" w14:textId="77777777" w:rsidR="00331B86" w:rsidRDefault="00331B86" w:rsidP="00331B86">
      <w:r>
        <w:t>The most common AEs associated with IVIg infusion are chills, headache, dizziness, fever, vomiting, allergic reactions, nausea, arthralgia, low blood pressure and moderate lower back pain. Serious AEs such as thromboembolic reactions, myocardial infarctions, stroke, pulmonary embolisms, or deep vein thrombosis are very rare.</w:t>
      </w:r>
    </w:p>
    <w:p w14:paraId="0509DCE6" w14:textId="77777777" w:rsidR="00F636F1" w:rsidRPr="00F715D1" w:rsidRDefault="00F636F1" w:rsidP="00F636F1">
      <w:pPr>
        <w:pStyle w:val="Heading1"/>
      </w:pPr>
      <w:r w:rsidRPr="00F715D1">
        <w:t>Comparative effectiveness</w:t>
      </w:r>
    </w:p>
    <w:p w14:paraId="666C1408" w14:textId="77777777" w:rsidR="00331B86" w:rsidRDefault="00331B86" w:rsidP="00331B86">
      <w:r>
        <w:t xml:space="preserve">The studies included in the assessment of effectiveness were: </w:t>
      </w:r>
    </w:p>
    <w:p w14:paraId="5B4964C0" w14:textId="77777777" w:rsidR="00331B86" w:rsidRDefault="00331B86" w:rsidP="00331B86">
      <w:pPr>
        <w:pStyle w:val="ListParagraph"/>
        <w:numPr>
          <w:ilvl w:val="0"/>
          <w:numId w:val="6"/>
        </w:numPr>
      </w:pPr>
      <w:r>
        <w:t>eight randomised trials (seven with IVIg and one with SCIg)</w:t>
      </w:r>
    </w:p>
    <w:p w14:paraId="29AAFE88" w14:textId="77777777" w:rsidR="00331B86" w:rsidRDefault="00331B86" w:rsidP="00331B86">
      <w:pPr>
        <w:pStyle w:val="ListParagraph"/>
        <w:numPr>
          <w:ilvl w:val="0"/>
          <w:numId w:val="6"/>
        </w:numPr>
      </w:pPr>
      <w:r>
        <w:t>four non-randomised cohort studies of IVIg versus no IVIg</w:t>
      </w:r>
    </w:p>
    <w:p w14:paraId="1FF366A6" w14:textId="592AAC11" w:rsidR="00331B86" w:rsidRDefault="00331B86" w:rsidP="00331B86">
      <w:pPr>
        <w:pStyle w:val="ListParagraph"/>
        <w:numPr>
          <w:ilvl w:val="0"/>
          <w:numId w:val="6"/>
        </w:numPr>
      </w:pPr>
      <w:r>
        <w:t>nine case series before and after Ig treatment (four of IVIg, one of SCIg, and four of IVIg and SCIg)</w:t>
      </w:r>
    </w:p>
    <w:p w14:paraId="57B5AD78" w14:textId="77777777" w:rsidR="00331B86" w:rsidRDefault="00331B86" w:rsidP="00331B86">
      <w:pPr>
        <w:pStyle w:val="ListParagraph"/>
        <w:numPr>
          <w:ilvl w:val="0"/>
          <w:numId w:val="6"/>
        </w:numPr>
      </w:pPr>
      <w:r>
        <w:t>two dosing studies</w:t>
      </w:r>
    </w:p>
    <w:p w14:paraId="1B01C1DA" w14:textId="1CFEAF6F" w:rsidR="00331B86" w:rsidRDefault="00331B86" w:rsidP="00331B86">
      <w:pPr>
        <w:pStyle w:val="ListParagraph"/>
        <w:numPr>
          <w:ilvl w:val="0"/>
          <w:numId w:val="6"/>
        </w:numPr>
      </w:pPr>
      <w:r>
        <w:t>two case series of IVIg versus SCIg.</w:t>
      </w:r>
    </w:p>
    <w:p w14:paraId="36BAF86A" w14:textId="6E05CB9E" w:rsidR="00331B86" w:rsidRDefault="00331B86" w:rsidP="00EF524D">
      <w:pPr>
        <w:spacing w:before="240" w:after="240"/>
      </w:pPr>
      <w:r>
        <w:t xml:space="preserve">There is reasonable evidence that Ig is effective at reducing the incidence of infections, </w:t>
      </w:r>
      <w:r w:rsidRPr="00AE4873">
        <w:t>despite the highly variable quality of the included studies.</w:t>
      </w:r>
      <w:r>
        <w:t xml:space="preserve"> </w:t>
      </w:r>
      <w:r w:rsidRPr="007D0AA8">
        <w:t>The randomised trial evidence showed that the rate of major</w:t>
      </w:r>
      <w:r>
        <w:t xml:space="preserve"> infections/life-threatening</w:t>
      </w:r>
      <w:r w:rsidRPr="007D0AA8">
        <w:t xml:space="preserve"> infections</w:t>
      </w:r>
      <w:r>
        <w:t xml:space="preserve">/septicaemia </w:t>
      </w:r>
      <w:r w:rsidRPr="007D0AA8">
        <w:t>was significantly lower in patients with acquired hypogammaglobulinaemia, who received IVIg (k=5), or SCIg (k=1) than those who did not receive Ig</w:t>
      </w:r>
      <w:r>
        <w:t xml:space="preserve"> (incident rate ratio/IRR=0.14, 95% CI 0.05, 0.43)</w:t>
      </w:r>
      <w:r w:rsidRPr="007D0AA8">
        <w:t xml:space="preserve">. </w:t>
      </w:r>
      <w:r>
        <w:t xml:space="preserve">Those receiving Ig only had one seventh the incidence of serious infections that those being managed without Ig had over the same time period, which is highly clinically </w:t>
      </w:r>
      <w:r>
        <w:lastRenderedPageBreak/>
        <w:t>important. The difference in non-serious infections was less marked, but still significant (k=6; IRR=0.61, 95% CI 0.51, 0.72). The results from the meta-analyses of the randomised studies are</w:t>
      </w:r>
      <w:r w:rsidRPr="007D0AA8">
        <w:t xml:space="preserve"> presented as forest plots </w:t>
      </w:r>
      <w:r>
        <w:t>for s</w:t>
      </w:r>
      <w:r w:rsidRPr="007D0AA8">
        <w:t xml:space="preserve">erious infections </w:t>
      </w:r>
      <w:r>
        <w:t>(Figure 2)</w:t>
      </w:r>
      <w:r w:rsidRPr="007D0AA8">
        <w:t xml:space="preserve"> </w:t>
      </w:r>
      <w:r>
        <w:t xml:space="preserve">and </w:t>
      </w:r>
      <w:r w:rsidRPr="007D0AA8">
        <w:t>for non-serious infections reported in th</w:t>
      </w:r>
      <w:r>
        <w:t>e same studies, where available (Figure 3).</w:t>
      </w:r>
    </w:p>
    <w:p w14:paraId="40DBBD13" w14:textId="41A3B38B" w:rsidR="00331B86" w:rsidRDefault="00331B86" w:rsidP="00EF524D">
      <w:pPr>
        <w:spacing w:after="240"/>
      </w:pPr>
      <w:r>
        <w:t xml:space="preserve">Nine before and after case series compared the rate of infections within patients prior to receiving Ig, and while receiving Ig. The incidence of serious infections/sepsis or pneumonia or infections requiring hospitalisation was only a quarter of the incidence recorded prior to Ig initiation (IRR=0.25, 95% CI 0.15, 0.43). Similar to the randomised trials, the incidence of non-serious infections was also significantly reduced by the use of Ig (IRR=0.64, 95% CI 0.49, 0.84). </w:t>
      </w:r>
      <w:r w:rsidRPr="001641E7">
        <w:t>The limitations of the evidence mean that the risk ratios reported in these meta-analyses are highly uncertain.</w:t>
      </w:r>
    </w:p>
    <w:p w14:paraId="48F1622F" w14:textId="77777777" w:rsidR="00331B86" w:rsidRDefault="00331B86" w:rsidP="00331B86">
      <w:r>
        <w:rPr>
          <w:noProof/>
        </w:rPr>
        <w:drawing>
          <wp:inline distT="0" distB="0" distL="0" distR="0" wp14:anchorId="4BDC1681" wp14:editId="55583BFD">
            <wp:extent cx="5684520" cy="3083471"/>
            <wp:effectExtent l="0" t="0" r="0" b="3175"/>
            <wp:docPr id="1" name="Picture 9" title="Randomised trials presenting serious infections – IgG vs No IgG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2"/>
                    <a:stretch>
                      <a:fillRect/>
                    </a:stretch>
                  </pic:blipFill>
                  <pic:spPr>
                    <a:xfrm>
                      <a:off x="0" y="0"/>
                      <a:ext cx="5720802" cy="3103151"/>
                    </a:xfrm>
                    <a:prstGeom prst="rect">
                      <a:avLst/>
                    </a:prstGeom>
                  </pic:spPr>
                </pic:pic>
              </a:graphicData>
            </a:graphic>
          </wp:inline>
        </w:drawing>
      </w:r>
    </w:p>
    <w:p w14:paraId="007A6DA8" w14:textId="61689AF9" w:rsidR="00331B86" w:rsidRPr="00160DD2" w:rsidRDefault="00331B86" w:rsidP="00160DD2">
      <w:pPr>
        <w:rPr>
          <w:rFonts w:ascii="Arial Narrow" w:hAnsi="Arial Narrow"/>
          <w:b/>
          <w:sz w:val="20"/>
        </w:rPr>
      </w:pPr>
      <w:bookmarkStart w:id="15" w:name="_Ref10205734"/>
      <w:bookmarkStart w:id="16" w:name="_Toc14429640"/>
      <w:bookmarkStart w:id="17" w:name="_Toc16671699"/>
      <w:r w:rsidRPr="00160DD2">
        <w:rPr>
          <w:rFonts w:ascii="Arial Narrow" w:hAnsi="Arial Narrow"/>
          <w:b/>
          <w:sz w:val="20"/>
        </w:rPr>
        <w:t>Figure 2</w:t>
      </w:r>
      <w:bookmarkEnd w:id="15"/>
      <w:r w:rsidRPr="00160DD2">
        <w:rPr>
          <w:rFonts w:ascii="Arial Narrow" w:hAnsi="Arial Narrow"/>
          <w:b/>
          <w:sz w:val="20"/>
        </w:rPr>
        <w:tab/>
        <w:t>Randomised trials presenting serious infections – Ig vs No Ig groups</w:t>
      </w:r>
      <w:bookmarkEnd w:id="16"/>
      <w:bookmarkEnd w:id="17"/>
    </w:p>
    <w:p w14:paraId="73CD67D2" w14:textId="77777777" w:rsidR="00331B86" w:rsidRDefault="00331B86" w:rsidP="00D3172D">
      <w:pPr>
        <w:pStyle w:val="Tablenotes"/>
      </w:pPr>
      <w:r w:rsidRPr="004D77F2">
        <w:rPr>
          <w:b/>
        </w:rPr>
        <w:t>Source:</w:t>
      </w:r>
      <w:r>
        <w:t xml:space="preserve"> Contracted Assessment, Figure 3</w:t>
      </w:r>
    </w:p>
    <w:p w14:paraId="7DF25B48" w14:textId="77777777" w:rsidR="00331B86" w:rsidRDefault="00331B86" w:rsidP="00331B86">
      <w:r>
        <w:rPr>
          <w:noProof/>
        </w:rPr>
        <w:drawing>
          <wp:inline distT="0" distB="0" distL="0" distR="0" wp14:anchorId="35022CAE" wp14:editId="2F78EBE6">
            <wp:extent cx="5704121" cy="2909570"/>
            <wp:effectExtent l="0" t="0" r="0" b="5080"/>
            <wp:docPr id="14" name="Picture 13" title="Randomised trials presenting other infections – IgG vs No IgG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3"/>
                    <a:stretch>
                      <a:fillRect/>
                    </a:stretch>
                  </pic:blipFill>
                  <pic:spPr>
                    <a:xfrm>
                      <a:off x="0" y="0"/>
                      <a:ext cx="5714786" cy="2915010"/>
                    </a:xfrm>
                    <a:prstGeom prst="rect">
                      <a:avLst/>
                    </a:prstGeom>
                  </pic:spPr>
                </pic:pic>
              </a:graphicData>
            </a:graphic>
          </wp:inline>
        </w:drawing>
      </w:r>
    </w:p>
    <w:p w14:paraId="324CF810" w14:textId="2752D53A" w:rsidR="00331B86" w:rsidRPr="00160DD2" w:rsidRDefault="00331B86" w:rsidP="00160DD2">
      <w:pPr>
        <w:rPr>
          <w:rFonts w:ascii="Arial Narrow" w:hAnsi="Arial Narrow"/>
          <w:b/>
          <w:sz w:val="20"/>
        </w:rPr>
      </w:pPr>
      <w:bookmarkStart w:id="18" w:name="_Ref12898265"/>
      <w:bookmarkStart w:id="19" w:name="_Toc14429641"/>
      <w:bookmarkStart w:id="20" w:name="_Toc16671700"/>
      <w:r w:rsidRPr="00160DD2">
        <w:rPr>
          <w:rFonts w:ascii="Arial Narrow" w:hAnsi="Arial Narrow"/>
          <w:b/>
          <w:sz w:val="20"/>
        </w:rPr>
        <w:t>Figure</w:t>
      </w:r>
      <w:bookmarkEnd w:id="18"/>
      <w:r w:rsidRPr="00160DD2">
        <w:rPr>
          <w:rFonts w:ascii="Arial Narrow" w:hAnsi="Arial Narrow"/>
          <w:b/>
          <w:sz w:val="20"/>
        </w:rPr>
        <w:t xml:space="preserve"> 3</w:t>
      </w:r>
      <w:r w:rsidRPr="00160DD2">
        <w:rPr>
          <w:rFonts w:ascii="Arial Narrow" w:hAnsi="Arial Narrow"/>
          <w:b/>
          <w:sz w:val="20"/>
        </w:rPr>
        <w:tab/>
        <w:t>Randomised trials presenting other infections – Ig vs No Ig groups</w:t>
      </w:r>
      <w:bookmarkEnd w:id="19"/>
      <w:bookmarkEnd w:id="20"/>
    </w:p>
    <w:p w14:paraId="0854C419" w14:textId="6BDA8A54" w:rsidR="00331B86" w:rsidRPr="00D3172D" w:rsidRDefault="00331B86" w:rsidP="00D3172D">
      <w:pPr>
        <w:pStyle w:val="Tablenotes1"/>
      </w:pPr>
      <w:r w:rsidRPr="004D77F2">
        <w:rPr>
          <w:b/>
        </w:rPr>
        <w:t>Source:</w:t>
      </w:r>
      <w:r>
        <w:t xml:space="preserve"> Contracted Assessment, Figure 4</w:t>
      </w:r>
    </w:p>
    <w:p w14:paraId="3F154D6B" w14:textId="2E896FF0" w:rsidR="00331B86" w:rsidRPr="00EF524D" w:rsidRDefault="00331B86" w:rsidP="00EF524D">
      <w:pPr>
        <w:spacing w:after="240"/>
      </w:pPr>
      <w:r w:rsidRPr="007D0AA8">
        <w:lastRenderedPageBreak/>
        <w:t xml:space="preserve">One randomised trial compared transplant-related outcomes in patients who had undergone HSCT, with or without IVIg. In those who received allografts, the rate of </w:t>
      </w:r>
      <w:r>
        <w:t xml:space="preserve">GVHD </w:t>
      </w:r>
      <w:r w:rsidRPr="007D0AA8">
        <w:t xml:space="preserve">and interstitial pneumonia was significantly less in those who received IVIg than those who did not receive </w:t>
      </w:r>
      <w:r>
        <w:t>IVIg</w:t>
      </w:r>
      <w:r w:rsidR="00EF524D">
        <w:t>.</w:t>
      </w:r>
    </w:p>
    <w:p w14:paraId="742636E1" w14:textId="13128D11" w:rsidR="00331B86" w:rsidRPr="00EF524D" w:rsidRDefault="00331B86" w:rsidP="00EF524D">
      <w:pPr>
        <w:spacing w:after="240"/>
      </w:pPr>
      <w:r w:rsidRPr="007D0AA8">
        <w:t>IVIg did not appear to influence overall survival in a single trial and three observational studies identified. However, in the subgroup of patients randomised to IVIg, who wer</w:t>
      </w:r>
      <w:r>
        <w:t>e over 20 years old, and had HLA</w:t>
      </w:r>
      <w:r w:rsidRPr="007D0AA8">
        <w:t xml:space="preserve">-identical bone marrow transplantation, the cumulative incidence of non-relapse mortality was significantly higher in those who did not receive IVIg (46%) than those who </w:t>
      </w:r>
      <w:r w:rsidR="00EF524D">
        <w:t>did (30%; p=0.023).</w:t>
      </w:r>
    </w:p>
    <w:p w14:paraId="1AE73F19" w14:textId="07AC71B1" w:rsidR="00331B86" w:rsidRDefault="00331B86" w:rsidP="00EF524D">
      <w:pPr>
        <w:spacing w:after="240"/>
      </w:pPr>
      <w:r w:rsidRPr="007D0AA8">
        <w:t xml:space="preserve">One trial randomised MM patients with hypogammaglobulinaemia to receive SCIg or no SCIg. </w:t>
      </w:r>
      <w:r>
        <w:t>Q</w:t>
      </w:r>
      <w:r w:rsidRPr="007D0AA8">
        <w:t>uality of life on the SF-36 was significantly higher in those receiving SCIg for the domains of general health, physical functioning, role-physical, vitality, social functioning, ro</w:t>
      </w:r>
      <w:r>
        <w:t xml:space="preserve">le-emotional and mental health, but not </w:t>
      </w:r>
      <w:r w:rsidRPr="007D0AA8">
        <w:t>pain. Patients who received SCIg had far fewer days of antibiotic use (28 vs 217) and hospitalisation (8 vs 121) than those who did not receive SCIg. These differences were considered both statistically significant and clinically important.</w:t>
      </w:r>
    </w:p>
    <w:p w14:paraId="3D1509DC" w14:textId="595E6B79" w:rsidR="00331B86" w:rsidRPr="00EF524D" w:rsidRDefault="00331B86" w:rsidP="00EF524D">
      <w:pPr>
        <w:spacing w:after="240"/>
        <w:rPr>
          <w:b/>
        </w:rPr>
      </w:pPr>
      <w:r w:rsidRPr="007D0AA8">
        <w:t xml:space="preserve">Cohort studies were subject to selection bias, i.e. the patients with the highest risk of infections were most likely to receive IgG </w:t>
      </w:r>
      <w:r>
        <w:t>and hence comparative data from these studies was considered</w:t>
      </w:r>
      <w:r w:rsidR="00EF524D">
        <w:t xml:space="preserve"> of limited value.</w:t>
      </w:r>
    </w:p>
    <w:p w14:paraId="6B2819E8" w14:textId="74C1E4CB" w:rsidR="00F636F1" w:rsidRDefault="009735F2" w:rsidP="009735F2">
      <w:pPr>
        <w:tabs>
          <w:tab w:val="left" w:pos="720"/>
          <w:tab w:val="left" w:pos="1140"/>
        </w:tabs>
        <w:spacing w:after="120"/>
        <w:rPr>
          <w:b/>
          <w:szCs w:val="24"/>
        </w:rPr>
      </w:pPr>
      <w:r>
        <w:rPr>
          <w:b/>
          <w:szCs w:val="24"/>
        </w:rPr>
        <w:t>Clinical c</w:t>
      </w:r>
      <w:r w:rsidR="00F636F1" w:rsidRPr="00F37B9C">
        <w:rPr>
          <w:b/>
          <w:szCs w:val="24"/>
        </w:rPr>
        <w:t>laim</w:t>
      </w:r>
    </w:p>
    <w:p w14:paraId="7C76C314" w14:textId="3F91274E" w:rsidR="00331B86" w:rsidRPr="00331B86" w:rsidRDefault="00331B86" w:rsidP="00331B86">
      <w:r w:rsidRPr="007D0AA8">
        <w:t>On the basis of the benefits and harms reported in the evidence base</w:t>
      </w:r>
      <w:r>
        <w:t xml:space="preserve"> the Contracted Assessment suggests that </w:t>
      </w:r>
      <w:r w:rsidRPr="007379E0">
        <w:t>the use of Ig products with antibiotics as required has</w:t>
      </w:r>
      <w:r>
        <w:t xml:space="preserve"> </w:t>
      </w:r>
      <w:r w:rsidRPr="005702CD">
        <w:t>superior effectiveness</w:t>
      </w:r>
      <w:r w:rsidRPr="004B048A">
        <w:t xml:space="preserve"> relative to </w:t>
      </w:r>
      <w:r w:rsidRPr="007379E0">
        <w:t>No Ig replacemen</w:t>
      </w:r>
      <w:r>
        <w:t>t with antibiotics as required.</w:t>
      </w:r>
    </w:p>
    <w:p w14:paraId="7326C262" w14:textId="77777777" w:rsidR="00F636F1" w:rsidRPr="00F715D1" w:rsidRDefault="00F636F1" w:rsidP="00F636F1">
      <w:pPr>
        <w:pStyle w:val="Heading1"/>
      </w:pPr>
      <w:r w:rsidRPr="00F715D1">
        <w:t>Economic evaluation</w:t>
      </w:r>
    </w:p>
    <w:p w14:paraId="557D8E57" w14:textId="41BDA6D9" w:rsidR="00331B86" w:rsidRDefault="00331B86" w:rsidP="00331B86">
      <w:pPr>
        <w:tabs>
          <w:tab w:val="left" w:pos="720"/>
          <w:tab w:val="left" w:pos="1140"/>
        </w:tabs>
      </w:pPr>
      <w:r>
        <w:t xml:space="preserve">The economic model presented is a cost-utility analysis, where Ig therapy is associated with a reduction in infection rates, but that is traded off against a reduced safety profile (Table 3). </w:t>
      </w:r>
      <w:r w:rsidRPr="007976D7">
        <w:t>One eco</w:t>
      </w:r>
      <w:r>
        <w:t>nomic analysis was presented across the acquired hypogammaglobulinaemia indications.</w:t>
      </w:r>
    </w:p>
    <w:p w14:paraId="4CCA7F5D" w14:textId="77777777" w:rsidR="00331B86" w:rsidRPr="00160DD2" w:rsidRDefault="00331B86" w:rsidP="00160DD2">
      <w:pPr>
        <w:keepNext/>
        <w:keepLines/>
        <w:rPr>
          <w:rFonts w:ascii="Arial Narrow" w:hAnsi="Arial Narrow"/>
          <w:b/>
          <w:sz w:val="20"/>
        </w:rPr>
      </w:pPr>
      <w:bookmarkStart w:id="21" w:name="_Ref379483368"/>
      <w:bookmarkStart w:id="22" w:name="_Ref394419656"/>
      <w:bookmarkStart w:id="23" w:name="_Toc14348837"/>
      <w:bookmarkStart w:id="24" w:name="_Toc14429549"/>
      <w:bookmarkStart w:id="25" w:name="_Toc16671604"/>
      <w:r w:rsidRPr="00160DD2">
        <w:rPr>
          <w:rFonts w:ascii="Arial Narrow" w:hAnsi="Arial Narrow"/>
          <w:b/>
          <w:sz w:val="20"/>
        </w:rPr>
        <w:lastRenderedPageBreak/>
        <w:t xml:space="preserve">Table </w:t>
      </w:r>
      <w:bookmarkEnd w:id="21"/>
      <w:r w:rsidRPr="00160DD2">
        <w:rPr>
          <w:rFonts w:ascii="Arial Narrow" w:hAnsi="Arial Narrow"/>
          <w:b/>
          <w:sz w:val="20"/>
        </w:rPr>
        <w:t>3</w:t>
      </w:r>
      <w:r w:rsidRPr="00160DD2">
        <w:rPr>
          <w:rFonts w:ascii="Arial Narrow" w:hAnsi="Arial Narrow"/>
          <w:b/>
          <w:sz w:val="20"/>
        </w:rPr>
        <w:tab/>
        <w:t>Summary of the economic evaluation</w:t>
      </w:r>
      <w:bookmarkEnd w:id="22"/>
      <w:bookmarkEnd w:id="23"/>
      <w:bookmarkEnd w:id="24"/>
      <w:bookmarkEnd w:id="25"/>
      <w:r w:rsidRPr="00160DD2">
        <w:rPr>
          <w:rFonts w:ascii="Arial Narrow" w:hAnsi="Arial Narrow"/>
          <w:b/>
          <w:sz w:val="20"/>
        </w:rPr>
        <w:t xml:space="preserve"> </w:t>
      </w:r>
    </w:p>
    <w:tbl>
      <w:tblPr>
        <w:tblStyle w:val="TableGrid1"/>
        <w:tblW w:w="5000" w:type="pct"/>
        <w:tblLook w:val="01E0" w:firstRow="1" w:lastRow="1" w:firstColumn="1" w:lastColumn="1" w:noHBand="0" w:noVBand="0"/>
        <w:tblCaption w:val="Summary of the economic evaluation "/>
        <w:tblDescription w:val="This table describes the key constructs of the economic evaluation that is provided in the assessment report."/>
      </w:tblPr>
      <w:tblGrid>
        <w:gridCol w:w="3107"/>
        <w:gridCol w:w="5909"/>
      </w:tblGrid>
      <w:tr w:rsidR="00331B86" w:rsidRPr="00183E4D" w14:paraId="7A856AD8" w14:textId="77777777" w:rsidTr="00160DD2">
        <w:trPr>
          <w:cnfStyle w:val="100000000000" w:firstRow="1" w:lastRow="0" w:firstColumn="0" w:lastColumn="0" w:oddVBand="0" w:evenVBand="0" w:oddHBand="0" w:evenHBand="0" w:firstRowFirstColumn="0" w:firstRowLastColumn="0" w:lastRowFirstColumn="0" w:lastRowLastColumn="0"/>
          <w:trHeight w:val="20"/>
          <w:tblHeader/>
        </w:trPr>
        <w:tc>
          <w:tcPr>
            <w:tcW w:w="1723" w:type="pct"/>
          </w:tcPr>
          <w:p w14:paraId="0F84F1DF" w14:textId="77777777" w:rsidR="00331B86" w:rsidRPr="00183E4D" w:rsidRDefault="00331B86" w:rsidP="00160DD2">
            <w:pPr>
              <w:pStyle w:val="Tabletext"/>
              <w:keepNext/>
              <w:keepLines/>
              <w:rPr>
                <w:b/>
              </w:rPr>
            </w:pPr>
            <w:r w:rsidRPr="00183E4D">
              <w:rPr>
                <w:b/>
              </w:rPr>
              <w:t>Perspective</w:t>
            </w:r>
          </w:p>
        </w:tc>
        <w:tc>
          <w:tcPr>
            <w:tcW w:w="3277" w:type="pct"/>
          </w:tcPr>
          <w:p w14:paraId="7A3FBEBE" w14:textId="77777777" w:rsidR="00331B86" w:rsidRPr="00E9672D" w:rsidRDefault="00331B86" w:rsidP="00160DD2">
            <w:pPr>
              <w:pStyle w:val="Tabletext"/>
              <w:keepNext/>
              <w:keepLines/>
            </w:pPr>
            <w:r w:rsidRPr="00C74C59">
              <w:t>Australian healthcare</w:t>
            </w:r>
          </w:p>
        </w:tc>
      </w:tr>
      <w:tr w:rsidR="00331B86" w:rsidRPr="00183E4D" w14:paraId="08301A6C" w14:textId="77777777" w:rsidTr="00160DD2">
        <w:trPr>
          <w:trHeight w:val="20"/>
        </w:trPr>
        <w:tc>
          <w:tcPr>
            <w:tcW w:w="1723" w:type="pct"/>
          </w:tcPr>
          <w:p w14:paraId="6B60C8FE" w14:textId="77777777" w:rsidR="00331B86" w:rsidRPr="00183E4D" w:rsidRDefault="00331B86" w:rsidP="00160DD2">
            <w:pPr>
              <w:pStyle w:val="Tabletext"/>
              <w:keepNext/>
              <w:keepLines/>
              <w:rPr>
                <w:b/>
              </w:rPr>
            </w:pPr>
            <w:r w:rsidRPr="00183E4D">
              <w:rPr>
                <w:b/>
              </w:rPr>
              <w:t>Comparator</w:t>
            </w:r>
          </w:p>
        </w:tc>
        <w:tc>
          <w:tcPr>
            <w:tcW w:w="3277" w:type="pct"/>
          </w:tcPr>
          <w:p w14:paraId="7B0BA118" w14:textId="77777777" w:rsidR="00331B86" w:rsidRPr="00E9672D" w:rsidRDefault="00331B86" w:rsidP="00160DD2">
            <w:pPr>
              <w:pStyle w:val="Tabletext"/>
              <w:keepNext/>
              <w:keepLines/>
            </w:pPr>
            <w:r w:rsidRPr="00C74C59">
              <w:t>No Ig</w:t>
            </w:r>
          </w:p>
        </w:tc>
      </w:tr>
      <w:tr w:rsidR="00331B86" w:rsidRPr="00183E4D" w14:paraId="65EB3F44" w14:textId="77777777" w:rsidTr="00160DD2">
        <w:trPr>
          <w:trHeight w:val="20"/>
        </w:trPr>
        <w:tc>
          <w:tcPr>
            <w:tcW w:w="1723" w:type="pct"/>
          </w:tcPr>
          <w:p w14:paraId="387248B9" w14:textId="77777777" w:rsidR="00331B86" w:rsidRPr="00183E4D" w:rsidRDefault="00331B86" w:rsidP="00331B86">
            <w:pPr>
              <w:pStyle w:val="Tabletext"/>
              <w:keepNext/>
              <w:rPr>
                <w:b/>
              </w:rPr>
            </w:pPr>
            <w:r w:rsidRPr="00183E4D">
              <w:rPr>
                <w:b/>
              </w:rPr>
              <w:t>Type of economic evaluation</w:t>
            </w:r>
          </w:p>
        </w:tc>
        <w:tc>
          <w:tcPr>
            <w:tcW w:w="3277" w:type="pct"/>
          </w:tcPr>
          <w:p w14:paraId="135CB07C" w14:textId="77777777" w:rsidR="00331B86" w:rsidRPr="00E9672D" w:rsidRDefault="00331B86" w:rsidP="00331B86">
            <w:pPr>
              <w:pStyle w:val="Tabletext"/>
            </w:pPr>
            <w:r w:rsidRPr="00C74C59">
              <w:t>Cost-utility</w:t>
            </w:r>
            <w:r>
              <w:t xml:space="preserve"> and cost-effectiveness analyses</w:t>
            </w:r>
          </w:p>
        </w:tc>
      </w:tr>
      <w:tr w:rsidR="00331B86" w:rsidRPr="00183E4D" w14:paraId="1F343878" w14:textId="77777777" w:rsidTr="00160DD2">
        <w:trPr>
          <w:trHeight w:val="20"/>
        </w:trPr>
        <w:tc>
          <w:tcPr>
            <w:tcW w:w="1723" w:type="pct"/>
          </w:tcPr>
          <w:p w14:paraId="0CE6F2B7" w14:textId="77777777" w:rsidR="00331B86" w:rsidRPr="00183E4D" w:rsidRDefault="00331B86" w:rsidP="00331B86">
            <w:pPr>
              <w:pStyle w:val="Tabletext"/>
              <w:keepNext/>
              <w:rPr>
                <w:b/>
              </w:rPr>
            </w:pPr>
            <w:r w:rsidRPr="00183E4D">
              <w:rPr>
                <w:b/>
              </w:rPr>
              <w:t>Sources of evidence</w:t>
            </w:r>
          </w:p>
        </w:tc>
        <w:tc>
          <w:tcPr>
            <w:tcW w:w="3277" w:type="pct"/>
          </w:tcPr>
          <w:p w14:paraId="12FA163F" w14:textId="77777777" w:rsidR="00331B86" w:rsidRPr="00E9672D" w:rsidRDefault="00331B86" w:rsidP="00331B86">
            <w:pPr>
              <w:pStyle w:val="Tabletext"/>
            </w:pPr>
            <w:r>
              <w:t>Systematic review</w:t>
            </w:r>
          </w:p>
        </w:tc>
      </w:tr>
      <w:tr w:rsidR="00331B86" w:rsidRPr="00183E4D" w14:paraId="28A1FB3C" w14:textId="77777777" w:rsidTr="00160DD2">
        <w:trPr>
          <w:trHeight w:val="20"/>
        </w:trPr>
        <w:tc>
          <w:tcPr>
            <w:tcW w:w="1723" w:type="pct"/>
            <w:hideMark/>
          </w:tcPr>
          <w:p w14:paraId="3167154F" w14:textId="77777777" w:rsidR="00331B86" w:rsidRPr="00183E4D" w:rsidRDefault="00331B86" w:rsidP="00331B86">
            <w:pPr>
              <w:pStyle w:val="Tabletext"/>
              <w:keepNext/>
              <w:rPr>
                <w:b/>
              </w:rPr>
            </w:pPr>
            <w:r w:rsidRPr="00183E4D">
              <w:rPr>
                <w:b/>
              </w:rPr>
              <w:t>Time horizon</w:t>
            </w:r>
          </w:p>
        </w:tc>
        <w:tc>
          <w:tcPr>
            <w:tcW w:w="3277" w:type="pct"/>
            <w:hideMark/>
          </w:tcPr>
          <w:p w14:paraId="5AA936A3" w14:textId="77777777" w:rsidR="00331B86" w:rsidRPr="00E9672D" w:rsidRDefault="00331B86" w:rsidP="00331B86">
            <w:pPr>
              <w:pStyle w:val="Tabletext"/>
            </w:pPr>
            <w:r>
              <w:t>10 years</w:t>
            </w:r>
          </w:p>
        </w:tc>
      </w:tr>
      <w:tr w:rsidR="00331B86" w:rsidRPr="00183E4D" w14:paraId="1261F65A" w14:textId="77777777" w:rsidTr="00160DD2">
        <w:trPr>
          <w:trHeight w:val="20"/>
        </w:trPr>
        <w:tc>
          <w:tcPr>
            <w:tcW w:w="1723" w:type="pct"/>
            <w:hideMark/>
          </w:tcPr>
          <w:p w14:paraId="692FF57A" w14:textId="77777777" w:rsidR="00331B86" w:rsidRPr="00183E4D" w:rsidRDefault="00331B86" w:rsidP="00331B86">
            <w:pPr>
              <w:pStyle w:val="Tabletext"/>
              <w:keepNext/>
              <w:rPr>
                <w:b/>
              </w:rPr>
            </w:pPr>
            <w:r w:rsidRPr="00183E4D">
              <w:rPr>
                <w:b/>
              </w:rPr>
              <w:t>Outcomes</w:t>
            </w:r>
          </w:p>
        </w:tc>
        <w:tc>
          <w:tcPr>
            <w:tcW w:w="3277" w:type="pct"/>
          </w:tcPr>
          <w:p w14:paraId="6FE92A80" w14:textId="77777777" w:rsidR="00331B86" w:rsidRDefault="00331B86" w:rsidP="00331B86">
            <w:pPr>
              <w:pStyle w:val="Tabletext"/>
            </w:pPr>
            <w:r w:rsidRPr="00C74C59">
              <w:t>QALYs</w:t>
            </w:r>
          </w:p>
          <w:p w14:paraId="5F1060E4" w14:textId="77777777" w:rsidR="00331B86" w:rsidRPr="00E9672D" w:rsidRDefault="00331B86" w:rsidP="00331B86">
            <w:pPr>
              <w:pStyle w:val="Tabletext"/>
            </w:pPr>
            <w:r>
              <w:t>Infections avoided</w:t>
            </w:r>
          </w:p>
        </w:tc>
      </w:tr>
      <w:tr w:rsidR="00331B86" w:rsidRPr="00183E4D" w14:paraId="34073ACB" w14:textId="77777777" w:rsidTr="00160DD2">
        <w:trPr>
          <w:trHeight w:val="20"/>
        </w:trPr>
        <w:tc>
          <w:tcPr>
            <w:tcW w:w="1723" w:type="pct"/>
            <w:hideMark/>
          </w:tcPr>
          <w:p w14:paraId="5334A745" w14:textId="77777777" w:rsidR="00331B86" w:rsidRPr="00183E4D" w:rsidRDefault="00331B86" w:rsidP="00331B86">
            <w:pPr>
              <w:pStyle w:val="Tabletext"/>
              <w:keepNext/>
              <w:rPr>
                <w:b/>
              </w:rPr>
            </w:pPr>
            <w:r w:rsidRPr="00183E4D">
              <w:rPr>
                <w:b/>
              </w:rPr>
              <w:t>Methods used to generate results</w:t>
            </w:r>
          </w:p>
        </w:tc>
        <w:tc>
          <w:tcPr>
            <w:tcW w:w="3277" w:type="pct"/>
          </w:tcPr>
          <w:p w14:paraId="2601F455" w14:textId="77777777" w:rsidR="00331B86" w:rsidRPr="00E9672D" w:rsidRDefault="00331B86" w:rsidP="00331B86">
            <w:pPr>
              <w:pStyle w:val="Tabletext"/>
            </w:pPr>
            <w:r w:rsidRPr="00C74C59">
              <w:t>Markov model</w:t>
            </w:r>
          </w:p>
        </w:tc>
      </w:tr>
      <w:tr w:rsidR="00331B86" w:rsidRPr="00183E4D" w14:paraId="78BD41D4" w14:textId="77777777" w:rsidTr="00160DD2">
        <w:trPr>
          <w:trHeight w:val="20"/>
        </w:trPr>
        <w:tc>
          <w:tcPr>
            <w:tcW w:w="1723" w:type="pct"/>
          </w:tcPr>
          <w:p w14:paraId="14675664" w14:textId="77777777" w:rsidR="00331B86" w:rsidRPr="00183E4D" w:rsidRDefault="00331B86" w:rsidP="00331B86">
            <w:pPr>
              <w:pStyle w:val="Tabletext"/>
              <w:keepNext/>
              <w:rPr>
                <w:b/>
              </w:rPr>
            </w:pPr>
            <w:r>
              <w:rPr>
                <w:b/>
              </w:rPr>
              <w:t>Health states</w:t>
            </w:r>
          </w:p>
        </w:tc>
        <w:tc>
          <w:tcPr>
            <w:tcW w:w="3277" w:type="pct"/>
          </w:tcPr>
          <w:p w14:paraId="5B69E93B" w14:textId="77777777" w:rsidR="00331B86" w:rsidRDefault="00331B86" w:rsidP="00331B86">
            <w:pPr>
              <w:pStyle w:val="Tabletext"/>
            </w:pPr>
            <w:r>
              <w:t>Infection-free</w:t>
            </w:r>
          </w:p>
          <w:p w14:paraId="09257166" w14:textId="77777777" w:rsidR="00331B86" w:rsidRDefault="00331B86" w:rsidP="00331B86">
            <w:pPr>
              <w:pStyle w:val="Tabletext"/>
            </w:pPr>
            <w:r>
              <w:t>Infection</w:t>
            </w:r>
          </w:p>
          <w:p w14:paraId="7C7C1E48" w14:textId="77777777" w:rsidR="00331B86" w:rsidRDefault="00331B86" w:rsidP="00331B86">
            <w:pPr>
              <w:pStyle w:val="Tabletext"/>
            </w:pPr>
            <w:r>
              <w:t>Bronchiectasis</w:t>
            </w:r>
          </w:p>
          <w:p w14:paraId="40A2B441" w14:textId="77777777" w:rsidR="00331B86" w:rsidRDefault="00331B86" w:rsidP="00331B86">
            <w:pPr>
              <w:pStyle w:val="Tabletext"/>
            </w:pPr>
            <w:r>
              <w:t>Bronchiectasis, with infection</w:t>
            </w:r>
          </w:p>
          <w:p w14:paraId="3CEA0472" w14:textId="77777777" w:rsidR="00331B86" w:rsidRDefault="00331B86" w:rsidP="00331B86">
            <w:pPr>
              <w:pStyle w:val="Tabletext"/>
            </w:pPr>
            <w:r>
              <w:t xml:space="preserve">Bronchiectasis, with chronic </w:t>
            </w:r>
            <w:r w:rsidRPr="008124CB">
              <w:rPr>
                <w:i/>
              </w:rPr>
              <w:t>Pseudomonas aeruginosa</w:t>
            </w:r>
            <w:r>
              <w:t xml:space="preserve"> infection</w:t>
            </w:r>
          </w:p>
          <w:p w14:paraId="78B9534A" w14:textId="77777777" w:rsidR="00331B86" w:rsidRPr="00E9672D" w:rsidRDefault="00331B86" w:rsidP="00331B86">
            <w:pPr>
              <w:pStyle w:val="Tabletext"/>
            </w:pPr>
            <w:r>
              <w:t>Dead</w:t>
            </w:r>
          </w:p>
        </w:tc>
      </w:tr>
      <w:tr w:rsidR="00331B86" w:rsidRPr="00183E4D" w14:paraId="51B395EE" w14:textId="77777777" w:rsidTr="00160DD2">
        <w:trPr>
          <w:trHeight w:val="20"/>
        </w:trPr>
        <w:tc>
          <w:tcPr>
            <w:tcW w:w="1723" w:type="pct"/>
            <w:hideMark/>
          </w:tcPr>
          <w:p w14:paraId="0F935D47" w14:textId="77777777" w:rsidR="00331B86" w:rsidRPr="00183E4D" w:rsidRDefault="00331B86" w:rsidP="00331B86">
            <w:pPr>
              <w:pStyle w:val="Tabletext"/>
              <w:keepNext/>
              <w:rPr>
                <w:b/>
              </w:rPr>
            </w:pPr>
            <w:r w:rsidRPr="00183E4D">
              <w:rPr>
                <w:b/>
              </w:rPr>
              <w:t>Cycle length</w:t>
            </w:r>
          </w:p>
        </w:tc>
        <w:tc>
          <w:tcPr>
            <w:tcW w:w="3277" w:type="pct"/>
          </w:tcPr>
          <w:p w14:paraId="236E18A1" w14:textId="77777777" w:rsidR="00331B86" w:rsidRPr="00E9672D" w:rsidRDefault="00331B86" w:rsidP="00331B86">
            <w:pPr>
              <w:pStyle w:val="Tabletext"/>
            </w:pPr>
            <w:r>
              <w:t>1 week</w:t>
            </w:r>
          </w:p>
        </w:tc>
      </w:tr>
      <w:tr w:rsidR="00331B86" w:rsidRPr="00183E4D" w14:paraId="5B429A8A" w14:textId="77777777" w:rsidTr="00160DD2">
        <w:trPr>
          <w:trHeight w:val="20"/>
        </w:trPr>
        <w:tc>
          <w:tcPr>
            <w:tcW w:w="1723" w:type="pct"/>
            <w:hideMark/>
          </w:tcPr>
          <w:p w14:paraId="718BA333" w14:textId="77777777" w:rsidR="00331B86" w:rsidRPr="00183E4D" w:rsidRDefault="00331B86" w:rsidP="00331B86">
            <w:pPr>
              <w:pStyle w:val="Tabletext"/>
              <w:keepNext/>
              <w:rPr>
                <w:b/>
              </w:rPr>
            </w:pPr>
            <w:r w:rsidRPr="00183E4D">
              <w:rPr>
                <w:b/>
              </w:rPr>
              <w:t>Discount rate</w:t>
            </w:r>
          </w:p>
        </w:tc>
        <w:tc>
          <w:tcPr>
            <w:tcW w:w="3277" w:type="pct"/>
          </w:tcPr>
          <w:p w14:paraId="1500D045" w14:textId="77777777" w:rsidR="00331B86" w:rsidRPr="00E9672D" w:rsidRDefault="00331B86" w:rsidP="00331B86">
            <w:pPr>
              <w:pStyle w:val="Tabletext"/>
            </w:pPr>
            <w:r>
              <w:t>5%</w:t>
            </w:r>
          </w:p>
        </w:tc>
      </w:tr>
      <w:tr w:rsidR="00331B86" w:rsidRPr="00183E4D" w14:paraId="0BC7D852" w14:textId="77777777" w:rsidTr="00160DD2">
        <w:trPr>
          <w:trHeight w:val="20"/>
        </w:trPr>
        <w:tc>
          <w:tcPr>
            <w:tcW w:w="1723" w:type="pct"/>
            <w:hideMark/>
          </w:tcPr>
          <w:p w14:paraId="252F982B" w14:textId="77777777" w:rsidR="00331B86" w:rsidRPr="00183E4D" w:rsidRDefault="00331B86" w:rsidP="00331B86">
            <w:pPr>
              <w:pStyle w:val="Tabletext"/>
              <w:rPr>
                <w:b/>
              </w:rPr>
            </w:pPr>
            <w:r w:rsidRPr="00183E4D">
              <w:rPr>
                <w:b/>
              </w:rPr>
              <w:t>Software packages used</w:t>
            </w:r>
          </w:p>
        </w:tc>
        <w:tc>
          <w:tcPr>
            <w:tcW w:w="3277" w:type="pct"/>
          </w:tcPr>
          <w:p w14:paraId="2DED8303" w14:textId="77777777" w:rsidR="00331B86" w:rsidRPr="00E9672D" w:rsidRDefault="00331B86" w:rsidP="00331B86">
            <w:pPr>
              <w:pStyle w:val="Tabletext"/>
            </w:pPr>
            <w:r>
              <w:t>Microsoft Excel and TreeAge Pro</w:t>
            </w:r>
          </w:p>
        </w:tc>
      </w:tr>
    </w:tbl>
    <w:p w14:paraId="0CC2672F" w14:textId="77777777" w:rsidR="00331B86" w:rsidRDefault="00331B86" w:rsidP="00331B86">
      <w:pPr>
        <w:pStyle w:val="Tablenotes0"/>
      </w:pPr>
      <w:r>
        <w:t>Abbreviations: Ig = immunoglobulin; QALY = quality-adjusted life year.</w:t>
      </w:r>
    </w:p>
    <w:p w14:paraId="18FD1BB1" w14:textId="77777777" w:rsidR="00331B86" w:rsidRDefault="00331B86" w:rsidP="00331B86">
      <w:pPr>
        <w:pStyle w:val="Tablenotes0"/>
      </w:pPr>
      <w:r w:rsidRPr="00496CED">
        <w:rPr>
          <w:b/>
        </w:rPr>
        <w:t>Source:</w:t>
      </w:r>
      <w:r>
        <w:t xml:space="preserve"> Contracted Assessment, Table 6</w:t>
      </w:r>
    </w:p>
    <w:p w14:paraId="6C97BFCE" w14:textId="0A52A54F" w:rsidR="00331B86" w:rsidRDefault="00331B86" w:rsidP="00EF524D">
      <w:pPr>
        <w:spacing w:after="240"/>
      </w:pPr>
      <w:r>
        <w:t>The results of the stepped economic analysis are presented in Table 4. In Step 1 of the analysis the ICER of Ig is observed to be dominated, with a net reduction in QALYs resulting from the inclusion of a disutility per IVIg infusion. In Step 2, the time horizon is extrapolated to 10 years and allows for the development of bronchiectasis which leads to a substantial improvement in the ICER. Further improvements in the ICER are observed when the best estimates of baseline infection rates, Ig treatment effect and dose are included in the modelling.</w:t>
      </w:r>
    </w:p>
    <w:p w14:paraId="4ED517EF" w14:textId="62EFA66C" w:rsidR="00160DD2" w:rsidRPr="00160DD2" w:rsidRDefault="00331B86" w:rsidP="00160DD2">
      <w:pPr>
        <w:spacing w:after="240"/>
      </w:pPr>
      <w:r>
        <w:t xml:space="preserve">In the base case analysis, the cost of Ig was the main driver of the incremental cost, with offsets related to a reduction in the number of infections and costs associated with managing chronic </w:t>
      </w:r>
      <w:r w:rsidRPr="00A977D4">
        <w:rPr>
          <w:i/>
        </w:rPr>
        <w:t>P. aeruginosa</w:t>
      </w:r>
      <w:r w:rsidRPr="00A977D4">
        <w:t xml:space="preserve"> infection</w:t>
      </w:r>
      <w:r>
        <w:t>s. Incremental QALYs were primarily accrued in the infection-free health state. As Ig was associated with fewer infections of lower severity, less time was spent in the infection health state with Ig and therefore, patients had a lower risk of progressi</w:t>
      </w:r>
      <w:bookmarkStart w:id="26" w:name="_Ref14268960"/>
      <w:bookmarkStart w:id="27" w:name="_Toc14348838"/>
      <w:bookmarkStart w:id="28" w:name="_Toc14429550"/>
      <w:bookmarkStart w:id="29" w:name="_Toc16671605"/>
      <w:r w:rsidR="00160DD2">
        <w:t>ng to subsequent health states.</w:t>
      </w:r>
      <w:r w:rsidR="00160DD2">
        <w:rPr>
          <w:rFonts w:ascii="Arial Narrow" w:hAnsi="Arial Narrow"/>
          <w:b/>
          <w:sz w:val="20"/>
        </w:rPr>
        <w:br w:type="page"/>
      </w:r>
    </w:p>
    <w:p w14:paraId="23317EB9" w14:textId="48826E7A" w:rsidR="00331B86" w:rsidRPr="00160DD2" w:rsidRDefault="00331B86" w:rsidP="00160DD2">
      <w:pPr>
        <w:rPr>
          <w:rFonts w:ascii="Arial Narrow" w:hAnsi="Arial Narrow"/>
          <w:b/>
          <w:sz w:val="20"/>
        </w:rPr>
      </w:pPr>
      <w:r w:rsidRPr="00160DD2">
        <w:rPr>
          <w:rFonts w:ascii="Arial Narrow" w:hAnsi="Arial Narrow"/>
          <w:b/>
          <w:sz w:val="20"/>
        </w:rPr>
        <w:lastRenderedPageBreak/>
        <w:t xml:space="preserve">Table 4 </w:t>
      </w:r>
      <w:bookmarkEnd w:id="26"/>
      <w:r w:rsidRPr="00160DD2">
        <w:rPr>
          <w:rFonts w:ascii="Arial Narrow" w:hAnsi="Arial Narrow"/>
          <w:b/>
          <w:sz w:val="20"/>
        </w:rPr>
        <w:t xml:space="preserve"> </w:t>
      </w:r>
      <w:r w:rsidRPr="00160DD2">
        <w:rPr>
          <w:rFonts w:ascii="Arial Narrow" w:hAnsi="Arial Narrow"/>
          <w:b/>
          <w:sz w:val="20"/>
        </w:rPr>
        <w:tab/>
        <w:t>Results of the stepped economic analysis</w:t>
      </w:r>
      <w:bookmarkEnd w:id="27"/>
      <w:bookmarkEnd w:id="28"/>
      <w:bookmarkEnd w:id="29"/>
    </w:p>
    <w:tbl>
      <w:tblPr>
        <w:tblStyle w:val="TableGrid1"/>
        <w:tblW w:w="5000" w:type="pct"/>
        <w:tblLayout w:type="fixed"/>
        <w:tblLook w:val="04A0" w:firstRow="1" w:lastRow="0" w:firstColumn="1" w:lastColumn="0" w:noHBand="0" w:noVBand="1"/>
        <w:tblCaption w:val="Results of the stepped economic analyses"/>
      </w:tblPr>
      <w:tblGrid>
        <w:gridCol w:w="5382"/>
        <w:gridCol w:w="1205"/>
        <w:gridCol w:w="1205"/>
        <w:gridCol w:w="1224"/>
      </w:tblGrid>
      <w:tr w:rsidR="00331B86" w:rsidRPr="007B7239" w14:paraId="089B9AB1" w14:textId="77777777" w:rsidTr="00331B86">
        <w:trPr>
          <w:cnfStyle w:val="100000000000" w:firstRow="1" w:lastRow="0" w:firstColumn="0" w:lastColumn="0" w:oddVBand="0" w:evenVBand="0" w:oddHBand="0" w:evenHBand="0" w:firstRowFirstColumn="0" w:firstRowLastColumn="0" w:lastRowFirstColumn="0" w:lastRowLastColumn="0"/>
          <w:cantSplit/>
          <w:trHeight w:val="300"/>
          <w:tblHeader/>
        </w:trPr>
        <w:tc>
          <w:tcPr>
            <w:tcW w:w="2985" w:type="pct"/>
            <w:noWrap/>
            <w:hideMark/>
          </w:tcPr>
          <w:p w14:paraId="3CD73455" w14:textId="77777777" w:rsidR="00331B86" w:rsidRPr="007B7239" w:rsidRDefault="00331B86" w:rsidP="00331B86">
            <w:pPr>
              <w:pStyle w:val="TableHeading"/>
            </w:pPr>
          </w:p>
        </w:tc>
        <w:tc>
          <w:tcPr>
            <w:tcW w:w="668" w:type="pct"/>
            <w:noWrap/>
            <w:hideMark/>
          </w:tcPr>
          <w:p w14:paraId="26FF7267" w14:textId="77777777" w:rsidR="00331B86" w:rsidRPr="007B7239" w:rsidRDefault="00331B86" w:rsidP="00331B86">
            <w:pPr>
              <w:pStyle w:val="TableHeading"/>
              <w:jc w:val="center"/>
            </w:pPr>
            <w:r w:rsidRPr="007B7239">
              <w:t>Inc. cost</w:t>
            </w:r>
          </w:p>
        </w:tc>
        <w:tc>
          <w:tcPr>
            <w:tcW w:w="668" w:type="pct"/>
            <w:noWrap/>
            <w:hideMark/>
          </w:tcPr>
          <w:p w14:paraId="30D4A4DF" w14:textId="77777777" w:rsidR="00331B86" w:rsidRPr="007B7239" w:rsidRDefault="00331B86" w:rsidP="00331B86">
            <w:pPr>
              <w:pStyle w:val="TableHeading"/>
              <w:jc w:val="center"/>
            </w:pPr>
            <w:r w:rsidRPr="007B7239">
              <w:t>Inc. QALYs</w:t>
            </w:r>
          </w:p>
        </w:tc>
        <w:tc>
          <w:tcPr>
            <w:tcW w:w="679" w:type="pct"/>
            <w:noWrap/>
            <w:hideMark/>
          </w:tcPr>
          <w:p w14:paraId="68C5D57A" w14:textId="77777777" w:rsidR="00331B86" w:rsidRPr="007B7239" w:rsidRDefault="00331B86" w:rsidP="00331B86">
            <w:pPr>
              <w:pStyle w:val="TableHeading"/>
              <w:jc w:val="center"/>
            </w:pPr>
            <w:r w:rsidRPr="007B7239">
              <w:t>ICER</w:t>
            </w:r>
          </w:p>
        </w:tc>
      </w:tr>
      <w:tr w:rsidR="00331B86" w:rsidRPr="007B7239" w14:paraId="2554D7C0" w14:textId="77777777" w:rsidTr="00331B86">
        <w:trPr>
          <w:cantSplit/>
          <w:trHeight w:val="300"/>
        </w:trPr>
        <w:tc>
          <w:tcPr>
            <w:tcW w:w="2985" w:type="pct"/>
            <w:noWrap/>
            <w:hideMark/>
          </w:tcPr>
          <w:p w14:paraId="548A24F5" w14:textId="77777777" w:rsidR="00331B86" w:rsidRPr="00F309FB" w:rsidRDefault="00331B86" w:rsidP="00331B86">
            <w:pPr>
              <w:pStyle w:val="Tabletext"/>
              <w:rPr>
                <w:b/>
              </w:rPr>
            </w:pPr>
            <w:r w:rsidRPr="00F309FB">
              <w:rPr>
                <w:b/>
              </w:rPr>
              <w:t>Step 1 – Trial-based analysis.</w:t>
            </w:r>
          </w:p>
          <w:p w14:paraId="52B8AEBC" w14:textId="77777777" w:rsidR="00331B86" w:rsidRPr="007B7239" w:rsidRDefault="00331B86" w:rsidP="00331B86">
            <w:pPr>
              <w:pStyle w:val="Tabletext"/>
            </w:pPr>
            <w:r>
              <w:t xml:space="preserve">Applies the dose (0.4 g/kg), dose frequency (q4w), infection rates, time horizon (1 year) and Ig treatment duration (1 year) as per the Chapel et al. </w:t>
            </w:r>
            <w:r>
              <w:fldChar w:fldCharType="begin">
                <w:fldData xml:space="preserve">PEVuZE5vdGU+PENpdGUgRXhjbHVkZUF1dGg9IjEiPjxBdXRob3I+Q2hhcGVsPC9BdXRob3I+PFll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==
</w:fldData>
              </w:fldChar>
            </w:r>
            <w:r>
              <w:instrText xml:space="preserve"> ADDIN EN.CITE </w:instrText>
            </w:r>
            <w:r>
              <w:fldChar w:fldCharType="begin">
                <w:fldData xml:space="preserve">PEVuZE5vdGU+PENpdGUgRXhjbHVkZUF1dGg9IjEiPjxBdXRob3I+Q2hhcGVsPC9BdXRob3I+PFll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==
</w:fldData>
              </w:fldChar>
            </w:r>
            <w:r>
              <w:instrText xml:space="preserve"> ADDIN EN.CITE.DATA </w:instrText>
            </w:r>
            <w:r>
              <w:fldChar w:fldCharType="end"/>
            </w:r>
            <w:r>
              <w:fldChar w:fldCharType="separate"/>
            </w:r>
            <w:r>
              <w:rPr>
                <w:noProof/>
              </w:rPr>
              <w:t>(</w:t>
            </w:r>
            <w:hyperlink w:anchor="_ENREF_13" w:tooltip="Chapel, 1994 #56" w:history="1">
              <w:r>
                <w:rPr>
                  <w:noProof/>
                </w:rPr>
                <w:t>1994b</w:t>
              </w:r>
            </w:hyperlink>
            <w:r>
              <w:rPr>
                <w:noProof/>
              </w:rPr>
              <w:t>)</w:t>
            </w:r>
            <w:r>
              <w:fldChar w:fldCharType="end"/>
            </w:r>
            <w:r>
              <w:t xml:space="preserve"> study. This study was chosen on the basis that, of the randomised studies, this study had the most patient years of data and used a dose that was most consistent with those recommended in the Version 3 criteria.</w:t>
            </w:r>
          </w:p>
        </w:tc>
        <w:tc>
          <w:tcPr>
            <w:tcW w:w="668" w:type="pct"/>
            <w:noWrap/>
            <w:hideMark/>
          </w:tcPr>
          <w:p w14:paraId="12143313" w14:textId="77777777" w:rsidR="00331B86" w:rsidRPr="007B7239" w:rsidRDefault="00331B86" w:rsidP="00331B86">
            <w:pPr>
              <w:pStyle w:val="Tabletext"/>
              <w:jc w:val="right"/>
            </w:pPr>
            <w:r w:rsidRPr="00154800">
              <w:t>$22,734</w:t>
            </w:r>
          </w:p>
        </w:tc>
        <w:tc>
          <w:tcPr>
            <w:tcW w:w="668" w:type="pct"/>
            <w:noWrap/>
            <w:hideMark/>
          </w:tcPr>
          <w:p w14:paraId="2BF80C09" w14:textId="77777777" w:rsidR="00331B86" w:rsidRPr="007B7239" w:rsidRDefault="00331B86" w:rsidP="00331B86">
            <w:pPr>
              <w:pStyle w:val="Tabletext"/>
              <w:jc w:val="right"/>
            </w:pPr>
            <w:r w:rsidRPr="00154800">
              <w:t>–0.0035</w:t>
            </w:r>
          </w:p>
        </w:tc>
        <w:tc>
          <w:tcPr>
            <w:tcW w:w="679" w:type="pct"/>
            <w:noWrap/>
            <w:hideMark/>
          </w:tcPr>
          <w:p w14:paraId="65F28E95" w14:textId="77777777" w:rsidR="00331B86" w:rsidRPr="007B7239" w:rsidRDefault="00331B86" w:rsidP="00331B86">
            <w:pPr>
              <w:pStyle w:val="Tabletext"/>
              <w:jc w:val="right"/>
            </w:pPr>
            <w:r w:rsidRPr="00154800">
              <w:t>Dominated</w:t>
            </w:r>
          </w:p>
        </w:tc>
      </w:tr>
      <w:tr w:rsidR="00331B86" w:rsidRPr="007B7239" w14:paraId="0F49A075" w14:textId="77777777" w:rsidTr="00331B86">
        <w:trPr>
          <w:cantSplit/>
          <w:trHeight w:val="300"/>
        </w:trPr>
        <w:tc>
          <w:tcPr>
            <w:tcW w:w="2985" w:type="pct"/>
            <w:noWrap/>
            <w:hideMark/>
          </w:tcPr>
          <w:p w14:paraId="42E5B0A0" w14:textId="77777777" w:rsidR="00331B86" w:rsidRPr="00F309FB" w:rsidRDefault="00331B86" w:rsidP="00331B86">
            <w:pPr>
              <w:pStyle w:val="Tabletext"/>
              <w:rPr>
                <w:b/>
              </w:rPr>
            </w:pPr>
            <w:r w:rsidRPr="00F309FB">
              <w:rPr>
                <w:b/>
              </w:rPr>
              <w:t>Step 2 – Trial-based, extrapolated analysis</w:t>
            </w:r>
          </w:p>
          <w:p w14:paraId="00B5B5BB" w14:textId="77777777" w:rsidR="00331B86" w:rsidRPr="007B7239" w:rsidRDefault="00331B86" w:rsidP="00331B86">
            <w:pPr>
              <w:pStyle w:val="Tabletext"/>
            </w:pPr>
            <w:r>
              <w:t xml:space="preserve">Applies the dose, dose frequency and infection rates from the Chapel et al. </w:t>
            </w:r>
            <w:r>
              <w:fldChar w:fldCharType="begin">
                <w:fldData xml:space="preserve">PEVuZE5vdGU+PENpdGUgRXhjbHVkZUF1dGg9IjEiPjxBdXRob3I+Q2hhcGVsPC9BdXRob3I+PFll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==
</w:fldData>
              </w:fldChar>
            </w:r>
            <w:r>
              <w:instrText xml:space="preserve"> ADDIN EN.CITE </w:instrText>
            </w:r>
            <w:r>
              <w:fldChar w:fldCharType="begin">
                <w:fldData xml:space="preserve">PEVuZE5vdGU+PENpdGUgRXhjbHVkZUF1dGg9IjEiPjxBdXRob3I+Q2hhcGVsPC9BdXRob3I+PFll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==
</w:fldData>
              </w:fldChar>
            </w:r>
            <w:r>
              <w:instrText xml:space="preserve"> ADDIN EN.CITE.DATA </w:instrText>
            </w:r>
            <w:r>
              <w:fldChar w:fldCharType="end"/>
            </w:r>
            <w:r>
              <w:fldChar w:fldCharType="separate"/>
            </w:r>
            <w:r>
              <w:rPr>
                <w:noProof/>
              </w:rPr>
              <w:t>(</w:t>
            </w:r>
            <w:hyperlink w:anchor="_ENREF_13" w:tooltip="Chapel, 1994 #56" w:history="1">
              <w:r>
                <w:rPr>
                  <w:noProof/>
                </w:rPr>
                <w:t>1994b</w:t>
              </w:r>
            </w:hyperlink>
            <w:r>
              <w:rPr>
                <w:noProof/>
              </w:rPr>
              <w:t>)</w:t>
            </w:r>
            <w:r>
              <w:fldChar w:fldCharType="end"/>
            </w:r>
            <w:r>
              <w:t xml:space="preserve"> study, with the model time horizon extrapolated to 10 years, with the development of bronchiectasis to be modelled. Ig treatment duration is based on </w:t>
            </w:r>
            <w:r w:rsidRPr="00F55739">
              <w:t>Paxton, Hawkins &amp; Crispin</w:t>
            </w:r>
            <w:r>
              <w:t xml:space="preserve"> </w:t>
            </w:r>
            <w:r>
              <w:fldChar w:fldCharType="begin">
                <w:fldData xml:space="preserve">PEVuZE5vdGU+PENpdGUgRXhjbHVkZUF1dGg9IjEiPjxBdXRob3I+UGF4dG9uPC9BdXRob3I+PFll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</w:fldData>
              </w:fldChar>
            </w:r>
            <w:r>
              <w:instrText xml:space="preserve"> ADDIN EN.CITE </w:instrText>
            </w:r>
            <w:r>
              <w:fldChar w:fldCharType="begin">
                <w:fldData xml:space="preserve">PEVuZE5vdGU+PENpdGUgRXhjbHVkZUF1dGg9IjEiPjxBdXRob3I+UGF4dG9uPC9BdXRob3I+PFll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</w:fldData>
              </w:fldChar>
            </w:r>
            <w:r>
              <w:instrText xml:space="preserve"> ADDIN EN.CITE.DATA </w:instrText>
            </w:r>
            <w:r>
              <w:fldChar w:fldCharType="end"/>
            </w:r>
            <w:r>
              <w:fldChar w:fldCharType="separate"/>
            </w:r>
            <w:r>
              <w:rPr>
                <w:noProof/>
              </w:rPr>
              <w:t>(</w:t>
            </w:r>
            <w:hyperlink w:anchor="_ENREF_39" w:tooltip="Paxton, 2016 #66" w:history="1">
              <w:r>
                <w:rPr>
                  <w:noProof/>
                </w:rPr>
                <w:t>2016</w:t>
              </w:r>
            </w:hyperlink>
            <w:r>
              <w:rPr>
                <w:noProof/>
              </w:rPr>
              <w:t>)</w:t>
            </w:r>
            <w:r>
              <w:fldChar w:fldCharType="end"/>
            </w:r>
            <w:r>
              <w:t xml:space="preserve"> (26 months).</w:t>
            </w:r>
          </w:p>
        </w:tc>
        <w:tc>
          <w:tcPr>
            <w:tcW w:w="668" w:type="pct"/>
            <w:noWrap/>
            <w:hideMark/>
          </w:tcPr>
          <w:p w14:paraId="560984F9" w14:textId="77777777" w:rsidR="00331B86" w:rsidRPr="007B7239" w:rsidRDefault="00331B86" w:rsidP="00331B86">
            <w:pPr>
              <w:pStyle w:val="Tabletext"/>
              <w:jc w:val="right"/>
            </w:pPr>
            <w:r w:rsidRPr="00154800">
              <w:t>$66,922</w:t>
            </w:r>
          </w:p>
        </w:tc>
        <w:tc>
          <w:tcPr>
            <w:tcW w:w="668" w:type="pct"/>
            <w:noWrap/>
            <w:hideMark/>
          </w:tcPr>
          <w:p w14:paraId="463F2D95" w14:textId="77777777" w:rsidR="00331B86" w:rsidRPr="007B7239" w:rsidRDefault="00331B86" w:rsidP="00331B86">
            <w:pPr>
              <w:pStyle w:val="Tabletext"/>
              <w:jc w:val="right"/>
            </w:pPr>
            <w:r w:rsidRPr="00154800">
              <w:t>0.2556</w:t>
            </w:r>
          </w:p>
        </w:tc>
        <w:tc>
          <w:tcPr>
            <w:tcW w:w="679" w:type="pct"/>
            <w:noWrap/>
            <w:hideMark/>
          </w:tcPr>
          <w:p w14:paraId="00C48C5E" w14:textId="77777777" w:rsidR="00331B86" w:rsidRPr="007B7239" w:rsidRDefault="00331B86" w:rsidP="00331B86">
            <w:pPr>
              <w:pStyle w:val="Tabletext"/>
              <w:jc w:val="right"/>
            </w:pPr>
            <w:r w:rsidRPr="00154800">
              <w:t>$261,789</w:t>
            </w:r>
          </w:p>
        </w:tc>
      </w:tr>
      <w:tr w:rsidR="00331B86" w:rsidRPr="007B7239" w14:paraId="598E1D6B" w14:textId="77777777" w:rsidTr="00331B86">
        <w:trPr>
          <w:cantSplit/>
          <w:trHeight w:val="300"/>
        </w:trPr>
        <w:tc>
          <w:tcPr>
            <w:tcW w:w="2985" w:type="pct"/>
            <w:tcBorders>
              <w:bottom w:val="single" w:sz="4" w:space="0" w:color="auto"/>
            </w:tcBorders>
            <w:noWrap/>
            <w:hideMark/>
          </w:tcPr>
          <w:p w14:paraId="169D65B9" w14:textId="77777777" w:rsidR="00331B86" w:rsidRPr="00F309FB" w:rsidRDefault="00331B86" w:rsidP="00331B86">
            <w:pPr>
              <w:pStyle w:val="Tabletext"/>
              <w:rPr>
                <w:b/>
              </w:rPr>
            </w:pPr>
            <w:r w:rsidRPr="00F309FB">
              <w:rPr>
                <w:b/>
              </w:rPr>
              <w:t>Step 3 –</w:t>
            </w:r>
            <w:r>
              <w:rPr>
                <w:b/>
              </w:rPr>
              <w:t xml:space="preserve"> </w:t>
            </w:r>
            <w:r w:rsidRPr="00F309FB">
              <w:rPr>
                <w:b/>
              </w:rPr>
              <w:t>Modelled economic evaluation</w:t>
            </w:r>
            <w:r>
              <w:rPr>
                <w:b/>
              </w:rPr>
              <w:t xml:space="preserve"> (base case)</w:t>
            </w:r>
          </w:p>
          <w:p w14:paraId="2F54388C" w14:textId="77777777" w:rsidR="00331B86" w:rsidRPr="007B7239" w:rsidRDefault="00331B86" w:rsidP="00331B86">
            <w:pPr>
              <w:pStyle w:val="Tabletext"/>
            </w:pPr>
            <w:r>
              <w:t xml:space="preserve">Applies the pooled IRRs estimated in Section B.6 to the best available source of baseline infection rates in Australia (based on </w:t>
            </w:r>
            <w:r w:rsidRPr="00F55739">
              <w:t>Paxton, Hawkins &amp; Crispin</w:t>
            </w:r>
            <w:r>
              <w:t xml:space="preserve"> 2016), while assuming the weighted average dose from BloodSTAR data (0.37 g/kg).</w:t>
            </w:r>
          </w:p>
        </w:tc>
        <w:tc>
          <w:tcPr>
            <w:tcW w:w="668" w:type="pct"/>
            <w:tcBorders>
              <w:bottom w:val="single" w:sz="4" w:space="0" w:color="auto"/>
            </w:tcBorders>
            <w:noWrap/>
            <w:hideMark/>
          </w:tcPr>
          <w:p w14:paraId="4D0A15E2" w14:textId="77777777" w:rsidR="00331B86" w:rsidRPr="006362C6" w:rsidRDefault="00331B86" w:rsidP="00331B86">
            <w:pPr>
              <w:pStyle w:val="Tabletext"/>
              <w:jc w:val="right"/>
              <w:rPr>
                <w:b/>
              </w:rPr>
            </w:pPr>
            <w:r w:rsidRPr="006362C6">
              <w:rPr>
                <w:b/>
              </w:rPr>
              <w:t>$41,011</w:t>
            </w:r>
          </w:p>
        </w:tc>
        <w:tc>
          <w:tcPr>
            <w:tcW w:w="668" w:type="pct"/>
            <w:tcBorders>
              <w:bottom w:val="single" w:sz="4" w:space="0" w:color="auto"/>
            </w:tcBorders>
            <w:noWrap/>
            <w:hideMark/>
          </w:tcPr>
          <w:p w14:paraId="16F65815" w14:textId="77777777" w:rsidR="00331B86" w:rsidRPr="006362C6" w:rsidRDefault="00331B86" w:rsidP="00331B86">
            <w:pPr>
              <w:pStyle w:val="Tabletext"/>
              <w:jc w:val="right"/>
              <w:rPr>
                <w:b/>
              </w:rPr>
            </w:pPr>
            <w:r w:rsidRPr="006362C6">
              <w:rPr>
                <w:b/>
              </w:rPr>
              <w:t>0.4109</w:t>
            </w:r>
          </w:p>
        </w:tc>
        <w:tc>
          <w:tcPr>
            <w:tcW w:w="679" w:type="pct"/>
            <w:tcBorders>
              <w:bottom w:val="single" w:sz="4" w:space="0" w:color="auto"/>
            </w:tcBorders>
            <w:noWrap/>
            <w:hideMark/>
          </w:tcPr>
          <w:p w14:paraId="039DD8AD" w14:textId="77777777" w:rsidR="00331B86" w:rsidRPr="006362C6" w:rsidRDefault="00331B86" w:rsidP="00331B86">
            <w:pPr>
              <w:pStyle w:val="Tabletext"/>
              <w:jc w:val="right"/>
              <w:rPr>
                <w:b/>
              </w:rPr>
            </w:pPr>
            <w:r w:rsidRPr="006362C6">
              <w:rPr>
                <w:b/>
              </w:rPr>
              <w:t>$99,803</w:t>
            </w:r>
          </w:p>
        </w:tc>
      </w:tr>
      <w:tr w:rsidR="00331B86" w:rsidRPr="007B7239" w14:paraId="7659337B" w14:textId="77777777" w:rsidTr="00331B86">
        <w:trPr>
          <w:cantSplit/>
          <w:trHeight w:val="300"/>
        </w:trPr>
        <w:tc>
          <w:tcPr>
            <w:tcW w:w="2985" w:type="pct"/>
            <w:tcBorders>
              <w:bottom w:val="single" w:sz="4" w:space="0" w:color="auto"/>
              <w:right w:val="nil"/>
            </w:tcBorders>
            <w:noWrap/>
          </w:tcPr>
          <w:p w14:paraId="3C0B7108" w14:textId="77777777" w:rsidR="00331B86" w:rsidRPr="00F309FB" w:rsidRDefault="00331B86" w:rsidP="00331B86">
            <w:pPr>
              <w:pStyle w:val="Tabletext"/>
              <w:rPr>
                <w:b/>
              </w:rPr>
            </w:pPr>
            <w:r>
              <w:rPr>
                <w:b/>
              </w:rPr>
              <w:t>Sensitivity analyses for the cost per gram of Ig (base case: $60.41)</w:t>
            </w:r>
          </w:p>
        </w:tc>
        <w:tc>
          <w:tcPr>
            <w:tcW w:w="668" w:type="pct"/>
            <w:tcBorders>
              <w:left w:val="nil"/>
              <w:bottom w:val="single" w:sz="4" w:space="0" w:color="auto"/>
              <w:right w:val="nil"/>
            </w:tcBorders>
            <w:noWrap/>
          </w:tcPr>
          <w:p w14:paraId="1DFC0D9C" w14:textId="77777777" w:rsidR="00331B86" w:rsidRPr="007C68FC" w:rsidRDefault="00331B86" w:rsidP="00331B86">
            <w:pPr>
              <w:pStyle w:val="Tabletext"/>
              <w:jc w:val="right"/>
            </w:pPr>
          </w:p>
        </w:tc>
        <w:tc>
          <w:tcPr>
            <w:tcW w:w="668" w:type="pct"/>
            <w:tcBorders>
              <w:left w:val="nil"/>
              <w:bottom w:val="single" w:sz="4" w:space="0" w:color="auto"/>
              <w:right w:val="nil"/>
            </w:tcBorders>
            <w:noWrap/>
          </w:tcPr>
          <w:p w14:paraId="69A2DB02" w14:textId="77777777" w:rsidR="00331B86" w:rsidRPr="007C68FC" w:rsidRDefault="00331B86" w:rsidP="00331B86">
            <w:pPr>
              <w:pStyle w:val="Tabletext"/>
              <w:jc w:val="right"/>
            </w:pPr>
          </w:p>
        </w:tc>
        <w:tc>
          <w:tcPr>
            <w:tcW w:w="679" w:type="pct"/>
            <w:tcBorders>
              <w:left w:val="nil"/>
              <w:bottom w:val="single" w:sz="4" w:space="0" w:color="auto"/>
            </w:tcBorders>
            <w:noWrap/>
          </w:tcPr>
          <w:p w14:paraId="27B8C48E" w14:textId="77777777" w:rsidR="00331B86" w:rsidRPr="007C68FC" w:rsidRDefault="00331B86" w:rsidP="00331B86">
            <w:pPr>
              <w:pStyle w:val="Tabletext"/>
              <w:jc w:val="right"/>
            </w:pPr>
          </w:p>
        </w:tc>
      </w:tr>
      <w:tr w:rsidR="00331B86" w:rsidRPr="00C23BE0" w14:paraId="2C3A0280" w14:textId="77777777" w:rsidTr="00331B86">
        <w:trPr>
          <w:cantSplit/>
          <w:trHeight w:val="300"/>
        </w:trPr>
        <w:tc>
          <w:tcPr>
            <w:tcW w:w="2985" w:type="pct"/>
            <w:tcBorders>
              <w:bottom w:val="nil"/>
            </w:tcBorders>
            <w:noWrap/>
          </w:tcPr>
          <w:p w14:paraId="5718E2DA" w14:textId="77777777" w:rsidR="00331B86" w:rsidRPr="00C23BE0" w:rsidRDefault="00331B86" w:rsidP="00331B86">
            <w:pPr>
              <w:pStyle w:val="Tabletext"/>
            </w:pPr>
            <w:r w:rsidRPr="00FA1F59">
              <w:t>High cost of Ig</w:t>
            </w:r>
            <w:r>
              <w:t>, $140.18</w:t>
            </w:r>
          </w:p>
        </w:tc>
        <w:tc>
          <w:tcPr>
            <w:tcW w:w="668" w:type="pct"/>
            <w:tcBorders>
              <w:bottom w:val="nil"/>
            </w:tcBorders>
            <w:noWrap/>
          </w:tcPr>
          <w:p w14:paraId="70C3B80F" w14:textId="77777777" w:rsidR="00331B86" w:rsidRPr="00C23BE0" w:rsidRDefault="00331B86" w:rsidP="00331B86">
            <w:pPr>
              <w:pStyle w:val="Tabletext"/>
              <w:jc w:val="right"/>
            </w:pPr>
            <w:r w:rsidRPr="00247254">
              <w:t>$117,335</w:t>
            </w:r>
          </w:p>
        </w:tc>
        <w:tc>
          <w:tcPr>
            <w:tcW w:w="668" w:type="pct"/>
            <w:tcBorders>
              <w:bottom w:val="nil"/>
            </w:tcBorders>
            <w:noWrap/>
          </w:tcPr>
          <w:p w14:paraId="1F7902C0" w14:textId="77777777" w:rsidR="00331B86" w:rsidRPr="00C23BE0" w:rsidRDefault="00331B86" w:rsidP="00331B86">
            <w:pPr>
              <w:pStyle w:val="Tabletext"/>
              <w:jc w:val="right"/>
            </w:pPr>
            <w:r w:rsidRPr="00247254">
              <w:t>0.4109</w:t>
            </w:r>
          </w:p>
        </w:tc>
        <w:tc>
          <w:tcPr>
            <w:tcW w:w="679" w:type="pct"/>
            <w:tcBorders>
              <w:bottom w:val="nil"/>
            </w:tcBorders>
            <w:noWrap/>
          </w:tcPr>
          <w:p w14:paraId="006B376D" w14:textId="77777777" w:rsidR="00331B86" w:rsidRPr="00C23BE0" w:rsidRDefault="00331B86" w:rsidP="00331B86">
            <w:pPr>
              <w:pStyle w:val="Tabletext"/>
              <w:jc w:val="right"/>
            </w:pPr>
            <w:r w:rsidRPr="00247254">
              <w:t>$285,543</w:t>
            </w:r>
          </w:p>
        </w:tc>
      </w:tr>
      <w:tr w:rsidR="00331B86" w:rsidRPr="00C23BE0" w14:paraId="14B513BE" w14:textId="77777777" w:rsidTr="00331B86">
        <w:trPr>
          <w:cantSplit/>
          <w:trHeight w:val="300"/>
        </w:trPr>
        <w:tc>
          <w:tcPr>
            <w:tcW w:w="2985" w:type="pct"/>
            <w:tcBorders>
              <w:top w:val="nil"/>
              <w:bottom w:val="nil"/>
            </w:tcBorders>
            <w:noWrap/>
          </w:tcPr>
          <w:p w14:paraId="487EC14A" w14:textId="77777777" w:rsidR="00331B86" w:rsidRPr="00C23BE0" w:rsidRDefault="00331B86" w:rsidP="00331B86">
            <w:pPr>
              <w:pStyle w:val="Tabletext"/>
            </w:pPr>
            <w:r w:rsidRPr="00FA1F59">
              <w:t>Low cost of Ig</w:t>
            </w:r>
            <w:r>
              <w:t>, $44.94</w:t>
            </w:r>
          </w:p>
        </w:tc>
        <w:tc>
          <w:tcPr>
            <w:tcW w:w="668" w:type="pct"/>
            <w:tcBorders>
              <w:top w:val="nil"/>
              <w:bottom w:val="nil"/>
            </w:tcBorders>
            <w:noWrap/>
          </w:tcPr>
          <w:p w14:paraId="41CA2297" w14:textId="77777777" w:rsidR="00331B86" w:rsidRPr="00C23BE0" w:rsidRDefault="00331B86" w:rsidP="00331B86">
            <w:pPr>
              <w:pStyle w:val="Tabletext"/>
              <w:jc w:val="right"/>
            </w:pPr>
            <w:r w:rsidRPr="00247254">
              <w:t>$26,209</w:t>
            </w:r>
          </w:p>
        </w:tc>
        <w:tc>
          <w:tcPr>
            <w:tcW w:w="668" w:type="pct"/>
            <w:tcBorders>
              <w:top w:val="nil"/>
              <w:bottom w:val="nil"/>
            </w:tcBorders>
            <w:noWrap/>
          </w:tcPr>
          <w:p w14:paraId="029DCFD4" w14:textId="77777777" w:rsidR="00331B86" w:rsidRPr="00C23BE0" w:rsidRDefault="00331B86" w:rsidP="00331B86">
            <w:pPr>
              <w:pStyle w:val="Tabletext"/>
              <w:jc w:val="right"/>
            </w:pPr>
            <w:r w:rsidRPr="00247254">
              <w:t>0.4109</w:t>
            </w:r>
          </w:p>
        </w:tc>
        <w:tc>
          <w:tcPr>
            <w:tcW w:w="679" w:type="pct"/>
            <w:tcBorders>
              <w:top w:val="nil"/>
              <w:bottom w:val="nil"/>
            </w:tcBorders>
            <w:noWrap/>
          </w:tcPr>
          <w:p w14:paraId="7B3AAABD" w14:textId="77777777" w:rsidR="00331B86" w:rsidRPr="00C23BE0" w:rsidRDefault="00331B86" w:rsidP="00331B86">
            <w:pPr>
              <w:pStyle w:val="Tabletext"/>
              <w:jc w:val="right"/>
            </w:pPr>
            <w:r w:rsidRPr="00247254">
              <w:t>$63,782</w:t>
            </w:r>
          </w:p>
        </w:tc>
      </w:tr>
      <w:tr w:rsidR="00331B86" w:rsidRPr="00C23BE0" w14:paraId="0E803BF5" w14:textId="77777777" w:rsidTr="00331B86">
        <w:trPr>
          <w:cantSplit/>
          <w:trHeight w:val="300"/>
        </w:trPr>
        <w:tc>
          <w:tcPr>
            <w:tcW w:w="2985" w:type="pct"/>
            <w:tcBorders>
              <w:top w:val="nil"/>
            </w:tcBorders>
            <w:noWrap/>
          </w:tcPr>
          <w:p w14:paraId="01C32CFB" w14:textId="77777777" w:rsidR="00331B86" w:rsidRPr="00C23BE0" w:rsidRDefault="00331B86" w:rsidP="00331B86">
            <w:pPr>
              <w:pStyle w:val="Tabletext"/>
            </w:pPr>
            <w:r w:rsidRPr="00FA1F59">
              <w:t>Weighted average cost of Ig</w:t>
            </w:r>
            <w:r>
              <w:t>, $94.51</w:t>
            </w:r>
          </w:p>
        </w:tc>
        <w:tc>
          <w:tcPr>
            <w:tcW w:w="668" w:type="pct"/>
            <w:tcBorders>
              <w:top w:val="nil"/>
            </w:tcBorders>
            <w:noWrap/>
          </w:tcPr>
          <w:p w14:paraId="37A13B34" w14:textId="77777777" w:rsidR="00331B86" w:rsidRPr="00C23BE0" w:rsidRDefault="00331B86" w:rsidP="00331B86">
            <w:pPr>
              <w:pStyle w:val="Tabletext"/>
              <w:jc w:val="right"/>
            </w:pPr>
            <w:r w:rsidRPr="00247254">
              <w:t>$73,634</w:t>
            </w:r>
          </w:p>
        </w:tc>
        <w:tc>
          <w:tcPr>
            <w:tcW w:w="668" w:type="pct"/>
            <w:tcBorders>
              <w:top w:val="nil"/>
            </w:tcBorders>
            <w:noWrap/>
          </w:tcPr>
          <w:p w14:paraId="3F68FF34" w14:textId="77777777" w:rsidR="00331B86" w:rsidRPr="00C23BE0" w:rsidRDefault="00331B86" w:rsidP="00331B86">
            <w:pPr>
              <w:pStyle w:val="Tabletext"/>
              <w:jc w:val="right"/>
            </w:pPr>
            <w:r w:rsidRPr="00247254">
              <w:t>0.4109</w:t>
            </w:r>
          </w:p>
        </w:tc>
        <w:tc>
          <w:tcPr>
            <w:tcW w:w="679" w:type="pct"/>
            <w:tcBorders>
              <w:top w:val="nil"/>
            </w:tcBorders>
            <w:noWrap/>
          </w:tcPr>
          <w:p w14:paraId="3A13390B" w14:textId="77777777" w:rsidR="00331B86" w:rsidRPr="00C23BE0" w:rsidRDefault="00331B86" w:rsidP="00331B86">
            <w:pPr>
              <w:pStyle w:val="Tabletext"/>
              <w:jc w:val="right"/>
            </w:pPr>
            <w:r w:rsidRPr="00247254">
              <w:t>$179,195</w:t>
            </w:r>
          </w:p>
        </w:tc>
      </w:tr>
    </w:tbl>
    <w:p w14:paraId="6888DB20" w14:textId="77777777" w:rsidR="00331B86" w:rsidRDefault="00331B86" w:rsidP="00331B86">
      <w:pPr>
        <w:pStyle w:val="Tablenotes0"/>
      </w:pPr>
      <w:r w:rsidRPr="00762E3C">
        <w:rPr>
          <w:b/>
        </w:rPr>
        <w:t>Abbreviations:</w:t>
      </w:r>
      <w:r>
        <w:t xml:space="preserve"> ICER = incremental cost-effectiveness ratio; Ig = immunoglobulin; QALY = quality-adjusted life years; IRR = incidence rate ratio.</w:t>
      </w:r>
    </w:p>
    <w:p w14:paraId="15A9370C" w14:textId="29AB59A7" w:rsidR="00331B86" w:rsidRDefault="00331B86" w:rsidP="00331B86">
      <w:pPr>
        <w:pStyle w:val="Tablenotes0"/>
      </w:pPr>
      <w:r w:rsidRPr="00762E3C">
        <w:rPr>
          <w:b/>
        </w:rPr>
        <w:t>Source:</w:t>
      </w:r>
      <w:r>
        <w:t xml:space="preserve"> Contracted Assessment, Table 7</w:t>
      </w:r>
    </w:p>
    <w:p w14:paraId="0E40DB3D" w14:textId="0C77C40C" w:rsidR="00331B86" w:rsidRDefault="00331B86" w:rsidP="00331B86">
      <w:r>
        <w:t>The model is highly sensitive to the inclusion of the bronchiectasis health states (their removal increases the ICER to just under $3 million), selection of the time horizon, the relative treatment effect of Ig, and baselin</w:t>
      </w:r>
      <w:r w:rsidR="00EF524D">
        <w:t>e rates of infection (Table 5).</w:t>
      </w:r>
    </w:p>
    <w:p w14:paraId="69275FD1" w14:textId="77777777" w:rsidR="00331B86" w:rsidRPr="00160DD2" w:rsidRDefault="00331B86" w:rsidP="00160DD2">
      <w:pPr>
        <w:keepNext/>
        <w:keepLines/>
        <w:rPr>
          <w:rFonts w:ascii="Arial Narrow" w:hAnsi="Arial Narrow"/>
          <w:b/>
          <w:sz w:val="20"/>
        </w:rPr>
      </w:pPr>
      <w:bookmarkStart w:id="30" w:name="_Ref14270085"/>
      <w:bookmarkStart w:id="31" w:name="_Toc14348839"/>
      <w:bookmarkStart w:id="32" w:name="_Toc14429551"/>
      <w:bookmarkStart w:id="33" w:name="_Toc16671606"/>
      <w:r w:rsidRPr="00160DD2">
        <w:rPr>
          <w:rFonts w:ascii="Arial Narrow" w:hAnsi="Arial Narrow"/>
          <w:b/>
          <w:sz w:val="20"/>
        </w:rPr>
        <w:lastRenderedPageBreak/>
        <w:t>Table</w:t>
      </w:r>
      <w:bookmarkEnd w:id="30"/>
      <w:r w:rsidRPr="00160DD2">
        <w:rPr>
          <w:rFonts w:ascii="Arial Narrow" w:hAnsi="Arial Narrow"/>
          <w:b/>
          <w:sz w:val="20"/>
        </w:rPr>
        <w:t xml:space="preserve"> 5</w:t>
      </w:r>
      <w:r w:rsidRPr="00160DD2">
        <w:rPr>
          <w:rFonts w:ascii="Arial Narrow" w:hAnsi="Arial Narrow"/>
          <w:b/>
          <w:sz w:val="20"/>
        </w:rPr>
        <w:tab/>
      </w:r>
      <w:r w:rsidRPr="00160DD2">
        <w:rPr>
          <w:rFonts w:ascii="Arial Narrow" w:hAnsi="Arial Narrow"/>
          <w:b/>
          <w:sz w:val="20"/>
        </w:rPr>
        <w:tab/>
        <w:t>Key sensitivity analyses</w:t>
      </w:r>
      <w:bookmarkEnd w:id="31"/>
      <w:bookmarkEnd w:id="32"/>
      <w:bookmarkEnd w:id="33"/>
    </w:p>
    <w:tbl>
      <w:tblPr>
        <w:tblStyle w:val="TableGrid1"/>
        <w:tblW w:w="5107" w:type="pct"/>
        <w:tblLayout w:type="fixed"/>
        <w:tblLook w:val="04A0" w:firstRow="1" w:lastRow="0" w:firstColumn="1" w:lastColumn="0" w:noHBand="0" w:noVBand="1"/>
        <w:tblCaption w:val="Sensitivity analyses"/>
      </w:tblPr>
      <w:tblGrid>
        <w:gridCol w:w="4813"/>
        <w:gridCol w:w="1135"/>
        <w:gridCol w:w="1135"/>
        <w:gridCol w:w="1135"/>
        <w:gridCol w:w="991"/>
      </w:tblGrid>
      <w:tr w:rsidR="00331B86" w:rsidRPr="008B0DF4" w14:paraId="6A5F301B" w14:textId="77777777" w:rsidTr="00331B86">
        <w:trPr>
          <w:cnfStyle w:val="100000000000" w:firstRow="1" w:lastRow="0" w:firstColumn="0" w:lastColumn="0" w:oddVBand="0" w:evenVBand="0" w:oddHBand="0" w:evenHBand="0" w:firstRowFirstColumn="0" w:firstRowLastColumn="0" w:lastRowFirstColumn="0" w:lastRowLastColumn="0"/>
          <w:trHeight w:val="433"/>
          <w:tblHeader/>
        </w:trPr>
        <w:tc>
          <w:tcPr>
            <w:tcW w:w="2614" w:type="pct"/>
            <w:noWrap/>
          </w:tcPr>
          <w:p w14:paraId="2693B8A8" w14:textId="77777777" w:rsidR="00331B86" w:rsidRPr="008B0DF4" w:rsidRDefault="00331B86" w:rsidP="00160DD2">
            <w:pPr>
              <w:pStyle w:val="TableHeading"/>
              <w:keepLines/>
            </w:pPr>
          </w:p>
        </w:tc>
        <w:tc>
          <w:tcPr>
            <w:tcW w:w="616" w:type="pct"/>
            <w:noWrap/>
          </w:tcPr>
          <w:p w14:paraId="0C1FD5CF" w14:textId="77777777" w:rsidR="00331B86" w:rsidRPr="008B0DF4" w:rsidRDefault="00331B86" w:rsidP="00160DD2">
            <w:pPr>
              <w:pStyle w:val="TableHeading"/>
              <w:keepLines/>
              <w:jc w:val="center"/>
            </w:pPr>
            <w:r w:rsidRPr="00FA1F59">
              <w:t>Inc. cost</w:t>
            </w:r>
          </w:p>
        </w:tc>
        <w:tc>
          <w:tcPr>
            <w:tcW w:w="616" w:type="pct"/>
            <w:noWrap/>
          </w:tcPr>
          <w:p w14:paraId="3C5A1255" w14:textId="77777777" w:rsidR="00331B86" w:rsidRPr="008B0DF4" w:rsidRDefault="00331B86" w:rsidP="00160DD2">
            <w:pPr>
              <w:pStyle w:val="TableHeading"/>
              <w:keepLines/>
              <w:jc w:val="center"/>
            </w:pPr>
            <w:r w:rsidRPr="00FA1F59">
              <w:t>Inc. QALYs</w:t>
            </w:r>
          </w:p>
        </w:tc>
        <w:tc>
          <w:tcPr>
            <w:tcW w:w="616" w:type="pct"/>
            <w:noWrap/>
          </w:tcPr>
          <w:p w14:paraId="667E2031" w14:textId="77777777" w:rsidR="00331B86" w:rsidRPr="008B0DF4" w:rsidRDefault="00331B86" w:rsidP="00160DD2">
            <w:pPr>
              <w:pStyle w:val="TableHeading"/>
              <w:keepLines/>
              <w:jc w:val="center"/>
            </w:pPr>
            <w:r w:rsidRPr="00FA1F59">
              <w:t>ICER</w:t>
            </w:r>
          </w:p>
        </w:tc>
        <w:tc>
          <w:tcPr>
            <w:tcW w:w="539" w:type="pct"/>
            <w:noWrap/>
          </w:tcPr>
          <w:p w14:paraId="0FA5E56D" w14:textId="77777777" w:rsidR="00331B86" w:rsidRPr="008B0DF4" w:rsidRDefault="00331B86" w:rsidP="00160DD2">
            <w:pPr>
              <w:pStyle w:val="TableHeading"/>
              <w:keepLines/>
            </w:pPr>
            <w:r>
              <w:t>% change</w:t>
            </w:r>
          </w:p>
        </w:tc>
      </w:tr>
      <w:tr w:rsidR="00331B86" w:rsidRPr="008B0DF4" w14:paraId="4C664F8F" w14:textId="77777777" w:rsidTr="00331B86">
        <w:trPr>
          <w:cnfStyle w:val="100000000000" w:firstRow="1" w:lastRow="0" w:firstColumn="0" w:lastColumn="0" w:oddVBand="0" w:evenVBand="0" w:oddHBand="0" w:evenHBand="0" w:firstRowFirstColumn="0" w:firstRowLastColumn="0" w:lastRowFirstColumn="0" w:lastRowLastColumn="0"/>
          <w:trHeight w:val="300"/>
          <w:tblHeader/>
        </w:trPr>
        <w:tc>
          <w:tcPr>
            <w:tcW w:w="2614" w:type="pct"/>
            <w:tcBorders>
              <w:bottom w:val="single" w:sz="4" w:space="0" w:color="auto"/>
            </w:tcBorders>
            <w:noWrap/>
            <w:hideMark/>
          </w:tcPr>
          <w:p w14:paraId="60C56DC6" w14:textId="77777777" w:rsidR="00331B86" w:rsidRPr="008B0DF4" w:rsidRDefault="00331B86" w:rsidP="00160DD2">
            <w:pPr>
              <w:pStyle w:val="TableHeading"/>
              <w:keepLines/>
            </w:pPr>
            <w:r w:rsidRPr="008B0DF4">
              <w:t>Base case analysis</w:t>
            </w:r>
          </w:p>
        </w:tc>
        <w:tc>
          <w:tcPr>
            <w:tcW w:w="616" w:type="pct"/>
            <w:tcBorders>
              <w:bottom w:val="single" w:sz="4" w:space="0" w:color="auto"/>
            </w:tcBorders>
            <w:noWrap/>
            <w:hideMark/>
          </w:tcPr>
          <w:p w14:paraId="11112956" w14:textId="77777777" w:rsidR="00331B86" w:rsidRPr="008B0DF4" w:rsidRDefault="00331B86" w:rsidP="00160DD2">
            <w:pPr>
              <w:pStyle w:val="TableHeading"/>
              <w:keepLines/>
              <w:jc w:val="right"/>
            </w:pPr>
            <w:r w:rsidRPr="00D6502A">
              <w:t>$41,011</w:t>
            </w:r>
          </w:p>
        </w:tc>
        <w:tc>
          <w:tcPr>
            <w:tcW w:w="616" w:type="pct"/>
            <w:tcBorders>
              <w:bottom w:val="single" w:sz="4" w:space="0" w:color="auto"/>
            </w:tcBorders>
            <w:noWrap/>
            <w:hideMark/>
          </w:tcPr>
          <w:p w14:paraId="5A6B8B01" w14:textId="77777777" w:rsidR="00331B86" w:rsidRPr="008B0DF4" w:rsidRDefault="00331B86" w:rsidP="00160DD2">
            <w:pPr>
              <w:pStyle w:val="TableHeading"/>
              <w:keepLines/>
              <w:jc w:val="right"/>
            </w:pPr>
            <w:r w:rsidRPr="00D6502A">
              <w:t>0.4109</w:t>
            </w:r>
          </w:p>
        </w:tc>
        <w:tc>
          <w:tcPr>
            <w:tcW w:w="616" w:type="pct"/>
            <w:tcBorders>
              <w:bottom w:val="single" w:sz="4" w:space="0" w:color="auto"/>
            </w:tcBorders>
            <w:noWrap/>
            <w:hideMark/>
          </w:tcPr>
          <w:p w14:paraId="6AC07921" w14:textId="77777777" w:rsidR="00331B86" w:rsidRPr="008B0DF4" w:rsidRDefault="00331B86" w:rsidP="00160DD2">
            <w:pPr>
              <w:pStyle w:val="TableHeading"/>
              <w:keepLines/>
              <w:jc w:val="right"/>
            </w:pPr>
            <w:r w:rsidRPr="00D6502A">
              <w:t>$99,803</w:t>
            </w:r>
          </w:p>
        </w:tc>
        <w:tc>
          <w:tcPr>
            <w:tcW w:w="539" w:type="pct"/>
            <w:tcBorders>
              <w:bottom w:val="single" w:sz="4" w:space="0" w:color="auto"/>
            </w:tcBorders>
            <w:noWrap/>
            <w:hideMark/>
          </w:tcPr>
          <w:p w14:paraId="74F3EA09" w14:textId="77777777" w:rsidR="00331B86" w:rsidRPr="008B0DF4" w:rsidRDefault="00331B86" w:rsidP="00160DD2">
            <w:pPr>
              <w:pStyle w:val="TableHeading"/>
              <w:keepLines/>
              <w:jc w:val="right"/>
            </w:pPr>
            <w:r w:rsidRPr="00D6502A">
              <w:t>-</w:t>
            </w:r>
          </w:p>
        </w:tc>
      </w:tr>
      <w:tr w:rsidR="00331B86" w:rsidRPr="00E86C72" w14:paraId="4F9066CD" w14:textId="77777777" w:rsidTr="00331B86">
        <w:trPr>
          <w:trHeight w:val="300"/>
        </w:trPr>
        <w:tc>
          <w:tcPr>
            <w:tcW w:w="2614" w:type="pct"/>
            <w:tcBorders>
              <w:bottom w:val="single" w:sz="4" w:space="0" w:color="auto"/>
              <w:right w:val="nil"/>
            </w:tcBorders>
            <w:noWrap/>
            <w:hideMark/>
          </w:tcPr>
          <w:p w14:paraId="0C06F732" w14:textId="77777777" w:rsidR="00331B86" w:rsidRPr="00E86C72" w:rsidRDefault="00331B86" w:rsidP="009735F2">
            <w:pPr>
              <w:pStyle w:val="Tabletext"/>
              <w:keepNext/>
              <w:keepLines/>
            </w:pPr>
            <w:r w:rsidRPr="004666A8">
              <w:t xml:space="preserve">Baseline </w:t>
            </w:r>
            <w:r>
              <w:t xml:space="preserve">annual </w:t>
            </w:r>
            <w:r w:rsidRPr="004666A8">
              <w:t>infection rates (base case: Paxton, Hawkins &amp; Crispin 2016, serious 0.43, non-serious 1.05)</w:t>
            </w:r>
          </w:p>
        </w:tc>
        <w:tc>
          <w:tcPr>
            <w:tcW w:w="616" w:type="pct"/>
            <w:tcBorders>
              <w:left w:val="nil"/>
              <w:bottom w:val="single" w:sz="4" w:space="0" w:color="auto"/>
              <w:right w:val="nil"/>
            </w:tcBorders>
            <w:noWrap/>
            <w:hideMark/>
          </w:tcPr>
          <w:p w14:paraId="0245EF44"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4FF8BCB9"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146CE7D1" w14:textId="77777777" w:rsidR="00331B86" w:rsidRPr="00E86C72" w:rsidRDefault="00331B86" w:rsidP="009735F2">
            <w:pPr>
              <w:pStyle w:val="Tabletext"/>
              <w:keepNext/>
              <w:keepLines/>
              <w:jc w:val="right"/>
            </w:pPr>
          </w:p>
        </w:tc>
        <w:tc>
          <w:tcPr>
            <w:tcW w:w="539" w:type="pct"/>
            <w:tcBorders>
              <w:left w:val="nil"/>
              <w:bottom w:val="single" w:sz="4" w:space="0" w:color="auto"/>
            </w:tcBorders>
            <w:noWrap/>
            <w:hideMark/>
          </w:tcPr>
          <w:p w14:paraId="310608E8" w14:textId="77777777" w:rsidR="00331B86" w:rsidRPr="00E86C72" w:rsidRDefault="00331B86" w:rsidP="009735F2">
            <w:pPr>
              <w:pStyle w:val="Tabletext"/>
              <w:keepNext/>
              <w:keepLines/>
              <w:jc w:val="right"/>
            </w:pPr>
          </w:p>
        </w:tc>
      </w:tr>
      <w:tr w:rsidR="00331B86" w:rsidRPr="00E86C72" w14:paraId="4B6EE0EA" w14:textId="77777777" w:rsidTr="00331B86">
        <w:trPr>
          <w:trHeight w:val="300"/>
        </w:trPr>
        <w:tc>
          <w:tcPr>
            <w:tcW w:w="2614" w:type="pct"/>
            <w:tcBorders>
              <w:top w:val="nil"/>
              <w:bottom w:val="nil"/>
            </w:tcBorders>
            <w:noWrap/>
            <w:hideMark/>
          </w:tcPr>
          <w:p w14:paraId="71C49AFD" w14:textId="77777777" w:rsidR="00331B86" w:rsidRPr="00E86C72" w:rsidRDefault="00331B86" w:rsidP="009735F2">
            <w:pPr>
              <w:pStyle w:val="Tabletext"/>
              <w:keepNext/>
              <w:keepLines/>
            </w:pPr>
            <w:r w:rsidRPr="004666A8">
              <w:t>Molica et al. (1996): serious 0.29, non-serious 1.73</w:t>
            </w:r>
          </w:p>
        </w:tc>
        <w:tc>
          <w:tcPr>
            <w:tcW w:w="616" w:type="pct"/>
            <w:tcBorders>
              <w:top w:val="nil"/>
              <w:bottom w:val="nil"/>
            </w:tcBorders>
            <w:noWrap/>
            <w:hideMark/>
          </w:tcPr>
          <w:p w14:paraId="1E7AD7EB" w14:textId="77777777" w:rsidR="00331B86" w:rsidRPr="00E86C72" w:rsidRDefault="00331B86" w:rsidP="009735F2">
            <w:pPr>
              <w:pStyle w:val="Tabletext"/>
              <w:keepNext/>
              <w:keepLines/>
              <w:jc w:val="right"/>
            </w:pPr>
            <w:r w:rsidRPr="00D6502A">
              <w:t>$50,160</w:t>
            </w:r>
          </w:p>
        </w:tc>
        <w:tc>
          <w:tcPr>
            <w:tcW w:w="616" w:type="pct"/>
            <w:tcBorders>
              <w:top w:val="nil"/>
              <w:bottom w:val="nil"/>
            </w:tcBorders>
            <w:noWrap/>
            <w:hideMark/>
          </w:tcPr>
          <w:p w14:paraId="69BA1D86" w14:textId="77777777" w:rsidR="00331B86" w:rsidRPr="00E86C72" w:rsidRDefault="00331B86" w:rsidP="009735F2">
            <w:pPr>
              <w:pStyle w:val="Tabletext"/>
              <w:keepNext/>
              <w:keepLines/>
              <w:jc w:val="right"/>
            </w:pPr>
            <w:r w:rsidRPr="00D6502A">
              <w:t>0.3819</w:t>
            </w:r>
          </w:p>
        </w:tc>
        <w:tc>
          <w:tcPr>
            <w:tcW w:w="616" w:type="pct"/>
            <w:tcBorders>
              <w:top w:val="nil"/>
              <w:bottom w:val="nil"/>
            </w:tcBorders>
            <w:noWrap/>
            <w:hideMark/>
          </w:tcPr>
          <w:p w14:paraId="240B7EA4" w14:textId="77777777" w:rsidR="00331B86" w:rsidRPr="00E86C72" w:rsidRDefault="00331B86" w:rsidP="009735F2">
            <w:pPr>
              <w:pStyle w:val="Tabletext"/>
              <w:keepNext/>
              <w:keepLines/>
              <w:jc w:val="right"/>
            </w:pPr>
            <w:r w:rsidRPr="00D6502A">
              <w:t>$131,328</w:t>
            </w:r>
          </w:p>
        </w:tc>
        <w:tc>
          <w:tcPr>
            <w:tcW w:w="539" w:type="pct"/>
            <w:tcBorders>
              <w:top w:val="nil"/>
              <w:bottom w:val="nil"/>
            </w:tcBorders>
            <w:noWrap/>
            <w:hideMark/>
          </w:tcPr>
          <w:p w14:paraId="68060EB3" w14:textId="77777777" w:rsidR="00331B86" w:rsidRPr="00E86C72" w:rsidRDefault="00331B86" w:rsidP="009735F2">
            <w:pPr>
              <w:pStyle w:val="Tabletext"/>
              <w:keepNext/>
              <w:keepLines/>
              <w:jc w:val="right"/>
            </w:pPr>
            <w:r w:rsidRPr="00D6502A">
              <w:t>32%</w:t>
            </w:r>
          </w:p>
        </w:tc>
      </w:tr>
      <w:tr w:rsidR="00331B86" w:rsidRPr="00E86C72" w14:paraId="7F680E44" w14:textId="77777777" w:rsidTr="00331B86">
        <w:trPr>
          <w:trHeight w:val="300"/>
        </w:trPr>
        <w:tc>
          <w:tcPr>
            <w:tcW w:w="2614" w:type="pct"/>
            <w:tcBorders>
              <w:top w:val="nil"/>
              <w:bottom w:val="nil"/>
            </w:tcBorders>
            <w:noWrap/>
            <w:hideMark/>
          </w:tcPr>
          <w:p w14:paraId="77B73C75" w14:textId="77777777" w:rsidR="00331B86" w:rsidRPr="00E86C72" w:rsidRDefault="00331B86" w:rsidP="009735F2">
            <w:pPr>
              <w:pStyle w:val="Tabletext"/>
              <w:keepNext/>
              <w:keepLines/>
            </w:pPr>
            <w:r w:rsidRPr="004666A8">
              <w:t>Chapel et al. (1994): serious 0.26, non-serious 1.75</w:t>
            </w:r>
          </w:p>
        </w:tc>
        <w:tc>
          <w:tcPr>
            <w:tcW w:w="616" w:type="pct"/>
            <w:tcBorders>
              <w:top w:val="nil"/>
              <w:bottom w:val="nil"/>
            </w:tcBorders>
            <w:noWrap/>
            <w:hideMark/>
          </w:tcPr>
          <w:p w14:paraId="4B975156" w14:textId="77777777" w:rsidR="00331B86" w:rsidRPr="00E86C72" w:rsidRDefault="00331B86" w:rsidP="009735F2">
            <w:pPr>
              <w:pStyle w:val="Tabletext"/>
              <w:keepNext/>
              <w:keepLines/>
              <w:jc w:val="right"/>
            </w:pPr>
            <w:r w:rsidRPr="00D6502A">
              <w:t>$51,346</w:t>
            </w:r>
          </w:p>
        </w:tc>
        <w:tc>
          <w:tcPr>
            <w:tcW w:w="616" w:type="pct"/>
            <w:tcBorders>
              <w:top w:val="nil"/>
              <w:bottom w:val="nil"/>
            </w:tcBorders>
            <w:noWrap/>
            <w:hideMark/>
          </w:tcPr>
          <w:p w14:paraId="07181B66" w14:textId="77777777" w:rsidR="00331B86" w:rsidRPr="00E86C72" w:rsidRDefault="00331B86" w:rsidP="009735F2">
            <w:pPr>
              <w:pStyle w:val="Tabletext"/>
              <w:keepNext/>
              <w:keepLines/>
              <w:jc w:val="right"/>
            </w:pPr>
            <w:r w:rsidRPr="00D6502A">
              <w:t>0.3653</w:t>
            </w:r>
          </w:p>
        </w:tc>
        <w:tc>
          <w:tcPr>
            <w:tcW w:w="616" w:type="pct"/>
            <w:tcBorders>
              <w:top w:val="nil"/>
              <w:bottom w:val="nil"/>
            </w:tcBorders>
            <w:noWrap/>
            <w:hideMark/>
          </w:tcPr>
          <w:p w14:paraId="42DFD2A6" w14:textId="77777777" w:rsidR="00331B86" w:rsidRPr="00E86C72" w:rsidRDefault="00331B86" w:rsidP="009735F2">
            <w:pPr>
              <w:pStyle w:val="Tabletext"/>
              <w:keepNext/>
              <w:keepLines/>
              <w:jc w:val="right"/>
            </w:pPr>
            <w:r w:rsidRPr="00D6502A">
              <w:t>$140,555</w:t>
            </w:r>
          </w:p>
        </w:tc>
        <w:tc>
          <w:tcPr>
            <w:tcW w:w="539" w:type="pct"/>
            <w:tcBorders>
              <w:top w:val="nil"/>
              <w:bottom w:val="nil"/>
            </w:tcBorders>
            <w:noWrap/>
            <w:hideMark/>
          </w:tcPr>
          <w:p w14:paraId="1FA105CB" w14:textId="77777777" w:rsidR="00331B86" w:rsidRPr="00E86C72" w:rsidRDefault="00331B86" w:rsidP="009735F2">
            <w:pPr>
              <w:pStyle w:val="Tabletext"/>
              <w:keepNext/>
              <w:keepLines/>
              <w:jc w:val="right"/>
            </w:pPr>
            <w:r w:rsidRPr="00D6502A">
              <w:t>41%</w:t>
            </w:r>
          </w:p>
        </w:tc>
      </w:tr>
      <w:tr w:rsidR="00331B86" w:rsidRPr="00E86C72" w14:paraId="1BE6A31F" w14:textId="77777777" w:rsidTr="00331B86">
        <w:trPr>
          <w:trHeight w:val="300"/>
        </w:trPr>
        <w:tc>
          <w:tcPr>
            <w:tcW w:w="2614" w:type="pct"/>
            <w:tcBorders>
              <w:top w:val="nil"/>
              <w:bottom w:val="nil"/>
            </w:tcBorders>
            <w:noWrap/>
            <w:hideMark/>
          </w:tcPr>
          <w:p w14:paraId="55F83885" w14:textId="77777777" w:rsidR="00331B86" w:rsidRPr="00E86C72" w:rsidRDefault="00331B86" w:rsidP="009735F2">
            <w:pPr>
              <w:pStyle w:val="Tabletext"/>
              <w:keepNext/>
              <w:keepLines/>
            </w:pPr>
            <w:r w:rsidRPr="004666A8">
              <w:t>Sullivan et al. (1990): serious 1.79, non-serious 3.79</w:t>
            </w:r>
          </w:p>
        </w:tc>
        <w:tc>
          <w:tcPr>
            <w:tcW w:w="616" w:type="pct"/>
            <w:tcBorders>
              <w:top w:val="nil"/>
              <w:bottom w:val="nil"/>
            </w:tcBorders>
            <w:noWrap/>
            <w:hideMark/>
          </w:tcPr>
          <w:p w14:paraId="2E9D1CDC" w14:textId="77777777" w:rsidR="00331B86" w:rsidRPr="00E86C72" w:rsidRDefault="00331B86" w:rsidP="009735F2">
            <w:pPr>
              <w:pStyle w:val="Tabletext"/>
              <w:keepNext/>
              <w:keepLines/>
              <w:jc w:val="right"/>
            </w:pPr>
            <w:r w:rsidRPr="00D6502A">
              <w:t>$48,062</w:t>
            </w:r>
          </w:p>
        </w:tc>
        <w:tc>
          <w:tcPr>
            <w:tcW w:w="616" w:type="pct"/>
            <w:tcBorders>
              <w:top w:val="nil"/>
              <w:bottom w:val="nil"/>
            </w:tcBorders>
            <w:noWrap/>
            <w:hideMark/>
          </w:tcPr>
          <w:p w14:paraId="5C68F5E4" w14:textId="77777777" w:rsidR="00331B86" w:rsidRPr="00E86C72" w:rsidRDefault="00331B86" w:rsidP="009735F2">
            <w:pPr>
              <w:pStyle w:val="Tabletext"/>
              <w:keepNext/>
              <w:keepLines/>
              <w:jc w:val="right"/>
            </w:pPr>
            <w:r w:rsidRPr="00D6502A">
              <w:t>0.7121</w:t>
            </w:r>
          </w:p>
        </w:tc>
        <w:tc>
          <w:tcPr>
            <w:tcW w:w="616" w:type="pct"/>
            <w:tcBorders>
              <w:top w:val="nil"/>
              <w:bottom w:val="nil"/>
            </w:tcBorders>
            <w:noWrap/>
            <w:hideMark/>
          </w:tcPr>
          <w:p w14:paraId="41AE2117" w14:textId="77777777" w:rsidR="00331B86" w:rsidRPr="00E86C72" w:rsidRDefault="00331B86" w:rsidP="009735F2">
            <w:pPr>
              <w:pStyle w:val="Tabletext"/>
              <w:keepNext/>
              <w:keepLines/>
              <w:jc w:val="right"/>
            </w:pPr>
            <w:r w:rsidRPr="00D6502A">
              <w:t>$67,493</w:t>
            </w:r>
          </w:p>
        </w:tc>
        <w:tc>
          <w:tcPr>
            <w:tcW w:w="539" w:type="pct"/>
            <w:tcBorders>
              <w:top w:val="nil"/>
              <w:bottom w:val="nil"/>
            </w:tcBorders>
            <w:noWrap/>
            <w:hideMark/>
          </w:tcPr>
          <w:p w14:paraId="50385376" w14:textId="77777777" w:rsidR="00331B86" w:rsidRPr="00E86C72" w:rsidRDefault="00331B86" w:rsidP="009735F2">
            <w:pPr>
              <w:pStyle w:val="Tabletext"/>
              <w:keepNext/>
              <w:keepLines/>
              <w:jc w:val="right"/>
            </w:pPr>
            <w:r w:rsidRPr="00D6502A">
              <w:t>–32%</w:t>
            </w:r>
          </w:p>
        </w:tc>
      </w:tr>
      <w:tr w:rsidR="00331B86" w:rsidRPr="00E86C72" w14:paraId="16D4772E" w14:textId="77777777" w:rsidTr="00331B86">
        <w:trPr>
          <w:trHeight w:val="300"/>
        </w:trPr>
        <w:tc>
          <w:tcPr>
            <w:tcW w:w="2614" w:type="pct"/>
            <w:tcBorders>
              <w:bottom w:val="single" w:sz="4" w:space="0" w:color="auto"/>
              <w:right w:val="nil"/>
            </w:tcBorders>
            <w:noWrap/>
            <w:hideMark/>
          </w:tcPr>
          <w:p w14:paraId="7A0C9A26" w14:textId="77777777" w:rsidR="00331B86" w:rsidRPr="00E86C72" w:rsidRDefault="00331B86" w:rsidP="009735F2">
            <w:pPr>
              <w:pStyle w:val="Tabletext"/>
              <w:keepNext/>
              <w:keepLines/>
            </w:pPr>
            <w:r>
              <w:t>I</w:t>
            </w:r>
            <w:r w:rsidRPr="00CC785D">
              <w:t>RR of Ig treatment effect (base case: serious, 0.15; non-serious 0.61)</w:t>
            </w:r>
          </w:p>
        </w:tc>
        <w:tc>
          <w:tcPr>
            <w:tcW w:w="616" w:type="pct"/>
            <w:tcBorders>
              <w:left w:val="nil"/>
              <w:bottom w:val="single" w:sz="4" w:space="0" w:color="auto"/>
              <w:right w:val="nil"/>
            </w:tcBorders>
            <w:noWrap/>
            <w:hideMark/>
          </w:tcPr>
          <w:p w14:paraId="5082A55B"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3F0E7025"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27F11E59" w14:textId="77777777" w:rsidR="00331B86" w:rsidRPr="00E86C72" w:rsidRDefault="00331B86" w:rsidP="009735F2">
            <w:pPr>
              <w:pStyle w:val="Tabletext"/>
              <w:keepNext/>
              <w:keepLines/>
              <w:jc w:val="right"/>
            </w:pPr>
          </w:p>
        </w:tc>
        <w:tc>
          <w:tcPr>
            <w:tcW w:w="539" w:type="pct"/>
            <w:tcBorders>
              <w:left w:val="nil"/>
              <w:bottom w:val="single" w:sz="4" w:space="0" w:color="auto"/>
            </w:tcBorders>
            <w:noWrap/>
            <w:hideMark/>
          </w:tcPr>
          <w:p w14:paraId="68260D2D" w14:textId="77777777" w:rsidR="00331B86" w:rsidRPr="00E86C72" w:rsidRDefault="00331B86" w:rsidP="009735F2">
            <w:pPr>
              <w:pStyle w:val="Tabletext"/>
              <w:keepNext/>
              <w:keepLines/>
              <w:jc w:val="right"/>
            </w:pPr>
          </w:p>
        </w:tc>
      </w:tr>
      <w:tr w:rsidR="00331B86" w:rsidRPr="00E86C72" w14:paraId="188E843F" w14:textId="77777777" w:rsidTr="00331B86">
        <w:trPr>
          <w:trHeight w:val="300"/>
        </w:trPr>
        <w:tc>
          <w:tcPr>
            <w:tcW w:w="2614" w:type="pct"/>
            <w:tcBorders>
              <w:top w:val="nil"/>
              <w:bottom w:val="nil"/>
            </w:tcBorders>
            <w:noWrap/>
            <w:hideMark/>
          </w:tcPr>
          <w:p w14:paraId="6FECCE8A" w14:textId="77777777" w:rsidR="00331B86" w:rsidRPr="00E86C72" w:rsidRDefault="00331B86" w:rsidP="009735F2">
            <w:pPr>
              <w:pStyle w:val="Tabletext"/>
              <w:keepNext/>
              <w:keepLines/>
            </w:pPr>
            <w:r w:rsidRPr="00CC785D">
              <w:t>Serious infections, 0.43</w:t>
            </w:r>
          </w:p>
        </w:tc>
        <w:tc>
          <w:tcPr>
            <w:tcW w:w="616" w:type="pct"/>
            <w:tcBorders>
              <w:top w:val="nil"/>
              <w:bottom w:val="nil"/>
            </w:tcBorders>
            <w:noWrap/>
            <w:hideMark/>
          </w:tcPr>
          <w:p w14:paraId="6ABC7220" w14:textId="77777777" w:rsidR="00331B86" w:rsidRPr="00E86C72" w:rsidRDefault="00331B86" w:rsidP="009735F2">
            <w:pPr>
              <w:pStyle w:val="Tabletext"/>
              <w:keepNext/>
              <w:keepLines/>
              <w:jc w:val="right"/>
            </w:pPr>
            <w:r w:rsidRPr="00D6502A">
              <w:t>$52,526</w:t>
            </w:r>
          </w:p>
        </w:tc>
        <w:tc>
          <w:tcPr>
            <w:tcW w:w="616" w:type="pct"/>
            <w:tcBorders>
              <w:top w:val="nil"/>
              <w:bottom w:val="nil"/>
            </w:tcBorders>
            <w:noWrap/>
            <w:hideMark/>
          </w:tcPr>
          <w:p w14:paraId="5A732857" w14:textId="77777777" w:rsidR="00331B86" w:rsidRPr="00E86C72" w:rsidRDefault="00331B86" w:rsidP="009735F2">
            <w:pPr>
              <w:pStyle w:val="Tabletext"/>
              <w:keepNext/>
              <w:keepLines/>
              <w:jc w:val="right"/>
            </w:pPr>
            <w:r w:rsidRPr="00D6502A">
              <w:t>0.3139</w:t>
            </w:r>
          </w:p>
        </w:tc>
        <w:tc>
          <w:tcPr>
            <w:tcW w:w="616" w:type="pct"/>
            <w:tcBorders>
              <w:top w:val="nil"/>
              <w:bottom w:val="nil"/>
            </w:tcBorders>
            <w:noWrap/>
            <w:hideMark/>
          </w:tcPr>
          <w:p w14:paraId="0EDF6EF8" w14:textId="77777777" w:rsidR="00331B86" w:rsidRPr="00E86C72" w:rsidRDefault="00331B86" w:rsidP="009735F2">
            <w:pPr>
              <w:pStyle w:val="Tabletext"/>
              <w:keepNext/>
              <w:keepLines/>
              <w:jc w:val="right"/>
            </w:pPr>
            <w:r w:rsidRPr="00D6502A">
              <w:t>$167,315</w:t>
            </w:r>
          </w:p>
        </w:tc>
        <w:tc>
          <w:tcPr>
            <w:tcW w:w="539" w:type="pct"/>
            <w:tcBorders>
              <w:top w:val="nil"/>
              <w:bottom w:val="nil"/>
            </w:tcBorders>
            <w:noWrap/>
            <w:hideMark/>
          </w:tcPr>
          <w:p w14:paraId="2CB0E002" w14:textId="77777777" w:rsidR="00331B86" w:rsidRPr="00E86C72" w:rsidRDefault="00331B86" w:rsidP="009735F2">
            <w:pPr>
              <w:pStyle w:val="Tabletext"/>
              <w:keepNext/>
              <w:keepLines/>
              <w:jc w:val="right"/>
            </w:pPr>
            <w:r w:rsidRPr="00D6502A">
              <w:t>68%</w:t>
            </w:r>
          </w:p>
        </w:tc>
      </w:tr>
      <w:tr w:rsidR="00331B86" w:rsidRPr="00E86C72" w14:paraId="6CE5B79D" w14:textId="77777777" w:rsidTr="00331B86">
        <w:trPr>
          <w:trHeight w:val="300"/>
        </w:trPr>
        <w:tc>
          <w:tcPr>
            <w:tcW w:w="2614" w:type="pct"/>
            <w:tcBorders>
              <w:top w:val="nil"/>
              <w:bottom w:val="nil"/>
            </w:tcBorders>
            <w:noWrap/>
            <w:hideMark/>
          </w:tcPr>
          <w:p w14:paraId="2E741E5C" w14:textId="77777777" w:rsidR="00331B86" w:rsidRPr="00E86C72" w:rsidRDefault="00331B86" w:rsidP="009735F2">
            <w:pPr>
              <w:pStyle w:val="Tabletext"/>
              <w:keepNext/>
              <w:keepLines/>
            </w:pPr>
            <w:r w:rsidRPr="00CC785D">
              <w:t>Non-serious infections, 0.72</w:t>
            </w:r>
          </w:p>
        </w:tc>
        <w:tc>
          <w:tcPr>
            <w:tcW w:w="616" w:type="pct"/>
            <w:tcBorders>
              <w:top w:val="nil"/>
              <w:bottom w:val="nil"/>
            </w:tcBorders>
            <w:noWrap/>
            <w:hideMark/>
          </w:tcPr>
          <w:p w14:paraId="37BD6F1D" w14:textId="77777777" w:rsidR="00331B86" w:rsidRPr="00E86C72" w:rsidRDefault="00331B86" w:rsidP="009735F2">
            <w:pPr>
              <w:pStyle w:val="Tabletext"/>
              <w:keepNext/>
              <w:keepLines/>
              <w:jc w:val="right"/>
            </w:pPr>
            <w:r w:rsidRPr="00D6502A">
              <w:t>$46,236</w:t>
            </w:r>
          </w:p>
        </w:tc>
        <w:tc>
          <w:tcPr>
            <w:tcW w:w="616" w:type="pct"/>
            <w:tcBorders>
              <w:top w:val="nil"/>
              <w:bottom w:val="nil"/>
            </w:tcBorders>
            <w:noWrap/>
            <w:hideMark/>
          </w:tcPr>
          <w:p w14:paraId="795C6E25" w14:textId="77777777" w:rsidR="00331B86" w:rsidRPr="00E86C72" w:rsidRDefault="00331B86" w:rsidP="009735F2">
            <w:pPr>
              <w:pStyle w:val="Tabletext"/>
              <w:keepNext/>
              <w:keepLines/>
              <w:jc w:val="right"/>
            </w:pPr>
            <w:r w:rsidRPr="00D6502A">
              <w:t>0.3523</w:t>
            </w:r>
          </w:p>
        </w:tc>
        <w:tc>
          <w:tcPr>
            <w:tcW w:w="616" w:type="pct"/>
            <w:tcBorders>
              <w:top w:val="nil"/>
              <w:bottom w:val="nil"/>
            </w:tcBorders>
            <w:noWrap/>
            <w:hideMark/>
          </w:tcPr>
          <w:p w14:paraId="69FA6DA3" w14:textId="77777777" w:rsidR="00331B86" w:rsidRPr="00E86C72" w:rsidRDefault="00331B86" w:rsidP="009735F2">
            <w:pPr>
              <w:pStyle w:val="Tabletext"/>
              <w:keepNext/>
              <w:keepLines/>
              <w:jc w:val="right"/>
            </w:pPr>
            <w:r w:rsidRPr="00D6502A">
              <w:t>$131,233</w:t>
            </w:r>
          </w:p>
        </w:tc>
        <w:tc>
          <w:tcPr>
            <w:tcW w:w="539" w:type="pct"/>
            <w:tcBorders>
              <w:top w:val="nil"/>
              <w:bottom w:val="nil"/>
            </w:tcBorders>
            <w:noWrap/>
            <w:hideMark/>
          </w:tcPr>
          <w:p w14:paraId="474CEB25" w14:textId="77777777" w:rsidR="00331B86" w:rsidRPr="00E86C72" w:rsidRDefault="00331B86" w:rsidP="009735F2">
            <w:pPr>
              <w:pStyle w:val="Tabletext"/>
              <w:keepNext/>
              <w:keepLines/>
              <w:jc w:val="right"/>
            </w:pPr>
            <w:r w:rsidRPr="00D6502A">
              <w:t>31%</w:t>
            </w:r>
          </w:p>
        </w:tc>
      </w:tr>
      <w:tr w:rsidR="00331B86" w:rsidRPr="00E86C72" w14:paraId="1D16907E" w14:textId="77777777" w:rsidTr="00331B86">
        <w:trPr>
          <w:trHeight w:val="300"/>
        </w:trPr>
        <w:tc>
          <w:tcPr>
            <w:tcW w:w="2614" w:type="pct"/>
            <w:tcBorders>
              <w:bottom w:val="single" w:sz="4" w:space="0" w:color="auto"/>
              <w:right w:val="nil"/>
            </w:tcBorders>
            <w:noWrap/>
            <w:hideMark/>
          </w:tcPr>
          <w:p w14:paraId="43C205AF" w14:textId="77777777" w:rsidR="00331B86" w:rsidRPr="00E86C72" w:rsidRDefault="00331B86" w:rsidP="009735F2">
            <w:pPr>
              <w:pStyle w:val="Tabletext"/>
              <w:keepNext/>
              <w:keepLines/>
            </w:pPr>
            <w:r w:rsidRPr="00E86C72">
              <w:t>Duration of Ig treatment (base case: 2.2 years)</w:t>
            </w:r>
          </w:p>
        </w:tc>
        <w:tc>
          <w:tcPr>
            <w:tcW w:w="616" w:type="pct"/>
            <w:tcBorders>
              <w:left w:val="nil"/>
              <w:bottom w:val="single" w:sz="4" w:space="0" w:color="auto"/>
              <w:right w:val="nil"/>
            </w:tcBorders>
            <w:noWrap/>
            <w:hideMark/>
          </w:tcPr>
          <w:p w14:paraId="0560E9F6"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71FC3E9B"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74FAC202" w14:textId="77777777" w:rsidR="00331B86" w:rsidRPr="00E86C72" w:rsidRDefault="00331B86" w:rsidP="009735F2">
            <w:pPr>
              <w:pStyle w:val="Tabletext"/>
              <w:keepNext/>
              <w:keepLines/>
              <w:jc w:val="right"/>
            </w:pPr>
          </w:p>
        </w:tc>
        <w:tc>
          <w:tcPr>
            <w:tcW w:w="539" w:type="pct"/>
            <w:tcBorders>
              <w:left w:val="nil"/>
              <w:bottom w:val="single" w:sz="4" w:space="0" w:color="auto"/>
            </w:tcBorders>
            <w:noWrap/>
            <w:hideMark/>
          </w:tcPr>
          <w:p w14:paraId="52F1B0C0" w14:textId="77777777" w:rsidR="00331B86" w:rsidRPr="00E86C72" w:rsidRDefault="00331B86" w:rsidP="009735F2">
            <w:pPr>
              <w:pStyle w:val="Tabletext"/>
              <w:keepNext/>
              <w:keepLines/>
              <w:jc w:val="right"/>
            </w:pPr>
          </w:p>
        </w:tc>
      </w:tr>
      <w:tr w:rsidR="00331B86" w:rsidRPr="00E86C72" w14:paraId="0A1DBFD9" w14:textId="77777777" w:rsidTr="00331B86">
        <w:trPr>
          <w:trHeight w:val="300"/>
        </w:trPr>
        <w:tc>
          <w:tcPr>
            <w:tcW w:w="2614" w:type="pct"/>
            <w:tcBorders>
              <w:top w:val="nil"/>
              <w:bottom w:val="nil"/>
            </w:tcBorders>
            <w:noWrap/>
            <w:hideMark/>
          </w:tcPr>
          <w:p w14:paraId="05B1E3FB" w14:textId="77777777" w:rsidR="00331B86" w:rsidRPr="00E86C72" w:rsidRDefault="00331B86" w:rsidP="009735F2">
            <w:pPr>
              <w:pStyle w:val="Tabletext"/>
              <w:keepNext/>
              <w:keepLines/>
            </w:pPr>
            <w:r w:rsidRPr="00E86C72">
              <w:t>5 years</w:t>
            </w:r>
          </w:p>
        </w:tc>
        <w:tc>
          <w:tcPr>
            <w:tcW w:w="616" w:type="pct"/>
            <w:tcBorders>
              <w:top w:val="nil"/>
              <w:bottom w:val="nil"/>
            </w:tcBorders>
            <w:noWrap/>
            <w:hideMark/>
          </w:tcPr>
          <w:p w14:paraId="1483BC20" w14:textId="77777777" w:rsidR="00331B86" w:rsidRPr="00E86C72" w:rsidRDefault="00331B86" w:rsidP="009735F2">
            <w:pPr>
              <w:pStyle w:val="Tabletext"/>
              <w:keepNext/>
              <w:keepLines/>
              <w:jc w:val="right"/>
            </w:pPr>
            <w:r w:rsidRPr="00D6502A">
              <w:t>$84,261</w:t>
            </w:r>
          </w:p>
        </w:tc>
        <w:tc>
          <w:tcPr>
            <w:tcW w:w="616" w:type="pct"/>
            <w:tcBorders>
              <w:top w:val="nil"/>
              <w:bottom w:val="nil"/>
            </w:tcBorders>
            <w:noWrap/>
            <w:hideMark/>
          </w:tcPr>
          <w:p w14:paraId="1CD4C3FC" w14:textId="77777777" w:rsidR="00331B86" w:rsidRPr="00E86C72" w:rsidRDefault="00331B86" w:rsidP="009735F2">
            <w:pPr>
              <w:pStyle w:val="Tabletext"/>
              <w:keepNext/>
              <w:keepLines/>
              <w:jc w:val="right"/>
            </w:pPr>
            <w:r w:rsidRPr="00D6502A">
              <w:t>0.5430</w:t>
            </w:r>
          </w:p>
        </w:tc>
        <w:tc>
          <w:tcPr>
            <w:tcW w:w="616" w:type="pct"/>
            <w:tcBorders>
              <w:top w:val="nil"/>
              <w:bottom w:val="nil"/>
            </w:tcBorders>
            <w:noWrap/>
            <w:hideMark/>
          </w:tcPr>
          <w:p w14:paraId="296F6268" w14:textId="77777777" w:rsidR="00331B86" w:rsidRPr="00E86C72" w:rsidRDefault="00331B86" w:rsidP="009735F2">
            <w:pPr>
              <w:pStyle w:val="Tabletext"/>
              <w:keepNext/>
              <w:keepLines/>
              <w:jc w:val="right"/>
            </w:pPr>
            <w:r w:rsidRPr="00D6502A">
              <w:t>$155,168</w:t>
            </w:r>
          </w:p>
        </w:tc>
        <w:tc>
          <w:tcPr>
            <w:tcW w:w="539" w:type="pct"/>
            <w:tcBorders>
              <w:top w:val="nil"/>
              <w:bottom w:val="nil"/>
            </w:tcBorders>
            <w:noWrap/>
            <w:hideMark/>
          </w:tcPr>
          <w:p w14:paraId="311EEAAD" w14:textId="77777777" w:rsidR="00331B86" w:rsidRPr="00E86C72" w:rsidRDefault="00331B86" w:rsidP="009735F2">
            <w:pPr>
              <w:pStyle w:val="Tabletext"/>
              <w:keepNext/>
              <w:keepLines/>
              <w:jc w:val="right"/>
            </w:pPr>
            <w:r w:rsidRPr="00D6502A">
              <w:t>55%</w:t>
            </w:r>
          </w:p>
        </w:tc>
      </w:tr>
      <w:tr w:rsidR="00331B86" w:rsidRPr="00E86C72" w14:paraId="23ACEF14" w14:textId="77777777" w:rsidTr="00331B86">
        <w:trPr>
          <w:trHeight w:val="300"/>
        </w:trPr>
        <w:tc>
          <w:tcPr>
            <w:tcW w:w="2614" w:type="pct"/>
            <w:tcBorders>
              <w:top w:val="nil"/>
            </w:tcBorders>
            <w:noWrap/>
            <w:hideMark/>
          </w:tcPr>
          <w:p w14:paraId="3255A8DF" w14:textId="77777777" w:rsidR="00331B86" w:rsidRPr="00E86C72" w:rsidRDefault="00331B86" w:rsidP="009735F2">
            <w:pPr>
              <w:pStyle w:val="Tabletext"/>
              <w:keepNext/>
              <w:keepLines/>
            </w:pPr>
            <w:r w:rsidRPr="00E86C72">
              <w:t>10 years</w:t>
            </w:r>
          </w:p>
        </w:tc>
        <w:tc>
          <w:tcPr>
            <w:tcW w:w="616" w:type="pct"/>
            <w:tcBorders>
              <w:top w:val="nil"/>
            </w:tcBorders>
            <w:noWrap/>
            <w:hideMark/>
          </w:tcPr>
          <w:p w14:paraId="1B3C3FF7" w14:textId="77777777" w:rsidR="00331B86" w:rsidRPr="00E86C72" w:rsidRDefault="00331B86" w:rsidP="009735F2">
            <w:pPr>
              <w:pStyle w:val="Tabletext"/>
              <w:keepNext/>
              <w:keepLines/>
              <w:jc w:val="right"/>
            </w:pPr>
            <w:r w:rsidRPr="00D6502A">
              <w:t>$125,097</w:t>
            </w:r>
          </w:p>
        </w:tc>
        <w:tc>
          <w:tcPr>
            <w:tcW w:w="616" w:type="pct"/>
            <w:tcBorders>
              <w:top w:val="nil"/>
            </w:tcBorders>
            <w:noWrap/>
            <w:hideMark/>
          </w:tcPr>
          <w:p w14:paraId="716EAF1C" w14:textId="77777777" w:rsidR="00331B86" w:rsidRPr="00E86C72" w:rsidRDefault="00331B86" w:rsidP="009735F2">
            <w:pPr>
              <w:pStyle w:val="Tabletext"/>
              <w:keepNext/>
              <w:keepLines/>
              <w:jc w:val="right"/>
            </w:pPr>
            <w:r w:rsidRPr="00D6502A">
              <w:t>0.5457</w:t>
            </w:r>
          </w:p>
        </w:tc>
        <w:tc>
          <w:tcPr>
            <w:tcW w:w="616" w:type="pct"/>
            <w:tcBorders>
              <w:top w:val="nil"/>
            </w:tcBorders>
            <w:noWrap/>
            <w:hideMark/>
          </w:tcPr>
          <w:p w14:paraId="3E40B0D8" w14:textId="77777777" w:rsidR="00331B86" w:rsidRPr="00E86C72" w:rsidRDefault="00331B86" w:rsidP="009735F2">
            <w:pPr>
              <w:pStyle w:val="Tabletext"/>
              <w:keepNext/>
              <w:keepLines/>
              <w:jc w:val="right"/>
            </w:pPr>
            <w:r w:rsidRPr="00D6502A">
              <w:t>$229,233</w:t>
            </w:r>
          </w:p>
        </w:tc>
        <w:tc>
          <w:tcPr>
            <w:tcW w:w="539" w:type="pct"/>
            <w:tcBorders>
              <w:top w:val="nil"/>
            </w:tcBorders>
            <w:noWrap/>
            <w:hideMark/>
          </w:tcPr>
          <w:p w14:paraId="52CD290E" w14:textId="77777777" w:rsidR="00331B86" w:rsidRPr="00E86C72" w:rsidRDefault="00331B86" w:rsidP="009735F2">
            <w:pPr>
              <w:pStyle w:val="Tabletext"/>
              <w:keepNext/>
              <w:keepLines/>
              <w:jc w:val="right"/>
            </w:pPr>
            <w:r w:rsidRPr="00D6502A">
              <w:t>130%</w:t>
            </w:r>
          </w:p>
        </w:tc>
      </w:tr>
      <w:tr w:rsidR="00331B86" w:rsidRPr="00E86C72" w14:paraId="31519E32" w14:textId="77777777" w:rsidTr="00331B86">
        <w:trPr>
          <w:trHeight w:val="300"/>
        </w:trPr>
        <w:tc>
          <w:tcPr>
            <w:tcW w:w="2614" w:type="pct"/>
            <w:tcBorders>
              <w:bottom w:val="single" w:sz="4" w:space="0" w:color="auto"/>
            </w:tcBorders>
            <w:noWrap/>
            <w:hideMark/>
          </w:tcPr>
          <w:p w14:paraId="3C5CA8CF" w14:textId="77777777" w:rsidR="00331B86" w:rsidRPr="00E86C72" w:rsidRDefault="00331B86" w:rsidP="009735F2">
            <w:pPr>
              <w:pStyle w:val="Tabletext"/>
              <w:keepNext/>
              <w:keepLines/>
            </w:pPr>
            <w:r w:rsidRPr="00E86C72">
              <w:t>Exclude development of bronchiectasis</w:t>
            </w:r>
          </w:p>
        </w:tc>
        <w:tc>
          <w:tcPr>
            <w:tcW w:w="616" w:type="pct"/>
            <w:tcBorders>
              <w:bottom w:val="single" w:sz="4" w:space="0" w:color="auto"/>
            </w:tcBorders>
            <w:noWrap/>
            <w:hideMark/>
          </w:tcPr>
          <w:p w14:paraId="49C4DF2C" w14:textId="77777777" w:rsidR="00331B86" w:rsidRPr="00E86C72" w:rsidRDefault="00331B86" w:rsidP="009735F2">
            <w:pPr>
              <w:pStyle w:val="Tabletext"/>
              <w:keepNext/>
              <w:keepLines/>
              <w:jc w:val="right"/>
            </w:pPr>
            <w:r w:rsidRPr="00D6502A">
              <w:t>$41,213</w:t>
            </w:r>
          </w:p>
        </w:tc>
        <w:tc>
          <w:tcPr>
            <w:tcW w:w="616" w:type="pct"/>
            <w:tcBorders>
              <w:bottom w:val="single" w:sz="4" w:space="0" w:color="auto"/>
            </w:tcBorders>
            <w:noWrap/>
            <w:hideMark/>
          </w:tcPr>
          <w:p w14:paraId="20B269E3" w14:textId="77777777" w:rsidR="00331B86" w:rsidRPr="00E86C72" w:rsidRDefault="00331B86" w:rsidP="009735F2">
            <w:pPr>
              <w:pStyle w:val="Tabletext"/>
              <w:keepNext/>
              <w:keepLines/>
              <w:jc w:val="right"/>
            </w:pPr>
            <w:r w:rsidRPr="00D6502A">
              <w:t>0.0141</w:t>
            </w:r>
          </w:p>
        </w:tc>
        <w:tc>
          <w:tcPr>
            <w:tcW w:w="616" w:type="pct"/>
            <w:tcBorders>
              <w:bottom w:val="single" w:sz="4" w:space="0" w:color="auto"/>
            </w:tcBorders>
            <w:noWrap/>
            <w:hideMark/>
          </w:tcPr>
          <w:p w14:paraId="7794E734" w14:textId="77777777" w:rsidR="00331B86" w:rsidRPr="00E86C72" w:rsidRDefault="00331B86" w:rsidP="009735F2">
            <w:pPr>
              <w:pStyle w:val="Tabletext"/>
              <w:keepNext/>
              <w:keepLines/>
              <w:jc w:val="right"/>
            </w:pPr>
            <w:r w:rsidRPr="00D6502A">
              <w:t>$2,927,525</w:t>
            </w:r>
          </w:p>
        </w:tc>
        <w:tc>
          <w:tcPr>
            <w:tcW w:w="539" w:type="pct"/>
            <w:tcBorders>
              <w:bottom w:val="single" w:sz="4" w:space="0" w:color="auto"/>
            </w:tcBorders>
            <w:noWrap/>
            <w:hideMark/>
          </w:tcPr>
          <w:p w14:paraId="2676A982" w14:textId="77777777" w:rsidR="00331B86" w:rsidRPr="00E86C72" w:rsidRDefault="00331B86" w:rsidP="009735F2">
            <w:pPr>
              <w:pStyle w:val="Tabletext"/>
              <w:keepNext/>
              <w:keepLines/>
              <w:jc w:val="right"/>
            </w:pPr>
            <w:r w:rsidRPr="00D6502A">
              <w:t>2833%</w:t>
            </w:r>
          </w:p>
        </w:tc>
      </w:tr>
      <w:tr w:rsidR="00331B86" w:rsidRPr="00E86C72" w14:paraId="40A9E171" w14:textId="77777777" w:rsidTr="00331B86">
        <w:trPr>
          <w:trHeight w:val="300"/>
        </w:trPr>
        <w:tc>
          <w:tcPr>
            <w:tcW w:w="2614" w:type="pct"/>
            <w:tcBorders>
              <w:bottom w:val="single" w:sz="4" w:space="0" w:color="auto"/>
              <w:right w:val="nil"/>
            </w:tcBorders>
            <w:noWrap/>
            <w:hideMark/>
          </w:tcPr>
          <w:p w14:paraId="232E9FF5" w14:textId="77777777" w:rsidR="00331B86" w:rsidRPr="00E86C72" w:rsidRDefault="00331B86" w:rsidP="009735F2">
            <w:pPr>
              <w:pStyle w:val="Tabletext"/>
              <w:keepNext/>
              <w:keepLines/>
            </w:pPr>
            <w:r w:rsidRPr="00E86C72">
              <w:t>Time horizon (base case: 10 years)</w:t>
            </w:r>
          </w:p>
        </w:tc>
        <w:tc>
          <w:tcPr>
            <w:tcW w:w="616" w:type="pct"/>
            <w:tcBorders>
              <w:left w:val="nil"/>
              <w:bottom w:val="single" w:sz="4" w:space="0" w:color="auto"/>
              <w:right w:val="nil"/>
            </w:tcBorders>
            <w:noWrap/>
            <w:hideMark/>
          </w:tcPr>
          <w:p w14:paraId="4EBB51E5"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03419A82"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06D11850" w14:textId="77777777" w:rsidR="00331B86" w:rsidRPr="00E86C72" w:rsidRDefault="00331B86" w:rsidP="009735F2">
            <w:pPr>
              <w:pStyle w:val="Tabletext"/>
              <w:keepNext/>
              <w:keepLines/>
              <w:jc w:val="right"/>
            </w:pPr>
          </w:p>
        </w:tc>
        <w:tc>
          <w:tcPr>
            <w:tcW w:w="539" w:type="pct"/>
            <w:tcBorders>
              <w:left w:val="nil"/>
              <w:bottom w:val="single" w:sz="4" w:space="0" w:color="auto"/>
            </w:tcBorders>
            <w:noWrap/>
            <w:hideMark/>
          </w:tcPr>
          <w:p w14:paraId="1E9E798D" w14:textId="77777777" w:rsidR="00331B86" w:rsidRPr="00E86C72" w:rsidRDefault="00331B86" w:rsidP="009735F2">
            <w:pPr>
              <w:pStyle w:val="Tabletext"/>
              <w:keepNext/>
              <w:keepLines/>
              <w:jc w:val="right"/>
            </w:pPr>
          </w:p>
        </w:tc>
      </w:tr>
      <w:tr w:rsidR="00331B86" w:rsidRPr="00E86C72" w14:paraId="0B9A4A3E" w14:textId="77777777" w:rsidTr="00331B86">
        <w:trPr>
          <w:trHeight w:val="315"/>
        </w:trPr>
        <w:tc>
          <w:tcPr>
            <w:tcW w:w="2614" w:type="pct"/>
            <w:tcBorders>
              <w:bottom w:val="nil"/>
            </w:tcBorders>
            <w:noWrap/>
            <w:hideMark/>
          </w:tcPr>
          <w:p w14:paraId="503A84BA" w14:textId="77777777" w:rsidR="00331B86" w:rsidRPr="00E86C72" w:rsidRDefault="00331B86" w:rsidP="009735F2">
            <w:pPr>
              <w:pStyle w:val="Tabletext"/>
              <w:keepNext/>
              <w:keepLines/>
            </w:pPr>
            <w:r w:rsidRPr="00E86C72">
              <w:t>2.2 years (as per Ig treatment duration)</w:t>
            </w:r>
          </w:p>
        </w:tc>
        <w:tc>
          <w:tcPr>
            <w:tcW w:w="616" w:type="pct"/>
            <w:tcBorders>
              <w:bottom w:val="nil"/>
            </w:tcBorders>
            <w:noWrap/>
            <w:hideMark/>
          </w:tcPr>
          <w:p w14:paraId="7002BF77" w14:textId="77777777" w:rsidR="00331B86" w:rsidRPr="00E86C72" w:rsidRDefault="00331B86" w:rsidP="009735F2">
            <w:pPr>
              <w:pStyle w:val="Tabletext"/>
              <w:keepNext/>
              <w:keepLines/>
              <w:jc w:val="right"/>
            </w:pPr>
            <w:r w:rsidRPr="00D6502A">
              <w:t>$38,869</w:t>
            </w:r>
          </w:p>
        </w:tc>
        <w:tc>
          <w:tcPr>
            <w:tcW w:w="616" w:type="pct"/>
            <w:tcBorders>
              <w:bottom w:val="nil"/>
            </w:tcBorders>
            <w:noWrap/>
            <w:hideMark/>
          </w:tcPr>
          <w:p w14:paraId="347827A6" w14:textId="77777777" w:rsidR="00331B86" w:rsidRPr="00E86C72" w:rsidRDefault="00331B86" w:rsidP="009735F2">
            <w:pPr>
              <w:pStyle w:val="Tabletext"/>
              <w:keepNext/>
              <w:keepLines/>
              <w:jc w:val="right"/>
            </w:pPr>
            <w:r w:rsidRPr="00D6502A">
              <w:t>0.0322</w:t>
            </w:r>
          </w:p>
        </w:tc>
        <w:tc>
          <w:tcPr>
            <w:tcW w:w="616" w:type="pct"/>
            <w:tcBorders>
              <w:bottom w:val="nil"/>
            </w:tcBorders>
            <w:noWrap/>
            <w:hideMark/>
          </w:tcPr>
          <w:p w14:paraId="0095E90B" w14:textId="77777777" w:rsidR="00331B86" w:rsidRPr="00E86C72" w:rsidRDefault="00331B86" w:rsidP="009735F2">
            <w:pPr>
              <w:pStyle w:val="Tabletext"/>
              <w:keepNext/>
              <w:keepLines/>
              <w:jc w:val="right"/>
            </w:pPr>
            <w:r w:rsidRPr="00D6502A">
              <w:t>$1,208,343</w:t>
            </w:r>
          </w:p>
        </w:tc>
        <w:tc>
          <w:tcPr>
            <w:tcW w:w="539" w:type="pct"/>
            <w:tcBorders>
              <w:bottom w:val="nil"/>
            </w:tcBorders>
            <w:noWrap/>
            <w:hideMark/>
          </w:tcPr>
          <w:p w14:paraId="121A0764" w14:textId="77777777" w:rsidR="00331B86" w:rsidRPr="00E86C72" w:rsidRDefault="00331B86" w:rsidP="009735F2">
            <w:pPr>
              <w:pStyle w:val="Tabletext"/>
              <w:keepNext/>
              <w:keepLines/>
              <w:jc w:val="right"/>
            </w:pPr>
            <w:r w:rsidRPr="00D6502A">
              <w:t>1111%</w:t>
            </w:r>
          </w:p>
        </w:tc>
      </w:tr>
      <w:tr w:rsidR="00331B86" w:rsidRPr="00E86C72" w14:paraId="085CEC4C" w14:textId="77777777" w:rsidTr="00331B86">
        <w:trPr>
          <w:trHeight w:val="300"/>
        </w:trPr>
        <w:tc>
          <w:tcPr>
            <w:tcW w:w="2614" w:type="pct"/>
            <w:tcBorders>
              <w:top w:val="nil"/>
              <w:bottom w:val="single" w:sz="4" w:space="0" w:color="auto"/>
            </w:tcBorders>
            <w:noWrap/>
            <w:hideMark/>
          </w:tcPr>
          <w:p w14:paraId="391EF35E" w14:textId="77777777" w:rsidR="00331B86" w:rsidRPr="00E86C72" w:rsidRDefault="00331B86" w:rsidP="009735F2">
            <w:pPr>
              <w:pStyle w:val="Tabletext"/>
              <w:keepNext/>
              <w:keepLines/>
            </w:pPr>
            <w:r w:rsidRPr="00E86C72">
              <w:t>5 years</w:t>
            </w:r>
          </w:p>
        </w:tc>
        <w:tc>
          <w:tcPr>
            <w:tcW w:w="616" w:type="pct"/>
            <w:tcBorders>
              <w:top w:val="nil"/>
              <w:bottom w:val="single" w:sz="4" w:space="0" w:color="auto"/>
            </w:tcBorders>
            <w:noWrap/>
            <w:hideMark/>
          </w:tcPr>
          <w:p w14:paraId="736B403D" w14:textId="77777777" w:rsidR="00331B86" w:rsidRPr="00E86C72" w:rsidRDefault="00331B86" w:rsidP="009735F2">
            <w:pPr>
              <w:pStyle w:val="Tabletext"/>
              <w:keepNext/>
              <w:keepLines/>
              <w:jc w:val="right"/>
            </w:pPr>
            <w:r w:rsidRPr="00D6502A">
              <w:t>$39,552</w:t>
            </w:r>
          </w:p>
        </w:tc>
        <w:tc>
          <w:tcPr>
            <w:tcW w:w="616" w:type="pct"/>
            <w:tcBorders>
              <w:top w:val="nil"/>
              <w:bottom w:val="single" w:sz="4" w:space="0" w:color="auto"/>
            </w:tcBorders>
            <w:noWrap/>
            <w:hideMark/>
          </w:tcPr>
          <w:p w14:paraId="748C59A5" w14:textId="77777777" w:rsidR="00331B86" w:rsidRPr="00E86C72" w:rsidRDefault="00331B86" w:rsidP="009735F2">
            <w:pPr>
              <w:pStyle w:val="Tabletext"/>
              <w:keepNext/>
              <w:keepLines/>
              <w:jc w:val="right"/>
            </w:pPr>
            <w:r w:rsidRPr="00D6502A">
              <w:t>0.1509</w:t>
            </w:r>
          </w:p>
        </w:tc>
        <w:tc>
          <w:tcPr>
            <w:tcW w:w="616" w:type="pct"/>
            <w:tcBorders>
              <w:top w:val="nil"/>
              <w:bottom w:val="single" w:sz="4" w:space="0" w:color="auto"/>
            </w:tcBorders>
            <w:noWrap/>
            <w:hideMark/>
          </w:tcPr>
          <w:p w14:paraId="475807F3" w14:textId="77777777" w:rsidR="00331B86" w:rsidRPr="00E86C72" w:rsidRDefault="00331B86" w:rsidP="009735F2">
            <w:pPr>
              <w:pStyle w:val="Tabletext"/>
              <w:keepNext/>
              <w:keepLines/>
              <w:jc w:val="right"/>
            </w:pPr>
            <w:r w:rsidRPr="00D6502A">
              <w:t>$262,086</w:t>
            </w:r>
          </w:p>
        </w:tc>
        <w:tc>
          <w:tcPr>
            <w:tcW w:w="539" w:type="pct"/>
            <w:tcBorders>
              <w:top w:val="nil"/>
              <w:bottom w:val="single" w:sz="4" w:space="0" w:color="auto"/>
            </w:tcBorders>
            <w:noWrap/>
            <w:hideMark/>
          </w:tcPr>
          <w:p w14:paraId="1735DC9B" w14:textId="77777777" w:rsidR="00331B86" w:rsidRPr="00E86C72" w:rsidRDefault="00331B86" w:rsidP="009735F2">
            <w:pPr>
              <w:pStyle w:val="Tabletext"/>
              <w:keepNext/>
              <w:keepLines/>
              <w:jc w:val="right"/>
            </w:pPr>
            <w:r w:rsidRPr="00D6502A">
              <w:t>163%</w:t>
            </w:r>
          </w:p>
        </w:tc>
      </w:tr>
      <w:tr w:rsidR="00331B86" w:rsidRPr="00F70D40" w14:paraId="004A0308" w14:textId="77777777" w:rsidTr="00331B86">
        <w:trPr>
          <w:trHeight w:val="300"/>
        </w:trPr>
        <w:tc>
          <w:tcPr>
            <w:tcW w:w="2614" w:type="pct"/>
            <w:tcBorders>
              <w:top w:val="single" w:sz="4" w:space="0" w:color="auto"/>
              <w:bottom w:val="single" w:sz="4" w:space="0" w:color="auto"/>
              <w:right w:val="nil"/>
            </w:tcBorders>
            <w:noWrap/>
          </w:tcPr>
          <w:p w14:paraId="6FE1C5BF" w14:textId="77777777" w:rsidR="00331B86" w:rsidRPr="00F70D40" w:rsidRDefault="00331B86" w:rsidP="009735F2">
            <w:pPr>
              <w:pStyle w:val="Tabletext"/>
              <w:keepNext/>
              <w:keepLines/>
            </w:pPr>
            <w:r>
              <w:t>Transition probabilities (base case: adjusted)</w:t>
            </w:r>
          </w:p>
        </w:tc>
        <w:tc>
          <w:tcPr>
            <w:tcW w:w="616" w:type="pct"/>
            <w:tcBorders>
              <w:top w:val="single" w:sz="4" w:space="0" w:color="auto"/>
              <w:left w:val="nil"/>
              <w:bottom w:val="single" w:sz="4" w:space="0" w:color="auto"/>
              <w:right w:val="nil"/>
            </w:tcBorders>
            <w:noWrap/>
          </w:tcPr>
          <w:p w14:paraId="436C1BAF" w14:textId="77777777" w:rsidR="00331B86" w:rsidRPr="00F70D40" w:rsidRDefault="00331B86" w:rsidP="009735F2">
            <w:pPr>
              <w:pStyle w:val="Tabletext"/>
              <w:keepNext/>
              <w:keepLines/>
              <w:jc w:val="right"/>
            </w:pPr>
          </w:p>
        </w:tc>
        <w:tc>
          <w:tcPr>
            <w:tcW w:w="616" w:type="pct"/>
            <w:tcBorders>
              <w:top w:val="single" w:sz="4" w:space="0" w:color="auto"/>
              <w:left w:val="nil"/>
              <w:bottom w:val="single" w:sz="4" w:space="0" w:color="auto"/>
              <w:right w:val="nil"/>
            </w:tcBorders>
            <w:noWrap/>
          </w:tcPr>
          <w:p w14:paraId="256EE69C" w14:textId="77777777" w:rsidR="00331B86" w:rsidRPr="00F70D40" w:rsidRDefault="00331B86" w:rsidP="009735F2">
            <w:pPr>
              <w:pStyle w:val="Tabletext"/>
              <w:keepNext/>
              <w:keepLines/>
              <w:jc w:val="right"/>
            </w:pPr>
          </w:p>
        </w:tc>
        <w:tc>
          <w:tcPr>
            <w:tcW w:w="616" w:type="pct"/>
            <w:tcBorders>
              <w:top w:val="single" w:sz="4" w:space="0" w:color="auto"/>
              <w:left w:val="nil"/>
              <w:bottom w:val="single" w:sz="4" w:space="0" w:color="auto"/>
              <w:right w:val="nil"/>
            </w:tcBorders>
            <w:noWrap/>
          </w:tcPr>
          <w:p w14:paraId="2A91C6F0" w14:textId="77777777" w:rsidR="00331B86" w:rsidRPr="00F70D40" w:rsidRDefault="00331B86" w:rsidP="009735F2">
            <w:pPr>
              <w:pStyle w:val="Tabletext"/>
              <w:keepNext/>
              <w:keepLines/>
              <w:jc w:val="right"/>
            </w:pPr>
          </w:p>
        </w:tc>
        <w:tc>
          <w:tcPr>
            <w:tcW w:w="539" w:type="pct"/>
            <w:tcBorders>
              <w:top w:val="single" w:sz="4" w:space="0" w:color="auto"/>
              <w:left w:val="nil"/>
              <w:bottom w:val="single" w:sz="4" w:space="0" w:color="auto"/>
            </w:tcBorders>
            <w:noWrap/>
          </w:tcPr>
          <w:p w14:paraId="3589BDFA" w14:textId="77777777" w:rsidR="00331B86" w:rsidRPr="00F70D40" w:rsidRDefault="00331B86" w:rsidP="009735F2">
            <w:pPr>
              <w:pStyle w:val="Tabletext"/>
              <w:keepNext/>
              <w:keepLines/>
              <w:jc w:val="right"/>
            </w:pPr>
          </w:p>
        </w:tc>
      </w:tr>
      <w:tr w:rsidR="00331B86" w:rsidRPr="00E86C72" w14:paraId="4110B3FD" w14:textId="77777777" w:rsidTr="00331B86">
        <w:trPr>
          <w:trHeight w:val="300"/>
        </w:trPr>
        <w:tc>
          <w:tcPr>
            <w:tcW w:w="2614" w:type="pct"/>
            <w:tcBorders>
              <w:top w:val="nil"/>
              <w:bottom w:val="nil"/>
            </w:tcBorders>
            <w:noWrap/>
            <w:hideMark/>
          </w:tcPr>
          <w:p w14:paraId="3262E9E7" w14:textId="77777777" w:rsidR="00331B86" w:rsidRPr="00E86C72" w:rsidRDefault="00331B86" w:rsidP="009735F2">
            <w:pPr>
              <w:pStyle w:val="Tabletext"/>
              <w:keepNext/>
              <w:keepLines/>
            </w:pPr>
            <w:r w:rsidRPr="00F70D40">
              <w:t>Transitions from infection health state, unadjusted</w:t>
            </w:r>
          </w:p>
        </w:tc>
        <w:tc>
          <w:tcPr>
            <w:tcW w:w="616" w:type="pct"/>
            <w:tcBorders>
              <w:top w:val="nil"/>
              <w:bottom w:val="nil"/>
            </w:tcBorders>
            <w:noWrap/>
            <w:hideMark/>
          </w:tcPr>
          <w:p w14:paraId="17B40BE7" w14:textId="77777777" w:rsidR="00331B86" w:rsidRPr="00E86C72" w:rsidRDefault="00331B86" w:rsidP="009735F2">
            <w:pPr>
              <w:pStyle w:val="Tabletext"/>
              <w:keepNext/>
              <w:keepLines/>
              <w:jc w:val="right"/>
            </w:pPr>
            <w:r w:rsidRPr="00D6502A">
              <w:t>$45,309</w:t>
            </w:r>
          </w:p>
        </w:tc>
        <w:tc>
          <w:tcPr>
            <w:tcW w:w="616" w:type="pct"/>
            <w:tcBorders>
              <w:top w:val="nil"/>
              <w:bottom w:val="nil"/>
            </w:tcBorders>
            <w:noWrap/>
            <w:hideMark/>
          </w:tcPr>
          <w:p w14:paraId="71395BA1" w14:textId="77777777" w:rsidR="00331B86" w:rsidRPr="00E86C72" w:rsidRDefault="00331B86" w:rsidP="009735F2">
            <w:pPr>
              <w:pStyle w:val="Tabletext"/>
              <w:keepNext/>
              <w:keepLines/>
              <w:jc w:val="right"/>
            </w:pPr>
            <w:r w:rsidRPr="00D6502A">
              <w:t>0.3087</w:t>
            </w:r>
          </w:p>
        </w:tc>
        <w:tc>
          <w:tcPr>
            <w:tcW w:w="616" w:type="pct"/>
            <w:tcBorders>
              <w:top w:val="nil"/>
              <w:bottom w:val="nil"/>
            </w:tcBorders>
            <w:noWrap/>
            <w:hideMark/>
          </w:tcPr>
          <w:p w14:paraId="407D30F7" w14:textId="77777777" w:rsidR="00331B86" w:rsidRPr="00E86C72" w:rsidRDefault="00331B86" w:rsidP="009735F2">
            <w:pPr>
              <w:pStyle w:val="Tabletext"/>
              <w:keepNext/>
              <w:keepLines/>
              <w:jc w:val="right"/>
            </w:pPr>
            <w:r w:rsidRPr="00D6502A">
              <w:t>$146,792</w:t>
            </w:r>
          </w:p>
        </w:tc>
        <w:tc>
          <w:tcPr>
            <w:tcW w:w="539" w:type="pct"/>
            <w:tcBorders>
              <w:top w:val="nil"/>
              <w:bottom w:val="nil"/>
            </w:tcBorders>
            <w:noWrap/>
            <w:hideMark/>
          </w:tcPr>
          <w:p w14:paraId="1DCC48C7" w14:textId="77777777" w:rsidR="00331B86" w:rsidRPr="00E86C72" w:rsidRDefault="00331B86" w:rsidP="009735F2">
            <w:pPr>
              <w:pStyle w:val="Tabletext"/>
              <w:keepNext/>
              <w:keepLines/>
              <w:jc w:val="right"/>
            </w:pPr>
            <w:r w:rsidRPr="00D6502A">
              <w:t>47%</w:t>
            </w:r>
          </w:p>
        </w:tc>
      </w:tr>
      <w:tr w:rsidR="00331B86" w:rsidRPr="00E86C72" w14:paraId="2CFDC732" w14:textId="77777777" w:rsidTr="00331B86">
        <w:trPr>
          <w:trHeight w:val="300"/>
        </w:trPr>
        <w:tc>
          <w:tcPr>
            <w:tcW w:w="2614" w:type="pct"/>
            <w:tcBorders>
              <w:top w:val="nil"/>
              <w:bottom w:val="single" w:sz="4" w:space="0" w:color="auto"/>
            </w:tcBorders>
            <w:noWrap/>
          </w:tcPr>
          <w:p w14:paraId="38D5C581" w14:textId="77777777" w:rsidR="00331B86" w:rsidRPr="00AD053E" w:rsidRDefault="00331B86" w:rsidP="009735F2">
            <w:pPr>
              <w:pStyle w:val="Tabletext"/>
              <w:keepNext/>
              <w:keepLines/>
            </w:pPr>
            <w:r>
              <w:t>Transitions from infection and bronchiectasis, unadjusted</w:t>
            </w:r>
          </w:p>
        </w:tc>
        <w:tc>
          <w:tcPr>
            <w:tcW w:w="616" w:type="pct"/>
            <w:tcBorders>
              <w:top w:val="nil"/>
              <w:bottom w:val="single" w:sz="4" w:space="0" w:color="auto"/>
            </w:tcBorders>
            <w:noWrap/>
          </w:tcPr>
          <w:p w14:paraId="7C06C279" w14:textId="77777777" w:rsidR="00331B86" w:rsidRPr="00E86C72" w:rsidRDefault="00331B86" w:rsidP="009735F2">
            <w:pPr>
              <w:pStyle w:val="Tabletext"/>
              <w:keepNext/>
              <w:keepLines/>
              <w:jc w:val="right"/>
            </w:pPr>
            <w:r w:rsidRPr="00D6502A">
              <w:t>$29,927</w:t>
            </w:r>
          </w:p>
        </w:tc>
        <w:tc>
          <w:tcPr>
            <w:tcW w:w="616" w:type="pct"/>
            <w:tcBorders>
              <w:top w:val="nil"/>
              <w:bottom w:val="single" w:sz="4" w:space="0" w:color="auto"/>
            </w:tcBorders>
            <w:noWrap/>
          </w:tcPr>
          <w:p w14:paraId="2A5F8947" w14:textId="77777777" w:rsidR="00331B86" w:rsidRPr="00E86C72" w:rsidRDefault="00331B86" w:rsidP="009735F2">
            <w:pPr>
              <w:pStyle w:val="Tabletext"/>
              <w:keepNext/>
              <w:keepLines/>
              <w:jc w:val="right"/>
            </w:pPr>
            <w:r w:rsidRPr="00D6502A">
              <w:t>0.2335</w:t>
            </w:r>
          </w:p>
        </w:tc>
        <w:tc>
          <w:tcPr>
            <w:tcW w:w="616" w:type="pct"/>
            <w:tcBorders>
              <w:top w:val="nil"/>
              <w:bottom w:val="single" w:sz="4" w:space="0" w:color="auto"/>
            </w:tcBorders>
            <w:noWrap/>
          </w:tcPr>
          <w:p w14:paraId="2E22433C" w14:textId="77777777" w:rsidR="00331B86" w:rsidRPr="00E86C72" w:rsidRDefault="00331B86" w:rsidP="009735F2">
            <w:pPr>
              <w:pStyle w:val="Tabletext"/>
              <w:keepNext/>
              <w:keepLines/>
              <w:jc w:val="right"/>
            </w:pPr>
            <w:r w:rsidRPr="00D6502A">
              <w:t>$128,154</w:t>
            </w:r>
          </w:p>
        </w:tc>
        <w:tc>
          <w:tcPr>
            <w:tcW w:w="539" w:type="pct"/>
            <w:tcBorders>
              <w:top w:val="nil"/>
              <w:bottom w:val="single" w:sz="4" w:space="0" w:color="auto"/>
            </w:tcBorders>
            <w:noWrap/>
          </w:tcPr>
          <w:p w14:paraId="737A117C" w14:textId="77777777" w:rsidR="00331B86" w:rsidRPr="00944E02" w:rsidRDefault="00331B86" w:rsidP="009735F2">
            <w:pPr>
              <w:pStyle w:val="Tabletext"/>
              <w:keepNext/>
              <w:keepLines/>
              <w:jc w:val="right"/>
            </w:pPr>
            <w:r w:rsidRPr="00D6502A">
              <w:t>28%</w:t>
            </w:r>
          </w:p>
        </w:tc>
      </w:tr>
      <w:tr w:rsidR="00331B86" w:rsidRPr="00E86C72" w14:paraId="2D6ECD99" w14:textId="77777777" w:rsidTr="00331B86">
        <w:trPr>
          <w:trHeight w:val="300"/>
        </w:trPr>
        <w:tc>
          <w:tcPr>
            <w:tcW w:w="2614" w:type="pct"/>
            <w:tcBorders>
              <w:bottom w:val="single" w:sz="4" w:space="0" w:color="auto"/>
              <w:right w:val="nil"/>
            </w:tcBorders>
            <w:noWrap/>
            <w:hideMark/>
          </w:tcPr>
          <w:p w14:paraId="1ECF9A77" w14:textId="77777777" w:rsidR="00331B86" w:rsidRPr="00E86C72" w:rsidRDefault="00331B86" w:rsidP="009735F2">
            <w:pPr>
              <w:pStyle w:val="Tabletext"/>
              <w:keepNext/>
              <w:keepLines/>
            </w:pPr>
            <w:r w:rsidRPr="008301F2">
              <w:t xml:space="preserve">Cost of </w:t>
            </w:r>
            <w:r>
              <w:t>hospitalisation of</w:t>
            </w:r>
            <w:r w:rsidRPr="008301F2">
              <w:t xml:space="preserve"> serious infections (base case: $</w:t>
            </w:r>
            <w:r>
              <w:t>12,775</w:t>
            </w:r>
            <w:r w:rsidRPr="008301F2">
              <w:t>)</w:t>
            </w:r>
          </w:p>
        </w:tc>
        <w:tc>
          <w:tcPr>
            <w:tcW w:w="616" w:type="pct"/>
            <w:tcBorders>
              <w:left w:val="nil"/>
              <w:bottom w:val="single" w:sz="4" w:space="0" w:color="auto"/>
              <w:right w:val="nil"/>
            </w:tcBorders>
            <w:noWrap/>
            <w:hideMark/>
          </w:tcPr>
          <w:p w14:paraId="1D657DC8"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59971E1F" w14:textId="77777777" w:rsidR="00331B86" w:rsidRPr="00E86C72" w:rsidRDefault="00331B86" w:rsidP="009735F2">
            <w:pPr>
              <w:pStyle w:val="Tabletext"/>
              <w:keepNext/>
              <w:keepLines/>
              <w:jc w:val="right"/>
            </w:pPr>
          </w:p>
        </w:tc>
        <w:tc>
          <w:tcPr>
            <w:tcW w:w="616" w:type="pct"/>
            <w:tcBorders>
              <w:left w:val="nil"/>
              <w:bottom w:val="single" w:sz="4" w:space="0" w:color="auto"/>
              <w:right w:val="nil"/>
            </w:tcBorders>
            <w:noWrap/>
            <w:hideMark/>
          </w:tcPr>
          <w:p w14:paraId="156B7B82" w14:textId="77777777" w:rsidR="00331B86" w:rsidRPr="00E86C72" w:rsidRDefault="00331B86" w:rsidP="009735F2">
            <w:pPr>
              <w:pStyle w:val="Tabletext"/>
              <w:keepNext/>
              <w:keepLines/>
              <w:jc w:val="right"/>
            </w:pPr>
          </w:p>
        </w:tc>
        <w:tc>
          <w:tcPr>
            <w:tcW w:w="539" w:type="pct"/>
            <w:tcBorders>
              <w:left w:val="nil"/>
              <w:bottom w:val="single" w:sz="4" w:space="0" w:color="auto"/>
            </w:tcBorders>
            <w:noWrap/>
            <w:hideMark/>
          </w:tcPr>
          <w:p w14:paraId="576DE173" w14:textId="77777777" w:rsidR="00331B86" w:rsidRPr="00E86C72" w:rsidRDefault="00331B86" w:rsidP="009735F2">
            <w:pPr>
              <w:pStyle w:val="Tabletext"/>
              <w:keepNext/>
              <w:keepLines/>
              <w:jc w:val="right"/>
            </w:pPr>
          </w:p>
        </w:tc>
      </w:tr>
      <w:tr w:rsidR="00331B86" w:rsidRPr="00E86C72" w14:paraId="446DAF54" w14:textId="77777777" w:rsidTr="00331B86">
        <w:trPr>
          <w:trHeight w:val="300"/>
        </w:trPr>
        <w:tc>
          <w:tcPr>
            <w:tcW w:w="2614" w:type="pct"/>
            <w:tcBorders>
              <w:top w:val="nil"/>
              <w:bottom w:val="single" w:sz="4" w:space="0" w:color="auto"/>
            </w:tcBorders>
            <w:noWrap/>
            <w:hideMark/>
          </w:tcPr>
          <w:p w14:paraId="0ED231BD" w14:textId="77777777" w:rsidR="00331B86" w:rsidRPr="00E86C72" w:rsidRDefault="00331B86" w:rsidP="009735F2">
            <w:pPr>
              <w:pStyle w:val="Tabletext"/>
              <w:keepNext/>
              <w:keepLines/>
            </w:pPr>
            <w:r w:rsidRPr="00263E7E">
              <w:t>$52,961, based on AR-DRG R01A</w:t>
            </w:r>
          </w:p>
        </w:tc>
        <w:tc>
          <w:tcPr>
            <w:tcW w:w="616" w:type="pct"/>
            <w:tcBorders>
              <w:top w:val="nil"/>
              <w:bottom w:val="single" w:sz="4" w:space="0" w:color="auto"/>
            </w:tcBorders>
            <w:noWrap/>
            <w:hideMark/>
          </w:tcPr>
          <w:p w14:paraId="30CADA41" w14:textId="77777777" w:rsidR="00331B86" w:rsidRPr="00E86C72" w:rsidRDefault="00331B86" w:rsidP="009735F2">
            <w:pPr>
              <w:pStyle w:val="Tabletext"/>
              <w:keepNext/>
              <w:keepLines/>
              <w:jc w:val="right"/>
            </w:pPr>
            <w:r w:rsidRPr="00D6502A">
              <w:t>$19,349</w:t>
            </w:r>
          </w:p>
        </w:tc>
        <w:tc>
          <w:tcPr>
            <w:tcW w:w="616" w:type="pct"/>
            <w:tcBorders>
              <w:top w:val="nil"/>
              <w:bottom w:val="single" w:sz="4" w:space="0" w:color="auto"/>
            </w:tcBorders>
            <w:noWrap/>
            <w:hideMark/>
          </w:tcPr>
          <w:p w14:paraId="7123CB19" w14:textId="77777777" w:rsidR="00331B86" w:rsidRPr="00E86C72" w:rsidRDefault="00331B86" w:rsidP="009735F2">
            <w:pPr>
              <w:pStyle w:val="Tabletext"/>
              <w:keepNext/>
              <w:keepLines/>
              <w:jc w:val="right"/>
            </w:pPr>
            <w:r w:rsidRPr="00D6502A">
              <w:t>0.4109</w:t>
            </w:r>
          </w:p>
        </w:tc>
        <w:tc>
          <w:tcPr>
            <w:tcW w:w="616" w:type="pct"/>
            <w:tcBorders>
              <w:top w:val="nil"/>
              <w:bottom w:val="single" w:sz="4" w:space="0" w:color="auto"/>
            </w:tcBorders>
            <w:noWrap/>
            <w:hideMark/>
          </w:tcPr>
          <w:p w14:paraId="053375F9" w14:textId="77777777" w:rsidR="00331B86" w:rsidRPr="00E86C72" w:rsidRDefault="00331B86" w:rsidP="009735F2">
            <w:pPr>
              <w:pStyle w:val="Tabletext"/>
              <w:keepNext/>
              <w:keepLines/>
              <w:jc w:val="right"/>
            </w:pPr>
            <w:r w:rsidRPr="00D6502A">
              <w:t>$47,088</w:t>
            </w:r>
          </w:p>
        </w:tc>
        <w:tc>
          <w:tcPr>
            <w:tcW w:w="539" w:type="pct"/>
            <w:tcBorders>
              <w:top w:val="nil"/>
              <w:bottom w:val="single" w:sz="4" w:space="0" w:color="auto"/>
            </w:tcBorders>
            <w:noWrap/>
            <w:hideMark/>
          </w:tcPr>
          <w:p w14:paraId="2241768C" w14:textId="77777777" w:rsidR="00331B86" w:rsidRPr="00E86C72" w:rsidRDefault="00331B86" w:rsidP="009735F2">
            <w:pPr>
              <w:pStyle w:val="Tabletext"/>
              <w:keepNext/>
              <w:keepLines/>
              <w:jc w:val="right"/>
            </w:pPr>
            <w:r w:rsidRPr="00D6502A">
              <w:t>–53%</w:t>
            </w:r>
          </w:p>
        </w:tc>
      </w:tr>
    </w:tbl>
    <w:p w14:paraId="5920F7EF" w14:textId="77777777" w:rsidR="00160DD2" w:rsidRDefault="00331B86" w:rsidP="00160DD2">
      <w:pPr>
        <w:pStyle w:val="Tablenotes0"/>
        <w:keepNext/>
        <w:keepLines/>
        <w:spacing w:after="0"/>
      </w:pPr>
      <w:r w:rsidRPr="00762E3C">
        <w:rPr>
          <w:b/>
        </w:rPr>
        <w:t xml:space="preserve">Abbreviations: </w:t>
      </w:r>
      <w:r>
        <w:t>ICER = incremental cost-effectiveness ratio; Ig = immunoglobulin; IRR = incidence rate ratio; QALY = quality-adjusted life year.</w:t>
      </w:r>
      <w:r w:rsidRPr="00AF32E4">
        <w:t xml:space="preserve"> </w:t>
      </w:r>
    </w:p>
    <w:p w14:paraId="7D106555" w14:textId="580529C9" w:rsidR="00331B86" w:rsidRPr="00160DD2" w:rsidRDefault="00331B86" w:rsidP="00160DD2">
      <w:pPr>
        <w:rPr>
          <w:rFonts w:ascii="Arial Narrow" w:hAnsi="Arial Narrow"/>
          <w:sz w:val="18"/>
          <w:szCs w:val="18"/>
        </w:rPr>
      </w:pPr>
      <w:r w:rsidRPr="00160DD2">
        <w:rPr>
          <w:rFonts w:ascii="Arial Narrow" w:hAnsi="Arial Narrow"/>
          <w:sz w:val="18"/>
          <w:szCs w:val="18"/>
        </w:rPr>
        <w:t xml:space="preserve">Source: Contracted Assessment, Table 8 </w:t>
      </w:r>
    </w:p>
    <w:p w14:paraId="790C77F8" w14:textId="77777777" w:rsidR="00F636F1" w:rsidRPr="00F715D1" w:rsidRDefault="00F636F1" w:rsidP="00F636F1">
      <w:pPr>
        <w:pStyle w:val="Heading1"/>
      </w:pPr>
      <w:r w:rsidRPr="00F715D1">
        <w:t>Financial/budgetary impacts</w:t>
      </w:r>
    </w:p>
    <w:p w14:paraId="74D8F5DF" w14:textId="293E7807" w:rsidR="00331B86" w:rsidRDefault="00331B86" w:rsidP="00EF524D">
      <w:pPr>
        <w:spacing w:after="240"/>
      </w:pPr>
      <w:r w:rsidRPr="00CD132E">
        <w:t xml:space="preserve">A market-based approach has been used to estimate the financial implications of Ig in acquired hypogammaglobulinaemia, based on current utilisation of Ig products in </w:t>
      </w:r>
      <w:r>
        <w:t>this patient population</w:t>
      </w:r>
      <w:r w:rsidRPr="00CD132E">
        <w:t xml:space="preserve">. As data available on utilisation were only available for use under the Version 2 Criteria, the impact of transitioning to the Version 3 Criteria </w:t>
      </w:r>
      <w:r>
        <w:t xml:space="preserve">and recent demand management strategies </w:t>
      </w:r>
      <w:r w:rsidRPr="00CD132E">
        <w:t xml:space="preserve">were not able to be captured in the analysis. </w:t>
      </w:r>
      <w:r>
        <w:t>T</w:t>
      </w:r>
      <w:r w:rsidRPr="00CD132E">
        <w:t>here is uncertainty as to whether trends observed in the past would continue to be observed</w:t>
      </w:r>
      <w:r>
        <w:t>.</w:t>
      </w:r>
    </w:p>
    <w:p w14:paraId="15694797" w14:textId="223DDF79" w:rsidR="00331B86" w:rsidRDefault="00331B86" w:rsidP="00EF524D">
      <w:pPr>
        <w:spacing w:after="240"/>
      </w:pPr>
      <w:r w:rsidRPr="00357DAB">
        <w:t>It is also acknowledged that rapid technological development is occurring in this therapeutic area and this may also change clinical demand and Ig use in the future. For example</w:t>
      </w:r>
      <w:r>
        <w:t>,</w:t>
      </w:r>
      <w:r w:rsidRPr="00357DAB">
        <w:t xml:space="preserve"> demand may increase if patients using new therapies (suc</w:t>
      </w:r>
      <w:r>
        <w:t>h as monoclonal antibodies, chimeric antigen receptor (CAR) T-</w:t>
      </w:r>
      <w:r w:rsidRPr="00357DAB">
        <w:t xml:space="preserve">cell therapy and </w:t>
      </w:r>
      <w:r>
        <w:t>Bruton’s tyrosine kinase (</w:t>
      </w:r>
      <w:r w:rsidRPr="00357DAB">
        <w:t>BTK</w:t>
      </w:r>
      <w:r>
        <w:t>)</w:t>
      </w:r>
      <w:r w:rsidRPr="00357DAB">
        <w:t xml:space="preserve"> inhibitors) live longer with suppressed immune systems.</w:t>
      </w:r>
    </w:p>
    <w:p w14:paraId="3BB0C10E" w14:textId="22714B0D" w:rsidR="00331B86" w:rsidRDefault="00331B86" w:rsidP="00331B86">
      <w:r>
        <w:t>Patient numbers and Ig use were projected using linear extrapolations fitted to the observed data for patient numbers and grams of Ig used per year between 2011-2012 and 2017-2018. The base case financial estimates assume a constant cost per gram of Ig of $60.41 over the projected period. The average number of treatment episodes per year was derived from NBA data and used to estimate the additional cost associated with Ig administration.</w:t>
      </w:r>
    </w:p>
    <w:p w14:paraId="06EB049E" w14:textId="4DB0F277" w:rsidR="00331B86" w:rsidRDefault="00331B86" w:rsidP="00331B86">
      <w:pPr>
        <w:tabs>
          <w:tab w:val="left" w:pos="2265"/>
          <w:tab w:val="left" w:pos="3420"/>
          <w:tab w:val="left" w:pos="4320"/>
        </w:tabs>
      </w:pPr>
      <w:r>
        <w:lastRenderedPageBreak/>
        <w:t>Cost offsets due to a reduction in the number of infections with Ig therapy were included in the financial estimates. Serious infection is associated with one hospitalisation (assumed to be attributable to State budgets) and one follow-up outpatient attendance (attributable to the Commonwealth), while non-serious infections were associated with outpatient attendance(s), and depending on the severity of infection, oral antibiotics and pathology and imaging tests (all assumed to be attributable to the Commonwealth). ESC noted that the inclusion of indirect cost-offsets based on a relative treatment effect of Ig in reducing the incidence of infections in the financial estimates is associated with uncertainty.</w:t>
      </w:r>
    </w:p>
    <w:p w14:paraId="49E309C3" w14:textId="514B1CC3" w:rsidR="00331B86" w:rsidRDefault="00331B86" w:rsidP="00EF524D">
      <w:pPr>
        <w:spacing w:before="240" w:after="240"/>
      </w:pPr>
      <w:r>
        <w:t xml:space="preserve">The financial implications associated with funding Ig for acquired hypogammaglobulinaemia </w:t>
      </w:r>
      <w:r w:rsidRPr="005C061E">
        <w:t xml:space="preserve">are summarised in </w:t>
      </w:r>
      <w:r>
        <w:t>Table 6</w:t>
      </w:r>
      <w:r w:rsidRPr="005C061E">
        <w:t>.</w:t>
      </w:r>
    </w:p>
    <w:p w14:paraId="25FA610C" w14:textId="01BF3AF3" w:rsidR="00331B86" w:rsidRPr="00BD6AE8" w:rsidRDefault="00331B86" w:rsidP="00BD6AE8">
      <w:pPr>
        <w:rPr>
          <w:rFonts w:ascii="Arial Narrow" w:hAnsi="Arial Narrow"/>
          <w:b/>
          <w:sz w:val="20"/>
        </w:rPr>
      </w:pPr>
      <w:bookmarkStart w:id="34" w:name="_Ref395200110"/>
      <w:bookmarkStart w:id="35" w:name="_Toc393197779"/>
      <w:bookmarkStart w:id="36" w:name="_Toc393378192"/>
      <w:bookmarkStart w:id="37" w:name="_Toc14348840"/>
      <w:bookmarkStart w:id="38" w:name="_Toc14429552"/>
      <w:bookmarkStart w:id="39" w:name="_Toc16671607"/>
      <w:r w:rsidRPr="00BD6AE8">
        <w:rPr>
          <w:rFonts w:ascii="Arial Narrow" w:hAnsi="Arial Narrow"/>
          <w:b/>
          <w:sz w:val="20"/>
        </w:rPr>
        <w:t>Table</w:t>
      </w:r>
      <w:bookmarkEnd w:id="34"/>
      <w:bookmarkEnd w:id="35"/>
      <w:bookmarkEnd w:id="36"/>
      <w:r w:rsidRPr="00BD6AE8">
        <w:rPr>
          <w:rFonts w:ascii="Arial Narrow" w:hAnsi="Arial Narrow"/>
          <w:b/>
          <w:sz w:val="20"/>
        </w:rPr>
        <w:t xml:space="preserve"> 6</w:t>
      </w:r>
      <w:r w:rsidR="00BD6AE8">
        <w:rPr>
          <w:rFonts w:ascii="Arial Narrow" w:hAnsi="Arial Narrow"/>
          <w:b/>
          <w:sz w:val="20"/>
        </w:rPr>
        <w:tab/>
      </w:r>
      <w:r w:rsidRPr="00BD6AE8">
        <w:rPr>
          <w:rFonts w:ascii="Arial Narrow" w:hAnsi="Arial Narrow"/>
          <w:b/>
          <w:sz w:val="20"/>
        </w:rPr>
        <w:t xml:space="preserve">Net financial implications to government </w:t>
      </w:r>
      <w:r w:rsidR="00D3172D" w:rsidRPr="00BD6AE8">
        <w:rPr>
          <w:rFonts w:ascii="Arial Narrow" w:hAnsi="Arial Narrow"/>
          <w:b/>
          <w:sz w:val="20"/>
        </w:rPr>
        <w:t xml:space="preserve">associated with Ig for acquired </w:t>
      </w:r>
      <w:r w:rsidRPr="00BD6AE8">
        <w:rPr>
          <w:rFonts w:ascii="Arial Narrow" w:hAnsi="Arial Narrow"/>
          <w:b/>
          <w:sz w:val="20"/>
        </w:rPr>
        <w:t>hypogammaglobulinaemia</w:t>
      </w:r>
      <w:bookmarkEnd w:id="37"/>
      <w:bookmarkEnd w:id="38"/>
      <w:bookmarkEnd w:id="39"/>
    </w:p>
    <w:tbl>
      <w:tblPr>
        <w:tblStyle w:val="TableGrid1"/>
        <w:tblW w:w="5131" w:type="pct"/>
        <w:tblLayout w:type="fixed"/>
        <w:tblLook w:val="04A0" w:firstRow="1" w:lastRow="0" w:firstColumn="1" w:lastColumn="0" w:noHBand="0" w:noVBand="1"/>
        <w:tblCaption w:val="Net financial implications to government associated with Ig for acquired hypogammaglobulinaemia"/>
      </w:tblPr>
      <w:tblGrid>
        <w:gridCol w:w="2975"/>
        <w:gridCol w:w="1256"/>
        <w:gridCol w:w="1256"/>
        <w:gridCol w:w="1256"/>
        <w:gridCol w:w="1256"/>
        <w:gridCol w:w="1253"/>
      </w:tblGrid>
      <w:tr w:rsidR="00331B86" w:rsidRPr="002C55F2" w14:paraId="239657C7" w14:textId="77777777" w:rsidTr="00331B86">
        <w:trPr>
          <w:cnfStyle w:val="100000000000" w:firstRow="1" w:lastRow="0" w:firstColumn="0" w:lastColumn="0" w:oddVBand="0" w:evenVBand="0" w:oddHBand="0" w:evenHBand="0" w:firstRowFirstColumn="0" w:firstRowLastColumn="0" w:lastRowFirstColumn="0" w:lastRowLastColumn="0"/>
          <w:trHeight w:val="300"/>
          <w:tblHeader/>
        </w:trPr>
        <w:tc>
          <w:tcPr>
            <w:tcW w:w="1607" w:type="pct"/>
            <w:tcBorders>
              <w:bottom w:val="single" w:sz="4" w:space="0" w:color="auto"/>
            </w:tcBorders>
            <w:noWrap/>
          </w:tcPr>
          <w:p w14:paraId="1169DB2F" w14:textId="77777777" w:rsidR="00331B86" w:rsidRPr="002C55F2" w:rsidRDefault="00331B86" w:rsidP="00331B86">
            <w:pPr>
              <w:pStyle w:val="TableHeading"/>
              <w:jc w:val="center"/>
            </w:pPr>
          </w:p>
        </w:tc>
        <w:tc>
          <w:tcPr>
            <w:tcW w:w="679" w:type="pct"/>
            <w:tcBorders>
              <w:bottom w:val="single" w:sz="4" w:space="0" w:color="auto"/>
            </w:tcBorders>
            <w:noWrap/>
          </w:tcPr>
          <w:p w14:paraId="250A5B0A" w14:textId="77777777" w:rsidR="00331B86" w:rsidRPr="002C55F2" w:rsidRDefault="00331B86" w:rsidP="00331B86">
            <w:pPr>
              <w:pStyle w:val="TableHeading"/>
              <w:jc w:val="center"/>
            </w:pPr>
            <w:r w:rsidRPr="004B58C2">
              <w:t>2019-20</w:t>
            </w:r>
          </w:p>
        </w:tc>
        <w:tc>
          <w:tcPr>
            <w:tcW w:w="679" w:type="pct"/>
            <w:tcBorders>
              <w:bottom w:val="single" w:sz="4" w:space="0" w:color="auto"/>
            </w:tcBorders>
            <w:noWrap/>
          </w:tcPr>
          <w:p w14:paraId="1953549E" w14:textId="77777777" w:rsidR="00331B86" w:rsidRPr="002C55F2" w:rsidRDefault="00331B86" w:rsidP="00331B86">
            <w:pPr>
              <w:pStyle w:val="TableHeading"/>
              <w:jc w:val="center"/>
            </w:pPr>
            <w:r w:rsidRPr="004B58C2">
              <w:t>2020-21</w:t>
            </w:r>
          </w:p>
        </w:tc>
        <w:tc>
          <w:tcPr>
            <w:tcW w:w="679" w:type="pct"/>
            <w:tcBorders>
              <w:bottom w:val="single" w:sz="4" w:space="0" w:color="auto"/>
            </w:tcBorders>
            <w:noWrap/>
          </w:tcPr>
          <w:p w14:paraId="2CE1FDE7" w14:textId="77777777" w:rsidR="00331B86" w:rsidRPr="002C55F2" w:rsidRDefault="00331B86" w:rsidP="00331B86">
            <w:pPr>
              <w:pStyle w:val="TableHeading"/>
              <w:jc w:val="center"/>
              <w:rPr>
                <w:rFonts w:ascii="Times New Roman" w:hAnsi="Times New Roman" w:cs="Times New Roman"/>
              </w:rPr>
            </w:pPr>
            <w:r w:rsidRPr="004B58C2">
              <w:t>2021-22</w:t>
            </w:r>
          </w:p>
        </w:tc>
        <w:tc>
          <w:tcPr>
            <w:tcW w:w="679" w:type="pct"/>
            <w:tcBorders>
              <w:bottom w:val="single" w:sz="4" w:space="0" w:color="auto"/>
            </w:tcBorders>
            <w:noWrap/>
          </w:tcPr>
          <w:p w14:paraId="74D64BD9" w14:textId="77777777" w:rsidR="00331B86" w:rsidRPr="002C55F2" w:rsidRDefault="00331B86" w:rsidP="00331B86">
            <w:pPr>
              <w:pStyle w:val="TableHeading"/>
              <w:jc w:val="center"/>
              <w:rPr>
                <w:rFonts w:ascii="Times New Roman" w:hAnsi="Times New Roman" w:cs="Times New Roman"/>
              </w:rPr>
            </w:pPr>
            <w:r w:rsidRPr="004B58C2">
              <w:t>2022-23</w:t>
            </w:r>
          </w:p>
        </w:tc>
        <w:tc>
          <w:tcPr>
            <w:tcW w:w="678" w:type="pct"/>
            <w:tcBorders>
              <w:bottom w:val="single" w:sz="4" w:space="0" w:color="auto"/>
            </w:tcBorders>
            <w:noWrap/>
          </w:tcPr>
          <w:p w14:paraId="5C28C83B" w14:textId="77777777" w:rsidR="00331B86" w:rsidRPr="002C55F2" w:rsidRDefault="00331B86" w:rsidP="00331B86">
            <w:pPr>
              <w:pStyle w:val="TableHeading"/>
              <w:jc w:val="center"/>
              <w:rPr>
                <w:rFonts w:ascii="Times New Roman" w:hAnsi="Times New Roman" w:cs="Times New Roman"/>
              </w:rPr>
            </w:pPr>
            <w:r w:rsidRPr="004B58C2">
              <w:t>2023-24</w:t>
            </w:r>
          </w:p>
        </w:tc>
      </w:tr>
      <w:tr w:rsidR="00331B86" w:rsidRPr="001B1EEE" w14:paraId="2698AEAE" w14:textId="77777777" w:rsidTr="00331B86">
        <w:trPr>
          <w:trHeight w:val="300"/>
        </w:trPr>
        <w:tc>
          <w:tcPr>
            <w:tcW w:w="1607" w:type="pct"/>
            <w:tcBorders>
              <w:bottom w:val="nil"/>
            </w:tcBorders>
            <w:noWrap/>
          </w:tcPr>
          <w:p w14:paraId="59B226B0" w14:textId="77777777" w:rsidR="00331B86" w:rsidRPr="008B1275" w:rsidRDefault="00331B86" w:rsidP="00331B86">
            <w:pPr>
              <w:pStyle w:val="TableHeading"/>
              <w:jc w:val="left"/>
              <w:rPr>
                <w:b w:val="0"/>
              </w:rPr>
            </w:pPr>
            <w:r w:rsidRPr="008B1275">
              <w:rPr>
                <w:b w:val="0"/>
                <w:bCs/>
              </w:rPr>
              <w:t>Total number of patients</w:t>
            </w:r>
          </w:p>
        </w:tc>
        <w:tc>
          <w:tcPr>
            <w:tcW w:w="679" w:type="pct"/>
            <w:tcBorders>
              <w:bottom w:val="nil"/>
            </w:tcBorders>
            <w:noWrap/>
          </w:tcPr>
          <w:p w14:paraId="22830D06" w14:textId="77777777" w:rsidR="00331B86" w:rsidRPr="008B1275" w:rsidRDefault="00331B86" w:rsidP="00331B86">
            <w:pPr>
              <w:pStyle w:val="TableHeading"/>
              <w:keepNext w:val="0"/>
              <w:jc w:val="right"/>
              <w:rPr>
                <w:b w:val="0"/>
              </w:rPr>
            </w:pPr>
            <w:r w:rsidRPr="008B1275">
              <w:rPr>
                <w:b w:val="0"/>
              </w:rPr>
              <w:t>6,488</w:t>
            </w:r>
          </w:p>
        </w:tc>
        <w:tc>
          <w:tcPr>
            <w:tcW w:w="679" w:type="pct"/>
            <w:tcBorders>
              <w:bottom w:val="nil"/>
            </w:tcBorders>
            <w:noWrap/>
          </w:tcPr>
          <w:p w14:paraId="189765EA" w14:textId="77777777" w:rsidR="00331B86" w:rsidRPr="008B1275" w:rsidRDefault="00331B86" w:rsidP="00331B86">
            <w:pPr>
              <w:pStyle w:val="TableHeading"/>
              <w:keepNext w:val="0"/>
              <w:jc w:val="right"/>
              <w:rPr>
                <w:b w:val="0"/>
              </w:rPr>
            </w:pPr>
            <w:r w:rsidRPr="008B1275">
              <w:rPr>
                <w:b w:val="0"/>
              </w:rPr>
              <w:t>6,894</w:t>
            </w:r>
          </w:p>
        </w:tc>
        <w:tc>
          <w:tcPr>
            <w:tcW w:w="679" w:type="pct"/>
            <w:tcBorders>
              <w:bottom w:val="nil"/>
            </w:tcBorders>
            <w:noWrap/>
          </w:tcPr>
          <w:p w14:paraId="032D8778" w14:textId="77777777" w:rsidR="00331B86" w:rsidRPr="008B1275" w:rsidRDefault="00331B86" w:rsidP="00331B86">
            <w:pPr>
              <w:pStyle w:val="TableHeading"/>
              <w:keepNext w:val="0"/>
              <w:jc w:val="right"/>
              <w:rPr>
                <w:b w:val="0"/>
              </w:rPr>
            </w:pPr>
            <w:r w:rsidRPr="008B1275">
              <w:rPr>
                <w:b w:val="0"/>
              </w:rPr>
              <w:t>7,301</w:t>
            </w:r>
          </w:p>
        </w:tc>
        <w:tc>
          <w:tcPr>
            <w:tcW w:w="679" w:type="pct"/>
            <w:tcBorders>
              <w:bottom w:val="nil"/>
            </w:tcBorders>
            <w:noWrap/>
          </w:tcPr>
          <w:p w14:paraId="04B2C8AF" w14:textId="77777777" w:rsidR="00331B86" w:rsidRPr="008B1275" w:rsidRDefault="00331B86" w:rsidP="00331B86">
            <w:pPr>
              <w:pStyle w:val="TableHeading"/>
              <w:keepNext w:val="0"/>
              <w:jc w:val="right"/>
              <w:rPr>
                <w:b w:val="0"/>
              </w:rPr>
            </w:pPr>
            <w:r w:rsidRPr="008B1275">
              <w:rPr>
                <w:b w:val="0"/>
              </w:rPr>
              <w:t>7,707</w:t>
            </w:r>
          </w:p>
        </w:tc>
        <w:tc>
          <w:tcPr>
            <w:tcW w:w="678" w:type="pct"/>
            <w:tcBorders>
              <w:bottom w:val="nil"/>
            </w:tcBorders>
            <w:noWrap/>
          </w:tcPr>
          <w:p w14:paraId="59C99CFE" w14:textId="77777777" w:rsidR="00331B86" w:rsidRPr="008B1275" w:rsidRDefault="00331B86" w:rsidP="00331B86">
            <w:pPr>
              <w:pStyle w:val="TableHeading"/>
              <w:keepNext w:val="0"/>
              <w:jc w:val="right"/>
              <w:rPr>
                <w:b w:val="0"/>
              </w:rPr>
            </w:pPr>
            <w:r w:rsidRPr="008B1275">
              <w:rPr>
                <w:b w:val="0"/>
              </w:rPr>
              <w:t>8,114</w:t>
            </w:r>
          </w:p>
        </w:tc>
      </w:tr>
      <w:tr w:rsidR="00331B86" w:rsidRPr="001B1EEE" w14:paraId="12D341E5" w14:textId="77777777" w:rsidTr="00331B86">
        <w:trPr>
          <w:trHeight w:val="300"/>
        </w:trPr>
        <w:tc>
          <w:tcPr>
            <w:tcW w:w="1607" w:type="pct"/>
            <w:tcBorders>
              <w:bottom w:val="nil"/>
            </w:tcBorders>
            <w:noWrap/>
          </w:tcPr>
          <w:p w14:paraId="4A7221C7" w14:textId="77777777" w:rsidR="00331B86" w:rsidRPr="008B1275" w:rsidRDefault="00331B86" w:rsidP="00331B86">
            <w:pPr>
              <w:pStyle w:val="TableHeading"/>
              <w:jc w:val="left"/>
              <w:rPr>
                <w:b w:val="0"/>
              </w:rPr>
            </w:pPr>
            <w:r w:rsidRPr="008B1275">
              <w:rPr>
                <w:b w:val="0"/>
                <w:bCs/>
              </w:rPr>
              <w:t>Total number of Ig grams issued</w:t>
            </w:r>
          </w:p>
        </w:tc>
        <w:tc>
          <w:tcPr>
            <w:tcW w:w="679" w:type="pct"/>
            <w:tcBorders>
              <w:bottom w:val="nil"/>
            </w:tcBorders>
            <w:noWrap/>
          </w:tcPr>
          <w:p w14:paraId="17869D99" w14:textId="77777777" w:rsidR="00331B86" w:rsidRPr="008B1275" w:rsidRDefault="00331B86" w:rsidP="00331B86">
            <w:pPr>
              <w:pStyle w:val="TableHeading"/>
              <w:keepNext w:val="0"/>
              <w:jc w:val="right"/>
              <w:rPr>
                <w:b w:val="0"/>
              </w:rPr>
            </w:pPr>
            <w:r w:rsidRPr="008B1275">
              <w:rPr>
                <w:b w:val="0"/>
              </w:rPr>
              <w:t>1,624,506</w:t>
            </w:r>
          </w:p>
        </w:tc>
        <w:tc>
          <w:tcPr>
            <w:tcW w:w="679" w:type="pct"/>
            <w:tcBorders>
              <w:bottom w:val="nil"/>
            </w:tcBorders>
            <w:noWrap/>
          </w:tcPr>
          <w:p w14:paraId="2258A2F1" w14:textId="77777777" w:rsidR="00331B86" w:rsidRPr="008B1275" w:rsidRDefault="00331B86" w:rsidP="00331B86">
            <w:pPr>
              <w:pStyle w:val="TableHeading"/>
              <w:keepNext w:val="0"/>
              <w:jc w:val="right"/>
              <w:rPr>
                <w:b w:val="0"/>
              </w:rPr>
            </w:pPr>
            <w:r w:rsidRPr="008B1275">
              <w:rPr>
                <w:b w:val="0"/>
              </w:rPr>
              <w:t>1,748,903</w:t>
            </w:r>
          </w:p>
        </w:tc>
        <w:tc>
          <w:tcPr>
            <w:tcW w:w="679" w:type="pct"/>
            <w:tcBorders>
              <w:bottom w:val="nil"/>
            </w:tcBorders>
            <w:noWrap/>
          </w:tcPr>
          <w:p w14:paraId="3D6FBF68" w14:textId="77777777" w:rsidR="00331B86" w:rsidRPr="008B1275" w:rsidRDefault="00331B86" w:rsidP="00331B86">
            <w:pPr>
              <w:pStyle w:val="TableHeading"/>
              <w:keepNext w:val="0"/>
              <w:jc w:val="right"/>
              <w:rPr>
                <w:b w:val="0"/>
              </w:rPr>
            </w:pPr>
            <w:r w:rsidRPr="008B1275">
              <w:rPr>
                <w:b w:val="0"/>
              </w:rPr>
              <w:t>1,873,301</w:t>
            </w:r>
          </w:p>
        </w:tc>
        <w:tc>
          <w:tcPr>
            <w:tcW w:w="679" w:type="pct"/>
            <w:tcBorders>
              <w:bottom w:val="nil"/>
            </w:tcBorders>
            <w:noWrap/>
          </w:tcPr>
          <w:p w14:paraId="030EDA0B" w14:textId="77777777" w:rsidR="00331B86" w:rsidRPr="008B1275" w:rsidRDefault="00331B86" w:rsidP="00331B86">
            <w:pPr>
              <w:pStyle w:val="TableHeading"/>
              <w:keepNext w:val="0"/>
              <w:jc w:val="right"/>
              <w:rPr>
                <w:b w:val="0"/>
              </w:rPr>
            </w:pPr>
            <w:r w:rsidRPr="008B1275">
              <w:rPr>
                <w:b w:val="0"/>
              </w:rPr>
              <w:t>1,997,698</w:t>
            </w:r>
          </w:p>
        </w:tc>
        <w:tc>
          <w:tcPr>
            <w:tcW w:w="678" w:type="pct"/>
            <w:tcBorders>
              <w:bottom w:val="nil"/>
            </w:tcBorders>
            <w:noWrap/>
          </w:tcPr>
          <w:p w14:paraId="6BCF82A1" w14:textId="77777777" w:rsidR="00331B86" w:rsidRPr="008B1275" w:rsidRDefault="00331B86" w:rsidP="00331B86">
            <w:pPr>
              <w:pStyle w:val="TableHeading"/>
              <w:keepNext w:val="0"/>
              <w:jc w:val="right"/>
              <w:rPr>
                <w:b w:val="0"/>
              </w:rPr>
            </w:pPr>
            <w:r w:rsidRPr="008B1275">
              <w:rPr>
                <w:b w:val="0"/>
              </w:rPr>
              <w:t>2,122,096</w:t>
            </w:r>
          </w:p>
        </w:tc>
      </w:tr>
      <w:tr w:rsidR="00331B86" w:rsidRPr="001B1EEE" w14:paraId="5775D71A" w14:textId="77777777" w:rsidTr="00331B86">
        <w:trPr>
          <w:trHeight w:val="300"/>
        </w:trPr>
        <w:tc>
          <w:tcPr>
            <w:tcW w:w="1607" w:type="pct"/>
            <w:tcBorders>
              <w:bottom w:val="nil"/>
            </w:tcBorders>
            <w:noWrap/>
          </w:tcPr>
          <w:p w14:paraId="4D93ABDB" w14:textId="77777777" w:rsidR="00331B86" w:rsidRPr="001B1EEE" w:rsidRDefault="00331B86" w:rsidP="00331B86">
            <w:pPr>
              <w:pStyle w:val="TableHeading"/>
              <w:jc w:val="left"/>
              <w:rPr>
                <w:b w:val="0"/>
              </w:rPr>
            </w:pPr>
            <w:r w:rsidRPr="001B1EEE">
              <w:rPr>
                <w:b w:val="0"/>
              </w:rPr>
              <w:t>Total cost of Ig</w:t>
            </w:r>
          </w:p>
        </w:tc>
        <w:tc>
          <w:tcPr>
            <w:tcW w:w="679" w:type="pct"/>
            <w:tcBorders>
              <w:bottom w:val="nil"/>
            </w:tcBorders>
            <w:noWrap/>
          </w:tcPr>
          <w:p w14:paraId="3534DD35" w14:textId="77777777" w:rsidR="00331B86" w:rsidRPr="00072228" w:rsidRDefault="00331B86" w:rsidP="00331B86">
            <w:pPr>
              <w:pStyle w:val="TableHeading"/>
              <w:keepNext w:val="0"/>
              <w:jc w:val="right"/>
              <w:rPr>
                <w:b w:val="0"/>
              </w:rPr>
            </w:pPr>
            <w:r w:rsidRPr="00072228">
              <w:rPr>
                <w:b w:val="0"/>
              </w:rPr>
              <w:t>$98,136,389</w:t>
            </w:r>
          </w:p>
        </w:tc>
        <w:tc>
          <w:tcPr>
            <w:tcW w:w="679" w:type="pct"/>
            <w:tcBorders>
              <w:bottom w:val="nil"/>
            </w:tcBorders>
            <w:noWrap/>
          </w:tcPr>
          <w:p w14:paraId="4816FC44" w14:textId="77777777" w:rsidR="00331B86" w:rsidRPr="00072228" w:rsidRDefault="00331B86" w:rsidP="00331B86">
            <w:pPr>
              <w:pStyle w:val="TableHeading"/>
              <w:keepNext w:val="0"/>
              <w:jc w:val="right"/>
              <w:rPr>
                <w:b w:val="0"/>
              </w:rPr>
            </w:pPr>
            <w:r w:rsidRPr="00072228">
              <w:rPr>
                <w:b w:val="0"/>
              </w:rPr>
              <w:t>$105,651,248</w:t>
            </w:r>
          </w:p>
        </w:tc>
        <w:tc>
          <w:tcPr>
            <w:tcW w:w="679" w:type="pct"/>
            <w:tcBorders>
              <w:bottom w:val="nil"/>
            </w:tcBorders>
            <w:noWrap/>
          </w:tcPr>
          <w:p w14:paraId="34D89784" w14:textId="77777777" w:rsidR="00331B86" w:rsidRPr="00072228" w:rsidRDefault="00331B86" w:rsidP="00331B86">
            <w:pPr>
              <w:pStyle w:val="TableHeading"/>
              <w:keepNext w:val="0"/>
              <w:jc w:val="right"/>
              <w:rPr>
                <w:b w:val="0"/>
              </w:rPr>
            </w:pPr>
            <w:r w:rsidRPr="00072228">
              <w:rPr>
                <w:b w:val="0"/>
              </w:rPr>
              <w:t>$113,166,107</w:t>
            </w:r>
          </w:p>
        </w:tc>
        <w:tc>
          <w:tcPr>
            <w:tcW w:w="679" w:type="pct"/>
            <w:tcBorders>
              <w:bottom w:val="nil"/>
            </w:tcBorders>
            <w:noWrap/>
          </w:tcPr>
          <w:p w14:paraId="7439827C" w14:textId="77777777" w:rsidR="00331B86" w:rsidRPr="00072228" w:rsidRDefault="00331B86" w:rsidP="00331B86">
            <w:pPr>
              <w:pStyle w:val="TableHeading"/>
              <w:keepNext w:val="0"/>
              <w:jc w:val="right"/>
              <w:rPr>
                <w:b w:val="0"/>
              </w:rPr>
            </w:pPr>
            <w:r w:rsidRPr="00072228">
              <w:rPr>
                <w:b w:val="0"/>
              </w:rPr>
              <w:t>$120,680,966</w:t>
            </w:r>
          </w:p>
        </w:tc>
        <w:tc>
          <w:tcPr>
            <w:tcW w:w="678" w:type="pct"/>
            <w:tcBorders>
              <w:bottom w:val="nil"/>
            </w:tcBorders>
            <w:noWrap/>
          </w:tcPr>
          <w:p w14:paraId="5D4FBF96" w14:textId="77777777" w:rsidR="00331B86" w:rsidRPr="00072228" w:rsidRDefault="00331B86" w:rsidP="00331B86">
            <w:pPr>
              <w:pStyle w:val="TableHeading"/>
              <w:keepNext w:val="0"/>
              <w:jc w:val="right"/>
              <w:rPr>
                <w:b w:val="0"/>
              </w:rPr>
            </w:pPr>
            <w:r w:rsidRPr="00072228">
              <w:rPr>
                <w:b w:val="0"/>
              </w:rPr>
              <w:t>$128,195,825</w:t>
            </w:r>
          </w:p>
        </w:tc>
      </w:tr>
      <w:tr w:rsidR="00331B86" w:rsidRPr="001B1EEE" w14:paraId="73A79983" w14:textId="77777777" w:rsidTr="00331B86">
        <w:trPr>
          <w:trHeight w:val="300"/>
        </w:trPr>
        <w:tc>
          <w:tcPr>
            <w:tcW w:w="1607" w:type="pct"/>
            <w:tcBorders>
              <w:top w:val="nil"/>
              <w:bottom w:val="nil"/>
            </w:tcBorders>
            <w:noWrap/>
          </w:tcPr>
          <w:p w14:paraId="5EC9D2B7" w14:textId="77777777" w:rsidR="00331B86" w:rsidRPr="001B1EEE" w:rsidRDefault="00331B86" w:rsidP="00331B86">
            <w:pPr>
              <w:pStyle w:val="TableHeading"/>
              <w:jc w:val="left"/>
              <w:rPr>
                <w:b w:val="0"/>
              </w:rPr>
            </w:pPr>
            <w:r w:rsidRPr="001B1EEE">
              <w:rPr>
                <w:b w:val="0"/>
              </w:rPr>
              <w:t>Cost of Ig to the Commonwealth</w:t>
            </w:r>
          </w:p>
        </w:tc>
        <w:tc>
          <w:tcPr>
            <w:tcW w:w="679" w:type="pct"/>
            <w:tcBorders>
              <w:top w:val="nil"/>
              <w:bottom w:val="nil"/>
            </w:tcBorders>
            <w:noWrap/>
          </w:tcPr>
          <w:p w14:paraId="7FA5A140" w14:textId="77777777" w:rsidR="00331B86" w:rsidRPr="00072228" w:rsidRDefault="00331B86" w:rsidP="00331B86">
            <w:pPr>
              <w:pStyle w:val="TableHeading"/>
              <w:keepNext w:val="0"/>
              <w:jc w:val="right"/>
              <w:rPr>
                <w:b w:val="0"/>
              </w:rPr>
            </w:pPr>
            <w:r w:rsidRPr="00072228">
              <w:rPr>
                <w:b w:val="0"/>
              </w:rPr>
              <w:t>$61,825,925</w:t>
            </w:r>
          </w:p>
        </w:tc>
        <w:tc>
          <w:tcPr>
            <w:tcW w:w="679" w:type="pct"/>
            <w:tcBorders>
              <w:top w:val="nil"/>
              <w:bottom w:val="nil"/>
            </w:tcBorders>
            <w:noWrap/>
          </w:tcPr>
          <w:p w14:paraId="10280E3D" w14:textId="77777777" w:rsidR="00331B86" w:rsidRPr="00072228" w:rsidRDefault="00331B86" w:rsidP="00331B86">
            <w:pPr>
              <w:pStyle w:val="TableHeading"/>
              <w:keepNext w:val="0"/>
              <w:jc w:val="right"/>
              <w:rPr>
                <w:b w:val="0"/>
              </w:rPr>
            </w:pPr>
            <w:r w:rsidRPr="00072228">
              <w:rPr>
                <w:b w:val="0"/>
              </w:rPr>
              <w:t>$66,560,286</w:t>
            </w:r>
          </w:p>
        </w:tc>
        <w:tc>
          <w:tcPr>
            <w:tcW w:w="679" w:type="pct"/>
            <w:tcBorders>
              <w:top w:val="nil"/>
              <w:bottom w:val="nil"/>
            </w:tcBorders>
            <w:noWrap/>
          </w:tcPr>
          <w:p w14:paraId="6BB6E28B" w14:textId="77777777" w:rsidR="00331B86" w:rsidRPr="00072228" w:rsidRDefault="00331B86" w:rsidP="00331B86">
            <w:pPr>
              <w:pStyle w:val="TableHeading"/>
              <w:keepNext w:val="0"/>
              <w:jc w:val="right"/>
              <w:rPr>
                <w:b w:val="0"/>
              </w:rPr>
            </w:pPr>
            <w:r w:rsidRPr="00072228">
              <w:rPr>
                <w:b w:val="0"/>
              </w:rPr>
              <w:t>$71,294,647</w:t>
            </w:r>
          </w:p>
        </w:tc>
        <w:tc>
          <w:tcPr>
            <w:tcW w:w="679" w:type="pct"/>
            <w:tcBorders>
              <w:top w:val="nil"/>
              <w:bottom w:val="nil"/>
            </w:tcBorders>
            <w:noWrap/>
          </w:tcPr>
          <w:p w14:paraId="621DEB06" w14:textId="77777777" w:rsidR="00331B86" w:rsidRPr="00072228" w:rsidRDefault="00331B86" w:rsidP="00331B86">
            <w:pPr>
              <w:pStyle w:val="TableHeading"/>
              <w:keepNext w:val="0"/>
              <w:jc w:val="right"/>
              <w:rPr>
                <w:b w:val="0"/>
              </w:rPr>
            </w:pPr>
            <w:r w:rsidRPr="00072228">
              <w:rPr>
                <w:b w:val="0"/>
              </w:rPr>
              <w:t>$76,029,008</w:t>
            </w:r>
          </w:p>
        </w:tc>
        <w:tc>
          <w:tcPr>
            <w:tcW w:w="678" w:type="pct"/>
            <w:tcBorders>
              <w:top w:val="nil"/>
              <w:bottom w:val="nil"/>
            </w:tcBorders>
            <w:noWrap/>
          </w:tcPr>
          <w:p w14:paraId="30CE4130" w14:textId="77777777" w:rsidR="00331B86" w:rsidRPr="00072228" w:rsidRDefault="00331B86" w:rsidP="00331B86">
            <w:pPr>
              <w:pStyle w:val="TableHeading"/>
              <w:keepNext w:val="0"/>
              <w:jc w:val="right"/>
              <w:rPr>
                <w:b w:val="0"/>
              </w:rPr>
            </w:pPr>
            <w:r w:rsidRPr="00072228">
              <w:rPr>
                <w:b w:val="0"/>
              </w:rPr>
              <w:t>$80,763,370</w:t>
            </w:r>
          </w:p>
        </w:tc>
      </w:tr>
      <w:tr w:rsidR="00331B86" w:rsidRPr="001B1EEE" w14:paraId="25623CDC" w14:textId="77777777" w:rsidTr="00331B86">
        <w:trPr>
          <w:trHeight w:val="300"/>
        </w:trPr>
        <w:tc>
          <w:tcPr>
            <w:tcW w:w="1607" w:type="pct"/>
            <w:tcBorders>
              <w:top w:val="nil"/>
              <w:bottom w:val="single" w:sz="4" w:space="0" w:color="auto"/>
            </w:tcBorders>
            <w:noWrap/>
          </w:tcPr>
          <w:p w14:paraId="7FB936F0" w14:textId="77777777" w:rsidR="00331B86" w:rsidRPr="001B1EEE" w:rsidRDefault="00331B86" w:rsidP="00331B86">
            <w:pPr>
              <w:pStyle w:val="TableHeading"/>
              <w:keepNext w:val="0"/>
              <w:jc w:val="left"/>
              <w:rPr>
                <w:b w:val="0"/>
              </w:rPr>
            </w:pPr>
            <w:r w:rsidRPr="001B1EEE">
              <w:rPr>
                <w:b w:val="0"/>
              </w:rPr>
              <w:t>Cost of Ig to the States</w:t>
            </w:r>
          </w:p>
        </w:tc>
        <w:tc>
          <w:tcPr>
            <w:tcW w:w="679" w:type="pct"/>
            <w:tcBorders>
              <w:top w:val="nil"/>
              <w:bottom w:val="single" w:sz="4" w:space="0" w:color="auto"/>
            </w:tcBorders>
            <w:noWrap/>
          </w:tcPr>
          <w:p w14:paraId="7F7D9B3B" w14:textId="77777777" w:rsidR="00331B86" w:rsidRPr="00072228" w:rsidRDefault="00331B86" w:rsidP="00331B86">
            <w:pPr>
              <w:pStyle w:val="TableHeading"/>
              <w:keepNext w:val="0"/>
              <w:jc w:val="right"/>
              <w:rPr>
                <w:b w:val="0"/>
              </w:rPr>
            </w:pPr>
            <w:r w:rsidRPr="00072228">
              <w:rPr>
                <w:b w:val="0"/>
              </w:rPr>
              <w:t>$36,310,464</w:t>
            </w:r>
          </w:p>
        </w:tc>
        <w:tc>
          <w:tcPr>
            <w:tcW w:w="679" w:type="pct"/>
            <w:tcBorders>
              <w:top w:val="nil"/>
              <w:bottom w:val="single" w:sz="4" w:space="0" w:color="auto"/>
            </w:tcBorders>
            <w:noWrap/>
          </w:tcPr>
          <w:p w14:paraId="10B924FE" w14:textId="77777777" w:rsidR="00331B86" w:rsidRPr="00072228" w:rsidRDefault="00331B86" w:rsidP="00331B86">
            <w:pPr>
              <w:pStyle w:val="TableHeading"/>
              <w:keepNext w:val="0"/>
              <w:jc w:val="right"/>
              <w:rPr>
                <w:b w:val="0"/>
              </w:rPr>
            </w:pPr>
            <w:r w:rsidRPr="00072228">
              <w:rPr>
                <w:b w:val="0"/>
              </w:rPr>
              <w:t>$39,090,962</w:t>
            </w:r>
          </w:p>
        </w:tc>
        <w:tc>
          <w:tcPr>
            <w:tcW w:w="679" w:type="pct"/>
            <w:tcBorders>
              <w:top w:val="nil"/>
              <w:bottom w:val="single" w:sz="4" w:space="0" w:color="auto"/>
            </w:tcBorders>
            <w:noWrap/>
          </w:tcPr>
          <w:p w14:paraId="29CCCFCF" w14:textId="77777777" w:rsidR="00331B86" w:rsidRPr="00072228" w:rsidRDefault="00331B86" w:rsidP="00331B86">
            <w:pPr>
              <w:pStyle w:val="TableHeading"/>
              <w:keepNext w:val="0"/>
              <w:jc w:val="right"/>
              <w:rPr>
                <w:b w:val="0"/>
              </w:rPr>
            </w:pPr>
            <w:r w:rsidRPr="00072228">
              <w:rPr>
                <w:b w:val="0"/>
              </w:rPr>
              <w:t>$41,871,460</w:t>
            </w:r>
          </w:p>
        </w:tc>
        <w:tc>
          <w:tcPr>
            <w:tcW w:w="679" w:type="pct"/>
            <w:tcBorders>
              <w:top w:val="nil"/>
              <w:bottom w:val="single" w:sz="4" w:space="0" w:color="auto"/>
            </w:tcBorders>
            <w:noWrap/>
          </w:tcPr>
          <w:p w14:paraId="314D0022" w14:textId="77777777" w:rsidR="00331B86" w:rsidRPr="00072228" w:rsidRDefault="00331B86" w:rsidP="00331B86">
            <w:pPr>
              <w:pStyle w:val="TableHeading"/>
              <w:keepNext w:val="0"/>
              <w:jc w:val="right"/>
              <w:rPr>
                <w:b w:val="0"/>
              </w:rPr>
            </w:pPr>
            <w:r w:rsidRPr="00072228">
              <w:rPr>
                <w:b w:val="0"/>
              </w:rPr>
              <w:t>$44,651,957</w:t>
            </w:r>
          </w:p>
        </w:tc>
        <w:tc>
          <w:tcPr>
            <w:tcW w:w="678" w:type="pct"/>
            <w:tcBorders>
              <w:top w:val="nil"/>
              <w:bottom w:val="single" w:sz="4" w:space="0" w:color="auto"/>
            </w:tcBorders>
            <w:noWrap/>
          </w:tcPr>
          <w:p w14:paraId="720ADA36" w14:textId="77777777" w:rsidR="00331B86" w:rsidRPr="00072228" w:rsidRDefault="00331B86" w:rsidP="00331B86">
            <w:pPr>
              <w:pStyle w:val="TableHeading"/>
              <w:keepNext w:val="0"/>
              <w:jc w:val="right"/>
              <w:rPr>
                <w:b w:val="0"/>
              </w:rPr>
            </w:pPr>
            <w:r w:rsidRPr="00072228">
              <w:rPr>
                <w:b w:val="0"/>
              </w:rPr>
              <w:t>$47,432,455</w:t>
            </w:r>
          </w:p>
        </w:tc>
      </w:tr>
      <w:tr w:rsidR="00331B86" w:rsidRPr="001B1EEE" w14:paraId="0759AE40" w14:textId="77777777" w:rsidTr="00331B86">
        <w:trPr>
          <w:trHeight w:val="300"/>
        </w:trPr>
        <w:tc>
          <w:tcPr>
            <w:tcW w:w="1607" w:type="pct"/>
            <w:tcBorders>
              <w:top w:val="nil"/>
              <w:bottom w:val="single" w:sz="4" w:space="0" w:color="auto"/>
            </w:tcBorders>
            <w:noWrap/>
          </w:tcPr>
          <w:p w14:paraId="44C5857C" w14:textId="77777777" w:rsidR="00331B86" w:rsidRPr="001B1EEE" w:rsidRDefault="00331B86" w:rsidP="00331B86">
            <w:pPr>
              <w:pStyle w:val="TableHeading"/>
              <w:keepNext w:val="0"/>
              <w:jc w:val="left"/>
              <w:rPr>
                <w:b w:val="0"/>
              </w:rPr>
            </w:pPr>
            <w:r w:rsidRPr="00680DD5">
              <w:rPr>
                <w:b w:val="0"/>
              </w:rPr>
              <w:t>Cost of Ig administration to the States</w:t>
            </w:r>
          </w:p>
        </w:tc>
        <w:tc>
          <w:tcPr>
            <w:tcW w:w="679" w:type="pct"/>
            <w:tcBorders>
              <w:top w:val="nil"/>
              <w:bottom w:val="single" w:sz="4" w:space="0" w:color="auto"/>
            </w:tcBorders>
            <w:noWrap/>
          </w:tcPr>
          <w:p w14:paraId="689EBD69" w14:textId="77777777" w:rsidR="00331B86" w:rsidRPr="00072228" w:rsidRDefault="00331B86" w:rsidP="00331B86">
            <w:pPr>
              <w:pStyle w:val="TableHeading"/>
              <w:keepNext w:val="0"/>
              <w:jc w:val="right"/>
              <w:rPr>
                <w:b w:val="0"/>
              </w:rPr>
            </w:pPr>
            <w:r w:rsidRPr="00072228">
              <w:rPr>
                <w:b w:val="0"/>
              </w:rPr>
              <w:t>$15,427,172</w:t>
            </w:r>
          </w:p>
        </w:tc>
        <w:tc>
          <w:tcPr>
            <w:tcW w:w="679" w:type="pct"/>
            <w:tcBorders>
              <w:top w:val="nil"/>
              <w:bottom w:val="single" w:sz="4" w:space="0" w:color="auto"/>
            </w:tcBorders>
            <w:noWrap/>
          </w:tcPr>
          <w:p w14:paraId="2CD55D68" w14:textId="77777777" w:rsidR="00331B86" w:rsidRPr="00072228" w:rsidRDefault="00331B86" w:rsidP="00331B86">
            <w:pPr>
              <w:pStyle w:val="TableHeading"/>
              <w:keepNext w:val="0"/>
              <w:jc w:val="right"/>
              <w:rPr>
                <w:b w:val="0"/>
              </w:rPr>
            </w:pPr>
            <w:r w:rsidRPr="00072228">
              <w:rPr>
                <w:b w:val="0"/>
              </w:rPr>
              <w:t>$16,394,813</w:t>
            </w:r>
          </w:p>
        </w:tc>
        <w:tc>
          <w:tcPr>
            <w:tcW w:w="679" w:type="pct"/>
            <w:tcBorders>
              <w:top w:val="nil"/>
              <w:bottom w:val="single" w:sz="4" w:space="0" w:color="auto"/>
            </w:tcBorders>
            <w:noWrap/>
          </w:tcPr>
          <w:p w14:paraId="106D26B7" w14:textId="77777777" w:rsidR="00331B86" w:rsidRPr="00072228" w:rsidRDefault="00331B86" w:rsidP="00331B86">
            <w:pPr>
              <w:pStyle w:val="TableHeading"/>
              <w:keepNext w:val="0"/>
              <w:jc w:val="right"/>
              <w:rPr>
                <w:b w:val="0"/>
              </w:rPr>
            </w:pPr>
            <w:r w:rsidRPr="00072228">
              <w:rPr>
                <w:b w:val="0"/>
              </w:rPr>
              <w:t>$17,362,453</w:t>
            </w:r>
          </w:p>
        </w:tc>
        <w:tc>
          <w:tcPr>
            <w:tcW w:w="679" w:type="pct"/>
            <w:tcBorders>
              <w:top w:val="nil"/>
              <w:bottom w:val="single" w:sz="4" w:space="0" w:color="auto"/>
            </w:tcBorders>
            <w:noWrap/>
          </w:tcPr>
          <w:p w14:paraId="4672FC58" w14:textId="77777777" w:rsidR="00331B86" w:rsidRPr="00072228" w:rsidRDefault="00331B86" w:rsidP="00331B86">
            <w:pPr>
              <w:pStyle w:val="TableHeading"/>
              <w:keepNext w:val="0"/>
              <w:jc w:val="right"/>
              <w:rPr>
                <w:b w:val="0"/>
              </w:rPr>
            </w:pPr>
            <w:r w:rsidRPr="00072228">
              <w:rPr>
                <w:b w:val="0"/>
              </w:rPr>
              <w:t>$18,330,093</w:t>
            </w:r>
          </w:p>
        </w:tc>
        <w:tc>
          <w:tcPr>
            <w:tcW w:w="678" w:type="pct"/>
            <w:tcBorders>
              <w:top w:val="nil"/>
              <w:bottom w:val="single" w:sz="4" w:space="0" w:color="auto"/>
            </w:tcBorders>
            <w:noWrap/>
          </w:tcPr>
          <w:p w14:paraId="444788D8" w14:textId="77777777" w:rsidR="00331B86" w:rsidRPr="00072228" w:rsidRDefault="00331B86" w:rsidP="00331B86">
            <w:pPr>
              <w:pStyle w:val="TableHeading"/>
              <w:keepNext w:val="0"/>
              <w:jc w:val="right"/>
              <w:rPr>
                <w:b w:val="0"/>
              </w:rPr>
            </w:pPr>
            <w:r w:rsidRPr="00072228">
              <w:rPr>
                <w:b w:val="0"/>
              </w:rPr>
              <w:t>$19,297,734</w:t>
            </w:r>
          </w:p>
        </w:tc>
      </w:tr>
      <w:tr w:rsidR="00331B86" w:rsidRPr="001B1EEE" w14:paraId="74A65895" w14:textId="77777777" w:rsidTr="00331B86">
        <w:trPr>
          <w:trHeight w:val="300"/>
        </w:trPr>
        <w:tc>
          <w:tcPr>
            <w:tcW w:w="1607" w:type="pct"/>
            <w:tcBorders>
              <w:bottom w:val="nil"/>
            </w:tcBorders>
            <w:noWrap/>
          </w:tcPr>
          <w:p w14:paraId="167E7052" w14:textId="77777777" w:rsidR="00331B86" w:rsidRPr="001B1EEE" w:rsidRDefault="00331B86" w:rsidP="00331B86">
            <w:pPr>
              <w:pStyle w:val="TableHeading"/>
              <w:jc w:val="left"/>
              <w:rPr>
                <w:b w:val="0"/>
              </w:rPr>
            </w:pPr>
            <w:r w:rsidRPr="001B1EEE">
              <w:rPr>
                <w:b w:val="0"/>
              </w:rPr>
              <w:t>Total cost offsets due to a reduction in the number of infections</w:t>
            </w:r>
          </w:p>
        </w:tc>
        <w:tc>
          <w:tcPr>
            <w:tcW w:w="679" w:type="pct"/>
            <w:tcBorders>
              <w:bottom w:val="nil"/>
            </w:tcBorders>
            <w:noWrap/>
          </w:tcPr>
          <w:p w14:paraId="0BA7AD91" w14:textId="77777777" w:rsidR="00331B86" w:rsidRPr="00072228" w:rsidRDefault="00331B86" w:rsidP="00331B86">
            <w:pPr>
              <w:pStyle w:val="TableHeading"/>
              <w:keepNext w:val="0"/>
              <w:jc w:val="right"/>
              <w:rPr>
                <w:b w:val="0"/>
              </w:rPr>
            </w:pPr>
            <w:r w:rsidRPr="00072228">
              <w:rPr>
                <w:b w:val="0"/>
              </w:rPr>
              <w:t>–$18,180,716</w:t>
            </w:r>
          </w:p>
        </w:tc>
        <w:tc>
          <w:tcPr>
            <w:tcW w:w="679" w:type="pct"/>
            <w:tcBorders>
              <w:bottom w:val="nil"/>
            </w:tcBorders>
            <w:noWrap/>
          </w:tcPr>
          <w:p w14:paraId="3ABA5ADC" w14:textId="77777777" w:rsidR="00331B86" w:rsidRPr="00072228" w:rsidRDefault="00331B86" w:rsidP="00331B86">
            <w:pPr>
              <w:pStyle w:val="TableHeading"/>
              <w:keepNext w:val="0"/>
              <w:jc w:val="right"/>
              <w:rPr>
                <w:b w:val="0"/>
              </w:rPr>
            </w:pPr>
            <w:r w:rsidRPr="00072228">
              <w:rPr>
                <w:b w:val="0"/>
              </w:rPr>
              <w:t>–$19,320,253</w:t>
            </w:r>
          </w:p>
        </w:tc>
        <w:tc>
          <w:tcPr>
            <w:tcW w:w="679" w:type="pct"/>
            <w:tcBorders>
              <w:bottom w:val="nil"/>
            </w:tcBorders>
            <w:noWrap/>
          </w:tcPr>
          <w:p w14:paraId="1A3C72D4" w14:textId="77777777" w:rsidR="00331B86" w:rsidRPr="00072228" w:rsidRDefault="00331B86" w:rsidP="00331B86">
            <w:pPr>
              <w:pStyle w:val="TableHeading"/>
              <w:keepNext w:val="0"/>
              <w:jc w:val="right"/>
              <w:rPr>
                <w:b w:val="0"/>
              </w:rPr>
            </w:pPr>
            <w:r w:rsidRPr="00072228">
              <w:rPr>
                <w:b w:val="0"/>
              </w:rPr>
              <w:t>–$20,459,790</w:t>
            </w:r>
          </w:p>
        </w:tc>
        <w:tc>
          <w:tcPr>
            <w:tcW w:w="679" w:type="pct"/>
            <w:tcBorders>
              <w:bottom w:val="nil"/>
            </w:tcBorders>
            <w:noWrap/>
          </w:tcPr>
          <w:p w14:paraId="1C0DFEBE" w14:textId="77777777" w:rsidR="00331B86" w:rsidRPr="00072228" w:rsidRDefault="00331B86" w:rsidP="00331B86">
            <w:pPr>
              <w:pStyle w:val="TableHeading"/>
              <w:keepNext w:val="0"/>
              <w:jc w:val="right"/>
              <w:rPr>
                <w:b w:val="0"/>
              </w:rPr>
            </w:pPr>
            <w:r w:rsidRPr="00072228">
              <w:rPr>
                <w:b w:val="0"/>
              </w:rPr>
              <w:t>–$21,599,328</w:t>
            </w:r>
          </w:p>
        </w:tc>
        <w:tc>
          <w:tcPr>
            <w:tcW w:w="678" w:type="pct"/>
            <w:tcBorders>
              <w:bottom w:val="nil"/>
            </w:tcBorders>
            <w:noWrap/>
          </w:tcPr>
          <w:p w14:paraId="5FF27CB0" w14:textId="77777777" w:rsidR="00331B86" w:rsidRPr="00072228" w:rsidRDefault="00331B86" w:rsidP="00331B86">
            <w:pPr>
              <w:pStyle w:val="TableHeading"/>
              <w:keepNext w:val="0"/>
              <w:jc w:val="right"/>
              <w:rPr>
                <w:b w:val="0"/>
              </w:rPr>
            </w:pPr>
            <w:r w:rsidRPr="00072228">
              <w:rPr>
                <w:b w:val="0"/>
              </w:rPr>
              <w:t>–$22,738,865</w:t>
            </w:r>
          </w:p>
        </w:tc>
      </w:tr>
      <w:tr w:rsidR="00331B86" w:rsidRPr="001B1EEE" w14:paraId="5E66DE13" w14:textId="77777777" w:rsidTr="00331B86">
        <w:trPr>
          <w:trHeight w:val="300"/>
        </w:trPr>
        <w:tc>
          <w:tcPr>
            <w:tcW w:w="1607" w:type="pct"/>
            <w:tcBorders>
              <w:top w:val="nil"/>
              <w:bottom w:val="nil"/>
            </w:tcBorders>
            <w:noWrap/>
          </w:tcPr>
          <w:p w14:paraId="2CA13481" w14:textId="77777777" w:rsidR="00331B86" w:rsidRPr="001B1EEE" w:rsidRDefault="00331B86" w:rsidP="00331B86">
            <w:pPr>
              <w:pStyle w:val="TableHeading"/>
              <w:jc w:val="left"/>
              <w:rPr>
                <w:b w:val="0"/>
              </w:rPr>
            </w:pPr>
            <w:r w:rsidRPr="001B1EEE">
              <w:rPr>
                <w:b w:val="0"/>
              </w:rPr>
              <w:t>Offsets to the Commonwealth</w:t>
            </w:r>
          </w:p>
        </w:tc>
        <w:tc>
          <w:tcPr>
            <w:tcW w:w="679" w:type="pct"/>
            <w:tcBorders>
              <w:top w:val="nil"/>
              <w:bottom w:val="nil"/>
            </w:tcBorders>
            <w:noWrap/>
          </w:tcPr>
          <w:p w14:paraId="3F6813C0" w14:textId="77777777" w:rsidR="00331B86" w:rsidRPr="00072228" w:rsidRDefault="00331B86" w:rsidP="00331B86">
            <w:pPr>
              <w:pStyle w:val="TableHeading"/>
              <w:keepNext w:val="0"/>
              <w:jc w:val="right"/>
              <w:rPr>
                <w:b w:val="0"/>
              </w:rPr>
            </w:pPr>
            <w:r w:rsidRPr="00072228">
              <w:rPr>
                <w:b w:val="0"/>
              </w:rPr>
              <w:t>–$671,936</w:t>
            </w:r>
          </w:p>
        </w:tc>
        <w:tc>
          <w:tcPr>
            <w:tcW w:w="679" w:type="pct"/>
            <w:tcBorders>
              <w:top w:val="nil"/>
              <w:bottom w:val="nil"/>
            </w:tcBorders>
            <w:noWrap/>
          </w:tcPr>
          <w:p w14:paraId="16CA9341" w14:textId="77777777" w:rsidR="00331B86" w:rsidRPr="00072228" w:rsidRDefault="00331B86" w:rsidP="00331B86">
            <w:pPr>
              <w:pStyle w:val="TableHeading"/>
              <w:keepNext w:val="0"/>
              <w:jc w:val="right"/>
              <w:rPr>
                <w:b w:val="0"/>
              </w:rPr>
            </w:pPr>
            <w:r w:rsidRPr="00072228">
              <w:rPr>
                <w:b w:val="0"/>
              </w:rPr>
              <w:t>–$714,051</w:t>
            </w:r>
          </w:p>
        </w:tc>
        <w:tc>
          <w:tcPr>
            <w:tcW w:w="679" w:type="pct"/>
            <w:tcBorders>
              <w:top w:val="nil"/>
              <w:bottom w:val="nil"/>
            </w:tcBorders>
            <w:noWrap/>
          </w:tcPr>
          <w:p w14:paraId="747FEAAB" w14:textId="77777777" w:rsidR="00331B86" w:rsidRPr="00072228" w:rsidRDefault="00331B86" w:rsidP="00331B86">
            <w:pPr>
              <w:pStyle w:val="TableHeading"/>
              <w:keepNext w:val="0"/>
              <w:jc w:val="right"/>
              <w:rPr>
                <w:b w:val="0"/>
              </w:rPr>
            </w:pPr>
            <w:r w:rsidRPr="00072228">
              <w:rPr>
                <w:b w:val="0"/>
              </w:rPr>
              <w:t>–$756,167</w:t>
            </w:r>
          </w:p>
        </w:tc>
        <w:tc>
          <w:tcPr>
            <w:tcW w:w="679" w:type="pct"/>
            <w:tcBorders>
              <w:top w:val="nil"/>
              <w:bottom w:val="nil"/>
            </w:tcBorders>
            <w:noWrap/>
          </w:tcPr>
          <w:p w14:paraId="6A5A9BF4" w14:textId="77777777" w:rsidR="00331B86" w:rsidRPr="00072228" w:rsidRDefault="00331B86" w:rsidP="00331B86">
            <w:pPr>
              <w:pStyle w:val="TableHeading"/>
              <w:keepNext w:val="0"/>
              <w:jc w:val="right"/>
              <w:rPr>
                <w:b w:val="0"/>
              </w:rPr>
            </w:pPr>
            <w:r w:rsidRPr="00072228">
              <w:rPr>
                <w:b w:val="0"/>
              </w:rPr>
              <w:t>–$798,283</w:t>
            </w:r>
          </w:p>
        </w:tc>
        <w:tc>
          <w:tcPr>
            <w:tcW w:w="678" w:type="pct"/>
            <w:tcBorders>
              <w:top w:val="nil"/>
              <w:bottom w:val="nil"/>
            </w:tcBorders>
            <w:noWrap/>
          </w:tcPr>
          <w:p w14:paraId="311DC6F8" w14:textId="77777777" w:rsidR="00331B86" w:rsidRPr="00072228" w:rsidRDefault="00331B86" w:rsidP="00331B86">
            <w:pPr>
              <w:pStyle w:val="TableHeading"/>
              <w:keepNext w:val="0"/>
              <w:jc w:val="right"/>
              <w:rPr>
                <w:b w:val="0"/>
              </w:rPr>
            </w:pPr>
            <w:r w:rsidRPr="00072228">
              <w:rPr>
                <w:b w:val="0"/>
              </w:rPr>
              <w:t>–$840,399</w:t>
            </w:r>
          </w:p>
        </w:tc>
      </w:tr>
      <w:tr w:rsidR="00331B86" w:rsidRPr="001B1EEE" w14:paraId="6B9D1697" w14:textId="77777777" w:rsidTr="00331B86">
        <w:trPr>
          <w:trHeight w:val="300"/>
        </w:trPr>
        <w:tc>
          <w:tcPr>
            <w:tcW w:w="1607" w:type="pct"/>
            <w:tcBorders>
              <w:top w:val="nil"/>
              <w:bottom w:val="single" w:sz="4" w:space="0" w:color="auto"/>
            </w:tcBorders>
            <w:noWrap/>
          </w:tcPr>
          <w:p w14:paraId="2B6271C5" w14:textId="77777777" w:rsidR="00331B86" w:rsidRPr="001B1EEE" w:rsidRDefault="00331B86" w:rsidP="00331B86">
            <w:pPr>
              <w:pStyle w:val="TableHeading"/>
              <w:keepNext w:val="0"/>
              <w:jc w:val="left"/>
              <w:rPr>
                <w:b w:val="0"/>
              </w:rPr>
            </w:pPr>
            <w:r w:rsidRPr="001B1EEE">
              <w:rPr>
                <w:b w:val="0"/>
              </w:rPr>
              <w:t>Offsets to the States</w:t>
            </w:r>
          </w:p>
        </w:tc>
        <w:tc>
          <w:tcPr>
            <w:tcW w:w="679" w:type="pct"/>
            <w:tcBorders>
              <w:top w:val="nil"/>
              <w:bottom w:val="single" w:sz="4" w:space="0" w:color="auto"/>
            </w:tcBorders>
            <w:noWrap/>
          </w:tcPr>
          <w:p w14:paraId="7AB3577F" w14:textId="77777777" w:rsidR="00331B86" w:rsidRPr="00072228" w:rsidRDefault="00331B86" w:rsidP="00331B86">
            <w:pPr>
              <w:pStyle w:val="TableHeading"/>
              <w:keepNext w:val="0"/>
              <w:jc w:val="right"/>
              <w:rPr>
                <w:b w:val="0"/>
              </w:rPr>
            </w:pPr>
            <w:r w:rsidRPr="00072228">
              <w:rPr>
                <w:b w:val="0"/>
              </w:rPr>
              <w:t>–$17,508,780</w:t>
            </w:r>
          </w:p>
        </w:tc>
        <w:tc>
          <w:tcPr>
            <w:tcW w:w="679" w:type="pct"/>
            <w:tcBorders>
              <w:top w:val="nil"/>
              <w:bottom w:val="single" w:sz="4" w:space="0" w:color="auto"/>
            </w:tcBorders>
            <w:noWrap/>
          </w:tcPr>
          <w:p w14:paraId="4D30A789" w14:textId="77777777" w:rsidR="00331B86" w:rsidRPr="00072228" w:rsidRDefault="00331B86" w:rsidP="00331B86">
            <w:pPr>
              <w:pStyle w:val="TableHeading"/>
              <w:keepNext w:val="0"/>
              <w:jc w:val="right"/>
              <w:rPr>
                <w:b w:val="0"/>
              </w:rPr>
            </w:pPr>
            <w:r w:rsidRPr="00072228">
              <w:rPr>
                <w:b w:val="0"/>
              </w:rPr>
              <w:t>–$18,606,202</w:t>
            </w:r>
          </w:p>
        </w:tc>
        <w:tc>
          <w:tcPr>
            <w:tcW w:w="679" w:type="pct"/>
            <w:tcBorders>
              <w:top w:val="nil"/>
              <w:bottom w:val="single" w:sz="4" w:space="0" w:color="auto"/>
            </w:tcBorders>
            <w:noWrap/>
          </w:tcPr>
          <w:p w14:paraId="5E980B1C" w14:textId="77777777" w:rsidR="00331B86" w:rsidRPr="00072228" w:rsidRDefault="00331B86" w:rsidP="00331B86">
            <w:pPr>
              <w:pStyle w:val="TableHeading"/>
              <w:keepNext w:val="0"/>
              <w:jc w:val="right"/>
              <w:rPr>
                <w:b w:val="0"/>
              </w:rPr>
            </w:pPr>
            <w:r w:rsidRPr="00072228">
              <w:rPr>
                <w:b w:val="0"/>
              </w:rPr>
              <w:t>–$19,703,623</w:t>
            </w:r>
          </w:p>
        </w:tc>
        <w:tc>
          <w:tcPr>
            <w:tcW w:w="679" w:type="pct"/>
            <w:tcBorders>
              <w:top w:val="nil"/>
              <w:bottom w:val="single" w:sz="4" w:space="0" w:color="auto"/>
            </w:tcBorders>
            <w:noWrap/>
          </w:tcPr>
          <w:p w14:paraId="09EF10EF" w14:textId="77777777" w:rsidR="00331B86" w:rsidRPr="00072228" w:rsidRDefault="00331B86" w:rsidP="00331B86">
            <w:pPr>
              <w:pStyle w:val="TableHeading"/>
              <w:keepNext w:val="0"/>
              <w:jc w:val="right"/>
              <w:rPr>
                <w:b w:val="0"/>
              </w:rPr>
            </w:pPr>
            <w:r w:rsidRPr="00072228">
              <w:rPr>
                <w:b w:val="0"/>
              </w:rPr>
              <w:t>–$20,801,045</w:t>
            </w:r>
          </w:p>
        </w:tc>
        <w:tc>
          <w:tcPr>
            <w:tcW w:w="678" w:type="pct"/>
            <w:tcBorders>
              <w:top w:val="nil"/>
              <w:bottom w:val="single" w:sz="4" w:space="0" w:color="auto"/>
            </w:tcBorders>
            <w:noWrap/>
          </w:tcPr>
          <w:p w14:paraId="3369598C" w14:textId="77777777" w:rsidR="00331B86" w:rsidRPr="00072228" w:rsidRDefault="00331B86" w:rsidP="00331B86">
            <w:pPr>
              <w:pStyle w:val="TableHeading"/>
              <w:keepNext w:val="0"/>
              <w:jc w:val="right"/>
              <w:rPr>
                <w:b w:val="0"/>
              </w:rPr>
            </w:pPr>
            <w:r w:rsidRPr="00072228">
              <w:rPr>
                <w:b w:val="0"/>
              </w:rPr>
              <w:t>–$21,898,466</w:t>
            </w:r>
          </w:p>
        </w:tc>
      </w:tr>
      <w:tr w:rsidR="00331B86" w:rsidRPr="002C55F2" w14:paraId="35FBD99B" w14:textId="77777777" w:rsidTr="00331B86">
        <w:trPr>
          <w:trHeight w:val="300"/>
        </w:trPr>
        <w:tc>
          <w:tcPr>
            <w:tcW w:w="1607" w:type="pct"/>
            <w:tcBorders>
              <w:bottom w:val="nil"/>
            </w:tcBorders>
            <w:noWrap/>
          </w:tcPr>
          <w:p w14:paraId="04788AAE" w14:textId="77777777" w:rsidR="00331B86" w:rsidRPr="001B1EEE" w:rsidRDefault="00331B86" w:rsidP="00331B86">
            <w:pPr>
              <w:pStyle w:val="TableHeading"/>
              <w:jc w:val="left"/>
            </w:pPr>
            <w:r w:rsidRPr="001B1EEE">
              <w:t>Net cost</w:t>
            </w:r>
          </w:p>
        </w:tc>
        <w:tc>
          <w:tcPr>
            <w:tcW w:w="679" w:type="pct"/>
            <w:tcBorders>
              <w:bottom w:val="nil"/>
            </w:tcBorders>
            <w:noWrap/>
          </w:tcPr>
          <w:p w14:paraId="1F6CF760" w14:textId="77777777" w:rsidR="00331B86" w:rsidRPr="00072228" w:rsidRDefault="00331B86" w:rsidP="00331B86">
            <w:pPr>
              <w:pStyle w:val="TableHeading"/>
              <w:keepNext w:val="0"/>
              <w:jc w:val="right"/>
            </w:pPr>
            <w:r w:rsidRPr="00072228">
              <w:t>$95,382,845</w:t>
            </w:r>
          </w:p>
        </w:tc>
        <w:tc>
          <w:tcPr>
            <w:tcW w:w="679" w:type="pct"/>
            <w:tcBorders>
              <w:bottom w:val="nil"/>
            </w:tcBorders>
            <w:noWrap/>
          </w:tcPr>
          <w:p w14:paraId="325AE043" w14:textId="77777777" w:rsidR="00331B86" w:rsidRPr="00072228" w:rsidRDefault="00331B86" w:rsidP="00331B86">
            <w:pPr>
              <w:pStyle w:val="TableHeading"/>
              <w:keepNext w:val="0"/>
              <w:jc w:val="right"/>
            </w:pPr>
            <w:r w:rsidRPr="00072228">
              <w:t>$102,725,807</w:t>
            </w:r>
          </w:p>
        </w:tc>
        <w:tc>
          <w:tcPr>
            <w:tcW w:w="679" w:type="pct"/>
            <w:tcBorders>
              <w:bottom w:val="nil"/>
            </w:tcBorders>
            <w:noWrap/>
          </w:tcPr>
          <w:p w14:paraId="635A41A1" w14:textId="77777777" w:rsidR="00331B86" w:rsidRPr="00072228" w:rsidRDefault="00331B86" w:rsidP="00331B86">
            <w:pPr>
              <w:pStyle w:val="TableHeading"/>
              <w:keepNext w:val="0"/>
              <w:jc w:val="right"/>
            </w:pPr>
            <w:r w:rsidRPr="00072228">
              <w:t>$110,068,769</w:t>
            </w:r>
          </w:p>
        </w:tc>
        <w:tc>
          <w:tcPr>
            <w:tcW w:w="679" w:type="pct"/>
            <w:tcBorders>
              <w:bottom w:val="nil"/>
            </w:tcBorders>
            <w:noWrap/>
          </w:tcPr>
          <w:p w14:paraId="1894AEC8" w14:textId="77777777" w:rsidR="00331B86" w:rsidRPr="00072228" w:rsidRDefault="00331B86" w:rsidP="00331B86">
            <w:pPr>
              <w:pStyle w:val="TableHeading"/>
              <w:keepNext w:val="0"/>
              <w:jc w:val="right"/>
            </w:pPr>
            <w:r w:rsidRPr="00072228">
              <w:t>$117,411,732</w:t>
            </w:r>
          </w:p>
        </w:tc>
        <w:tc>
          <w:tcPr>
            <w:tcW w:w="678" w:type="pct"/>
            <w:tcBorders>
              <w:bottom w:val="nil"/>
            </w:tcBorders>
            <w:noWrap/>
          </w:tcPr>
          <w:p w14:paraId="1B01FAB6" w14:textId="77777777" w:rsidR="00331B86" w:rsidRPr="00072228" w:rsidRDefault="00331B86" w:rsidP="00331B86">
            <w:pPr>
              <w:pStyle w:val="TableHeading"/>
              <w:keepNext w:val="0"/>
              <w:jc w:val="right"/>
            </w:pPr>
            <w:r w:rsidRPr="00072228">
              <w:t>$124,754,694</w:t>
            </w:r>
          </w:p>
        </w:tc>
      </w:tr>
      <w:tr w:rsidR="00331B86" w:rsidRPr="002C55F2" w14:paraId="506BED47" w14:textId="77777777" w:rsidTr="00331B86">
        <w:trPr>
          <w:trHeight w:val="300"/>
        </w:trPr>
        <w:tc>
          <w:tcPr>
            <w:tcW w:w="1607" w:type="pct"/>
            <w:tcBorders>
              <w:top w:val="nil"/>
              <w:bottom w:val="nil"/>
            </w:tcBorders>
            <w:noWrap/>
          </w:tcPr>
          <w:p w14:paraId="19D7DFB6" w14:textId="77777777" w:rsidR="00331B86" w:rsidRPr="001B1EEE" w:rsidRDefault="00331B86" w:rsidP="00331B86">
            <w:pPr>
              <w:pStyle w:val="TableHeading"/>
              <w:jc w:val="left"/>
              <w:rPr>
                <w:b w:val="0"/>
              </w:rPr>
            </w:pPr>
            <w:r w:rsidRPr="001B1EEE">
              <w:rPr>
                <w:b w:val="0"/>
              </w:rPr>
              <w:t>Net cost to the Commonwealth</w:t>
            </w:r>
          </w:p>
        </w:tc>
        <w:tc>
          <w:tcPr>
            <w:tcW w:w="679" w:type="pct"/>
            <w:tcBorders>
              <w:top w:val="nil"/>
              <w:bottom w:val="nil"/>
            </w:tcBorders>
            <w:noWrap/>
          </w:tcPr>
          <w:p w14:paraId="09ADF8C6" w14:textId="77777777" w:rsidR="00331B86" w:rsidRPr="00072228" w:rsidRDefault="00331B86" w:rsidP="00331B86">
            <w:pPr>
              <w:pStyle w:val="TableHeading"/>
              <w:keepNext w:val="0"/>
              <w:jc w:val="right"/>
              <w:rPr>
                <w:b w:val="0"/>
              </w:rPr>
            </w:pPr>
            <w:r w:rsidRPr="00072228">
              <w:rPr>
                <w:b w:val="0"/>
              </w:rPr>
              <w:t>$61,153,989</w:t>
            </w:r>
          </w:p>
        </w:tc>
        <w:tc>
          <w:tcPr>
            <w:tcW w:w="679" w:type="pct"/>
            <w:tcBorders>
              <w:top w:val="nil"/>
              <w:bottom w:val="nil"/>
            </w:tcBorders>
            <w:noWrap/>
          </w:tcPr>
          <w:p w14:paraId="722D8B7C" w14:textId="77777777" w:rsidR="00331B86" w:rsidRPr="00072228" w:rsidRDefault="00331B86" w:rsidP="00331B86">
            <w:pPr>
              <w:pStyle w:val="TableHeading"/>
              <w:keepNext w:val="0"/>
              <w:jc w:val="right"/>
              <w:rPr>
                <w:b w:val="0"/>
              </w:rPr>
            </w:pPr>
            <w:r w:rsidRPr="00072228">
              <w:rPr>
                <w:b w:val="0"/>
              </w:rPr>
              <w:t>$65,846,235</w:t>
            </w:r>
          </w:p>
        </w:tc>
        <w:tc>
          <w:tcPr>
            <w:tcW w:w="679" w:type="pct"/>
            <w:tcBorders>
              <w:top w:val="nil"/>
              <w:bottom w:val="nil"/>
            </w:tcBorders>
            <w:noWrap/>
          </w:tcPr>
          <w:p w14:paraId="584CFFCB" w14:textId="77777777" w:rsidR="00331B86" w:rsidRPr="00072228" w:rsidRDefault="00331B86" w:rsidP="00331B86">
            <w:pPr>
              <w:pStyle w:val="TableHeading"/>
              <w:keepNext w:val="0"/>
              <w:jc w:val="right"/>
              <w:rPr>
                <w:b w:val="0"/>
              </w:rPr>
            </w:pPr>
            <w:r w:rsidRPr="00072228">
              <w:rPr>
                <w:b w:val="0"/>
              </w:rPr>
              <w:t>$70,538,480</w:t>
            </w:r>
          </w:p>
        </w:tc>
        <w:tc>
          <w:tcPr>
            <w:tcW w:w="679" w:type="pct"/>
            <w:tcBorders>
              <w:top w:val="nil"/>
              <w:bottom w:val="nil"/>
            </w:tcBorders>
            <w:noWrap/>
          </w:tcPr>
          <w:p w14:paraId="1CFDF061" w14:textId="77777777" w:rsidR="00331B86" w:rsidRPr="00072228" w:rsidRDefault="00331B86" w:rsidP="00331B86">
            <w:pPr>
              <w:pStyle w:val="TableHeading"/>
              <w:keepNext w:val="0"/>
              <w:jc w:val="right"/>
              <w:rPr>
                <w:b w:val="0"/>
              </w:rPr>
            </w:pPr>
            <w:r w:rsidRPr="00072228">
              <w:rPr>
                <w:b w:val="0"/>
              </w:rPr>
              <w:t>$75,230,725</w:t>
            </w:r>
          </w:p>
        </w:tc>
        <w:tc>
          <w:tcPr>
            <w:tcW w:w="678" w:type="pct"/>
            <w:tcBorders>
              <w:top w:val="nil"/>
              <w:bottom w:val="nil"/>
            </w:tcBorders>
            <w:noWrap/>
          </w:tcPr>
          <w:p w14:paraId="54FB86B7" w14:textId="77777777" w:rsidR="00331B86" w:rsidRPr="00072228" w:rsidRDefault="00331B86" w:rsidP="00331B86">
            <w:pPr>
              <w:pStyle w:val="TableHeading"/>
              <w:keepNext w:val="0"/>
              <w:jc w:val="right"/>
              <w:rPr>
                <w:b w:val="0"/>
              </w:rPr>
            </w:pPr>
            <w:r w:rsidRPr="00072228">
              <w:rPr>
                <w:b w:val="0"/>
              </w:rPr>
              <w:t>$79,922,971</w:t>
            </w:r>
          </w:p>
        </w:tc>
      </w:tr>
      <w:tr w:rsidR="00331B86" w:rsidRPr="002C55F2" w14:paraId="7E6F075B" w14:textId="77777777" w:rsidTr="00331B86">
        <w:trPr>
          <w:trHeight w:val="300"/>
        </w:trPr>
        <w:tc>
          <w:tcPr>
            <w:tcW w:w="1607" w:type="pct"/>
            <w:tcBorders>
              <w:top w:val="nil"/>
              <w:bottom w:val="single" w:sz="4" w:space="0" w:color="auto"/>
            </w:tcBorders>
            <w:noWrap/>
          </w:tcPr>
          <w:p w14:paraId="577A8B9E" w14:textId="77777777" w:rsidR="00331B86" w:rsidRPr="001B1EEE" w:rsidRDefault="00331B86" w:rsidP="00331B86">
            <w:pPr>
              <w:pStyle w:val="TableHeading"/>
              <w:keepNext w:val="0"/>
              <w:jc w:val="left"/>
              <w:rPr>
                <w:b w:val="0"/>
              </w:rPr>
            </w:pPr>
            <w:r w:rsidRPr="001B1EEE">
              <w:rPr>
                <w:b w:val="0"/>
              </w:rPr>
              <w:t>Net cost to States</w:t>
            </w:r>
          </w:p>
        </w:tc>
        <w:tc>
          <w:tcPr>
            <w:tcW w:w="679" w:type="pct"/>
            <w:tcBorders>
              <w:top w:val="nil"/>
              <w:bottom w:val="single" w:sz="4" w:space="0" w:color="auto"/>
            </w:tcBorders>
            <w:noWrap/>
          </w:tcPr>
          <w:p w14:paraId="134B098A" w14:textId="77777777" w:rsidR="00331B86" w:rsidRPr="00072228" w:rsidRDefault="00331B86" w:rsidP="00331B86">
            <w:pPr>
              <w:pStyle w:val="TableHeading"/>
              <w:keepNext w:val="0"/>
              <w:jc w:val="right"/>
              <w:rPr>
                <w:b w:val="0"/>
              </w:rPr>
            </w:pPr>
            <w:r w:rsidRPr="00072228">
              <w:rPr>
                <w:b w:val="0"/>
              </w:rPr>
              <w:t>$34,228,856</w:t>
            </w:r>
          </w:p>
        </w:tc>
        <w:tc>
          <w:tcPr>
            <w:tcW w:w="679" w:type="pct"/>
            <w:tcBorders>
              <w:top w:val="nil"/>
              <w:bottom w:val="single" w:sz="4" w:space="0" w:color="auto"/>
            </w:tcBorders>
            <w:noWrap/>
          </w:tcPr>
          <w:p w14:paraId="40B99E24" w14:textId="77777777" w:rsidR="00331B86" w:rsidRPr="00072228" w:rsidRDefault="00331B86" w:rsidP="00331B86">
            <w:pPr>
              <w:pStyle w:val="TableHeading"/>
              <w:keepNext w:val="0"/>
              <w:jc w:val="right"/>
              <w:rPr>
                <w:b w:val="0"/>
              </w:rPr>
            </w:pPr>
            <w:r w:rsidRPr="00072228">
              <w:rPr>
                <w:b w:val="0"/>
              </w:rPr>
              <w:t>$36,879,572</w:t>
            </w:r>
          </w:p>
        </w:tc>
        <w:tc>
          <w:tcPr>
            <w:tcW w:w="679" w:type="pct"/>
            <w:tcBorders>
              <w:top w:val="nil"/>
              <w:bottom w:val="single" w:sz="4" w:space="0" w:color="auto"/>
            </w:tcBorders>
            <w:noWrap/>
          </w:tcPr>
          <w:p w14:paraId="2BF4AEF6" w14:textId="77777777" w:rsidR="00331B86" w:rsidRPr="00072228" w:rsidRDefault="00331B86" w:rsidP="00331B86">
            <w:pPr>
              <w:pStyle w:val="TableHeading"/>
              <w:keepNext w:val="0"/>
              <w:jc w:val="right"/>
              <w:rPr>
                <w:b w:val="0"/>
              </w:rPr>
            </w:pPr>
            <w:r w:rsidRPr="00072228">
              <w:rPr>
                <w:b w:val="0"/>
              </w:rPr>
              <w:t>$39,530,289</w:t>
            </w:r>
          </w:p>
        </w:tc>
        <w:tc>
          <w:tcPr>
            <w:tcW w:w="679" w:type="pct"/>
            <w:tcBorders>
              <w:top w:val="nil"/>
              <w:bottom w:val="single" w:sz="4" w:space="0" w:color="auto"/>
            </w:tcBorders>
            <w:noWrap/>
          </w:tcPr>
          <w:p w14:paraId="64E8CBB6" w14:textId="77777777" w:rsidR="00331B86" w:rsidRPr="00072228" w:rsidRDefault="00331B86" w:rsidP="00331B86">
            <w:pPr>
              <w:pStyle w:val="TableHeading"/>
              <w:keepNext w:val="0"/>
              <w:jc w:val="right"/>
              <w:rPr>
                <w:b w:val="0"/>
              </w:rPr>
            </w:pPr>
            <w:r w:rsidRPr="00072228">
              <w:rPr>
                <w:b w:val="0"/>
              </w:rPr>
              <w:t>$42,181,006</w:t>
            </w:r>
          </w:p>
        </w:tc>
        <w:tc>
          <w:tcPr>
            <w:tcW w:w="678" w:type="pct"/>
            <w:tcBorders>
              <w:top w:val="nil"/>
              <w:bottom w:val="single" w:sz="4" w:space="0" w:color="auto"/>
            </w:tcBorders>
            <w:noWrap/>
          </w:tcPr>
          <w:p w14:paraId="51DBF5BC" w14:textId="77777777" w:rsidR="00331B86" w:rsidRPr="00072228" w:rsidRDefault="00331B86" w:rsidP="00331B86">
            <w:pPr>
              <w:pStyle w:val="TableHeading"/>
              <w:keepNext w:val="0"/>
              <w:jc w:val="right"/>
              <w:rPr>
                <w:b w:val="0"/>
              </w:rPr>
            </w:pPr>
            <w:r w:rsidRPr="00072228">
              <w:rPr>
                <w:b w:val="0"/>
              </w:rPr>
              <w:t>$44,831,723</w:t>
            </w:r>
          </w:p>
        </w:tc>
      </w:tr>
      <w:tr w:rsidR="00331B86" w:rsidRPr="002C55F2" w14:paraId="5254D9F4" w14:textId="77777777" w:rsidTr="00331B86">
        <w:trPr>
          <w:trHeight w:val="300"/>
        </w:trPr>
        <w:tc>
          <w:tcPr>
            <w:tcW w:w="1607" w:type="pct"/>
            <w:tcBorders>
              <w:bottom w:val="single" w:sz="4" w:space="0" w:color="auto"/>
              <w:right w:val="nil"/>
            </w:tcBorders>
            <w:noWrap/>
          </w:tcPr>
          <w:p w14:paraId="047A3B01" w14:textId="77777777" w:rsidR="00331B86" w:rsidRPr="001B1EEE" w:rsidRDefault="00331B86" w:rsidP="00331B86">
            <w:pPr>
              <w:pStyle w:val="TableHeading"/>
              <w:keepNext w:val="0"/>
              <w:jc w:val="left"/>
              <w:rPr>
                <w:b w:val="0"/>
              </w:rPr>
            </w:pPr>
            <w:r>
              <w:rPr>
                <w:b w:val="0"/>
              </w:rPr>
              <w:t>Sensitivity</w:t>
            </w:r>
            <w:r w:rsidRPr="00932BDA">
              <w:rPr>
                <w:b w:val="0"/>
              </w:rPr>
              <w:t xml:space="preserve"> analyses for the cost per gram of Ig (base case: $60.41)</w:t>
            </w:r>
          </w:p>
        </w:tc>
        <w:tc>
          <w:tcPr>
            <w:tcW w:w="679" w:type="pct"/>
            <w:tcBorders>
              <w:left w:val="nil"/>
              <w:bottom w:val="single" w:sz="4" w:space="0" w:color="auto"/>
              <w:right w:val="nil"/>
            </w:tcBorders>
            <w:noWrap/>
          </w:tcPr>
          <w:p w14:paraId="60363C19" w14:textId="77777777" w:rsidR="00331B86" w:rsidRPr="00072228" w:rsidRDefault="00331B86" w:rsidP="00331B86">
            <w:pPr>
              <w:pStyle w:val="TableHeading"/>
              <w:keepNext w:val="0"/>
              <w:jc w:val="right"/>
              <w:rPr>
                <w:b w:val="0"/>
              </w:rPr>
            </w:pPr>
          </w:p>
        </w:tc>
        <w:tc>
          <w:tcPr>
            <w:tcW w:w="679" w:type="pct"/>
            <w:tcBorders>
              <w:left w:val="nil"/>
              <w:bottom w:val="single" w:sz="4" w:space="0" w:color="auto"/>
              <w:right w:val="nil"/>
            </w:tcBorders>
            <w:noWrap/>
          </w:tcPr>
          <w:p w14:paraId="1BAC87C4" w14:textId="77777777" w:rsidR="00331B86" w:rsidRPr="00072228" w:rsidRDefault="00331B86" w:rsidP="00331B86">
            <w:pPr>
              <w:pStyle w:val="TableHeading"/>
              <w:keepNext w:val="0"/>
              <w:jc w:val="right"/>
              <w:rPr>
                <w:b w:val="0"/>
              </w:rPr>
            </w:pPr>
          </w:p>
        </w:tc>
        <w:tc>
          <w:tcPr>
            <w:tcW w:w="679" w:type="pct"/>
            <w:tcBorders>
              <w:left w:val="nil"/>
              <w:bottom w:val="single" w:sz="4" w:space="0" w:color="auto"/>
              <w:right w:val="nil"/>
            </w:tcBorders>
            <w:noWrap/>
          </w:tcPr>
          <w:p w14:paraId="44E12745" w14:textId="77777777" w:rsidR="00331B86" w:rsidRPr="00072228" w:rsidRDefault="00331B86" w:rsidP="00331B86">
            <w:pPr>
              <w:pStyle w:val="TableHeading"/>
              <w:keepNext w:val="0"/>
              <w:jc w:val="right"/>
              <w:rPr>
                <w:b w:val="0"/>
              </w:rPr>
            </w:pPr>
          </w:p>
        </w:tc>
        <w:tc>
          <w:tcPr>
            <w:tcW w:w="679" w:type="pct"/>
            <w:tcBorders>
              <w:left w:val="nil"/>
              <w:bottom w:val="single" w:sz="4" w:space="0" w:color="auto"/>
              <w:right w:val="nil"/>
            </w:tcBorders>
            <w:noWrap/>
          </w:tcPr>
          <w:p w14:paraId="0CAC5D55" w14:textId="77777777" w:rsidR="00331B86" w:rsidRPr="00072228" w:rsidRDefault="00331B86" w:rsidP="00331B86">
            <w:pPr>
              <w:pStyle w:val="TableHeading"/>
              <w:keepNext w:val="0"/>
              <w:jc w:val="right"/>
              <w:rPr>
                <w:b w:val="0"/>
              </w:rPr>
            </w:pPr>
          </w:p>
        </w:tc>
        <w:tc>
          <w:tcPr>
            <w:tcW w:w="678" w:type="pct"/>
            <w:tcBorders>
              <w:left w:val="nil"/>
              <w:bottom w:val="single" w:sz="4" w:space="0" w:color="auto"/>
            </w:tcBorders>
            <w:noWrap/>
          </w:tcPr>
          <w:p w14:paraId="4B85427F" w14:textId="77777777" w:rsidR="00331B86" w:rsidRPr="00072228" w:rsidRDefault="00331B86" w:rsidP="00331B86">
            <w:pPr>
              <w:pStyle w:val="TableHeading"/>
              <w:keepNext w:val="0"/>
              <w:jc w:val="right"/>
              <w:rPr>
                <w:b w:val="0"/>
              </w:rPr>
            </w:pPr>
          </w:p>
        </w:tc>
      </w:tr>
      <w:tr w:rsidR="00331B86" w:rsidRPr="002C55F2" w14:paraId="3D7CD527" w14:textId="77777777" w:rsidTr="00331B86">
        <w:trPr>
          <w:trHeight w:val="300"/>
        </w:trPr>
        <w:tc>
          <w:tcPr>
            <w:tcW w:w="1607" w:type="pct"/>
            <w:tcBorders>
              <w:bottom w:val="nil"/>
            </w:tcBorders>
            <w:noWrap/>
          </w:tcPr>
          <w:p w14:paraId="1C3A3AFD" w14:textId="77777777" w:rsidR="00331B86" w:rsidRPr="001B1EEE" w:rsidRDefault="00331B86" w:rsidP="00331B86">
            <w:pPr>
              <w:pStyle w:val="TableHeading"/>
              <w:keepNext w:val="0"/>
              <w:jc w:val="left"/>
              <w:rPr>
                <w:b w:val="0"/>
              </w:rPr>
            </w:pPr>
            <w:r w:rsidRPr="00AB4E3E">
              <w:rPr>
                <w:b w:val="0"/>
              </w:rPr>
              <w:t>High cost</w:t>
            </w:r>
            <w:r>
              <w:rPr>
                <w:b w:val="0"/>
              </w:rPr>
              <w:t xml:space="preserve"> of Ig</w:t>
            </w:r>
            <w:r w:rsidRPr="00AB4E3E">
              <w:rPr>
                <w:b w:val="0"/>
              </w:rPr>
              <w:t xml:space="preserve"> $140.18</w:t>
            </w:r>
          </w:p>
        </w:tc>
        <w:tc>
          <w:tcPr>
            <w:tcW w:w="679" w:type="pct"/>
            <w:tcBorders>
              <w:bottom w:val="nil"/>
            </w:tcBorders>
            <w:noWrap/>
          </w:tcPr>
          <w:p w14:paraId="00F5AB1F" w14:textId="77777777" w:rsidR="00331B86" w:rsidRPr="00072228" w:rsidRDefault="00331B86" w:rsidP="00331B86">
            <w:pPr>
              <w:pStyle w:val="TableHeading"/>
              <w:keepNext w:val="0"/>
              <w:jc w:val="right"/>
              <w:rPr>
                <w:b w:val="0"/>
              </w:rPr>
            </w:pPr>
            <w:r w:rsidRPr="00072228">
              <w:rPr>
                <w:b w:val="0"/>
              </w:rPr>
              <w:t>$224,969,664</w:t>
            </w:r>
          </w:p>
        </w:tc>
        <w:tc>
          <w:tcPr>
            <w:tcW w:w="679" w:type="pct"/>
            <w:tcBorders>
              <w:bottom w:val="nil"/>
            </w:tcBorders>
            <w:noWrap/>
          </w:tcPr>
          <w:p w14:paraId="6BB26202" w14:textId="77777777" w:rsidR="00331B86" w:rsidRPr="00072228" w:rsidRDefault="00331B86" w:rsidP="00331B86">
            <w:pPr>
              <w:pStyle w:val="TableHeading"/>
              <w:keepNext w:val="0"/>
              <w:jc w:val="right"/>
              <w:rPr>
                <w:b w:val="0"/>
              </w:rPr>
            </w:pPr>
            <w:r w:rsidRPr="00072228">
              <w:rPr>
                <w:b w:val="0"/>
              </w:rPr>
              <w:t>$242,235,823</w:t>
            </w:r>
          </w:p>
        </w:tc>
        <w:tc>
          <w:tcPr>
            <w:tcW w:w="679" w:type="pct"/>
            <w:tcBorders>
              <w:bottom w:val="nil"/>
            </w:tcBorders>
            <w:noWrap/>
          </w:tcPr>
          <w:p w14:paraId="3566C4D7" w14:textId="77777777" w:rsidR="00331B86" w:rsidRPr="00072228" w:rsidRDefault="00331B86" w:rsidP="00331B86">
            <w:pPr>
              <w:pStyle w:val="TableHeading"/>
              <w:keepNext w:val="0"/>
              <w:jc w:val="right"/>
              <w:rPr>
                <w:b w:val="0"/>
              </w:rPr>
            </w:pPr>
            <w:r w:rsidRPr="00072228">
              <w:rPr>
                <w:b w:val="0"/>
              </w:rPr>
              <w:t>$259,501,981</w:t>
            </w:r>
          </w:p>
        </w:tc>
        <w:tc>
          <w:tcPr>
            <w:tcW w:w="679" w:type="pct"/>
            <w:tcBorders>
              <w:bottom w:val="nil"/>
            </w:tcBorders>
            <w:noWrap/>
          </w:tcPr>
          <w:p w14:paraId="429A3084" w14:textId="77777777" w:rsidR="00331B86" w:rsidRPr="00072228" w:rsidRDefault="00331B86" w:rsidP="00331B86">
            <w:pPr>
              <w:pStyle w:val="TableHeading"/>
              <w:keepNext w:val="0"/>
              <w:jc w:val="right"/>
              <w:rPr>
                <w:b w:val="0"/>
              </w:rPr>
            </w:pPr>
            <w:r w:rsidRPr="00072228">
              <w:rPr>
                <w:b w:val="0"/>
              </w:rPr>
              <w:t>$276,768,140</w:t>
            </w:r>
          </w:p>
        </w:tc>
        <w:tc>
          <w:tcPr>
            <w:tcW w:w="678" w:type="pct"/>
            <w:tcBorders>
              <w:bottom w:val="nil"/>
            </w:tcBorders>
            <w:noWrap/>
          </w:tcPr>
          <w:p w14:paraId="30440B93" w14:textId="77777777" w:rsidR="00331B86" w:rsidRPr="00072228" w:rsidRDefault="00331B86" w:rsidP="00331B86">
            <w:pPr>
              <w:pStyle w:val="TableHeading"/>
              <w:keepNext w:val="0"/>
              <w:jc w:val="right"/>
              <w:rPr>
                <w:b w:val="0"/>
              </w:rPr>
            </w:pPr>
            <w:r w:rsidRPr="00072228">
              <w:rPr>
                <w:b w:val="0"/>
              </w:rPr>
              <w:t>$294,034,299</w:t>
            </w:r>
          </w:p>
        </w:tc>
      </w:tr>
      <w:tr w:rsidR="00331B86" w:rsidRPr="002C55F2" w14:paraId="1CF2933E" w14:textId="77777777" w:rsidTr="00331B86">
        <w:trPr>
          <w:trHeight w:val="300"/>
        </w:trPr>
        <w:tc>
          <w:tcPr>
            <w:tcW w:w="1607" w:type="pct"/>
            <w:tcBorders>
              <w:top w:val="nil"/>
              <w:bottom w:val="nil"/>
            </w:tcBorders>
            <w:noWrap/>
          </w:tcPr>
          <w:p w14:paraId="790A0F55" w14:textId="77777777" w:rsidR="00331B86" w:rsidRPr="001B1EEE" w:rsidRDefault="00331B86" w:rsidP="00331B86">
            <w:pPr>
              <w:pStyle w:val="TableHeading"/>
              <w:keepNext w:val="0"/>
              <w:jc w:val="left"/>
              <w:rPr>
                <w:b w:val="0"/>
              </w:rPr>
            </w:pPr>
            <w:r w:rsidRPr="00AB4E3E">
              <w:rPr>
                <w:b w:val="0"/>
              </w:rPr>
              <w:t>Low cost</w:t>
            </w:r>
            <w:r>
              <w:rPr>
                <w:b w:val="0"/>
              </w:rPr>
              <w:t xml:space="preserve"> of Ig</w:t>
            </w:r>
            <w:r w:rsidRPr="00AB4E3E">
              <w:rPr>
                <w:b w:val="0"/>
              </w:rPr>
              <w:t>, $44.94</w:t>
            </w:r>
          </w:p>
        </w:tc>
        <w:tc>
          <w:tcPr>
            <w:tcW w:w="679" w:type="pct"/>
            <w:tcBorders>
              <w:top w:val="nil"/>
              <w:bottom w:val="nil"/>
            </w:tcBorders>
            <w:noWrap/>
          </w:tcPr>
          <w:p w14:paraId="11FB2BBD" w14:textId="77777777" w:rsidR="00331B86" w:rsidRPr="00072228" w:rsidRDefault="00331B86" w:rsidP="00331B86">
            <w:pPr>
              <w:pStyle w:val="TableHeading"/>
              <w:keepNext w:val="0"/>
              <w:jc w:val="right"/>
              <w:rPr>
                <w:b w:val="0"/>
              </w:rPr>
            </w:pPr>
            <w:r w:rsidRPr="00072228">
              <w:rPr>
                <w:b w:val="0"/>
              </w:rPr>
              <w:t>$70,251,742</w:t>
            </w:r>
          </w:p>
        </w:tc>
        <w:tc>
          <w:tcPr>
            <w:tcW w:w="679" w:type="pct"/>
            <w:tcBorders>
              <w:top w:val="nil"/>
              <w:bottom w:val="nil"/>
            </w:tcBorders>
            <w:noWrap/>
          </w:tcPr>
          <w:p w14:paraId="6BC9AEE0" w14:textId="77777777" w:rsidR="00331B86" w:rsidRPr="00072228" w:rsidRDefault="00331B86" w:rsidP="00331B86">
            <w:pPr>
              <w:pStyle w:val="TableHeading"/>
              <w:keepNext w:val="0"/>
              <w:jc w:val="right"/>
              <w:rPr>
                <w:b w:val="0"/>
              </w:rPr>
            </w:pPr>
            <w:r w:rsidRPr="00072228">
              <w:rPr>
                <w:b w:val="0"/>
              </w:rPr>
              <w:t>$75,670,273</w:t>
            </w:r>
          </w:p>
        </w:tc>
        <w:tc>
          <w:tcPr>
            <w:tcW w:w="679" w:type="pct"/>
            <w:tcBorders>
              <w:top w:val="nil"/>
              <w:bottom w:val="nil"/>
            </w:tcBorders>
            <w:noWrap/>
          </w:tcPr>
          <w:p w14:paraId="3346B093" w14:textId="77777777" w:rsidR="00331B86" w:rsidRPr="00072228" w:rsidRDefault="00331B86" w:rsidP="00331B86">
            <w:pPr>
              <w:pStyle w:val="TableHeading"/>
              <w:keepNext w:val="0"/>
              <w:jc w:val="right"/>
              <w:rPr>
                <w:b w:val="0"/>
              </w:rPr>
            </w:pPr>
            <w:r w:rsidRPr="00072228">
              <w:rPr>
                <w:b w:val="0"/>
              </w:rPr>
              <w:t>$81,088,805</w:t>
            </w:r>
          </w:p>
        </w:tc>
        <w:tc>
          <w:tcPr>
            <w:tcW w:w="679" w:type="pct"/>
            <w:tcBorders>
              <w:top w:val="nil"/>
              <w:bottom w:val="nil"/>
            </w:tcBorders>
            <w:noWrap/>
          </w:tcPr>
          <w:p w14:paraId="39F0D224" w14:textId="77777777" w:rsidR="00331B86" w:rsidRPr="00072228" w:rsidRDefault="00331B86" w:rsidP="00331B86">
            <w:pPr>
              <w:pStyle w:val="TableHeading"/>
              <w:keepNext w:val="0"/>
              <w:jc w:val="right"/>
              <w:rPr>
                <w:b w:val="0"/>
              </w:rPr>
            </w:pPr>
            <w:r w:rsidRPr="00072228">
              <w:rPr>
                <w:b w:val="0"/>
              </w:rPr>
              <w:t>$86,507,336</w:t>
            </w:r>
          </w:p>
        </w:tc>
        <w:tc>
          <w:tcPr>
            <w:tcW w:w="678" w:type="pct"/>
            <w:tcBorders>
              <w:top w:val="nil"/>
              <w:bottom w:val="nil"/>
            </w:tcBorders>
            <w:noWrap/>
          </w:tcPr>
          <w:p w14:paraId="66BA87A4" w14:textId="77777777" w:rsidR="00331B86" w:rsidRPr="00072228" w:rsidRDefault="00331B86" w:rsidP="00331B86">
            <w:pPr>
              <w:pStyle w:val="TableHeading"/>
              <w:keepNext w:val="0"/>
              <w:jc w:val="right"/>
              <w:rPr>
                <w:b w:val="0"/>
              </w:rPr>
            </w:pPr>
            <w:r w:rsidRPr="00072228">
              <w:rPr>
                <w:b w:val="0"/>
              </w:rPr>
              <w:t>$91,925,867</w:t>
            </w:r>
          </w:p>
        </w:tc>
      </w:tr>
      <w:tr w:rsidR="00331B86" w:rsidRPr="002C55F2" w14:paraId="5D68E5BA" w14:textId="77777777" w:rsidTr="00331B86">
        <w:trPr>
          <w:trHeight w:val="300"/>
        </w:trPr>
        <w:tc>
          <w:tcPr>
            <w:tcW w:w="1607" w:type="pct"/>
            <w:tcBorders>
              <w:top w:val="nil"/>
            </w:tcBorders>
            <w:noWrap/>
          </w:tcPr>
          <w:p w14:paraId="2107843F" w14:textId="77777777" w:rsidR="00331B86" w:rsidRPr="001B1EEE" w:rsidRDefault="00331B86" w:rsidP="00331B86">
            <w:pPr>
              <w:pStyle w:val="TableHeading"/>
              <w:keepNext w:val="0"/>
              <w:jc w:val="left"/>
              <w:rPr>
                <w:b w:val="0"/>
              </w:rPr>
            </w:pPr>
            <w:r w:rsidRPr="00AB4E3E">
              <w:rPr>
                <w:b w:val="0"/>
              </w:rPr>
              <w:t>Weighted average</w:t>
            </w:r>
            <w:r>
              <w:rPr>
                <w:b w:val="0"/>
              </w:rPr>
              <w:t xml:space="preserve"> cost of Ig</w:t>
            </w:r>
            <w:r w:rsidRPr="00AB4E3E">
              <w:rPr>
                <w:b w:val="0"/>
              </w:rPr>
              <w:t>, $94.51</w:t>
            </w:r>
          </w:p>
        </w:tc>
        <w:tc>
          <w:tcPr>
            <w:tcW w:w="679" w:type="pct"/>
            <w:tcBorders>
              <w:top w:val="nil"/>
            </w:tcBorders>
            <w:noWrap/>
          </w:tcPr>
          <w:p w14:paraId="38692CBE" w14:textId="77777777" w:rsidR="00331B86" w:rsidRPr="00072228" w:rsidRDefault="00331B86" w:rsidP="00331B86">
            <w:pPr>
              <w:pStyle w:val="TableHeading"/>
              <w:keepNext w:val="0"/>
              <w:jc w:val="right"/>
              <w:rPr>
                <w:b w:val="0"/>
              </w:rPr>
            </w:pPr>
            <w:r w:rsidRPr="00072228">
              <w:rPr>
                <w:b w:val="0"/>
              </w:rPr>
              <w:t>$150,773,057</w:t>
            </w:r>
          </w:p>
        </w:tc>
        <w:tc>
          <w:tcPr>
            <w:tcW w:w="679" w:type="pct"/>
            <w:tcBorders>
              <w:top w:val="nil"/>
            </w:tcBorders>
            <w:noWrap/>
          </w:tcPr>
          <w:p w14:paraId="35E65648" w14:textId="77777777" w:rsidR="00331B86" w:rsidRPr="00072228" w:rsidRDefault="00331B86" w:rsidP="00331B86">
            <w:pPr>
              <w:pStyle w:val="TableHeading"/>
              <w:keepNext w:val="0"/>
              <w:jc w:val="right"/>
              <w:rPr>
                <w:b w:val="0"/>
              </w:rPr>
            </w:pPr>
            <w:r w:rsidRPr="00072228">
              <w:rPr>
                <w:b w:val="0"/>
              </w:rPr>
              <w:t>$162,357,562</w:t>
            </w:r>
          </w:p>
        </w:tc>
        <w:tc>
          <w:tcPr>
            <w:tcW w:w="679" w:type="pct"/>
            <w:tcBorders>
              <w:top w:val="nil"/>
            </w:tcBorders>
            <w:noWrap/>
          </w:tcPr>
          <w:p w14:paraId="6088D927" w14:textId="77777777" w:rsidR="00331B86" w:rsidRPr="00072228" w:rsidRDefault="00331B86" w:rsidP="00331B86">
            <w:pPr>
              <w:pStyle w:val="TableHeading"/>
              <w:keepNext w:val="0"/>
              <w:jc w:val="right"/>
              <w:rPr>
                <w:b w:val="0"/>
              </w:rPr>
            </w:pPr>
            <w:r w:rsidRPr="00072228">
              <w:rPr>
                <w:b w:val="0"/>
              </w:rPr>
              <w:t>$173,942,066</w:t>
            </w:r>
          </w:p>
        </w:tc>
        <w:tc>
          <w:tcPr>
            <w:tcW w:w="679" w:type="pct"/>
            <w:tcBorders>
              <w:top w:val="nil"/>
            </w:tcBorders>
            <w:noWrap/>
          </w:tcPr>
          <w:p w14:paraId="7CFF9491" w14:textId="77777777" w:rsidR="00331B86" w:rsidRPr="00072228" w:rsidRDefault="00331B86" w:rsidP="00331B86">
            <w:pPr>
              <w:pStyle w:val="TableHeading"/>
              <w:keepNext w:val="0"/>
              <w:jc w:val="right"/>
              <w:rPr>
                <w:b w:val="0"/>
              </w:rPr>
            </w:pPr>
            <w:r w:rsidRPr="00072228">
              <w:rPr>
                <w:b w:val="0"/>
              </w:rPr>
              <w:t>$185,526,570</w:t>
            </w:r>
          </w:p>
        </w:tc>
        <w:tc>
          <w:tcPr>
            <w:tcW w:w="678" w:type="pct"/>
            <w:tcBorders>
              <w:top w:val="nil"/>
            </w:tcBorders>
            <w:noWrap/>
          </w:tcPr>
          <w:p w14:paraId="73F371FD" w14:textId="77777777" w:rsidR="00331B86" w:rsidRPr="00072228" w:rsidRDefault="00331B86" w:rsidP="00331B86">
            <w:pPr>
              <w:pStyle w:val="TableHeading"/>
              <w:keepNext w:val="0"/>
              <w:jc w:val="right"/>
              <w:rPr>
                <w:b w:val="0"/>
              </w:rPr>
            </w:pPr>
            <w:r w:rsidRPr="00072228">
              <w:rPr>
                <w:b w:val="0"/>
              </w:rPr>
              <w:t>$197,111,075</w:t>
            </w:r>
          </w:p>
        </w:tc>
      </w:tr>
    </w:tbl>
    <w:p w14:paraId="1C42034A" w14:textId="77777777" w:rsidR="00331B86" w:rsidRDefault="00331B86" w:rsidP="00331B86">
      <w:pPr>
        <w:pStyle w:val="Tablenotes0"/>
      </w:pPr>
      <w:r w:rsidRPr="00C736B8">
        <w:rPr>
          <w:b/>
        </w:rPr>
        <w:t>Abbreviations:</w:t>
      </w:r>
      <w:r>
        <w:t xml:space="preserve"> Ig = immunoglobulin.</w:t>
      </w:r>
    </w:p>
    <w:p w14:paraId="2B84E4E2" w14:textId="08BC9450" w:rsidR="00331B86" w:rsidRDefault="00331B86" w:rsidP="00331B86">
      <w:pPr>
        <w:pStyle w:val="Tablenotes0"/>
      </w:pPr>
      <w:r w:rsidRPr="00C736B8">
        <w:rPr>
          <w:b/>
        </w:rPr>
        <w:t>Source:</w:t>
      </w:r>
      <w:r>
        <w:t xml:space="preserve"> Contracted Assessment, Tables 9 and 69.</w:t>
      </w:r>
    </w:p>
    <w:p w14:paraId="45928240" w14:textId="1F6F052A" w:rsidR="00B81123" w:rsidRPr="001572CD" w:rsidRDefault="00B81123" w:rsidP="00331B86">
      <w:pPr>
        <w:pStyle w:val="Tablenotes0"/>
        <w:rPr>
          <w:szCs w:val="18"/>
        </w:rPr>
      </w:pPr>
      <w:r w:rsidRPr="001572CD">
        <w:rPr>
          <w:b/>
        </w:rPr>
        <w:t>Note:</w:t>
      </w:r>
      <w:r>
        <w:t xml:space="preserve"> </w:t>
      </w:r>
      <w:r w:rsidR="001572CD">
        <w:t xml:space="preserve">Financial </w:t>
      </w:r>
      <w:r w:rsidR="001572CD">
        <w:rPr>
          <w:szCs w:val="18"/>
        </w:rPr>
        <w:t>e</w:t>
      </w:r>
      <w:r w:rsidRPr="001572CD">
        <w:rPr>
          <w:szCs w:val="18"/>
        </w:rPr>
        <w:t xml:space="preserve">stimates are based on the </w:t>
      </w:r>
      <w:r w:rsidR="001572CD" w:rsidRPr="001572CD">
        <w:rPr>
          <w:szCs w:val="18"/>
        </w:rPr>
        <w:t xml:space="preserve">price of Ig </w:t>
      </w:r>
      <w:r w:rsidR="001572CD">
        <w:rPr>
          <w:szCs w:val="18"/>
        </w:rPr>
        <w:t xml:space="preserve">provided by the Applicant </w:t>
      </w:r>
      <w:r w:rsidR="001572CD" w:rsidRPr="001572CD">
        <w:rPr>
          <w:szCs w:val="18"/>
        </w:rPr>
        <w:t xml:space="preserve">that was estimated retrospectively based on costs over 2017/18. </w:t>
      </w:r>
      <w:r w:rsidR="001572CD" w:rsidRPr="001572CD">
        <w:rPr>
          <w:rStyle w:val="CommentReference"/>
          <w:rFonts w:eastAsia="Times New Roman" w:cs="Times New Roman"/>
          <w:sz w:val="18"/>
          <w:szCs w:val="18"/>
          <w:lang w:eastAsia="en-AU"/>
        </w:rPr>
        <w:t>Prices</w:t>
      </w:r>
      <w:r w:rsidRPr="001572CD">
        <w:rPr>
          <w:szCs w:val="18"/>
        </w:rPr>
        <w:t xml:space="preserve"> may change in the future.</w:t>
      </w:r>
    </w:p>
    <w:p w14:paraId="244D7204" w14:textId="77777777" w:rsidR="00F636F1" w:rsidRPr="00F715D1" w:rsidRDefault="00F636F1" w:rsidP="009735F2">
      <w:pPr>
        <w:pStyle w:val="Heading1"/>
      </w:pPr>
      <w:r w:rsidRPr="00F715D1">
        <w:lastRenderedPageBreak/>
        <w:t>Key issues from ESC for MSAC</w:t>
      </w:r>
    </w:p>
    <w:tbl>
      <w:tblPr>
        <w:tblStyle w:val="TableGrid"/>
        <w:tblW w:w="0" w:type="auto"/>
        <w:tblLook w:val="04A0" w:firstRow="1" w:lastRow="0" w:firstColumn="1" w:lastColumn="0" w:noHBand="0" w:noVBand="1"/>
        <w:tblCaption w:val="Key issues from ESC for MSAC"/>
      </w:tblPr>
      <w:tblGrid>
        <w:gridCol w:w="4336"/>
        <w:gridCol w:w="4680"/>
      </w:tblGrid>
      <w:tr w:rsidR="00331B86" w:rsidRPr="008469B8" w14:paraId="4F83D926" w14:textId="77777777" w:rsidTr="00331B86">
        <w:trPr>
          <w:trHeight w:val="556"/>
          <w:tblHeader/>
        </w:trPr>
        <w:tc>
          <w:tcPr>
            <w:tcW w:w="4336" w:type="dxa"/>
            <w:tcBorders>
              <w:top w:val="single" w:sz="4" w:space="0" w:color="auto"/>
              <w:left w:val="single" w:sz="4" w:space="0" w:color="auto"/>
              <w:bottom w:val="single" w:sz="4" w:space="0" w:color="auto"/>
              <w:right w:val="single" w:sz="4" w:space="0" w:color="auto"/>
            </w:tcBorders>
            <w:vAlign w:val="center"/>
            <w:hideMark/>
          </w:tcPr>
          <w:p w14:paraId="4A1BDAF8" w14:textId="77777777" w:rsidR="00331B86" w:rsidRPr="008469B8" w:rsidRDefault="00331B86" w:rsidP="009735F2">
            <w:pPr>
              <w:keepNext/>
              <w:keepLines/>
              <w:rPr>
                <w:rFonts w:ascii="Arial Narrow" w:hAnsi="Arial Narrow"/>
                <w:b/>
                <w:szCs w:val="22"/>
              </w:rPr>
            </w:pPr>
            <w:r w:rsidRPr="008469B8">
              <w:rPr>
                <w:rFonts w:ascii="Arial Narrow" w:hAnsi="Arial Narrow"/>
                <w:b/>
                <w:szCs w:val="22"/>
              </w:rPr>
              <w:t>ESC key issue</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9AC3BEE" w14:textId="77777777" w:rsidR="00331B86" w:rsidRPr="008469B8" w:rsidRDefault="00331B86" w:rsidP="009735F2">
            <w:pPr>
              <w:keepNext/>
              <w:keepLines/>
              <w:rPr>
                <w:rFonts w:ascii="Arial Narrow" w:hAnsi="Arial Narrow"/>
                <w:b/>
                <w:szCs w:val="22"/>
              </w:rPr>
            </w:pPr>
            <w:r w:rsidRPr="008469B8">
              <w:rPr>
                <w:rFonts w:ascii="Arial Narrow" w:hAnsi="Arial Narrow"/>
                <w:b/>
                <w:szCs w:val="22"/>
              </w:rPr>
              <w:t>ESC advice to MSAC</w:t>
            </w:r>
          </w:p>
        </w:tc>
      </w:tr>
      <w:tr w:rsidR="00331B86" w:rsidRPr="008469B8" w14:paraId="1F42CD57" w14:textId="77777777" w:rsidTr="00331B86">
        <w:tc>
          <w:tcPr>
            <w:tcW w:w="4336" w:type="dxa"/>
            <w:tcBorders>
              <w:top w:val="single" w:sz="4" w:space="0" w:color="auto"/>
              <w:left w:val="single" w:sz="4" w:space="0" w:color="auto"/>
              <w:bottom w:val="single" w:sz="4" w:space="0" w:color="auto"/>
              <w:right w:val="single" w:sz="4" w:space="0" w:color="auto"/>
            </w:tcBorders>
          </w:tcPr>
          <w:p w14:paraId="102E6FC8" w14:textId="77777777" w:rsidR="00331B86" w:rsidRPr="00405DED" w:rsidRDefault="00331B86" w:rsidP="009735F2">
            <w:pPr>
              <w:keepNext/>
              <w:keepLines/>
              <w:spacing w:after="120"/>
              <w:rPr>
                <w:rFonts w:ascii="Arial Narrow" w:hAnsi="Arial Narrow"/>
                <w:szCs w:val="22"/>
              </w:rPr>
            </w:pPr>
            <w:r>
              <w:rPr>
                <w:rFonts w:ascii="Arial Narrow" w:hAnsi="Arial Narrow"/>
                <w:szCs w:val="22"/>
              </w:rPr>
              <w:t>High and uncertain ICER which is very sensitive to the inclusion of the bronchiectasis health states</w:t>
            </w:r>
          </w:p>
        </w:tc>
        <w:tc>
          <w:tcPr>
            <w:tcW w:w="4680" w:type="dxa"/>
            <w:tcBorders>
              <w:top w:val="single" w:sz="4" w:space="0" w:color="auto"/>
              <w:left w:val="single" w:sz="4" w:space="0" w:color="auto"/>
              <w:bottom w:val="single" w:sz="4" w:space="0" w:color="auto"/>
              <w:right w:val="single" w:sz="4" w:space="0" w:color="auto"/>
            </w:tcBorders>
          </w:tcPr>
          <w:p w14:paraId="6083117D" w14:textId="77777777" w:rsidR="00331B86" w:rsidRPr="007E04E3" w:rsidRDefault="00331B86" w:rsidP="009735F2">
            <w:pPr>
              <w:keepNext/>
              <w:keepLines/>
              <w:spacing w:after="120"/>
              <w:rPr>
                <w:rFonts w:ascii="Arial Narrow" w:hAnsi="Arial Narrow"/>
                <w:szCs w:val="22"/>
                <w:lang w:val="en-US"/>
              </w:rPr>
            </w:pPr>
            <w:r w:rsidRPr="007E04E3">
              <w:rPr>
                <w:rFonts w:ascii="Arial Narrow" w:hAnsi="Arial Narrow"/>
                <w:szCs w:val="22"/>
              </w:rPr>
              <w:t>Provide a rationale for the large impact of bronchiectasis health states and factors driving this (Addendum p.1).</w:t>
            </w:r>
            <w:r w:rsidRPr="007E04E3">
              <w:rPr>
                <w:rFonts w:ascii="Arial Narrow" w:hAnsi="Arial Narrow"/>
                <w:szCs w:val="22"/>
                <w:lang w:val="en-US"/>
              </w:rPr>
              <w:t xml:space="preserve"> </w:t>
            </w:r>
            <w:r w:rsidRPr="007E04E3">
              <w:rPr>
                <w:rFonts w:ascii="Arial Narrow" w:hAnsi="Arial Narrow"/>
                <w:szCs w:val="22"/>
              </w:rPr>
              <w:t xml:space="preserve">Add a sensitivity analysis with low, but non-zero, transition probabilities to the bronchiectasis health states (p.1). </w:t>
            </w:r>
          </w:p>
        </w:tc>
      </w:tr>
      <w:tr w:rsidR="00331B86" w:rsidRPr="008469B8" w14:paraId="3EF9278F" w14:textId="77777777" w:rsidTr="00331B86">
        <w:tc>
          <w:tcPr>
            <w:tcW w:w="4336" w:type="dxa"/>
            <w:tcBorders>
              <w:top w:val="single" w:sz="4" w:space="0" w:color="auto"/>
              <w:left w:val="single" w:sz="4" w:space="0" w:color="auto"/>
              <w:bottom w:val="single" w:sz="4" w:space="0" w:color="auto"/>
              <w:right w:val="single" w:sz="4" w:space="0" w:color="auto"/>
            </w:tcBorders>
          </w:tcPr>
          <w:p w14:paraId="60CC4FC8" w14:textId="77777777" w:rsidR="00331B86" w:rsidRDefault="00331B86" w:rsidP="009735F2">
            <w:pPr>
              <w:keepNext/>
              <w:keepLines/>
              <w:spacing w:after="120"/>
              <w:rPr>
                <w:rFonts w:ascii="Arial Narrow" w:hAnsi="Arial Narrow"/>
                <w:szCs w:val="22"/>
              </w:rPr>
            </w:pPr>
            <w:r>
              <w:rPr>
                <w:rFonts w:ascii="Arial Narrow" w:hAnsi="Arial Narrow"/>
                <w:szCs w:val="22"/>
              </w:rPr>
              <w:t>Poor reporting of antibiotic use</w:t>
            </w:r>
          </w:p>
        </w:tc>
        <w:tc>
          <w:tcPr>
            <w:tcW w:w="4680" w:type="dxa"/>
            <w:tcBorders>
              <w:top w:val="single" w:sz="4" w:space="0" w:color="auto"/>
              <w:left w:val="single" w:sz="4" w:space="0" w:color="auto"/>
              <w:bottom w:val="single" w:sz="4" w:space="0" w:color="auto"/>
              <w:right w:val="single" w:sz="4" w:space="0" w:color="auto"/>
            </w:tcBorders>
          </w:tcPr>
          <w:p w14:paraId="191D88F2" w14:textId="333D1F6B" w:rsidR="00331B86" w:rsidRPr="008B3DFC" w:rsidRDefault="00331B86" w:rsidP="009735F2">
            <w:pPr>
              <w:keepNext/>
              <w:keepLines/>
              <w:rPr>
                <w:rFonts w:ascii="Arial Narrow" w:hAnsi="Arial Narrow"/>
                <w:szCs w:val="22"/>
                <w:lang w:val="en-US"/>
              </w:rPr>
            </w:pPr>
            <w:r w:rsidRPr="008B3DFC">
              <w:rPr>
                <w:rFonts w:ascii="Arial Narrow" w:hAnsi="Arial Narrow"/>
                <w:szCs w:val="22"/>
              </w:rPr>
              <w:t xml:space="preserve">It was not possible to evaluate the claim that Ig with or without antibiotics is superior to No Ig with or without antibiotics due to poor reporting of antibiotic use.  </w:t>
            </w:r>
          </w:p>
          <w:p w14:paraId="1D1B64DD" w14:textId="3AE73F38" w:rsidR="00331B86" w:rsidRPr="00665E12" w:rsidDel="002C67ED" w:rsidRDefault="00331B86" w:rsidP="001477A0">
            <w:pPr>
              <w:keepNext/>
              <w:keepLines/>
              <w:rPr>
                <w:rFonts w:ascii="Arial Narrow" w:hAnsi="Arial Narrow"/>
                <w:szCs w:val="22"/>
              </w:rPr>
            </w:pPr>
            <w:r w:rsidRPr="008B3DFC">
              <w:rPr>
                <w:rFonts w:ascii="Arial Narrow" w:hAnsi="Arial Narrow"/>
                <w:szCs w:val="22"/>
              </w:rPr>
              <w:t xml:space="preserve">The clinical evidence in the included studies support a claim of superior efficacy, but inferior safety for Ig compared to no Ig (with antibiotic use defined as part of supportive care).  </w:t>
            </w:r>
          </w:p>
        </w:tc>
      </w:tr>
      <w:tr w:rsidR="00331B86" w:rsidRPr="008469B8" w14:paraId="496BD55A" w14:textId="77777777" w:rsidTr="00331B86">
        <w:trPr>
          <w:trHeight w:val="925"/>
        </w:trPr>
        <w:tc>
          <w:tcPr>
            <w:tcW w:w="4336" w:type="dxa"/>
            <w:tcBorders>
              <w:top w:val="single" w:sz="4" w:space="0" w:color="auto"/>
              <w:left w:val="single" w:sz="4" w:space="0" w:color="auto"/>
              <w:bottom w:val="single" w:sz="4" w:space="0" w:color="auto"/>
              <w:right w:val="single" w:sz="4" w:space="0" w:color="auto"/>
            </w:tcBorders>
          </w:tcPr>
          <w:p w14:paraId="776F7868" w14:textId="77777777" w:rsidR="00331B86" w:rsidRDefault="00331B86" w:rsidP="009735F2">
            <w:pPr>
              <w:keepNext/>
              <w:keepLines/>
              <w:rPr>
                <w:rFonts w:ascii="Arial Narrow" w:hAnsi="Arial Narrow"/>
                <w:szCs w:val="22"/>
              </w:rPr>
            </w:pPr>
            <w:r>
              <w:rPr>
                <w:rFonts w:ascii="Arial Narrow" w:hAnsi="Arial Narrow"/>
                <w:szCs w:val="22"/>
              </w:rPr>
              <w:t xml:space="preserve">Lack of evidence for some haematological malignancies eligible for Ig  </w:t>
            </w:r>
          </w:p>
        </w:tc>
        <w:tc>
          <w:tcPr>
            <w:tcW w:w="4680" w:type="dxa"/>
            <w:tcBorders>
              <w:top w:val="single" w:sz="4" w:space="0" w:color="auto"/>
              <w:left w:val="single" w:sz="4" w:space="0" w:color="auto"/>
              <w:bottom w:val="single" w:sz="4" w:space="0" w:color="auto"/>
              <w:right w:val="single" w:sz="4" w:space="0" w:color="auto"/>
            </w:tcBorders>
          </w:tcPr>
          <w:p w14:paraId="0A6B175C" w14:textId="77777777" w:rsidR="00331B86" w:rsidRPr="00665E12" w:rsidRDefault="00331B86" w:rsidP="009735F2">
            <w:pPr>
              <w:keepNext/>
              <w:keepLines/>
              <w:rPr>
                <w:rFonts w:ascii="Arial Narrow" w:hAnsi="Arial Narrow"/>
                <w:szCs w:val="22"/>
              </w:rPr>
            </w:pPr>
            <w:r w:rsidRPr="008B3DFC">
              <w:rPr>
                <w:rFonts w:ascii="Arial Narrow" w:hAnsi="Arial Narrow"/>
                <w:szCs w:val="22"/>
              </w:rPr>
              <w:t xml:space="preserve">Trials were reported for patients with chronic lymphocytic leukaemia (CLL), multiple myeloma (MM), and those who underwent HSCT. No adequate randomised trials were identified in patients with acute leukaemia (AL), non-Hodgkin lymphoma (NHL), or ‘other haematological malignancies’. However, it was considered plausible that similar outcomes would be observed in AL, NHL and ‘other’ haematological malignancies, assuming the patients satisfied the criteria for hypogammaglobulinaemia and history of infections. </w:t>
            </w:r>
          </w:p>
        </w:tc>
      </w:tr>
      <w:tr w:rsidR="00331B86" w:rsidRPr="008469B8" w14:paraId="7853E5E2" w14:textId="77777777" w:rsidTr="00331B86">
        <w:trPr>
          <w:trHeight w:val="925"/>
        </w:trPr>
        <w:tc>
          <w:tcPr>
            <w:tcW w:w="4336" w:type="dxa"/>
            <w:tcBorders>
              <w:top w:val="single" w:sz="4" w:space="0" w:color="auto"/>
              <w:left w:val="single" w:sz="4" w:space="0" w:color="auto"/>
              <w:bottom w:val="single" w:sz="4" w:space="0" w:color="auto"/>
              <w:right w:val="single" w:sz="4" w:space="0" w:color="auto"/>
            </w:tcBorders>
          </w:tcPr>
          <w:p w14:paraId="48E4A8A0" w14:textId="77777777" w:rsidR="00331B86" w:rsidRDefault="00331B86" w:rsidP="009735F2">
            <w:pPr>
              <w:keepNext/>
              <w:keepLines/>
              <w:rPr>
                <w:rFonts w:ascii="Arial Narrow" w:hAnsi="Arial Narrow"/>
                <w:szCs w:val="22"/>
              </w:rPr>
            </w:pPr>
            <w:r>
              <w:rPr>
                <w:rFonts w:ascii="Arial Narrow" w:hAnsi="Arial Narrow"/>
                <w:szCs w:val="22"/>
              </w:rPr>
              <w:t>Methodological heterogeneity between trials in dosing, frequency, criteria for discontinuation, and assessment of treatment response</w:t>
            </w:r>
          </w:p>
        </w:tc>
        <w:tc>
          <w:tcPr>
            <w:tcW w:w="4680" w:type="dxa"/>
            <w:tcBorders>
              <w:top w:val="single" w:sz="4" w:space="0" w:color="auto"/>
              <w:left w:val="single" w:sz="4" w:space="0" w:color="auto"/>
              <w:bottom w:val="single" w:sz="4" w:space="0" w:color="auto"/>
              <w:right w:val="single" w:sz="4" w:space="0" w:color="auto"/>
            </w:tcBorders>
          </w:tcPr>
          <w:p w14:paraId="0725CE2E" w14:textId="77777777" w:rsidR="00331B86" w:rsidRPr="008B3DFC" w:rsidRDefault="00331B86" w:rsidP="009735F2">
            <w:pPr>
              <w:keepNext/>
              <w:keepLines/>
              <w:rPr>
                <w:rFonts w:ascii="Arial Narrow" w:hAnsi="Arial Narrow"/>
                <w:szCs w:val="22"/>
                <w:lang w:val="en-US"/>
              </w:rPr>
            </w:pPr>
            <w:r w:rsidRPr="008B3DFC">
              <w:rPr>
                <w:rFonts w:ascii="Arial Narrow" w:hAnsi="Arial Narrow"/>
                <w:szCs w:val="22"/>
              </w:rPr>
              <w:t>This evaluation could not address:</w:t>
            </w:r>
          </w:p>
          <w:p w14:paraId="50637C33" w14:textId="77777777" w:rsidR="00331B86" w:rsidRPr="008B3DFC" w:rsidRDefault="00331B86" w:rsidP="009735F2">
            <w:pPr>
              <w:pStyle w:val="ListParagraph"/>
              <w:keepNext/>
              <w:keepLines/>
              <w:numPr>
                <w:ilvl w:val="0"/>
                <w:numId w:val="4"/>
              </w:numPr>
              <w:rPr>
                <w:rFonts w:ascii="Arial Narrow" w:hAnsi="Arial Narrow"/>
                <w:szCs w:val="22"/>
                <w:lang w:val="en-US"/>
              </w:rPr>
            </w:pPr>
            <w:r w:rsidRPr="008B3DFC">
              <w:rPr>
                <w:rFonts w:ascii="Arial Narrow" w:hAnsi="Arial Narrow"/>
                <w:szCs w:val="22"/>
              </w:rPr>
              <w:t xml:space="preserve">Confirmation of a clinically active Ig dose or frequency of dosing from the trials. Most studies included explored Ig doses between 200 and 500 mg/kg given every 3-4 weeks. </w:t>
            </w:r>
          </w:p>
          <w:p w14:paraId="13A080EE" w14:textId="77777777" w:rsidR="00331B86" w:rsidRPr="008B3DFC" w:rsidRDefault="00331B86" w:rsidP="009735F2">
            <w:pPr>
              <w:pStyle w:val="ListParagraph"/>
              <w:keepNext/>
              <w:keepLines/>
              <w:numPr>
                <w:ilvl w:val="0"/>
                <w:numId w:val="4"/>
              </w:numPr>
              <w:rPr>
                <w:rFonts w:ascii="Arial Narrow" w:hAnsi="Arial Narrow"/>
                <w:szCs w:val="22"/>
                <w:lang w:val="en-US"/>
              </w:rPr>
            </w:pPr>
            <w:r w:rsidRPr="008B3DFC">
              <w:rPr>
                <w:rFonts w:ascii="Arial Narrow" w:hAnsi="Arial Narrow"/>
                <w:szCs w:val="22"/>
              </w:rPr>
              <w:t xml:space="preserve">A single definition of adequate treatment response: a reduction in incidence or infection rate was usually taken as evidence of a response. Timeframes for assessment were highly variable. </w:t>
            </w:r>
          </w:p>
          <w:p w14:paraId="0F7EDA1E" w14:textId="547122AE" w:rsidR="00331B86" w:rsidRPr="008B3DFC" w:rsidRDefault="00331B86" w:rsidP="009735F2">
            <w:pPr>
              <w:pStyle w:val="ListParagraph"/>
              <w:keepNext/>
              <w:keepLines/>
              <w:numPr>
                <w:ilvl w:val="0"/>
                <w:numId w:val="4"/>
              </w:numPr>
              <w:rPr>
                <w:rFonts w:ascii="Arial Narrow" w:hAnsi="Arial Narrow"/>
                <w:szCs w:val="22"/>
                <w:lang w:val="en-US"/>
              </w:rPr>
            </w:pPr>
            <w:r w:rsidRPr="008B3DFC">
              <w:rPr>
                <w:rFonts w:ascii="Arial Narrow" w:hAnsi="Arial Narrow"/>
                <w:szCs w:val="22"/>
              </w:rPr>
              <w:t xml:space="preserve">Criteria for discontinuation. An initial patient response in terms of infections seemed to be adequate reason for ongoing Ig replacement, which often lasted for some months or years. </w:t>
            </w:r>
          </w:p>
          <w:p w14:paraId="10827875" w14:textId="77777777" w:rsidR="00331B86" w:rsidRPr="008B3DFC" w:rsidRDefault="00331B86" w:rsidP="009735F2">
            <w:pPr>
              <w:pStyle w:val="ListParagraph"/>
              <w:keepNext/>
              <w:keepLines/>
              <w:numPr>
                <w:ilvl w:val="0"/>
                <w:numId w:val="4"/>
              </w:numPr>
              <w:rPr>
                <w:rFonts w:ascii="Arial Narrow" w:hAnsi="Arial Narrow"/>
                <w:b/>
                <w:szCs w:val="22"/>
              </w:rPr>
            </w:pPr>
            <w:r w:rsidRPr="008B3DFC">
              <w:rPr>
                <w:rFonts w:ascii="Arial Narrow" w:hAnsi="Arial Narrow"/>
                <w:szCs w:val="22"/>
              </w:rPr>
              <w:t>Frequency of serum IgG monitoring as a basis for response assessment or a decision to discontinue.</w:t>
            </w:r>
          </w:p>
        </w:tc>
      </w:tr>
      <w:tr w:rsidR="00331B86" w:rsidRPr="008469B8" w14:paraId="3D8F37D6" w14:textId="77777777" w:rsidTr="00331B86">
        <w:trPr>
          <w:trHeight w:val="925"/>
        </w:trPr>
        <w:tc>
          <w:tcPr>
            <w:tcW w:w="4336" w:type="dxa"/>
            <w:tcBorders>
              <w:top w:val="single" w:sz="4" w:space="0" w:color="auto"/>
              <w:left w:val="single" w:sz="4" w:space="0" w:color="auto"/>
              <w:bottom w:val="single" w:sz="4" w:space="0" w:color="auto"/>
              <w:right w:val="single" w:sz="4" w:space="0" w:color="auto"/>
            </w:tcBorders>
          </w:tcPr>
          <w:p w14:paraId="45A716F2" w14:textId="134C572A" w:rsidR="00331B86" w:rsidRPr="008469B8" w:rsidRDefault="00331B86" w:rsidP="001477A0">
            <w:pPr>
              <w:keepNext/>
              <w:keepLines/>
              <w:rPr>
                <w:rFonts w:ascii="Arial Narrow" w:hAnsi="Arial Narrow"/>
                <w:szCs w:val="22"/>
              </w:rPr>
            </w:pPr>
            <w:r>
              <w:rPr>
                <w:rFonts w:ascii="Arial Narrow" w:hAnsi="Arial Narrow"/>
                <w:szCs w:val="22"/>
              </w:rPr>
              <w:t>Policy question on the maximum price at which Ig is cost-effective in this population</w:t>
            </w:r>
          </w:p>
        </w:tc>
        <w:tc>
          <w:tcPr>
            <w:tcW w:w="4680" w:type="dxa"/>
            <w:tcBorders>
              <w:top w:val="single" w:sz="4" w:space="0" w:color="auto"/>
              <w:left w:val="single" w:sz="4" w:space="0" w:color="auto"/>
              <w:bottom w:val="single" w:sz="4" w:space="0" w:color="auto"/>
              <w:right w:val="single" w:sz="4" w:space="0" w:color="auto"/>
            </w:tcBorders>
          </w:tcPr>
          <w:p w14:paraId="362827E4" w14:textId="1535867E" w:rsidR="00331B86" w:rsidRPr="00665E12" w:rsidRDefault="00331B86">
            <w:pPr>
              <w:keepNext/>
              <w:keepLines/>
              <w:spacing w:after="120"/>
              <w:rPr>
                <w:rFonts w:ascii="Arial Narrow" w:hAnsi="Arial Narrow"/>
                <w:szCs w:val="22"/>
              </w:rPr>
            </w:pPr>
            <w:r w:rsidRPr="00665E12">
              <w:rPr>
                <w:rFonts w:ascii="Arial Narrow" w:hAnsi="Arial Narrow"/>
                <w:szCs w:val="22"/>
              </w:rPr>
              <w:t>One of the sensitivity analyses in the Contracted Assessment for the ‘low cost of Ig’ of $44.94</w:t>
            </w:r>
            <w:r>
              <w:rPr>
                <w:rFonts w:ascii="Arial Narrow" w:hAnsi="Arial Narrow"/>
                <w:szCs w:val="22"/>
              </w:rPr>
              <w:t>/gram</w:t>
            </w:r>
            <w:r w:rsidRPr="00665E12">
              <w:rPr>
                <w:rFonts w:ascii="Arial Narrow" w:hAnsi="Arial Narrow"/>
                <w:szCs w:val="22"/>
              </w:rPr>
              <w:t xml:space="preserve"> produces an ICER of $63,782/QALY.</w:t>
            </w:r>
            <w:r>
              <w:rPr>
                <w:rFonts w:ascii="Arial Narrow" w:hAnsi="Arial Narrow"/>
                <w:szCs w:val="22"/>
              </w:rPr>
              <w:t xml:space="preserve"> The impact of</w:t>
            </w:r>
            <w:r w:rsidRPr="00665E12">
              <w:rPr>
                <w:rFonts w:ascii="Arial Narrow" w:hAnsi="Arial Narrow"/>
                <w:szCs w:val="22"/>
              </w:rPr>
              <w:t xml:space="preserve"> global supply issues and increasing demand for Ig</w:t>
            </w:r>
            <w:r>
              <w:rPr>
                <w:rFonts w:ascii="Arial Narrow" w:hAnsi="Arial Narrow"/>
                <w:szCs w:val="22"/>
              </w:rPr>
              <w:t xml:space="preserve"> on prices for Ig was acknowledged by ESC </w:t>
            </w:r>
            <w:r w:rsidRPr="00665E12">
              <w:rPr>
                <w:rFonts w:ascii="Arial Narrow" w:hAnsi="Arial Narrow"/>
                <w:szCs w:val="22"/>
              </w:rPr>
              <w:t>.</w:t>
            </w:r>
          </w:p>
        </w:tc>
      </w:tr>
      <w:tr w:rsidR="00331B86" w:rsidRPr="008469B8" w:rsidDel="00CF461C" w14:paraId="1CA5E80B" w14:textId="77777777" w:rsidTr="00331B86">
        <w:trPr>
          <w:trHeight w:val="733"/>
        </w:trPr>
        <w:tc>
          <w:tcPr>
            <w:tcW w:w="4336" w:type="dxa"/>
            <w:tcBorders>
              <w:top w:val="single" w:sz="4" w:space="0" w:color="auto"/>
              <w:left w:val="single" w:sz="4" w:space="0" w:color="auto"/>
              <w:bottom w:val="single" w:sz="4" w:space="0" w:color="auto"/>
              <w:right w:val="single" w:sz="4" w:space="0" w:color="auto"/>
            </w:tcBorders>
          </w:tcPr>
          <w:p w14:paraId="3A5DD6B2" w14:textId="77777777" w:rsidR="00331B86" w:rsidRPr="00A13C9E" w:rsidRDefault="00331B86" w:rsidP="00331B86">
            <w:pPr>
              <w:spacing w:after="120"/>
              <w:rPr>
                <w:rFonts w:ascii="Arial Narrow" w:hAnsi="Arial Narrow"/>
                <w:szCs w:val="22"/>
                <w:lang w:val="en-US"/>
              </w:rPr>
            </w:pPr>
            <w:r w:rsidRPr="00A13C9E">
              <w:rPr>
                <w:rFonts w:ascii="Arial Narrow" w:hAnsi="Arial Narrow"/>
                <w:szCs w:val="22"/>
              </w:rPr>
              <w:t>Very large financial implications coupled with large uncertain ICERs</w:t>
            </w:r>
          </w:p>
        </w:tc>
        <w:tc>
          <w:tcPr>
            <w:tcW w:w="4680" w:type="dxa"/>
            <w:tcBorders>
              <w:top w:val="single" w:sz="4" w:space="0" w:color="auto"/>
              <w:left w:val="single" w:sz="4" w:space="0" w:color="auto"/>
              <w:bottom w:val="single" w:sz="4" w:space="0" w:color="auto"/>
              <w:right w:val="single" w:sz="4" w:space="0" w:color="auto"/>
            </w:tcBorders>
          </w:tcPr>
          <w:p w14:paraId="3D024F38" w14:textId="41754A71" w:rsidR="00331B86" w:rsidRPr="00665E12" w:rsidDel="00CF461C" w:rsidRDefault="00331B86" w:rsidP="001477A0">
            <w:pPr>
              <w:spacing w:after="120"/>
              <w:rPr>
                <w:rFonts w:ascii="Arial Narrow" w:hAnsi="Arial Narrow"/>
                <w:szCs w:val="22"/>
              </w:rPr>
            </w:pPr>
            <w:r>
              <w:rPr>
                <w:rFonts w:ascii="Arial Narrow" w:hAnsi="Arial Narrow"/>
                <w:szCs w:val="22"/>
              </w:rPr>
              <w:t xml:space="preserve">There is </w:t>
            </w:r>
            <w:r w:rsidRPr="008B3DFC">
              <w:rPr>
                <w:rFonts w:ascii="Arial Narrow" w:hAnsi="Arial Narrow"/>
                <w:szCs w:val="22"/>
              </w:rPr>
              <w:t xml:space="preserve">underlying uncertainty associated with the estimates of Ig treatment effectiveness </w:t>
            </w:r>
            <w:r w:rsidRPr="00665E12">
              <w:rPr>
                <w:rFonts w:ascii="Arial Narrow" w:hAnsi="Arial Narrow"/>
                <w:szCs w:val="22"/>
              </w:rPr>
              <w:t>in reducing the incidence of infections</w:t>
            </w:r>
            <w:r w:rsidRPr="008B3DFC">
              <w:rPr>
                <w:rFonts w:ascii="Arial Narrow" w:hAnsi="Arial Narrow"/>
                <w:szCs w:val="22"/>
              </w:rPr>
              <w:t>, the use of these estimates in the economic model</w:t>
            </w:r>
            <w:r>
              <w:rPr>
                <w:rFonts w:ascii="Arial Narrow" w:hAnsi="Arial Narrow"/>
                <w:szCs w:val="22"/>
              </w:rPr>
              <w:t xml:space="preserve"> </w:t>
            </w:r>
            <w:r w:rsidRPr="008B3DFC">
              <w:rPr>
                <w:rFonts w:ascii="Arial Narrow" w:hAnsi="Arial Narrow"/>
                <w:szCs w:val="22"/>
              </w:rPr>
              <w:t xml:space="preserve">and </w:t>
            </w:r>
            <w:r w:rsidRPr="00665E12">
              <w:rPr>
                <w:rFonts w:ascii="Arial Narrow" w:hAnsi="Arial Narrow"/>
                <w:szCs w:val="22"/>
              </w:rPr>
              <w:t>uncertain indirect cost offsets</w:t>
            </w:r>
            <w:r>
              <w:rPr>
                <w:rFonts w:ascii="Arial Narrow" w:hAnsi="Arial Narrow"/>
                <w:szCs w:val="22"/>
              </w:rPr>
              <w:t>.</w:t>
            </w:r>
          </w:p>
        </w:tc>
      </w:tr>
    </w:tbl>
    <w:p w14:paraId="44917C0D" w14:textId="77777777" w:rsidR="00331B86" w:rsidRPr="00F957B8" w:rsidRDefault="00331B86" w:rsidP="00F957B8">
      <w:pPr>
        <w:pStyle w:val="Heading2"/>
        <w:spacing w:before="240" w:after="120"/>
        <w:rPr>
          <w:b/>
          <w:i w:val="0"/>
        </w:rPr>
      </w:pPr>
      <w:r w:rsidRPr="00F957B8">
        <w:rPr>
          <w:b/>
          <w:i w:val="0"/>
        </w:rPr>
        <w:lastRenderedPageBreak/>
        <w:t>ESC discussion</w:t>
      </w:r>
    </w:p>
    <w:p w14:paraId="658812DC" w14:textId="0D8EBEA3" w:rsidR="00331B86" w:rsidRDefault="00331B86" w:rsidP="00EF524D">
      <w:pPr>
        <w:tabs>
          <w:tab w:val="left" w:pos="2265"/>
          <w:tab w:val="left" w:pos="3420"/>
          <w:tab w:val="left" w:pos="4320"/>
        </w:tabs>
        <w:spacing w:after="240"/>
        <w:rPr>
          <w:szCs w:val="24"/>
        </w:rPr>
      </w:pPr>
      <w:r>
        <w:rPr>
          <w:szCs w:val="24"/>
        </w:rPr>
        <w:t>Application 1565 requests MSAC advice on the supply of replacement human gamma immunoglobulin (Ig) therapy under the national blood arrangements for the treatment of acquired hypogammaglobulinaemia secondary to haematological malignancies, or post-haemopoietic stem cell transplantation (HSCT).</w:t>
      </w:r>
    </w:p>
    <w:p w14:paraId="6744E7D9" w14:textId="5A0F45FA" w:rsidR="00331B86" w:rsidRPr="00EF524D" w:rsidRDefault="00331B86" w:rsidP="00EF524D">
      <w:pPr>
        <w:tabs>
          <w:tab w:val="left" w:pos="2265"/>
          <w:tab w:val="left" w:pos="3420"/>
          <w:tab w:val="left" w:pos="4320"/>
        </w:tabs>
        <w:spacing w:after="240"/>
        <w:rPr>
          <w:szCs w:val="24"/>
        </w:rPr>
      </w:pPr>
      <w:r>
        <w:rPr>
          <w:szCs w:val="24"/>
        </w:rPr>
        <w:t xml:space="preserve">ESC noted that the main purpose of treatment is to reduce the risk of infection, and that Ig replacement therapy with antibiotics as necessary is considered the standard of care, with no Ig therapy the comparator. </w:t>
      </w:r>
      <w:r>
        <w:t>The</w:t>
      </w:r>
      <w:r w:rsidRPr="00D84EFC">
        <w:t xml:space="preserve"> Contracted Assessment </w:t>
      </w:r>
      <w:r w:rsidR="004F1371">
        <w:t xml:space="preserve">stated </w:t>
      </w:r>
      <w:r>
        <w:t>that antibiotic use was expected to be higher in the comparator arm and reports trimethoprim/sulfamethoxazole as the relevant first line antibiotic. The ESC noted that this was based on the advice of the I</w:t>
      </w:r>
      <w:r w:rsidR="004F1371">
        <w:t xml:space="preserve">g </w:t>
      </w:r>
      <w:r>
        <w:t xml:space="preserve">Review Reference Group, </w:t>
      </w:r>
      <w:r w:rsidRPr="00DC6D15">
        <w:t>but considered that this antibiotic combination was generally used for prophylaxis, which was uncommon in this population,</w:t>
      </w:r>
      <w:r>
        <w:t xml:space="preserve"> and that antibiotics used in the treatment of acute infections would vary according to the clinical presentation. Common oral antibiotics would include amoxicillin with clavulanic acid. However, this was considered unlikely to effect the economic evaluation as the relevant antibiotics are predominantly off-patent and of low cost.</w:t>
      </w:r>
    </w:p>
    <w:p w14:paraId="0778AC46" w14:textId="7C2C0B75" w:rsidR="00331B86" w:rsidRDefault="00331B86" w:rsidP="00EF524D">
      <w:pPr>
        <w:tabs>
          <w:tab w:val="left" w:pos="2265"/>
          <w:tab w:val="left" w:pos="3420"/>
          <w:tab w:val="left" w:pos="4320"/>
        </w:tabs>
        <w:spacing w:after="240"/>
      </w:pPr>
      <w:r>
        <w:t xml:space="preserve">The clinical criteria for subsidised access to Ig for acquired hypogammaglobulinaemia is set out under version 3 of the </w:t>
      </w:r>
      <w:r w:rsidRPr="006619E7">
        <w:rPr>
          <w:i/>
          <w:szCs w:val="24"/>
        </w:rPr>
        <w:t>Criteria for the clinical use of immunoglobulin in Australia</w:t>
      </w:r>
      <w:r w:rsidRPr="003C7185">
        <w:rPr>
          <w:rStyle w:val="FootnoteReference"/>
          <w:szCs w:val="24"/>
        </w:rPr>
        <w:footnoteReference w:id="1"/>
      </w:r>
      <w:r>
        <w:rPr>
          <w:i/>
          <w:szCs w:val="24"/>
        </w:rPr>
        <w:t xml:space="preserve"> </w:t>
      </w:r>
      <w:r w:rsidRPr="006619E7">
        <w:rPr>
          <w:szCs w:val="24"/>
        </w:rPr>
        <w:t>(the Criteria)</w:t>
      </w:r>
      <w:r>
        <w:t>. ESC noted that there was little evidence to support the requirement for serum IgG levels to be less than 4 g/L, but there was also no evidence to support a different serum IgG requirement.</w:t>
      </w:r>
    </w:p>
    <w:p w14:paraId="2EAA789B" w14:textId="1891F9CD" w:rsidR="00331B86" w:rsidRDefault="00331B86" w:rsidP="00EF524D">
      <w:pPr>
        <w:tabs>
          <w:tab w:val="left" w:pos="2265"/>
          <w:tab w:val="left" w:pos="3420"/>
          <w:tab w:val="left" w:pos="4320"/>
        </w:tabs>
        <w:spacing w:after="240"/>
      </w:pPr>
      <w:r>
        <w:t>ESC noted that the Contracted Assessment included 24 studies in the assessment of effectiveness, but the majority were case series. Six randomised studies and five observational studies reported fewer infections with Ig compared to no Ig. One trial of subcutaneous Ig (SCIg) reported improved quality of life compared to no SCIg. No studies demonstrate</w:t>
      </w:r>
      <w:r w:rsidR="00EF524D">
        <w:t>d a survival advantage with Ig.</w:t>
      </w:r>
    </w:p>
    <w:p w14:paraId="583443DF" w14:textId="0B829A06" w:rsidR="00331B86" w:rsidRPr="00EF524D" w:rsidRDefault="00331B86" w:rsidP="00EF524D">
      <w:pPr>
        <w:tabs>
          <w:tab w:val="left" w:pos="2265"/>
          <w:tab w:val="left" w:pos="3420"/>
          <w:tab w:val="left" w:pos="4320"/>
        </w:tabs>
        <w:spacing w:after="240"/>
      </w:pPr>
      <w:r>
        <w:t>ESC noted that despite the relatively few studies and low level of evidence, there were consistent findings that the rate of serious infections and infectious complications was reduced in patients who received Ig compared to those who did not. The majority of these studies were in patients with CLL or MM, but ESC noted that the evidence review does not suggest that response to Ig replacement therapy is any more variable in patients with other haematological malignancies. ESC considered that the evidence supported the claim of superior effectiveness in terms of fewer overall infections and serious infections for</w:t>
      </w:r>
      <w:r w:rsidR="004F1371">
        <w:t xml:space="preserve"> </w:t>
      </w:r>
      <w:r>
        <w:t>Ig compared to no Ig (with antibiotic use defined as part of supportive care) in patients with acquired hypogammaglobulinaemia secondary to haematological malignancy or post-HSCT.</w:t>
      </w:r>
    </w:p>
    <w:p w14:paraId="3042A173" w14:textId="0E410C1E" w:rsidR="00331B86" w:rsidRDefault="00331B86" w:rsidP="00331B86">
      <w:pPr>
        <w:tabs>
          <w:tab w:val="left" w:pos="2265"/>
          <w:tab w:val="left" w:pos="3420"/>
          <w:tab w:val="left" w:pos="4320"/>
        </w:tabs>
      </w:pPr>
      <w:r>
        <w:t>ESC noted that the evidence identified in the Contracted Assessment supported that Ig has inferior safety to no Ig. Assessment of safety was often limited to reporting of systemic AEs related to infusion. The comparator was frequent observation and thus had superior safety. The included studies did not adequately describe antibiotic use, so AEs arising from antibiotic use could not be evaluated. The majority of AEs associated with Ig were mild and manageable with adjustment to infusion rate. None of the studies reported AEs greater than grade 3 in severity. ESC noted that the safety profile of Ig products is well understood due to use over many decades, and that safety data within the product information provides a comprehensive assessment of safety.</w:t>
      </w:r>
    </w:p>
    <w:p w14:paraId="1EF3595E" w14:textId="64032A6F" w:rsidR="00331B86" w:rsidRDefault="00331B86" w:rsidP="00EF524D">
      <w:pPr>
        <w:tabs>
          <w:tab w:val="left" w:pos="2265"/>
          <w:tab w:val="left" w:pos="3420"/>
          <w:tab w:val="left" w:pos="4320"/>
        </w:tabs>
        <w:spacing w:after="240"/>
      </w:pPr>
      <w:r>
        <w:lastRenderedPageBreak/>
        <w:t>ESC noted stakeholder comments that disagreed with the claim of inferior safety for Ig compared to no Ig, on the basis that antibiotic use is likely to be higher in the comparator arm and is associated with side effects that could not be evaluated due to the lack of available evidence. The ESC considered that a claim of non-inferior safety for Ig compared to no Ig (with antibiotic use defined as part of supportive care) may also be appropriate in patients with acquired hypogammaglobulinaemia secondary to haematological malig</w:t>
      </w:r>
      <w:r w:rsidR="00EF524D">
        <w:t>nancy or post-HSCT.</w:t>
      </w:r>
    </w:p>
    <w:p w14:paraId="4D7E0F23" w14:textId="312ED45B" w:rsidR="00331B86" w:rsidRPr="000F65DA" w:rsidRDefault="00331B86" w:rsidP="00EF524D">
      <w:pPr>
        <w:tabs>
          <w:tab w:val="left" w:pos="2265"/>
          <w:tab w:val="left" w:pos="3420"/>
          <w:tab w:val="left" w:pos="4320"/>
        </w:tabs>
        <w:spacing w:after="240"/>
      </w:pPr>
      <w:r>
        <w:t xml:space="preserve">The economic model provided in the </w:t>
      </w:r>
      <w:r w:rsidRPr="000F65DA">
        <w:t>Contracted Assessment is a cost-utility analysis and cost-effectiveness analysis using a Markov model, with one economic analysis presented across the acquired hypogammaglobulinaemia indications, which ESC considered appropriate. ESC noted that there is uncertainty regarding the estimates of Ig treatment effectiveness and as such, the use of these estimates in the economic model is al</w:t>
      </w:r>
      <w:r w:rsidR="00EF524D">
        <w:t>so associated with uncertainty.</w:t>
      </w:r>
    </w:p>
    <w:p w14:paraId="3B7C8ACF" w14:textId="0BD31B80" w:rsidR="00331B86" w:rsidRPr="000F65DA" w:rsidRDefault="00331B86" w:rsidP="00EF524D">
      <w:pPr>
        <w:tabs>
          <w:tab w:val="left" w:pos="2265"/>
          <w:tab w:val="left" w:pos="3420"/>
          <w:tab w:val="left" w:pos="4320"/>
        </w:tabs>
        <w:spacing w:after="240"/>
      </w:pPr>
      <w:r w:rsidRPr="000F65DA">
        <w:t>ESC noted that the modelled economic evaluation base case resulted in an incremental cost-effectiveness ratio (ICER) of $99,803 per quality-adjusted life year (QALY), using a 10-year time horizon and cost per gram of IgG of $60.41. ESC noted that the cost of Ig was a key driver of the economic model with the ICER ranging from $63,782 to $285,543 per QALY, based on ‘low cost of Ig’ ($44.94) to ‘high cost of Ig’ ($140.18), respectively. The largest driver of the economic model was inclusion of the bronchiectasis health states. Other key drivers of the economic model were the time horizon, the relative treatment effect of Ig, and baseline rates of infection. The disutility associated with infection and infusion were not major drivers of the economic model.</w:t>
      </w:r>
    </w:p>
    <w:p w14:paraId="18BA3A35" w14:textId="72811300" w:rsidR="00331B86" w:rsidRDefault="00331B86" w:rsidP="00EF524D">
      <w:pPr>
        <w:spacing w:after="240"/>
      </w:pPr>
      <w:r w:rsidRPr="000F65DA">
        <w:t>ESC noted that there was no clear data on the incidence of bronchiectasis in patients with or without access to Ig to support the transition probabilities to the bronchiectasis health states in the economic model, and that the removal of these health states increased the ICER to approximately $3 million per QALY. Therefore, ESC</w:t>
      </w:r>
      <w:r>
        <w:t xml:space="preserve"> recommended an additional sensitivity analysis be conducted with a lower transition probability of patients entering the bronchiectasis health states. ESC also requested further explanation of the rationale for the inclusion of the bronchiectasis health states and the impact of their inclusion or exclusion on the ICER</w:t>
      </w:r>
      <w:r w:rsidR="001477A0">
        <w:t xml:space="preserve"> </w:t>
      </w:r>
      <w:r>
        <w:t>(See A</w:t>
      </w:r>
      <w:r w:rsidRPr="007E04E3">
        <w:t>ddendum p.1</w:t>
      </w:r>
      <w:r w:rsidR="001724B7">
        <w:t>)</w:t>
      </w:r>
      <w:r w:rsidRPr="007E04E3">
        <w:t>.</w:t>
      </w:r>
    </w:p>
    <w:p w14:paraId="2E4C3E24" w14:textId="5FC8AC2D" w:rsidR="00331B86" w:rsidRDefault="00331B86" w:rsidP="00EF524D">
      <w:pPr>
        <w:tabs>
          <w:tab w:val="left" w:pos="2265"/>
          <w:tab w:val="left" w:pos="3420"/>
          <w:tab w:val="left" w:pos="4320"/>
        </w:tabs>
        <w:spacing w:after="240"/>
      </w:pPr>
      <w:r w:rsidRPr="00762FC1">
        <w:t xml:space="preserve">There was no evidence identified during the review on which to determine the duration of </w:t>
      </w:r>
      <w:r>
        <w:t xml:space="preserve">immunoglobulin </w:t>
      </w:r>
      <w:r w:rsidRPr="00762FC1">
        <w:t>treatment effect, nor time to return of normal Ig levels (and whether this differed with or without Ig treatment). The model assumed that for the duration of treatment, patients received a benefit and that when treatment was stopped, patients had returned to normal Ig levels (if they had not developed bronchiectasis in the meantime). The time to return to normal Ig</w:t>
      </w:r>
      <w:r w:rsidR="001724B7">
        <w:t>G</w:t>
      </w:r>
      <w:r w:rsidRPr="00762FC1">
        <w:t xml:space="preserve"> levels was assumed to be the same with or without Ig. </w:t>
      </w:r>
    </w:p>
    <w:p w14:paraId="0C1A37E0" w14:textId="7D3E13A5" w:rsidR="00331B86" w:rsidRDefault="00331B86" w:rsidP="00EF524D">
      <w:pPr>
        <w:tabs>
          <w:tab w:val="left" w:pos="2265"/>
          <w:tab w:val="left" w:pos="3420"/>
          <w:tab w:val="left" w:pos="4320"/>
        </w:tabs>
        <w:spacing w:after="240"/>
      </w:pPr>
      <w:r>
        <w:t xml:space="preserve">ESC noted that some patients with acquired hypogammaglobulinaemia secondary to haematological malignancy or post-HSCT may receive treatment with Ig beyond ten years, and therefore it may be appropriate for the Contracted Assessment to include a sensitivity analysis extending the time </w:t>
      </w:r>
      <w:r w:rsidRPr="007E04E3">
        <w:t>horizon (See Addendum p.2). It</w:t>
      </w:r>
      <w:r>
        <w:t xml:space="preserve"> was noted that there is increasing survival of paediatric patients with leukaemia who may require long-term Ig replacement therapy, and that this was likely to be a driver of future use.</w:t>
      </w:r>
    </w:p>
    <w:p w14:paraId="64DE3403" w14:textId="0B23542A" w:rsidR="00331B86" w:rsidRDefault="00331B86" w:rsidP="00331B86">
      <w:pPr>
        <w:tabs>
          <w:tab w:val="left" w:pos="2265"/>
          <w:tab w:val="left" w:pos="3420"/>
          <w:tab w:val="left" w:pos="4320"/>
        </w:tabs>
      </w:pPr>
      <w:r>
        <w:t xml:space="preserve">In response to stakeholder comments on the appropriateness of the unit price of Ig used for the base case analysis in the </w:t>
      </w:r>
      <w:r w:rsidR="0035747E">
        <w:t xml:space="preserve">Contracted Assessment </w:t>
      </w:r>
      <w:r>
        <w:t>Review, ESC noted that the unit prices for Ig to be used across all of the Immunoglobulin Reviews were agreed by the I</w:t>
      </w:r>
      <w:r w:rsidR="0035747E">
        <w:t xml:space="preserve">g </w:t>
      </w:r>
      <w:r>
        <w:t xml:space="preserve">Review Reference Group to allow comparison across applications. In addition, a range of unit prices for IgG are presented in sensitivity analyses (Addendum p.2). </w:t>
      </w:r>
    </w:p>
    <w:p w14:paraId="3FFB4AD2" w14:textId="20F8D946" w:rsidR="00331B86" w:rsidRDefault="00331B86" w:rsidP="00EF524D">
      <w:pPr>
        <w:tabs>
          <w:tab w:val="left" w:pos="2265"/>
          <w:tab w:val="left" w:pos="3420"/>
          <w:tab w:val="left" w:pos="4320"/>
        </w:tabs>
        <w:spacing w:after="240"/>
      </w:pPr>
      <w:r>
        <w:lastRenderedPageBreak/>
        <w:t>ESC noted that one stakeholder recommended the use of a higher cost Australian refined diagnosis-related group (AR-DRG) for the bronchiectasis health state. ESC noted that the cost to treat infections was based on the weighted average cost of relevant AR-DRGs identified by the I</w:t>
      </w:r>
      <w:r w:rsidR="0035747E">
        <w:t>g</w:t>
      </w:r>
      <w:r>
        <w:t xml:space="preserve"> Review Reference Group. ESC noted that sensitivity analyses </w:t>
      </w:r>
      <w:r w:rsidR="001724B7">
        <w:t>were</w:t>
      </w:r>
      <w:r>
        <w:t xml:space="preserve"> presented in the Contracted Assessment for the cost of each AR-DRG separately, and that the range of costs tested in these sensitivity analyses includes the cost associated with the AR-DRG suggested by the stakeholder.</w:t>
      </w:r>
    </w:p>
    <w:p w14:paraId="07159E5A" w14:textId="1DB88748" w:rsidR="00331B86" w:rsidRDefault="00331B86" w:rsidP="00EF524D">
      <w:pPr>
        <w:tabs>
          <w:tab w:val="left" w:pos="2265"/>
          <w:tab w:val="left" w:pos="3420"/>
          <w:tab w:val="left" w:pos="4320"/>
        </w:tabs>
        <w:spacing w:after="240"/>
      </w:pPr>
      <w:r>
        <w:t xml:space="preserve">ESC noted that one stakeholder queried the use of a single ‘infection’ health state in the economic model, rather than having separate states for non-serious and serious infections. ESC considered that the current model structure was appropriate, as transition probabilities from the infection health state could not be </w:t>
      </w:r>
      <w:r w:rsidR="005C0A19">
        <w:t xml:space="preserve">identified </w:t>
      </w:r>
      <w:r>
        <w:t>from the literature by infection severity.</w:t>
      </w:r>
    </w:p>
    <w:p w14:paraId="3FCB96D8" w14:textId="6543DBD8" w:rsidR="00331B86" w:rsidRDefault="00331B86" w:rsidP="00EF524D">
      <w:pPr>
        <w:tabs>
          <w:tab w:val="left" w:pos="2265"/>
          <w:tab w:val="left" w:pos="3420"/>
          <w:tab w:val="left" w:pos="4320"/>
        </w:tabs>
        <w:spacing w:after="240"/>
      </w:pPr>
      <w:r>
        <w:t>ESC noted that one stakeholder queried the baseline infection rates used in the economic model. However, ESC considered the rates used in the model appropriate as these were from a contemporary Australian study, which was considered to be most applicable to the population that receives Ig for acquired hypogammaglobulinaemia in Australia.</w:t>
      </w:r>
    </w:p>
    <w:p w14:paraId="7F8F44D1" w14:textId="45B3C124" w:rsidR="00331B86" w:rsidRDefault="00331B86" w:rsidP="00EF524D">
      <w:pPr>
        <w:tabs>
          <w:tab w:val="left" w:pos="2265"/>
          <w:tab w:val="left" w:pos="3420"/>
          <w:tab w:val="left" w:pos="4320"/>
        </w:tabs>
        <w:spacing w:after="240"/>
      </w:pPr>
      <w:r>
        <w:t>ESC noted that the net financial costs were estimated to be $550.3 million over the five years from 2019-20 to 2023-24, with 63% of the cost being borne by the Commonwealth and the remainder by the states and territories. ESC considered that the market-based approach used to estimate the budget impact was appropriate, and noted that the estimates were based on utilisation data for version 2 of the Criteria. This adds uncertainty as the impact of recent demand management strategies through the introduction of the version 3 Criteria was not captured. ESC also noted that the financial estimates include indirect cost-offsets based on a relative treatment effect of Ig in reducing the incidence of infections, which is associated with uncertainty.</w:t>
      </w:r>
    </w:p>
    <w:p w14:paraId="354D540A" w14:textId="3B463648" w:rsidR="00331B86" w:rsidRDefault="001724B7" w:rsidP="00EF524D">
      <w:pPr>
        <w:tabs>
          <w:tab w:val="left" w:pos="2265"/>
          <w:tab w:val="left" w:pos="3420"/>
          <w:tab w:val="left" w:pos="4320"/>
        </w:tabs>
        <w:spacing w:after="240"/>
      </w:pPr>
      <w:r>
        <w:t>I</w:t>
      </w:r>
      <w:r w:rsidR="00331B86">
        <w:t xml:space="preserve">n direct response to the policy question posed in the pre-ESC policy document regarding the price at which Ig would be cost-effective, ESC suggested that the Contracted Assessment include a threshold analysis to indicate the cost per gram of Ig associated with a range of ICERs for the base case (see </w:t>
      </w:r>
      <w:r w:rsidR="001C7018">
        <w:t xml:space="preserve">CA </w:t>
      </w:r>
      <w:r w:rsidR="00331B86">
        <w:t>Addendum p.2). However, it was noted that global supply issues for Ig, combined with increasing demand for the product, are likely to have an impact on product prices. In addition, the Contracted Assessment presents a range of ICERs according to the highest and lowest and average weighted cost of Ig products cur</w:t>
      </w:r>
      <w:r w:rsidR="00EF524D">
        <w:t>rently subsidised in Australia.</w:t>
      </w:r>
    </w:p>
    <w:p w14:paraId="2AE7B7EB" w14:textId="33328A92" w:rsidR="00331B86" w:rsidRDefault="00331B86" w:rsidP="00EF524D">
      <w:pPr>
        <w:tabs>
          <w:tab w:val="left" w:pos="2265"/>
          <w:tab w:val="left" w:pos="3420"/>
          <w:tab w:val="left" w:pos="4320"/>
        </w:tabs>
        <w:spacing w:after="240"/>
      </w:pPr>
      <w:r w:rsidRPr="00405D0F">
        <w:t>ESC noted that although there was no evidence to quantify the extent Ig reduces antibiotic resistance, that there were likely to be broader health system benefits associated with the use of Ig to prevent infections and that this benefit is not captured in the evaluation.</w:t>
      </w:r>
    </w:p>
    <w:p w14:paraId="6720DC0C" w14:textId="5C20596C" w:rsidR="00331B86" w:rsidRDefault="00331B86" w:rsidP="00EF524D">
      <w:pPr>
        <w:tabs>
          <w:tab w:val="left" w:pos="2265"/>
          <w:tab w:val="left" w:pos="3420"/>
          <w:tab w:val="left" w:pos="4320"/>
        </w:tabs>
        <w:spacing w:after="240"/>
      </w:pPr>
      <w:r>
        <w:t>ESC noted general support for access to Ig from a range of groups, including clinical and consumer groups. Issues with equity of access due to partial state funding were noted, as well as the substantial out-of-pocket costs for consumers associated with travel to access Ig replacement therapy.</w:t>
      </w:r>
    </w:p>
    <w:p w14:paraId="006804F9" w14:textId="5AED4251" w:rsidR="00331B86" w:rsidRDefault="00331B86" w:rsidP="00EF524D">
      <w:pPr>
        <w:tabs>
          <w:tab w:val="left" w:pos="2265"/>
          <w:tab w:val="left" w:pos="3420"/>
          <w:tab w:val="left" w:pos="4320"/>
        </w:tabs>
        <w:spacing w:after="240"/>
      </w:pPr>
      <w:r>
        <w:t xml:space="preserve">ESC recommended that MSAC consider whether dispensing approval be reduced to 3-months in length during the first 24 months to trigger more frequent reviews of the appropriateness of continued Ig replacement therapy. </w:t>
      </w:r>
      <w:r w:rsidR="00ED3251">
        <w:t>Patients,</w:t>
      </w:r>
      <w:r>
        <w:t xml:space="preserve"> who demonstrate improvement in IgM and IgA levels, could trial a treatment break. This may assist in earlier identification of patients who have recovered native IgG levels and reduce potential wastage. It was noted that after two years, patients who have not recovered native IgG levels are more likely to require long-term use. It was considered that it may be possible to mandate tighter </w:t>
      </w:r>
      <w:r>
        <w:lastRenderedPageBreak/>
        <w:t xml:space="preserve">review requirements in the </w:t>
      </w:r>
      <w:r w:rsidRPr="00DD0F95">
        <w:t>BloodSTAR</w:t>
      </w:r>
      <w:r>
        <w:t xml:space="preserve"> system, and to provide additional education on checking for immune system reconstitution and evidence requirements for this. </w:t>
      </w:r>
      <w:r w:rsidRPr="008B3DFC">
        <w:t>ESC also noted that a requirement to measure IgG levels post replacement therapy could also be added to ensure that treatment results in improved IgG levels.</w:t>
      </w:r>
    </w:p>
    <w:p w14:paraId="00366B78" w14:textId="460BE515" w:rsidR="00331B86" w:rsidRDefault="00331B86" w:rsidP="00EF524D">
      <w:pPr>
        <w:tabs>
          <w:tab w:val="left" w:pos="2265"/>
          <w:tab w:val="left" w:pos="3420"/>
          <w:tab w:val="left" w:pos="4320"/>
        </w:tabs>
        <w:spacing w:after="240"/>
      </w:pPr>
      <w:r>
        <w:t>ESC considered that there was a need for additional data collection on: dose, dosing frequency, antibiotic use (which could be taken from Pharmaceutical Benefits Scheme (PBS) data), rates/types of infections, and health-related quality of life. It was also considered that additional data on patients with NHL would also be useful, as there is very little published evidence for this patient population, which represent a large proportion of use for this indication. ESC also considered that further research into the criteria for continuation/discontinuation of Ig and use of Ig in paediatric cancers would be useful.</w:t>
      </w:r>
    </w:p>
    <w:p w14:paraId="747E98B9" w14:textId="0769C77E" w:rsidR="00634A86" w:rsidRPr="000F65DA" w:rsidRDefault="00331B86" w:rsidP="00EF524D">
      <w:pPr>
        <w:tabs>
          <w:tab w:val="left" w:pos="2265"/>
          <w:tab w:val="left" w:pos="3420"/>
          <w:tab w:val="left" w:pos="4320"/>
        </w:tabs>
        <w:spacing w:after="240"/>
      </w:pPr>
      <w:r w:rsidRPr="000F65DA">
        <w:t>ESC noted that there are many novel therapies emerging in haematological malignancies that may affect IgG levels post treatment. It was suggested that relevant clinical trials should be required to monitor long-term IgG levels in order to inform regulatory and reimbursement decisions, and that real-world monitoring data may be able to be used to identify immunosuppressive therapies that place patients at risk of hypogammaglobulinaemia.</w:t>
      </w:r>
    </w:p>
    <w:p w14:paraId="21E35E19" w14:textId="55E8B2BC" w:rsidR="0013748A" w:rsidRPr="000F65DA" w:rsidRDefault="00634A86" w:rsidP="00D3172D">
      <w:pPr>
        <w:tabs>
          <w:tab w:val="left" w:pos="2265"/>
          <w:tab w:val="left" w:pos="3420"/>
          <w:tab w:val="left" w:pos="4320"/>
        </w:tabs>
        <w:spacing w:after="120"/>
        <w:rPr>
          <w:b/>
        </w:rPr>
      </w:pPr>
      <w:r w:rsidRPr="000F65DA">
        <w:rPr>
          <w:b/>
        </w:rPr>
        <w:t>Addendum</w:t>
      </w:r>
    </w:p>
    <w:p w14:paraId="425C5799" w14:textId="07ED3E42" w:rsidR="005C0A19" w:rsidRPr="000F65DA" w:rsidRDefault="0013748A" w:rsidP="0013748A">
      <w:r w:rsidRPr="000F65DA">
        <w:t xml:space="preserve">At its October 2019 meeting, ESC requested </w:t>
      </w:r>
      <w:r w:rsidR="005C0A19" w:rsidRPr="000F65DA">
        <w:t xml:space="preserve">the following </w:t>
      </w:r>
      <w:r w:rsidRPr="000F65DA">
        <w:t>additional sensitivity analys</w:t>
      </w:r>
      <w:r w:rsidR="005C0A19" w:rsidRPr="000F65DA">
        <w:t xml:space="preserve">es:  </w:t>
      </w:r>
    </w:p>
    <w:p w14:paraId="6D0AE4A6" w14:textId="14A83CED" w:rsidR="005C0A19" w:rsidRPr="000F65DA" w:rsidRDefault="005C0A19" w:rsidP="001E2801">
      <w:pPr>
        <w:pStyle w:val="ListParagraph"/>
        <w:numPr>
          <w:ilvl w:val="0"/>
          <w:numId w:val="10"/>
        </w:numPr>
      </w:pPr>
      <w:r w:rsidRPr="000F65DA">
        <w:t>R</w:t>
      </w:r>
      <w:r w:rsidR="0013748A" w:rsidRPr="000F65DA">
        <w:t>educing the bronc</w:t>
      </w:r>
      <w:r w:rsidR="00926316" w:rsidRPr="000F65DA">
        <w:t>hiectasis transition probabilities</w:t>
      </w:r>
      <w:r w:rsidR="0013748A" w:rsidRPr="000F65DA">
        <w:t xml:space="preserve"> from the base case by 25% up to 95%, </w:t>
      </w:r>
      <w:r w:rsidRPr="000F65DA">
        <w:t xml:space="preserve">which </w:t>
      </w:r>
      <w:r w:rsidR="0013748A" w:rsidRPr="000F65DA">
        <w:t>resulted in ICERs ranging from $117,858/QALY to $929,801/QALY</w:t>
      </w:r>
      <w:r w:rsidR="001E2801" w:rsidRPr="000F65DA">
        <w:t>.</w:t>
      </w:r>
      <w:r w:rsidRPr="000F65DA">
        <w:t xml:space="preserve"> </w:t>
      </w:r>
    </w:p>
    <w:p w14:paraId="032AEA95" w14:textId="44C217D8" w:rsidR="0013748A" w:rsidRPr="000F65DA" w:rsidRDefault="005C0A19" w:rsidP="00D3172D">
      <w:pPr>
        <w:pStyle w:val="ListParagraph"/>
        <w:numPr>
          <w:ilvl w:val="0"/>
          <w:numId w:val="10"/>
        </w:numPr>
      </w:pPr>
      <w:r w:rsidRPr="000F65DA">
        <w:t>E</w:t>
      </w:r>
      <w:r w:rsidR="0013748A" w:rsidRPr="000F65DA">
        <w:t>xtend</w:t>
      </w:r>
      <w:r w:rsidR="00926316" w:rsidRPr="000F65DA">
        <w:t>ing</w:t>
      </w:r>
      <w:r w:rsidR="0013748A" w:rsidRPr="000F65DA">
        <w:t xml:space="preserve"> the time horizon of the economic model </w:t>
      </w:r>
      <w:r w:rsidRPr="000F65DA">
        <w:t xml:space="preserve">from </w:t>
      </w:r>
      <w:r w:rsidR="004C43E9" w:rsidRPr="000F65DA">
        <w:t xml:space="preserve">10 years </w:t>
      </w:r>
      <w:r w:rsidR="0013748A" w:rsidRPr="000F65DA">
        <w:t xml:space="preserve">to </w:t>
      </w:r>
      <w:r w:rsidR="00926316" w:rsidRPr="000F65DA">
        <w:t xml:space="preserve">15 years or </w:t>
      </w:r>
      <w:r w:rsidR="0013748A" w:rsidRPr="000F65DA">
        <w:t>20 years,</w:t>
      </w:r>
      <w:r w:rsidRPr="000F65DA">
        <w:t xml:space="preserve"> which</w:t>
      </w:r>
      <w:r w:rsidR="0013748A" w:rsidRPr="000F65DA">
        <w:t xml:space="preserve"> resulted in ICER</w:t>
      </w:r>
      <w:r w:rsidR="00926316" w:rsidRPr="000F65DA">
        <w:t>s</w:t>
      </w:r>
      <w:r w:rsidR="0013748A" w:rsidRPr="000F65DA">
        <w:t xml:space="preserve"> of </w:t>
      </w:r>
      <w:r w:rsidR="00926316" w:rsidRPr="000F65DA">
        <w:t xml:space="preserve">$65,957/QALY and </w:t>
      </w:r>
      <w:r w:rsidR="0013748A" w:rsidRPr="000F65DA">
        <w:t>$55,303/QALY</w:t>
      </w:r>
      <w:r w:rsidR="00926316" w:rsidRPr="000F65DA">
        <w:t>, respectively</w:t>
      </w:r>
      <w:r w:rsidR="0013748A" w:rsidRPr="000F65DA">
        <w:t>.</w:t>
      </w:r>
      <w:r w:rsidR="00926316" w:rsidRPr="000F65DA">
        <w:t xml:space="preserve"> </w:t>
      </w:r>
    </w:p>
    <w:p w14:paraId="354EFF5D" w14:textId="77777777" w:rsidR="00F636F1" w:rsidRPr="000F65DA" w:rsidRDefault="00F636F1" w:rsidP="00F636F1">
      <w:pPr>
        <w:pStyle w:val="Heading1"/>
      </w:pPr>
      <w:r w:rsidRPr="000F65DA">
        <w:t>Other significant factors</w:t>
      </w:r>
    </w:p>
    <w:p w14:paraId="32A75579" w14:textId="0BA52510" w:rsidR="00F636F1" w:rsidRPr="00F957B8" w:rsidRDefault="00F636F1" w:rsidP="00F636F1">
      <w:pPr>
        <w:spacing w:after="240"/>
        <w:rPr>
          <w:szCs w:val="24"/>
        </w:rPr>
      </w:pPr>
      <w:r w:rsidRPr="00F957B8">
        <w:rPr>
          <w:szCs w:val="24"/>
        </w:rPr>
        <w:t>Nil</w:t>
      </w:r>
    </w:p>
    <w:p w14:paraId="5886CFC2" w14:textId="77777777" w:rsidR="00F636F1" w:rsidRPr="00F715D1" w:rsidRDefault="00F636F1" w:rsidP="00F636F1">
      <w:pPr>
        <w:pStyle w:val="Heading1"/>
      </w:pPr>
      <w:r w:rsidRPr="00F715D1">
        <w:t>Applicant’s comments on MSAC’s Public Summary Document</w:t>
      </w:r>
    </w:p>
    <w:p w14:paraId="46DD2649" w14:textId="42AA9D88" w:rsidR="00F636F1" w:rsidRPr="00EF524D" w:rsidRDefault="00E34064" w:rsidP="00F636F1">
      <w:pPr>
        <w:spacing w:after="240"/>
        <w:rPr>
          <w:szCs w:val="24"/>
        </w:rPr>
      </w:pPr>
      <w:r w:rsidRPr="00EF524D">
        <w:rPr>
          <w:szCs w:val="24"/>
        </w:rPr>
        <w:t>The National Blood Authority appreciates MSAC’s recommendations and agrees that further research is required to differentiate between the specific conditions causing acquired hypogammaglobulinaemia and the benefits and cost effectiveness of Ig therapy for each condition. This review has occurred immediately following the transition from Version 2 to Version 3 of the Criteria for Immunoglobulin Use in Australia. An important addition to Version 3 of the Criteria was to include, where appropriate, review criteria ensuring a clinical response is achieved in order to continue to receive Ig therapy, and greater guidance for prescribers as to when a patient may be ready to trial off Ig therapy. The effect of changes to the Criteria are only now being seen in the data, with a material reduction in the rate of growth of Ig use now becoming apparent. The Criteria will continue to be reviewed on both a reactive and proactive basis, based on available evidence and clinical expert advice, to ensure the supply of Ig continues for those patients who benefit from it the most. Furthermore, the NBA plans to continue to undertake and support research into the effectiveness and utilisation of Ig, which these recommendations will assist to prioritise.</w:t>
      </w:r>
    </w:p>
    <w:p w14:paraId="2D128C12" w14:textId="77777777" w:rsidR="00F636F1" w:rsidRPr="00F715D1" w:rsidRDefault="00F636F1" w:rsidP="00F636F1">
      <w:pPr>
        <w:pStyle w:val="Heading1"/>
      </w:pPr>
      <w:r w:rsidRPr="00F715D1">
        <w:t>Further information on MSAC</w:t>
      </w:r>
    </w:p>
    <w:p w14:paraId="3B94684E" w14:textId="77777777" w:rsidR="00280050" w:rsidRPr="00331B86" w:rsidRDefault="00F636F1" w:rsidP="00331B86">
      <w:pPr>
        <w:spacing w:after="240"/>
        <w:rPr>
          <w:szCs w:val="24"/>
        </w:rPr>
      </w:pPr>
      <w:r w:rsidRPr="00F715D1">
        <w:rPr>
          <w:szCs w:val="24"/>
        </w:rPr>
        <w:t xml:space="preserve">MSAC Terms of Reference and other information are available on the MSAC Website: </w:t>
      </w:r>
      <w:r>
        <w:rPr>
          <w:szCs w:val="24"/>
        </w:rPr>
        <w:br/>
      </w:r>
      <w:hyperlink r:id="rId14" w:tooltip="Link to Medical Services Advisory Committee website" w:history="1">
        <w:r w:rsidRPr="00F715D1">
          <w:rPr>
            <w:rStyle w:val="Hyperlink"/>
            <w:szCs w:val="24"/>
          </w:rPr>
          <w:t>visit the MSAC website</w:t>
        </w:r>
      </w:hyperlink>
    </w:p>
    <w:sectPr w:rsidR="00280050" w:rsidRPr="00331B86" w:rsidSect="00331B86">
      <w:headerReference w:type="even" r:id="rId15"/>
      <w:headerReference w:type="default" r:id="rId16"/>
      <w:footerReference w:type="even" r:id="rId17"/>
      <w:footerReference w:type="default" r:id="rId18"/>
      <w:headerReference w:type="first" r:id="rId19"/>
      <w:footerReference w:type="first" r:id="rId20"/>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96E68" w14:textId="77777777" w:rsidR="00BD6AE8" w:rsidRDefault="00BD6AE8">
      <w:r>
        <w:separator/>
      </w:r>
    </w:p>
  </w:endnote>
  <w:endnote w:type="continuationSeparator" w:id="0">
    <w:p w14:paraId="52F83F80" w14:textId="77777777" w:rsidR="00BD6AE8" w:rsidRDefault="00BD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umanist521BT-Roman">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9F1EF" w14:textId="77777777" w:rsidR="003822C1" w:rsidRDefault="00382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27446D25" w14:textId="30BD41D8" w:rsidR="00BD6AE8" w:rsidRDefault="00BD6AE8">
        <w:pPr>
          <w:pStyle w:val="Footer"/>
          <w:jc w:val="right"/>
        </w:pPr>
        <w:r>
          <w:fldChar w:fldCharType="begin"/>
        </w:r>
        <w:r>
          <w:instrText xml:space="preserve"> PAGE   \* MERGEFORMAT </w:instrText>
        </w:r>
        <w:r>
          <w:fldChar w:fldCharType="separate"/>
        </w:r>
        <w:r w:rsidR="004F24F3">
          <w:rPr>
            <w:noProof/>
          </w:rPr>
          <w:t>1</w:t>
        </w:r>
        <w:r>
          <w:rPr>
            <w:noProof/>
          </w:rPr>
          <w:fldChar w:fldCharType="end"/>
        </w:r>
      </w:p>
    </w:sdtContent>
  </w:sdt>
  <w:p w14:paraId="071BEB07" w14:textId="77777777" w:rsidR="00BD6AE8" w:rsidRDefault="00BD6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A2BBB" w14:textId="77777777" w:rsidR="003822C1" w:rsidRDefault="00382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1E062" w14:textId="77777777" w:rsidR="00BD6AE8" w:rsidRDefault="00BD6AE8">
      <w:r>
        <w:separator/>
      </w:r>
    </w:p>
  </w:footnote>
  <w:footnote w:type="continuationSeparator" w:id="0">
    <w:p w14:paraId="040769EC" w14:textId="77777777" w:rsidR="00BD6AE8" w:rsidRDefault="00BD6AE8">
      <w:r>
        <w:continuationSeparator/>
      </w:r>
    </w:p>
  </w:footnote>
  <w:footnote w:id="1">
    <w:p w14:paraId="7E1CEEE4" w14:textId="77777777" w:rsidR="00BD6AE8" w:rsidRDefault="00BD6AE8" w:rsidP="00331B86">
      <w:pPr>
        <w:pStyle w:val="FootnoteText"/>
        <w:rPr>
          <w:rFonts w:ascii="Calibri" w:hAnsi="Calibri"/>
        </w:rPr>
      </w:pPr>
      <w:r>
        <w:rPr>
          <w:rStyle w:val="FootnoteReference"/>
        </w:rPr>
        <w:footnoteRef/>
      </w:r>
      <w:r>
        <w:t xml:space="preserve"> </w:t>
      </w:r>
      <w:r w:rsidRPr="00D771DB">
        <w:t xml:space="preserve">National Blood Authority, 2018, </w:t>
      </w:r>
      <w:hyperlink r:id="rId1" w:history="1">
        <w:r w:rsidRPr="00D771DB">
          <w:rPr>
            <w:rStyle w:val="Hyperlink"/>
            <w:i/>
          </w:rPr>
          <w:t>Criteria for the clinical use of immunoglobulin in Australia</w:t>
        </w:r>
      </w:hyperlink>
      <w:r w:rsidRPr="00D771DB">
        <w:rPr>
          <w:i/>
        </w:rPr>
        <w:t xml:space="preserve"> (</w:t>
      </w:r>
      <w:r w:rsidRPr="00D771DB">
        <w:t>version 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C2ACE" w14:textId="77777777" w:rsidR="003822C1" w:rsidRDefault="00382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947DF" w14:textId="77777777" w:rsidR="003822C1" w:rsidRDefault="003822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975A" w14:textId="77777777" w:rsidR="003822C1" w:rsidRDefault="00382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2CA8"/>
    <w:multiLevelType w:val="hybridMultilevel"/>
    <w:tmpl w:val="D7EAC268"/>
    <w:lvl w:ilvl="0" w:tplc="EEB4FDEC">
      <w:start w:val="1"/>
      <w:numFmt w:val="bullet"/>
      <w:pStyle w:val="Normal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9E206B"/>
    <w:multiLevelType w:val="hybridMultilevel"/>
    <w:tmpl w:val="C24EB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4329"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360F28"/>
    <w:multiLevelType w:val="hybridMultilevel"/>
    <w:tmpl w:val="236C696E"/>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FB395F"/>
    <w:multiLevelType w:val="hybridMultilevel"/>
    <w:tmpl w:val="74AEADB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230C55"/>
    <w:multiLevelType w:val="hybridMultilevel"/>
    <w:tmpl w:val="7582851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2C1CD6"/>
    <w:multiLevelType w:val="hybridMultilevel"/>
    <w:tmpl w:val="CCB02B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9"/>
  </w:num>
  <w:num w:numId="7">
    <w:abstractNumId w:val="8"/>
  </w:num>
  <w:num w:numId="8">
    <w:abstractNumId w:val="7"/>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F1"/>
    <w:rsid w:val="00003F7D"/>
    <w:rsid w:val="00006DAF"/>
    <w:rsid w:val="00023689"/>
    <w:rsid w:val="00037245"/>
    <w:rsid w:val="000514F8"/>
    <w:rsid w:val="00063DA4"/>
    <w:rsid w:val="000F65DA"/>
    <w:rsid w:val="00105D72"/>
    <w:rsid w:val="001177EE"/>
    <w:rsid w:val="00125FEB"/>
    <w:rsid w:val="001373F6"/>
    <w:rsid w:val="0013748A"/>
    <w:rsid w:val="001477A0"/>
    <w:rsid w:val="001572CD"/>
    <w:rsid w:val="00160DD2"/>
    <w:rsid w:val="001677A4"/>
    <w:rsid w:val="001724B7"/>
    <w:rsid w:val="001C623B"/>
    <w:rsid w:val="001C7018"/>
    <w:rsid w:val="001E2801"/>
    <w:rsid w:val="00203CBB"/>
    <w:rsid w:val="00261C94"/>
    <w:rsid w:val="00280050"/>
    <w:rsid w:val="002C0A74"/>
    <w:rsid w:val="002C5CEC"/>
    <w:rsid w:val="002D2AB5"/>
    <w:rsid w:val="002F4197"/>
    <w:rsid w:val="00305132"/>
    <w:rsid w:val="00331B86"/>
    <w:rsid w:val="0035747E"/>
    <w:rsid w:val="003822C1"/>
    <w:rsid w:val="00386EB6"/>
    <w:rsid w:val="00394779"/>
    <w:rsid w:val="003D04C4"/>
    <w:rsid w:val="003D38DD"/>
    <w:rsid w:val="003E0C5C"/>
    <w:rsid w:val="004C43E9"/>
    <w:rsid w:val="004D042D"/>
    <w:rsid w:val="004F1371"/>
    <w:rsid w:val="004F24F3"/>
    <w:rsid w:val="005449D8"/>
    <w:rsid w:val="0057424D"/>
    <w:rsid w:val="00597E26"/>
    <w:rsid w:val="005A00BB"/>
    <w:rsid w:val="005A1FB2"/>
    <w:rsid w:val="005A21FE"/>
    <w:rsid w:val="005C0A19"/>
    <w:rsid w:val="005E2AC1"/>
    <w:rsid w:val="005F695B"/>
    <w:rsid w:val="00600207"/>
    <w:rsid w:val="00634A86"/>
    <w:rsid w:val="006E4EBB"/>
    <w:rsid w:val="006F2BDD"/>
    <w:rsid w:val="006F67DF"/>
    <w:rsid w:val="006F7C7E"/>
    <w:rsid w:val="00732A99"/>
    <w:rsid w:val="00744A51"/>
    <w:rsid w:val="007476D1"/>
    <w:rsid w:val="007566A7"/>
    <w:rsid w:val="00796386"/>
    <w:rsid w:val="007B0A28"/>
    <w:rsid w:val="007C0B47"/>
    <w:rsid w:val="007D0D6A"/>
    <w:rsid w:val="007D72D8"/>
    <w:rsid w:val="00827AEC"/>
    <w:rsid w:val="00886704"/>
    <w:rsid w:val="008B2650"/>
    <w:rsid w:val="009154C1"/>
    <w:rsid w:val="00926316"/>
    <w:rsid w:val="009735F2"/>
    <w:rsid w:val="009A568C"/>
    <w:rsid w:val="009B4D7C"/>
    <w:rsid w:val="009D2DC6"/>
    <w:rsid w:val="00A14512"/>
    <w:rsid w:val="00A214AA"/>
    <w:rsid w:val="00A27434"/>
    <w:rsid w:val="00A35185"/>
    <w:rsid w:val="00A66646"/>
    <w:rsid w:val="00A81516"/>
    <w:rsid w:val="00AD1445"/>
    <w:rsid w:val="00AD40ED"/>
    <w:rsid w:val="00AF1B16"/>
    <w:rsid w:val="00B233C1"/>
    <w:rsid w:val="00B775F7"/>
    <w:rsid w:val="00B81123"/>
    <w:rsid w:val="00B83776"/>
    <w:rsid w:val="00BB4B08"/>
    <w:rsid w:val="00BD6AE8"/>
    <w:rsid w:val="00BE4D82"/>
    <w:rsid w:val="00C03E64"/>
    <w:rsid w:val="00C075A3"/>
    <w:rsid w:val="00C3496C"/>
    <w:rsid w:val="00C47D60"/>
    <w:rsid w:val="00CA3436"/>
    <w:rsid w:val="00CB0CC0"/>
    <w:rsid w:val="00CD00E7"/>
    <w:rsid w:val="00CD1515"/>
    <w:rsid w:val="00CE7E38"/>
    <w:rsid w:val="00D3172D"/>
    <w:rsid w:val="00D5516D"/>
    <w:rsid w:val="00D800D9"/>
    <w:rsid w:val="00D84FC5"/>
    <w:rsid w:val="00D950DF"/>
    <w:rsid w:val="00DA69DA"/>
    <w:rsid w:val="00E34064"/>
    <w:rsid w:val="00E34975"/>
    <w:rsid w:val="00E66ED4"/>
    <w:rsid w:val="00E708AF"/>
    <w:rsid w:val="00E87C01"/>
    <w:rsid w:val="00EA646D"/>
    <w:rsid w:val="00EA6695"/>
    <w:rsid w:val="00ED3251"/>
    <w:rsid w:val="00EF524D"/>
    <w:rsid w:val="00F10752"/>
    <w:rsid w:val="00F11A28"/>
    <w:rsid w:val="00F14D6C"/>
    <w:rsid w:val="00F36534"/>
    <w:rsid w:val="00F636F1"/>
    <w:rsid w:val="00F957B8"/>
    <w:rsid w:val="00FA6E14"/>
    <w:rsid w:val="00FA7EDB"/>
    <w:rsid w:val="00FC4668"/>
    <w:rsid w:val="00FD7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0AA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6F1"/>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F636F1"/>
    <w:pPr>
      <w:keepNext/>
      <w:keepLines/>
      <w:numPr>
        <w:numId w:val="2"/>
      </w:numPr>
      <w:spacing w:before="240" w:after="240"/>
      <w:ind w:left="720" w:hanging="720"/>
      <w:outlineLvl w:val="0"/>
    </w:pPr>
    <w:rPr>
      <w:rFonts w:ascii="Arial" w:hAnsi="Arial"/>
      <w:b/>
      <w:bCs/>
      <w:szCs w:val="28"/>
    </w:rPr>
  </w:style>
  <w:style w:type="paragraph" w:styleId="Heading2">
    <w:name w:val="heading 2"/>
    <w:basedOn w:val="Normal"/>
    <w:next w:val="Normal"/>
    <w:link w:val="Heading2Char"/>
    <w:uiPriority w:val="9"/>
    <w:unhideWhenUsed/>
    <w:qFormat/>
    <w:rsid w:val="00331B86"/>
    <w:pPr>
      <w:keepNext/>
      <w:keepLines/>
      <w:spacing w:before="200"/>
      <w:outlineLvl w:val="1"/>
    </w:pPr>
    <w:rPr>
      <w:rFonts w:eastAsiaTheme="majorEastAsia"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36F1"/>
    <w:rPr>
      <w:rFonts w:ascii="Arial" w:eastAsia="Times New Roman" w:hAnsi="Arial"/>
      <w:b/>
      <w:bCs/>
      <w:szCs w:val="28"/>
      <w:lang w:eastAsia="en-AU"/>
    </w:rPr>
  </w:style>
  <w:style w:type="character" w:styleId="Hyperlink">
    <w:name w:val="Hyperlink"/>
    <w:basedOn w:val="DefaultParagraphFont"/>
    <w:uiPriority w:val="99"/>
    <w:rsid w:val="00F636F1"/>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F636F1"/>
    <w:pPr>
      <w:ind w:left="720"/>
      <w:contextualSpacing/>
    </w:pPr>
  </w:style>
  <w:style w:type="paragraph" w:styleId="Footer">
    <w:name w:val="footer"/>
    <w:basedOn w:val="Normal"/>
    <w:link w:val="FooterChar"/>
    <w:uiPriority w:val="99"/>
    <w:rsid w:val="00F636F1"/>
    <w:pPr>
      <w:tabs>
        <w:tab w:val="center" w:pos="4513"/>
        <w:tab w:val="right" w:pos="9026"/>
      </w:tabs>
    </w:pPr>
  </w:style>
  <w:style w:type="character" w:customStyle="1" w:styleId="FooterChar">
    <w:name w:val="Footer Char"/>
    <w:basedOn w:val="DefaultParagraphFont"/>
    <w:link w:val="Footer"/>
    <w:uiPriority w:val="99"/>
    <w:rsid w:val="00F636F1"/>
    <w:rPr>
      <w:rFonts w:eastAsia="Times New Roman"/>
      <w:szCs w:val="20"/>
      <w:lang w:eastAsia="en-AU"/>
    </w:rPr>
  </w:style>
  <w:style w:type="paragraph" w:customStyle="1" w:styleId="Default">
    <w:name w:val="Default"/>
    <w:rsid w:val="00F636F1"/>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F636F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636F1"/>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F636F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636F1"/>
    <w:rPr>
      <w:rFonts w:ascii="Arial" w:eastAsia="Times New Roman" w:hAnsi="Arial" w:cs="Arial"/>
      <w:b/>
      <w:bCs/>
      <w:i/>
      <w:color w:val="000080"/>
      <w:sz w:val="28"/>
      <w:szCs w:val="28"/>
      <w:lang w:eastAsia="en-AU"/>
    </w:rPr>
  </w:style>
  <w:style w:type="character" w:customStyle="1" w:styleId="Heading2Char">
    <w:name w:val="Heading 2 Char"/>
    <w:basedOn w:val="DefaultParagraphFont"/>
    <w:link w:val="Heading2"/>
    <w:uiPriority w:val="9"/>
    <w:rsid w:val="00331B86"/>
    <w:rPr>
      <w:rFonts w:eastAsiaTheme="majorEastAsia" w:cstheme="majorBidi"/>
      <w:i/>
      <w:szCs w:val="26"/>
      <w:lang w:eastAsia="en-AU"/>
    </w:rPr>
  </w:style>
  <w:style w:type="table" w:styleId="TableGrid">
    <w:name w:val="Table Grid"/>
    <w:aliases w:val="Summary box,Table Gridbeth,RTI AMCP Table,new style,ASD Table,Centered text"/>
    <w:basedOn w:val="TableNormal"/>
    <w:uiPriority w:val="39"/>
    <w:rsid w:val="00BB4B0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331B86"/>
    <w:rPr>
      <w:rFonts w:eastAsia="Times New Roman"/>
      <w:szCs w:val="20"/>
      <w:lang w:eastAsia="en-AU"/>
    </w:rPr>
  </w:style>
  <w:style w:type="paragraph" w:styleId="FootnoteText">
    <w:name w:val="footnote text"/>
    <w:basedOn w:val="Normal"/>
    <w:link w:val="FootnoteTextChar"/>
    <w:semiHidden/>
    <w:rsid w:val="00331B86"/>
    <w:rPr>
      <w:sz w:val="20"/>
    </w:rPr>
  </w:style>
  <w:style w:type="character" w:customStyle="1" w:styleId="FootnoteTextChar">
    <w:name w:val="Footnote Text Char"/>
    <w:basedOn w:val="DefaultParagraphFont"/>
    <w:link w:val="FootnoteText"/>
    <w:semiHidden/>
    <w:rsid w:val="00331B86"/>
    <w:rPr>
      <w:rFonts w:eastAsia="Times New Roman"/>
      <w:sz w:val="20"/>
      <w:szCs w:val="20"/>
      <w:lang w:eastAsia="en-AU"/>
    </w:rPr>
  </w:style>
  <w:style w:type="character" w:styleId="FootnoteReference">
    <w:name w:val="footnote reference"/>
    <w:basedOn w:val="DefaultParagraphFont"/>
    <w:uiPriority w:val="99"/>
    <w:semiHidden/>
    <w:rsid w:val="00331B86"/>
    <w:rPr>
      <w:vertAlign w:val="superscript"/>
    </w:rPr>
  </w:style>
  <w:style w:type="paragraph" w:customStyle="1" w:styleId="Tabletext">
    <w:name w:val="Table text"/>
    <w:basedOn w:val="Normal"/>
    <w:link w:val="TabletextChar"/>
    <w:qFormat/>
    <w:rsid w:val="00331B86"/>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331B86"/>
    <w:rPr>
      <w:rFonts w:ascii="Arial Narrow" w:eastAsia="Times New Roman" w:hAnsi="Arial Narrow"/>
      <w:sz w:val="2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331B86"/>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331B86"/>
    <w:rPr>
      <w:rFonts w:ascii="Arial Narrow" w:eastAsia="Times New Roman" w:hAnsi="Arial Narrow" w:cs="Arial"/>
      <w:b/>
      <w:bCs/>
      <w:iCs/>
      <w:sz w:val="20"/>
      <w:szCs w:val="20"/>
    </w:rPr>
  </w:style>
  <w:style w:type="paragraph" w:customStyle="1" w:styleId="TableHeading">
    <w:name w:val="TableHeading"/>
    <w:basedOn w:val="Normal"/>
    <w:link w:val="TableHeadingChar"/>
    <w:qFormat/>
    <w:rsid w:val="00331B86"/>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331B86"/>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D3172D"/>
    <w:pPr>
      <w:keepNext/>
      <w:keepLines/>
      <w:widowControl w:val="0"/>
      <w:spacing w:before="60" w:after="24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D3172D"/>
    <w:rPr>
      <w:rFonts w:ascii="Arial Narrow" w:eastAsia="Times New Roman" w:hAnsi="Arial Narrow" w:cs="Arial"/>
      <w:snapToGrid w:val="0"/>
      <w:sz w:val="18"/>
      <w:szCs w:val="20"/>
    </w:rPr>
  </w:style>
  <w:style w:type="paragraph" w:customStyle="1" w:styleId="NormalBulletList">
    <w:name w:val="Normal Bullet List"/>
    <w:basedOn w:val="ListParagraph"/>
    <w:uiPriority w:val="3"/>
    <w:qFormat/>
    <w:rsid w:val="00331B86"/>
    <w:pPr>
      <w:numPr>
        <w:numId w:val="5"/>
      </w:numPr>
    </w:pPr>
    <w:rPr>
      <w:szCs w:val="24"/>
    </w:rPr>
  </w:style>
  <w:style w:type="paragraph" w:customStyle="1" w:styleId="Tablenotes1">
    <w:name w:val="Tablenotes 1"/>
    <w:basedOn w:val="Normal"/>
    <w:link w:val="Tablenotes1Char"/>
    <w:qFormat/>
    <w:rsid w:val="00331B86"/>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331B86"/>
    <w:rPr>
      <w:rFonts w:ascii="Arial Narrow" w:eastAsia="Times New Roman" w:hAnsi="Arial Narrow" w:cs="Arial"/>
      <w:snapToGrid w:val="0"/>
      <w:sz w:val="18"/>
      <w:szCs w:val="20"/>
    </w:rPr>
  </w:style>
  <w:style w:type="paragraph" w:customStyle="1" w:styleId="Tablenotes0">
    <w:name w:val="Table notes"/>
    <w:basedOn w:val="Normal"/>
    <w:link w:val="TablenotesChar0"/>
    <w:qFormat/>
    <w:rsid w:val="00331B86"/>
    <w:pPr>
      <w:spacing w:after="240" w:line="259" w:lineRule="auto"/>
      <w:contextualSpacing/>
      <w:jc w:val="both"/>
    </w:pPr>
    <w:rPr>
      <w:rFonts w:ascii="Arial Narrow" w:eastAsiaTheme="minorHAnsi" w:hAnsi="Arial Narrow" w:cs="Arial"/>
      <w:sz w:val="18"/>
      <w:szCs w:val="22"/>
      <w:lang w:eastAsia="en-US"/>
    </w:rPr>
  </w:style>
  <w:style w:type="character" w:customStyle="1" w:styleId="TablenotesChar0">
    <w:name w:val="Table notes Char"/>
    <w:basedOn w:val="DefaultParagraphFont"/>
    <w:link w:val="Tablenotes0"/>
    <w:rsid w:val="00331B86"/>
    <w:rPr>
      <w:rFonts w:ascii="Arial Narrow" w:hAnsi="Arial Narrow" w:cs="Arial"/>
      <w:sz w:val="18"/>
      <w:szCs w:val="22"/>
    </w:rPr>
  </w:style>
  <w:style w:type="table" w:customStyle="1" w:styleId="TableGrid1">
    <w:name w:val="Table Grid1"/>
    <w:basedOn w:val="TableNormal"/>
    <w:next w:val="TableGrid"/>
    <w:rsid w:val="00331B86"/>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521BT-Roman" w:hAnsi="Humanist521BT-Roman"/>
        <w:b w:val="0"/>
        <w:sz w:val="20"/>
      </w:rPr>
    </w:tblStylePr>
  </w:style>
  <w:style w:type="character" w:styleId="CommentReference">
    <w:name w:val="annotation reference"/>
    <w:basedOn w:val="DefaultParagraphFont"/>
    <w:uiPriority w:val="99"/>
    <w:semiHidden/>
    <w:unhideWhenUsed/>
    <w:rsid w:val="00A14512"/>
    <w:rPr>
      <w:sz w:val="16"/>
      <w:szCs w:val="16"/>
    </w:rPr>
  </w:style>
  <w:style w:type="paragraph" w:styleId="CommentText">
    <w:name w:val="annotation text"/>
    <w:basedOn w:val="Normal"/>
    <w:link w:val="CommentTextChar"/>
    <w:uiPriority w:val="99"/>
    <w:semiHidden/>
    <w:unhideWhenUsed/>
    <w:rsid w:val="00A14512"/>
    <w:rPr>
      <w:sz w:val="20"/>
    </w:rPr>
  </w:style>
  <w:style w:type="character" w:customStyle="1" w:styleId="CommentTextChar">
    <w:name w:val="Comment Text Char"/>
    <w:basedOn w:val="DefaultParagraphFont"/>
    <w:link w:val="CommentText"/>
    <w:uiPriority w:val="99"/>
    <w:semiHidden/>
    <w:rsid w:val="00A14512"/>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14512"/>
    <w:rPr>
      <w:b/>
      <w:bCs/>
    </w:rPr>
  </w:style>
  <w:style w:type="character" w:customStyle="1" w:styleId="CommentSubjectChar">
    <w:name w:val="Comment Subject Char"/>
    <w:basedOn w:val="CommentTextChar"/>
    <w:link w:val="CommentSubject"/>
    <w:uiPriority w:val="99"/>
    <w:semiHidden/>
    <w:rsid w:val="00A14512"/>
    <w:rPr>
      <w:rFonts w:eastAsia="Times New Roman"/>
      <w:b/>
      <w:bCs/>
      <w:sz w:val="20"/>
      <w:szCs w:val="20"/>
      <w:lang w:eastAsia="en-AU"/>
    </w:rPr>
  </w:style>
  <w:style w:type="paragraph" w:styleId="BalloonText">
    <w:name w:val="Balloon Text"/>
    <w:basedOn w:val="Normal"/>
    <w:link w:val="BalloonTextChar"/>
    <w:uiPriority w:val="99"/>
    <w:semiHidden/>
    <w:unhideWhenUsed/>
    <w:rsid w:val="00A14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12"/>
    <w:rPr>
      <w:rFonts w:ascii="Segoe UI" w:eastAsia="Times New Roman" w:hAnsi="Segoe UI" w:cs="Segoe UI"/>
      <w:sz w:val="18"/>
      <w:szCs w:val="18"/>
      <w:lang w:eastAsia="en-AU"/>
    </w:rPr>
  </w:style>
  <w:style w:type="paragraph" w:customStyle="1" w:styleId="BulletBeforeDash">
    <w:name w:val="BulletBeforeDash"/>
    <w:basedOn w:val="Normal"/>
    <w:rsid w:val="009735F2"/>
    <w:pPr>
      <w:numPr>
        <w:numId w:val="7"/>
      </w:numPr>
      <w:ind w:left="720"/>
    </w:pPr>
    <w:rPr>
      <w:color w:val="000000"/>
    </w:rPr>
  </w:style>
  <w:style w:type="paragraph" w:customStyle="1" w:styleId="Bullet">
    <w:name w:val="Bullet"/>
    <w:basedOn w:val="BulletBeforeDash"/>
    <w:qFormat/>
    <w:rsid w:val="009735F2"/>
    <w:pPr>
      <w:spacing w:after="120"/>
    </w:pPr>
  </w:style>
  <w:style w:type="paragraph" w:customStyle="1" w:styleId="BulletLast">
    <w:name w:val="BulletLast"/>
    <w:basedOn w:val="Bullet"/>
    <w:qFormat/>
    <w:rsid w:val="009735F2"/>
    <w:pPr>
      <w:spacing w:after="240"/>
    </w:pPr>
  </w:style>
  <w:style w:type="paragraph" w:customStyle="1" w:styleId="NormalBeforeBullet">
    <w:name w:val="NormalBeforeBullet"/>
    <w:basedOn w:val="Normal"/>
    <w:qFormat/>
    <w:rsid w:val="009735F2"/>
    <w:pPr>
      <w:keepNext/>
      <w:spacing w:after="120"/>
    </w:pPr>
    <w:rPr>
      <w:color w:val="000000"/>
    </w:rPr>
  </w:style>
  <w:style w:type="paragraph" w:styleId="Revision">
    <w:name w:val="Revision"/>
    <w:hidden/>
    <w:uiPriority w:val="99"/>
    <w:semiHidden/>
    <w:rsid w:val="00886704"/>
    <w:pPr>
      <w:spacing w:after="0" w:line="240" w:lineRule="auto"/>
    </w:pPr>
    <w:rPr>
      <w:rFonts w:eastAsia="Times New Roman"/>
      <w:szCs w:val="20"/>
      <w:lang w:eastAsia="en-AU"/>
    </w:rPr>
  </w:style>
  <w:style w:type="paragraph" w:styleId="Header">
    <w:name w:val="header"/>
    <w:basedOn w:val="Normal"/>
    <w:link w:val="HeaderChar"/>
    <w:uiPriority w:val="99"/>
    <w:unhideWhenUsed/>
    <w:rsid w:val="005449D8"/>
    <w:pPr>
      <w:tabs>
        <w:tab w:val="center" w:pos="4513"/>
        <w:tab w:val="right" w:pos="9026"/>
      </w:tabs>
    </w:pPr>
  </w:style>
  <w:style w:type="character" w:customStyle="1" w:styleId="HeaderChar">
    <w:name w:val="Header Char"/>
    <w:basedOn w:val="DefaultParagraphFont"/>
    <w:link w:val="Header"/>
    <w:uiPriority w:val="99"/>
    <w:rsid w:val="005449D8"/>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msac.gov.a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ood.gov.au/igcriteria-ver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8689</Words>
  <Characters>49531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1565 Final PSD</vt:lpstr>
    </vt:vector>
  </TitlesOfParts>
  <Company/>
  <LinksUpToDate>false</LinksUpToDate>
  <CharactersWithSpaces>58104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1565 Final PSD</dc:title>
  <dc:subject/>
  <dc:creator/>
  <cp:keywords/>
  <dc:description/>
  <cp:lastModifiedBy/>
  <cp:revision>1</cp:revision>
  <dcterms:created xsi:type="dcterms:W3CDTF">2020-03-04T04:53:00Z</dcterms:created>
  <dcterms:modified xsi:type="dcterms:W3CDTF">2020-08-02T23:47:00Z</dcterms:modified>
</cp:coreProperties>
</file>