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045E8" w14:textId="77777777" w:rsidR="0044715D" w:rsidRPr="00323092" w:rsidRDefault="0044715D" w:rsidP="0044715D">
      <w:pPr>
        <w:spacing w:before="120" w:after="120" w:line="312" w:lineRule="auto"/>
        <w:jc w:val="center"/>
      </w:pPr>
      <w:bookmarkStart w:id="0" w:name="_Toc403747457"/>
      <w:bookmarkStart w:id="1" w:name="_Toc412039297"/>
      <w:bookmarkStart w:id="2" w:name="_GoBack"/>
      <w:bookmarkEnd w:id="2"/>
      <w:r w:rsidRPr="008D5584">
        <w:rPr>
          <w:b/>
          <w:noProof/>
          <w:lang w:eastAsia="en-AU"/>
        </w:rPr>
        <w:drawing>
          <wp:inline distT="0" distB="0" distL="0" distR="0" wp14:anchorId="2C43609F" wp14:editId="2FDE8F66">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15968FF4" w14:textId="77777777" w:rsidR="00475756" w:rsidRPr="00CD225E" w:rsidRDefault="00475756" w:rsidP="00475756">
      <w:pPr>
        <w:pStyle w:val="Heading10"/>
        <w:jc w:val="center"/>
        <w:rPr>
          <w:sz w:val="52"/>
          <w:szCs w:val="52"/>
        </w:rPr>
      </w:pPr>
    </w:p>
    <w:p w14:paraId="4C1D3FBC" w14:textId="77777777" w:rsidR="00475756" w:rsidRPr="00B27BF8" w:rsidRDefault="00475756" w:rsidP="00475756">
      <w:pPr>
        <w:pStyle w:val="Heading10"/>
        <w:jc w:val="center"/>
        <w:rPr>
          <w:rFonts w:asciiTheme="minorHAnsi" w:hAnsiTheme="minorHAnsi" w:cstheme="minorHAnsi"/>
          <w:sz w:val="48"/>
          <w:szCs w:val="48"/>
        </w:rPr>
      </w:pPr>
      <w:r w:rsidRPr="00B27BF8">
        <w:rPr>
          <w:rFonts w:asciiTheme="minorHAnsi" w:hAnsiTheme="minorHAnsi" w:cstheme="minorHAnsi"/>
          <w:sz w:val="48"/>
          <w:szCs w:val="48"/>
        </w:rPr>
        <w:t>Application 1565:</w:t>
      </w:r>
    </w:p>
    <w:p w14:paraId="1922DCB3" w14:textId="77777777" w:rsidR="00475756" w:rsidRPr="00B27BF8" w:rsidRDefault="00475756" w:rsidP="00475756">
      <w:pPr>
        <w:pStyle w:val="Heading10"/>
        <w:jc w:val="center"/>
        <w:rPr>
          <w:rFonts w:asciiTheme="minorHAnsi" w:hAnsiTheme="minorHAnsi" w:cstheme="minorHAnsi"/>
          <w:sz w:val="48"/>
          <w:szCs w:val="48"/>
        </w:rPr>
      </w:pPr>
      <w:r w:rsidRPr="00B27BF8">
        <w:rPr>
          <w:rFonts w:asciiTheme="minorHAnsi" w:hAnsiTheme="minorHAnsi" w:cstheme="minorHAnsi"/>
          <w:color w:val="548DD4"/>
          <w:sz w:val="48"/>
          <w:szCs w:val="48"/>
        </w:rPr>
        <w:t>Acquired hypogammaglobulinaemia secondary to haematological malignancies, or post-haemopoietic stem cell transplantation (HSCT)</w:t>
      </w:r>
    </w:p>
    <w:p w14:paraId="69798ADA" w14:textId="77777777" w:rsidR="00475756" w:rsidRPr="00393B81" w:rsidRDefault="00475756" w:rsidP="00475756">
      <w:pPr>
        <w:pStyle w:val="Heading10"/>
        <w:tabs>
          <w:tab w:val="left" w:pos="5613"/>
        </w:tabs>
        <w:jc w:val="center"/>
        <w:rPr>
          <w:rFonts w:asciiTheme="minorHAnsi" w:hAnsiTheme="minorHAnsi"/>
          <w:sz w:val="44"/>
        </w:rPr>
      </w:pPr>
    </w:p>
    <w:p w14:paraId="76D0C680" w14:textId="77777777" w:rsidR="00475756" w:rsidRPr="00393B81" w:rsidRDefault="00475756" w:rsidP="00475756">
      <w:pPr>
        <w:pStyle w:val="Heading10"/>
        <w:jc w:val="center"/>
        <w:rPr>
          <w:rFonts w:asciiTheme="minorHAnsi" w:hAnsiTheme="minorHAnsi"/>
          <w:sz w:val="28"/>
        </w:rPr>
      </w:pPr>
      <w:r w:rsidRPr="00B27BF8">
        <w:rPr>
          <w:rFonts w:asciiTheme="minorHAnsi" w:hAnsiTheme="minorHAnsi" w:cstheme="minorHAnsi"/>
          <w:sz w:val="72"/>
          <w:szCs w:val="72"/>
        </w:rPr>
        <w:t>PICO Confirmation</w:t>
      </w:r>
    </w:p>
    <w:p w14:paraId="425C1FA0" w14:textId="77777777" w:rsidR="00475756" w:rsidRPr="00B27BF8" w:rsidRDefault="00475756" w:rsidP="00475756">
      <w:pPr>
        <w:spacing w:before="180"/>
        <w:jc w:val="center"/>
        <w:rPr>
          <w:rFonts w:asciiTheme="minorHAnsi" w:hAnsiTheme="minorHAnsi" w:cstheme="minorHAnsi"/>
          <w:b/>
          <w:sz w:val="32"/>
          <w:szCs w:val="32"/>
        </w:rPr>
      </w:pPr>
      <w:r w:rsidRPr="00B27BF8">
        <w:rPr>
          <w:rFonts w:asciiTheme="minorHAnsi" w:hAnsiTheme="minorHAnsi" w:cstheme="minorHAnsi"/>
          <w:b/>
          <w:sz w:val="32"/>
          <w:szCs w:val="32"/>
        </w:rPr>
        <w:t xml:space="preserve">(to guide a new </w:t>
      </w:r>
      <w:r w:rsidR="00393B81">
        <w:rPr>
          <w:rFonts w:asciiTheme="minorHAnsi" w:hAnsiTheme="minorHAnsi" w:cstheme="minorHAnsi"/>
          <w:b/>
          <w:sz w:val="32"/>
          <w:szCs w:val="32"/>
        </w:rPr>
        <w:t>referral</w:t>
      </w:r>
      <w:r w:rsidRPr="00B27BF8">
        <w:rPr>
          <w:rFonts w:asciiTheme="minorHAnsi" w:hAnsiTheme="minorHAnsi" w:cstheme="minorHAnsi"/>
          <w:b/>
          <w:sz w:val="32"/>
          <w:szCs w:val="32"/>
        </w:rPr>
        <w:t xml:space="preserve"> to MSAC)</w:t>
      </w:r>
    </w:p>
    <w:p w14:paraId="6336122B" w14:textId="77777777" w:rsidR="00475756" w:rsidRPr="00B27BF8" w:rsidRDefault="00475756" w:rsidP="00475756">
      <w:pPr>
        <w:spacing w:after="0"/>
        <w:jc w:val="both"/>
        <w:rPr>
          <w:rFonts w:asciiTheme="minorHAnsi" w:hAnsiTheme="minorHAnsi" w:cstheme="minorHAnsi"/>
        </w:rPr>
      </w:pPr>
      <w:r w:rsidRPr="00B27BF8">
        <w:rPr>
          <w:rFonts w:asciiTheme="minorHAnsi" w:hAnsiTheme="minorHAnsi" w:cstheme="minorHAnsi"/>
        </w:rPr>
        <w:t>Phone:  +61 2 6289 7550</w:t>
      </w:r>
    </w:p>
    <w:p w14:paraId="2C63DBAE" w14:textId="77777777" w:rsidR="00475756" w:rsidRPr="00B27BF8" w:rsidRDefault="00475756" w:rsidP="00475756">
      <w:pPr>
        <w:spacing w:after="0"/>
        <w:jc w:val="both"/>
        <w:rPr>
          <w:rFonts w:asciiTheme="minorHAnsi" w:hAnsiTheme="minorHAnsi" w:cstheme="minorHAnsi"/>
        </w:rPr>
      </w:pPr>
      <w:r w:rsidRPr="00B27BF8">
        <w:rPr>
          <w:rFonts w:asciiTheme="minorHAnsi" w:hAnsiTheme="minorHAnsi" w:cstheme="minorHAnsi"/>
        </w:rPr>
        <w:t xml:space="preserve">Email:  </w:t>
      </w:r>
      <w:r w:rsidRPr="00B27BF8">
        <w:rPr>
          <w:rStyle w:val="Hyperlink"/>
          <w:rFonts w:asciiTheme="minorHAnsi" w:hAnsiTheme="minorHAnsi" w:cstheme="minorHAnsi"/>
        </w:rPr>
        <w:t xml:space="preserve">hta@health.gov.au, </w:t>
      </w:r>
      <w:r w:rsidRPr="00B27BF8">
        <w:rPr>
          <w:rFonts w:asciiTheme="minorHAnsi" w:hAnsiTheme="minorHAnsi" w:cstheme="minorHAnsi"/>
        </w:rPr>
        <w:t xml:space="preserve">Website: </w:t>
      </w:r>
      <w:r w:rsidRPr="00B27BF8">
        <w:rPr>
          <w:rStyle w:val="Hyperlink"/>
          <w:rFonts w:asciiTheme="minorHAnsi" w:hAnsiTheme="minorHAnsi" w:cstheme="minorHAnsi"/>
        </w:rPr>
        <w:t>http://www.msac.gov.au</w:t>
      </w:r>
      <w:bookmarkStart w:id="3" w:name="_Toc443555803"/>
    </w:p>
    <w:bookmarkEnd w:id="3"/>
    <w:p w14:paraId="7D7C749F" w14:textId="77777777" w:rsidR="00FF20B9" w:rsidRDefault="00FF20B9">
      <w:pPr>
        <w:rPr>
          <w:rFonts w:asciiTheme="minorHAnsi" w:eastAsia="MS Gothic" w:hAnsiTheme="minorHAnsi" w:cstheme="minorHAnsi"/>
          <w:b/>
          <w:bCs/>
          <w:i/>
          <w:color w:val="548DD4"/>
          <w:szCs w:val="26"/>
        </w:rPr>
      </w:pPr>
      <w:r>
        <w:rPr>
          <w:rFonts w:asciiTheme="minorHAnsi" w:hAnsiTheme="minorHAnsi" w:cstheme="minorHAnsi"/>
          <w:color w:val="548DD4"/>
        </w:rPr>
        <w:br w:type="page"/>
      </w:r>
    </w:p>
    <w:p w14:paraId="1185CC4F" w14:textId="36412D87" w:rsidR="00F12E59" w:rsidRPr="00B27BF8" w:rsidRDefault="0044715D" w:rsidP="0044715D">
      <w:pPr>
        <w:pStyle w:val="Heading2"/>
        <w:spacing w:line="240" w:lineRule="auto"/>
        <w:jc w:val="both"/>
        <w:rPr>
          <w:rFonts w:asciiTheme="minorHAnsi" w:hAnsiTheme="minorHAnsi" w:cstheme="minorHAnsi"/>
          <w:b w:val="0"/>
          <w:i w:val="0"/>
          <w:u w:val="none"/>
        </w:rPr>
      </w:pPr>
      <w:r w:rsidRPr="00B27BF8">
        <w:rPr>
          <w:rFonts w:asciiTheme="minorHAnsi" w:hAnsiTheme="minorHAnsi" w:cstheme="minorHAnsi"/>
          <w:color w:val="548DD4"/>
          <w:u w:val="none"/>
        </w:rPr>
        <w:lastRenderedPageBreak/>
        <w:t>Summary of PICO criteria</w:t>
      </w:r>
      <w:bookmarkEnd w:id="0"/>
      <w:bookmarkEnd w:id="1"/>
      <w:r w:rsidR="00F12E59" w:rsidRPr="00B27BF8">
        <w:rPr>
          <w:rFonts w:asciiTheme="minorHAnsi" w:hAnsiTheme="minorHAnsi" w:cstheme="minorHAnsi"/>
          <w:color w:val="548DD4"/>
          <w:u w:val="none"/>
        </w:rPr>
        <w:t xml:space="preserve"> to define the question(s) to be addressed in an Assessment Report to the Medical Services Advisory Committee (MSAC)</w:t>
      </w: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ummary of PICO criteria"/>
      </w:tblPr>
      <w:tblGrid>
        <w:gridCol w:w="1813"/>
        <w:gridCol w:w="8105"/>
      </w:tblGrid>
      <w:tr w:rsidR="00A67CBB" w:rsidRPr="003A6E41" w14:paraId="08E23A2B" w14:textId="77777777" w:rsidTr="00313550">
        <w:tc>
          <w:tcPr>
            <w:tcW w:w="914" w:type="pct"/>
            <w:shd w:val="clear" w:color="auto" w:fill="D9D9D9"/>
          </w:tcPr>
          <w:p w14:paraId="4A65CF34" w14:textId="77777777" w:rsidR="00A67CBB" w:rsidRPr="003A6E41" w:rsidRDefault="00A67CBB" w:rsidP="00ED1491">
            <w:pPr>
              <w:spacing w:after="0" w:line="240" w:lineRule="auto"/>
              <w:rPr>
                <w:rFonts w:asciiTheme="minorHAnsi" w:hAnsiTheme="minorHAnsi" w:cstheme="minorHAnsi"/>
                <w:b/>
                <w:sz w:val="20"/>
                <w:szCs w:val="20"/>
              </w:rPr>
            </w:pPr>
            <w:r w:rsidRPr="003A6E41">
              <w:rPr>
                <w:rFonts w:asciiTheme="minorHAnsi" w:hAnsiTheme="minorHAnsi" w:cstheme="minorHAnsi"/>
                <w:b/>
                <w:sz w:val="20"/>
                <w:szCs w:val="20"/>
              </w:rPr>
              <w:t>Component</w:t>
            </w:r>
          </w:p>
        </w:tc>
        <w:tc>
          <w:tcPr>
            <w:tcW w:w="4086" w:type="pct"/>
            <w:shd w:val="clear" w:color="auto" w:fill="D9D9D9"/>
          </w:tcPr>
          <w:p w14:paraId="3ECAE5E4" w14:textId="77777777" w:rsidR="00A67CBB" w:rsidRPr="003A6E41" w:rsidRDefault="00A67CBB" w:rsidP="00ED1491">
            <w:pPr>
              <w:spacing w:after="0" w:line="240" w:lineRule="auto"/>
              <w:jc w:val="both"/>
              <w:rPr>
                <w:rFonts w:asciiTheme="minorHAnsi" w:hAnsiTheme="minorHAnsi" w:cstheme="minorHAnsi"/>
                <w:b/>
                <w:sz w:val="20"/>
                <w:szCs w:val="20"/>
              </w:rPr>
            </w:pPr>
            <w:r w:rsidRPr="003A6E41">
              <w:rPr>
                <w:rFonts w:asciiTheme="minorHAnsi" w:hAnsiTheme="minorHAnsi" w:cstheme="minorHAnsi"/>
                <w:b/>
                <w:sz w:val="20"/>
                <w:szCs w:val="20"/>
              </w:rPr>
              <w:t>Description</w:t>
            </w:r>
          </w:p>
        </w:tc>
      </w:tr>
      <w:tr w:rsidR="00A67CBB" w:rsidRPr="003A6E41" w14:paraId="4259AC1B" w14:textId="77777777" w:rsidTr="00313550">
        <w:tc>
          <w:tcPr>
            <w:tcW w:w="914" w:type="pct"/>
          </w:tcPr>
          <w:p w14:paraId="69DE2B08" w14:textId="77777777" w:rsidR="00A67CBB" w:rsidRPr="003A6E41" w:rsidRDefault="00A67CBB" w:rsidP="00ED1491">
            <w:pPr>
              <w:spacing w:after="0" w:line="240" w:lineRule="auto"/>
              <w:rPr>
                <w:rFonts w:asciiTheme="minorHAnsi" w:hAnsiTheme="minorHAnsi" w:cstheme="minorHAnsi"/>
                <w:sz w:val="20"/>
                <w:szCs w:val="20"/>
              </w:rPr>
            </w:pPr>
            <w:r w:rsidRPr="003A6E41">
              <w:rPr>
                <w:rFonts w:asciiTheme="minorHAnsi" w:hAnsiTheme="minorHAnsi" w:cstheme="minorHAnsi"/>
                <w:sz w:val="20"/>
                <w:szCs w:val="20"/>
              </w:rPr>
              <w:t>Patients</w:t>
            </w:r>
          </w:p>
        </w:tc>
        <w:tc>
          <w:tcPr>
            <w:tcW w:w="4086" w:type="pct"/>
          </w:tcPr>
          <w:p w14:paraId="0B25C094" w14:textId="1E557E8F" w:rsidR="00A67CBB" w:rsidRPr="00E33348" w:rsidRDefault="00A67CBB" w:rsidP="00D07F09">
            <w:pPr>
              <w:spacing w:after="0" w:line="240" w:lineRule="auto"/>
              <w:ind w:left="491"/>
              <w:rPr>
                <w:rFonts w:asciiTheme="minorHAnsi" w:hAnsiTheme="minorHAnsi"/>
                <w:sz w:val="20"/>
              </w:rPr>
            </w:pPr>
            <w:r w:rsidRPr="003A6E41">
              <w:rPr>
                <w:rFonts w:asciiTheme="minorHAnsi" w:hAnsiTheme="minorHAnsi" w:cstheme="minorHAnsi"/>
                <w:sz w:val="20"/>
                <w:szCs w:val="20"/>
              </w:rPr>
              <w:t>Patients with acquired hypogammaglobulinaemia secondary to haematological malignancies, or post-haemopoietic stem cell transplantation (HSCT)</w:t>
            </w:r>
            <w:r>
              <w:rPr>
                <w:rFonts w:asciiTheme="minorHAnsi" w:hAnsiTheme="minorHAnsi" w:cstheme="minorHAnsi"/>
                <w:sz w:val="20"/>
                <w:szCs w:val="20"/>
              </w:rPr>
              <w:t xml:space="preserve"> </w:t>
            </w:r>
            <w:r w:rsidRPr="00EE466C">
              <w:rPr>
                <w:rFonts w:asciiTheme="minorHAnsi" w:hAnsiTheme="minorHAnsi" w:cstheme="minorHAnsi"/>
                <w:noProof/>
                <w:sz w:val="20"/>
                <w:szCs w:val="20"/>
              </w:rPr>
              <w:t>who</w:t>
            </w:r>
            <w:r w:rsidRPr="00EE466C">
              <w:rPr>
                <w:rFonts w:asciiTheme="minorHAnsi" w:hAnsiTheme="minorHAnsi" w:cstheme="minorHAnsi"/>
                <w:sz w:val="20"/>
                <w:szCs w:val="20"/>
              </w:rPr>
              <w:t xml:space="preserve"> are currently eligible for immunoglobulin (Ig) treatment in Australia according to version 3 of the </w:t>
            </w:r>
            <w:r w:rsidRPr="00EE466C">
              <w:rPr>
                <w:rFonts w:asciiTheme="minorHAnsi" w:hAnsiTheme="minorHAnsi" w:cstheme="minorHAnsi"/>
                <w:i/>
                <w:sz w:val="20"/>
                <w:szCs w:val="20"/>
              </w:rPr>
              <w:t>Criteria for the clinical use of immunoglobulin in Australia</w:t>
            </w:r>
            <w:r>
              <w:rPr>
                <w:rFonts w:asciiTheme="minorHAnsi" w:hAnsiTheme="minorHAnsi" w:cstheme="minorHAnsi"/>
                <w:i/>
                <w:szCs w:val="20"/>
              </w:rPr>
              <w:t>.</w:t>
            </w:r>
          </w:p>
        </w:tc>
      </w:tr>
      <w:tr w:rsidR="00A67CBB" w:rsidRPr="003A6E41" w14:paraId="74CFA8D6" w14:textId="77777777" w:rsidTr="00313550">
        <w:tc>
          <w:tcPr>
            <w:tcW w:w="914" w:type="pct"/>
          </w:tcPr>
          <w:p w14:paraId="052C6672" w14:textId="77777777" w:rsidR="00A67CBB" w:rsidRPr="003A6E41" w:rsidRDefault="00A67CBB" w:rsidP="00ED1491">
            <w:pPr>
              <w:spacing w:after="0" w:line="240" w:lineRule="auto"/>
              <w:rPr>
                <w:rFonts w:asciiTheme="minorHAnsi" w:hAnsiTheme="minorHAnsi" w:cstheme="minorHAnsi"/>
                <w:sz w:val="20"/>
                <w:szCs w:val="20"/>
              </w:rPr>
            </w:pPr>
            <w:r w:rsidRPr="003A6E41">
              <w:rPr>
                <w:rFonts w:asciiTheme="minorHAnsi" w:hAnsiTheme="minorHAnsi" w:cstheme="minorHAnsi"/>
                <w:sz w:val="20"/>
                <w:szCs w:val="20"/>
              </w:rPr>
              <w:t>Intervention</w:t>
            </w:r>
          </w:p>
        </w:tc>
        <w:tc>
          <w:tcPr>
            <w:tcW w:w="4086" w:type="pct"/>
          </w:tcPr>
          <w:p w14:paraId="1362E6B4" w14:textId="3AF3D78D" w:rsidR="00A67CBB" w:rsidRPr="00E33348" w:rsidRDefault="00A67CBB" w:rsidP="00D07F09">
            <w:pPr>
              <w:spacing w:after="0" w:line="240" w:lineRule="auto"/>
              <w:ind w:hanging="76"/>
              <w:rPr>
                <w:rFonts w:asciiTheme="minorHAnsi" w:hAnsiTheme="minorHAnsi" w:cstheme="minorHAnsi"/>
                <w:sz w:val="20"/>
                <w:szCs w:val="20"/>
              </w:rPr>
            </w:pPr>
            <w:r w:rsidRPr="00E33348">
              <w:rPr>
                <w:rFonts w:asciiTheme="minorHAnsi" w:hAnsiTheme="minorHAnsi" w:cstheme="minorHAnsi"/>
                <w:sz w:val="20"/>
                <w:szCs w:val="20"/>
              </w:rPr>
              <w:t>Replacement IgG therapy with or without antibiotics</w:t>
            </w:r>
            <w:r w:rsidR="00A75F38">
              <w:rPr>
                <w:rFonts w:asciiTheme="minorHAnsi" w:hAnsiTheme="minorHAnsi" w:cstheme="minorHAnsi"/>
                <w:sz w:val="20"/>
                <w:szCs w:val="20"/>
              </w:rPr>
              <w:t>:</w:t>
            </w:r>
          </w:p>
          <w:p w14:paraId="54393F36" w14:textId="77777777" w:rsidR="00A67CBB" w:rsidRDefault="00A67CBB" w:rsidP="00A86A66">
            <w:pPr>
              <w:pStyle w:val="Tablecontents"/>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including</w:t>
            </w:r>
            <w:r w:rsidRPr="003A6E41">
              <w:rPr>
                <w:rFonts w:asciiTheme="minorHAnsi" w:hAnsiTheme="minorHAnsi" w:cstheme="minorHAnsi"/>
                <w:sz w:val="20"/>
                <w:szCs w:val="20"/>
              </w:rPr>
              <w:t xml:space="preserve"> </w:t>
            </w:r>
            <w:r>
              <w:rPr>
                <w:rFonts w:asciiTheme="minorHAnsi" w:hAnsiTheme="minorHAnsi" w:cstheme="minorHAnsi"/>
                <w:sz w:val="20"/>
                <w:szCs w:val="20"/>
              </w:rPr>
              <w:t xml:space="preserve">IgG by </w:t>
            </w:r>
            <w:r w:rsidRPr="003A6E41">
              <w:rPr>
                <w:rFonts w:asciiTheme="minorHAnsi" w:hAnsiTheme="minorHAnsi" w:cstheme="minorHAnsi"/>
                <w:sz w:val="20"/>
                <w:szCs w:val="20"/>
              </w:rPr>
              <w:t>intravenous administration (IVIg</w:t>
            </w:r>
            <w:r>
              <w:rPr>
                <w:rFonts w:asciiTheme="minorHAnsi" w:hAnsiTheme="minorHAnsi" w:cstheme="minorHAnsi"/>
                <w:sz w:val="20"/>
                <w:szCs w:val="20"/>
              </w:rPr>
              <w:t>)</w:t>
            </w:r>
            <w:r w:rsidRPr="003A6E41">
              <w:rPr>
                <w:rFonts w:asciiTheme="minorHAnsi" w:hAnsiTheme="minorHAnsi" w:cstheme="minorHAnsi"/>
                <w:sz w:val="20"/>
                <w:szCs w:val="20"/>
              </w:rPr>
              <w:t xml:space="preserve"> </w:t>
            </w:r>
            <w:r>
              <w:rPr>
                <w:rFonts w:asciiTheme="minorHAnsi" w:hAnsiTheme="minorHAnsi" w:cstheme="minorHAnsi"/>
                <w:sz w:val="20"/>
                <w:szCs w:val="20"/>
              </w:rPr>
              <w:t>or</w:t>
            </w:r>
          </w:p>
          <w:p w14:paraId="333AE0D2" w14:textId="77777777" w:rsidR="00A67CBB" w:rsidRPr="00E33348" w:rsidRDefault="00A67CBB" w:rsidP="00A86A66">
            <w:pPr>
              <w:pStyle w:val="Tablecontents"/>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 xml:space="preserve">by </w:t>
            </w:r>
            <w:r w:rsidRPr="003A6E41">
              <w:rPr>
                <w:rFonts w:asciiTheme="minorHAnsi" w:hAnsiTheme="minorHAnsi" w:cstheme="minorHAnsi"/>
                <w:sz w:val="20"/>
                <w:szCs w:val="20"/>
              </w:rPr>
              <w:t>subcutaneous administration (SCIg</w:t>
            </w:r>
            <w:r>
              <w:rPr>
                <w:rFonts w:asciiTheme="minorHAnsi" w:hAnsiTheme="minorHAnsi" w:cstheme="minorHAnsi"/>
                <w:sz w:val="20"/>
                <w:szCs w:val="20"/>
              </w:rPr>
              <w:t>)</w:t>
            </w:r>
          </w:p>
        </w:tc>
      </w:tr>
      <w:tr w:rsidR="00A67CBB" w:rsidRPr="003A6E41" w14:paraId="25A764D8" w14:textId="77777777" w:rsidTr="00313550">
        <w:tc>
          <w:tcPr>
            <w:tcW w:w="914" w:type="pct"/>
          </w:tcPr>
          <w:p w14:paraId="5D8CFDB2" w14:textId="77777777" w:rsidR="00A67CBB" w:rsidRPr="003A6E41" w:rsidRDefault="00A67CBB" w:rsidP="00ED1491">
            <w:pPr>
              <w:spacing w:after="0" w:line="240" w:lineRule="auto"/>
              <w:rPr>
                <w:rFonts w:asciiTheme="minorHAnsi" w:hAnsiTheme="minorHAnsi" w:cstheme="minorHAnsi"/>
                <w:sz w:val="20"/>
                <w:szCs w:val="20"/>
              </w:rPr>
            </w:pPr>
            <w:r w:rsidRPr="003A6E41">
              <w:rPr>
                <w:rFonts w:asciiTheme="minorHAnsi" w:hAnsiTheme="minorHAnsi" w:cstheme="minorHAnsi"/>
                <w:sz w:val="20"/>
                <w:szCs w:val="20"/>
              </w:rPr>
              <w:t>Comparator</w:t>
            </w:r>
          </w:p>
        </w:tc>
        <w:tc>
          <w:tcPr>
            <w:tcW w:w="4086" w:type="pct"/>
          </w:tcPr>
          <w:p w14:paraId="04ED7B7F" w14:textId="77777777" w:rsidR="00A67CBB" w:rsidRPr="005173D3" w:rsidRDefault="00A67CBB" w:rsidP="00D07F09">
            <w:pPr>
              <w:spacing w:after="0" w:line="240" w:lineRule="auto"/>
              <w:ind w:firstLine="491"/>
              <w:rPr>
                <w:rFonts w:asciiTheme="minorHAnsi" w:hAnsiTheme="minorHAnsi" w:cstheme="minorHAnsi"/>
                <w:sz w:val="20"/>
                <w:szCs w:val="20"/>
              </w:rPr>
            </w:pPr>
            <w:r w:rsidRPr="005173D3">
              <w:rPr>
                <w:rFonts w:asciiTheme="minorHAnsi" w:hAnsiTheme="minorHAnsi" w:cstheme="minorHAnsi"/>
                <w:sz w:val="20"/>
                <w:szCs w:val="20"/>
              </w:rPr>
              <w:t>No IgG therapy with or without antibiotics</w:t>
            </w:r>
          </w:p>
        </w:tc>
      </w:tr>
      <w:tr w:rsidR="00A67CBB" w:rsidRPr="003A6E41" w14:paraId="567AA5E0" w14:textId="77777777" w:rsidTr="00313550">
        <w:tc>
          <w:tcPr>
            <w:tcW w:w="914" w:type="pct"/>
          </w:tcPr>
          <w:p w14:paraId="21D484AB" w14:textId="77777777" w:rsidR="00A67CBB" w:rsidRPr="003A6E41" w:rsidRDefault="00A67CBB" w:rsidP="00ED1491">
            <w:pPr>
              <w:spacing w:after="0" w:line="240" w:lineRule="auto"/>
              <w:rPr>
                <w:rFonts w:asciiTheme="minorHAnsi" w:hAnsiTheme="minorHAnsi" w:cstheme="minorHAnsi"/>
                <w:sz w:val="20"/>
                <w:szCs w:val="20"/>
              </w:rPr>
            </w:pPr>
            <w:r w:rsidRPr="003A6E41">
              <w:rPr>
                <w:rFonts w:asciiTheme="minorHAnsi" w:hAnsiTheme="minorHAnsi" w:cstheme="minorHAnsi"/>
                <w:sz w:val="20"/>
                <w:szCs w:val="20"/>
              </w:rPr>
              <w:t>Outcomes</w:t>
            </w:r>
          </w:p>
        </w:tc>
        <w:tc>
          <w:tcPr>
            <w:tcW w:w="4086" w:type="pct"/>
          </w:tcPr>
          <w:p w14:paraId="70F2518F" w14:textId="77777777" w:rsidR="00A67CBB" w:rsidRPr="003A6E41" w:rsidRDefault="00A67CBB" w:rsidP="00D07F09">
            <w:pPr>
              <w:pStyle w:val="Tablecontents"/>
              <w:spacing w:line="276" w:lineRule="auto"/>
              <w:ind w:left="491"/>
              <w:rPr>
                <w:rFonts w:asciiTheme="minorHAnsi" w:hAnsiTheme="minorHAnsi" w:cstheme="minorHAnsi"/>
                <w:b/>
                <w:bCs/>
                <w:i/>
                <w:iCs/>
                <w:sz w:val="20"/>
                <w:szCs w:val="20"/>
              </w:rPr>
            </w:pPr>
            <w:r w:rsidRPr="003A6E41">
              <w:rPr>
                <w:rFonts w:asciiTheme="minorHAnsi" w:hAnsiTheme="minorHAnsi" w:cstheme="minorHAnsi"/>
                <w:b/>
                <w:bCs/>
                <w:i/>
                <w:iCs/>
                <w:sz w:val="20"/>
                <w:szCs w:val="20"/>
              </w:rPr>
              <w:t>The outcomes listed are those identified in the development of the PICO. Additional or more specific outcomes identified during the evaluation process that are considered relevant to the intervention or comparator treatment may be addressed in the evaluation report (Contracted Assessment). Broadly the outcomes identified pre assessment and considered in scope are:</w:t>
            </w:r>
          </w:p>
          <w:p w14:paraId="1B2FD90E" w14:textId="77777777" w:rsidR="00A67CBB" w:rsidRPr="003A6E41" w:rsidRDefault="00A67CBB" w:rsidP="00D07F09">
            <w:pPr>
              <w:pStyle w:val="Tablecontents"/>
              <w:spacing w:line="276" w:lineRule="auto"/>
              <w:ind w:hanging="76"/>
              <w:rPr>
                <w:rFonts w:asciiTheme="minorHAnsi" w:hAnsiTheme="minorHAnsi" w:cstheme="minorHAnsi"/>
                <w:i/>
                <w:iCs/>
                <w:sz w:val="20"/>
                <w:szCs w:val="20"/>
              </w:rPr>
            </w:pPr>
            <w:r w:rsidRPr="003A6E41">
              <w:rPr>
                <w:rFonts w:asciiTheme="minorHAnsi" w:hAnsiTheme="minorHAnsi" w:cstheme="minorHAnsi"/>
                <w:i/>
                <w:iCs/>
                <w:sz w:val="20"/>
                <w:szCs w:val="20"/>
              </w:rPr>
              <w:t>Safety Outcomes:</w:t>
            </w:r>
          </w:p>
          <w:p w14:paraId="15A6BC8A" w14:textId="77777777" w:rsidR="00A67CBB" w:rsidRPr="00A86A66" w:rsidRDefault="00A67CBB" w:rsidP="00A86A66">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Adverse events including development of disease or side effects</w:t>
            </w:r>
          </w:p>
          <w:p w14:paraId="389BB46E" w14:textId="77777777" w:rsidR="00A67CBB" w:rsidRPr="003A6E41" w:rsidRDefault="00A67CBB" w:rsidP="00D07F09">
            <w:pPr>
              <w:pStyle w:val="Tablecontents"/>
              <w:spacing w:line="276" w:lineRule="auto"/>
              <w:ind w:left="-76"/>
              <w:rPr>
                <w:rFonts w:asciiTheme="minorHAnsi" w:hAnsiTheme="minorHAnsi" w:cstheme="minorHAnsi"/>
                <w:i/>
                <w:iCs/>
                <w:sz w:val="20"/>
                <w:szCs w:val="20"/>
              </w:rPr>
            </w:pPr>
            <w:r w:rsidRPr="003A6E41">
              <w:rPr>
                <w:rFonts w:asciiTheme="minorHAnsi" w:hAnsiTheme="minorHAnsi" w:cstheme="minorHAnsi"/>
                <w:i/>
                <w:iCs/>
                <w:sz w:val="20"/>
                <w:szCs w:val="20"/>
              </w:rPr>
              <w:t>Clinical effectiveness outcomes:</w:t>
            </w:r>
          </w:p>
          <w:p w14:paraId="48659F93"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Number of infections</w:t>
            </w:r>
          </w:p>
          <w:p w14:paraId="7DA7AC68" w14:textId="77777777" w:rsidR="00A67CBB" w:rsidRPr="003A6E41" w:rsidRDefault="00A67CBB" w:rsidP="00ED1491">
            <w:pPr>
              <w:pStyle w:val="Tablecontents"/>
              <w:numPr>
                <w:ilvl w:val="0"/>
                <w:numId w:val="17"/>
              </w:numPr>
              <w:spacing w:line="276" w:lineRule="auto"/>
              <w:rPr>
                <w:rFonts w:asciiTheme="minorHAnsi" w:hAnsiTheme="minorHAnsi" w:cstheme="minorHAnsi"/>
                <w:i/>
                <w:iCs/>
                <w:sz w:val="20"/>
                <w:szCs w:val="20"/>
              </w:rPr>
            </w:pPr>
            <w:r w:rsidRPr="003A6E41">
              <w:rPr>
                <w:rFonts w:asciiTheme="minorHAnsi" w:hAnsiTheme="minorHAnsi" w:cstheme="minorHAnsi"/>
                <w:sz w:val="20"/>
                <w:szCs w:val="20"/>
              </w:rPr>
              <w:t>Change in quality of life</w:t>
            </w:r>
            <w:r>
              <w:rPr>
                <w:rFonts w:asciiTheme="minorHAnsi" w:hAnsiTheme="minorHAnsi" w:cstheme="minorHAnsi"/>
                <w:sz w:val="20"/>
                <w:szCs w:val="20"/>
              </w:rPr>
              <w:t>, including anxiety</w:t>
            </w:r>
          </w:p>
          <w:p w14:paraId="248E021A" w14:textId="77777777" w:rsidR="00A67CBB" w:rsidRPr="003A6E41" w:rsidRDefault="00A67CBB" w:rsidP="00ED1491">
            <w:pPr>
              <w:pStyle w:val="Tablecontents"/>
              <w:numPr>
                <w:ilvl w:val="0"/>
                <w:numId w:val="17"/>
              </w:numPr>
              <w:spacing w:line="276" w:lineRule="auto"/>
              <w:rPr>
                <w:rFonts w:asciiTheme="minorHAnsi" w:hAnsiTheme="minorHAnsi" w:cstheme="minorHAnsi"/>
                <w:i/>
                <w:iCs/>
                <w:sz w:val="20"/>
                <w:szCs w:val="20"/>
              </w:rPr>
            </w:pPr>
            <w:r w:rsidRPr="003A6E41">
              <w:rPr>
                <w:rFonts w:asciiTheme="minorHAnsi" w:hAnsiTheme="minorHAnsi" w:cstheme="minorHAnsi"/>
                <w:sz w:val="20"/>
                <w:szCs w:val="20"/>
              </w:rPr>
              <w:t xml:space="preserve">Mortality </w:t>
            </w:r>
          </w:p>
          <w:p w14:paraId="76F35DB5" w14:textId="77777777" w:rsidR="00A67CBB" w:rsidRPr="003A6E41" w:rsidRDefault="00A67CBB" w:rsidP="00D07F09">
            <w:pPr>
              <w:pStyle w:val="Tablecontents"/>
              <w:spacing w:line="276" w:lineRule="auto"/>
              <w:ind w:left="-218" w:firstLine="142"/>
              <w:rPr>
                <w:rFonts w:asciiTheme="minorHAnsi" w:hAnsiTheme="minorHAnsi" w:cstheme="minorHAnsi"/>
                <w:i/>
                <w:iCs/>
                <w:sz w:val="20"/>
                <w:szCs w:val="20"/>
              </w:rPr>
            </w:pPr>
            <w:r w:rsidRPr="003A6E41">
              <w:rPr>
                <w:rFonts w:asciiTheme="minorHAnsi" w:hAnsiTheme="minorHAnsi" w:cstheme="minorHAnsi"/>
                <w:i/>
                <w:iCs/>
                <w:sz w:val="20"/>
                <w:szCs w:val="20"/>
              </w:rPr>
              <w:t>Healthcare system resources utilisation</w:t>
            </w:r>
          </w:p>
          <w:p w14:paraId="715EE6C8" w14:textId="77777777" w:rsidR="00A67CBB" w:rsidRPr="003A6E41" w:rsidRDefault="00A67CBB" w:rsidP="007422BB">
            <w:pPr>
              <w:pStyle w:val="Tablecontents"/>
              <w:numPr>
                <w:ilvl w:val="0"/>
                <w:numId w:val="17"/>
              </w:numPr>
              <w:spacing w:line="276" w:lineRule="auto"/>
              <w:ind w:left="346" w:hanging="346"/>
              <w:rPr>
                <w:rFonts w:asciiTheme="minorHAnsi" w:hAnsiTheme="minorHAnsi" w:cstheme="minorHAnsi"/>
                <w:sz w:val="20"/>
                <w:szCs w:val="20"/>
              </w:rPr>
            </w:pPr>
            <w:r w:rsidRPr="003A6E41">
              <w:rPr>
                <w:rFonts w:asciiTheme="minorHAnsi" w:hAnsiTheme="minorHAnsi" w:cstheme="minorHAnsi"/>
                <w:sz w:val="20"/>
                <w:szCs w:val="20"/>
              </w:rPr>
              <w:t>Changes in health system resource utilisation associated with the intervention</w:t>
            </w:r>
            <w:r>
              <w:rPr>
                <w:rFonts w:asciiTheme="minorHAnsi" w:hAnsiTheme="minorHAnsi" w:cstheme="minorHAnsi"/>
                <w:sz w:val="20"/>
                <w:szCs w:val="20"/>
              </w:rPr>
              <w:t>, for example</w:t>
            </w:r>
          </w:p>
          <w:p w14:paraId="60C87493"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 xml:space="preserve">Ig products, </w:t>
            </w:r>
          </w:p>
          <w:p w14:paraId="052D173A"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Infusion equipmen</w:t>
            </w:r>
            <w:r>
              <w:rPr>
                <w:rFonts w:asciiTheme="minorHAnsi" w:hAnsiTheme="minorHAnsi" w:cstheme="minorHAnsi"/>
                <w:sz w:val="20"/>
                <w:szCs w:val="20"/>
              </w:rPr>
              <w:t>t</w:t>
            </w:r>
            <w:r w:rsidRPr="003A6E41">
              <w:rPr>
                <w:rFonts w:asciiTheme="minorHAnsi" w:hAnsiTheme="minorHAnsi" w:cstheme="minorHAnsi"/>
                <w:sz w:val="20"/>
                <w:szCs w:val="20"/>
              </w:rPr>
              <w:t>,</w:t>
            </w:r>
          </w:p>
          <w:p w14:paraId="2DE0CE29"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 xml:space="preserve">Administrative and clinician time (e.g. resources associated with requesting, and authorising, access to Ig), </w:t>
            </w:r>
          </w:p>
          <w:p w14:paraId="2451B651"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Nursing time (for initiation and monitoring if IVIg)</w:t>
            </w:r>
          </w:p>
          <w:p w14:paraId="6DCBF679"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Hospitalisation (including use of hospital resources)</w:t>
            </w:r>
          </w:p>
          <w:p w14:paraId="44BB70E0"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 xml:space="preserve">Management </w:t>
            </w:r>
            <w:r w:rsidRPr="003A6E41">
              <w:rPr>
                <w:rFonts w:asciiTheme="minorHAnsi" w:hAnsiTheme="minorHAnsi" w:cstheme="minorHAnsi"/>
                <w:sz w:val="20"/>
                <w:szCs w:val="20"/>
              </w:rPr>
              <w:t>of adverse events</w:t>
            </w:r>
          </w:p>
          <w:p w14:paraId="65E61106"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 xml:space="preserve">Training of patient or carer to provide infusions (SCIg only), </w:t>
            </w:r>
          </w:p>
          <w:p w14:paraId="4627F03E" w14:textId="77777777" w:rsidR="00A67CBB"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Product dispensing and disposal of any unused product</w:t>
            </w:r>
          </w:p>
          <w:p w14:paraId="053844EE"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 xml:space="preserve">Follow-up and/or monitoring visits </w:t>
            </w:r>
          </w:p>
          <w:p w14:paraId="5AB92019" w14:textId="77777777" w:rsidR="00A67CBB" w:rsidRPr="003A6E41" w:rsidRDefault="00A67CBB" w:rsidP="007422BB">
            <w:pPr>
              <w:pStyle w:val="Tablecontents"/>
              <w:numPr>
                <w:ilvl w:val="0"/>
                <w:numId w:val="17"/>
              </w:numPr>
              <w:spacing w:line="276" w:lineRule="auto"/>
              <w:ind w:left="346" w:hanging="346"/>
              <w:rPr>
                <w:rFonts w:asciiTheme="minorHAnsi" w:hAnsiTheme="minorHAnsi" w:cstheme="minorHAnsi"/>
                <w:sz w:val="20"/>
                <w:szCs w:val="20"/>
              </w:rPr>
            </w:pPr>
            <w:r w:rsidRPr="003A6E41">
              <w:rPr>
                <w:rFonts w:asciiTheme="minorHAnsi" w:hAnsiTheme="minorHAnsi" w:cstheme="minorHAnsi"/>
                <w:sz w:val="20"/>
                <w:szCs w:val="20"/>
              </w:rPr>
              <w:t>Change in health system resource utilisation associated with the comparators</w:t>
            </w:r>
            <w:r>
              <w:rPr>
                <w:rFonts w:asciiTheme="minorHAnsi" w:hAnsiTheme="minorHAnsi" w:cstheme="minorHAnsi"/>
                <w:sz w:val="20"/>
                <w:szCs w:val="20"/>
              </w:rPr>
              <w:t>, for example</w:t>
            </w:r>
          </w:p>
          <w:p w14:paraId="0B113D6C"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 xml:space="preserve">Comparator products </w:t>
            </w:r>
          </w:p>
          <w:p w14:paraId="2F6DFFA6"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Resources to deliver the comparator</w:t>
            </w:r>
          </w:p>
          <w:p w14:paraId="29F54B9D"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Hospitalisation</w:t>
            </w:r>
          </w:p>
          <w:p w14:paraId="42628460" w14:textId="77777777" w:rsidR="00A67CBB" w:rsidRPr="003A6E41" w:rsidRDefault="00A67CBB" w:rsidP="00ED1491">
            <w:pPr>
              <w:pStyle w:val="Tablecontents"/>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 xml:space="preserve">Management </w:t>
            </w:r>
            <w:r w:rsidRPr="003A6E41">
              <w:rPr>
                <w:rFonts w:asciiTheme="minorHAnsi" w:hAnsiTheme="minorHAnsi" w:cstheme="minorHAnsi"/>
                <w:sz w:val="20"/>
                <w:szCs w:val="20"/>
              </w:rPr>
              <w:t>of adverse events</w:t>
            </w:r>
          </w:p>
          <w:p w14:paraId="587D3582" w14:textId="77777777" w:rsidR="00A67CBB" w:rsidRPr="005173D3" w:rsidRDefault="00A67CBB" w:rsidP="00ED1491">
            <w:pPr>
              <w:pStyle w:val="Tablecontents"/>
              <w:numPr>
                <w:ilvl w:val="0"/>
                <w:numId w:val="17"/>
              </w:numPr>
              <w:spacing w:line="276" w:lineRule="auto"/>
              <w:rPr>
                <w:rFonts w:asciiTheme="minorHAnsi" w:hAnsiTheme="minorHAnsi" w:cstheme="minorHAnsi"/>
                <w:sz w:val="20"/>
                <w:szCs w:val="20"/>
              </w:rPr>
            </w:pPr>
            <w:r w:rsidRPr="003A6E41">
              <w:rPr>
                <w:rFonts w:asciiTheme="minorHAnsi" w:hAnsiTheme="minorHAnsi" w:cstheme="minorHAnsi"/>
                <w:sz w:val="20"/>
                <w:szCs w:val="20"/>
              </w:rPr>
              <w:t>Follow-up and/or monitoring visits</w:t>
            </w:r>
          </w:p>
        </w:tc>
      </w:tr>
    </w:tbl>
    <w:p w14:paraId="2B866B52" w14:textId="5750D851" w:rsidR="00D07F09" w:rsidRDefault="00D07F09">
      <w:pPr>
        <w:rPr>
          <w:rFonts w:asciiTheme="minorHAnsi" w:hAnsiTheme="minorHAnsi" w:cstheme="minorHAnsi"/>
        </w:rPr>
      </w:pPr>
    </w:p>
    <w:p w14:paraId="5387800E" w14:textId="77777777" w:rsidR="00D07F09" w:rsidRDefault="00D07F09">
      <w:pPr>
        <w:rPr>
          <w:rFonts w:asciiTheme="minorHAnsi" w:hAnsiTheme="minorHAnsi" w:cstheme="minorHAnsi"/>
        </w:rPr>
      </w:pPr>
      <w:r>
        <w:rPr>
          <w:rFonts w:asciiTheme="minorHAnsi" w:hAnsiTheme="minorHAnsi" w:cstheme="minorHAnsi"/>
        </w:rPr>
        <w:br w:type="page"/>
      </w:r>
    </w:p>
    <w:p w14:paraId="5ECFF6F0" w14:textId="07D2D5E2" w:rsidR="00FF7022" w:rsidRPr="00B27BF8" w:rsidRDefault="00FF20B9" w:rsidP="00FF7022">
      <w:pPr>
        <w:spacing w:before="240"/>
        <w:rPr>
          <w:rFonts w:asciiTheme="minorHAnsi" w:hAnsiTheme="minorHAnsi" w:cstheme="minorHAnsi"/>
        </w:rPr>
      </w:pPr>
      <w:r>
        <w:rPr>
          <w:rFonts w:asciiTheme="minorHAnsi" w:hAnsiTheme="minorHAnsi" w:cstheme="minorHAnsi"/>
        </w:rPr>
        <w:lastRenderedPageBreak/>
        <w:t>T</w:t>
      </w:r>
      <w:r w:rsidR="001D3FA4" w:rsidRPr="00B27BF8">
        <w:rPr>
          <w:rFonts w:asciiTheme="minorHAnsi" w:hAnsiTheme="minorHAnsi" w:cstheme="minorHAnsi"/>
        </w:rPr>
        <w:t>he National Blood Agreement provides for MSAC to undertake evidence-based evaluation of blood products funded under the national blood supply arrangements at the request of the Jurisdictional Blood Committee</w:t>
      </w:r>
      <w:r w:rsidR="001D3FA4" w:rsidRPr="00B27BF8">
        <w:rPr>
          <w:rStyle w:val="FootnoteReference"/>
          <w:rFonts w:asciiTheme="minorHAnsi" w:hAnsiTheme="minorHAnsi" w:cstheme="minorHAnsi"/>
        </w:rPr>
        <w:footnoteReference w:id="2"/>
      </w:r>
      <w:r w:rsidR="00186509" w:rsidRPr="00B27BF8">
        <w:rPr>
          <w:rFonts w:asciiTheme="minorHAnsi" w:hAnsiTheme="minorHAnsi" w:cstheme="minorHAnsi"/>
        </w:rPr>
        <w:t xml:space="preserve">. </w:t>
      </w:r>
      <w:r w:rsidR="00F703B2" w:rsidRPr="00B27BF8">
        <w:rPr>
          <w:rFonts w:asciiTheme="minorHAnsi" w:hAnsiTheme="minorHAnsi" w:cstheme="minorHAnsi"/>
        </w:rPr>
        <w:t xml:space="preserve">The Department of Health has convened an Ig Review Reference Group to provide advice for evaluation of IgG funded by the </w:t>
      </w:r>
      <w:r w:rsidR="00D64850" w:rsidRPr="00B27BF8">
        <w:rPr>
          <w:rFonts w:asciiTheme="minorHAnsi" w:hAnsiTheme="minorHAnsi" w:cstheme="minorHAnsi"/>
        </w:rPr>
        <w:t>National Blood Authority (</w:t>
      </w:r>
      <w:r w:rsidR="00F703B2" w:rsidRPr="00B27BF8">
        <w:rPr>
          <w:rFonts w:asciiTheme="minorHAnsi" w:hAnsiTheme="minorHAnsi" w:cstheme="minorHAnsi"/>
        </w:rPr>
        <w:t>NBA</w:t>
      </w:r>
      <w:r w:rsidR="00D64850" w:rsidRPr="00B27BF8">
        <w:rPr>
          <w:rFonts w:asciiTheme="minorHAnsi" w:hAnsiTheme="minorHAnsi" w:cstheme="minorHAnsi"/>
        </w:rPr>
        <w:t>)</w:t>
      </w:r>
      <w:r w:rsidR="00186509" w:rsidRPr="00B27BF8">
        <w:rPr>
          <w:rFonts w:asciiTheme="minorHAnsi" w:hAnsiTheme="minorHAnsi" w:cstheme="minorHAnsi"/>
        </w:rPr>
        <w:t xml:space="preserve">. </w:t>
      </w:r>
      <w:r w:rsidR="001D3FA4" w:rsidRPr="00B27BF8">
        <w:rPr>
          <w:rFonts w:asciiTheme="minorHAnsi" w:hAnsiTheme="minorHAnsi" w:cstheme="minorHAnsi"/>
        </w:rPr>
        <w:t xml:space="preserve">This application 1565 to MSAC is for use of human gamma immunoglobulin (IgG) as replacement therapy for </w:t>
      </w:r>
      <w:r w:rsidR="001D3FA4" w:rsidRPr="00B27BF8">
        <w:rPr>
          <w:rFonts w:asciiTheme="minorHAnsi" w:hAnsiTheme="minorHAnsi" w:cstheme="minorHAnsi"/>
          <w:i/>
        </w:rPr>
        <w:t>“Acquired hypogammaglobulinaemia secondary to haematological malignancies, or posthaemopoietic stem cell transplantation (HSCT)”</w:t>
      </w:r>
      <w:r w:rsidR="00186509" w:rsidRPr="00B27BF8">
        <w:rPr>
          <w:rFonts w:asciiTheme="minorHAnsi" w:hAnsiTheme="minorHAnsi" w:cstheme="minorHAnsi"/>
          <w:i/>
        </w:rPr>
        <w:t>.</w:t>
      </w:r>
      <w:r w:rsidR="001D3FA4" w:rsidRPr="00B27BF8">
        <w:rPr>
          <w:rFonts w:asciiTheme="minorHAnsi" w:hAnsiTheme="minorHAnsi" w:cstheme="minorHAnsi"/>
          <w:i/>
        </w:rPr>
        <w:t xml:space="preserve"> </w:t>
      </w:r>
      <w:r w:rsidR="001D3FA4" w:rsidRPr="00B27BF8">
        <w:rPr>
          <w:rFonts w:asciiTheme="minorHAnsi" w:hAnsiTheme="minorHAnsi" w:cstheme="minorHAnsi"/>
        </w:rPr>
        <w:t>IgG in this indication is presently funded under the national blood supply arrangements but cost-effectiveness of this use has not previously been established</w:t>
      </w:r>
      <w:r w:rsidR="00186509" w:rsidRPr="00B27BF8">
        <w:rPr>
          <w:rFonts w:asciiTheme="minorHAnsi" w:hAnsiTheme="minorHAnsi" w:cstheme="minorHAnsi"/>
        </w:rPr>
        <w:t>.</w:t>
      </w:r>
    </w:p>
    <w:p w14:paraId="6B414EB8" w14:textId="77777777" w:rsidR="001D3FA4" w:rsidRPr="00B27BF8" w:rsidRDefault="001D3FA4" w:rsidP="001D3FA4">
      <w:pPr>
        <w:rPr>
          <w:rFonts w:asciiTheme="minorHAnsi" w:hAnsiTheme="minorHAnsi" w:cstheme="minorHAnsi"/>
        </w:rPr>
      </w:pPr>
      <w:r w:rsidRPr="00B27BF8">
        <w:rPr>
          <w:rFonts w:asciiTheme="minorHAnsi" w:hAnsiTheme="minorHAnsi" w:cstheme="minorHAnsi"/>
        </w:rPr>
        <w:t xml:space="preserve">All IgG products approved by the Therapeutic Goods </w:t>
      </w:r>
      <w:r w:rsidR="00955AF0" w:rsidRPr="00B27BF8">
        <w:rPr>
          <w:rFonts w:asciiTheme="minorHAnsi" w:hAnsiTheme="minorHAnsi" w:cstheme="minorHAnsi"/>
        </w:rPr>
        <w:t>Administration</w:t>
      </w:r>
      <w:r w:rsidRPr="00B27BF8">
        <w:rPr>
          <w:rFonts w:asciiTheme="minorHAnsi" w:hAnsiTheme="minorHAnsi" w:cstheme="minorHAnsi"/>
        </w:rPr>
        <w:t xml:space="preserve"> (TGA) according to the current guidelines of the European Medicines Agency for IgG products are considered within scope for this application</w:t>
      </w:r>
      <w:r w:rsidR="00186509" w:rsidRPr="00B27BF8">
        <w:rPr>
          <w:rFonts w:asciiTheme="minorHAnsi" w:hAnsiTheme="minorHAnsi" w:cstheme="minorHAnsi"/>
        </w:rPr>
        <w:t>.</w:t>
      </w:r>
    </w:p>
    <w:p w14:paraId="4375DA83" w14:textId="77777777" w:rsidR="007F4E20" w:rsidRPr="00B27BF8" w:rsidRDefault="00E364F7">
      <w:pPr>
        <w:rPr>
          <w:rFonts w:asciiTheme="minorHAnsi" w:eastAsia="MS Gothic" w:hAnsiTheme="minorHAnsi" w:cstheme="minorHAnsi"/>
          <w:bCs/>
          <w:color w:val="548DD4"/>
          <w:szCs w:val="26"/>
        </w:rPr>
      </w:pPr>
      <w:r w:rsidRPr="00B27BF8">
        <w:rPr>
          <w:rFonts w:asciiTheme="minorHAnsi" w:eastAsia="MS Gothic" w:hAnsiTheme="minorHAnsi" w:cstheme="minorHAnsi"/>
          <w:b/>
          <w:bCs/>
          <w:i/>
          <w:color w:val="548DD4"/>
          <w:szCs w:val="26"/>
          <w:u w:val="single"/>
        </w:rPr>
        <w:t>PICO</w:t>
      </w:r>
      <w:r w:rsidR="00953ED7" w:rsidRPr="00B27BF8">
        <w:rPr>
          <w:rFonts w:asciiTheme="minorHAnsi" w:eastAsia="MS Gothic" w:hAnsiTheme="minorHAnsi" w:cstheme="minorHAnsi"/>
          <w:b/>
          <w:bCs/>
          <w:i/>
          <w:color w:val="548DD4"/>
          <w:szCs w:val="26"/>
          <w:u w:val="single"/>
        </w:rPr>
        <w:t xml:space="preserve"> </w:t>
      </w:r>
      <w:r w:rsidRPr="00B27BF8">
        <w:rPr>
          <w:rFonts w:asciiTheme="minorHAnsi" w:eastAsia="MS Gothic" w:hAnsiTheme="minorHAnsi" w:cstheme="minorHAnsi"/>
          <w:b/>
          <w:bCs/>
          <w:i/>
          <w:color w:val="548DD4"/>
          <w:szCs w:val="26"/>
          <w:u w:val="single"/>
        </w:rPr>
        <w:t>rationale</w:t>
      </w:r>
      <w:r w:rsidR="006D1643" w:rsidRPr="00B27BF8">
        <w:rPr>
          <w:rFonts w:asciiTheme="minorHAnsi" w:eastAsia="MS Gothic" w:hAnsiTheme="minorHAnsi" w:cstheme="minorHAnsi"/>
          <w:b/>
          <w:bCs/>
          <w:i/>
          <w:color w:val="548DD4"/>
          <w:szCs w:val="26"/>
          <w:u w:val="single"/>
        </w:rPr>
        <w:t xml:space="preserve"> for therapeutic </w:t>
      </w:r>
      <w:r w:rsidR="00B54990" w:rsidRPr="00B27BF8">
        <w:rPr>
          <w:rFonts w:asciiTheme="minorHAnsi" w:eastAsia="MS Gothic" w:hAnsiTheme="minorHAnsi" w:cstheme="minorHAnsi"/>
          <w:b/>
          <w:bCs/>
          <w:i/>
          <w:color w:val="548DD4"/>
          <w:szCs w:val="26"/>
          <w:u w:val="single"/>
        </w:rPr>
        <w:t>medical services</w:t>
      </w:r>
    </w:p>
    <w:p w14:paraId="1B4C9C33" w14:textId="77777777" w:rsidR="00896845" w:rsidRPr="00B27BF8" w:rsidRDefault="00896845">
      <w:pPr>
        <w:rPr>
          <w:rFonts w:asciiTheme="minorHAnsi" w:hAnsiTheme="minorHAnsi" w:cstheme="minorHAnsi"/>
          <w:b/>
        </w:rPr>
      </w:pPr>
      <w:r w:rsidRPr="00B27BF8">
        <w:rPr>
          <w:rFonts w:asciiTheme="minorHAnsi" w:hAnsiTheme="minorHAnsi" w:cstheme="minorHAnsi"/>
          <w:b/>
        </w:rPr>
        <w:t>Population</w:t>
      </w:r>
    </w:p>
    <w:p w14:paraId="65110460" w14:textId="77777777" w:rsidR="005C6B1C" w:rsidRPr="00B27BF8" w:rsidRDefault="00850E3A" w:rsidP="0088769C">
      <w:pPr>
        <w:rPr>
          <w:rFonts w:asciiTheme="minorHAnsi" w:hAnsiTheme="minorHAnsi" w:cstheme="minorHAnsi"/>
          <w:u w:val="single"/>
        </w:rPr>
      </w:pPr>
      <w:r w:rsidRPr="00B27BF8">
        <w:rPr>
          <w:rFonts w:asciiTheme="minorHAnsi" w:hAnsiTheme="minorHAnsi" w:cstheme="minorHAnsi"/>
          <w:u w:val="single"/>
        </w:rPr>
        <w:t>T</w:t>
      </w:r>
      <w:r w:rsidR="00D35690" w:rsidRPr="00B27BF8">
        <w:rPr>
          <w:rFonts w:asciiTheme="minorHAnsi" w:hAnsiTheme="minorHAnsi" w:cstheme="minorHAnsi"/>
          <w:u w:val="single"/>
        </w:rPr>
        <w:t>his indication</w:t>
      </w:r>
    </w:p>
    <w:p w14:paraId="58E1CB63" w14:textId="77777777" w:rsidR="00D35690" w:rsidRPr="00B27BF8" w:rsidRDefault="00C92B06" w:rsidP="00BC198E">
      <w:pPr>
        <w:rPr>
          <w:rFonts w:asciiTheme="minorHAnsi" w:hAnsiTheme="minorHAnsi" w:cstheme="minorHAnsi"/>
        </w:rPr>
      </w:pPr>
      <w:r w:rsidRPr="00B27BF8">
        <w:rPr>
          <w:rFonts w:asciiTheme="minorHAnsi" w:hAnsiTheme="minorHAnsi" w:cstheme="minorHAnsi"/>
        </w:rPr>
        <w:t xml:space="preserve">The population </w:t>
      </w:r>
      <w:r w:rsidR="00070680" w:rsidRPr="00B27BF8">
        <w:rPr>
          <w:rFonts w:asciiTheme="minorHAnsi" w:hAnsiTheme="minorHAnsi" w:cstheme="minorHAnsi"/>
        </w:rPr>
        <w:t>is</w:t>
      </w:r>
      <w:r w:rsidRPr="00B27BF8">
        <w:rPr>
          <w:rFonts w:asciiTheme="minorHAnsi" w:hAnsiTheme="minorHAnsi" w:cstheme="minorHAnsi"/>
        </w:rPr>
        <w:t xml:space="preserve"> </w:t>
      </w:r>
      <w:r w:rsidR="004C41E0" w:rsidRPr="00B27BF8">
        <w:rPr>
          <w:rFonts w:asciiTheme="minorHAnsi" w:hAnsiTheme="minorHAnsi" w:cstheme="minorHAnsi"/>
        </w:rPr>
        <w:t>patients</w:t>
      </w:r>
      <w:r w:rsidRPr="00B27BF8">
        <w:rPr>
          <w:rFonts w:asciiTheme="minorHAnsi" w:hAnsiTheme="minorHAnsi" w:cstheme="minorHAnsi"/>
        </w:rPr>
        <w:t xml:space="preserve"> with </w:t>
      </w:r>
      <w:r w:rsidRPr="00B27BF8">
        <w:rPr>
          <w:rFonts w:asciiTheme="minorHAnsi" w:hAnsiTheme="minorHAnsi" w:cstheme="minorHAnsi"/>
          <w:i/>
        </w:rPr>
        <w:t>Acquired hypogammaglobulinaemia secondary to haematological malignancies</w:t>
      </w:r>
      <w:r w:rsidR="008B425A" w:rsidRPr="00B27BF8">
        <w:rPr>
          <w:rFonts w:asciiTheme="minorHAnsi" w:hAnsiTheme="minorHAnsi" w:cstheme="minorHAnsi"/>
          <w:i/>
        </w:rPr>
        <w:t xml:space="preserve"> </w:t>
      </w:r>
      <w:r w:rsidR="00A2368F" w:rsidRPr="00B27BF8">
        <w:rPr>
          <w:rFonts w:asciiTheme="minorHAnsi" w:hAnsiTheme="minorHAnsi" w:cstheme="minorHAnsi"/>
          <w:i/>
        </w:rPr>
        <w:t>(</w:t>
      </w:r>
      <w:r w:rsidRPr="00B27BF8">
        <w:rPr>
          <w:rFonts w:asciiTheme="minorHAnsi" w:hAnsiTheme="minorHAnsi" w:cstheme="minorHAnsi"/>
          <w:i/>
        </w:rPr>
        <w:t>HSCT</w:t>
      </w:r>
      <w:r w:rsidR="00A2368F" w:rsidRPr="00B27BF8">
        <w:rPr>
          <w:rFonts w:asciiTheme="minorHAnsi" w:hAnsiTheme="minorHAnsi" w:cstheme="minorHAnsi"/>
          <w:i/>
        </w:rPr>
        <w:t>)</w:t>
      </w:r>
      <w:r w:rsidR="00186509" w:rsidRPr="00B27BF8">
        <w:rPr>
          <w:rFonts w:asciiTheme="minorHAnsi" w:hAnsiTheme="minorHAnsi" w:cstheme="minorHAnsi"/>
          <w:i/>
        </w:rPr>
        <w:t>.</w:t>
      </w:r>
      <w:r w:rsidRPr="00B27BF8">
        <w:rPr>
          <w:rFonts w:asciiTheme="minorHAnsi" w:hAnsiTheme="minorHAnsi" w:cstheme="minorHAnsi"/>
          <w:i/>
        </w:rPr>
        <w:t xml:space="preserve"> </w:t>
      </w:r>
      <w:r w:rsidR="00DB62B6" w:rsidRPr="00B27BF8">
        <w:rPr>
          <w:rFonts w:asciiTheme="minorHAnsi" w:hAnsiTheme="minorHAnsi" w:cstheme="minorHAnsi"/>
        </w:rPr>
        <w:t>IgG replacement therapy</w:t>
      </w:r>
      <w:r w:rsidR="00A2368F" w:rsidRPr="00B27BF8">
        <w:rPr>
          <w:rFonts w:asciiTheme="minorHAnsi" w:hAnsiTheme="minorHAnsi" w:cstheme="minorHAnsi"/>
        </w:rPr>
        <w:t>,</w:t>
      </w:r>
      <w:r w:rsidR="00DB62B6" w:rsidRPr="00B27BF8">
        <w:rPr>
          <w:rFonts w:asciiTheme="minorHAnsi" w:hAnsiTheme="minorHAnsi" w:cstheme="minorHAnsi"/>
        </w:rPr>
        <w:t xml:space="preserve"> in this</w:t>
      </w:r>
      <w:r w:rsidR="005C6B1C" w:rsidRPr="00B27BF8">
        <w:rPr>
          <w:rFonts w:asciiTheme="minorHAnsi" w:hAnsiTheme="minorHAnsi" w:cstheme="minorHAnsi"/>
        </w:rPr>
        <w:t xml:space="preserve"> indication</w:t>
      </w:r>
      <w:r w:rsidR="00DB62B6" w:rsidRPr="00B27BF8">
        <w:rPr>
          <w:rFonts w:asciiTheme="minorHAnsi" w:hAnsiTheme="minorHAnsi" w:cstheme="minorHAnsi"/>
        </w:rPr>
        <w:t>,</w:t>
      </w:r>
      <w:r w:rsidR="005C6B1C" w:rsidRPr="00B27BF8">
        <w:rPr>
          <w:rFonts w:asciiTheme="minorHAnsi" w:hAnsiTheme="minorHAnsi" w:cstheme="minorHAnsi"/>
        </w:rPr>
        <w:t xml:space="preserve"> is </w:t>
      </w:r>
      <w:r w:rsidR="00DB62B6" w:rsidRPr="00B27BF8">
        <w:rPr>
          <w:rFonts w:asciiTheme="minorHAnsi" w:hAnsiTheme="minorHAnsi" w:cstheme="minorHAnsi"/>
        </w:rPr>
        <w:t xml:space="preserve">funded under the </w:t>
      </w:r>
      <w:r w:rsidR="00D66578" w:rsidRPr="00B27BF8">
        <w:rPr>
          <w:rFonts w:asciiTheme="minorHAnsi" w:hAnsiTheme="minorHAnsi" w:cstheme="minorHAnsi"/>
        </w:rPr>
        <w:t>national blood a</w:t>
      </w:r>
      <w:r w:rsidR="005C6B1C" w:rsidRPr="00B27BF8">
        <w:rPr>
          <w:rFonts w:asciiTheme="minorHAnsi" w:hAnsiTheme="minorHAnsi" w:cstheme="minorHAnsi"/>
        </w:rPr>
        <w:t>rrangement</w:t>
      </w:r>
      <w:r w:rsidR="003F4EFD" w:rsidRPr="00B27BF8">
        <w:rPr>
          <w:rFonts w:asciiTheme="minorHAnsi" w:hAnsiTheme="minorHAnsi" w:cstheme="minorHAnsi"/>
        </w:rPr>
        <w:t>s</w:t>
      </w:r>
      <w:r w:rsidR="00D35690" w:rsidRPr="00B27BF8">
        <w:rPr>
          <w:rFonts w:asciiTheme="minorHAnsi" w:hAnsiTheme="minorHAnsi" w:cstheme="minorHAnsi"/>
        </w:rPr>
        <w:t xml:space="preserve"> as an “</w:t>
      </w:r>
      <w:r w:rsidR="00DB62B6" w:rsidRPr="00B27BF8">
        <w:rPr>
          <w:rFonts w:asciiTheme="minorHAnsi" w:hAnsiTheme="minorHAnsi" w:cstheme="minorHAnsi"/>
        </w:rPr>
        <w:t>Established Therapeutic Role</w:t>
      </w:r>
      <w:r w:rsidR="00D35690" w:rsidRPr="00B27BF8">
        <w:rPr>
          <w:rFonts w:asciiTheme="minorHAnsi" w:hAnsiTheme="minorHAnsi" w:cstheme="minorHAnsi"/>
        </w:rPr>
        <w:t>”</w:t>
      </w:r>
      <w:r w:rsidR="00186509" w:rsidRPr="00B27BF8">
        <w:rPr>
          <w:rFonts w:asciiTheme="minorHAnsi" w:hAnsiTheme="minorHAnsi" w:cstheme="minorHAnsi"/>
        </w:rPr>
        <w:t xml:space="preserve">. </w:t>
      </w:r>
      <w:r w:rsidR="005C6B1C" w:rsidRPr="00B27BF8">
        <w:rPr>
          <w:rFonts w:asciiTheme="minorHAnsi" w:hAnsiTheme="minorHAnsi" w:cstheme="minorHAnsi"/>
        </w:rPr>
        <w:t>C</w:t>
      </w:r>
      <w:r w:rsidR="003F4EFD" w:rsidRPr="00B27BF8">
        <w:rPr>
          <w:rFonts w:asciiTheme="minorHAnsi" w:hAnsiTheme="minorHAnsi" w:cstheme="minorHAnsi"/>
        </w:rPr>
        <w:t>linical c</w:t>
      </w:r>
      <w:r w:rsidR="005C6B1C" w:rsidRPr="00B27BF8">
        <w:rPr>
          <w:rFonts w:asciiTheme="minorHAnsi" w:hAnsiTheme="minorHAnsi" w:cstheme="minorHAnsi"/>
        </w:rPr>
        <w:t xml:space="preserve">riteria for </w:t>
      </w:r>
      <w:r w:rsidR="003F4EFD" w:rsidRPr="00B27BF8">
        <w:rPr>
          <w:rFonts w:asciiTheme="minorHAnsi" w:hAnsiTheme="minorHAnsi" w:cstheme="minorHAnsi"/>
        </w:rPr>
        <w:t xml:space="preserve">eligible patients to </w:t>
      </w:r>
      <w:r w:rsidR="005C6B1C" w:rsidRPr="00B27BF8">
        <w:rPr>
          <w:rFonts w:asciiTheme="minorHAnsi" w:hAnsiTheme="minorHAnsi" w:cstheme="minorHAnsi"/>
        </w:rPr>
        <w:t xml:space="preserve">access subsidised IgG are specified by the </w:t>
      </w:r>
      <w:r w:rsidR="00A2368F" w:rsidRPr="00B27BF8">
        <w:rPr>
          <w:rFonts w:asciiTheme="minorHAnsi" w:hAnsiTheme="minorHAnsi" w:cstheme="minorHAnsi"/>
        </w:rPr>
        <w:t xml:space="preserve">National Blood Authority’s </w:t>
      </w:r>
      <w:r w:rsidR="005C6B1C" w:rsidRPr="00B27BF8">
        <w:rPr>
          <w:rFonts w:asciiTheme="minorHAnsi" w:hAnsiTheme="minorHAnsi" w:cstheme="minorHAnsi"/>
          <w:i/>
          <w:iCs/>
        </w:rPr>
        <w:t>Criteria for Immunoglobulin Use in Australia</w:t>
      </w:r>
      <w:r w:rsidR="00FD0F2F" w:rsidRPr="00B27BF8">
        <w:rPr>
          <w:rFonts w:asciiTheme="minorHAnsi" w:hAnsiTheme="minorHAnsi" w:cstheme="minorHAnsi"/>
          <w:i/>
          <w:iCs/>
        </w:rPr>
        <w:t>, Version 3</w:t>
      </w:r>
      <w:r w:rsidR="00A2368F" w:rsidRPr="00B27BF8">
        <w:rPr>
          <w:rFonts w:asciiTheme="minorHAnsi" w:hAnsiTheme="minorHAnsi" w:cstheme="minorHAnsi"/>
        </w:rPr>
        <w:t xml:space="preserve"> </w:t>
      </w:r>
      <w:r w:rsidR="00A2368F" w:rsidRPr="00B27BF8">
        <w:rPr>
          <w:rStyle w:val="FootnoteReference"/>
          <w:rFonts w:asciiTheme="minorHAnsi" w:hAnsiTheme="minorHAnsi" w:cstheme="minorHAnsi"/>
        </w:rPr>
        <w:footnoteReference w:id="3"/>
      </w:r>
      <w:r w:rsidR="005C6B1C" w:rsidRPr="00B27BF8">
        <w:rPr>
          <w:rFonts w:asciiTheme="minorHAnsi" w:hAnsiTheme="minorHAnsi" w:cstheme="minorHAnsi"/>
        </w:rPr>
        <w:t>(</w:t>
      </w:r>
      <w:r w:rsidR="00F86FF0" w:rsidRPr="00B27BF8">
        <w:rPr>
          <w:rFonts w:asciiTheme="minorHAnsi" w:hAnsiTheme="minorHAnsi" w:cstheme="minorHAnsi"/>
        </w:rPr>
        <w:t>the</w:t>
      </w:r>
      <w:r w:rsidR="003032CA" w:rsidRPr="00B27BF8">
        <w:rPr>
          <w:rFonts w:asciiTheme="minorHAnsi" w:hAnsiTheme="minorHAnsi" w:cstheme="minorHAnsi"/>
          <w:i/>
        </w:rPr>
        <w:t xml:space="preserve"> </w:t>
      </w:r>
      <w:r w:rsidR="005C6B1C" w:rsidRPr="00B27BF8">
        <w:rPr>
          <w:rFonts w:asciiTheme="minorHAnsi" w:hAnsiTheme="minorHAnsi" w:cstheme="minorHAnsi"/>
          <w:i/>
          <w:iCs/>
        </w:rPr>
        <w:t>Criteria</w:t>
      </w:r>
      <w:r w:rsidR="005C6B1C" w:rsidRPr="00B27BF8">
        <w:rPr>
          <w:rFonts w:asciiTheme="minorHAnsi" w:hAnsiTheme="minorHAnsi" w:cstheme="minorHAnsi"/>
        </w:rPr>
        <w:t>)</w:t>
      </w:r>
      <w:r w:rsidR="00186509" w:rsidRPr="00B27BF8">
        <w:rPr>
          <w:rFonts w:asciiTheme="minorHAnsi" w:hAnsiTheme="minorHAnsi" w:cstheme="minorHAnsi"/>
        </w:rPr>
        <w:t xml:space="preserve">. </w:t>
      </w:r>
      <w:r w:rsidR="00285A00" w:rsidRPr="00B27BF8">
        <w:rPr>
          <w:rFonts w:asciiTheme="minorHAnsi" w:hAnsiTheme="minorHAnsi" w:cstheme="minorHAnsi"/>
        </w:rPr>
        <w:t xml:space="preserve">This indication is one of </w:t>
      </w:r>
      <w:r w:rsidR="00BB10D7" w:rsidRPr="00B27BF8">
        <w:rPr>
          <w:rFonts w:asciiTheme="minorHAnsi" w:hAnsiTheme="minorHAnsi" w:cstheme="minorHAnsi"/>
        </w:rPr>
        <w:t>several</w:t>
      </w:r>
      <w:r w:rsidR="00285A00" w:rsidRPr="00B27BF8">
        <w:rPr>
          <w:rFonts w:asciiTheme="minorHAnsi" w:hAnsiTheme="minorHAnsi" w:cstheme="minorHAnsi"/>
        </w:rPr>
        <w:t xml:space="preserve"> ‘diagnostic groups’ of conditions </w:t>
      </w:r>
      <w:r w:rsidR="00BB10D7" w:rsidRPr="00B27BF8">
        <w:rPr>
          <w:rFonts w:asciiTheme="minorHAnsi" w:hAnsiTheme="minorHAnsi" w:cstheme="minorHAnsi"/>
        </w:rPr>
        <w:t>eligible</w:t>
      </w:r>
      <w:r w:rsidR="00285A00" w:rsidRPr="00B27BF8">
        <w:rPr>
          <w:rFonts w:asciiTheme="minorHAnsi" w:hAnsiTheme="minorHAnsi" w:cstheme="minorHAnsi"/>
        </w:rPr>
        <w:t xml:space="preserve"> </w:t>
      </w:r>
      <w:r w:rsidR="00BB10D7" w:rsidRPr="00B27BF8">
        <w:rPr>
          <w:rFonts w:asciiTheme="minorHAnsi" w:hAnsiTheme="minorHAnsi" w:cstheme="minorHAnsi"/>
        </w:rPr>
        <w:t xml:space="preserve">for funded IgG treatment </w:t>
      </w:r>
      <w:r w:rsidR="00285A00" w:rsidRPr="00B27BF8">
        <w:rPr>
          <w:rFonts w:asciiTheme="minorHAnsi" w:hAnsiTheme="minorHAnsi" w:cstheme="minorHAnsi"/>
        </w:rPr>
        <w:t xml:space="preserve">under </w:t>
      </w:r>
      <w:r w:rsidR="003032CA" w:rsidRPr="00B27BF8">
        <w:rPr>
          <w:rFonts w:asciiTheme="minorHAnsi" w:hAnsiTheme="minorHAnsi" w:cstheme="minorHAnsi"/>
        </w:rPr>
        <w:t>t</w:t>
      </w:r>
      <w:r w:rsidR="00BC198E" w:rsidRPr="00B27BF8">
        <w:rPr>
          <w:rFonts w:asciiTheme="minorHAnsi" w:hAnsiTheme="minorHAnsi" w:cstheme="minorHAnsi"/>
        </w:rPr>
        <w:t>he</w:t>
      </w:r>
      <w:r w:rsidR="00BC198E" w:rsidRPr="00B27BF8">
        <w:rPr>
          <w:rFonts w:asciiTheme="minorHAnsi" w:hAnsiTheme="minorHAnsi" w:cstheme="minorHAnsi"/>
          <w:i/>
        </w:rPr>
        <w:t xml:space="preserve"> Criteria</w:t>
      </w:r>
      <w:r w:rsidR="00305F7B" w:rsidRPr="00B27BF8">
        <w:rPr>
          <w:rFonts w:asciiTheme="minorHAnsi" w:hAnsiTheme="minorHAnsi" w:cstheme="minorHAnsi"/>
          <w:i/>
        </w:rPr>
        <w:t xml:space="preserve"> </w:t>
      </w:r>
      <w:r w:rsidR="003032CA" w:rsidRPr="00B27BF8">
        <w:rPr>
          <w:rFonts w:asciiTheme="minorHAnsi" w:hAnsiTheme="minorHAnsi" w:cstheme="minorHAnsi"/>
          <w:i/>
        </w:rPr>
        <w:t>V</w:t>
      </w:r>
      <w:r w:rsidR="00305F7B" w:rsidRPr="00B27BF8">
        <w:rPr>
          <w:rFonts w:asciiTheme="minorHAnsi" w:hAnsiTheme="minorHAnsi" w:cstheme="minorHAnsi"/>
          <w:i/>
        </w:rPr>
        <w:t>ersion 3</w:t>
      </w:r>
      <w:r w:rsidR="00186509" w:rsidRPr="00B27BF8">
        <w:rPr>
          <w:rFonts w:asciiTheme="minorHAnsi" w:hAnsiTheme="minorHAnsi" w:cstheme="minorHAnsi"/>
        </w:rPr>
        <w:t xml:space="preserve">. </w:t>
      </w:r>
      <w:r w:rsidR="00285A00" w:rsidRPr="00B27BF8">
        <w:rPr>
          <w:rFonts w:asciiTheme="minorHAnsi" w:hAnsiTheme="minorHAnsi" w:cstheme="minorHAnsi"/>
        </w:rPr>
        <w:t xml:space="preserve"> </w:t>
      </w:r>
    </w:p>
    <w:p w14:paraId="6944801C" w14:textId="77777777" w:rsidR="005C6B1C" w:rsidRPr="00B27BF8" w:rsidRDefault="005C6B1C" w:rsidP="005C6B1C">
      <w:pPr>
        <w:rPr>
          <w:rFonts w:asciiTheme="minorHAnsi" w:hAnsiTheme="minorHAnsi" w:cstheme="minorHAnsi"/>
        </w:rPr>
      </w:pPr>
      <w:r w:rsidRPr="00B27BF8">
        <w:rPr>
          <w:rFonts w:asciiTheme="minorHAnsi" w:hAnsiTheme="minorHAnsi" w:cstheme="minorHAnsi"/>
        </w:rPr>
        <w:t>According to the</w:t>
      </w:r>
      <w:r w:rsidRPr="00B27BF8">
        <w:rPr>
          <w:rFonts w:asciiTheme="minorHAnsi" w:hAnsiTheme="minorHAnsi" w:cstheme="minorHAnsi"/>
          <w:i/>
        </w:rPr>
        <w:t xml:space="preserve"> Criteria</w:t>
      </w:r>
      <w:r w:rsidR="003032CA" w:rsidRPr="00B27BF8">
        <w:rPr>
          <w:rFonts w:asciiTheme="minorHAnsi" w:hAnsiTheme="minorHAnsi" w:cstheme="minorHAnsi"/>
        </w:rPr>
        <w:t xml:space="preserve"> </w:t>
      </w:r>
      <w:r w:rsidR="003032CA" w:rsidRPr="00B27BF8">
        <w:rPr>
          <w:rFonts w:asciiTheme="minorHAnsi" w:hAnsiTheme="minorHAnsi" w:cstheme="minorHAnsi"/>
          <w:i/>
        </w:rPr>
        <w:t>Version 3</w:t>
      </w:r>
      <w:r w:rsidRPr="00B27BF8">
        <w:rPr>
          <w:rFonts w:asciiTheme="minorHAnsi" w:hAnsiTheme="minorHAnsi" w:cstheme="minorHAnsi"/>
        </w:rPr>
        <w:t xml:space="preserve">, the above indication </w:t>
      </w:r>
      <w:r w:rsidR="00D66578" w:rsidRPr="00B27BF8">
        <w:rPr>
          <w:rFonts w:asciiTheme="minorHAnsi" w:hAnsiTheme="minorHAnsi" w:cstheme="minorHAnsi"/>
        </w:rPr>
        <w:t>covers</w:t>
      </w:r>
      <w:r w:rsidR="00DB62B6" w:rsidRPr="00B27BF8">
        <w:rPr>
          <w:rFonts w:asciiTheme="minorHAnsi" w:hAnsiTheme="minorHAnsi" w:cstheme="minorHAnsi"/>
        </w:rPr>
        <w:t xml:space="preserve"> hypogammaglobulinaemia</w:t>
      </w:r>
      <w:r w:rsidR="00342393" w:rsidRPr="00B27BF8">
        <w:rPr>
          <w:rFonts w:asciiTheme="minorHAnsi" w:hAnsiTheme="minorHAnsi" w:cstheme="minorHAnsi"/>
        </w:rPr>
        <w:t>, when it occurs,</w:t>
      </w:r>
      <w:r w:rsidR="00DB62B6" w:rsidRPr="00B27BF8">
        <w:rPr>
          <w:rFonts w:asciiTheme="minorHAnsi" w:hAnsiTheme="minorHAnsi" w:cstheme="minorHAnsi"/>
        </w:rPr>
        <w:t xml:space="preserve"> </w:t>
      </w:r>
      <w:r w:rsidR="005173D3">
        <w:rPr>
          <w:rFonts w:asciiTheme="minorHAnsi" w:hAnsiTheme="minorHAnsi" w:cstheme="minorHAnsi"/>
        </w:rPr>
        <w:t>secondary</w:t>
      </w:r>
      <w:r w:rsidR="00DB62B6" w:rsidRPr="00B27BF8">
        <w:rPr>
          <w:rFonts w:asciiTheme="minorHAnsi" w:hAnsiTheme="minorHAnsi" w:cstheme="minorHAnsi"/>
        </w:rPr>
        <w:t xml:space="preserve"> to</w:t>
      </w:r>
      <w:r w:rsidRPr="00B27BF8">
        <w:rPr>
          <w:rFonts w:asciiTheme="minorHAnsi" w:hAnsiTheme="minorHAnsi" w:cstheme="minorHAnsi"/>
        </w:rPr>
        <w:t xml:space="preserve"> the following specific conditions</w:t>
      </w:r>
      <w:r w:rsidR="00CB2E3D">
        <w:rPr>
          <w:rFonts w:asciiTheme="minorHAnsi" w:hAnsiTheme="minorHAnsi" w:cstheme="minorHAnsi"/>
        </w:rPr>
        <w:t xml:space="preserve"> </w:t>
      </w:r>
      <w:r w:rsidR="005173D3">
        <w:rPr>
          <w:rFonts w:asciiTheme="minorHAnsi" w:hAnsiTheme="minorHAnsi" w:cstheme="minorHAnsi"/>
        </w:rPr>
        <w:t>(</w:t>
      </w:r>
      <w:r w:rsidR="00CB2E3D">
        <w:rPr>
          <w:rFonts w:asciiTheme="minorHAnsi" w:hAnsiTheme="minorHAnsi" w:cstheme="minorHAnsi"/>
        </w:rPr>
        <w:t xml:space="preserve">or </w:t>
      </w:r>
      <w:r w:rsidR="005173D3">
        <w:rPr>
          <w:rFonts w:asciiTheme="minorHAnsi" w:hAnsiTheme="minorHAnsi" w:cstheme="minorHAnsi"/>
        </w:rPr>
        <w:t xml:space="preserve">associated </w:t>
      </w:r>
      <w:r w:rsidR="00CB2E3D">
        <w:rPr>
          <w:rFonts w:asciiTheme="minorHAnsi" w:hAnsiTheme="minorHAnsi" w:cstheme="minorHAnsi"/>
        </w:rPr>
        <w:t>treatment</w:t>
      </w:r>
      <w:r w:rsidR="005173D3">
        <w:rPr>
          <w:rFonts w:asciiTheme="minorHAnsi" w:hAnsiTheme="minorHAnsi" w:cstheme="minorHAnsi"/>
        </w:rPr>
        <w:t>)</w:t>
      </w:r>
      <w:r w:rsidRPr="00B27BF8">
        <w:rPr>
          <w:rFonts w:asciiTheme="minorHAnsi" w:hAnsiTheme="minorHAnsi" w:cstheme="minorHAnsi"/>
        </w:rPr>
        <w:t>:</w:t>
      </w:r>
    </w:p>
    <w:p w14:paraId="03F3A8A3" w14:textId="77777777" w:rsidR="005C6B1C" w:rsidRPr="00B27BF8" w:rsidRDefault="005C6B1C" w:rsidP="00A86A66">
      <w:pPr>
        <w:pStyle w:val="ListParagraph"/>
        <w:numPr>
          <w:ilvl w:val="0"/>
          <w:numId w:val="10"/>
        </w:numPr>
        <w:ind w:left="786" w:right="662"/>
        <w:rPr>
          <w:rFonts w:asciiTheme="minorHAnsi" w:hAnsiTheme="minorHAnsi" w:cstheme="minorHAnsi"/>
        </w:rPr>
      </w:pPr>
      <w:r w:rsidRPr="00B27BF8">
        <w:rPr>
          <w:rFonts w:asciiTheme="minorHAnsi" w:hAnsiTheme="minorHAnsi" w:cstheme="minorHAnsi"/>
        </w:rPr>
        <w:t>Acute leukaemia</w:t>
      </w:r>
    </w:p>
    <w:p w14:paraId="35992F5C" w14:textId="77777777" w:rsidR="005C6B1C" w:rsidRPr="00B27BF8" w:rsidRDefault="005C6B1C" w:rsidP="00A86A66">
      <w:pPr>
        <w:pStyle w:val="ListParagraph"/>
        <w:numPr>
          <w:ilvl w:val="0"/>
          <w:numId w:val="10"/>
        </w:numPr>
        <w:ind w:left="786" w:right="662"/>
        <w:rPr>
          <w:rFonts w:asciiTheme="minorHAnsi" w:hAnsiTheme="minorHAnsi" w:cstheme="minorHAnsi"/>
        </w:rPr>
      </w:pPr>
      <w:r w:rsidRPr="00B27BF8">
        <w:rPr>
          <w:rFonts w:asciiTheme="minorHAnsi" w:hAnsiTheme="minorHAnsi" w:cstheme="minorHAnsi"/>
        </w:rPr>
        <w:t>Chronic lymphocytic leukaemia (CLL)</w:t>
      </w:r>
    </w:p>
    <w:p w14:paraId="50BAB476" w14:textId="77777777" w:rsidR="005C6B1C" w:rsidRPr="00B27BF8" w:rsidRDefault="005C6B1C" w:rsidP="00A86A66">
      <w:pPr>
        <w:pStyle w:val="ListParagraph"/>
        <w:numPr>
          <w:ilvl w:val="0"/>
          <w:numId w:val="10"/>
        </w:numPr>
        <w:ind w:left="786" w:right="662"/>
        <w:rPr>
          <w:rFonts w:asciiTheme="minorHAnsi" w:hAnsiTheme="minorHAnsi" w:cstheme="minorHAnsi"/>
        </w:rPr>
      </w:pPr>
      <w:r w:rsidRPr="00B27BF8">
        <w:rPr>
          <w:rFonts w:asciiTheme="minorHAnsi" w:hAnsiTheme="minorHAnsi" w:cstheme="minorHAnsi"/>
        </w:rPr>
        <w:t>Multiple myeloma (MM)</w:t>
      </w:r>
    </w:p>
    <w:p w14:paraId="25A9FD1E" w14:textId="77777777" w:rsidR="005C6B1C" w:rsidRPr="00B27BF8" w:rsidRDefault="005C6B1C" w:rsidP="00A86A66">
      <w:pPr>
        <w:pStyle w:val="ListParagraph"/>
        <w:numPr>
          <w:ilvl w:val="0"/>
          <w:numId w:val="10"/>
        </w:numPr>
        <w:ind w:left="786" w:right="662"/>
        <w:rPr>
          <w:rFonts w:asciiTheme="minorHAnsi" w:hAnsiTheme="minorHAnsi" w:cstheme="minorHAnsi"/>
        </w:rPr>
      </w:pPr>
      <w:r w:rsidRPr="00B27BF8">
        <w:rPr>
          <w:rFonts w:asciiTheme="minorHAnsi" w:hAnsiTheme="minorHAnsi" w:cstheme="minorHAnsi"/>
        </w:rPr>
        <w:t>Non‐Hodgkin lymphoma (NHL)</w:t>
      </w:r>
    </w:p>
    <w:p w14:paraId="0560311B" w14:textId="77777777" w:rsidR="005C6B1C" w:rsidRPr="00B27BF8" w:rsidRDefault="005C6B1C" w:rsidP="00A86A66">
      <w:pPr>
        <w:pStyle w:val="ListParagraph"/>
        <w:numPr>
          <w:ilvl w:val="0"/>
          <w:numId w:val="10"/>
        </w:numPr>
        <w:spacing w:after="0"/>
        <w:ind w:left="786" w:right="662"/>
        <w:rPr>
          <w:rFonts w:asciiTheme="minorHAnsi" w:hAnsiTheme="minorHAnsi" w:cstheme="minorHAnsi"/>
        </w:rPr>
      </w:pPr>
      <w:r w:rsidRPr="00B27BF8">
        <w:rPr>
          <w:rFonts w:asciiTheme="minorHAnsi" w:hAnsiTheme="minorHAnsi" w:cstheme="minorHAnsi"/>
        </w:rPr>
        <w:t>Other Haematological malignancy</w:t>
      </w:r>
    </w:p>
    <w:p w14:paraId="56489E0B" w14:textId="77777777" w:rsidR="00AD1E3F" w:rsidRPr="00B27BF8" w:rsidRDefault="00AD1E3F" w:rsidP="00A86A66">
      <w:pPr>
        <w:spacing w:after="0"/>
        <w:ind w:left="785" w:right="663"/>
        <w:rPr>
          <w:rFonts w:asciiTheme="minorHAnsi" w:hAnsiTheme="minorHAnsi" w:cstheme="minorHAnsi"/>
        </w:rPr>
      </w:pPr>
      <w:r w:rsidRPr="00B27BF8">
        <w:rPr>
          <w:rFonts w:asciiTheme="minorHAnsi" w:hAnsiTheme="minorHAnsi" w:cstheme="minorHAnsi"/>
        </w:rPr>
        <w:t>[Diagnosis of</w:t>
      </w:r>
      <w:r w:rsidR="009E07B9" w:rsidRPr="00B27BF8">
        <w:rPr>
          <w:rFonts w:asciiTheme="minorHAnsi" w:hAnsiTheme="minorHAnsi" w:cstheme="minorHAnsi"/>
        </w:rPr>
        <w:t xml:space="preserve"> haematological malignancie</w:t>
      </w:r>
      <w:r w:rsidR="00106C06" w:rsidRPr="00B27BF8">
        <w:rPr>
          <w:rFonts w:asciiTheme="minorHAnsi" w:hAnsiTheme="minorHAnsi" w:cstheme="minorHAnsi"/>
        </w:rPr>
        <w:t>s</w:t>
      </w:r>
      <w:r w:rsidRPr="00B27BF8">
        <w:rPr>
          <w:rFonts w:asciiTheme="minorHAnsi" w:hAnsiTheme="minorHAnsi" w:cstheme="minorHAnsi"/>
        </w:rPr>
        <w:t xml:space="preserve"> should be according to the criteria of the current World Health Organization (WHO) classification</w:t>
      </w:r>
      <w:r w:rsidRPr="00B27BF8">
        <w:rPr>
          <w:rStyle w:val="FootnoteReference"/>
          <w:rFonts w:asciiTheme="minorHAnsi" w:hAnsiTheme="minorHAnsi" w:cstheme="minorHAnsi"/>
        </w:rPr>
        <w:footnoteReference w:id="4"/>
      </w:r>
      <w:r w:rsidR="00186509" w:rsidRPr="00B27BF8">
        <w:rPr>
          <w:rFonts w:asciiTheme="minorHAnsi" w:hAnsiTheme="minorHAnsi" w:cstheme="minorHAnsi"/>
        </w:rPr>
        <w:t xml:space="preserve">. </w:t>
      </w:r>
      <w:r w:rsidRPr="00B27BF8">
        <w:rPr>
          <w:rFonts w:asciiTheme="minorHAnsi" w:hAnsiTheme="minorHAnsi" w:cstheme="minorHAnsi"/>
        </w:rPr>
        <w:t xml:space="preserve"> ]</w:t>
      </w:r>
    </w:p>
    <w:p w14:paraId="3AE3DF8B" w14:textId="77777777" w:rsidR="00AD1E3F" w:rsidRPr="00B27BF8" w:rsidRDefault="00FD0F2F" w:rsidP="00A86A66">
      <w:pPr>
        <w:pStyle w:val="ListParagraph"/>
        <w:numPr>
          <w:ilvl w:val="0"/>
          <w:numId w:val="10"/>
        </w:numPr>
        <w:ind w:left="786" w:right="662"/>
        <w:rPr>
          <w:rFonts w:asciiTheme="minorHAnsi" w:hAnsiTheme="minorHAnsi" w:cstheme="minorHAnsi"/>
        </w:rPr>
      </w:pPr>
      <w:r w:rsidRPr="00B27BF8">
        <w:rPr>
          <w:rFonts w:asciiTheme="minorHAnsi" w:hAnsiTheme="minorHAnsi" w:cstheme="minorHAnsi"/>
        </w:rPr>
        <w:t>M</w:t>
      </w:r>
      <w:r w:rsidR="00AD1E3F" w:rsidRPr="00B27BF8">
        <w:rPr>
          <w:rFonts w:asciiTheme="minorHAnsi" w:hAnsiTheme="minorHAnsi" w:cstheme="minorHAnsi"/>
        </w:rPr>
        <w:t>emory B cell deficiency secondary to HSCT</w:t>
      </w:r>
    </w:p>
    <w:p w14:paraId="53039F47" w14:textId="77777777" w:rsidR="00BC198E" w:rsidRPr="00B27BF8" w:rsidRDefault="00BC198E" w:rsidP="00BC198E">
      <w:pPr>
        <w:rPr>
          <w:rFonts w:asciiTheme="minorHAnsi" w:hAnsiTheme="minorHAnsi" w:cstheme="minorHAnsi"/>
        </w:rPr>
      </w:pPr>
      <w:r w:rsidRPr="00B27BF8">
        <w:rPr>
          <w:rFonts w:asciiTheme="minorHAnsi" w:hAnsiTheme="minorHAnsi" w:cstheme="minorHAnsi"/>
        </w:rPr>
        <w:t xml:space="preserve">The target population is identified by symptoms but covers different underlying haematological </w:t>
      </w:r>
      <w:r w:rsidR="00186509" w:rsidRPr="00B27BF8">
        <w:rPr>
          <w:rFonts w:asciiTheme="minorHAnsi" w:hAnsiTheme="minorHAnsi" w:cstheme="minorHAnsi"/>
        </w:rPr>
        <w:t xml:space="preserve">malignancies </w:t>
      </w:r>
      <w:r w:rsidRPr="00B27BF8">
        <w:rPr>
          <w:rFonts w:asciiTheme="minorHAnsi" w:hAnsiTheme="minorHAnsi" w:cstheme="minorHAnsi"/>
        </w:rPr>
        <w:t>each characterised by low IgG levels</w:t>
      </w:r>
      <w:r w:rsidR="00186509" w:rsidRPr="00B27BF8">
        <w:rPr>
          <w:rFonts w:asciiTheme="minorHAnsi" w:hAnsiTheme="minorHAnsi" w:cstheme="minorHAnsi"/>
        </w:rPr>
        <w:t>.</w:t>
      </w:r>
      <w:r w:rsidRPr="00B27BF8">
        <w:rPr>
          <w:rFonts w:asciiTheme="minorHAnsi" w:hAnsiTheme="minorHAnsi" w:cstheme="minorHAnsi"/>
        </w:rPr>
        <w:t xml:space="preserve"> Patients with each condition will differ in other clinical characteristics, treatments for underlying disease and prognosis</w:t>
      </w:r>
      <w:r w:rsidR="00186509" w:rsidRPr="00B27BF8">
        <w:rPr>
          <w:rFonts w:asciiTheme="minorHAnsi" w:hAnsiTheme="minorHAnsi" w:cstheme="minorHAnsi"/>
        </w:rPr>
        <w:t xml:space="preserve">. </w:t>
      </w:r>
      <w:r w:rsidR="00D92609" w:rsidRPr="00B27BF8">
        <w:rPr>
          <w:rFonts w:asciiTheme="minorHAnsi" w:hAnsiTheme="minorHAnsi" w:cstheme="minorHAnsi"/>
        </w:rPr>
        <w:t>There are different baseline risks of infection</w:t>
      </w:r>
      <w:r w:rsidR="00375FD1" w:rsidRPr="00B27BF8">
        <w:rPr>
          <w:rFonts w:asciiTheme="minorHAnsi" w:hAnsiTheme="minorHAnsi" w:cstheme="minorHAnsi"/>
        </w:rPr>
        <w:t xml:space="preserve"> (higher in acute leukaemia and post-HSCT patients)</w:t>
      </w:r>
      <w:r w:rsidR="00D92609" w:rsidRPr="00B27BF8">
        <w:rPr>
          <w:rFonts w:asciiTheme="minorHAnsi" w:hAnsiTheme="minorHAnsi" w:cstheme="minorHAnsi"/>
        </w:rPr>
        <w:t xml:space="preserve"> and consequently, a difference </w:t>
      </w:r>
      <w:r w:rsidR="00D92609" w:rsidRPr="00B27BF8">
        <w:rPr>
          <w:rFonts w:asciiTheme="minorHAnsi" w:hAnsiTheme="minorHAnsi" w:cstheme="minorHAnsi"/>
        </w:rPr>
        <w:lastRenderedPageBreak/>
        <w:t>in infection treatments among the above conditions</w:t>
      </w:r>
      <w:r w:rsidR="00186509" w:rsidRPr="00B27BF8">
        <w:rPr>
          <w:rFonts w:asciiTheme="minorHAnsi" w:hAnsiTheme="minorHAnsi" w:cstheme="minorHAnsi"/>
        </w:rPr>
        <w:t xml:space="preserve">. </w:t>
      </w:r>
      <w:r w:rsidR="00D92609" w:rsidRPr="00B27BF8">
        <w:rPr>
          <w:rFonts w:asciiTheme="minorHAnsi" w:hAnsiTheme="minorHAnsi" w:cstheme="minorHAnsi"/>
        </w:rPr>
        <w:t xml:space="preserve">In addition, the baseline risk of </w:t>
      </w:r>
      <w:r w:rsidR="00CD7575" w:rsidRPr="00B27BF8">
        <w:rPr>
          <w:rFonts w:asciiTheme="minorHAnsi" w:hAnsiTheme="minorHAnsi" w:cstheme="minorHAnsi"/>
        </w:rPr>
        <w:t>intensive care</w:t>
      </w:r>
      <w:r w:rsidR="00D92609" w:rsidRPr="00B27BF8">
        <w:rPr>
          <w:rFonts w:asciiTheme="minorHAnsi" w:hAnsiTheme="minorHAnsi" w:cstheme="minorHAnsi"/>
        </w:rPr>
        <w:t xml:space="preserve"> admission is greater for post-HSCT patients than for the other specific conditions</w:t>
      </w:r>
      <w:r w:rsidR="00186509" w:rsidRPr="00B27BF8">
        <w:rPr>
          <w:rFonts w:asciiTheme="minorHAnsi" w:hAnsiTheme="minorHAnsi" w:cstheme="minorHAnsi"/>
        </w:rPr>
        <w:t xml:space="preserve">. </w:t>
      </w:r>
      <w:r w:rsidRPr="00B27BF8">
        <w:rPr>
          <w:rFonts w:asciiTheme="minorHAnsi" w:hAnsiTheme="minorHAnsi" w:cstheme="minorHAnsi"/>
        </w:rPr>
        <w:t>The way in which hypogammaglobulinaemia is diagnosed and treated (with or without access to IgG) is common across the patients in this indication</w:t>
      </w:r>
      <w:r w:rsidR="00186509" w:rsidRPr="00B27BF8">
        <w:rPr>
          <w:rFonts w:asciiTheme="minorHAnsi" w:hAnsiTheme="minorHAnsi" w:cstheme="minorHAnsi"/>
        </w:rPr>
        <w:t xml:space="preserve">. </w:t>
      </w:r>
      <w:r w:rsidRPr="00B27BF8">
        <w:rPr>
          <w:rFonts w:asciiTheme="minorHAnsi" w:hAnsiTheme="minorHAnsi" w:cstheme="minorHAnsi"/>
        </w:rPr>
        <w:t xml:space="preserve"> </w:t>
      </w:r>
    </w:p>
    <w:p w14:paraId="4D024115" w14:textId="77777777" w:rsidR="000655AF" w:rsidRPr="00B27BF8" w:rsidRDefault="00FA0842" w:rsidP="000655AF">
      <w:pPr>
        <w:rPr>
          <w:rFonts w:asciiTheme="minorHAnsi" w:hAnsiTheme="minorHAnsi" w:cstheme="minorHAnsi"/>
        </w:rPr>
      </w:pPr>
      <w:r w:rsidRPr="00B27BF8">
        <w:rPr>
          <w:rFonts w:asciiTheme="minorHAnsi" w:hAnsiTheme="minorHAnsi" w:cstheme="minorHAnsi"/>
        </w:rPr>
        <w:t>The</w:t>
      </w:r>
      <w:r w:rsidRPr="00B27BF8">
        <w:rPr>
          <w:rFonts w:asciiTheme="minorHAnsi" w:hAnsiTheme="minorHAnsi" w:cstheme="minorHAnsi"/>
          <w:i/>
        </w:rPr>
        <w:t xml:space="preserve"> Criteria</w:t>
      </w:r>
      <w:r w:rsidR="008B425A" w:rsidRPr="00B27BF8">
        <w:rPr>
          <w:rFonts w:asciiTheme="minorHAnsi" w:hAnsiTheme="minorHAnsi" w:cstheme="minorHAnsi"/>
          <w:i/>
        </w:rPr>
        <w:t xml:space="preserve"> </w:t>
      </w:r>
      <w:r w:rsidR="003032CA" w:rsidRPr="00B27BF8">
        <w:rPr>
          <w:rFonts w:asciiTheme="minorHAnsi" w:hAnsiTheme="minorHAnsi" w:cstheme="minorHAnsi"/>
          <w:i/>
        </w:rPr>
        <w:t>V</w:t>
      </w:r>
      <w:r w:rsidR="00305F7B" w:rsidRPr="00B27BF8">
        <w:rPr>
          <w:rFonts w:asciiTheme="minorHAnsi" w:hAnsiTheme="minorHAnsi" w:cstheme="minorHAnsi"/>
          <w:i/>
        </w:rPr>
        <w:t>ersion 3</w:t>
      </w:r>
      <w:r w:rsidRPr="00B27BF8">
        <w:rPr>
          <w:rFonts w:asciiTheme="minorHAnsi" w:hAnsiTheme="minorHAnsi" w:cstheme="minorHAnsi"/>
          <w:i/>
        </w:rPr>
        <w:t xml:space="preserve"> </w:t>
      </w:r>
      <w:r w:rsidRPr="00B27BF8">
        <w:rPr>
          <w:rFonts w:asciiTheme="minorHAnsi" w:hAnsiTheme="minorHAnsi" w:cstheme="minorHAnsi"/>
        </w:rPr>
        <w:t xml:space="preserve">provide for </w:t>
      </w:r>
      <w:r w:rsidR="000655AF" w:rsidRPr="00B27BF8">
        <w:rPr>
          <w:rFonts w:asciiTheme="minorHAnsi" w:hAnsiTheme="minorHAnsi" w:cstheme="minorHAnsi"/>
        </w:rPr>
        <w:t>IgG</w:t>
      </w:r>
      <w:r w:rsidRPr="00B27BF8">
        <w:rPr>
          <w:rFonts w:asciiTheme="minorHAnsi" w:hAnsiTheme="minorHAnsi" w:cstheme="minorHAnsi"/>
        </w:rPr>
        <w:t xml:space="preserve"> supply</w:t>
      </w:r>
      <w:r w:rsidR="000655AF" w:rsidRPr="00B27BF8">
        <w:rPr>
          <w:rFonts w:asciiTheme="minorHAnsi" w:hAnsiTheme="minorHAnsi" w:cstheme="minorHAnsi"/>
        </w:rPr>
        <w:t xml:space="preserve"> </w:t>
      </w:r>
      <w:r w:rsidRPr="00B27BF8">
        <w:rPr>
          <w:rFonts w:asciiTheme="minorHAnsi" w:hAnsiTheme="minorHAnsi" w:cstheme="minorHAnsi"/>
        </w:rPr>
        <w:t>as follows</w:t>
      </w:r>
      <w:r w:rsidR="000655AF" w:rsidRPr="00B27BF8">
        <w:rPr>
          <w:rFonts w:asciiTheme="minorHAnsi" w:hAnsiTheme="minorHAnsi" w:cstheme="minorHAnsi"/>
        </w:rPr>
        <w:t>:</w:t>
      </w:r>
    </w:p>
    <w:p w14:paraId="6A8797BF" w14:textId="77777777" w:rsidR="000655AF" w:rsidRPr="00B27BF8" w:rsidRDefault="000655AF" w:rsidP="000655AF">
      <w:pPr>
        <w:pStyle w:val="ListParagraph"/>
        <w:numPr>
          <w:ilvl w:val="0"/>
          <w:numId w:val="11"/>
        </w:numPr>
        <w:ind w:left="426"/>
        <w:rPr>
          <w:rFonts w:asciiTheme="minorHAnsi" w:hAnsiTheme="minorHAnsi" w:cstheme="minorHAnsi"/>
        </w:rPr>
      </w:pPr>
      <w:r w:rsidRPr="00B27BF8">
        <w:rPr>
          <w:rFonts w:asciiTheme="minorHAnsi" w:hAnsiTheme="minorHAnsi" w:cstheme="minorHAnsi"/>
        </w:rPr>
        <w:t>Patients with serum IgG less than 4g/L regardless of episodes of infection or antibiotic use</w:t>
      </w:r>
      <w:r w:rsidR="00186509" w:rsidRPr="00B27BF8">
        <w:rPr>
          <w:rFonts w:asciiTheme="minorHAnsi" w:hAnsiTheme="minorHAnsi" w:cstheme="minorHAnsi"/>
        </w:rPr>
        <w:t xml:space="preserve">. </w:t>
      </w:r>
    </w:p>
    <w:p w14:paraId="6ED56169" w14:textId="77777777" w:rsidR="000655AF" w:rsidRPr="00B27BF8" w:rsidRDefault="000655AF" w:rsidP="00FD0F2F">
      <w:pPr>
        <w:pStyle w:val="ListParagraph"/>
        <w:numPr>
          <w:ilvl w:val="0"/>
          <w:numId w:val="11"/>
        </w:numPr>
        <w:ind w:left="426"/>
        <w:rPr>
          <w:rFonts w:asciiTheme="minorHAnsi" w:hAnsiTheme="minorHAnsi" w:cstheme="minorHAnsi"/>
        </w:rPr>
      </w:pPr>
      <w:r w:rsidRPr="00B27BF8">
        <w:rPr>
          <w:rFonts w:asciiTheme="minorHAnsi" w:hAnsiTheme="minorHAnsi" w:cstheme="minorHAnsi"/>
        </w:rPr>
        <w:t>Patients with serum IgG greater than 4g/L, IF serum IgG is less than the lower limit of the age-related reference range, AND the patient has had either (1) at least one life-threatening infection in the last 12 months, or (2) two serious infections in the last six months requiring more than standard courses of antibiotics</w:t>
      </w:r>
      <w:r w:rsidR="00186509" w:rsidRPr="00B27BF8">
        <w:rPr>
          <w:rFonts w:asciiTheme="minorHAnsi" w:hAnsiTheme="minorHAnsi" w:cstheme="minorHAnsi"/>
        </w:rPr>
        <w:t>.</w:t>
      </w:r>
      <w:r w:rsidRPr="00B27BF8">
        <w:rPr>
          <w:rFonts w:asciiTheme="minorHAnsi" w:hAnsiTheme="minorHAnsi" w:cstheme="minorHAnsi"/>
        </w:rPr>
        <w:br/>
        <w:t>[Serum IgG refers to values excluding paraprotein]</w:t>
      </w:r>
    </w:p>
    <w:p w14:paraId="0B06EFFC" w14:textId="77777777" w:rsidR="00305F7B" w:rsidRPr="00B27BF8" w:rsidRDefault="00305F7B" w:rsidP="00882234">
      <w:pPr>
        <w:rPr>
          <w:rFonts w:asciiTheme="minorHAnsi" w:hAnsiTheme="minorHAnsi" w:cstheme="minorHAnsi"/>
        </w:rPr>
      </w:pPr>
      <w:r w:rsidRPr="00B27BF8">
        <w:rPr>
          <w:rFonts w:asciiTheme="minorHAnsi" w:hAnsiTheme="minorHAnsi" w:cstheme="minorHAnsi"/>
        </w:rPr>
        <w:t xml:space="preserve">The Ig Review </w:t>
      </w:r>
      <w:r w:rsidR="003032CA" w:rsidRPr="00B27BF8">
        <w:rPr>
          <w:rFonts w:asciiTheme="minorHAnsi" w:hAnsiTheme="minorHAnsi" w:cstheme="minorHAnsi"/>
        </w:rPr>
        <w:t xml:space="preserve">Reference </w:t>
      </w:r>
      <w:r w:rsidR="00EF364E" w:rsidRPr="00B27BF8">
        <w:rPr>
          <w:rFonts w:asciiTheme="minorHAnsi" w:hAnsiTheme="minorHAnsi" w:cstheme="minorHAnsi"/>
        </w:rPr>
        <w:t>G</w:t>
      </w:r>
      <w:r w:rsidRPr="00B27BF8">
        <w:rPr>
          <w:rFonts w:asciiTheme="minorHAnsi" w:hAnsiTheme="minorHAnsi" w:cstheme="minorHAnsi"/>
        </w:rPr>
        <w:t xml:space="preserve">roup noted that a literature search should include a broad definition of the population not constrained by these </w:t>
      </w:r>
      <w:r w:rsidR="00653644">
        <w:rPr>
          <w:rFonts w:asciiTheme="minorHAnsi" w:hAnsiTheme="minorHAnsi" w:cstheme="minorHAnsi"/>
        </w:rPr>
        <w:t>criteria for access</w:t>
      </w:r>
      <w:r w:rsidR="00653644" w:rsidRPr="00B27BF8">
        <w:rPr>
          <w:rFonts w:asciiTheme="minorHAnsi" w:hAnsiTheme="minorHAnsi" w:cstheme="minorHAnsi"/>
        </w:rPr>
        <w:t xml:space="preserve"> </w:t>
      </w:r>
      <w:r w:rsidRPr="00B27BF8">
        <w:rPr>
          <w:rFonts w:asciiTheme="minorHAnsi" w:hAnsiTheme="minorHAnsi" w:cstheme="minorHAnsi"/>
        </w:rPr>
        <w:t xml:space="preserve">(limited to the haematological malignancies above). </w:t>
      </w:r>
    </w:p>
    <w:p w14:paraId="24314D52" w14:textId="77777777" w:rsidR="00882234" w:rsidRPr="00B27BF8" w:rsidRDefault="00882234" w:rsidP="00882234">
      <w:pPr>
        <w:rPr>
          <w:rFonts w:asciiTheme="minorHAnsi" w:hAnsiTheme="minorHAnsi" w:cstheme="minorHAnsi"/>
        </w:rPr>
      </w:pPr>
      <w:r w:rsidRPr="00B27BF8">
        <w:rPr>
          <w:rFonts w:asciiTheme="minorHAnsi" w:hAnsiTheme="minorHAnsi" w:cstheme="minorHAnsi"/>
        </w:rPr>
        <w:t xml:space="preserve">The applicant cites the UK’s </w:t>
      </w:r>
      <w:r w:rsidRPr="00B27BF8">
        <w:rPr>
          <w:rFonts w:asciiTheme="minorHAnsi" w:hAnsiTheme="minorHAnsi" w:cstheme="minorHAnsi"/>
          <w:i/>
        </w:rPr>
        <w:t>Clinical Guidelines for Immunoglobulin Use</w:t>
      </w:r>
      <w:r w:rsidRPr="00B27BF8">
        <w:rPr>
          <w:rFonts w:asciiTheme="minorHAnsi" w:hAnsiTheme="minorHAnsi" w:cstheme="minorHAnsi"/>
        </w:rPr>
        <w:t xml:space="preserve"> (2011) as clinical guidelines for this application</w:t>
      </w:r>
      <w:r w:rsidR="00186509" w:rsidRPr="00B27BF8">
        <w:rPr>
          <w:rFonts w:asciiTheme="minorHAnsi" w:hAnsiTheme="minorHAnsi" w:cstheme="minorHAnsi"/>
        </w:rPr>
        <w:t xml:space="preserve">. </w:t>
      </w:r>
    </w:p>
    <w:p w14:paraId="1270142A" w14:textId="77777777" w:rsidR="00D35690" w:rsidRPr="00B27BF8" w:rsidRDefault="00D35690" w:rsidP="00511D0E">
      <w:pPr>
        <w:keepNext/>
        <w:rPr>
          <w:rFonts w:asciiTheme="minorHAnsi" w:hAnsiTheme="minorHAnsi" w:cstheme="minorHAnsi"/>
          <w:u w:val="single"/>
        </w:rPr>
      </w:pPr>
      <w:r w:rsidRPr="00B27BF8">
        <w:rPr>
          <w:rFonts w:asciiTheme="minorHAnsi" w:hAnsiTheme="minorHAnsi" w:cstheme="minorHAnsi"/>
          <w:u w:val="single"/>
        </w:rPr>
        <w:t>Similar indications</w:t>
      </w:r>
    </w:p>
    <w:p w14:paraId="70C24CC5" w14:textId="77777777" w:rsidR="00BC198E" w:rsidRPr="00B27BF8" w:rsidRDefault="00955AF0" w:rsidP="004B1053">
      <w:pPr>
        <w:rPr>
          <w:rFonts w:asciiTheme="minorHAnsi" w:hAnsiTheme="minorHAnsi" w:cstheme="minorHAnsi"/>
        </w:rPr>
      </w:pPr>
      <w:r w:rsidRPr="00B27BF8">
        <w:rPr>
          <w:rFonts w:asciiTheme="minorHAnsi" w:hAnsiTheme="minorHAnsi" w:cstheme="minorHAnsi"/>
        </w:rPr>
        <w:t>According to</w:t>
      </w:r>
      <w:r w:rsidR="006C0128" w:rsidRPr="00B27BF8">
        <w:rPr>
          <w:rFonts w:asciiTheme="minorHAnsi" w:hAnsiTheme="minorHAnsi" w:cstheme="minorHAnsi"/>
        </w:rPr>
        <w:t xml:space="preserve"> the </w:t>
      </w:r>
      <w:r w:rsidR="006C0128" w:rsidRPr="00B27BF8">
        <w:rPr>
          <w:rFonts w:asciiTheme="minorHAnsi" w:hAnsiTheme="minorHAnsi" w:cstheme="minorHAnsi"/>
          <w:i/>
        </w:rPr>
        <w:t>Criteria</w:t>
      </w:r>
      <w:r w:rsidR="003032CA" w:rsidRPr="00B27BF8">
        <w:rPr>
          <w:rFonts w:asciiTheme="minorHAnsi" w:hAnsiTheme="minorHAnsi" w:cstheme="minorHAnsi"/>
          <w:i/>
        </w:rPr>
        <w:t xml:space="preserve"> V</w:t>
      </w:r>
      <w:r w:rsidR="004B1053" w:rsidRPr="00B27BF8">
        <w:rPr>
          <w:rFonts w:asciiTheme="minorHAnsi" w:hAnsiTheme="minorHAnsi" w:cstheme="minorHAnsi"/>
          <w:i/>
        </w:rPr>
        <w:t>ersion 3</w:t>
      </w:r>
      <w:r w:rsidRPr="00B27BF8">
        <w:rPr>
          <w:rFonts w:asciiTheme="minorHAnsi" w:hAnsiTheme="minorHAnsi" w:cstheme="minorHAnsi"/>
        </w:rPr>
        <w:t>,</w:t>
      </w:r>
      <w:r w:rsidR="006C0128" w:rsidRPr="00B27BF8">
        <w:rPr>
          <w:rFonts w:asciiTheme="minorHAnsi" w:hAnsiTheme="minorHAnsi" w:cstheme="minorHAnsi"/>
        </w:rPr>
        <w:t xml:space="preserve"> </w:t>
      </w:r>
      <w:r w:rsidR="002F3EA9" w:rsidRPr="00B27BF8">
        <w:rPr>
          <w:rFonts w:asciiTheme="minorHAnsi" w:hAnsiTheme="minorHAnsi" w:cstheme="minorHAnsi"/>
        </w:rPr>
        <w:t>the</w:t>
      </w:r>
      <w:r w:rsidR="006C0128" w:rsidRPr="00B27BF8">
        <w:rPr>
          <w:rFonts w:asciiTheme="minorHAnsi" w:hAnsiTheme="minorHAnsi" w:cstheme="minorHAnsi"/>
        </w:rPr>
        <w:t xml:space="preserve"> indication </w:t>
      </w:r>
      <w:r w:rsidR="002F3EA9" w:rsidRPr="00B27BF8">
        <w:rPr>
          <w:rFonts w:asciiTheme="minorHAnsi" w:hAnsiTheme="minorHAnsi" w:cstheme="minorHAnsi"/>
        </w:rPr>
        <w:t xml:space="preserve">sought </w:t>
      </w:r>
      <w:r w:rsidR="003829BC" w:rsidRPr="00B27BF8">
        <w:rPr>
          <w:rFonts w:asciiTheme="minorHAnsi" w:hAnsiTheme="minorHAnsi" w:cstheme="minorHAnsi"/>
        </w:rPr>
        <w:t xml:space="preserve">is </w:t>
      </w:r>
      <w:r w:rsidR="006C0128" w:rsidRPr="00B27BF8">
        <w:rPr>
          <w:rFonts w:asciiTheme="minorHAnsi" w:hAnsiTheme="minorHAnsi" w:cstheme="minorHAnsi"/>
        </w:rPr>
        <w:t xml:space="preserve">separate </w:t>
      </w:r>
      <w:r w:rsidR="003829BC" w:rsidRPr="00B27BF8">
        <w:rPr>
          <w:rFonts w:asciiTheme="minorHAnsi" w:hAnsiTheme="minorHAnsi" w:cstheme="minorHAnsi"/>
        </w:rPr>
        <w:t xml:space="preserve">to </w:t>
      </w:r>
      <w:r w:rsidR="006C0128" w:rsidRPr="00B27BF8">
        <w:rPr>
          <w:rFonts w:asciiTheme="minorHAnsi" w:hAnsiTheme="minorHAnsi" w:cstheme="minorHAnsi"/>
        </w:rPr>
        <w:t>a</w:t>
      </w:r>
      <w:r w:rsidR="003829BC" w:rsidRPr="00B27BF8">
        <w:rPr>
          <w:rFonts w:asciiTheme="minorHAnsi" w:hAnsiTheme="minorHAnsi" w:cstheme="minorHAnsi"/>
        </w:rPr>
        <w:t xml:space="preserve"> similar indication </w:t>
      </w:r>
      <w:r w:rsidRPr="00B27BF8">
        <w:rPr>
          <w:rFonts w:asciiTheme="minorHAnsi" w:hAnsiTheme="minorHAnsi" w:cstheme="minorHAnsi"/>
        </w:rPr>
        <w:t>“</w:t>
      </w:r>
      <w:r w:rsidR="003829BC" w:rsidRPr="00B27BF8">
        <w:rPr>
          <w:rFonts w:asciiTheme="minorHAnsi" w:hAnsiTheme="minorHAnsi" w:cstheme="minorHAnsi"/>
          <w:i/>
        </w:rPr>
        <w:t>Secondary hypogammaglobulinaemia unrelated to Haematological malignancy or HSCT</w:t>
      </w:r>
      <w:r w:rsidRPr="00B27BF8">
        <w:rPr>
          <w:rFonts w:asciiTheme="minorHAnsi" w:hAnsiTheme="minorHAnsi" w:cstheme="minorHAnsi"/>
          <w:i/>
        </w:rPr>
        <w:t>”</w:t>
      </w:r>
      <w:r w:rsidR="00186509" w:rsidRPr="00B27BF8">
        <w:rPr>
          <w:rFonts w:asciiTheme="minorHAnsi" w:hAnsiTheme="minorHAnsi" w:cstheme="minorHAnsi"/>
        </w:rPr>
        <w:t xml:space="preserve"> (including</w:t>
      </w:r>
      <w:r w:rsidR="003829BC" w:rsidRPr="00B27BF8">
        <w:rPr>
          <w:rFonts w:asciiTheme="minorHAnsi" w:hAnsiTheme="minorHAnsi" w:cstheme="minorHAnsi"/>
        </w:rPr>
        <w:t xml:space="preserve"> patients with low plasma IgG due to B cell depletion</w:t>
      </w:r>
      <w:r w:rsidR="006C0128" w:rsidRPr="00B27BF8">
        <w:rPr>
          <w:rFonts w:asciiTheme="minorHAnsi" w:hAnsiTheme="minorHAnsi" w:cstheme="minorHAnsi"/>
        </w:rPr>
        <w:t xml:space="preserve"> or immunosuppressant therapies</w:t>
      </w:r>
      <w:r w:rsidR="003829BC" w:rsidRPr="00B27BF8">
        <w:rPr>
          <w:rFonts w:asciiTheme="minorHAnsi" w:hAnsiTheme="minorHAnsi" w:cstheme="minorHAnsi"/>
        </w:rPr>
        <w:t>, or underlying health conditions such as thymoma</w:t>
      </w:r>
      <w:r w:rsidR="00186509" w:rsidRPr="00B27BF8">
        <w:rPr>
          <w:rFonts w:asciiTheme="minorHAnsi" w:hAnsiTheme="minorHAnsi" w:cstheme="minorHAnsi"/>
        </w:rPr>
        <w:t>).</w:t>
      </w:r>
      <w:r w:rsidR="00C23481" w:rsidRPr="00B27BF8">
        <w:rPr>
          <w:rFonts w:asciiTheme="minorHAnsi" w:hAnsiTheme="minorHAnsi" w:cstheme="minorHAnsi"/>
        </w:rPr>
        <w:t xml:space="preserve"> </w:t>
      </w:r>
      <w:r w:rsidR="004B1053" w:rsidRPr="00B27BF8">
        <w:rPr>
          <w:rFonts w:asciiTheme="minorHAnsi" w:hAnsiTheme="minorHAnsi" w:cstheme="minorHAnsi"/>
        </w:rPr>
        <w:t>This and o</w:t>
      </w:r>
      <w:r w:rsidR="00BC198E" w:rsidRPr="00B27BF8">
        <w:rPr>
          <w:rFonts w:asciiTheme="minorHAnsi" w:hAnsiTheme="minorHAnsi" w:cstheme="minorHAnsi"/>
        </w:rPr>
        <w:t xml:space="preserve">ther uses of IgG </w:t>
      </w:r>
      <w:r w:rsidR="004B1053" w:rsidRPr="00B27BF8">
        <w:rPr>
          <w:rFonts w:asciiTheme="minorHAnsi" w:hAnsiTheme="minorHAnsi" w:cstheme="minorHAnsi"/>
        </w:rPr>
        <w:t>(</w:t>
      </w:r>
      <w:r w:rsidR="00BC198E" w:rsidRPr="00B27BF8">
        <w:rPr>
          <w:rFonts w:asciiTheme="minorHAnsi" w:hAnsiTheme="minorHAnsi" w:cstheme="minorHAnsi"/>
        </w:rPr>
        <w:t>such as replacement therapy in patients with primary hypogammaglobulinaemia and immune-modulatory uses</w:t>
      </w:r>
      <w:r w:rsidR="004B1053" w:rsidRPr="00B27BF8">
        <w:rPr>
          <w:rFonts w:asciiTheme="minorHAnsi" w:hAnsiTheme="minorHAnsi" w:cstheme="minorHAnsi"/>
        </w:rPr>
        <w:t>)</w:t>
      </w:r>
      <w:r w:rsidR="00BC198E" w:rsidRPr="00B27BF8">
        <w:rPr>
          <w:rFonts w:asciiTheme="minorHAnsi" w:hAnsiTheme="minorHAnsi" w:cstheme="minorHAnsi"/>
        </w:rPr>
        <w:t xml:space="preserve"> are funded separately under the national blood supply arrangements</w:t>
      </w:r>
      <w:r w:rsidR="00186509" w:rsidRPr="00B27BF8">
        <w:rPr>
          <w:rFonts w:asciiTheme="minorHAnsi" w:hAnsiTheme="minorHAnsi" w:cstheme="minorHAnsi"/>
        </w:rPr>
        <w:t>.</w:t>
      </w:r>
    </w:p>
    <w:p w14:paraId="690826A3" w14:textId="77777777" w:rsidR="002F3EA9" w:rsidRPr="00B27BF8" w:rsidRDefault="002F3EA9" w:rsidP="00342393">
      <w:pPr>
        <w:keepNext/>
        <w:rPr>
          <w:rFonts w:asciiTheme="minorHAnsi" w:hAnsiTheme="minorHAnsi" w:cstheme="minorHAnsi"/>
          <w:u w:val="single"/>
        </w:rPr>
      </w:pPr>
      <w:r w:rsidRPr="00B27BF8">
        <w:rPr>
          <w:rFonts w:asciiTheme="minorHAnsi" w:hAnsiTheme="minorHAnsi" w:cstheme="minorHAnsi"/>
          <w:u w:val="single"/>
        </w:rPr>
        <w:t>Population prevalence and/or incidence</w:t>
      </w:r>
    </w:p>
    <w:p w14:paraId="78BF2BD4" w14:textId="77777777" w:rsidR="00773D66" w:rsidRPr="00B27BF8" w:rsidRDefault="00773D66" w:rsidP="0088769C">
      <w:pPr>
        <w:rPr>
          <w:rFonts w:asciiTheme="minorHAnsi" w:hAnsiTheme="minorHAnsi" w:cstheme="minorHAnsi"/>
        </w:rPr>
      </w:pPr>
      <w:r w:rsidRPr="00B27BF8">
        <w:rPr>
          <w:rFonts w:asciiTheme="minorHAnsi" w:hAnsiTheme="minorHAnsi" w:cstheme="minorHAnsi"/>
        </w:rPr>
        <w:t>O</w:t>
      </w:r>
      <w:r w:rsidR="004D4D4F" w:rsidRPr="00B27BF8">
        <w:rPr>
          <w:rFonts w:asciiTheme="minorHAnsi" w:hAnsiTheme="minorHAnsi" w:cstheme="minorHAnsi"/>
        </w:rPr>
        <w:t>f the conditions encom</w:t>
      </w:r>
      <w:r w:rsidR="00C93134" w:rsidRPr="00B27BF8">
        <w:rPr>
          <w:rFonts w:asciiTheme="minorHAnsi" w:hAnsiTheme="minorHAnsi" w:cstheme="minorHAnsi"/>
        </w:rPr>
        <w:t>passed by this indication, hypo</w:t>
      </w:r>
      <w:r w:rsidR="004D4D4F" w:rsidRPr="00B27BF8">
        <w:rPr>
          <w:rFonts w:asciiTheme="minorHAnsi" w:hAnsiTheme="minorHAnsi" w:cstheme="minorHAnsi"/>
        </w:rPr>
        <w:t xml:space="preserve">gammaglobulinaemia will be present in 25% of patients at diagnosis and will occur </w:t>
      </w:r>
      <w:r w:rsidRPr="00B27BF8">
        <w:rPr>
          <w:rFonts w:asciiTheme="minorHAnsi" w:hAnsiTheme="minorHAnsi" w:cstheme="minorHAnsi"/>
        </w:rPr>
        <w:t xml:space="preserve">in </w:t>
      </w:r>
      <w:r w:rsidR="004D4D4F" w:rsidRPr="00B27BF8">
        <w:rPr>
          <w:rFonts w:asciiTheme="minorHAnsi" w:hAnsiTheme="minorHAnsi" w:cstheme="minorHAnsi"/>
        </w:rPr>
        <w:t>up to 85% during the disease course</w:t>
      </w:r>
      <w:r w:rsidR="00186509" w:rsidRPr="00B27BF8">
        <w:rPr>
          <w:rFonts w:asciiTheme="minorHAnsi" w:hAnsiTheme="minorHAnsi" w:cstheme="minorHAnsi"/>
        </w:rPr>
        <w:t xml:space="preserve">. </w:t>
      </w:r>
      <w:r w:rsidR="00BB10D7" w:rsidRPr="00B27BF8">
        <w:rPr>
          <w:rFonts w:asciiTheme="minorHAnsi" w:hAnsiTheme="minorHAnsi" w:cstheme="minorHAnsi"/>
        </w:rPr>
        <w:t xml:space="preserve">The epidemiological literature does not </w:t>
      </w:r>
      <w:r w:rsidR="00CC71CD" w:rsidRPr="00B27BF8">
        <w:rPr>
          <w:rFonts w:asciiTheme="minorHAnsi" w:hAnsiTheme="minorHAnsi" w:cstheme="minorHAnsi"/>
        </w:rPr>
        <w:t>permit</w:t>
      </w:r>
      <w:r w:rsidR="00BB10D7" w:rsidRPr="00B27BF8">
        <w:rPr>
          <w:rFonts w:asciiTheme="minorHAnsi" w:hAnsiTheme="minorHAnsi" w:cstheme="minorHAnsi"/>
        </w:rPr>
        <w:t xml:space="preserve"> much further refinement to estimate the </w:t>
      </w:r>
      <w:r w:rsidR="0017658A" w:rsidRPr="00B27BF8">
        <w:rPr>
          <w:rFonts w:asciiTheme="minorHAnsi" w:hAnsiTheme="minorHAnsi" w:cstheme="minorHAnsi"/>
        </w:rPr>
        <w:t>patients meeting the specific criteria</w:t>
      </w:r>
      <w:r w:rsidR="00BB10D7" w:rsidRPr="00B27BF8">
        <w:rPr>
          <w:rFonts w:asciiTheme="minorHAnsi" w:hAnsiTheme="minorHAnsi" w:cstheme="minorHAnsi"/>
        </w:rPr>
        <w:t xml:space="preserve"> for this indication</w:t>
      </w:r>
      <w:r w:rsidR="00186509" w:rsidRPr="00B27BF8">
        <w:rPr>
          <w:rFonts w:asciiTheme="minorHAnsi" w:hAnsiTheme="minorHAnsi" w:cstheme="minorHAnsi"/>
        </w:rPr>
        <w:t xml:space="preserve">. </w:t>
      </w:r>
      <w:r w:rsidR="00BB10D7" w:rsidRPr="00B27BF8">
        <w:rPr>
          <w:rFonts w:asciiTheme="minorHAnsi" w:hAnsiTheme="minorHAnsi" w:cstheme="minorHAnsi"/>
        </w:rPr>
        <w:t>However, t</w:t>
      </w:r>
      <w:r w:rsidR="00342393" w:rsidRPr="00B27BF8">
        <w:rPr>
          <w:rFonts w:asciiTheme="minorHAnsi" w:hAnsiTheme="minorHAnsi" w:cstheme="minorHAnsi"/>
        </w:rPr>
        <w:t xml:space="preserve">he </w:t>
      </w:r>
      <w:r w:rsidR="00505D6F" w:rsidRPr="00B27BF8">
        <w:rPr>
          <w:rFonts w:asciiTheme="minorHAnsi" w:hAnsiTheme="minorHAnsi" w:cstheme="minorHAnsi"/>
        </w:rPr>
        <w:t>NBA</w:t>
      </w:r>
      <w:r w:rsidR="00342393" w:rsidRPr="00B27BF8">
        <w:rPr>
          <w:rFonts w:asciiTheme="minorHAnsi" w:hAnsiTheme="minorHAnsi" w:cstheme="minorHAnsi"/>
        </w:rPr>
        <w:t xml:space="preserve"> has provide</w:t>
      </w:r>
      <w:r w:rsidR="00BB10D7" w:rsidRPr="00B27BF8">
        <w:rPr>
          <w:rFonts w:asciiTheme="minorHAnsi" w:hAnsiTheme="minorHAnsi" w:cstheme="minorHAnsi"/>
        </w:rPr>
        <w:t>d</w:t>
      </w:r>
      <w:r w:rsidR="00342393" w:rsidRPr="00B27BF8">
        <w:rPr>
          <w:rFonts w:asciiTheme="minorHAnsi" w:hAnsiTheme="minorHAnsi" w:cstheme="minorHAnsi"/>
        </w:rPr>
        <w:t xml:space="preserve"> </w:t>
      </w:r>
      <w:r w:rsidR="00505D6F" w:rsidRPr="00B27BF8">
        <w:rPr>
          <w:rFonts w:asciiTheme="minorHAnsi" w:hAnsiTheme="minorHAnsi" w:cstheme="minorHAnsi"/>
        </w:rPr>
        <w:t>figures for IgG supplied to</w:t>
      </w:r>
      <w:r w:rsidR="00342393" w:rsidRPr="00B27BF8">
        <w:rPr>
          <w:rFonts w:asciiTheme="minorHAnsi" w:hAnsiTheme="minorHAnsi" w:cstheme="minorHAnsi"/>
        </w:rPr>
        <w:t xml:space="preserve"> patients under the current</w:t>
      </w:r>
      <w:r w:rsidR="00DF01EE" w:rsidRPr="00B27BF8">
        <w:rPr>
          <w:rFonts w:asciiTheme="minorHAnsi" w:hAnsiTheme="minorHAnsi" w:cstheme="minorHAnsi"/>
        </w:rPr>
        <w:t xml:space="preserve"> funding arrangements</w:t>
      </w:r>
      <w:r w:rsidR="00C77F5E" w:rsidRPr="00B27BF8">
        <w:rPr>
          <w:rFonts w:asciiTheme="minorHAnsi" w:hAnsiTheme="minorHAnsi" w:cstheme="minorHAnsi"/>
        </w:rPr>
        <w:t xml:space="preserve"> which provide a reliable estimate of the patient population</w:t>
      </w:r>
      <w:r w:rsidR="00186509" w:rsidRPr="00B27BF8">
        <w:rPr>
          <w:rFonts w:asciiTheme="minorHAnsi" w:hAnsiTheme="minorHAnsi" w:cstheme="minorHAnsi"/>
        </w:rPr>
        <w:t>.</w:t>
      </w:r>
    </w:p>
    <w:p w14:paraId="59016471" w14:textId="77777777" w:rsidR="00505D6F" w:rsidRPr="00B27BF8" w:rsidRDefault="00773D66" w:rsidP="0088769C">
      <w:pPr>
        <w:rPr>
          <w:rFonts w:asciiTheme="minorHAnsi" w:hAnsiTheme="minorHAnsi" w:cstheme="minorHAnsi"/>
        </w:rPr>
      </w:pPr>
      <w:r w:rsidRPr="00B27BF8">
        <w:rPr>
          <w:rFonts w:asciiTheme="minorHAnsi" w:hAnsiTheme="minorHAnsi" w:cstheme="minorHAnsi"/>
        </w:rPr>
        <w:t xml:space="preserve">The </w:t>
      </w:r>
      <w:r w:rsidR="00070680" w:rsidRPr="00B27BF8">
        <w:rPr>
          <w:rFonts w:asciiTheme="minorHAnsi" w:hAnsiTheme="minorHAnsi" w:cstheme="minorHAnsi"/>
        </w:rPr>
        <w:t xml:space="preserve">2015-16 </w:t>
      </w:r>
      <w:r w:rsidRPr="00B27BF8">
        <w:rPr>
          <w:rFonts w:asciiTheme="minorHAnsi" w:hAnsiTheme="minorHAnsi" w:cstheme="minorHAnsi"/>
        </w:rPr>
        <w:t>NBA report on use of IgG in Australia shows that the indication for this application constituted the largest of the diagnostics groups in terms of grams supplied, at 22</w:t>
      </w:r>
      <w:r w:rsidR="00186509" w:rsidRPr="00B27BF8">
        <w:rPr>
          <w:rFonts w:asciiTheme="minorHAnsi" w:hAnsiTheme="minorHAnsi" w:cstheme="minorHAnsi"/>
        </w:rPr>
        <w:t>.</w:t>
      </w:r>
      <w:r w:rsidRPr="00B27BF8">
        <w:rPr>
          <w:rFonts w:asciiTheme="minorHAnsi" w:hAnsiTheme="minorHAnsi" w:cstheme="minorHAnsi"/>
        </w:rPr>
        <w:t>2% of the total</w:t>
      </w:r>
      <w:r w:rsidR="00186509" w:rsidRPr="00B27BF8">
        <w:rPr>
          <w:rFonts w:asciiTheme="minorHAnsi" w:hAnsiTheme="minorHAnsi" w:cstheme="minorHAnsi"/>
        </w:rPr>
        <w:t xml:space="preserve">. </w:t>
      </w:r>
      <w:r w:rsidRPr="00B27BF8">
        <w:rPr>
          <w:rFonts w:asciiTheme="minorHAnsi" w:hAnsiTheme="minorHAnsi" w:cstheme="minorHAnsi"/>
        </w:rPr>
        <w:t>The applicant notes the most significant leakage risk is associated with patients receiving ongoing Ig therapy after recovery of the immune system</w:t>
      </w:r>
      <w:r w:rsidR="00186509" w:rsidRPr="00B27BF8">
        <w:rPr>
          <w:rFonts w:asciiTheme="minorHAnsi" w:hAnsiTheme="minorHAnsi" w:cstheme="minorHAnsi"/>
        </w:rPr>
        <w:t xml:space="preserve">. </w:t>
      </w:r>
      <w:r w:rsidR="00505D6F" w:rsidRPr="00B27BF8">
        <w:rPr>
          <w:rFonts w:asciiTheme="minorHAnsi" w:hAnsiTheme="minorHAnsi" w:cstheme="minorHAnsi"/>
        </w:rPr>
        <w:t xml:space="preserve">Figures for the most recent available year (2015-16) </w:t>
      </w:r>
      <w:r w:rsidRPr="00B27BF8">
        <w:rPr>
          <w:rFonts w:asciiTheme="minorHAnsi" w:hAnsiTheme="minorHAnsi" w:cstheme="minorHAnsi"/>
        </w:rPr>
        <w:t xml:space="preserve">broken down by condition </w:t>
      </w:r>
      <w:r w:rsidR="00505D6F" w:rsidRPr="00B27BF8">
        <w:rPr>
          <w:rFonts w:asciiTheme="minorHAnsi" w:hAnsiTheme="minorHAnsi" w:cstheme="minorHAnsi"/>
        </w:rPr>
        <w:t>are in Table 1</w:t>
      </w:r>
      <w:r w:rsidR="00186509" w:rsidRPr="00B27BF8">
        <w:rPr>
          <w:rFonts w:asciiTheme="minorHAnsi" w:hAnsiTheme="minorHAnsi" w:cstheme="minorHAnsi"/>
        </w:rPr>
        <w:t>.</w:t>
      </w:r>
      <w:r w:rsidR="00505D6F" w:rsidRPr="00B27BF8">
        <w:rPr>
          <w:rFonts w:asciiTheme="minorHAnsi" w:hAnsiTheme="minorHAnsi" w:cstheme="minorHAnsi"/>
        </w:rPr>
        <w:t xml:space="preserve"> </w:t>
      </w:r>
      <w:r w:rsidRPr="00B27BF8">
        <w:rPr>
          <w:rFonts w:asciiTheme="minorHAnsi" w:hAnsiTheme="minorHAnsi" w:cstheme="minorHAnsi"/>
        </w:rPr>
        <w:t>Totals for the indication since 2011-12 are in Table 2</w:t>
      </w:r>
      <w:r w:rsidR="00186509" w:rsidRPr="00B27BF8">
        <w:rPr>
          <w:rFonts w:asciiTheme="minorHAnsi" w:hAnsiTheme="minorHAnsi" w:cstheme="minorHAnsi"/>
        </w:rPr>
        <w:t>.</w:t>
      </w:r>
    </w:p>
    <w:p w14:paraId="257729C8" w14:textId="77777777" w:rsidR="00505D6F" w:rsidRPr="00B27BF8" w:rsidRDefault="00505D6F" w:rsidP="00505D6F">
      <w:pPr>
        <w:keepNext/>
        <w:spacing w:after="0"/>
        <w:rPr>
          <w:rFonts w:asciiTheme="minorHAnsi" w:hAnsiTheme="minorHAnsi" w:cstheme="minorHAnsi"/>
          <w:b/>
          <w:szCs w:val="20"/>
        </w:rPr>
      </w:pPr>
      <w:r w:rsidRPr="00B27BF8">
        <w:rPr>
          <w:rFonts w:asciiTheme="minorHAnsi" w:hAnsiTheme="minorHAnsi" w:cstheme="minorHAnsi"/>
          <w:b/>
          <w:szCs w:val="20"/>
        </w:rPr>
        <w:lastRenderedPageBreak/>
        <w:t>Table 1: Numbers of patients receiving funded IgG for this indication (2015-16)</w:t>
      </w:r>
    </w:p>
    <w:tbl>
      <w:tblPr>
        <w:tblStyle w:val="TableGrid"/>
        <w:tblW w:w="0" w:type="auto"/>
        <w:tblLook w:val="04A0" w:firstRow="1" w:lastRow="0" w:firstColumn="1" w:lastColumn="0" w:noHBand="0" w:noVBand="1"/>
        <w:tblCaption w:val="Table 1. Decribes the numbers of patients receiving funded IgG for this indication (2015-16)."/>
      </w:tblPr>
      <w:tblGrid>
        <w:gridCol w:w="1636"/>
        <w:gridCol w:w="1525"/>
        <w:gridCol w:w="1513"/>
        <w:gridCol w:w="1341"/>
        <w:gridCol w:w="1563"/>
        <w:gridCol w:w="1438"/>
      </w:tblGrid>
      <w:tr w:rsidR="00505D6F" w:rsidRPr="00B27BF8" w14:paraId="0402B50C" w14:textId="77777777" w:rsidTr="0074192A">
        <w:trPr>
          <w:tblHeader/>
        </w:trPr>
        <w:tc>
          <w:tcPr>
            <w:tcW w:w="1668" w:type="dxa"/>
            <w:shd w:val="clear" w:color="auto" w:fill="auto"/>
            <w:vAlign w:val="bottom"/>
          </w:tcPr>
          <w:p w14:paraId="678A9241" w14:textId="77777777" w:rsidR="00505D6F" w:rsidRPr="00B27BF8" w:rsidRDefault="00505D6F" w:rsidP="00F63BFB">
            <w:pPr>
              <w:keepNext/>
              <w:rPr>
                <w:rFonts w:asciiTheme="minorHAnsi" w:hAnsiTheme="minorHAnsi" w:cstheme="minorHAnsi"/>
                <w:b/>
                <w:color w:val="000000"/>
                <w:sz w:val="20"/>
                <w:szCs w:val="20"/>
              </w:rPr>
            </w:pPr>
            <w:r w:rsidRPr="00B27BF8">
              <w:rPr>
                <w:rFonts w:asciiTheme="minorHAnsi" w:hAnsiTheme="minorHAnsi" w:cstheme="minorHAnsi"/>
                <w:b/>
                <w:color w:val="000000"/>
                <w:sz w:val="20"/>
                <w:szCs w:val="20"/>
              </w:rPr>
              <w:t xml:space="preserve">Condition </w:t>
            </w:r>
          </w:p>
          <w:p w14:paraId="4A19B515" w14:textId="77777777" w:rsidR="00F63BFB" w:rsidRPr="00B27BF8" w:rsidRDefault="00F63BFB" w:rsidP="00F63BFB">
            <w:pPr>
              <w:keepNext/>
              <w:rPr>
                <w:rFonts w:asciiTheme="minorHAnsi" w:hAnsiTheme="minorHAnsi" w:cstheme="minorHAnsi"/>
                <w:b/>
                <w:sz w:val="20"/>
                <w:szCs w:val="20"/>
              </w:rPr>
            </w:pPr>
          </w:p>
        </w:tc>
        <w:tc>
          <w:tcPr>
            <w:tcW w:w="1559" w:type="dxa"/>
            <w:shd w:val="clear" w:color="auto" w:fill="auto"/>
            <w:vAlign w:val="center"/>
          </w:tcPr>
          <w:p w14:paraId="5744CEEE" w14:textId="77777777" w:rsidR="00505D6F" w:rsidRPr="00B27BF8" w:rsidRDefault="00505D6F" w:rsidP="00222063">
            <w:pPr>
              <w:keepNext/>
              <w:ind w:right="-108"/>
              <w:rPr>
                <w:rFonts w:asciiTheme="minorHAnsi" w:hAnsiTheme="minorHAnsi" w:cstheme="minorHAnsi"/>
                <w:b/>
                <w:sz w:val="20"/>
                <w:szCs w:val="20"/>
              </w:rPr>
            </w:pPr>
            <w:r w:rsidRPr="00B27BF8">
              <w:rPr>
                <w:rFonts w:asciiTheme="minorHAnsi" w:hAnsiTheme="minorHAnsi" w:cstheme="minorHAnsi"/>
                <w:b/>
                <w:color w:val="000000"/>
                <w:sz w:val="20"/>
                <w:szCs w:val="20"/>
              </w:rPr>
              <w:t>Patients diagnosed</w:t>
            </w:r>
            <w:r w:rsidR="00222063" w:rsidRPr="00B27BF8">
              <w:rPr>
                <w:rFonts w:asciiTheme="minorHAnsi" w:hAnsiTheme="minorHAnsi" w:cstheme="minorHAnsi"/>
                <w:b/>
                <w:color w:val="000000"/>
                <w:sz w:val="20"/>
                <w:szCs w:val="20"/>
              </w:rPr>
              <w:t xml:space="preserve"> </w:t>
            </w:r>
            <w:r w:rsidRPr="00B27BF8">
              <w:rPr>
                <w:rFonts w:asciiTheme="minorHAnsi" w:hAnsiTheme="minorHAnsi" w:cstheme="minorHAnsi"/>
                <w:b/>
                <w:color w:val="000000"/>
                <w:sz w:val="20"/>
                <w:szCs w:val="20"/>
              </w:rPr>
              <w:t>(2015)</w:t>
            </w:r>
          </w:p>
        </w:tc>
        <w:tc>
          <w:tcPr>
            <w:tcW w:w="1559" w:type="dxa"/>
            <w:shd w:val="clear" w:color="auto" w:fill="auto"/>
            <w:vAlign w:val="center"/>
          </w:tcPr>
          <w:p w14:paraId="05C3544F" w14:textId="77777777" w:rsidR="00505D6F" w:rsidRPr="00B27BF8" w:rsidRDefault="00505D6F" w:rsidP="00222063">
            <w:pPr>
              <w:keepNext/>
              <w:ind w:right="-108"/>
              <w:rPr>
                <w:rFonts w:asciiTheme="minorHAnsi" w:hAnsiTheme="minorHAnsi" w:cstheme="minorHAnsi"/>
                <w:b/>
                <w:sz w:val="20"/>
                <w:szCs w:val="20"/>
              </w:rPr>
            </w:pPr>
            <w:r w:rsidRPr="00B27BF8">
              <w:rPr>
                <w:rFonts w:asciiTheme="minorHAnsi" w:hAnsiTheme="minorHAnsi" w:cstheme="minorHAnsi"/>
                <w:b/>
                <w:color w:val="000000"/>
                <w:sz w:val="20"/>
                <w:szCs w:val="20"/>
              </w:rPr>
              <w:t xml:space="preserve">New IgG patients </w:t>
            </w:r>
            <w:r w:rsidRPr="00B27BF8">
              <w:rPr>
                <w:rFonts w:asciiTheme="minorHAnsi" w:hAnsiTheme="minorHAnsi" w:cstheme="minorHAnsi"/>
                <w:b/>
                <w:color w:val="000000"/>
                <w:sz w:val="20"/>
                <w:szCs w:val="20"/>
              </w:rPr>
              <w:br/>
              <w:t>(2015-16)</w:t>
            </w:r>
          </w:p>
        </w:tc>
        <w:tc>
          <w:tcPr>
            <w:tcW w:w="1374" w:type="dxa"/>
            <w:shd w:val="clear" w:color="auto" w:fill="auto"/>
            <w:vAlign w:val="center"/>
          </w:tcPr>
          <w:p w14:paraId="318617FE" w14:textId="77777777" w:rsidR="00505D6F" w:rsidRPr="00B27BF8" w:rsidRDefault="00505D6F" w:rsidP="00222063">
            <w:pPr>
              <w:keepNext/>
              <w:ind w:right="-108"/>
              <w:rPr>
                <w:rFonts w:asciiTheme="minorHAnsi" w:hAnsiTheme="minorHAnsi" w:cstheme="minorHAnsi"/>
                <w:b/>
                <w:sz w:val="20"/>
                <w:szCs w:val="20"/>
              </w:rPr>
            </w:pPr>
            <w:r w:rsidRPr="00B27BF8">
              <w:rPr>
                <w:rFonts w:asciiTheme="minorHAnsi" w:hAnsiTheme="minorHAnsi" w:cstheme="minorHAnsi"/>
                <w:b/>
                <w:color w:val="000000"/>
                <w:sz w:val="20"/>
                <w:szCs w:val="20"/>
              </w:rPr>
              <w:t>Total patients</w:t>
            </w:r>
            <w:r w:rsidRPr="00B27BF8">
              <w:rPr>
                <w:rFonts w:asciiTheme="minorHAnsi" w:hAnsiTheme="minorHAnsi" w:cstheme="minorHAnsi"/>
                <w:b/>
                <w:color w:val="000000"/>
                <w:sz w:val="20"/>
                <w:szCs w:val="20"/>
              </w:rPr>
              <w:br/>
              <w:t>(2015-16)</w:t>
            </w:r>
          </w:p>
        </w:tc>
        <w:tc>
          <w:tcPr>
            <w:tcW w:w="1603" w:type="dxa"/>
            <w:shd w:val="clear" w:color="auto" w:fill="auto"/>
            <w:vAlign w:val="center"/>
          </w:tcPr>
          <w:p w14:paraId="00533515" w14:textId="77777777" w:rsidR="00505D6F" w:rsidRPr="00B27BF8" w:rsidRDefault="00505D6F" w:rsidP="00222063">
            <w:pPr>
              <w:keepNext/>
              <w:ind w:right="-108"/>
              <w:rPr>
                <w:rFonts w:asciiTheme="minorHAnsi" w:hAnsiTheme="minorHAnsi" w:cstheme="minorHAnsi"/>
                <w:b/>
                <w:sz w:val="20"/>
                <w:szCs w:val="20"/>
              </w:rPr>
            </w:pPr>
            <w:r w:rsidRPr="00B27BF8">
              <w:rPr>
                <w:rFonts w:asciiTheme="minorHAnsi" w:hAnsiTheme="minorHAnsi" w:cstheme="minorHAnsi"/>
                <w:b/>
                <w:color w:val="000000"/>
                <w:sz w:val="20"/>
                <w:szCs w:val="20"/>
              </w:rPr>
              <w:t>Grams Supplied</w:t>
            </w:r>
            <w:r w:rsidRPr="00B27BF8">
              <w:rPr>
                <w:rFonts w:asciiTheme="minorHAnsi" w:hAnsiTheme="minorHAnsi" w:cstheme="minorHAnsi"/>
                <w:b/>
                <w:color w:val="000000"/>
                <w:sz w:val="20"/>
                <w:szCs w:val="20"/>
              </w:rPr>
              <w:br/>
              <w:t>(2015-16)</w:t>
            </w:r>
          </w:p>
        </w:tc>
        <w:tc>
          <w:tcPr>
            <w:tcW w:w="1479" w:type="dxa"/>
            <w:shd w:val="clear" w:color="auto" w:fill="auto"/>
            <w:vAlign w:val="center"/>
          </w:tcPr>
          <w:p w14:paraId="132816E3" w14:textId="77777777" w:rsidR="00505D6F" w:rsidRPr="00B27BF8" w:rsidRDefault="00505D6F" w:rsidP="00222063">
            <w:pPr>
              <w:keepNext/>
              <w:ind w:right="-108"/>
              <w:rPr>
                <w:rFonts w:asciiTheme="minorHAnsi" w:hAnsiTheme="minorHAnsi" w:cstheme="minorHAnsi"/>
                <w:b/>
                <w:sz w:val="20"/>
                <w:szCs w:val="20"/>
              </w:rPr>
            </w:pPr>
            <w:r w:rsidRPr="00B27BF8">
              <w:rPr>
                <w:rFonts w:asciiTheme="minorHAnsi" w:hAnsiTheme="minorHAnsi" w:cstheme="minorHAnsi"/>
                <w:b/>
                <w:color w:val="000000"/>
                <w:sz w:val="20"/>
                <w:szCs w:val="20"/>
              </w:rPr>
              <w:t>Average grams per patient</w:t>
            </w:r>
          </w:p>
        </w:tc>
      </w:tr>
      <w:tr w:rsidR="00505D6F" w:rsidRPr="00B27BF8" w14:paraId="0A2658EE" w14:textId="77777777" w:rsidTr="00222063">
        <w:tc>
          <w:tcPr>
            <w:tcW w:w="1668" w:type="dxa"/>
            <w:shd w:val="clear" w:color="auto" w:fill="auto"/>
            <w:vAlign w:val="center"/>
          </w:tcPr>
          <w:p w14:paraId="76E84024" w14:textId="77777777" w:rsidR="00505D6F" w:rsidRPr="00B27BF8" w:rsidRDefault="00505D6F" w:rsidP="00222063">
            <w:pPr>
              <w:keepNext/>
              <w:ind w:right="-108"/>
              <w:rPr>
                <w:rFonts w:asciiTheme="minorHAnsi" w:hAnsiTheme="minorHAnsi" w:cstheme="minorHAnsi"/>
                <w:sz w:val="20"/>
                <w:szCs w:val="20"/>
              </w:rPr>
            </w:pPr>
            <w:r w:rsidRPr="00B27BF8">
              <w:rPr>
                <w:rFonts w:asciiTheme="minorHAnsi" w:hAnsiTheme="minorHAnsi" w:cstheme="minorHAnsi"/>
                <w:b/>
                <w:bCs/>
                <w:color w:val="000000"/>
                <w:sz w:val="20"/>
                <w:szCs w:val="20"/>
              </w:rPr>
              <w:t>CLL</w:t>
            </w:r>
          </w:p>
        </w:tc>
        <w:tc>
          <w:tcPr>
            <w:tcW w:w="1559" w:type="dxa"/>
            <w:shd w:val="clear" w:color="auto" w:fill="auto"/>
            <w:vAlign w:val="center"/>
          </w:tcPr>
          <w:p w14:paraId="46F18C9C" w14:textId="77777777" w:rsidR="00505D6F" w:rsidRPr="00B27BF8" w:rsidRDefault="00505D6F" w:rsidP="00505D6F">
            <w:pPr>
              <w:keepNext/>
              <w:rPr>
                <w:rFonts w:asciiTheme="minorHAnsi" w:hAnsiTheme="minorHAnsi" w:cstheme="minorHAnsi"/>
                <w:sz w:val="20"/>
                <w:szCs w:val="20"/>
              </w:rPr>
            </w:pPr>
            <w:r w:rsidRPr="00B27BF8">
              <w:rPr>
                <w:rFonts w:asciiTheme="minorHAnsi" w:hAnsiTheme="minorHAnsi" w:cstheme="minorHAnsi"/>
                <w:color w:val="000000"/>
                <w:sz w:val="20"/>
                <w:szCs w:val="20"/>
              </w:rPr>
              <w:t>1,597</w:t>
            </w:r>
          </w:p>
        </w:tc>
        <w:tc>
          <w:tcPr>
            <w:tcW w:w="1559" w:type="dxa"/>
            <w:shd w:val="clear" w:color="auto" w:fill="auto"/>
            <w:vAlign w:val="center"/>
          </w:tcPr>
          <w:p w14:paraId="3BAC1F81" w14:textId="77777777" w:rsidR="00505D6F" w:rsidRPr="00B27BF8" w:rsidRDefault="00505D6F" w:rsidP="00505D6F">
            <w:pPr>
              <w:keepNext/>
              <w:rPr>
                <w:rFonts w:asciiTheme="minorHAnsi" w:hAnsiTheme="minorHAnsi" w:cstheme="minorHAnsi"/>
                <w:sz w:val="20"/>
                <w:szCs w:val="20"/>
              </w:rPr>
            </w:pPr>
            <w:r w:rsidRPr="00B27BF8">
              <w:rPr>
                <w:rFonts w:asciiTheme="minorHAnsi" w:hAnsiTheme="minorHAnsi" w:cstheme="minorHAnsi"/>
                <w:color w:val="000000"/>
                <w:sz w:val="20"/>
                <w:szCs w:val="20"/>
              </w:rPr>
              <w:t>361</w:t>
            </w:r>
          </w:p>
        </w:tc>
        <w:tc>
          <w:tcPr>
            <w:tcW w:w="1374" w:type="dxa"/>
            <w:shd w:val="clear" w:color="auto" w:fill="auto"/>
            <w:vAlign w:val="center"/>
          </w:tcPr>
          <w:p w14:paraId="554161BE" w14:textId="77777777" w:rsidR="00505D6F" w:rsidRPr="00B27BF8" w:rsidRDefault="00505D6F" w:rsidP="00505D6F">
            <w:pPr>
              <w:keepNext/>
              <w:rPr>
                <w:rFonts w:asciiTheme="minorHAnsi" w:hAnsiTheme="minorHAnsi" w:cstheme="minorHAnsi"/>
                <w:sz w:val="20"/>
                <w:szCs w:val="20"/>
              </w:rPr>
            </w:pPr>
            <w:r w:rsidRPr="00B27BF8">
              <w:rPr>
                <w:rFonts w:asciiTheme="minorHAnsi" w:hAnsiTheme="minorHAnsi" w:cstheme="minorHAnsi"/>
                <w:color w:val="000000"/>
                <w:sz w:val="20"/>
                <w:szCs w:val="20"/>
              </w:rPr>
              <w:t>1380</w:t>
            </w:r>
          </w:p>
        </w:tc>
        <w:tc>
          <w:tcPr>
            <w:tcW w:w="1603" w:type="dxa"/>
            <w:shd w:val="clear" w:color="auto" w:fill="auto"/>
            <w:vAlign w:val="center"/>
          </w:tcPr>
          <w:p w14:paraId="484F939C" w14:textId="77777777" w:rsidR="00505D6F" w:rsidRPr="00B27BF8" w:rsidRDefault="00505D6F" w:rsidP="00505D6F">
            <w:pPr>
              <w:keepNext/>
              <w:rPr>
                <w:rFonts w:asciiTheme="minorHAnsi" w:hAnsiTheme="minorHAnsi" w:cstheme="minorHAnsi"/>
                <w:sz w:val="20"/>
                <w:szCs w:val="20"/>
              </w:rPr>
            </w:pPr>
            <w:r w:rsidRPr="00B27BF8">
              <w:rPr>
                <w:rFonts w:asciiTheme="minorHAnsi" w:hAnsiTheme="minorHAnsi" w:cstheme="minorHAnsi"/>
                <w:color w:val="000000"/>
                <w:sz w:val="20"/>
                <w:szCs w:val="20"/>
              </w:rPr>
              <w:t>350,066</w:t>
            </w:r>
          </w:p>
        </w:tc>
        <w:tc>
          <w:tcPr>
            <w:tcW w:w="1479" w:type="dxa"/>
            <w:shd w:val="clear" w:color="auto" w:fill="auto"/>
            <w:vAlign w:val="center"/>
          </w:tcPr>
          <w:p w14:paraId="2FDE9C7E" w14:textId="77777777" w:rsidR="00505D6F" w:rsidRPr="00B27BF8" w:rsidRDefault="00505D6F" w:rsidP="00505D6F">
            <w:pPr>
              <w:keepNext/>
              <w:rPr>
                <w:rFonts w:asciiTheme="minorHAnsi" w:hAnsiTheme="minorHAnsi" w:cstheme="minorHAnsi"/>
                <w:sz w:val="20"/>
                <w:szCs w:val="20"/>
              </w:rPr>
            </w:pPr>
            <w:r w:rsidRPr="00B27BF8">
              <w:rPr>
                <w:rFonts w:asciiTheme="minorHAnsi" w:hAnsiTheme="minorHAnsi" w:cstheme="minorHAnsi"/>
                <w:color w:val="000000"/>
                <w:sz w:val="20"/>
                <w:szCs w:val="20"/>
              </w:rPr>
              <w:t>254</w:t>
            </w:r>
          </w:p>
        </w:tc>
      </w:tr>
      <w:tr w:rsidR="00505D6F" w:rsidRPr="00B27BF8" w14:paraId="0B3092BB" w14:textId="77777777" w:rsidTr="00222063">
        <w:tc>
          <w:tcPr>
            <w:tcW w:w="1668" w:type="dxa"/>
            <w:shd w:val="clear" w:color="auto" w:fill="auto"/>
            <w:vAlign w:val="center"/>
          </w:tcPr>
          <w:p w14:paraId="7C2E5D0D" w14:textId="77777777" w:rsidR="00505D6F" w:rsidRPr="00B27BF8" w:rsidRDefault="00505D6F" w:rsidP="00222063">
            <w:pPr>
              <w:keepNext/>
              <w:ind w:right="-108"/>
              <w:rPr>
                <w:rFonts w:asciiTheme="minorHAnsi" w:hAnsiTheme="minorHAnsi" w:cstheme="minorHAnsi"/>
                <w:sz w:val="20"/>
                <w:szCs w:val="20"/>
              </w:rPr>
            </w:pPr>
            <w:r w:rsidRPr="00B27BF8">
              <w:rPr>
                <w:rFonts w:asciiTheme="minorHAnsi" w:hAnsiTheme="minorHAnsi" w:cstheme="minorHAnsi"/>
                <w:b/>
                <w:bCs/>
                <w:color w:val="000000"/>
                <w:sz w:val="20"/>
                <w:szCs w:val="20"/>
              </w:rPr>
              <w:t>MM</w:t>
            </w:r>
          </w:p>
        </w:tc>
        <w:tc>
          <w:tcPr>
            <w:tcW w:w="1559" w:type="dxa"/>
            <w:shd w:val="clear" w:color="auto" w:fill="auto"/>
            <w:vAlign w:val="center"/>
          </w:tcPr>
          <w:p w14:paraId="19B4BD93"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1,885</w:t>
            </w:r>
          </w:p>
        </w:tc>
        <w:tc>
          <w:tcPr>
            <w:tcW w:w="1559" w:type="dxa"/>
            <w:shd w:val="clear" w:color="auto" w:fill="auto"/>
            <w:vAlign w:val="center"/>
          </w:tcPr>
          <w:p w14:paraId="45D98200"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402</w:t>
            </w:r>
          </w:p>
        </w:tc>
        <w:tc>
          <w:tcPr>
            <w:tcW w:w="1374" w:type="dxa"/>
            <w:shd w:val="clear" w:color="auto" w:fill="auto"/>
            <w:vAlign w:val="center"/>
          </w:tcPr>
          <w:p w14:paraId="445D0C6C"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1177</w:t>
            </w:r>
          </w:p>
        </w:tc>
        <w:tc>
          <w:tcPr>
            <w:tcW w:w="1603" w:type="dxa"/>
            <w:shd w:val="clear" w:color="auto" w:fill="auto"/>
            <w:vAlign w:val="center"/>
          </w:tcPr>
          <w:p w14:paraId="40B25D95"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275,685</w:t>
            </w:r>
          </w:p>
        </w:tc>
        <w:tc>
          <w:tcPr>
            <w:tcW w:w="1479" w:type="dxa"/>
            <w:shd w:val="clear" w:color="auto" w:fill="auto"/>
            <w:vAlign w:val="center"/>
          </w:tcPr>
          <w:p w14:paraId="15BCE882"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234</w:t>
            </w:r>
          </w:p>
        </w:tc>
      </w:tr>
      <w:tr w:rsidR="00505D6F" w:rsidRPr="00B27BF8" w14:paraId="13E461DB" w14:textId="77777777" w:rsidTr="00222063">
        <w:tc>
          <w:tcPr>
            <w:tcW w:w="1668" w:type="dxa"/>
            <w:shd w:val="clear" w:color="auto" w:fill="auto"/>
            <w:vAlign w:val="center"/>
          </w:tcPr>
          <w:p w14:paraId="6179B8B1" w14:textId="77777777" w:rsidR="00505D6F" w:rsidRPr="00B27BF8" w:rsidRDefault="00505D6F" w:rsidP="00222063">
            <w:pPr>
              <w:keepNext/>
              <w:ind w:right="-108"/>
              <w:rPr>
                <w:rFonts w:asciiTheme="minorHAnsi" w:hAnsiTheme="minorHAnsi" w:cstheme="minorHAnsi"/>
                <w:sz w:val="20"/>
                <w:szCs w:val="20"/>
              </w:rPr>
            </w:pPr>
            <w:r w:rsidRPr="00B27BF8">
              <w:rPr>
                <w:rFonts w:asciiTheme="minorHAnsi" w:hAnsiTheme="minorHAnsi" w:cstheme="minorHAnsi"/>
                <w:b/>
                <w:bCs/>
                <w:color w:val="000000"/>
                <w:sz w:val="20"/>
                <w:szCs w:val="20"/>
              </w:rPr>
              <w:t>NHL</w:t>
            </w:r>
          </w:p>
        </w:tc>
        <w:tc>
          <w:tcPr>
            <w:tcW w:w="1559" w:type="dxa"/>
            <w:shd w:val="clear" w:color="auto" w:fill="auto"/>
            <w:vAlign w:val="center"/>
          </w:tcPr>
          <w:p w14:paraId="15AF5750"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5,031</w:t>
            </w:r>
          </w:p>
        </w:tc>
        <w:tc>
          <w:tcPr>
            <w:tcW w:w="1559" w:type="dxa"/>
            <w:shd w:val="clear" w:color="auto" w:fill="auto"/>
            <w:vAlign w:val="center"/>
          </w:tcPr>
          <w:p w14:paraId="02B558F4"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369</w:t>
            </w:r>
          </w:p>
        </w:tc>
        <w:tc>
          <w:tcPr>
            <w:tcW w:w="1374" w:type="dxa"/>
            <w:shd w:val="clear" w:color="auto" w:fill="auto"/>
            <w:vAlign w:val="center"/>
          </w:tcPr>
          <w:p w14:paraId="022247A9"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1308</w:t>
            </w:r>
          </w:p>
        </w:tc>
        <w:tc>
          <w:tcPr>
            <w:tcW w:w="1603" w:type="dxa"/>
            <w:shd w:val="clear" w:color="auto" w:fill="auto"/>
            <w:vAlign w:val="center"/>
          </w:tcPr>
          <w:p w14:paraId="7823C8A7"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332,148</w:t>
            </w:r>
          </w:p>
        </w:tc>
        <w:tc>
          <w:tcPr>
            <w:tcW w:w="1479" w:type="dxa"/>
            <w:shd w:val="clear" w:color="auto" w:fill="auto"/>
            <w:vAlign w:val="center"/>
          </w:tcPr>
          <w:p w14:paraId="0FD5B098"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254</w:t>
            </w:r>
          </w:p>
        </w:tc>
      </w:tr>
      <w:tr w:rsidR="00505D6F" w:rsidRPr="00B27BF8" w14:paraId="28A690F9" w14:textId="77777777" w:rsidTr="00222063">
        <w:tc>
          <w:tcPr>
            <w:tcW w:w="1668" w:type="dxa"/>
            <w:shd w:val="clear" w:color="auto" w:fill="auto"/>
            <w:vAlign w:val="center"/>
          </w:tcPr>
          <w:p w14:paraId="3B8ACF99" w14:textId="77777777" w:rsidR="00505D6F" w:rsidRPr="00B27BF8" w:rsidRDefault="00505D6F" w:rsidP="00222063">
            <w:pPr>
              <w:keepNext/>
              <w:ind w:right="-108"/>
              <w:rPr>
                <w:rFonts w:asciiTheme="minorHAnsi" w:hAnsiTheme="minorHAnsi" w:cstheme="minorHAnsi"/>
                <w:sz w:val="20"/>
                <w:szCs w:val="20"/>
              </w:rPr>
            </w:pPr>
            <w:r w:rsidRPr="00B27BF8">
              <w:rPr>
                <w:rFonts w:asciiTheme="minorHAnsi" w:hAnsiTheme="minorHAnsi" w:cstheme="minorHAnsi"/>
                <w:b/>
                <w:bCs/>
                <w:color w:val="000000"/>
                <w:sz w:val="20"/>
                <w:szCs w:val="20"/>
              </w:rPr>
              <w:t>Post-HSCT</w:t>
            </w:r>
          </w:p>
        </w:tc>
        <w:tc>
          <w:tcPr>
            <w:tcW w:w="1559" w:type="dxa"/>
            <w:shd w:val="clear" w:color="auto" w:fill="auto"/>
            <w:vAlign w:val="center"/>
          </w:tcPr>
          <w:p w14:paraId="574AED88"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Unknown</w:t>
            </w:r>
          </w:p>
        </w:tc>
        <w:tc>
          <w:tcPr>
            <w:tcW w:w="1559" w:type="dxa"/>
            <w:shd w:val="clear" w:color="auto" w:fill="auto"/>
            <w:vAlign w:val="center"/>
          </w:tcPr>
          <w:p w14:paraId="70876926"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206</w:t>
            </w:r>
          </w:p>
        </w:tc>
        <w:tc>
          <w:tcPr>
            <w:tcW w:w="1374" w:type="dxa"/>
            <w:shd w:val="clear" w:color="auto" w:fill="auto"/>
            <w:vAlign w:val="center"/>
          </w:tcPr>
          <w:p w14:paraId="15D9C27B"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345</w:t>
            </w:r>
          </w:p>
        </w:tc>
        <w:tc>
          <w:tcPr>
            <w:tcW w:w="1603" w:type="dxa"/>
            <w:shd w:val="clear" w:color="auto" w:fill="auto"/>
            <w:vAlign w:val="center"/>
          </w:tcPr>
          <w:p w14:paraId="5E069CE8"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48,266</w:t>
            </w:r>
          </w:p>
        </w:tc>
        <w:tc>
          <w:tcPr>
            <w:tcW w:w="1479" w:type="dxa"/>
            <w:shd w:val="clear" w:color="auto" w:fill="auto"/>
            <w:vAlign w:val="center"/>
          </w:tcPr>
          <w:p w14:paraId="3EBE6146"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140</w:t>
            </w:r>
          </w:p>
        </w:tc>
      </w:tr>
      <w:tr w:rsidR="00505D6F" w:rsidRPr="00B27BF8" w14:paraId="42EDBCB7" w14:textId="77777777" w:rsidTr="00222063">
        <w:tc>
          <w:tcPr>
            <w:tcW w:w="1668" w:type="dxa"/>
            <w:shd w:val="clear" w:color="auto" w:fill="auto"/>
            <w:vAlign w:val="center"/>
          </w:tcPr>
          <w:p w14:paraId="1914726E" w14:textId="77777777" w:rsidR="00505D6F" w:rsidRPr="00B27BF8" w:rsidRDefault="00505D6F" w:rsidP="00222063">
            <w:pPr>
              <w:keepNext/>
              <w:ind w:right="-108"/>
              <w:rPr>
                <w:rFonts w:asciiTheme="minorHAnsi" w:hAnsiTheme="minorHAnsi" w:cstheme="minorHAnsi"/>
                <w:b/>
                <w:bCs/>
                <w:color w:val="000000"/>
                <w:sz w:val="20"/>
                <w:szCs w:val="20"/>
              </w:rPr>
            </w:pPr>
            <w:r w:rsidRPr="00B27BF8">
              <w:rPr>
                <w:rFonts w:asciiTheme="minorHAnsi" w:hAnsiTheme="minorHAnsi" w:cstheme="minorHAnsi"/>
                <w:b/>
                <w:bCs/>
                <w:color w:val="000000"/>
                <w:sz w:val="20"/>
                <w:szCs w:val="20"/>
              </w:rPr>
              <w:t>Other Haem</w:t>
            </w:r>
            <w:r w:rsidR="00186509" w:rsidRPr="00B27BF8">
              <w:rPr>
                <w:rFonts w:asciiTheme="minorHAnsi" w:hAnsiTheme="minorHAnsi" w:cstheme="minorHAnsi"/>
                <w:b/>
                <w:bCs/>
                <w:color w:val="000000"/>
                <w:sz w:val="20"/>
                <w:szCs w:val="20"/>
              </w:rPr>
              <w:t xml:space="preserve">. </w:t>
            </w:r>
          </w:p>
          <w:p w14:paraId="4076B4DC" w14:textId="77777777" w:rsidR="00505D6F" w:rsidRPr="00B27BF8" w:rsidRDefault="00505D6F" w:rsidP="00222063">
            <w:pPr>
              <w:keepNext/>
              <w:ind w:right="-108"/>
              <w:rPr>
                <w:rFonts w:asciiTheme="minorHAnsi" w:hAnsiTheme="minorHAnsi" w:cstheme="minorHAnsi"/>
                <w:sz w:val="20"/>
                <w:szCs w:val="20"/>
              </w:rPr>
            </w:pPr>
            <w:r w:rsidRPr="00B27BF8">
              <w:rPr>
                <w:rFonts w:asciiTheme="minorHAnsi" w:hAnsiTheme="minorHAnsi" w:cstheme="minorHAnsi"/>
                <w:b/>
                <w:bCs/>
                <w:color w:val="000000"/>
                <w:sz w:val="20"/>
                <w:szCs w:val="20"/>
              </w:rPr>
              <w:t>Malignancy</w:t>
            </w:r>
          </w:p>
        </w:tc>
        <w:tc>
          <w:tcPr>
            <w:tcW w:w="1559" w:type="dxa"/>
            <w:shd w:val="clear" w:color="auto" w:fill="auto"/>
            <w:vAlign w:val="center"/>
          </w:tcPr>
          <w:p w14:paraId="25054007"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Unknown</w:t>
            </w:r>
          </w:p>
        </w:tc>
        <w:tc>
          <w:tcPr>
            <w:tcW w:w="1559" w:type="dxa"/>
            <w:shd w:val="clear" w:color="auto" w:fill="auto"/>
            <w:vAlign w:val="center"/>
          </w:tcPr>
          <w:p w14:paraId="557619CB"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236</w:t>
            </w:r>
          </w:p>
        </w:tc>
        <w:tc>
          <w:tcPr>
            <w:tcW w:w="1374" w:type="dxa"/>
            <w:shd w:val="clear" w:color="auto" w:fill="auto"/>
            <w:vAlign w:val="center"/>
          </w:tcPr>
          <w:p w14:paraId="2EC86500"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533</w:t>
            </w:r>
          </w:p>
        </w:tc>
        <w:tc>
          <w:tcPr>
            <w:tcW w:w="1603" w:type="dxa"/>
            <w:shd w:val="clear" w:color="auto" w:fill="auto"/>
            <w:vAlign w:val="center"/>
          </w:tcPr>
          <w:p w14:paraId="58D78C30"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100,556</w:t>
            </w:r>
          </w:p>
        </w:tc>
        <w:tc>
          <w:tcPr>
            <w:tcW w:w="1479" w:type="dxa"/>
            <w:shd w:val="clear" w:color="auto" w:fill="auto"/>
            <w:vAlign w:val="center"/>
          </w:tcPr>
          <w:p w14:paraId="6029E973" w14:textId="77777777" w:rsidR="00505D6F" w:rsidRPr="00B27BF8" w:rsidRDefault="00505D6F" w:rsidP="00773D66">
            <w:pPr>
              <w:keepNext/>
              <w:rPr>
                <w:rFonts w:asciiTheme="minorHAnsi" w:hAnsiTheme="minorHAnsi" w:cstheme="minorHAnsi"/>
                <w:sz w:val="20"/>
                <w:szCs w:val="20"/>
              </w:rPr>
            </w:pPr>
            <w:r w:rsidRPr="00B27BF8">
              <w:rPr>
                <w:rFonts w:asciiTheme="minorHAnsi" w:hAnsiTheme="minorHAnsi" w:cstheme="minorHAnsi"/>
                <w:color w:val="000000"/>
                <w:sz w:val="20"/>
                <w:szCs w:val="20"/>
              </w:rPr>
              <w:t>189</w:t>
            </w:r>
          </w:p>
        </w:tc>
      </w:tr>
      <w:tr w:rsidR="00505D6F" w:rsidRPr="00B27BF8" w14:paraId="7504921A" w14:textId="77777777" w:rsidTr="00222063">
        <w:tc>
          <w:tcPr>
            <w:tcW w:w="1668" w:type="dxa"/>
            <w:shd w:val="clear" w:color="auto" w:fill="auto"/>
            <w:vAlign w:val="center"/>
          </w:tcPr>
          <w:p w14:paraId="356D8D73" w14:textId="77777777" w:rsidR="00505D6F" w:rsidRPr="00B27BF8" w:rsidRDefault="00505D6F" w:rsidP="00222063">
            <w:pPr>
              <w:ind w:right="-108"/>
              <w:rPr>
                <w:rFonts w:asciiTheme="minorHAnsi" w:hAnsiTheme="minorHAnsi" w:cstheme="minorHAnsi"/>
                <w:sz w:val="20"/>
                <w:szCs w:val="20"/>
              </w:rPr>
            </w:pPr>
            <w:r w:rsidRPr="00B27BF8">
              <w:rPr>
                <w:rFonts w:asciiTheme="minorHAnsi" w:hAnsiTheme="minorHAnsi" w:cstheme="minorHAnsi"/>
                <w:b/>
                <w:bCs/>
                <w:color w:val="000000"/>
                <w:sz w:val="20"/>
                <w:szCs w:val="20"/>
              </w:rPr>
              <w:t>Totals (without AL)</w:t>
            </w:r>
          </w:p>
        </w:tc>
        <w:tc>
          <w:tcPr>
            <w:tcW w:w="1559" w:type="dxa"/>
            <w:shd w:val="clear" w:color="auto" w:fill="auto"/>
            <w:vAlign w:val="center"/>
          </w:tcPr>
          <w:p w14:paraId="46D84DDE" w14:textId="77777777" w:rsidR="00505D6F" w:rsidRPr="00B27BF8" w:rsidRDefault="00505D6F" w:rsidP="00505D6F">
            <w:pPr>
              <w:rPr>
                <w:rFonts w:asciiTheme="minorHAnsi" w:hAnsiTheme="minorHAnsi" w:cstheme="minorHAnsi"/>
                <w:sz w:val="20"/>
                <w:szCs w:val="20"/>
              </w:rPr>
            </w:pPr>
            <w:r w:rsidRPr="00B27BF8">
              <w:rPr>
                <w:rFonts w:asciiTheme="minorHAnsi" w:hAnsiTheme="minorHAnsi" w:cstheme="minorHAnsi"/>
                <w:color w:val="000000"/>
                <w:sz w:val="20"/>
                <w:szCs w:val="20"/>
              </w:rPr>
              <w:t>‒</w:t>
            </w:r>
          </w:p>
        </w:tc>
        <w:tc>
          <w:tcPr>
            <w:tcW w:w="1559" w:type="dxa"/>
            <w:shd w:val="clear" w:color="auto" w:fill="auto"/>
            <w:vAlign w:val="center"/>
          </w:tcPr>
          <w:p w14:paraId="7330165C" w14:textId="77777777" w:rsidR="00505D6F" w:rsidRPr="00B27BF8" w:rsidRDefault="00505D6F" w:rsidP="00505D6F">
            <w:pPr>
              <w:rPr>
                <w:rFonts w:asciiTheme="minorHAnsi" w:hAnsiTheme="minorHAnsi" w:cstheme="minorHAnsi"/>
                <w:sz w:val="20"/>
                <w:szCs w:val="20"/>
              </w:rPr>
            </w:pPr>
            <w:r w:rsidRPr="00B27BF8">
              <w:rPr>
                <w:rFonts w:asciiTheme="minorHAnsi" w:hAnsiTheme="minorHAnsi" w:cstheme="minorHAnsi"/>
                <w:color w:val="000000"/>
                <w:sz w:val="20"/>
                <w:szCs w:val="20"/>
              </w:rPr>
              <w:t>1574</w:t>
            </w:r>
          </w:p>
        </w:tc>
        <w:tc>
          <w:tcPr>
            <w:tcW w:w="1374" w:type="dxa"/>
            <w:shd w:val="clear" w:color="auto" w:fill="auto"/>
            <w:vAlign w:val="center"/>
          </w:tcPr>
          <w:p w14:paraId="16D6CA06" w14:textId="77777777" w:rsidR="00505D6F" w:rsidRPr="00B27BF8" w:rsidRDefault="00505D6F" w:rsidP="00505D6F">
            <w:pPr>
              <w:rPr>
                <w:rFonts w:asciiTheme="minorHAnsi" w:hAnsiTheme="minorHAnsi" w:cstheme="minorHAnsi"/>
                <w:sz w:val="20"/>
                <w:szCs w:val="20"/>
              </w:rPr>
            </w:pPr>
            <w:r w:rsidRPr="00B27BF8">
              <w:rPr>
                <w:rFonts w:asciiTheme="minorHAnsi" w:hAnsiTheme="minorHAnsi" w:cstheme="minorHAnsi"/>
                <w:color w:val="000000"/>
                <w:sz w:val="20"/>
                <w:szCs w:val="20"/>
              </w:rPr>
              <w:t>4743</w:t>
            </w:r>
          </w:p>
        </w:tc>
        <w:tc>
          <w:tcPr>
            <w:tcW w:w="1603" w:type="dxa"/>
            <w:shd w:val="clear" w:color="auto" w:fill="auto"/>
            <w:vAlign w:val="center"/>
          </w:tcPr>
          <w:p w14:paraId="491112BC" w14:textId="77777777" w:rsidR="00505D6F" w:rsidRPr="00B27BF8" w:rsidRDefault="00505D6F" w:rsidP="00505D6F">
            <w:pPr>
              <w:rPr>
                <w:rFonts w:asciiTheme="minorHAnsi" w:hAnsiTheme="minorHAnsi" w:cstheme="minorHAnsi"/>
                <w:sz w:val="20"/>
                <w:szCs w:val="20"/>
              </w:rPr>
            </w:pPr>
            <w:r w:rsidRPr="00B27BF8">
              <w:rPr>
                <w:rFonts w:asciiTheme="minorHAnsi" w:hAnsiTheme="minorHAnsi" w:cstheme="minorHAnsi"/>
                <w:color w:val="000000"/>
                <w:sz w:val="20"/>
                <w:szCs w:val="20"/>
              </w:rPr>
              <w:t>1,106,721</w:t>
            </w:r>
          </w:p>
        </w:tc>
        <w:tc>
          <w:tcPr>
            <w:tcW w:w="1479" w:type="dxa"/>
            <w:shd w:val="clear" w:color="auto" w:fill="auto"/>
            <w:vAlign w:val="center"/>
          </w:tcPr>
          <w:p w14:paraId="2F0885DF" w14:textId="77777777" w:rsidR="00191A81" w:rsidRPr="00393B81" w:rsidRDefault="00191A81" w:rsidP="00505D6F">
            <w:pPr>
              <w:rPr>
                <w:rFonts w:asciiTheme="minorHAnsi" w:hAnsiTheme="minorHAnsi"/>
                <w:color w:val="000000"/>
                <w:sz w:val="20"/>
              </w:rPr>
            </w:pPr>
            <w:r>
              <w:rPr>
                <w:rFonts w:asciiTheme="minorHAnsi" w:hAnsiTheme="minorHAnsi" w:cstheme="minorHAnsi"/>
                <w:color w:val="000000"/>
                <w:sz w:val="20"/>
                <w:szCs w:val="20"/>
              </w:rPr>
              <w:t>233</w:t>
            </w:r>
          </w:p>
        </w:tc>
      </w:tr>
      <w:tr w:rsidR="00505D6F" w:rsidRPr="00B27BF8" w14:paraId="0B7EF823" w14:textId="77777777" w:rsidTr="00222063">
        <w:tc>
          <w:tcPr>
            <w:tcW w:w="1668" w:type="dxa"/>
            <w:shd w:val="clear" w:color="auto" w:fill="auto"/>
            <w:vAlign w:val="center"/>
          </w:tcPr>
          <w:p w14:paraId="4B65E455" w14:textId="77777777" w:rsidR="00505D6F" w:rsidRPr="00B27BF8" w:rsidRDefault="00505D6F" w:rsidP="00222063">
            <w:pPr>
              <w:ind w:right="-108"/>
              <w:rPr>
                <w:rFonts w:asciiTheme="minorHAnsi" w:hAnsiTheme="minorHAnsi" w:cstheme="minorHAnsi"/>
                <w:sz w:val="20"/>
                <w:szCs w:val="20"/>
              </w:rPr>
            </w:pPr>
            <w:r w:rsidRPr="00B27BF8">
              <w:rPr>
                <w:rFonts w:asciiTheme="minorHAnsi" w:hAnsiTheme="minorHAnsi" w:cstheme="minorHAnsi"/>
                <w:b/>
                <w:bCs/>
                <w:color w:val="000000"/>
                <w:sz w:val="20"/>
                <w:szCs w:val="20"/>
              </w:rPr>
              <w:t>Acute Leukaemia*</w:t>
            </w:r>
          </w:p>
        </w:tc>
        <w:tc>
          <w:tcPr>
            <w:tcW w:w="1559" w:type="dxa"/>
            <w:shd w:val="clear" w:color="auto" w:fill="auto"/>
            <w:vAlign w:val="center"/>
          </w:tcPr>
          <w:p w14:paraId="1EF57882" w14:textId="77777777" w:rsidR="00505D6F" w:rsidRPr="00B27BF8" w:rsidRDefault="00505D6F" w:rsidP="00505D6F">
            <w:pPr>
              <w:rPr>
                <w:rFonts w:asciiTheme="minorHAnsi" w:hAnsiTheme="minorHAnsi" w:cstheme="minorHAnsi"/>
                <w:sz w:val="20"/>
                <w:szCs w:val="20"/>
              </w:rPr>
            </w:pPr>
            <w:r w:rsidRPr="00B27BF8">
              <w:rPr>
                <w:rFonts w:asciiTheme="minorHAnsi" w:hAnsiTheme="minorHAnsi" w:cstheme="minorHAnsi"/>
                <w:color w:val="000000"/>
                <w:sz w:val="20"/>
                <w:szCs w:val="20"/>
              </w:rPr>
              <w:t>1431**</w:t>
            </w:r>
          </w:p>
        </w:tc>
        <w:tc>
          <w:tcPr>
            <w:tcW w:w="1559" w:type="dxa"/>
            <w:shd w:val="clear" w:color="auto" w:fill="auto"/>
            <w:vAlign w:val="center"/>
          </w:tcPr>
          <w:p w14:paraId="4A1CCEB8" w14:textId="77777777" w:rsidR="00505D6F" w:rsidRPr="00B27BF8" w:rsidRDefault="00505D6F" w:rsidP="00505D6F">
            <w:pPr>
              <w:rPr>
                <w:rFonts w:asciiTheme="minorHAnsi" w:hAnsiTheme="minorHAnsi" w:cstheme="minorHAnsi"/>
                <w:sz w:val="20"/>
                <w:szCs w:val="20"/>
              </w:rPr>
            </w:pPr>
            <w:r w:rsidRPr="00B27BF8">
              <w:rPr>
                <w:rFonts w:asciiTheme="minorHAnsi" w:hAnsiTheme="minorHAnsi" w:cstheme="minorHAnsi"/>
                <w:color w:val="000000"/>
                <w:sz w:val="20"/>
                <w:szCs w:val="20"/>
              </w:rPr>
              <w:t>8</w:t>
            </w:r>
          </w:p>
        </w:tc>
        <w:tc>
          <w:tcPr>
            <w:tcW w:w="1374" w:type="dxa"/>
            <w:shd w:val="clear" w:color="auto" w:fill="auto"/>
            <w:vAlign w:val="center"/>
          </w:tcPr>
          <w:p w14:paraId="4E334B39" w14:textId="77777777" w:rsidR="00505D6F" w:rsidRPr="00B27BF8" w:rsidRDefault="00505D6F" w:rsidP="00505D6F">
            <w:pPr>
              <w:rPr>
                <w:rFonts w:asciiTheme="minorHAnsi" w:hAnsiTheme="minorHAnsi" w:cstheme="minorHAnsi"/>
                <w:sz w:val="20"/>
                <w:szCs w:val="20"/>
              </w:rPr>
            </w:pPr>
            <w:r w:rsidRPr="00B27BF8">
              <w:rPr>
                <w:rFonts w:asciiTheme="minorHAnsi" w:hAnsiTheme="minorHAnsi" w:cstheme="minorHAnsi"/>
                <w:color w:val="000000"/>
                <w:sz w:val="20"/>
                <w:szCs w:val="20"/>
              </w:rPr>
              <w:t>13</w:t>
            </w:r>
          </w:p>
        </w:tc>
        <w:tc>
          <w:tcPr>
            <w:tcW w:w="1603" w:type="dxa"/>
            <w:shd w:val="clear" w:color="auto" w:fill="auto"/>
            <w:vAlign w:val="center"/>
          </w:tcPr>
          <w:p w14:paraId="20D9B681" w14:textId="77777777" w:rsidR="00505D6F" w:rsidRPr="00B27BF8" w:rsidRDefault="00505D6F" w:rsidP="00505D6F">
            <w:pPr>
              <w:rPr>
                <w:rFonts w:asciiTheme="minorHAnsi" w:hAnsiTheme="minorHAnsi" w:cstheme="minorHAnsi"/>
                <w:sz w:val="20"/>
                <w:szCs w:val="20"/>
              </w:rPr>
            </w:pPr>
            <w:r w:rsidRPr="00B27BF8">
              <w:rPr>
                <w:rFonts w:asciiTheme="minorHAnsi" w:hAnsiTheme="minorHAnsi" w:cstheme="minorHAnsi"/>
                <w:color w:val="000000"/>
                <w:sz w:val="20"/>
                <w:szCs w:val="20"/>
              </w:rPr>
              <w:t>975</w:t>
            </w:r>
          </w:p>
        </w:tc>
        <w:tc>
          <w:tcPr>
            <w:tcW w:w="1479" w:type="dxa"/>
            <w:shd w:val="clear" w:color="auto" w:fill="auto"/>
            <w:vAlign w:val="center"/>
          </w:tcPr>
          <w:p w14:paraId="5B3B42CF" w14:textId="77777777" w:rsidR="00505D6F" w:rsidRPr="00B27BF8" w:rsidRDefault="00505D6F" w:rsidP="00505D6F">
            <w:pPr>
              <w:rPr>
                <w:rFonts w:asciiTheme="minorHAnsi" w:hAnsiTheme="minorHAnsi" w:cstheme="minorHAnsi"/>
                <w:sz w:val="20"/>
                <w:szCs w:val="20"/>
              </w:rPr>
            </w:pPr>
            <w:r w:rsidRPr="00B27BF8">
              <w:rPr>
                <w:rFonts w:asciiTheme="minorHAnsi" w:hAnsiTheme="minorHAnsi" w:cstheme="minorHAnsi"/>
                <w:color w:val="000000"/>
                <w:sz w:val="20"/>
                <w:szCs w:val="20"/>
              </w:rPr>
              <w:t>75</w:t>
            </w:r>
          </w:p>
        </w:tc>
      </w:tr>
    </w:tbl>
    <w:p w14:paraId="210210A3" w14:textId="77777777" w:rsidR="00505D6F" w:rsidRPr="00B27BF8" w:rsidRDefault="00505D6F" w:rsidP="00D35E98">
      <w:pPr>
        <w:spacing w:after="0" w:line="240" w:lineRule="auto"/>
        <w:rPr>
          <w:rFonts w:asciiTheme="minorHAnsi" w:eastAsia="Times New Roman" w:hAnsiTheme="minorHAnsi" w:cstheme="minorHAnsi"/>
          <w:color w:val="000000"/>
          <w:sz w:val="18"/>
          <w:szCs w:val="18"/>
          <w:lang w:eastAsia="en-AU"/>
        </w:rPr>
      </w:pPr>
      <w:r w:rsidRPr="00B27BF8">
        <w:rPr>
          <w:rFonts w:asciiTheme="minorHAnsi" w:eastAsia="Times New Roman" w:hAnsiTheme="minorHAnsi" w:cstheme="minorHAnsi"/>
          <w:color w:val="000000"/>
          <w:sz w:val="18"/>
          <w:szCs w:val="18"/>
          <w:lang w:eastAsia="en-AU"/>
        </w:rPr>
        <w:t>Abbreviations: CLL=Chronic lymphocytic leukaemia; MM=Multiple Myeloma; NHL=Non‐Hodgkin lymphoma; HSCT=haemopoietic stem cell transplantation; AL=acute leukaemia; ALL=Acute Lymphoblastic Leukaemia; AML=Acute Myeloid Leuk</w:t>
      </w:r>
      <w:r w:rsidR="00222063" w:rsidRPr="00B27BF8">
        <w:rPr>
          <w:rFonts w:asciiTheme="minorHAnsi" w:eastAsia="Times New Roman" w:hAnsiTheme="minorHAnsi" w:cstheme="minorHAnsi"/>
          <w:color w:val="000000"/>
          <w:sz w:val="18"/>
          <w:szCs w:val="18"/>
          <w:lang w:eastAsia="en-AU"/>
        </w:rPr>
        <w:t>aemia; IgG=Immunoglobulin Gamma</w:t>
      </w:r>
      <w:r w:rsidRPr="00B27BF8">
        <w:rPr>
          <w:rFonts w:asciiTheme="minorHAnsi" w:eastAsia="Times New Roman" w:hAnsiTheme="minorHAnsi" w:cstheme="minorHAnsi"/>
          <w:color w:val="000000"/>
          <w:sz w:val="18"/>
          <w:szCs w:val="18"/>
          <w:lang w:eastAsia="en-AU"/>
        </w:rPr>
        <w:t>; NBA=National Blood Authority</w:t>
      </w:r>
    </w:p>
    <w:p w14:paraId="67450059" w14:textId="77777777" w:rsidR="00505D6F" w:rsidRPr="00B27BF8" w:rsidRDefault="00505D6F" w:rsidP="00505D6F">
      <w:pPr>
        <w:spacing w:after="0" w:line="240" w:lineRule="auto"/>
        <w:rPr>
          <w:rFonts w:asciiTheme="minorHAnsi" w:hAnsiTheme="minorHAnsi" w:cstheme="minorHAnsi"/>
          <w:sz w:val="18"/>
          <w:szCs w:val="18"/>
        </w:rPr>
      </w:pPr>
      <w:r w:rsidRPr="00B27BF8">
        <w:rPr>
          <w:rFonts w:asciiTheme="minorHAnsi" w:hAnsiTheme="minorHAnsi" w:cstheme="minorHAnsi"/>
          <w:sz w:val="18"/>
          <w:szCs w:val="18"/>
        </w:rPr>
        <w:t>*For the year 2015-16 NBA funded IgG only for children with acute leukaemia</w:t>
      </w:r>
      <w:r w:rsidR="00186509" w:rsidRPr="00B27BF8">
        <w:rPr>
          <w:rFonts w:asciiTheme="minorHAnsi" w:hAnsiTheme="minorHAnsi" w:cstheme="minorHAnsi"/>
          <w:sz w:val="18"/>
          <w:szCs w:val="18"/>
        </w:rPr>
        <w:t>, whereas patients including adults are now funded</w:t>
      </w:r>
    </w:p>
    <w:p w14:paraId="5D2B4CF1" w14:textId="77777777" w:rsidR="00505D6F" w:rsidRPr="00B27BF8" w:rsidRDefault="00505D6F" w:rsidP="00505D6F">
      <w:pPr>
        <w:spacing w:after="0" w:line="240" w:lineRule="auto"/>
        <w:rPr>
          <w:rFonts w:asciiTheme="minorHAnsi" w:eastAsia="Times New Roman" w:hAnsiTheme="minorHAnsi" w:cstheme="minorHAnsi"/>
          <w:color w:val="000000"/>
          <w:sz w:val="18"/>
          <w:szCs w:val="18"/>
          <w:lang w:eastAsia="en-AU"/>
        </w:rPr>
      </w:pPr>
      <w:r w:rsidRPr="00B27BF8">
        <w:rPr>
          <w:rFonts w:asciiTheme="minorHAnsi" w:hAnsiTheme="minorHAnsi" w:cstheme="minorHAnsi"/>
          <w:sz w:val="18"/>
          <w:szCs w:val="18"/>
        </w:rPr>
        <w:t>**</w:t>
      </w:r>
      <w:r w:rsidR="00186509" w:rsidRPr="00B27BF8">
        <w:rPr>
          <w:rFonts w:asciiTheme="minorHAnsi" w:hAnsiTheme="minorHAnsi" w:cstheme="minorHAnsi"/>
          <w:sz w:val="18"/>
          <w:szCs w:val="18"/>
        </w:rPr>
        <w:t>Acute Lymphoblastic Leukaemia (ALL) and Acute Myeloid Leukaemia (AML) were used as a proxy for acute leukaemia since this is not reported in the ACIM books as a group;</w:t>
      </w:r>
      <w:r w:rsidRPr="00B27BF8">
        <w:rPr>
          <w:rFonts w:asciiTheme="minorHAnsi" w:hAnsiTheme="minorHAnsi" w:cstheme="minorHAnsi"/>
          <w:sz w:val="18"/>
          <w:szCs w:val="18"/>
        </w:rPr>
        <w:t xml:space="preserve"> 1431 = </w:t>
      </w:r>
      <w:r w:rsidRPr="00B27BF8">
        <w:rPr>
          <w:rFonts w:asciiTheme="minorHAnsi" w:eastAsia="Times New Roman" w:hAnsiTheme="minorHAnsi" w:cstheme="minorHAnsi"/>
          <w:color w:val="000000"/>
          <w:sz w:val="18"/>
          <w:szCs w:val="18"/>
          <w:lang w:eastAsia="en-AU"/>
        </w:rPr>
        <w:t>389 (ALL) + 1042 (AML)</w:t>
      </w:r>
    </w:p>
    <w:p w14:paraId="6133A7FE" w14:textId="77777777" w:rsidR="00773D66" w:rsidRPr="00B27BF8" w:rsidRDefault="00773D66" w:rsidP="00505D6F">
      <w:pPr>
        <w:spacing w:after="0" w:line="240" w:lineRule="auto"/>
        <w:rPr>
          <w:rFonts w:asciiTheme="minorHAnsi" w:eastAsia="Times New Roman" w:hAnsiTheme="minorHAnsi" w:cstheme="minorHAnsi"/>
          <w:color w:val="000000"/>
          <w:sz w:val="18"/>
          <w:szCs w:val="20"/>
          <w:lang w:eastAsia="en-AU"/>
        </w:rPr>
      </w:pPr>
    </w:p>
    <w:p w14:paraId="15C0B170" w14:textId="77777777" w:rsidR="00773D66" w:rsidRPr="00B27BF8" w:rsidRDefault="00773D66" w:rsidP="00773D66">
      <w:pPr>
        <w:rPr>
          <w:rFonts w:asciiTheme="minorHAnsi" w:hAnsiTheme="minorHAnsi" w:cstheme="minorHAnsi"/>
        </w:rPr>
      </w:pPr>
      <w:r w:rsidRPr="00B27BF8">
        <w:rPr>
          <w:rFonts w:asciiTheme="minorHAnsi" w:hAnsiTheme="minorHAnsi" w:cstheme="minorHAnsi"/>
        </w:rPr>
        <w:t xml:space="preserve">Also included in Table 1 above are figures for incident patients diagnosed in Australia in the 2015 calendar year with CLL, MM, NHL and two types of acute leukaemia </w:t>
      </w:r>
      <w:r w:rsidR="00186509" w:rsidRPr="00B27BF8">
        <w:rPr>
          <w:rFonts w:asciiTheme="minorHAnsi" w:hAnsiTheme="minorHAnsi" w:cstheme="minorHAnsi"/>
        </w:rPr>
        <w:t>(</w:t>
      </w:r>
      <w:r w:rsidRPr="00B27BF8">
        <w:rPr>
          <w:rFonts w:asciiTheme="minorHAnsi" w:hAnsiTheme="minorHAnsi" w:cstheme="minorHAnsi"/>
        </w:rPr>
        <w:t>from The Australian Cancer Incidence and Mortality (ACIM) books</w:t>
      </w:r>
      <w:r w:rsidRPr="00B27BF8">
        <w:rPr>
          <w:rStyle w:val="FootnoteReference"/>
          <w:rFonts w:asciiTheme="minorHAnsi" w:hAnsiTheme="minorHAnsi" w:cstheme="minorHAnsi"/>
        </w:rPr>
        <w:footnoteReference w:id="5"/>
      </w:r>
      <w:r w:rsidR="00186509" w:rsidRPr="00B27BF8">
        <w:rPr>
          <w:rFonts w:asciiTheme="minorHAnsi" w:hAnsiTheme="minorHAnsi" w:cstheme="minorHAnsi"/>
        </w:rPr>
        <w:t xml:space="preserve">). </w:t>
      </w:r>
      <w:r w:rsidRPr="00B27BF8">
        <w:rPr>
          <w:rFonts w:asciiTheme="minorHAnsi" w:hAnsiTheme="minorHAnsi" w:cstheme="minorHAnsi"/>
        </w:rPr>
        <w:t>Proportions of patients that received IgG were not calculated as patients receiving IgG replacement therapy are drawn from the prevalent population (not at diagnosis) and prevalent patient numbers were not available from the ACIM books</w:t>
      </w:r>
      <w:r w:rsidR="00186509" w:rsidRPr="00B27BF8">
        <w:rPr>
          <w:rFonts w:asciiTheme="minorHAnsi" w:hAnsiTheme="minorHAnsi" w:cstheme="minorHAnsi"/>
        </w:rPr>
        <w:t>.</w:t>
      </w:r>
    </w:p>
    <w:p w14:paraId="1C63DA53" w14:textId="77777777" w:rsidR="00773D66" w:rsidRPr="00B27BF8" w:rsidRDefault="00773D66" w:rsidP="00773D66">
      <w:pPr>
        <w:keepNext/>
        <w:spacing w:after="0"/>
        <w:rPr>
          <w:rFonts w:asciiTheme="minorHAnsi" w:hAnsiTheme="minorHAnsi" w:cstheme="minorHAnsi"/>
          <w:b/>
          <w:szCs w:val="20"/>
        </w:rPr>
      </w:pPr>
      <w:r w:rsidRPr="00B27BF8">
        <w:rPr>
          <w:rFonts w:asciiTheme="minorHAnsi" w:hAnsiTheme="minorHAnsi" w:cstheme="minorHAnsi"/>
          <w:b/>
          <w:szCs w:val="20"/>
        </w:rPr>
        <w:t xml:space="preserve">Table </w:t>
      </w:r>
      <w:r w:rsidR="00186509" w:rsidRPr="00B27BF8">
        <w:rPr>
          <w:rFonts w:asciiTheme="minorHAnsi" w:hAnsiTheme="minorHAnsi" w:cstheme="minorHAnsi"/>
          <w:b/>
          <w:szCs w:val="20"/>
        </w:rPr>
        <w:t>2</w:t>
      </w:r>
      <w:r w:rsidRPr="00B27BF8">
        <w:rPr>
          <w:rFonts w:asciiTheme="minorHAnsi" w:hAnsiTheme="minorHAnsi" w:cstheme="minorHAnsi"/>
          <w:b/>
          <w:szCs w:val="20"/>
        </w:rPr>
        <w:t>: Numbers of patients receiving funded IgG for this indication (2011/12 – 2015/16)*</w:t>
      </w:r>
    </w:p>
    <w:tbl>
      <w:tblPr>
        <w:tblStyle w:val="TableGrid"/>
        <w:tblW w:w="5000" w:type="pct"/>
        <w:tblLayout w:type="fixed"/>
        <w:tblLook w:val="04A0" w:firstRow="1" w:lastRow="0" w:firstColumn="1" w:lastColumn="0" w:noHBand="0" w:noVBand="1"/>
        <w:tblCaption w:val="Table 2 decribes the numbers of patients receiving funded IgG for this indication (2011/12 – 2015/16)"/>
      </w:tblPr>
      <w:tblGrid>
        <w:gridCol w:w="1215"/>
        <w:gridCol w:w="1104"/>
        <w:gridCol w:w="1120"/>
        <w:gridCol w:w="1370"/>
        <w:gridCol w:w="957"/>
        <w:gridCol w:w="1670"/>
        <w:gridCol w:w="1580"/>
      </w:tblGrid>
      <w:tr w:rsidR="00773D66" w:rsidRPr="00B27BF8" w14:paraId="4B3B478A" w14:textId="77777777" w:rsidTr="00313550">
        <w:trPr>
          <w:tblHeader/>
        </w:trPr>
        <w:tc>
          <w:tcPr>
            <w:tcW w:w="674" w:type="pct"/>
            <w:noWrap/>
            <w:hideMark/>
          </w:tcPr>
          <w:p w14:paraId="3DBB6451" w14:textId="77777777" w:rsidR="00773D66" w:rsidRPr="00B27BF8" w:rsidRDefault="00773D66" w:rsidP="00773D66">
            <w:pPr>
              <w:keepNext/>
              <w:rPr>
                <w:rFonts w:asciiTheme="minorHAnsi" w:hAnsiTheme="minorHAnsi" w:cstheme="minorHAnsi"/>
                <w:b/>
                <w:sz w:val="20"/>
              </w:rPr>
            </w:pPr>
            <w:r w:rsidRPr="00B27BF8">
              <w:rPr>
                <w:rFonts w:asciiTheme="minorHAnsi" w:hAnsiTheme="minorHAnsi" w:cstheme="minorHAnsi"/>
                <w:b/>
                <w:sz w:val="20"/>
              </w:rPr>
              <w:t>Financial Year</w:t>
            </w:r>
          </w:p>
        </w:tc>
        <w:tc>
          <w:tcPr>
            <w:tcW w:w="612" w:type="pct"/>
            <w:noWrap/>
            <w:hideMark/>
          </w:tcPr>
          <w:p w14:paraId="590439D0" w14:textId="77777777" w:rsidR="00773D66" w:rsidRPr="00B27BF8" w:rsidRDefault="00773D66" w:rsidP="00773D66">
            <w:pPr>
              <w:keepNext/>
              <w:rPr>
                <w:rFonts w:asciiTheme="minorHAnsi" w:hAnsiTheme="minorHAnsi" w:cstheme="minorHAnsi"/>
                <w:b/>
                <w:sz w:val="20"/>
              </w:rPr>
            </w:pPr>
            <w:r w:rsidRPr="00B27BF8">
              <w:rPr>
                <w:rFonts w:asciiTheme="minorHAnsi" w:hAnsiTheme="minorHAnsi" w:cstheme="minorHAnsi"/>
                <w:b/>
                <w:sz w:val="20"/>
              </w:rPr>
              <w:t>New patients</w:t>
            </w:r>
          </w:p>
        </w:tc>
        <w:tc>
          <w:tcPr>
            <w:tcW w:w="621" w:type="pct"/>
            <w:noWrap/>
            <w:hideMark/>
          </w:tcPr>
          <w:p w14:paraId="122AB7DB" w14:textId="77777777" w:rsidR="00773D66" w:rsidRPr="00B27BF8" w:rsidRDefault="00773D66" w:rsidP="00773D66">
            <w:pPr>
              <w:keepNext/>
              <w:rPr>
                <w:rFonts w:asciiTheme="minorHAnsi" w:hAnsiTheme="minorHAnsi" w:cstheme="minorHAnsi"/>
                <w:b/>
                <w:sz w:val="20"/>
              </w:rPr>
            </w:pPr>
            <w:r w:rsidRPr="00B27BF8">
              <w:rPr>
                <w:rFonts w:asciiTheme="minorHAnsi" w:hAnsiTheme="minorHAnsi" w:cstheme="minorHAnsi"/>
                <w:b/>
                <w:sz w:val="20"/>
              </w:rPr>
              <w:t>Total patients</w:t>
            </w:r>
          </w:p>
        </w:tc>
        <w:tc>
          <w:tcPr>
            <w:tcW w:w="760" w:type="pct"/>
            <w:noWrap/>
            <w:hideMark/>
          </w:tcPr>
          <w:p w14:paraId="0BDC177E" w14:textId="77777777" w:rsidR="00773D66" w:rsidRPr="00B27BF8" w:rsidRDefault="00773D66" w:rsidP="00773D66">
            <w:pPr>
              <w:keepNext/>
              <w:rPr>
                <w:rFonts w:asciiTheme="minorHAnsi" w:hAnsiTheme="minorHAnsi" w:cstheme="minorHAnsi"/>
                <w:b/>
                <w:i/>
                <w:sz w:val="20"/>
              </w:rPr>
            </w:pPr>
            <w:r w:rsidRPr="00B27BF8">
              <w:rPr>
                <w:rFonts w:asciiTheme="minorHAnsi" w:hAnsiTheme="minorHAnsi" w:cstheme="minorHAnsi"/>
                <w:b/>
                <w:i/>
                <w:sz w:val="20"/>
              </w:rPr>
              <w:t>Growth, patients (%)</w:t>
            </w:r>
          </w:p>
        </w:tc>
        <w:tc>
          <w:tcPr>
            <w:tcW w:w="531" w:type="pct"/>
            <w:noWrap/>
            <w:hideMark/>
          </w:tcPr>
          <w:p w14:paraId="157DE277" w14:textId="77777777" w:rsidR="00773D66" w:rsidRPr="00B27BF8" w:rsidRDefault="00773D66" w:rsidP="00773D66">
            <w:pPr>
              <w:keepNext/>
              <w:rPr>
                <w:rFonts w:asciiTheme="minorHAnsi" w:hAnsiTheme="minorHAnsi" w:cstheme="minorHAnsi"/>
                <w:b/>
                <w:sz w:val="20"/>
              </w:rPr>
            </w:pPr>
            <w:r w:rsidRPr="00B27BF8">
              <w:rPr>
                <w:rFonts w:asciiTheme="minorHAnsi" w:hAnsiTheme="minorHAnsi" w:cstheme="minorHAnsi"/>
                <w:b/>
                <w:sz w:val="20"/>
              </w:rPr>
              <w:t>Grams</w:t>
            </w:r>
          </w:p>
        </w:tc>
        <w:tc>
          <w:tcPr>
            <w:tcW w:w="926" w:type="pct"/>
            <w:noWrap/>
            <w:hideMark/>
          </w:tcPr>
          <w:p w14:paraId="1965B0B8" w14:textId="77777777" w:rsidR="00773D66" w:rsidRPr="00B27BF8" w:rsidRDefault="00773D66" w:rsidP="00773D66">
            <w:pPr>
              <w:keepNext/>
              <w:rPr>
                <w:rFonts w:asciiTheme="minorHAnsi" w:hAnsiTheme="minorHAnsi" w:cstheme="minorHAnsi"/>
                <w:b/>
                <w:i/>
                <w:sz w:val="20"/>
              </w:rPr>
            </w:pPr>
            <w:r w:rsidRPr="00B27BF8">
              <w:rPr>
                <w:rFonts w:asciiTheme="minorHAnsi" w:hAnsiTheme="minorHAnsi" w:cstheme="minorHAnsi"/>
                <w:b/>
                <w:i/>
                <w:sz w:val="20"/>
              </w:rPr>
              <w:t>Growth, IgG Use (%)</w:t>
            </w:r>
          </w:p>
        </w:tc>
        <w:tc>
          <w:tcPr>
            <w:tcW w:w="877" w:type="pct"/>
            <w:noWrap/>
            <w:hideMark/>
          </w:tcPr>
          <w:p w14:paraId="6D39533D" w14:textId="77777777" w:rsidR="00773D66" w:rsidRPr="00B27BF8" w:rsidRDefault="00773D66" w:rsidP="00773D66">
            <w:pPr>
              <w:keepNext/>
              <w:rPr>
                <w:rFonts w:asciiTheme="minorHAnsi" w:hAnsiTheme="minorHAnsi" w:cstheme="minorHAnsi"/>
                <w:b/>
                <w:sz w:val="20"/>
              </w:rPr>
            </w:pPr>
            <w:r w:rsidRPr="00B27BF8">
              <w:rPr>
                <w:rFonts w:asciiTheme="minorHAnsi" w:hAnsiTheme="minorHAnsi" w:cstheme="minorHAnsi"/>
                <w:b/>
                <w:sz w:val="20"/>
              </w:rPr>
              <w:t>Average grams per patient</w:t>
            </w:r>
          </w:p>
        </w:tc>
      </w:tr>
      <w:tr w:rsidR="00773D66" w:rsidRPr="00B27BF8" w14:paraId="61C49A0A" w14:textId="77777777" w:rsidTr="00FA0842">
        <w:tc>
          <w:tcPr>
            <w:tcW w:w="674" w:type="pct"/>
            <w:noWrap/>
            <w:hideMark/>
          </w:tcPr>
          <w:p w14:paraId="3C34670E" w14:textId="77777777" w:rsidR="00773D66" w:rsidRPr="00B27BF8" w:rsidRDefault="00773D66" w:rsidP="00773D66">
            <w:pPr>
              <w:keepNext/>
              <w:rPr>
                <w:rFonts w:asciiTheme="minorHAnsi" w:hAnsiTheme="minorHAnsi" w:cstheme="minorHAnsi"/>
                <w:b/>
                <w:sz w:val="20"/>
              </w:rPr>
            </w:pPr>
            <w:r w:rsidRPr="00B27BF8">
              <w:rPr>
                <w:rFonts w:asciiTheme="minorHAnsi" w:hAnsiTheme="minorHAnsi" w:cstheme="minorHAnsi"/>
                <w:b/>
                <w:sz w:val="20"/>
              </w:rPr>
              <w:t>2011-12</w:t>
            </w:r>
          </w:p>
        </w:tc>
        <w:tc>
          <w:tcPr>
            <w:tcW w:w="612" w:type="pct"/>
            <w:noWrap/>
            <w:hideMark/>
          </w:tcPr>
          <w:p w14:paraId="41624978"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1,174</w:t>
            </w:r>
          </w:p>
        </w:tc>
        <w:tc>
          <w:tcPr>
            <w:tcW w:w="621" w:type="pct"/>
            <w:noWrap/>
            <w:hideMark/>
          </w:tcPr>
          <w:p w14:paraId="72A96213"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3,296</w:t>
            </w:r>
          </w:p>
        </w:tc>
        <w:tc>
          <w:tcPr>
            <w:tcW w:w="760" w:type="pct"/>
            <w:noWrap/>
            <w:hideMark/>
          </w:tcPr>
          <w:p w14:paraId="672458CE" w14:textId="77777777" w:rsidR="00773D66" w:rsidRPr="00B27BF8" w:rsidRDefault="00773D66" w:rsidP="00773D66">
            <w:pPr>
              <w:keepNext/>
              <w:rPr>
                <w:rFonts w:asciiTheme="minorHAnsi" w:hAnsiTheme="minorHAnsi" w:cstheme="minorHAnsi"/>
                <w:i/>
                <w:sz w:val="20"/>
              </w:rPr>
            </w:pPr>
            <w:r w:rsidRPr="00B27BF8">
              <w:rPr>
                <w:rFonts w:asciiTheme="minorHAnsi" w:hAnsiTheme="minorHAnsi" w:cstheme="minorHAnsi"/>
                <w:i/>
                <w:sz w:val="20"/>
              </w:rPr>
              <w:t> </w:t>
            </w:r>
            <w:r w:rsidRPr="00B27BF8">
              <w:rPr>
                <w:rFonts w:asciiTheme="minorHAnsi" w:hAnsiTheme="minorHAnsi" w:cstheme="minorHAnsi"/>
                <w:i/>
                <w:color w:val="000000"/>
                <w:sz w:val="20"/>
                <w:szCs w:val="20"/>
              </w:rPr>
              <w:t>‒</w:t>
            </w:r>
          </w:p>
        </w:tc>
        <w:tc>
          <w:tcPr>
            <w:tcW w:w="531" w:type="pct"/>
            <w:noWrap/>
            <w:hideMark/>
          </w:tcPr>
          <w:p w14:paraId="786FB1DF"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694,641</w:t>
            </w:r>
          </w:p>
        </w:tc>
        <w:tc>
          <w:tcPr>
            <w:tcW w:w="926" w:type="pct"/>
            <w:noWrap/>
            <w:hideMark/>
          </w:tcPr>
          <w:p w14:paraId="7007AC73" w14:textId="77777777" w:rsidR="00773D66" w:rsidRPr="00B27BF8" w:rsidRDefault="00773D66" w:rsidP="00773D66">
            <w:pPr>
              <w:keepNext/>
              <w:rPr>
                <w:rFonts w:asciiTheme="minorHAnsi" w:hAnsiTheme="minorHAnsi" w:cstheme="minorHAnsi"/>
                <w:i/>
                <w:sz w:val="20"/>
              </w:rPr>
            </w:pPr>
            <w:r w:rsidRPr="00B27BF8">
              <w:rPr>
                <w:rFonts w:asciiTheme="minorHAnsi" w:hAnsiTheme="minorHAnsi" w:cstheme="minorHAnsi"/>
                <w:i/>
                <w:sz w:val="20"/>
              </w:rPr>
              <w:t> </w:t>
            </w:r>
            <w:r w:rsidRPr="00B27BF8">
              <w:rPr>
                <w:rFonts w:asciiTheme="minorHAnsi" w:hAnsiTheme="minorHAnsi" w:cstheme="minorHAnsi"/>
                <w:i/>
                <w:color w:val="000000"/>
                <w:sz w:val="20"/>
                <w:szCs w:val="20"/>
              </w:rPr>
              <w:t>‒</w:t>
            </w:r>
          </w:p>
        </w:tc>
        <w:tc>
          <w:tcPr>
            <w:tcW w:w="877" w:type="pct"/>
            <w:noWrap/>
            <w:hideMark/>
          </w:tcPr>
          <w:p w14:paraId="716F9C1B"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211</w:t>
            </w:r>
          </w:p>
        </w:tc>
      </w:tr>
      <w:tr w:rsidR="00773D66" w:rsidRPr="00B27BF8" w14:paraId="75F8A41A" w14:textId="77777777" w:rsidTr="00FA0842">
        <w:tc>
          <w:tcPr>
            <w:tcW w:w="674" w:type="pct"/>
            <w:noWrap/>
            <w:hideMark/>
          </w:tcPr>
          <w:p w14:paraId="4E565091" w14:textId="77777777" w:rsidR="00773D66" w:rsidRPr="00B27BF8" w:rsidRDefault="00773D66" w:rsidP="00773D66">
            <w:pPr>
              <w:keepNext/>
              <w:rPr>
                <w:rFonts w:asciiTheme="minorHAnsi" w:hAnsiTheme="minorHAnsi" w:cstheme="minorHAnsi"/>
                <w:b/>
                <w:sz w:val="20"/>
              </w:rPr>
            </w:pPr>
            <w:r w:rsidRPr="00B27BF8">
              <w:rPr>
                <w:rFonts w:asciiTheme="minorHAnsi" w:hAnsiTheme="minorHAnsi" w:cstheme="minorHAnsi"/>
                <w:b/>
                <w:sz w:val="20"/>
              </w:rPr>
              <w:t>2012-13</w:t>
            </w:r>
          </w:p>
        </w:tc>
        <w:tc>
          <w:tcPr>
            <w:tcW w:w="612" w:type="pct"/>
            <w:noWrap/>
            <w:hideMark/>
          </w:tcPr>
          <w:p w14:paraId="605DA9D5"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1,238</w:t>
            </w:r>
          </w:p>
        </w:tc>
        <w:tc>
          <w:tcPr>
            <w:tcW w:w="621" w:type="pct"/>
            <w:noWrap/>
            <w:hideMark/>
          </w:tcPr>
          <w:p w14:paraId="04494472"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3,584</w:t>
            </w:r>
          </w:p>
        </w:tc>
        <w:tc>
          <w:tcPr>
            <w:tcW w:w="760" w:type="pct"/>
            <w:noWrap/>
            <w:hideMark/>
          </w:tcPr>
          <w:p w14:paraId="09D38AC1" w14:textId="77777777" w:rsidR="00773D66" w:rsidRPr="00B27BF8" w:rsidRDefault="00773D66" w:rsidP="00773D66">
            <w:pPr>
              <w:keepNext/>
              <w:rPr>
                <w:rFonts w:asciiTheme="minorHAnsi" w:hAnsiTheme="minorHAnsi" w:cstheme="minorHAnsi"/>
                <w:i/>
                <w:sz w:val="20"/>
              </w:rPr>
            </w:pPr>
            <w:r w:rsidRPr="00B27BF8">
              <w:rPr>
                <w:rFonts w:asciiTheme="minorHAnsi" w:hAnsiTheme="minorHAnsi" w:cstheme="minorHAnsi"/>
                <w:i/>
                <w:sz w:val="20"/>
              </w:rPr>
              <w:t>8</w:t>
            </w:r>
            <w:r w:rsidR="00186509" w:rsidRPr="00B27BF8">
              <w:rPr>
                <w:rFonts w:asciiTheme="minorHAnsi" w:hAnsiTheme="minorHAnsi" w:cstheme="minorHAnsi"/>
                <w:i/>
                <w:sz w:val="20"/>
              </w:rPr>
              <w:t>.</w:t>
            </w:r>
            <w:r w:rsidRPr="00B27BF8">
              <w:rPr>
                <w:rFonts w:asciiTheme="minorHAnsi" w:hAnsiTheme="minorHAnsi" w:cstheme="minorHAnsi"/>
                <w:i/>
                <w:sz w:val="20"/>
              </w:rPr>
              <w:t>74%</w:t>
            </w:r>
          </w:p>
        </w:tc>
        <w:tc>
          <w:tcPr>
            <w:tcW w:w="531" w:type="pct"/>
            <w:noWrap/>
            <w:hideMark/>
          </w:tcPr>
          <w:p w14:paraId="137ED094"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771,072</w:t>
            </w:r>
          </w:p>
        </w:tc>
        <w:tc>
          <w:tcPr>
            <w:tcW w:w="926" w:type="pct"/>
            <w:noWrap/>
            <w:hideMark/>
          </w:tcPr>
          <w:p w14:paraId="031475AB" w14:textId="77777777" w:rsidR="00773D66" w:rsidRPr="00B27BF8" w:rsidRDefault="00773D66" w:rsidP="00773D66">
            <w:pPr>
              <w:keepNext/>
              <w:rPr>
                <w:rFonts w:asciiTheme="minorHAnsi" w:hAnsiTheme="minorHAnsi" w:cstheme="minorHAnsi"/>
                <w:i/>
                <w:sz w:val="20"/>
              </w:rPr>
            </w:pPr>
            <w:r w:rsidRPr="00B27BF8">
              <w:rPr>
                <w:rFonts w:asciiTheme="minorHAnsi" w:hAnsiTheme="minorHAnsi" w:cstheme="minorHAnsi"/>
                <w:i/>
                <w:sz w:val="20"/>
              </w:rPr>
              <w:t>11</w:t>
            </w:r>
            <w:r w:rsidR="00186509" w:rsidRPr="00B27BF8">
              <w:rPr>
                <w:rFonts w:asciiTheme="minorHAnsi" w:hAnsiTheme="minorHAnsi" w:cstheme="minorHAnsi"/>
                <w:i/>
                <w:sz w:val="20"/>
              </w:rPr>
              <w:t>.</w:t>
            </w:r>
            <w:r w:rsidRPr="00B27BF8">
              <w:rPr>
                <w:rFonts w:asciiTheme="minorHAnsi" w:hAnsiTheme="minorHAnsi" w:cstheme="minorHAnsi"/>
                <w:i/>
                <w:sz w:val="20"/>
              </w:rPr>
              <w:t>0%</w:t>
            </w:r>
          </w:p>
        </w:tc>
        <w:tc>
          <w:tcPr>
            <w:tcW w:w="877" w:type="pct"/>
            <w:noWrap/>
            <w:hideMark/>
          </w:tcPr>
          <w:p w14:paraId="42F2C191"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215</w:t>
            </w:r>
          </w:p>
        </w:tc>
      </w:tr>
      <w:tr w:rsidR="00773D66" w:rsidRPr="00B27BF8" w14:paraId="28187548" w14:textId="77777777" w:rsidTr="00FA0842">
        <w:tc>
          <w:tcPr>
            <w:tcW w:w="674" w:type="pct"/>
            <w:noWrap/>
            <w:hideMark/>
          </w:tcPr>
          <w:p w14:paraId="5EBC74C7" w14:textId="77777777" w:rsidR="00773D66" w:rsidRPr="00B27BF8" w:rsidRDefault="00773D66" w:rsidP="00773D66">
            <w:pPr>
              <w:keepNext/>
              <w:rPr>
                <w:rFonts w:asciiTheme="minorHAnsi" w:hAnsiTheme="minorHAnsi" w:cstheme="minorHAnsi"/>
                <w:b/>
                <w:sz w:val="20"/>
              </w:rPr>
            </w:pPr>
            <w:r w:rsidRPr="00B27BF8">
              <w:rPr>
                <w:rFonts w:asciiTheme="minorHAnsi" w:hAnsiTheme="minorHAnsi" w:cstheme="minorHAnsi"/>
                <w:b/>
                <w:sz w:val="20"/>
              </w:rPr>
              <w:t>2013-14</w:t>
            </w:r>
          </w:p>
        </w:tc>
        <w:tc>
          <w:tcPr>
            <w:tcW w:w="612" w:type="pct"/>
            <w:noWrap/>
            <w:hideMark/>
          </w:tcPr>
          <w:p w14:paraId="7ED8CF87"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1,393</w:t>
            </w:r>
          </w:p>
        </w:tc>
        <w:tc>
          <w:tcPr>
            <w:tcW w:w="621" w:type="pct"/>
            <w:noWrap/>
            <w:hideMark/>
          </w:tcPr>
          <w:p w14:paraId="5E9E7B0E"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3,922</w:t>
            </w:r>
          </w:p>
        </w:tc>
        <w:tc>
          <w:tcPr>
            <w:tcW w:w="760" w:type="pct"/>
            <w:noWrap/>
            <w:hideMark/>
          </w:tcPr>
          <w:p w14:paraId="00E3C299" w14:textId="77777777" w:rsidR="00773D66" w:rsidRPr="00B27BF8" w:rsidRDefault="00773D66" w:rsidP="00773D66">
            <w:pPr>
              <w:keepNext/>
              <w:rPr>
                <w:rFonts w:asciiTheme="minorHAnsi" w:hAnsiTheme="minorHAnsi" w:cstheme="minorHAnsi"/>
                <w:i/>
                <w:sz w:val="20"/>
              </w:rPr>
            </w:pPr>
            <w:r w:rsidRPr="00B27BF8">
              <w:rPr>
                <w:rFonts w:asciiTheme="minorHAnsi" w:hAnsiTheme="minorHAnsi" w:cstheme="minorHAnsi"/>
                <w:i/>
                <w:sz w:val="20"/>
              </w:rPr>
              <w:t>9</w:t>
            </w:r>
            <w:r w:rsidR="00186509" w:rsidRPr="00B27BF8">
              <w:rPr>
                <w:rFonts w:asciiTheme="minorHAnsi" w:hAnsiTheme="minorHAnsi" w:cstheme="minorHAnsi"/>
                <w:i/>
                <w:sz w:val="20"/>
              </w:rPr>
              <w:t>.</w:t>
            </w:r>
            <w:r w:rsidRPr="00B27BF8">
              <w:rPr>
                <w:rFonts w:asciiTheme="minorHAnsi" w:hAnsiTheme="minorHAnsi" w:cstheme="minorHAnsi"/>
                <w:i/>
                <w:sz w:val="20"/>
              </w:rPr>
              <w:t>43%</w:t>
            </w:r>
          </w:p>
        </w:tc>
        <w:tc>
          <w:tcPr>
            <w:tcW w:w="531" w:type="pct"/>
            <w:noWrap/>
            <w:hideMark/>
          </w:tcPr>
          <w:p w14:paraId="3CAD1A62"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862,899</w:t>
            </w:r>
          </w:p>
        </w:tc>
        <w:tc>
          <w:tcPr>
            <w:tcW w:w="926" w:type="pct"/>
            <w:noWrap/>
            <w:hideMark/>
          </w:tcPr>
          <w:p w14:paraId="57DA0149" w14:textId="77777777" w:rsidR="00773D66" w:rsidRPr="00B27BF8" w:rsidRDefault="00773D66" w:rsidP="00773D66">
            <w:pPr>
              <w:keepNext/>
              <w:rPr>
                <w:rFonts w:asciiTheme="minorHAnsi" w:hAnsiTheme="minorHAnsi" w:cstheme="minorHAnsi"/>
                <w:i/>
                <w:sz w:val="20"/>
              </w:rPr>
            </w:pPr>
            <w:r w:rsidRPr="00B27BF8">
              <w:rPr>
                <w:rFonts w:asciiTheme="minorHAnsi" w:hAnsiTheme="minorHAnsi" w:cstheme="minorHAnsi"/>
                <w:i/>
                <w:sz w:val="20"/>
              </w:rPr>
              <w:t>11</w:t>
            </w:r>
            <w:r w:rsidR="00186509" w:rsidRPr="00B27BF8">
              <w:rPr>
                <w:rFonts w:asciiTheme="minorHAnsi" w:hAnsiTheme="minorHAnsi" w:cstheme="minorHAnsi"/>
                <w:i/>
                <w:sz w:val="20"/>
              </w:rPr>
              <w:t>.</w:t>
            </w:r>
            <w:r w:rsidRPr="00B27BF8">
              <w:rPr>
                <w:rFonts w:asciiTheme="minorHAnsi" w:hAnsiTheme="minorHAnsi" w:cstheme="minorHAnsi"/>
                <w:i/>
                <w:sz w:val="20"/>
              </w:rPr>
              <w:t>9%</w:t>
            </w:r>
          </w:p>
        </w:tc>
        <w:tc>
          <w:tcPr>
            <w:tcW w:w="877" w:type="pct"/>
            <w:noWrap/>
            <w:hideMark/>
          </w:tcPr>
          <w:p w14:paraId="61703119" w14:textId="77777777" w:rsidR="00773D66" w:rsidRPr="00B27BF8" w:rsidRDefault="00773D66" w:rsidP="00773D66">
            <w:pPr>
              <w:keepNext/>
              <w:rPr>
                <w:rFonts w:asciiTheme="minorHAnsi" w:hAnsiTheme="minorHAnsi" w:cstheme="minorHAnsi"/>
                <w:sz w:val="20"/>
              </w:rPr>
            </w:pPr>
            <w:r w:rsidRPr="00B27BF8">
              <w:rPr>
                <w:rFonts w:asciiTheme="minorHAnsi" w:hAnsiTheme="minorHAnsi" w:cstheme="minorHAnsi"/>
                <w:sz w:val="20"/>
              </w:rPr>
              <w:t>220</w:t>
            </w:r>
          </w:p>
        </w:tc>
      </w:tr>
      <w:tr w:rsidR="00773D66" w:rsidRPr="00B27BF8" w14:paraId="40D2027A" w14:textId="77777777" w:rsidTr="00FA0842">
        <w:tc>
          <w:tcPr>
            <w:tcW w:w="674" w:type="pct"/>
            <w:noWrap/>
            <w:hideMark/>
          </w:tcPr>
          <w:p w14:paraId="4D5825E5" w14:textId="77777777" w:rsidR="00773D66" w:rsidRPr="00B27BF8" w:rsidRDefault="00773D66">
            <w:pPr>
              <w:rPr>
                <w:rFonts w:asciiTheme="minorHAnsi" w:hAnsiTheme="minorHAnsi" w:cstheme="minorHAnsi"/>
                <w:b/>
                <w:sz w:val="20"/>
              </w:rPr>
            </w:pPr>
            <w:r w:rsidRPr="00B27BF8">
              <w:rPr>
                <w:rFonts w:asciiTheme="minorHAnsi" w:hAnsiTheme="minorHAnsi" w:cstheme="minorHAnsi"/>
                <w:b/>
                <w:sz w:val="20"/>
              </w:rPr>
              <w:t>2014-15</w:t>
            </w:r>
          </w:p>
        </w:tc>
        <w:tc>
          <w:tcPr>
            <w:tcW w:w="612" w:type="pct"/>
            <w:noWrap/>
            <w:hideMark/>
          </w:tcPr>
          <w:p w14:paraId="49B29AC2" w14:textId="77777777" w:rsidR="00773D66" w:rsidRPr="00B27BF8" w:rsidRDefault="00773D66" w:rsidP="00773D66">
            <w:pPr>
              <w:rPr>
                <w:rFonts w:asciiTheme="minorHAnsi" w:hAnsiTheme="minorHAnsi" w:cstheme="minorHAnsi"/>
                <w:sz w:val="20"/>
              </w:rPr>
            </w:pPr>
            <w:r w:rsidRPr="00B27BF8">
              <w:rPr>
                <w:rFonts w:asciiTheme="minorHAnsi" w:hAnsiTheme="minorHAnsi" w:cstheme="minorHAnsi"/>
                <w:sz w:val="20"/>
              </w:rPr>
              <w:t>1,460</w:t>
            </w:r>
          </w:p>
        </w:tc>
        <w:tc>
          <w:tcPr>
            <w:tcW w:w="621" w:type="pct"/>
            <w:noWrap/>
            <w:hideMark/>
          </w:tcPr>
          <w:p w14:paraId="63E7D2C6" w14:textId="77777777" w:rsidR="00773D66" w:rsidRPr="00B27BF8" w:rsidRDefault="00773D66" w:rsidP="00773D66">
            <w:pPr>
              <w:rPr>
                <w:rFonts w:asciiTheme="minorHAnsi" w:hAnsiTheme="minorHAnsi" w:cstheme="minorHAnsi"/>
                <w:sz w:val="20"/>
              </w:rPr>
            </w:pPr>
            <w:r w:rsidRPr="00B27BF8">
              <w:rPr>
                <w:rFonts w:asciiTheme="minorHAnsi" w:hAnsiTheme="minorHAnsi" w:cstheme="minorHAnsi"/>
                <w:sz w:val="20"/>
              </w:rPr>
              <w:t>4,326</w:t>
            </w:r>
          </w:p>
        </w:tc>
        <w:tc>
          <w:tcPr>
            <w:tcW w:w="760" w:type="pct"/>
            <w:noWrap/>
            <w:hideMark/>
          </w:tcPr>
          <w:p w14:paraId="4F8DEF03" w14:textId="77777777" w:rsidR="00773D66" w:rsidRPr="00B27BF8" w:rsidRDefault="00773D66" w:rsidP="00773D66">
            <w:pPr>
              <w:rPr>
                <w:rFonts w:asciiTheme="minorHAnsi" w:hAnsiTheme="minorHAnsi" w:cstheme="minorHAnsi"/>
                <w:i/>
                <w:sz w:val="20"/>
              </w:rPr>
            </w:pPr>
            <w:r w:rsidRPr="00B27BF8">
              <w:rPr>
                <w:rFonts w:asciiTheme="minorHAnsi" w:hAnsiTheme="minorHAnsi" w:cstheme="minorHAnsi"/>
                <w:i/>
                <w:sz w:val="20"/>
              </w:rPr>
              <w:t>10</w:t>
            </w:r>
            <w:r w:rsidR="00186509" w:rsidRPr="00B27BF8">
              <w:rPr>
                <w:rFonts w:asciiTheme="minorHAnsi" w:hAnsiTheme="minorHAnsi" w:cstheme="minorHAnsi"/>
                <w:i/>
                <w:sz w:val="20"/>
              </w:rPr>
              <w:t>.</w:t>
            </w:r>
            <w:r w:rsidRPr="00B27BF8">
              <w:rPr>
                <w:rFonts w:asciiTheme="minorHAnsi" w:hAnsiTheme="minorHAnsi" w:cstheme="minorHAnsi"/>
                <w:i/>
                <w:sz w:val="20"/>
              </w:rPr>
              <w:t>30%</w:t>
            </w:r>
          </w:p>
        </w:tc>
        <w:tc>
          <w:tcPr>
            <w:tcW w:w="531" w:type="pct"/>
            <w:noWrap/>
            <w:hideMark/>
          </w:tcPr>
          <w:p w14:paraId="13173450" w14:textId="77777777" w:rsidR="00773D66" w:rsidRPr="00B27BF8" w:rsidRDefault="00773D66" w:rsidP="00773D66">
            <w:pPr>
              <w:rPr>
                <w:rFonts w:asciiTheme="minorHAnsi" w:hAnsiTheme="minorHAnsi" w:cstheme="minorHAnsi"/>
                <w:sz w:val="20"/>
              </w:rPr>
            </w:pPr>
            <w:r w:rsidRPr="00B27BF8">
              <w:rPr>
                <w:rFonts w:asciiTheme="minorHAnsi" w:hAnsiTheme="minorHAnsi" w:cstheme="minorHAnsi"/>
                <w:sz w:val="20"/>
              </w:rPr>
              <w:t>982,774</w:t>
            </w:r>
          </w:p>
        </w:tc>
        <w:tc>
          <w:tcPr>
            <w:tcW w:w="926" w:type="pct"/>
            <w:noWrap/>
            <w:hideMark/>
          </w:tcPr>
          <w:p w14:paraId="7C3E9BF4" w14:textId="77777777" w:rsidR="00773D66" w:rsidRPr="00B27BF8" w:rsidRDefault="00773D66" w:rsidP="00773D66">
            <w:pPr>
              <w:rPr>
                <w:rFonts w:asciiTheme="minorHAnsi" w:hAnsiTheme="minorHAnsi" w:cstheme="minorHAnsi"/>
                <w:i/>
                <w:sz w:val="20"/>
              </w:rPr>
            </w:pPr>
            <w:r w:rsidRPr="00B27BF8">
              <w:rPr>
                <w:rFonts w:asciiTheme="minorHAnsi" w:hAnsiTheme="minorHAnsi" w:cstheme="minorHAnsi"/>
                <w:i/>
                <w:sz w:val="20"/>
              </w:rPr>
              <w:t>13</w:t>
            </w:r>
            <w:r w:rsidR="00186509" w:rsidRPr="00B27BF8">
              <w:rPr>
                <w:rFonts w:asciiTheme="minorHAnsi" w:hAnsiTheme="minorHAnsi" w:cstheme="minorHAnsi"/>
                <w:i/>
                <w:sz w:val="20"/>
              </w:rPr>
              <w:t>.</w:t>
            </w:r>
            <w:r w:rsidRPr="00B27BF8">
              <w:rPr>
                <w:rFonts w:asciiTheme="minorHAnsi" w:hAnsiTheme="minorHAnsi" w:cstheme="minorHAnsi"/>
                <w:i/>
                <w:sz w:val="20"/>
              </w:rPr>
              <w:t>9%</w:t>
            </w:r>
          </w:p>
        </w:tc>
        <w:tc>
          <w:tcPr>
            <w:tcW w:w="877" w:type="pct"/>
            <w:noWrap/>
            <w:hideMark/>
          </w:tcPr>
          <w:p w14:paraId="08F1D701" w14:textId="77777777" w:rsidR="00773D66" w:rsidRPr="00B27BF8" w:rsidRDefault="00773D66" w:rsidP="00773D66">
            <w:pPr>
              <w:rPr>
                <w:rFonts w:asciiTheme="minorHAnsi" w:hAnsiTheme="minorHAnsi" w:cstheme="minorHAnsi"/>
                <w:sz w:val="20"/>
              </w:rPr>
            </w:pPr>
            <w:r w:rsidRPr="00B27BF8">
              <w:rPr>
                <w:rFonts w:asciiTheme="minorHAnsi" w:hAnsiTheme="minorHAnsi" w:cstheme="minorHAnsi"/>
                <w:sz w:val="20"/>
              </w:rPr>
              <w:t>227</w:t>
            </w:r>
          </w:p>
        </w:tc>
      </w:tr>
      <w:tr w:rsidR="00773D66" w:rsidRPr="00B27BF8" w14:paraId="46F9B518" w14:textId="77777777" w:rsidTr="00FA0842">
        <w:tc>
          <w:tcPr>
            <w:tcW w:w="674" w:type="pct"/>
            <w:noWrap/>
            <w:hideMark/>
          </w:tcPr>
          <w:p w14:paraId="53B5D63D" w14:textId="77777777" w:rsidR="00773D66" w:rsidRPr="00B27BF8" w:rsidRDefault="00773D66">
            <w:pPr>
              <w:rPr>
                <w:rFonts w:asciiTheme="minorHAnsi" w:hAnsiTheme="minorHAnsi" w:cstheme="minorHAnsi"/>
                <w:b/>
                <w:sz w:val="20"/>
              </w:rPr>
            </w:pPr>
            <w:r w:rsidRPr="00B27BF8">
              <w:rPr>
                <w:rFonts w:asciiTheme="minorHAnsi" w:hAnsiTheme="minorHAnsi" w:cstheme="minorHAnsi"/>
                <w:b/>
                <w:sz w:val="20"/>
              </w:rPr>
              <w:t>2015-16</w:t>
            </w:r>
          </w:p>
        </w:tc>
        <w:tc>
          <w:tcPr>
            <w:tcW w:w="612" w:type="pct"/>
            <w:noWrap/>
            <w:hideMark/>
          </w:tcPr>
          <w:p w14:paraId="01E8CCCA" w14:textId="77777777" w:rsidR="00773D66" w:rsidRPr="00B27BF8" w:rsidRDefault="00773D66" w:rsidP="00773D66">
            <w:pPr>
              <w:rPr>
                <w:rFonts w:asciiTheme="minorHAnsi" w:hAnsiTheme="minorHAnsi" w:cstheme="minorHAnsi"/>
                <w:sz w:val="20"/>
              </w:rPr>
            </w:pPr>
            <w:r w:rsidRPr="00B27BF8">
              <w:rPr>
                <w:rFonts w:asciiTheme="minorHAnsi" w:hAnsiTheme="minorHAnsi" w:cstheme="minorHAnsi"/>
                <w:sz w:val="20"/>
              </w:rPr>
              <w:t>1,574</w:t>
            </w:r>
          </w:p>
        </w:tc>
        <w:tc>
          <w:tcPr>
            <w:tcW w:w="621" w:type="pct"/>
            <w:noWrap/>
            <w:hideMark/>
          </w:tcPr>
          <w:p w14:paraId="5B0500B4" w14:textId="77777777" w:rsidR="00773D66" w:rsidRPr="00B27BF8" w:rsidRDefault="00773D66" w:rsidP="00773D66">
            <w:pPr>
              <w:rPr>
                <w:rFonts w:asciiTheme="minorHAnsi" w:hAnsiTheme="minorHAnsi" w:cstheme="minorHAnsi"/>
                <w:sz w:val="20"/>
              </w:rPr>
            </w:pPr>
            <w:r w:rsidRPr="00B27BF8">
              <w:rPr>
                <w:rFonts w:asciiTheme="minorHAnsi" w:hAnsiTheme="minorHAnsi" w:cstheme="minorHAnsi"/>
                <w:sz w:val="20"/>
              </w:rPr>
              <w:t>4,743</w:t>
            </w:r>
          </w:p>
        </w:tc>
        <w:tc>
          <w:tcPr>
            <w:tcW w:w="760" w:type="pct"/>
            <w:noWrap/>
            <w:hideMark/>
          </w:tcPr>
          <w:p w14:paraId="69F8D062" w14:textId="77777777" w:rsidR="00773D66" w:rsidRPr="00B27BF8" w:rsidRDefault="00773D66" w:rsidP="00773D66">
            <w:pPr>
              <w:rPr>
                <w:rFonts w:asciiTheme="minorHAnsi" w:hAnsiTheme="minorHAnsi" w:cstheme="minorHAnsi"/>
                <w:i/>
                <w:sz w:val="20"/>
              </w:rPr>
            </w:pPr>
            <w:r w:rsidRPr="00B27BF8">
              <w:rPr>
                <w:rFonts w:asciiTheme="minorHAnsi" w:hAnsiTheme="minorHAnsi" w:cstheme="minorHAnsi"/>
                <w:i/>
                <w:sz w:val="20"/>
              </w:rPr>
              <w:t>9</w:t>
            </w:r>
            <w:r w:rsidR="00186509" w:rsidRPr="00B27BF8">
              <w:rPr>
                <w:rFonts w:asciiTheme="minorHAnsi" w:hAnsiTheme="minorHAnsi" w:cstheme="minorHAnsi"/>
                <w:i/>
                <w:sz w:val="20"/>
              </w:rPr>
              <w:t>.</w:t>
            </w:r>
            <w:r w:rsidRPr="00B27BF8">
              <w:rPr>
                <w:rFonts w:asciiTheme="minorHAnsi" w:hAnsiTheme="minorHAnsi" w:cstheme="minorHAnsi"/>
                <w:i/>
                <w:sz w:val="20"/>
              </w:rPr>
              <w:t>64%</w:t>
            </w:r>
          </w:p>
        </w:tc>
        <w:tc>
          <w:tcPr>
            <w:tcW w:w="531" w:type="pct"/>
            <w:noWrap/>
            <w:hideMark/>
          </w:tcPr>
          <w:p w14:paraId="095F2C07" w14:textId="77777777" w:rsidR="00773D66" w:rsidRPr="00B27BF8" w:rsidRDefault="00773D66" w:rsidP="00773D66">
            <w:pPr>
              <w:rPr>
                <w:rFonts w:asciiTheme="minorHAnsi" w:hAnsiTheme="minorHAnsi" w:cstheme="minorHAnsi"/>
                <w:sz w:val="20"/>
              </w:rPr>
            </w:pPr>
            <w:r w:rsidRPr="00B27BF8">
              <w:rPr>
                <w:rFonts w:asciiTheme="minorHAnsi" w:hAnsiTheme="minorHAnsi" w:cstheme="minorHAnsi"/>
                <w:sz w:val="20"/>
              </w:rPr>
              <w:t>1,106,721</w:t>
            </w:r>
          </w:p>
        </w:tc>
        <w:tc>
          <w:tcPr>
            <w:tcW w:w="926" w:type="pct"/>
            <w:noWrap/>
            <w:hideMark/>
          </w:tcPr>
          <w:p w14:paraId="2328B5A7" w14:textId="77777777" w:rsidR="00773D66" w:rsidRPr="00B27BF8" w:rsidRDefault="00773D66" w:rsidP="00773D66">
            <w:pPr>
              <w:rPr>
                <w:rFonts w:asciiTheme="minorHAnsi" w:hAnsiTheme="minorHAnsi" w:cstheme="minorHAnsi"/>
                <w:i/>
                <w:sz w:val="20"/>
              </w:rPr>
            </w:pPr>
            <w:r w:rsidRPr="00B27BF8">
              <w:rPr>
                <w:rFonts w:asciiTheme="minorHAnsi" w:hAnsiTheme="minorHAnsi" w:cstheme="minorHAnsi"/>
                <w:i/>
                <w:sz w:val="20"/>
              </w:rPr>
              <w:t>12</w:t>
            </w:r>
            <w:r w:rsidR="00186509" w:rsidRPr="00B27BF8">
              <w:rPr>
                <w:rFonts w:asciiTheme="minorHAnsi" w:hAnsiTheme="minorHAnsi" w:cstheme="minorHAnsi"/>
                <w:i/>
                <w:sz w:val="20"/>
              </w:rPr>
              <w:t>.</w:t>
            </w:r>
            <w:r w:rsidRPr="00B27BF8">
              <w:rPr>
                <w:rFonts w:asciiTheme="minorHAnsi" w:hAnsiTheme="minorHAnsi" w:cstheme="minorHAnsi"/>
                <w:i/>
                <w:sz w:val="20"/>
              </w:rPr>
              <w:t>6%</w:t>
            </w:r>
          </w:p>
        </w:tc>
        <w:tc>
          <w:tcPr>
            <w:tcW w:w="877" w:type="pct"/>
            <w:noWrap/>
            <w:hideMark/>
          </w:tcPr>
          <w:p w14:paraId="6BCD887B" w14:textId="77777777" w:rsidR="00773D66" w:rsidRPr="00B27BF8" w:rsidRDefault="00773D66" w:rsidP="00773D66">
            <w:pPr>
              <w:rPr>
                <w:rFonts w:asciiTheme="minorHAnsi" w:hAnsiTheme="minorHAnsi" w:cstheme="minorHAnsi"/>
                <w:sz w:val="20"/>
              </w:rPr>
            </w:pPr>
            <w:r w:rsidRPr="00B27BF8">
              <w:rPr>
                <w:rFonts w:asciiTheme="minorHAnsi" w:hAnsiTheme="minorHAnsi" w:cstheme="minorHAnsi"/>
                <w:sz w:val="20"/>
              </w:rPr>
              <w:t>233</w:t>
            </w:r>
          </w:p>
        </w:tc>
      </w:tr>
    </w:tbl>
    <w:p w14:paraId="74A52E76" w14:textId="77777777" w:rsidR="00773D66" w:rsidRPr="00B27BF8" w:rsidRDefault="00773D66" w:rsidP="00773D66">
      <w:pPr>
        <w:spacing w:after="0" w:line="240" w:lineRule="auto"/>
        <w:rPr>
          <w:rFonts w:asciiTheme="minorHAnsi" w:hAnsiTheme="minorHAnsi" w:cstheme="minorHAnsi"/>
          <w:sz w:val="18"/>
          <w:szCs w:val="18"/>
        </w:rPr>
      </w:pPr>
      <w:r w:rsidRPr="00B27BF8">
        <w:rPr>
          <w:rFonts w:asciiTheme="minorHAnsi" w:hAnsiTheme="minorHAnsi" w:cstheme="minorHAnsi"/>
          <w:sz w:val="18"/>
          <w:szCs w:val="18"/>
        </w:rPr>
        <w:t>*Not including acute leukaemia in children</w:t>
      </w:r>
    </w:p>
    <w:p w14:paraId="7FF44F69" w14:textId="77777777" w:rsidR="00773D66" w:rsidRPr="00B27BF8" w:rsidRDefault="00773D66" w:rsidP="00773D66">
      <w:pPr>
        <w:spacing w:after="0" w:line="240" w:lineRule="auto"/>
        <w:rPr>
          <w:rFonts w:asciiTheme="minorHAnsi" w:hAnsiTheme="minorHAnsi" w:cstheme="minorHAnsi"/>
          <w:sz w:val="20"/>
        </w:rPr>
      </w:pPr>
    </w:p>
    <w:p w14:paraId="5A977ABC" w14:textId="77777777" w:rsidR="00773D66" w:rsidRPr="00B27BF8" w:rsidRDefault="00773D66" w:rsidP="00773D66">
      <w:pPr>
        <w:rPr>
          <w:rFonts w:asciiTheme="minorHAnsi" w:hAnsiTheme="minorHAnsi" w:cstheme="minorHAnsi"/>
        </w:rPr>
      </w:pPr>
      <w:r w:rsidRPr="00B27BF8">
        <w:rPr>
          <w:rFonts w:asciiTheme="minorHAnsi" w:hAnsiTheme="minorHAnsi" w:cstheme="minorHAnsi"/>
        </w:rPr>
        <w:t>Since 2011-12, the numbers of patients receiving funded IgG for this indication have increased by around 9</w:t>
      </w:r>
      <w:r w:rsidRPr="00B27BF8">
        <w:rPr>
          <w:rFonts w:asciiTheme="minorHAnsi" w:hAnsiTheme="minorHAnsi" w:cstheme="minorHAnsi"/>
        </w:rPr>
        <w:noBreakHyphen/>
        <w:t>10% per year and the total grams supplied by 11-14% per year</w:t>
      </w:r>
      <w:r w:rsidR="00F72B96" w:rsidRPr="00B27BF8">
        <w:rPr>
          <w:rFonts w:asciiTheme="minorHAnsi" w:hAnsiTheme="minorHAnsi" w:cstheme="minorHAnsi"/>
        </w:rPr>
        <w:t xml:space="preserve"> (Table 2)</w:t>
      </w:r>
      <w:r w:rsidR="00186509" w:rsidRPr="00B27BF8">
        <w:rPr>
          <w:rFonts w:asciiTheme="minorHAnsi" w:hAnsiTheme="minorHAnsi" w:cstheme="minorHAnsi"/>
        </w:rPr>
        <w:t>.</w:t>
      </w:r>
    </w:p>
    <w:p w14:paraId="004C676D" w14:textId="77777777" w:rsidR="00896845" w:rsidRPr="00B27BF8" w:rsidRDefault="00896845" w:rsidP="00956060">
      <w:pPr>
        <w:keepNext/>
        <w:rPr>
          <w:rFonts w:asciiTheme="minorHAnsi" w:hAnsiTheme="minorHAnsi" w:cstheme="minorHAnsi"/>
          <w:b/>
        </w:rPr>
      </w:pPr>
      <w:r w:rsidRPr="00B27BF8">
        <w:rPr>
          <w:rFonts w:asciiTheme="minorHAnsi" w:hAnsiTheme="minorHAnsi" w:cstheme="minorHAnsi"/>
          <w:b/>
        </w:rPr>
        <w:t>Intervention</w:t>
      </w:r>
    </w:p>
    <w:p w14:paraId="0E286E02" w14:textId="5CED8CCB" w:rsidR="00305F7B" w:rsidRPr="00B27BF8" w:rsidRDefault="00222063" w:rsidP="00566084">
      <w:pPr>
        <w:spacing w:before="20"/>
        <w:rPr>
          <w:rFonts w:asciiTheme="minorHAnsi" w:hAnsiTheme="minorHAnsi" w:cstheme="minorHAnsi"/>
        </w:rPr>
      </w:pPr>
      <w:r w:rsidRPr="00B27BF8">
        <w:rPr>
          <w:rFonts w:asciiTheme="minorHAnsi" w:hAnsiTheme="minorHAnsi" w:cstheme="minorHAnsi"/>
        </w:rPr>
        <w:t>The intervention</w:t>
      </w:r>
      <w:r w:rsidR="0091263F" w:rsidRPr="00B27BF8">
        <w:rPr>
          <w:rFonts w:asciiTheme="minorHAnsi" w:hAnsiTheme="minorHAnsi" w:cstheme="minorHAnsi"/>
        </w:rPr>
        <w:t xml:space="preserve"> is IgG replacement therapy, which is given in combination with</w:t>
      </w:r>
      <w:r w:rsidRPr="00B27BF8">
        <w:rPr>
          <w:rFonts w:asciiTheme="minorHAnsi" w:hAnsiTheme="minorHAnsi" w:cstheme="minorHAnsi"/>
        </w:rPr>
        <w:t xml:space="preserve"> or without antibiotics</w:t>
      </w:r>
      <w:r w:rsidR="00186509" w:rsidRPr="00B27BF8">
        <w:rPr>
          <w:rFonts w:asciiTheme="minorHAnsi" w:hAnsiTheme="minorHAnsi" w:cstheme="minorHAnsi"/>
        </w:rPr>
        <w:t>.</w:t>
      </w:r>
      <w:r w:rsidR="0091263F" w:rsidRPr="00B27BF8">
        <w:rPr>
          <w:rFonts w:asciiTheme="minorHAnsi" w:hAnsiTheme="minorHAnsi" w:cstheme="minorHAnsi"/>
        </w:rPr>
        <w:t xml:space="preserve"> This is considered ‘standard of care’ for the population of interest</w:t>
      </w:r>
      <w:r w:rsidR="00186509" w:rsidRPr="00B27BF8">
        <w:rPr>
          <w:rFonts w:asciiTheme="minorHAnsi" w:hAnsiTheme="minorHAnsi" w:cstheme="minorHAnsi"/>
        </w:rPr>
        <w:t xml:space="preserve">. </w:t>
      </w:r>
      <w:r w:rsidR="003A1B76" w:rsidRPr="00B27BF8">
        <w:rPr>
          <w:rFonts w:asciiTheme="minorHAnsi" w:hAnsiTheme="minorHAnsi" w:cstheme="minorHAnsi"/>
        </w:rPr>
        <w:t>IgG products may be admini</w:t>
      </w:r>
      <w:r w:rsidR="00305F7B" w:rsidRPr="00B27BF8">
        <w:rPr>
          <w:rFonts w:asciiTheme="minorHAnsi" w:hAnsiTheme="minorHAnsi" w:cstheme="minorHAnsi"/>
        </w:rPr>
        <w:t>stered through intravenous (IV) or</w:t>
      </w:r>
      <w:r w:rsidR="003A1B76" w:rsidRPr="00B27BF8">
        <w:rPr>
          <w:rFonts w:asciiTheme="minorHAnsi" w:hAnsiTheme="minorHAnsi" w:cstheme="minorHAnsi"/>
        </w:rPr>
        <w:t xml:space="preserve"> subcutaneous (SC)</w:t>
      </w:r>
      <w:r w:rsidR="00305F7B" w:rsidRPr="00B27BF8">
        <w:rPr>
          <w:rFonts w:asciiTheme="minorHAnsi" w:hAnsiTheme="minorHAnsi" w:cstheme="minorHAnsi"/>
        </w:rPr>
        <w:t xml:space="preserve"> injection (IVIg and</w:t>
      </w:r>
      <w:r w:rsidR="003A1B76" w:rsidRPr="00B27BF8">
        <w:rPr>
          <w:rFonts w:asciiTheme="minorHAnsi" w:hAnsiTheme="minorHAnsi" w:cstheme="minorHAnsi"/>
        </w:rPr>
        <w:t xml:space="preserve"> SCIg, respectively)</w:t>
      </w:r>
      <w:r w:rsidR="00186509" w:rsidRPr="00B27BF8">
        <w:rPr>
          <w:rFonts w:asciiTheme="minorHAnsi" w:hAnsiTheme="minorHAnsi" w:cstheme="minorHAnsi"/>
        </w:rPr>
        <w:t xml:space="preserve">. </w:t>
      </w:r>
      <w:r w:rsidR="00475756">
        <w:rPr>
          <w:rFonts w:asciiTheme="minorHAnsi" w:hAnsiTheme="minorHAnsi" w:cstheme="minorHAnsi"/>
        </w:rPr>
        <w:t>According</w:t>
      </w:r>
      <w:r w:rsidR="005173D3">
        <w:rPr>
          <w:rFonts w:asciiTheme="minorHAnsi" w:hAnsiTheme="minorHAnsi" w:cstheme="minorHAnsi"/>
        </w:rPr>
        <w:t xml:space="preserve"> to </w:t>
      </w:r>
      <w:r w:rsidR="005173D3" w:rsidRPr="005173D3">
        <w:rPr>
          <w:rFonts w:asciiTheme="minorHAnsi" w:hAnsiTheme="minorHAnsi" w:cstheme="minorHAnsi"/>
          <w:i/>
        </w:rPr>
        <w:t>the Criteria Version 3</w:t>
      </w:r>
      <w:r w:rsidR="005173D3">
        <w:rPr>
          <w:rFonts w:asciiTheme="minorHAnsi" w:hAnsiTheme="minorHAnsi" w:cstheme="minorHAnsi"/>
        </w:rPr>
        <w:t xml:space="preserve">, </w:t>
      </w:r>
      <w:r w:rsidR="00186509" w:rsidRPr="00B27BF8">
        <w:rPr>
          <w:rFonts w:asciiTheme="minorHAnsi" w:hAnsiTheme="minorHAnsi" w:cstheme="minorHAnsi"/>
        </w:rPr>
        <w:t>IVIg should be given at a maintenance dose of 0.4g/kg every four weeks and SCIg at 0.1g/kg every week.</w:t>
      </w:r>
      <w:r w:rsidR="00305F7B" w:rsidRPr="00B27BF8">
        <w:rPr>
          <w:rFonts w:asciiTheme="minorHAnsi" w:hAnsiTheme="minorHAnsi" w:cstheme="minorHAnsi"/>
        </w:rPr>
        <w:t xml:space="preserve"> Doses should be adjusted based on trough levels to achieve at least the lower limit of the age-related IgG reference range.</w:t>
      </w:r>
      <w:r w:rsidRPr="00B27BF8">
        <w:rPr>
          <w:rFonts w:asciiTheme="minorHAnsi" w:hAnsiTheme="minorHAnsi" w:cstheme="minorHAnsi"/>
        </w:rPr>
        <w:t xml:space="preserve"> </w:t>
      </w:r>
      <w:r w:rsidR="002143A8" w:rsidRPr="00B27BF8">
        <w:rPr>
          <w:rFonts w:asciiTheme="minorHAnsi" w:hAnsiTheme="minorHAnsi" w:cstheme="minorHAnsi"/>
        </w:rPr>
        <w:t xml:space="preserve">The age-related reference range will </w:t>
      </w:r>
      <w:r w:rsidR="002143A8" w:rsidRPr="00B27BF8">
        <w:rPr>
          <w:rFonts w:asciiTheme="minorHAnsi" w:hAnsiTheme="minorHAnsi" w:cstheme="minorHAnsi"/>
        </w:rPr>
        <w:lastRenderedPageBreak/>
        <w:t xml:space="preserve">vary between pathology laboratories. </w:t>
      </w:r>
      <w:r w:rsidR="00305F7B" w:rsidRPr="00B27BF8">
        <w:rPr>
          <w:rFonts w:asciiTheme="minorHAnsi" w:hAnsiTheme="minorHAnsi" w:cstheme="minorHAnsi"/>
        </w:rPr>
        <w:t>IgG for intramuscular</w:t>
      </w:r>
      <w:r w:rsidR="002D2168" w:rsidRPr="00B27BF8">
        <w:rPr>
          <w:rFonts w:asciiTheme="minorHAnsi" w:hAnsiTheme="minorHAnsi" w:cstheme="minorHAnsi"/>
        </w:rPr>
        <w:t xml:space="preserve"> (IM)</w:t>
      </w:r>
      <w:r w:rsidR="00305F7B" w:rsidRPr="00B27BF8">
        <w:rPr>
          <w:rFonts w:asciiTheme="minorHAnsi" w:hAnsiTheme="minorHAnsi" w:cstheme="minorHAnsi"/>
        </w:rPr>
        <w:t xml:space="preserve"> injection is out of scope for this evaluation.  </w:t>
      </w:r>
    </w:p>
    <w:p w14:paraId="4010F90D" w14:textId="77777777" w:rsidR="00956060" w:rsidRPr="00B27BF8" w:rsidRDefault="00956060" w:rsidP="00956060">
      <w:pPr>
        <w:keepNext/>
        <w:rPr>
          <w:rFonts w:asciiTheme="minorHAnsi" w:hAnsiTheme="minorHAnsi" w:cstheme="minorHAnsi"/>
          <w:b/>
        </w:rPr>
      </w:pPr>
      <w:r w:rsidRPr="00B27BF8">
        <w:rPr>
          <w:rFonts w:asciiTheme="minorHAnsi" w:hAnsiTheme="minorHAnsi" w:cstheme="minorHAnsi"/>
          <w:u w:val="single"/>
        </w:rPr>
        <w:t>Overview</w:t>
      </w:r>
    </w:p>
    <w:p w14:paraId="662F4403" w14:textId="77777777" w:rsidR="00611495" w:rsidRPr="00B27BF8" w:rsidRDefault="00611495" w:rsidP="00611495">
      <w:pPr>
        <w:rPr>
          <w:rFonts w:asciiTheme="minorHAnsi" w:hAnsiTheme="minorHAnsi" w:cstheme="minorHAnsi"/>
          <w:i/>
          <w:szCs w:val="20"/>
        </w:rPr>
      </w:pPr>
      <w:r w:rsidRPr="00B27BF8">
        <w:rPr>
          <w:rFonts w:asciiTheme="minorHAnsi" w:hAnsiTheme="minorHAnsi" w:cstheme="minorHAnsi"/>
          <w:i/>
          <w:szCs w:val="20"/>
        </w:rPr>
        <w:t xml:space="preserve">When undertaking an evaluation of an intervention X that is </w:t>
      </w:r>
      <w:r w:rsidRPr="00B27BF8">
        <w:rPr>
          <w:rFonts w:asciiTheme="minorHAnsi" w:hAnsiTheme="minorHAnsi" w:cstheme="minorHAnsi"/>
          <w:i/>
          <w:szCs w:val="20"/>
          <w:u w:val="single"/>
        </w:rPr>
        <w:t>not</w:t>
      </w:r>
      <w:r w:rsidRPr="00B27BF8">
        <w:rPr>
          <w:rFonts w:asciiTheme="minorHAnsi" w:hAnsiTheme="minorHAnsi" w:cstheme="minorHAnsi"/>
          <w:i/>
          <w:szCs w:val="20"/>
        </w:rPr>
        <w:t xml:space="preserve"> currently funded, ‘standard of care’ is usually taken to mean ‘no intervention X’</w:t>
      </w:r>
      <w:r w:rsidR="00186509" w:rsidRPr="00B27BF8">
        <w:rPr>
          <w:rFonts w:asciiTheme="minorHAnsi" w:hAnsiTheme="minorHAnsi" w:cstheme="minorHAnsi"/>
          <w:i/>
          <w:szCs w:val="20"/>
        </w:rPr>
        <w:t>.</w:t>
      </w:r>
      <w:r w:rsidRPr="00B27BF8">
        <w:rPr>
          <w:rFonts w:asciiTheme="minorHAnsi" w:hAnsiTheme="minorHAnsi" w:cstheme="minorHAnsi"/>
          <w:i/>
          <w:szCs w:val="20"/>
        </w:rPr>
        <w:t xml:space="preserve"> However, IgG replacement therapy has been funded for this indication for more than ten years, so the current standard of care in Australia is ‘IgG repla</w:t>
      </w:r>
      <w:r w:rsidR="00305F7B" w:rsidRPr="00B27BF8">
        <w:rPr>
          <w:rFonts w:asciiTheme="minorHAnsi" w:hAnsiTheme="minorHAnsi" w:cstheme="minorHAnsi"/>
          <w:i/>
          <w:szCs w:val="20"/>
        </w:rPr>
        <w:t>cement therapy; with or without antibiotics</w:t>
      </w:r>
      <w:r w:rsidRPr="00B27BF8">
        <w:rPr>
          <w:rFonts w:asciiTheme="minorHAnsi" w:hAnsiTheme="minorHAnsi" w:cstheme="minorHAnsi"/>
          <w:i/>
          <w:szCs w:val="20"/>
        </w:rPr>
        <w:t>’</w:t>
      </w:r>
      <w:r w:rsidR="00186509" w:rsidRPr="00B27BF8">
        <w:rPr>
          <w:rFonts w:asciiTheme="minorHAnsi" w:hAnsiTheme="minorHAnsi" w:cstheme="minorHAnsi"/>
          <w:i/>
          <w:szCs w:val="20"/>
        </w:rPr>
        <w:t xml:space="preserve">. </w:t>
      </w:r>
      <w:r w:rsidRPr="00B27BF8">
        <w:rPr>
          <w:rFonts w:asciiTheme="minorHAnsi" w:hAnsiTheme="minorHAnsi" w:cstheme="minorHAnsi"/>
          <w:i/>
          <w:szCs w:val="20"/>
        </w:rPr>
        <w:t xml:space="preserve">Thus, the standard of care is the intervention under evaluation (and the comparator </w:t>
      </w:r>
      <w:r w:rsidR="00BB0F80" w:rsidRPr="00B27BF8">
        <w:rPr>
          <w:rFonts w:asciiTheme="minorHAnsi" w:hAnsiTheme="minorHAnsi" w:cstheme="minorHAnsi"/>
          <w:i/>
          <w:szCs w:val="20"/>
        </w:rPr>
        <w:t>would be</w:t>
      </w:r>
      <w:r w:rsidRPr="00B27BF8">
        <w:rPr>
          <w:rFonts w:asciiTheme="minorHAnsi" w:hAnsiTheme="minorHAnsi" w:cstheme="minorHAnsi"/>
          <w:i/>
          <w:szCs w:val="20"/>
        </w:rPr>
        <w:t xml:space="preserve"> ‘No IgG access; </w:t>
      </w:r>
      <w:r w:rsidR="00305F7B" w:rsidRPr="00B27BF8">
        <w:rPr>
          <w:rFonts w:asciiTheme="minorHAnsi" w:hAnsiTheme="minorHAnsi" w:cstheme="minorHAnsi"/>
          <w:i/>
          <w:szCs w:val="20"/>
        </w:rPr>
        <w:t xml:space="preserve">with or without </w:t>
      </w:r>
      <w:r w:rsidRPr="00B27BF8">
        <w:rPr>
          <w:rFonts w:asciiTheme="minorHAnsi" w:hAnsiTheme="minorHAnsi" w:cstheme="minorHAnsi"/>
          <w:i/>
          <w:szCs w:val="20"/>
        </w:rPr>
        <w:t>antibiotics’)</w:t>
      </w:r>
      <w:r w:rsidR="00186509" w:rsidRPr="00B27BF8">
        <w:rPr>
          <w:rFonts w:asciiTheme="minorHAnsi" w:hAnsiTheme="minorHAnsi" w:cstheme="minorHAnsi"/>
          <w:i/>
          <w:szCs w:val="20"/>
        </w:rPr>
        <w:t>.</w:t>
      </w:r>
    </w:p>
    <w:p w14:paraId="3E5126C5" w14:textId="77777777" w:rsidR="004A3BA5" w:rsidRPr="00B27BF8" w:rsidRDefault="004A3BA5" w:rsidP="004A3BA5">
      <w:pPr>
        <w:rPr>
          <w:rFonts w:asciiTheme="minorHAnsi" w:hAnsiTheme="minorHAnsi" w:cstheme="minorHAnsi"/>
          <w:i/>
        </w:rPr>
      </w:pPr>
      <w:r w:rsidRPr="00B27BF8">
        <w:rPr>
          <w:rFonts w:asciiTheme="minorHAnsi" w:hAnsiTheme="minorHAnsi" w:cstheme="minorHAnsi"/>
          <w:i/>
        </w:rPr>
        <w:t>IgG replacement and antibiotics are used for slightly different purposes</w:t>
      </w:r>
      <w:r w:rsidR="00186509" w:rsidRPr="00B27BF8">
        <w:rPr>
          <w:rFonts w:asciiTheme="minorHAnsi" w:hAnsiTheme="minorHAnsi" w:cstheme="minorHAnsi"/>
          <w:i/>
        </w:rPr>
        <w:t xml:space="preserve">. </w:t>
      </w:r>
      <w:r w:rsidRPr="00B27BF8">
        <w:rPr>
          <w:rFonts w:asciiTheme="minorHAnsi" w:hAnsiTheme="minorHAnsi" w:cstheme="minorHAnsi"/>
          <w:i/>
        </w:rPr>
        <w:t>Antibiotics are prescribed per episode and treatment aims to resolve the current infection</w:t>
      </w:r>
      <w:r w:rsidR="00186509" w:rsidRPr="00B27BF8">
        <w:rPr>
          <w:rFonts w:asciiTheme="minorHAnsi" w:hAnsiTheme="minorHAnsi" w:cstheme="minorHAnsi"/>
          <w:i/>
        </w:rPr>
        <w:t xml:space="preserve">. </w:t>
      </w:r>
      <w:r w:rsidR="00CB292A" w:rsidRPr="00B27BF8">
        <w:rPr>
          <w:rFonts w:asciiTheme="minorHAnsi" w:hAnsiTheme="minorHAnsi" w:cstheme="minorHAnsi"/>
          <w:i/>
        </w:rPr>
        <w:t xml:space="preserve">Antibiotic use may be prophylactic (in the absence of clinical signs of infection) or on demand (prn). </w:t>
      </w:r>
      <w:r w:rsidRPr="00B27BF8">
        <w:rPr>
          <w:rFonts w:asciiTheme="minorHAnsi" w:hAnsiTheme="minorHAnsi" w:cstheme="minorHAnsi"/>
          <w:i/>
        </w:rPr>
        <w:t>IgG is indicated in patients with hypogammaglobulinaemia and a history of infections and aims to reduce the incidence of infections</w:t>
      </w:r>
      <w:r w:rsidR="00186509" w:rsidRPr="00B27BF8">
        <w:rPr>
          <w:rFonts w:asciiTheme="minorHAnsi" w:hAnsiTheme="minorHAnsi" w:cstheme="minorHAnsi"/>
          <w:i/>
        </w:rPr>
        <w:t>.</w:t>
      </w:r>
    </w:p>
    <w:p w14:paraId="4A491AD3" w14:textId="77777777" w:rsidR="00375FD1" w:rsidRPr="00B27BF8" w:rsidRDefault="00375FD1" w:rsidP="004A3BA5">
      <w:pPr>
        <w:rPr>
          <w:rFonts w:asciiTheme="minorHAnsi" w:hAnsiTheme="minorHAnsi" w:cstheme="minorHAnsi"/>
        </w:rPr>
      </w:pPr>
      <w:r w:rsidRPr="00B27BF8">
        <w:rPr>
          <w:rFonts w:asciiTheme="minorHAnsi" w:hAnsiTheme="minorHAnsi" w:cstheme="minorHAnsi"/>
          <w:u w:val="single"/>
        </w:rPr>
        <w:t>List of products</w:t>
      </w:r>
    </w:p>
    <w:p w14:paraId="7196E086" w14:textId="516A2068" w:rsidR="00AF480C" w:rsidRPr="00B27BF8" w:rsidRDefault="004C41E0" w:rsidP="00680C20">
      <w:pPr>
        <w:spacing w:after="0"/>
        <w:rPr>
          <w:rFonts w:asciiTheme="minorHAnsi" w:hAnsiTheme="minorHAnsi" w:cstheme="minorHAnsi"/>
        </w:rPr>
      </w:pPr>
      <w:r w:rsidRPr="00B27BF8">
        <w:rPr>
          <w:rFonts w:asciiTheme="minorHAnsi" w:hAnsiTheme="minorHAnsi" w:cstheme="minorHAnsi"/>
        </w:rPr>
        <w:t>IgG products (</w:t>
      </w:r>
      <w:r w:rsidR="00285A00" w:rsidRPr="00B27BF8">
        <w:rPr>
          <w:rFonts w:asciiTheme="minorHAnsi" w:hAnsiTheme="minorHAnsi" w:cstheme="minorHAnsi"/>
        </w:rPr>
        <w:t>IVIg</w:t>
      </w:r>
      <w:r w:rsidR="00CB292A" w:rsidRPr="00B27BF8">
        <w:rPr>
          <w:rFonts w:asciiTheme="minorHAnsi" w:hAnsiTheme="minorHAnsi" w:cstheme="minorHAnsi"/>
        </w:rPr>
        <w:t xml:space="preserve"> and</w:t>
      </w:r>
      <w:r w:rsidR="00285A00" w:rsidRPr="00B27BF8">
        <w:rPr>
          <w:rFonts w:asciiTheme="minorHAnsi" w:hAnsiTheme="minorHAnsi" w:cstheme="minorHAnsi"/>
        </w:rPr>
        <w:t xml:space="preserve"> SCIg</w:t>
      </w:r>
      <w:r w:rsidRPr="00B27BF8">
        <w:rPr>
          <w:rFonts w:asciiTheme="minorHAnsi" w:hAnsiTheme="minorHAnsi" w:cstheme="minorHAnsi"/>
        </w:rPr>
        <w:t>)</w:t>
      </w:r>
      <w:r w:rsidR="00285A00" w:rsidRPr="00B27BF8">
        <w:rPr>
          <w:rFonts w:asciiTheme="minorHAnsi" w:hAnsiTheme="minorHAnsi" w:cstheme="minorHAnsi"/>
        </w:rPr>
        <w:t xml:space="preserve"> are purified from fractionated human donor plasma, formulated to contain the desired concentration of IgG</w:t>
      </w:r>
      <w:r w:rsidR="008327A7" w:rsidRPr="00B27BF8">
        <w:rPr>
          <w:rFonts w:asciiTheme="minorHAnsi" w:hAnsiTheme="minorHAnsi" w:cstheme="minorHAnsi"/>
        </w:rPr>
        <w:t xml:space="preserve"> </w:t>
      </w:r>
      <w:r w:rsidR="00285A00" w:rsidRPr="00B27BF8">
        <w:rPr>
          <w:rFonts w:asciiTheme="minorHAnsi" w:hAnsiTheme="minorHAnsi" w:cstheme="minorHAnsi"/>
        </w:rPr>
        <w:t>as active substance</w:t>
      </w:r>
      <w:r w:rsidR="00186509" w:rsidRPr="00B27BF8">
        <w:rPr>
          <w:rFonts w:asciiTheme="minorHAnsi" w:hAnsiTheme="minorHAnsi" w:cstheme="minorHAnsi"/>
        </w:rPr>
        <w:t xml:space="preserve">. </w:t>
      </w:r>
      <w:r w:rsidR="00680CDC" w:rsidRPr="00B27BF8">
        <w:rPr>
          <w:rFonts w:asciiTheme="minorHAnsi" w:hAnsiTheme="minorHAnsi" w:cstheme="minorHAnsi"/>
        </w:rPr>
        <w:t>A list of all</w:t>
      </w:r>
      <w:r w:rsidR="003F1570" w:rsidRPr="00B27BF8">
        <w:rPr>
          <w:rFonts w:asciiTheme="minorHAnsi" w:hAnsiTheme="minorHAnsi" w:cstheme="minorHAnsi"/>
        </w:rPr>
        <w:t xml:space="preserve"> IgG products currently approved in Australia by the Therapeutic Goods Administration (TGA) and registered on the Australian Register of Therap</w:t>
      </w:r>
      <w:r w:rsidR="00505D6F" w:rsidRPr="00B27BF8">
        <w:rPr>
          <w:rFonts w:asciiTheme="minorHAnsi" w:hAnsiTheme="minorHAnsi" w:cstheme="minorHAnsi"/>
        </w:rPr>
        <w:t xml:space="preserve">eutic Goods (ARTG) is in Table </w:t>
      </w:r>
      <w:r w:rsidR="00186509" w:rsidRPr="00B27BF8">
        <w:rPr>
          <w:rFonts w:asciiTheme="minorHAnsi" w:hAnsiTheme="minorHAnsi" w:cstheme="minorHAnsi"/>
        </w:rPr>
        <w:t>3.</w:t>
      </w:r>
      <w:r w:rsidR="003F1570" w:rsidRPr="00B27BF8">
        <w:rPr>
          <w:rFonts w:asciiTheme="minorHAnsi" w:hAnsiTheme="minorHAnsi" w:cstheme="minorHAnsi"/>
        </w:rPr>
        <w:t xml:space="preserve"> </w:t>
      </w:r>
      <w:r w:rsidR="00680CDC" w:rsidRPr="00B27BF8">
        <w:rPr>
          <w:rFonts w:asciiTheme="minorHAnsi" w:hAnsiTheme="minorHAnsi" w:cstheme="minorHAnsi"/>
        </w:rPr>
        <w:t>This does not include products manufactured from hyperimmune plasma</w:t>
      </w:r>
      <w:r w:rsidR="00186509" w:rsidRPr="00B27BF8">
        <w:rPr>
          <w:rFonts w:asciiTheme="minorHAnsi" w:hAnsiTheme="minorHAnsi" w:cstheme="minorHAnsi"/>
        </w:rPr>
        <w:t>.</w:t>
      </w:r>
      <w:r w:rsidR="00A75F38">
        <w:rPr>
          <w:rStyle w:val="FootnoteReference"/>
          <w:rFonts w:asciiTheme="minorHAnsi" w:hAnsiTheme="minorHAnsi" w:cstheme="minorHAnsi"/>
        </w:rPr>
        <w:footnoteReference w:id="6"/>
      </w:r>
      <w:r w:rsidR="00CD225E">
        <w:rPr>
          <w:rFonts w:asciiTheme="minorHAnsi" w:hAnsiTheme="minorHAnsi" w:cstheme="minorHAnsi"/>
        </w:rPr>
        <w:t>*</w:t>
      </w:r>
    </w:p>
    <w:p w14:paraId="443066A5" w14:textId="77777777" w:rsidR="003F1570" w:rsidRPr="00B27BF8" w:rsidRDefault="003F1570" w:rsidP="00680C20">
      <w:pPr>
        <w:spacing w:after="0"/>
        <w:rPr>
          <w:rFonts w:asciiTheme="minorHAnsi" w:hAnsiTheme="minorHAnsi" w:cstheme="minorHAnsi"/>
        </w:rPr>
      </w:pPr>
    </w:p>
    <w:p w14:paraId="0FDEAC6C" w14:textId="77777777" w:rsidR="00680C20" w:rsidRPr="00B27BF8" w:rsidRDefault="00505D6F" w:rsidP="00334E46">
      <w:pPr>
        <w:keepNext/>
        <w:spacing w:after="0"/>
        <w:rPr>
          <w:rFonts w:asciiTheme="minorHAnsi" w:hAnsiTheme="minorHAnsi" w:cstheme="minorHAnsi"/>
          <w:b/>
          <w:szCs w:val="20"/>
        </w:rPr>
      </w:pPr>
      <w:r w:rsidRPr="00B27BF8">
        <w:rPr>
          <w:rFonts w:asciiTheme="minorHAnsi" w:hAnsiTheme="minorHAnsi" w:cstheme="minorHAnsi"/>
          <w:b/>
          <w:szCs w:val="20"/>
        </w:rPr>
        <w:t xml:space="preserve">Table </w:t>
      </w:r>
      <w:r w:rsidR="00186509" w:rsidRPr="00B27BF8">
        <w:rPr>
          <w:rFonts w:asciiTheme="minorHAnsi" w:hAnsiTheme="minorHAnsi" w:cstheme="minorHAnsi"/>
          <w:b/>
          <w:szCs w:val="20"/>
        </w:rPr>
        <w:t>3</w:t>
      </w:r>
      <w:r w:rsidRPr="00B27BF8">
        <w:rPr>
          <w:rFonts w:asciiTheme="minorHAnsi" w:hAnsiTheme="minorHAnsi" w:cstheme="minorHAnsi"/>
          <w:b/>
          <w:szCs w:val="20"/>
        </w:rPr>
        <w:t>:</w:t>
      </w:r>
      <w:r w:rsidR="003F4EFD" w:rsidRPr="00B27BF8">
        <w:rPr>
          <w:rFonts w:asciiTheme="minorHAnsi" w:hAnsiTheme="minorHAnsi" w:cstheme="minorHAnsi"/>
          <w:b/>
          <w:szCs w:val="20"/>
        </w:rPr>
        <w:t xml:space="preserve"> </w:t>
      </w:r>
      <w:r w:rsidR="00680C20" w:rsidRPr="00B27BF8">
        <w:rPr>
          <w:rFonts w:asciiTheme="minorHAnsi" w:hAnsiTheme="minorHAnsi" w:cstheme="minorHAnsi"/>
          <w:b/>
          <w:szCs w:val="20"/>
        </w:rPr>
        <w:t>Ig</w:t>
      </w:r>
      <w:r w:rsidR="00680CDC" w:rsidRPr="00B27BF8">
        <w:rPr>
          <w:rFonts w:asciiTheme="minorHAnsi" w:hAnsiTheme="minorHAnsi" w:cstheme="minorHAnsi"/>
          <w:b/>
          <w:szCs w:val="20"/>
        </w:rPr>
        <w:t>G</w:t>
      </w:r>
      <w:r w:rsidR="00680C20" w:rsidRPr="00B27BF8">
        <w:rPr>
          <w:rFonts w:asciiTheme="minorHAnsi" w:hAnsiTheme="minorHAnsi" w:cstheme="minorHAnsi"/>
          <w:b/>
          <w:szCs w:val="20"/>
        </w:rPr>
        <w:t xml:space="preserve"> products registered on the ARTG for use in Australia</w:t>
      </w:r>
    </w:p>
    <w:tbl>
      <w:tblPr>
        <w:tblStyle w:val="TableGrid"/>
        <w:tblW w:w="0" w:type="auto"/>
        <w:tblInd w:w="108" w:type="dxa"/>
        <w:tblLayout w:type="fixed"/>
        <w:tblLook w:val="04A0" w:firstRow="1" w:lastRow="0" w:firstColumn="1" w:lastColumn="0" w:noHBand="0" w:noVBand="1"/>
        <w:tblCaption w:val="Table 3 decribes IgG products registered on the ARTG for use in Australia"/>
      </w:tblPr>
      <w:tblGrid>
        <w:gridCol w:w="2694"/>
        <w:gridCol w:w="1872"/>
        <w:gridCol w:w="2284"/>
        <w:gridCol w:w="2284"/>
      </w:tblGrid>
      <w:tr w:rsidR="00AF480C" w:rsidRPr="00B27BF8" w14:paraId="623901A3" w14:textId="77777777" w:rsidTr="00313550">
        <w:trPr>
          <w:tblHeader/>
        </w:trPr>
        <w:tc>
          <w:tcPr>
            <w:tcW w:w="2694" w:type="dxa"/>
          </w:tcPr>
          <w:p w14:paraId="6C8974F6" w14:textId="77777777" w:rsidR="00AF480C" w:rsidRPr="00B27BF8" w:rsidRDefault="00AF480C" w:rsidP="00334E46">
            <w:pPr>
              <w:keepNext/>
              <w:rPr>
                <w:rFonts w:asciiTheme="minorHAnsi" w:hAnsiTheme="minorHAnsi" w:cstheme="minorHAnsi"/>
                <w:b/>
                <w:sz w:val="20"/>
                <w:szCs w:val="20"/>
              </w:rPr>
            </w:pPr>
            <w:r w:rsidRPr="00B27BF8">
              <w:rPr>
                <w:rFonts w:asciiTheme="minorHAnsi" w:hAnsiTheme="minorHAnsi" w:cstheme="minorHAnsi"/>
                <w:b/>
                <w:sz w:val="20"/>
                <w:szCs w:val="20"/>
              </w:rPr>
              <w:t>Product</w:t>
            </w:r>
          </w:p>
        </w:tc>
        <w:tc>
          <w:tcPr>
            <w:tcW w:w="1872" w:type="dxa"/>
          </w:tcPr>
          <w:p w14:paraId="7058F760" w14:textId="77777777" w:rsidR="00AF480C" w:rsidRPr="00B27BF8" w:rsidRDefault="00AF480C" w:rsidP="00D07F09">
            <w:pPr>
              <w:keepNext/>
              <w:rPr>
                <w:rFonts w:asciiTheme="minorHAnsi" w:hAnsiTheme="minorHAnsi" w:cstheme="minorHAnsi"/>
                <w:b/>
                <w:sz w:val="20"/>
                <w:szCs w:val="20"/>
              </w:rPr>
            </w:pPr>
            <w:r w:rsidRPr="00B27BF8">
              <w:rPr>
                <w:rFonts w:asciiTheme="minorHAnsi" w:hAnsiTheme="minorHAnsi" w:cstheme="minorHAnsi"/>
                <w:b/>
                <w:sz w:val="20"/>
                <w:szCs w:val="20"/>
              </w:rPr>
              <w:t>Sponsor</w:t>
            </w:r>
          </w:p>
        </w:tc>
        <w:tc>
          <w:tcPr>
            <w:tcW w:w="2284" w:type="dxa"/>
          </w:tcPr>
          <w:p w14:paraId="20172160" w14:textId="77777777" w:rsidR="00AF480C" w:rsidRPr="00B27BF8" w:rsidRDefault="00AF480C" w:rsidP="00D07F09">
            <w:pPr>
              <w:keepNext/>
              <w:rPr>
                <w:rFonts w:asciiTheme="minorHAnsi" w:hAnsiTheme="minorHAnsi" w:cstheme="minorHAnsi"/>
                <w:b/>
                <w:sz w:val="20"/>
                <w:szCs w:val="20"/>
              </w:rPr>
            </w:pPr>
            <w:r w:rsidRPr="00B27BF8">
              <w:rPr>
                <w:rFonts w:asciiTheme="minorHAnsi" w:hAnsiTheme="minorHAnsi" w:cstheme="minorHAnsi"/>
                <w:b/>
                <w:sz w:val="20"/>
                <w:szCs w:val="20"/>
              </w:rPr>
              <w:t>Route of Administration</w:t>
            </w:r>
          </w:p>
        </w:tc>
        <w:tc>
          <w:tcPr>
            <w:tcW w:w="2284" w:type="dxa"/>
          </w:tcPr>
          <w:p w14:paraId="32683153" w14:textId="336ED6DB" w:rsidR="00AF480C" w:rsidRPr="00B27BF8" w:rsidRDefault="00AF480C" w:rsidP="00D07F09">
            <w:pPr>
              <w:keepNext/>
              <w:ind w:left="34"/>
              <w:rPr>
                <w:rFonts w:asciiTheme="minorHAnsi" w:hAnsiTheme="minorHAnsi" w:cstheme="minorHAnsi"/>
                <w:b/>
                <w:sz w:val="20"/>
                <w:szCs w:val="20"/>
              </w:rPr>
            </w:pPr>
            <w:r w:rsidRPr="00B27BF8">
              <w:rPr>
                <w:rFonts w:asciiTheme="minorHAnsi" w:hAnsiTheme="minorHAnsi" w:cstheme="minorHAnsi"/>
                <w:b/>
                <w:sz w:val="20"/>
                <w:szCs w:val="20"/>
              </w:rPr>
              <w:t>NBA Funded</w:t>
            </w:r>
            <w:r w:rsidR="00FA0842" w:rsidRPr="00B27BF8">
              <w:rPr>
                <w:rFonts w:asciiTheme="minorHAnsi" w:hAnsiTheme="minorHAnsi" w:cstheme="minorHAnsi"/>
                <w:b/>
                <w:sz w:val="20"/>
                <w:szCs w:val="20"/>
                <w:vertAlign w:val="superscript"/>
              </w:rPr>
              <w:t>*</w:t>
            </w:r>
          </w:p>
        </w:tc>
      </w:tr>
      <w:tr w:rsidR="00AF480C" w:rsidRPr="00B27BF8" w14:paraId="3DE729B0" w14:textId="77777777" w:rsidTr="00CB292A">
        <w:tc>
          <w:tcPr>
            <w:tcW w:w="2694" w:type="dxa"/>
          </w:tcPr>
          <w:p w14:paraId="4000A4CE"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Intragam 10</w:t>
            </w:r>
          </w:p>
        </w:tc>
        <w:tc>
          <w:tcPr>
            <w:tcW w:w="1872" w:type="dxa"/>
          </w:tcPr>
          <w:p w14:paraId="73BF3D76"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CSL Behring</w:t>
            </w:r>
          </w:p>
        </w:tc>
        <w:tc>
          <w:tcPr>
            <w:tcW w:w="2284" w:type="dxa"/>
          </w:tcPr>
          <w:p w14:paraId="0AA5D4C7"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IV</w:t>
            </w:r>
          </w:p>
        </w:tc>
        <w:tc>
          <w:tcPr>
            <w:tcW w:w="2284" w:type="dxa"/>
          </w:tcPr>
          <w:p w14:paraId="16E081FB"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Yes</w:t>
            </w:r>
          </w:p>
        </w:tc>
      </w:tr>
      <w:tr w:rsidR="00AF480C" w:rsidRPr="00B27BF8" w14:paraId="669B7C6B" w14:textId="77777777" w:rsidTr="00CB292A">
        <w:tc>
          <w:tcPr>
            <w:tcW w:w="2694" w:type="dxa"/>
          </w:tcPr>
          <w:p w14:paraId="683724EB"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Privigen 10%</w:t>
            </w:r>
          </w:p>
        </w:tc>
        <w:tc>
          <w:tcPr>
            <w:tcW w:w="1872" w:type="dxa"/>
          </w:tcPr>
          <w:p w14:paraId="26903F5D"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CSL Behring</w:t>
            </w:r>
          </w:p>
        </w:tc>
        <w:tc>
          <w:tcPr>
            <w:tcW w:w="2284" w:type="dxa"/>
          </w:tcPr>
          <w:p w14:paraId="06DB8D28"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IV</w:t>
            </w:r>
          </w:p>
        </w:tc>
        <w:tc>
          <w:tcPr>
            <w:tcW w:w="2284" w:type="dxa"/>
          </w:tcPr>
          <w:p w14:paraId="2FC2FE1D"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Yes</w:t>
            </w:r>
          </w:p>
        </w:tc>
      </w:tr>
      <w:tr w:rsidR="00AF480C" w:rsidRPr="00B27BF8" w14:paraId="6CC96CB7" w14:textId="77777777" w:rsidTr="00CB292A">
        <w:tc>
          <w:tcPr>
            <w:tcW w:w="2694" w:type="dxa"/>
          </w:tcPr>
          <w:p w14:paraId="7601058F" w14:textId="77777777" w:rsidR="00AF480C" w:rsidRPr="00B27BF8" w:rsidRDefault="00AF480C" w:rsidP="00AF480C">
            <w:pPr>
              <w:rPr>
                <w:rFonts w:asciiTheme="minorHAnsi" w:hAnsiTheme="minorHAnsi" w:cstheme="minorHAnsi"/>
                <w:b/>
                <w:sz w:val="20"/>
                <w:szCs w:val="20"/>
              </w:rPr>
            </w:pPr>
            <w:r w:rsidRPr="00B27BF8">
              <w:rPr>
                <w:rFonts w:asciiTheme="minorHAnsi" w:hAnsiTheme="minorHAnsi" w:cstheme="minorHAnsi"/>
                <w:sz w:val="20"/>
                <w:szCs w:val="20"/>
              </w:rPr>
              <w:t xml:space="preserve">Hizentra </w:t>
            </w:r>
          </w:p>
        </w:tc>
        <w:tc>
          <w:tcPr>
            <w:tcW w:w="1872" w:type="dxa"/>
          </w:tcPr>
          <w:p w14:paraId="203F4659"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CSL Behring</w:t>
            </w:r>
          </w:p>
        </w:tc>
        <w:tc>
          <w:tcPr>
            <w:tcW w:w="2284" w:type="dxa"/>
          </w:tcPr>
          <w:p w14:paraId="367A8080"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SC</w:t>
            </w:r>
          </w:p>
        </w:tc>
        <w:tc>
          <w:tcPr>
            <w:tcW w:w="2284" w:type="dxa"/>
          </w:tcPr>
          <w:p w14:paraId="14A082DF"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Yes</w:t>
            </w:r>
          </w:p>
        </w:tc>
      </w:tr>
      <w:tr w:rsidR="00AF480C" w:rsidRPr="00B27BF8" w14:paraId="2E8F3D78" w14:textId="77777777" w:rsidTr="00CB292A">
        <w:tc>
          <w:tcPr>
            <w:tcW w:w="2694" w:type="dxa"/>
          </w:tcPr>
          <w:p w14:paraId="065CA22B" w14:textId="77777777" w:rsidR="00AF480C" w:rsidRPr="00B27BF8" w:rsidRDefault="00AF480C" w:rsidP="00AF480C">
            <w:pPr>
              <w:rPr>
                <w:rFonts w:asciiTheme="minorHAnsi" w:hAnsiTheme="minorHAnsi" w:cstheme="minorHAnsi"/>
                <w:b/>
                <w:sz w:val="20"/>
                <w:szCs w:val="20"/>
              </w:rPr>
            </w:pPr>
            <w:r w:rsidRPr="00B27BF8">
              <w:rPr>
                <w:rFonts w:asciiTheme="minorHAnsi" w:hAnsiTheme="minorHAnsi" w:cstheme="minorHAnsi"/>
                <w:sz w:val="20"/>
                <w:szCs w:val="20"/>
              </w:rPr>
              <w:t>Gamunex 10%</w:t>
            </w:r>
          </w:p>
        </w:tc>
        <w:tc>
          <w:tcPr>
            <w:tcW w:w="1872" w:type="dxa"/>
          </w:tcPr>
          <w:p w14:paraId="2AC5FE80"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 xml:space="preserve">Grifols </w:t>
            </w:r>
          </w:p>
        </w:tc>
        <w:tc>
          <w:tcPr>
            <w:tcW w:w="2284" w:type="dxa"/>
          </w:tcPr>
          <w:p w14:paraId="08C134CB"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IV and SC</w:t>
            </w:r>
          </w:p>
        </w:tc>
        <w:tc>
          <w:tcPr>
            <w:tcW w:w="2284" w:type="dxa"/>
          </w:tcPr>
          <w:p w14:paraId="7712FD60"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No</w:t>
            </w:r>
          </w:p>
        </w:tc>
      </w:tr>
      <w:tr w:rsidR="00AF480C" w:rsidRPr="00B27BF8" w14:paraId="57971CC3" w14:textId="77777777" w:rsidTr="00CB292A">
        <w:tc>
          <w:tcPr>
            <w:tcW w:w="2694" w:type="dxa"/>
          </w:tcPr>
          <w:p w14:paraId="4835E628"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Flebogamma 10%</w:t>
            </w:r>
          </w:p>
        </w:tc>
        <w:tc>
          <w:tcPr>
            <w:tcW w:w="1872" w:type="dxa"/>
          </w:tcPr>
          <w:p w14:paraId="56CB63E6"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 xml:space="preserve">Grifols </w:t>
            </w:r>
          </w:p>
        </w:tc>
        <w:tc>
          <w:tcPr>
            <w:tcW w:w="2284" w:type="dxa"/>
          </w:tcPr>
          <w:p w14:paraId="53C44073"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IV</w:t>
            </w:r>
          </w:p>
        </w:tc>
        <w:tc>
          <w:tcPr>
            <w:tcW w:w="2284" w:type="dxa"/>
          </w:tcPr>
          <w:p w14:paraId="2AE96A13"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Yes</w:t>
            </w:r>
          </w:p>
        </w:tc>
      </w:tr>
      <w:tr w:rsidR="00AF480C" w:rsidRPr="00B27BF8" w14:paraId="1663AEEB" w14:textId="77777777" w:rsidTr="00CB292A">
        <w:tc>
          <w:tcPr>
            <w:tcW w:w="2694" w:type="dxa"/>
          </w:tcPr>
          <w:p w14:paraId="5B375814"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Flebogamma 5%</w:t>
            </w:r>
          </w:p>
        </w:tc>
        <w:tc>
          <w:tcPr>
            <w:tcW w:w="1872" w:type="dxa"/>
          </w:tcPr>
          <w:p w14:paraId="753ADF0A"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 xml:space="preserve">Grifols </w:t>
            </w:r>
          </w:p>
        </w:tc>
        <w:tc>
          <w:tcPr>
            <w:tcW w:w="2284" w:type="dxa"/>
          </w:tcPr>
          <w:p w14:paraId="6E8B726C"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IV</w:t>
            </w:r>
          </w:p>
        </w:tc>
        <w:tc>
          <w:tcPr>
            <w:tcW w:w="2284" w:type="dxa"/>
          </w:tcPr>
          <w:p w14:paraId="76B199BC"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Yes</w:t>
            </w:r>
          </w:p>
        </w:tc>
      </w:tr>
      <w:tr w:rsidR="00AF480C" w:rsidRPr="00B27BF8" w14:paraId="42601F14" w14:textId="77777777" w:rsidTr="00CB292A">
        <w:tc>
          <w:tcPr>
            <w:tcW w:w="2694" w:type="dxa"/>
          </w:tcPr>
          <w:p w14:paraId="093A3D53" w14:textId="77777777" w:rsidR="00AF480C" w:rsidRPr="00B27BF8" w:rsidRDefault="00AF480C" w:rsidP="00AF480C">
            <w:pPr>
              <w:rPr>
                <w:rFonts w:asciiTheme="minorHAnsi" w:hAnsiTheme="minorHAnsi" w:cstheme="minorHAnsi"/>
                <w:i/>
                <w:sz w:val="20"/>
                <w:szCs w:val="20"/>
              </w:rPr>
            </w:pPr>
            <w:r w:rsidRPr="00B27BF8">
              <w:rPr>
                <w:rFonts w:asciiTheme="minorHAnsi" w:hAnsiTheme="minorHAnsi" w:cstheme="minorHAnsi"/>
                <w:i/>
                <w:sz w:val="20"/>
                <w:szCs w:val="20"/>
              </w:rPr>
              <w:t>Intragam P</w:t>
            </w:r>
          </w:p>
        </w:tc>
        <w:tc>
          <w:tcPr>
            <w:tcW w:w="1872" w:type="dxa"/>
          </w:tcPr>
          <w:p w14:paraId="1A4F455D" w14:textId="77777777" w:rsidR="00AF480C" w:rsidRPr="00B27BF8" w:rsidRDefault="00AF480C" w:rsidP="00AF480C">
            <w:pPr>
              <w:jc w:val="center"/>
              <w:rPr>
                <w:rFonts w:asciiTheme="minorHAnsi" w:hAnsiTheme="minorHAnsi" w:cstheme="minorHAnsi"/>
                <w:i/>
                <w:sz w:val="20"/>
                <w:szCs w:val="20"/>
              </w:rPr>
            </w:pPr>
            <w:r w:rsidRPr="00B27BF8">
              <w:rPr>
                <w:rFonts w:asciiTheme="minorHAnsi" w:hAnsiTheme="minorHAnsi" w:cstheme="minorHAnsi"/>
                <w:i/>
                <w:sz w:val="20"/>
                <w:szCs w:val="20"/>
              </w:rPr>
              <w:t>CSL Behring</w:t>
            </w:r>
          </w:p>
        </w:tc>
        <w:tc>
          <w:tcPr>
            <w:tcW w:w="2284" w:type="dxa"/>
          </w:tcPr>
          <w:p w14:paraId="6E24BAB4" w14:textId="77777777" w:rsidR="00AF480C" w:rsidRPr="00B27BF8" w:rsidRDefault="00AF480C" w:rsidP="00AF480C">
            <w:pPr>
              <w:jc w:val="center"/>
              <w:rPr>
                <w:rFonts w:asciiTheme="minorHAnsi" w:hAnsiTheme="minorHAnsi" w:cstheme="minorHAnsi"/>
                <w:i/>
                <w:sz w:val="20"/>
                <w:szCs w:val="20"/>
              </w:rPr>
            </w:pPr>
            <w:r w:rsidRPr="00B27BF8">
              <w:rPr>
                <w:rFonts w:asciiTheme="minorHAnsi" w:hAnsiTheme="minorHAnsi" w:cstheme="minorHAnsi"/>
                <w:i/>
                <w:sz w:val="20"/>
                <w:szCs w:val="20"/>
              </w:rPr>
              <w:t>IV</w:t>
            </w:r>
          </w:p>
        </w:tc>
        <w:tc>
          <w:tcPr>
            <w:tcW w:w="2284" w:type="dxa"/>
          </w:tcPr>
          <w:p w14:paraId="121B74E5" w14:textId="77777777" w:rsidR="00AF480C" w:rsidRPr="00B27BF8" w:rsidRDefault="00AF480C" w:rsidP="00150029">
            <w:pPr>
              <w:ind w:left="34"/>
              <w:jc w:val="center"/>
              <w:rPr>
                <w:rFonts w:asciiTheme="minorHAnsi" w:hAnsiTheme="minorHAnsi" w:cstheme="minorHAnsi"/>
                <w:i/>
                <w:sz w:val="20"/>
                <w:szCs w:val="20"/>
              </w:rPr>
            </w:pPr>
            <w:r w:rsidRPr="00B27BF8">
              <w:rPr>
                <w:rFonts w:asciiTheme="minorHAnsi" w:hAnsiTheme="minorHAnsi" w:cstheme="minorHAnsi"/>
                <w:i/>
                <w:sz w:val="20"/>
                <w:szCs w:val="20"/>
              </w:rPr>
              <w:t>Yes</w:t>
            </w:r>
            <w:r w:rsidR="00CB292A" w:rsidRPr="00B27BF8">
              <w:rPr>
                <w:rFonts w:asciiTheme="minorHAnsi" w:hAnsiTheme="minorHAnsi" w:cstheme="minorHAnsi"/>
                <w:i/>
                <w:sz w:val="20"/>
                <w:szCs w:val="20"/>
              </w:rPr>
              <w:t xml:space="preserve"> – out of scope**</w:t>
            </w:r>
          </w:p>
        </w:tc>
      </w:tr>
      <w:tr w:rsidR="00AF480C" w:rsidRPr="00B27BF8" w14:paraId="38A1050D" w14:textId="77777777" w:rsidTr="00CB292A">
        <w:tc>
          <w:tcPr>
            <w:tcW w:w="2694" w:type="dxa"/>
          </w:tcPr>
          <w:p w14:paraId="7C950A58"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Evogam</w:t>
            </w:r>
          </w:p>
        </w:tc>
        <w:tc>
          <w:tcPr>
            <w:tcW w:w="1872" w:type="dxa"/>
          </w:tcPr>
          <w:p w14:paraId="7CBAC821"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CSL Behring</w:t>
            </w:r>
          </w:p>
        </w:tc>
        <w:tc>
          <w:tcPr>
            <w:tcW w:w="2284" w:type="dxa"/>
          </w:tcPr>
          <w:p w14:paraId="249C8510"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SC</w:t>
            </w:r>
          </w:p>
        </w:tc>
        <w:tc>
          <w:tcPr>
            <w:tcW w:w="2284" w:type="dxa"/>
          </w:tcPr>
          <w:p w14:paraId="23A98005" w14:textId="77777777" w:rsidR="00AF480C" w:rsidRPr="00B27BF8" w:rsidRDefault="00F1083F" w:rsidP="00150029">
            <w:pPr>
              <w:ind w:left="34"/>
              <w:jc w:val="center"/>
              <w:rPr>
                <w:rFonts w:asciiTheme="minorHAnsi" w:hAnsiTheme="minorHAnsi" w:cstheme="minorHAnsi"/>
                <w:sz w:val="20"/>
                <w:szCs w:val="20"/>
              </w:rPr>
            </w:pPr>
            <w:r>
              <w:rPr>
                <w:rFonts w:asciiTheme="minorHAnsi" w:hAnsiTheme="minorHAnsi" w:cstheme="minorHAnsi"/>
                <w:sz w:val="20"/>
                <w:szCs w:val="20"/>
              </w:rPr>
              <w:t xml:space="preserve">Yes </w:t>
            </w:r>
          </w:p>
        </w:tc>
      </w:tr>
      <w:tr w:rsidR="00AF480C" w:rsidRPr="00B27BF8" w14:paraId="6BAE3643" w14:textId="77777777" w:rsidTr="00CB292A">
        <w:tc>
          <w:tcPr>
            <w:tcW w:w="2694" w:type="dxa"/>
          </w:tcPr>
          <w:p w14:paraId="144B9745"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Panzyga</w:t>
            </w:r>
          </w:p>
        </w:tc>
        <w:tc>
          <w:tcPr>
            <w:tcW w:w="1872" w:type="dxa"/>
          </w:tcPr>
          <w:p w14:paraId="32F6F9D9"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 xml:space="preserve">Octaphama </w:t>
            </w:r>
          </w:p>
        </w:tc>
        <w:tc>
          <w:tcPr>
            <w:tcW w:w="2284" w:type="dxa"/>
          </w:tcPr>
          <w:p w14:paraId="47DBD41F"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IV</w:t>
            </w:r>
          </w:p>
        </w:tc>
        <w:tc>
          <w:tcPr>
            <w:tcW w:w="2284" w:type="dxa"/>
          </w:tcPr>
          <w:p w14:paraId="57657E61"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No</w:t>
            </w:r>
          </w:p>
        </w:tc>
      </w:tr>
      <w:tr w:rsidR="00AF480C" w:rsidRPr="00B27BF8" w14:paraId="40414C76" w14:textId="77777777" w:rsidTr="00CB292A">
        <w:tc>
          <w:tcPr>
            <w:tcW w:w="2694" w:type="dxa"/>
          </w:tcPr>
          <w:p w14:paraId="15649F2E"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Hyqvia</w:t>
            </w:r>
          </w:p>
        </w:tc>
        <w:tc>
          <w:tcPr>
            <w:tcW w:w="1872" w:type="dxa"/>
          </w:tcPr>
          <w:p w14:paraId="503B5E7C"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Shire</w:t>
            </w:r>
          </w:p>
        </w:tc>
        <w:tc>
          <w:tcPr>
            <w:tcW w:w="2284" w:type="dxa"/>
          </w:tcPr>
          <w:p w14:paraId="10A48C6C"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SC</w:t>
            </w:r>
          </w:p>
        </w:tc>
        <w:tc>
          <w:tcPr>
            <w:tcW w:w="2284" w:type="dxa"/>
          </w:tcPr>
          <w:p w14:paraId="13ABC8C1"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No</w:t>
            </w:r>
          </w:p>
        </w:tc>
      </w:tr>
      <w:tr w:rsidR="00AF480C" w:rsidRPr="00B27BF8" w14:paraId="2BF71CB8" w14:textId="77777777" w:rsidTr="00CB292A">
        <w:tc>
          <w:tcPr>
            <w:tcW w:w="2694" w:type="dxa"/>
          </w:tcPr>
          <w:p w14:paraId="241F1520"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Intratect</w:t>
            </w:r>
          </w:p>
        </w:tc>
        <w:tc>
          <w:tcPr>
            <w:tcW w:w="1872" w:type="dxa"/>
          </w:tcPr>
          <w:p w14:paraId="577A2053"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 xml:space="preserve">Pfizer </w:t>
            </w:r>
          </w:p>
        </w:tc>
        <w:tc>
          <w:tcPr>
            <w:tcW w:w="2284" w:type="dxa"/>
          </w:tcPr>
          <w:p w14:paraId="0336F6BC"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IV</w:t>
            </w:r>
          </w:p>
        </w:tc>
        <w:tc>
          <w:tcPr>
            <w:tcW w:w="2284" w:type="dxa"/>
          </w:tcPr>
          <w:p w14:paraId="6EA430F5"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No</w:t>
            </w:r>
          </w:p>
        </w:tc>
      </w:tr>
      <w:tr w:rsidR="00AF480C" w:rsidRPr="00B27BF8" w14:paraId="07F1DC74" w14:textId="77777777" w:rsidTr="00CB292A">
        <w:tc>
          <w:tcPr>
            <w:tcW w:w="2694" w:type="dxa"/>
          </w:tcPr>
          <w:p w14:paraId="42159709"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Intratect 5%</w:t>
            </w:r>
          </w:p>
        </w:tc>
        <w:tc>
          <w:tcPr>
            <w:tcW w:w="1872" w:type="dxa"/>
          </w:tcPr>
          <w:p w14:paraId="51500617"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 xml:space="preserve">Pfizer </w:t>
            </w:r>
          </w:p>
        </w:tc>
        <w:tc>
          <w:tcPr>
            <w:tcW w:w="2284" w:type="dxa"/>
          </w:tcPr>
          <w:p w14:paraId="060687AF"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IV</w:t>
            </w:r>
          </w:p>
        </w:tc>
        <w:tc>
          <w:tcPr>
            <w:tcW w:w="2284" w:type="dxa"/>
          </w:tcPr>
          <w:p w14:paraId="43900A8F"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No</w:t>
            </w:r>
          </w:p>
        </w:tc>
      </w:tr>
      <w:tr w:rsidR="00AF480C" w:rsidRPr="00B27BF8" w14:paraId="3A3337AB" w14:textId="77777777" w:rsidTr="00CB292A">
        <w:tc>
          <w:tcPr>
            <w:tcW w:w="2694" w:type="dxa"/>
          </w:tcPr>
          <w:p w14:paraId="64A31313"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Octagam</w:t>
            </w:r>
          </w:p>
        </w:tc>
        <w:tc>
          <w:tcPr>
            <w:tcW w:w="1872" w:type="dxa"/>
          </w:tcPr>
          <w:p w14:paraId="5F1F9DF0"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 xml:space="preserve">Octapharma </w:t>
            </w:r>
          </w:p>
        </w:tc>
        <w:tc>
          <w:tcPr>
            <w:tcW w:w="2284" w:type="dxa"/>
          </w:tcPr>
          <w:p w14:paraId="5AFAD874"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IV</w:t>
            </w:r>
          </w:p>
        </w:tc>
        <w:tc>
          <w:tcPr>
            <w:tcW w:w="2284" w:type="dxa"/>
          </w:tcPr>
          <w:p w14:paraId="644EB2EE"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No</w:t>
            </w:r>
          </w:p>
        </w:tc>
      </w:tr>
      <w:tr w:rsidR="00AF480C" w:rsidRPr="00B27BF8" w14:paraId="34030999" w14:textId="77777777" w:rsidTr="00CB292A">
        <w:tc>
          <w:tcPr>
            <w:tcW w:w="2694" w:type="dxa"/>
          </w:tcPr>
          <w:p w14:paraId="59EB617A"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Kiovig</w:t>
            </w:r>
          </w:p>
        </w:tc>
        <w:tc>
          <w:tcPr>
            <w:tcW w:w="1872" w:type="dxa"/>
          </w:tcPr>
          <w:p w14:paraId="360774AA"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Shire</w:t>
            </w:r>
          </w:p>
        </w:tc>
        <w:tc>
          <w:tcPr>
            <w:tcW w:w="2284" w:type="dxa"/>
          </w:tcPr>
          <w:p w14:paraId="57137473"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IV and SC</w:t>
            </w:r>
          </w:p>
        </w:tc>
        <w:tc>
          <w:tcPr>
            <w:tcW w:w="2284" w:type="dxa"/>
          </w:tcPr>
          <w:p w14:paraId="20673FB0"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No</w:t>
            </w:r>
          </w:p>
        </w:tc>
      </w:tr>
      <w:tr w:rsidR="00AF480C" w:rsidRPr="00B27BF8" w14:paraId="6BA53F13" w14:textId="77777777" w:rsidTr="00CB292A">
        <w:tc>
          <w:tcPr>
            <w:tcW w:w="2694" w:type="dxa"/>
          </w:tcPr>
          <w:p w14:paraId="7393F112" w14:textId="77777777" w:rsidR="00AF480C" w:rsidRPr="00B27BF8" w:rsidRDefault="00AF480C" w:rsidP="00AF480C">
            <w:pPr>
              <w:rPr>
                <w:rFonts w:asciiTheme="minorHAnsi" w:hAnsiTheme="minorHAnsi" w:cstheme="minorHAnsi"/>
                <w:sz w:val="20"/>
                <w:szCs w:val="20"/>
              </w:rPr>
            </w:pPr>
            <w:r w:rsidRPr="00B27BF8">
              <w:rPr>
                <w:rFonts w:asciiTheme="minorHAnsi" w:hAnsiTheme="minorHAnsi" w:cstheme="minorHAnsi"/>
                <w:sz w:val="20"/>
                <w:szCs w:val="20"/>
              </w:rPr>
              <w:t>Gammanorm</w:t>
            </w:r>
          </w:p>
        </w:tc>
        <w:tc>
          <w:tcPr>
            <w:tcW w:w="1872" w:type="dxa"/>
          </w:tcPr>
          <w:p w14:paraId="0D942C1D"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 xml:space="preserve">Octapharma </w:t>
            </w:r>
          </w:p>
        </w:tc>
        <w:tc>
          <w:tcPr>
            <w:tcW w:w="2284" w:type="dxa"/>
          </w:tcPr>
          <w:p w14:paraId="086D0FA8" w14:textId="77777777" w:rsidR="00AF480C" w:rsidRPr="00B27BF8" w:rsidRDefault="00AF480C" w:rsidP="00AF480C">
            <w:pPr>
              <w:jc w:val="center"/>
              <w:rPr>
                <w:rFonts w:asciiTheme="minorHAnsi" w:hAnsiTheme="minorHAnsi" w:cstheme="minorHAnsi"/>
                <w:sz w:val="20"/>
                <w:szCs w:val="20"/>
              </w:rPr>
            </w:pPr>
            <w:r w:rsidRPr="00B27BF8">
              <w:rPr>
                <w:rFonts w:asciiTheme="minorHAnsi" w:hAnsiTheme="minorHAnsi" w:cstheme="minorHAnsi"/>
                <w:sz w:val="20"/>
                <w:szCs w:val="20"/>
              </w:rPr>
              <w:t xml:space="preserve">SC </w:t>
            </w:r>
            <w:r w:rsidR="00CB292A" w:rsidRPr="00B27BF8">
              <w:rPr>
                <w:rFonts w:asciiTheme="minorHAnsi" w:hAnsiTheme="minorHAnsi" w:cstheme="minorHAnsi"/>
                <w:sz w:val="20"/>
                <w:szCs w:val="20"/>
              </w:rPr>
              <w:t>(</w:t>
            </w:r>
            <w:r w:rsidRPr="00B27BF8">
              <w:rPr>
                <w:rFonts w:asciiTheme="minorHAnsi" w:hAnsiTheme="minorHAnsi" w:cstheme="minorHAnsi"/>
                <w:sz w:val="20"/>
                <w:szCs w:val="20"/>
              </w:rPr>
              <w:t>and IM</w:t>
            </w:r>
            <w:r w:rsidR="00CB292A" w:rsidRPr="00B27BF8">
              <w:rPr>
                <w:rFonts w:asciiTheme="minorHAnsi" w:hAnsiTheme="minorHAnsi" w:cstheme="minorHAnsi"/>
                <w:sz w:val="20"/>
                <w:szCs w:val="20"/>
              </w:rPr>
              <w:t>)</w:t>
            </w:r>
          </w:p>
        </w:tc>
        <w:tc>
          <w:tcPr>
            <w:tcW w:w="2284" w:type="dxa"/>
          </w:tcPr>
          <w:p w14:paraId="5AFE5F92" w14:textId="77777777" w:rsidR="00AF480C" w:rsidRPr="00B27BF8" w:rsidRDefault="00AF480C" w:rsidP="00150029">
            <w:pPr>
              <w:ind w:left="34"/>
              <w:jc w:val="center"/>
              <w:rPr>
                <w:rFonts w:asciiTheme="minorHAnsi" w:hAnsiTheme="minorHAnsi" w:cstheme="minorHAnsi"/>
                <w:sz w:val="20"/>
                <w:szCs w:val="20"/>
              </w:rPr>
            </w:pPr>
            <w:r w:rsidRPr="00B27BF8">
              <w:rPr>
                <w:rFonts w:asciiTheme="minorHAnsi" w:hAnsiTheme="minorHAnsi" w:cstheme="minorHAnsi"/>
                <w:sz w:val="20"/>
                <w:szCs w:val="20"/>
              </w:rPr>
              <w:t>No</w:t>
            </w:r>
          </w:p>
        </w:tc>
      </w:tr>
      <w:tr w:rsidR="00CB292A" w:rsidRPr="00B27BF8" w14:paraId="1BB24937" w14:textId="77777777" w:rsidTr="00CB292A">
        <w:tc>
          <w:tcPr>
            <w:tcW w:w="2694" w:type="dxa"/>
          </w:tcPr>
          <w:p w14:paraId="3D71B057" w14:textId="77777777" w:rsidR="00CB292A" w:rsidRPr="00B27BF8" w:rsidRDefault="00CB292A" w:rsidP="00FD0F2F">
            <w:pPr>
              <w:rPr>
                <w:rFonts w:asciiTheme="minorHAnsi" w:hAnsiTheme="minorHAnsi" w:cstheme="minorHAnsi"/>
                <w:sz w:val="20"/>
                <w:szCs w:val="20"/>
              </w:rPr>
            </w:pPr>
            <w:r w:rsidRPr="00B27BF8">
              <w:rPr>
                <w:rFonts w:asciiTheme="minorHAnsi" w:hAnsiTheme="minorHAnsi" w:cstheme="minorHAnsi"/>
                <w:sz w:val="20"/>
                <w:szCs w:val="20"/>
              </w:rPr>
              <w:t>Cuvitru</w:t>
            </w:r>
          </w:p>
        </w:tc>
        <w:tc>
          <w:tcPr>
            <w:tcW w:w="1872" w:type="dxa"/>
          </w:tcPr>
          <w:p w14:paraId="4D86DDEF" w14:textId="77777777" w:rsidR="00CB292A" w:rsidRPr="00B27BF8" w:rsidRDefault="00CB292A" w:rsidP="00FD0F2F">
            <w:pPr>
              <w:jc w:val="center"/>
              <w:rPr>
                <w:rFonts w:asciiTheme="minorHAnsi" w:hAnsiTheme="minorHAnsi" w:cstheme="minorHAnsi"/>
                <w:sz w:val="20"/>
                <w:szCs w:val="20"/>
              </w:rPr>
            </w:pPr>
            <w:r w:rsidRPr="00B27BF8">
              <w:rPr>
                <w:rFonts w:asciiTheme="minorHAnsi" w:hAnsiTheme="minorHAnsi" w:cstheme="minorHAnsi"/>
                <w:sz w:val="20"/>
                <w:szCs w:val="20"/>
              </w:rPr>
              <w:t>Shire</w:t>
            </w:r>
          </w:p>
        </w:tc>
        <w:tc>
          <w:tcPr>
            <w:tcW w:w="2284" w:type="dxa"/>
          </w:tcPr>
          <w:p w14:paraId="49FCFBFB" w14:textId="77777777" w:rsidR="00CB292A" w:rsidRPr="00B27BF8" w:rsidRDefault="00CB292A" w:rsidP="00FD0F2F">
            <w:pPr>
              <w:jc w:val="center"/>
              <w:rPr>
                <w:rFonts w:asciiTheme="minorHAnsi" w:hAnsiTheme="minorHAnsi" w:cstheme="minorHAnsi"/>
                <w:sz w:val="20"/>
                <w:szCs w:val="20"/>
              </w:rPr>
            </w:pPr>
            <w:r w:rsidRPr="00B27BF8">
              <w:rPr>
                <w:rFonts w:asciiTheme="minorHAnsi" w:hAnsiTheme="minorHAnsi" w:cstheme="minorHAnsi"/>
                <w:sz w:val="20"/>
                <w:szCs w:val="20"/>
              </w:rPr>
              <w:t>SC</w:t>
            </w:r>
          </w:p>
        </w:tc>
        <w:tc>
          <w:tcPr>
            <w:tcW w:w="2284" w:type="dxa"/>
          </w:tcPr>
          <w:p w14:paraId="095BA414" w14:textId="77777777" w:rsidR="00CB292A" w:rsidRPr="00B27BF8" w:rsidRDefault="00C23481" w:rsidP="00FD0F2F">
            <w:pPr>
              <w:ind w:left="34"/>
              <w:jc w:val="center"/>
              <w:rPr>
                <w:rFonts w:asciiTheme="minorHAnsi" w:hAnsiTheme="minorHAnsi" w:cstheme="minorHAnsi"/>
                <w:sz w:val="20"/>
                <w:szCs w:val="20"/>
              </w:rPr>
            </w:pPr>
            <w:r w:rsidRPr="00B27BF8">
              <w:rPr>
                <w:rFonts w:asciiTheme="minorHAnsi" w:hAnsiTheme="minorHAnsi" w:cstheme="minorHAnsi"/>
                <w:sz w:val="20"/>
                <w:szCs w:val="20"/>
              </w:rPr>
              <w:t>No</w:t>
            </w:r>
          </w:p>
        </w:tc>
      </w:tr>
      <w:tr w:rsidR="00AF480C" w:rsidRPr="00B27BF8" w14:paraId="15AD9AD2" w14:textId="77777777" w:rsidTr="00CB292A">
        <w:tc>
          <w:tcPr>
            <w:tcW w:w="2694" w:type="dxa"/>
          </w:tcPr>
          <w:p w14:paraId="21AF946E" w14:textId="77777777" w:rsidR="00AF480C" w:rsidRPr="00B27BF8" w:rsidRDefault="00AF480C" w:rsidP="00AF480C">
            <w:pPr>
              <w:rPr>
                <w:rFonts w:asciiTheme="minorHAnsi" w:hAnsiTheme="minorHAnsi" w:cstheme="minorHAnsi"/>
                <w:i/>
                <w:sz w:val="20"/>
                <w:szCs w:val="20"/>
              </w:rPr>
            </w:pPr>
            <w:r w:rsidRPr="00B27BF8">
              <w:rPr>
                <w:rFonts w:asciiTheme="minorHAnsi" w:hAnsiTheme="minorHAnsi" w:cstheme="minorHAnsi"/>
                <w:i/>
                <w:sz w:val="20"/>
                <w:szCs w:val="20"/>
              </w:rPr>
              <w:t>CSL Normal Immunoglobulin VF</w:t>
            </w:r>
          </w:p>
        </w:tc>
        <w:tc>
          <w:tcPr>
            <w:tcW w:w="1872" w:type="dxa"/>
          </w:tcPr>
          <w:p w14:paraId="67DE0471" w14:textId="77777777" w:rsidR="00AF480C" w:rsidRPr="00B27BF8" w:rsidRDefault="00AF480C" w:rsidP="00AF480C">
            <w:pPr>
              <w:jc w:val="center"/>
              <w:rPr>
                <w:rFonts w:asciiTheme="minorHAnsi" w:hAnsiTheme="minorHAnsi" w:cstheme="minorHAnsi"/>
                <w:i/>
                <w:sz w:val="20"/>
                <w:szCs w:val="20"/>
              </w:rPr>
            </w:pPr>
            <w:r w:rsidRPr="00B27BF8">
              <w:rPr>
                <w:rFonts w:asciiTheme="minorHAnsi" w:hAnsiTheme="minorHAnsi" w:cstheme="minorHAnsi"/>
                <w:i/>
                <w:sz w:val="20"/>
                <w:szCs w:val="20"/>
              </w:rPr>
              <w:t>CSL Behring</w:t>
            </w:r>
          </w:p>
        </w:tc>
        <w:tc>
          <w:tcPr>
            <w:tcW w:w="2284" w:type="dxa"/>
          </w:tcPr>
          <w:p w14:paraId="4B5D6401" w14:textId="77777777" w:rsidR="00AF480C" w:rsidRPr="00B27BF8" w:rsidRDefault="00AF480C" w:rsidP="00AF480C">
            <w:pPr>
              <w:jc w:val="center"/>
              <w:rPr>
                <w:rFonts w:asciiTheme="minorHAnsi" w:hAnsiTheme="minorHAnsi" w:cstheme="minorHAnsi"/>
                <w:i/>
                <w:sz w:val="20"/>
                <w:szCs w:val="20"/>
              </w:rPr>
            </w:pPr>
            <w:r w:rsidRPr="00B27BF8">
              <w:rPr>
                <w:rFonts w:asciiTheme="minorHAnsi" w:hAnsiTheme="minorHAnsi" w:cstheme="minorHAnsi"/>
                <w:i/>
                <w:sz w:val="20"/>
                <w:szCs w:val="20"/>
              </w:rPr>
              <w:t>IM</w:t>
            </w:r>
          </w:p>
        </w:tc>
        <w:tc>
          <w:tcPr>
            <w:tcW w:w="2284" w:type="dxa"/>
          </w:tcPr>
          <w:p w14:paraId="58D244FE" w14:textId="77777777" w:rsidR="00AF480C" w:rsidRPr="00B27BF8" w:rsidRDefault="00AF480C" w:rsidP="00AF480C">
            <w:pPr>
              <w:ind w:left="34"/>
              <w:jc w:val="center"/>
              <w:rPr>
                <w:rFonts w:asciiTheme="minorHAnsi" w:hAnsiTheme="minorHAnsi" w:cstheme="minorHAnsi"/>
                <w:i/>
                <w:sz w:val="20"/>
                <w:szCs w:val="20"/>
              </w:rPr>
            </w:pPr>
            <w:r w:rsidRPr="00B27BF8">
              <w:rPr>
                <w:rFonts w:asciiTheme="minorHAnsi" w:hAnsiTheme="minorHAnsi" w:cstheme="minorHAnsi"/>
                <w:i/>
                <w:sz w:val="20"/>
                <w:szCs w:val="20"/>
              </w:rPr>
              <w:t>Not stated</w:t>
            </w:r>
            <w:r w:rsidR="00CB292A" w:rsidRPr="00B27BF8">
              <w:rPr>
                <w:rFonts w:asciiTheme="minorHAnsi" w:hAnsiTheme="minorHAnsi" w:cstheme="minorHAnsi"/>
                <w:i/>
                <w:sz w:val="20"/>
                <w:szCs w:val="20"/>
              </w:rPr>
              <w:t xml:space="preserve"> – out of scope </w:t>
            </w:r>
          </w:p>
        </w:tc>
      </w:tr>
    </w:tbl>
    <w:p w14:paraId="401915E6" w14:textId="77777777" w:rsidR="00680C20" w:rsidRPr="00B27BF8" w:rsidRDefault="00FA0842" w:rsidP="00375FD1">
      <w:pPr>
        <w:pStyle w:val="ListParagraph"/>
        <w:spacing w:after="0" w:line="240" w:lineRule="auto"/>
        <w:ind w:left="0"/>
        <w:rPr>
          <w:rFonts w:asciiTheme="minorHAnsi" w:hAnsiTheme="minorHAnsi" w:cstheme="minorHAnsi"/>
          <w:sz w:val="18"/>
          <w:szCs w:val="18"/>
          <w:vertAlign w:val="superscript"/>
        </w:rPr>
      </w:pPr>
      <w:r w:rsidRPr="00B27BF8">
        <w:rPr>
          <w:rFonts w:asciiTheme="minorHAnsi" w:hAnsiTheme="minorHAnsi" w:cstheme="minorHAnsi"/>
          <w:sz w:val="18"/>
          <w:szCs w:val="18"/>
        </w:rPr>
        <w:t>*</w:t>
      </w:r>
      <w:r w:rsidR="00680C20" w:rsidRPr="00B27BF8">
        <w:rPr>
          <w:rFonts w:asciiTheme="minorHAnsi" w:hAnsiTheme="minorHAnsi" w:cstheme="minorHAnsi"/>
          <w:sz w:val="18"/>
          <w:szCs w:val="18"/>
        </w:rPr>
        <w:t xml:space="preserve"> Indicates that Ig is currently</w:t>
      </w:r>
      <w:r w:rsidR="00680C20" w:rsidRPr="00B27BF8">
        <w:rPr>
          <w:rFonts w:asciiTheme="minorHAnsi" w:hAnsiTheme="minorHAnsi" w:cstheme="minorHAnsi"/>
          <w:i/>
          <w:sz w:val="18"/>
          <w:szCs w:val="18"/>
        </w:rPr>
        <w:t xml:space="preserve"> </w:t>
      </w:r>
      <w:r w:rsidR="00680C20" w:rsidRPr="00B27BF8">
        <w:rPr>
          <w:rFonts w:asciiTheme="minorHAnsi" w:hAnsiTheme="minorHAnsi" w:cstheme="minorHAnsi"/>
          <w:sz w:val="18"/>
          <w:szCs w:val="18"/>
        </w:rPr>
        <w:t xml:space="preserve">funded for </w:t>
      </w:r>
      <w:r w:rsidR="00AF480C" w:rsidRPr="00B27BF8">
        <w:rPr>
          <w:rFonts w:asciiTheme="minorHAnsi" w:hAnsiTheme="minorHAnsi" w:cstheme="minorHAnsi"/>
          <w:sz w:val="18"/>
          <w:szCs w:val="18"/>
        </w:rPr>
        <w:t>the indication sought in this application</w:t>
      </w:r>
      <w:r w:rsidR="00222063" w:rsidRPr="00B27BF8">
        <w:rPr>
          <w:rFonts w:asciiTheme="minorHAnsi" w:hAnsiTheme="minorHAnsi" w:cstheme="minorHAnsi"/>
          <w:sz w:val="18"/>
          <w:szCs w:val="18"/>
        </w:rPr>
        <w:t>, though this may change</w:t>
      </w:r>
      <w:r w:rsidR="00CB292A" w:rsidRPr="00B27BF8">
        <w:rPr>
          <w:rFonts w:asciiTheme="minorHAnsi" w:hAnsiTheme="minorHAnsi" w:cstheme="minorHAnsi"/>
          <w:sz w:val="18"/>
          <w:szCs w:val="18"/>
        </w:rPr>
        <w:t xml:space="preserve"> in the</w:t>
      </w:r>
      <w:r w:rsidR="00680C20" w:rsidRPr="00B27BF8">
        <w:rPr>
          <w:rFonts w:asciiTheme="minorHAnsi" w:hAnsiTheme="minorHAnsi" w:cstheme="minorHAnsi"/>
          <w:sz w:val="18"/>
          <w:szCs w:val="18"/>
        </w:rPr>
        <w:t xml:space="preserve"> future</w:t>
      </w:r>
      <w:r w:rsidR="00186509" w:rsidRPr="00B27BF8">
        <w:rPr>
          <w:rFonts w:asciiTheme="minorHAnsi" w:hAnsiTheme="minorHAnsi" w:cstheme="minorHAnsi"/>
          <w:sz w:val="18"/>
          <w:szCs w:val="18"/>
        </w:rPr>
        <w:t xml:space="preserve">. </w:t>
      </w:r>
    </w:p>
    <w:p w14:paraId="380F78A3" w14:textId="2E9FABC5" w:rsidR="002B1062" w:rsidRPr="00B27BF8" w:rsidRDefault="00186509" w:rsidP="002B1062">
      <w:pPr>
        <w:pStyle w:val="ListParagraph"/>
        <w:spacing w:after="0" w:line="240" w:lineRule="auto"/>
        <w:ind w:left="0"/>
        <w:rPr>
          <w:rFonts w:asciiTheme="minorHAnsi" w:hAnsiTheme="minorHAnsi" w:cstheme="minorHAnsi"/>
          <w:sz w:val="18"/>
          <w:szCs w:val="18"/>
        </w:rPr>
      </w:pPr>
      <w:r w:rsidRPr="00B27BF8">
        <w:rPr>
          <w:rFonts w:asciiTheme="minorHAnsi" w:hAnsiTheme="minorHAnsi" w:cstheme="minorHAnsi"/>
          <w:sz w:val="18"/>
          <w:szCs w:val="18"/>
        </w:rPr>
        <w:t>**</w:t>
      </w:r>
      <w:r w:rsidR="00CB292A" w:rsidRPr="00B27BF8">
        <w:rPr>
          <w:rFonts w:asciiTheme="minorHAnsi" w:hAnsiTheme="minorHAnsi" w:cstheme="minorHAnsi"/>
          <w:sz w:val="18"/>
          <w:szCs w:val="18"/>
        </w:rPr>
        <w:t xml:space="preserve">With the introduction of Intragram 10, Intragam P manufacturing ceased in 2017. Inventories of Intragam P were expected to be exhausted by between mid-March and mid-April 2017 and it is expected to be discontinued by the time this evaluation is completed.  </w:t>
      </w:r>
      <w:r w:rsidR="002B1062" w:rsidRPr="00B27BF8">
        <w:rPr>
          <w:rFonts w:asciiTheme="minorHAnsi" w:hAnsiTheme="minorHAnsi" w:cstheme="minorHAnsi"/>
          <w:sz w:val="18"/>
          <w:szCs w:val="18"/>
        </w:rPr>
        <w:t>IV – intravenous; SC – subcutaneous; IM – intramuscular</w:t>
      </w:r>
      <w:r w:rsidR="00A86A66">
        <w:rPr>
          <w:rFonts w:asciiTheme="minorHAnsi" w:hAnsiTheme="minorHAnsi" w:cstheme="minorHAnsi"/>
          <w:sz w:val="18"/>
          <w:szCs w:val="18"/>
        </w:rPr>
        <w:t>.</w:t>
      </w:r>
      <w:r w:rsidR="002B1062" w:rsidRPr="00B27BF8">
        <w:rPr>
          <w:rFonts w:asciiTheme="minorHAnsi" w:hAnsiTheme="minorHAnsi" w:cstheme="minorHAnsi"/>
          <w:sz w:val="18"/>
          <w:szCs w:val="18"/>
        </w:rPr>
        <w:t xml:space="preserve"> </w:t>
      </w:r>
    </w:p>
    <w:p w14:paraId="525721F8" w14:textId="77777777" w:rsidR="00622B71" w:rsidRPr="00B27BF8" w:rsidRDefault="00AF480C" w:rsidP="00622B71">
      <w:pPr>
        <w:rPr>
          <w:rFonts w:asciiTheme="minorHAnsi" w:hAnsiTheme="minorHAnsi" w:cstheme="minorHAnsi"/>
        </w:rPr>
      </w:pPr>
      <w:r w:rsidRPr="00B27BF8">
        <w:rPr>
          <w:rFonts w:asciiTheme="minorHAnsi" w:hAnsiTheme="minorHAnsi" w:cstheme="minorHAnsi"/>
        </w:rPr>
        <w:lastRenderedPageBreak/>
        <w:t>The</w:t>
      </w:r>
      <w:r w:rsidR="00622B71" w:rsidRPr="00B27BF8">
        <w:rPr>
          <w:rFonts w:asciiTheme="minorHAnsi" w:hAnsiTheme="minorHAnsi" w:cstheme="minorHAnsi"/>
        </w:rPr>
        <w:t xml:space="preserve"> wording of the</w:t>
      </w:r>
      <w:r w:rsidRPr="00B27BF8">
        <w:rPr>
          <w:rFonts w:asciiTheme="minorHAnsi" w:hAnsiTheme="minorHAnsi" w:cstheme="minorHAnsi"/>
        </w:rPr>
        <w:t xml:space="preserve"> </w:t>
      </w:r>
      <w:r w:rsidR="00622B71" w:rsidRPr="00B27BF8">
        <w:rPr>
          <w:rFonts w:asciiTheme="minorHAnsi" w:hAnsiTheme="minorHAnsi" w:cstheme="minorHAnsi"/>
        </w:rPr>
        <w:t xml:space="preserve">TGA </w:t>
      </w:r>
      <w:r w:rsidRPr="00B27BF8">
        <w:rPr>
          <w:rFonts w:asciiTheme="minorHAnsi" w:hAnsiTheme="minorHAnsi" w:cstheme="minorHAnsi"/>
        </w:rPr>
        <w:t>approved indications vary widely between each product</w:t>
      </w:r>
      <w:r w:rsidR="00C77F5E" w:rsidRPr="00B27BF8">
        <w:rPr>
          <w:rFonts w:asciiTheme="minorHAnsi" w:hAnsiTheme="minorHAnsi" w:cstheme="minorHAnsi"/>
        </w:rPr>
        <w:t>, though most include wording such as “hypogammaglobulinaemia secondary to underlying disease or treatment” or similar</w:t>
      </w:r>
      <w:r w:rsidR="00186509" w:rsidRPr="00B27BF8">
        <w:rPr>
          <w:rFonts w:asciiTheme="minorHAnsi" w:hAnsiTheme="minorHAnsi" w:cstheme="minorHAnsi"/>
        </w:rPr>
        <w:t xml:space="preserve">. </w:t>
      </w:r>
      <w:r w:rsidR="00622B71" w:rsidRPr="00B27BF8">
        <w:rPr>
          <w:rFonts w:asciiTheme="minorHAnsi" w:hAnsiTheme="minorHAnsi" w:cstheme="minorHAnsi"/>
          <w:i/>
        </w:rPr>
        <w:t xml:space="preserve">The </w:t>
      </w:r>
      <w:r w:rsidR="00CB292A" w:rsidRPr="00B27BF8">
        <w:rPr>
          <w:rFonts w:asciiTheme="minorHAnsi" w:hAnsiTheme="minorHAnsi" w:cstheme="minorHAnsi"/>
          <w:i/>
        </w:rPr>
        <w:t xml:space="preserve">Ig Review </w:t>
      </w:r>
      <w:r w:rsidR="003032CA" w:rsidRPr="00B27BF8">
        <w:rPr>
          <w:rFonts w:asciiTheme="minorHAnsi" w:hAnsiTheme="minorHAnsi" w:cstheme="minorHAnsi"/>
          <w:i/>
        </w:rPr>
        <w:t xml:space="preserve">Reference </w:t>
      </w:r>
      <w:r w:rsidR="00CB292A" w:rsidRPr="00B27BF8">
        <w:rPr>
          <w:rFonts w:asciiTheme="minorHAnsi" w:hAnsiTheme="minorHAnsi" w:cstheme="minorHAnsi"/>
          <w:i/>
        </w:rPr>
        <w:t>Group indicated that the two products in italics above should be out of scope for this evaluation: Intragam P and CSL Normal Immunoglobulin VF.</w:t>
      </w:r>
    </w:p>
    <w:p w14:paraId="73BF1948" w14:textId="77777777" w:rsidR="00106C06" w:rsidRPr="00B27BF8" w:rsidRDefault="00106C06" w:rsidP="00106C06">
      <w:pPr>
        <w:rPr>
          <w:rFonts w:asciiTheme="minorHAnsi" w:hAnsiTheme="minorHAnsi" w:cstheme="minorHAnsi"/>
        </w:rPr>
      </w:pPr>
      <w:r w:rsidRPr="00B27BF8">
        <w:rPr>
          <w:rFonts w:asciiTheme="minorHAnsi" w:hAnsiTheme="minorHAnsi" w:cstheme="minorHAnsi"/>
          <w:i/>
        </w:rPr>
        <w:t>The NBA distinguishes between IVIg/SCIg products on the one hand and ‘normal human immunoglobulin’ on the other</w:t>
      </w:r>
      <w:r w:rsidR="00186509" w:rsidRPr="00B27BF8">
        <w:rPr>
          <w:rFonts w:asciiTheme="minorHAnsi" w:hAnsiTheme="minorHAnsi" w:cstheme="minorHAnsi"/>
          <w:i/>
        </w:rPr>
        <w:t>.</w:t>
      </w:r>
      <w:r w:rsidRPr="00B27BF8">
        <w:rPr>
          <w:rFonts w:asciiTheme="minorHAnsi" w:hAnsiTheme="minorHAnsi" w:cstheme="minorHAnsi"/>
          <w:i/>
        </w:rPr>
        <w:t xml:space="preserve"> The NBA describes ‘normal human immunoglobulin’ as having been fractionated from hyperimmune plasma</w:t>
      </w:r>
      <w:r w:rsidRPr="00B27BF8">
        <w:rPr>
          <w:rStyle w:val="FootnoteReference"/>
          <w:rFonts w:asciiTheme="minorHAnsi" w:hAnsiTheme="minorHAnsi" w:cstheme="minorHAnsi"/>
          <w:i/>
        </w:rPr>
        <w:footnoteReference w:id="7"/>
      </w:r>
      <w:r w:rsidRPr="00B27BF8">
        <w:rPr>
          <w:rFonts w:asciiTheme="minorHAnsi" w:hAnsiTheme="minorHAnsi" w:cstheme="minorHAnsi"/>
          <w:i/>
        </w:rPr>
        <w:t xml:space="preserve"> (plasma from donors selected due to their high ti</w:t>
      </w:r>
      <w:r w:rsidR="004C41E0" w:rsidRPr="00B27BF8">
        <w:rPr>
          <w:rFonts w:asciiTheme="minorHAnsi" w:hAnsiTheme="minorHAnsi" w:cstheme="minorHAnsi"/>
          <w:i/>
        </w:rPr>
        <w:t>t</w:t>
      </w:r>
      <w:r w:rsidRPr="00B27BF8">
        <w:rPr>
          <w:rFonts w:asciiTheme="minorHAnsi" w:hAnsiTheme="minorHAnsi" w:cstheme="minorHAnsi"/>
          <w:i/>
        </w:rPr>
        <w:t>re to a specific antigen)</w:t>
      </w:r>
      <w:r w:rsidR="00186509" w:rsidRPr="00B27BF8">
        <w:rPr>
          <w:rFonts w:asciiTheme="minorHAnsi" w:hAnsiTheme="minorHAnsi" w:cstheme="minorHAnsi"/>
          <w:i/>
        </w:rPr>
        <w:t xml:space="preserve">. </w:t>
      </w:r>
      <w:r w:rsidRPr="00B27BF8">
        <w:rPr>
          <w:rFonts w:asciiTheme="minorHAnsi" w:hAnsiTheme="minorHAnsi" w:cstheme="minorHAnsi"/>
          <w:i/>
        </w:rPr>
        <w:t>However, the TGA (and the ARTG approved documentation) describes all IgG products relevant to the indication for this application as containing ‘normal immunoglobulin’</w:t>
      </w:r>
      <w:r w:rsidR="00186509" w:rsidRPr="00B27BF8">
        <w:rPr>
          <w:rFonts w:asciiTheme="minorHAnsi" w:hAnsiTheme="minorHAnsi" w:cstheme="minorHAnsi"/>
          <w:i/>
        </w:rPr>
        <w:t xml:space="preserve">. </w:t>
      </w:r>
      <w:r w:rsidRPr="00B27BF8">
        <w:rPr>
          <w:rFonts w:asciiTheme="minorHAnsi" w:hAnsiTheme="minorHAnsi" w:cstheme="minorHAnsi"/>
          <w:i/>
        </w:rPr>
        <w:t xml:space="preserve">The TGA approved Product Information was checked to confirm that each product in Table </w:t>
      </w:r>
      <w:r w:rsidR="00186509" w:rsidRPr="00B27BF8">
        <w:rPr>
          <w:rFonts w:asciiTheme="minorHAnsi" w:hAnsiTheme="minorHAnsi" w:cstheme="minorHAnsi"/>
          <w:i/>
        </w:rPr>
        <w:t>3</w:t>
      </w:r>
      <w:r w:rsidRPr="00B27BF8">
        <w:rPr>
          <w:rFonts w:asciiTheme="minorHAnsi" w:hAnsiTheme="minorHAnsi" w:cstheme="minorHAnsi"/>
          <w:i/>
        </w:rPr>
        <w:t xml:space="preserve"> was manufactured from normal donor plasma and not hyperimmune plasma</w:t>
      </w:r>
      <w:r w:rsidR="00186509" w:rsidRPr="00B27BF8">
        <w:rPr>
          <w:rFonts w:asciiTheme="minorHAnsi" w:hAnsiTheme="minorHAnsi" w:cstheme="minorHAnsi"/>
          <w:i/>
        </w:rPr>
        <w:t xml:space="preserve">. </w:t>
      </w:r>
    </w:p>
    <w:p w14:paraId="0539D878" w14:textId="77777777" w:rsidR="004452BF" w:rsidRPr="00B27BF8" w:rsidRDefault="00375FD1" w:rsidP="00680C20">
      <w:pPr>
        <w:rPr>
          <w:rFonts w:asciiTheme="minorHAnsi" w:hAnsiTheme="minorHAnsi" w:cstheme="minorHAnsi"/>
        </w:rPr>
      </w:pPr>
      <w:r w:rsidRPr="00B27BF8">
        <w:rPr>
          <w:rFonts w:asciiTheme="minorHAnsi" w:hAnsiTheme="minorHAnsi" w:cstheme="minorHAnsi"/>
        </w:rPr>
        <w:t>The</w:t>
      </w:r>
      <w:r w:rsidR="00680C20" w:rsidRPr="00B27BF8">
        <w:rPr>
          <w:rFonts w:asciiTheme="minorHAnsi" w:hAnsiTheme="minorHAnsi" w:cstheme="minorHAnsi"/>
        </w:rPr>
        <w:t xml:space="preserve"> sub-set of </w:t>
      </w:r>
      <w:r w:rsidRPr="00B27BF8">
        <w:rPr>
          <w:rFonts w:asciiTheme="minorHAnsi" w:hAnsiTheme="minorHAnsi" w:cstheme="minorHAnsi"/>
        </w:rPr>
        <w:t xml:space="preserve">approved </w:t>
      </w:r>
      <w:r w:rsidR="00680C20" w:rsidRPr="00B27BF8">
        <w:rPr>
          <w:rFonts w:asciiTheme="minorHAnsi" w:hAnsiTheme="minorHAnsi" w:cstheme="minorHAnsi"/>
        </w:rPr>
        <w:t>IgG products funded under the current National Blood Supply Arrangements for this indication</w:t>
      </w:r>
      <w:r w:rsidR="00C23481" w:rsidRPr="00B27BF8">
        <w:rPr>
          <w:rFonts w:asciiTheme="minorHAnsi" w:hAnsiTheme="minorHAnsi" w:cstheme="minorHAnsi"/>
        </w:rPr>
        <w:t xml:space="preserve"> is in Table 4, including prices per pack strength</w:t>
      </w:r>
      <w:r w:rsidR="00186509" w:rsidRPr="00B27BF8">
        <w:rPr>
          <w:rFonts w:asciiTheme="minorHAnsi" w:hAnsiTheme="minorHAnsi" w:cstheme="minorHAnsi"/>
        </w:rPr>
        <w:t>.</w:t>
      </w:r>
    </w:p>
    <w:p w14:paraId="17322A12" w14:textId="77777777" w:rsidR="00680C20" w:rsidRPr="00B27BF8" w:rsidRDefault="00505D6F" w:rsidP="001135DA">
      <w:pPr>
        <w:keepNext/>
        <w:spacing w:after="0"/>
        <w:rPr>
          <w:rFonts w:asciiTheme="minorHAnsi" w:hAnsiTheme="minorHAnsi" w:cstheme="minorHAnsi"/>
          <w:b/>
          <w:szCs w:val="20"/>
        </w:rPr>
      </w:pPr>
      <w:r w:rsidRPr="00B27BF8">
        <w:rPr>
          <w:rFonts w:asciiTheme="minorHAnsi" w:hAnsiTheme="minorHAnsi" w:cstheme="minorHAnsi"/>
          <w:b/>
          <w:szCs w:val="20"/>
        </w:rPr>
        <w:t xml:space="preserve">Table </w:t>
      </w:r>
      <w:r w:rsidR="00186509" w:rsidRPr="00B27BF8">
        <w:rPr>
          <w:rFonts w:asciiTheme="minorHAnsi" w:hAnsiTheme="minorHAnsi" w:cstheme="minorHAnsi"/>
          <w:b/>
          <w:szCs w:val="20"/>
        </w:rPr>
        <w:t>4</w:t>
      </w:r>
      <w:r w:rsidRPr="00B27BF8">
        <w:rPr>
          <w:rFonts w:asciiTheme="minorHAnsi" w:hAnsiTheme="minorHAnsi" w:cstheme="minorHAnsi"/>
          <w:b/>
          <w:szCs w:val="20"/>
        </w:rPr>
        <w:t>:</w:t>
      </w:r>
      <w:r w:rsidR="00680C20" w:rsidRPr="00B27BF8">
        <w:rPr>
          <w:rFonts w:asciiTheme="minorHAnsi" w:hAnsiTheme="minorHAnsi" w:cstheme="minorHAnsi"/>
          <w:b/>
          <w:szCs w:val="20"/>
        </w:rPr>
        <w:t xml:space="preserve"> Ig products funded for this indication</w:t>
      </w:r>
    </w:p>
    <w:tbl>
      <w:tblPr>
        <w:tblStyle w:val="TableGrid"/>
        <w:tblW w:w="4651" w:type="pct"/>
        <w:tblLook w:val="04A0" w:firstRow="1" w:lastRow="0" w:firstColumn="1" w:lastColumn="0" w:noHBand="0" w:noVBand="1"/>
        <w:tblCaption w:val="Table 4 decrives, Ig products funded for this indication."/>
      </w:tblPr>
      <w:tblGrid>
        <w:gridCol w:w="1767"/>
        <w:gridCol w:w="1385"/>
        <w:gridCol w:w="1525"/>
        <w:gridCol w:w="1855"/>
        <w:gridCol w:w="1855"/>
      </w:tblGrid>
      <w:tr w:rsidR="001135DA" w:rsidRPr="00B27BF8" w14:paraId="125BCF63" w14:textId="77777777" w:rsidTr="00C40A6F">
        <w:trPr>
          <w:tblHeader/>
        </w:trPr>
        <w:tc>
          <w:tcPr>
            <w:tcW w:w="1053" w:type="pct"/>
          </w:tcPr>
          <w:p w14:paraId="7A84AA09" w14:textId="77777777" w:rsidR="001135DA" w:rsidRPr="00B27BF8" w:rsidRDefault="001135DA" w:rsidP="000655AF">
            <w:pPr>
              <w:keepNext/>
              <w:rPr>
                <w:rFonts w:asciiTheme="minorHAnsi" w:hAnsiTheme="minorHAnsi" w:cstheme="minorHAnsi"/>
                <w:b/>
                <w:sz w:val="20"/>
                <w:szCs w:val="20"/>
              </w:rPr>
            </w:pPr>
            <w:r w:rsidRPr="00B27BF8">
              <w:rPr>
                <w:rFonts w:asciiTheme="minorHAnsi" w:hAnsiTheme="minorHAnsi" w:cstheme="minorHAnsi"/>
                <w:b/>
                <w:sz w:val="20"/>
                <w:szCs w:val="20"/>
              </w:rPr>
              <w:t>Product</w:t>
            </w:r>
          </w:p>
        </w:tc>
        <w:tc>
          <w:tcPr>
            <w:tcW w:w="825" w:type="pct"/>
          </w:tcPr>
          <w:p w14:paraId="4E7C0FA2" w14:textId="77777777" w:rsidR="001135DA" w:rsidRPr="00B27BF8" w:rsidRDefault="001135DA" w:rsidP="000655AF">
            <w:pPr>
              <w:keepNext/>
              <w:ind w:left="34"/>
              <w:rPr>
                <w:rFonts w:asciiTheme="minorHAnsi" w:hAnsiTheme="minorHAnsi" w:cstheme="minorHAnsi"/>
                <w:b/>
                <w:sz w:val="20"/>
                <w:szCs w:val="20"/>
              </w:rPr>
            </w:pPr>
            <w:r w:rsidRPr="00B27BF8">
              <w:rPr>
                <w:rFonts w:asciiTheme="minorHAnsi" w:hAnsiTheme="minorHAnsi" w:cstheme="minorHAnsi"/>
                <w:b/>
                <w:sz w:val="20"/>
                <w:szCs w:val="20"/>
              </w:rPr>
              <w:t>Sponsor</w:t>
            </w:r>
          </w:p>
        </w:tc>
        <w:tc>
          <w:tcPr>
            <w:tcW w:w="909" w:type="pct"/>
          </w:tcPr>
          <w:p w14:paraId="08709724" w14:textId="77777777" w:rsidR="001135DA" w:rsidRPr="00B27BF8" w:rsidRDefault="001135DA" w:rsidP="000655AF">
            <w:pPr>
              <w:keepNext/>
              <w:ind w:left="34"/>
              <w:rPr>
                <w:rFonts w:asciiTheme="minorHAnsi" w:hAnsiTheme="minorHAnsi" w:cstheme="minorHAnsi"/>
                <w:b/>
                <w:sz w:val="20"/>
                <w:szCs w:val="20"/>
              </w:rPr>
            </w:pPr>
            <w:r w:rsidRPr="00B27BF8">
              <w:rPr>
                <w:rFonts w:asciiTheme="minorHAnsi" w:hAnsiTheme="minorHAnsi" w:cstheme="minorHAnsi"/>
                <w:b/>
                <w:sz w:val="20"/>
                <w:szCs w:val="20"/>
              </w:rPr>
              <w:t>Route of Administration</w:t>
            </w:r>
          </w:p>
        </w:tc>
        <w:tc>
          <w:tcPr>
            <w:tcW w:w="1106" w:type="pct"/>
          </w:tcPr>
          <w:p w14:paraId="6262F906" w14:textId="77777777" w:rsidR="001135DA" w:rsidRPr="00B27BF8" w:rsidRDefault="001135DA" w:rsidP="000655AF">
            <w:pPr>
              <w:keepNext/>
              <w:ind w:left="34"/>
              <w:rPr>
                <w:rFonts w:asciiTheme="minorHAnsi" w:hAnsiTheme="minorHAnsi" w:cstheme="minorHAnsi"/>
                <w:b/>
                <w:sz w:val="20"/>
                <w:szCs w:val="20"/>
              </w:rPr>
            </w:pPr>
            <w:r w:rsidRPr="00B27BF8">
              <w:rPr>
                <w:rFonts w:asciiTheme="minorHAnsi" w:hAnsiTheme="minorHAnsi" w:cstheme="minorHAnsi"/>
                <w:b/>
                <w:sz w:val="20"/>
                <w:szCs w:val="20"/>
              </w:rPr>
              <w:t>Strength</w:t>
            </w:r>
          </w:p>
        </w:tc>
        <w:tc>
          <w:tcPr>
            <w:tcW w:w="1106" w:type="pct"/>
          </w:tcPr>
          <w:p w14:paraId="09F836D2" w14:textId="77777777" w:rsidR="001135DA" w:rsidRPr="00B27BF8" w:rsidRDefault="001135DA" w:rsidP="000655AF">
            <w:pPr>
              <w:keepNext/>
              <w:ind w:left="34"/>
              <w:rPr>
                <w:rFonts w:asciiTheme="minorHAnsi" w:hAnsiTheme="minorHAnsi" w:cstheme="minorHAnsi"/>
                <w:b/>
                <w:sz w:val="20"/>
                <w:szCs w:val="20"/>
              </w:rPr>
            </w:pPr>
            <w:r w:rsidRPr="00B27BF8">
              <w:rPr>
                <w:rFonts w:asciiTheme="minorHAnsi" w:hAnsiTheme="minorHAnsi" w:cstheme="minorHAnsi"/>
                <w:b/>
                <w:sz w:val="20"/>
                <w:szCs w:val="20"/>
              </w:rPr>
              <w:t>NBA price</w:t>
            </w:r>
          </w:p>
        </w:tc>
      </w:tr>
      <w:tr w:rsidR="001135DA" w:rsidRPr="00B27BF8" w14:paraId="6FDCE2ED" w14:textId="77777777" w:rsidTr="00C40A6F">
        <w:tc>
          <w:tcPr>
            <w:tcW w:w="1053" w:type="pct"/>
          </w:tcPr>
          <w:p w14:paraId="672FCC2C"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Intragam 10</w:t>
            </w:r>
          </w:p>
        </w:tc>
        <w:tc>
          <w:tcPr>
            <w:tcW w:w="825" w:type="pct"/>
          </w:tcPr>
          <w:p w14:paraId="2FB8B191"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CSL Behring</w:t>
            </w:r>
          </w:p>
        </w:tc>
        <w:tc>
          <w:tcPr>
            <w:tcW w:w="909" w:type="pct"/>
          </w:tcPr>
          <w:p w14:paraId="5B80CBA2"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IV</w:t>
            </w:r>
          </w:p>
        </w:tc>
        <w:tc>
          <w:tcPr>
            <w:tcW w:w="1106" w:type="pct"/>
          </w:tcPr>
          <w:p w14:paraId="7710FC63" w14:textId="77777777" w:rsidR="001135DA" w:rsidRPr="00B27BF8" w:rsidRDefault="00C40A6F" w:rsidP="001135DA">
            <w:pPr>
              <w:rPr>
                <w:rFonts w:asciiTheme="minorHAnsi" w:hAnsiTheme="minorHAnsi" w:cstheme="minorHAnsi"/>
                <w:sz w:val="20"/>
                <w:szCs w:val="20"/>
              </w:rPr>
            </w:pPr>
            <w:r w:rsidRPr="00B27BF8">
              <w:rPr>
                <w:rFonts w:asciiTheme="minorHAnsi" w:hAnsiTheme="minorHAnsi" w:cstheme="minorHAnsi"/>
                <w:sz w:val="20"/>
                <w:szCs w:val="20"/>
              </w:rPr>
              <w:t>2</w:t>
            </w:r>
            <w:r w:rsidR="00186509" w:rsidRPr="00B27BF8">
              <w:rPr>
                <w:rFonts w:asciiTheme="minorHAnsi" w:hAnsiTheme="minorHAnsi" w:cstheme="minorHAnsi"/>
                <w:sz w:val="20"/>
                <w:szCs w:val="20"/>
              </w:rPr>
              <w:t xml:space="preserve">. </w:t>
            </w:r>
            <w:r w:rsidRPr="00B27BF8">
              <w:rPr>
                <w:rFonts w:asciiTheme="minorHAnsi" w:hAnsiTheme="minorHAnsi" w:cstheme="minorHAnsi"/>
                <w:sz w:val="20"/>
                <w:szCs w:val="20"/>
              </w:rPr>
              <w:t>5g/25mL</w:t>
            </w:r>
          </w:p>
          <w:p w14:paraId="61AF4970" w14:textId="77777777" w:rsidR="001135DA" w:rsidRPr="00B27BF8" w:rsidRDefault="00C40A6F" w:rsidP="001135DA">
            <w:pPr>
              <w:rPr>
                <w:rFonts w:asciiTheme="minorHAnsi" w:hAnsiTheme="minorHAnsi" w:cstheme="minorHAnsi"/>
                <w:sz w:val="20"/>
                <w:szCs w:val="20"/>
              </w:rPr>
            </w:pPr>
            <w:r w:rsidRPr="00B27BF8">
              <w:rPr>
                <w:rFonts w:asciiTheme="minorHAnsi" w:hAnsiTheme="minorHAnsi" w:cstheme="minorHAnsi"/>
                <w:sz w:val="20"/>
                <w:szCs w:val="20"/>
              </w:rPr>
              <w:t>10g/100mL</w:t>
            </w:r>
          </w:p>
          <w:p w14:paraId="1CA1480C" w14:textId="77777777" w:rsidR="001135DA" w:rsidRPr="00B27BF8" w:rsidRDefault="00C40A6F" w:rsidP="001135DA">
            <w:pPr>
              <w:rPr>
                <w:rFonts w:asciiTheme="minorHAnsi" w:hAnsiTheme="minorHAnsi" w:cstheme="minorHAnsi"/>
                <w:sz w:val="20"/>
                <w:szCs w:val="20"/>
                <w:highlight w:val="yellow"/>
              </w:rPr>
            </w:pPr>
            <w:r w:rsidRPr="00B27BF8">
              <w:rPr>
                <w:rFonts w:asciiTheme="minorHAnsi" w:hAnsiTheme="minorHAnsi" w:cstheme="minorHAnsi"/>
                <w:sz w:val="20"/>
                <w:szCs w:val="20"/>
              </w:rPr>
              <w:t>20g/200mL</w:t>
            </w:r>
          </w:p>
        </w:tc>
        <w:tc>
          <w:tcPr>
            <w:tcW w:w="1106" w:type="pct"/>
          </w:tcPr>
          <w:p w14:paraId="7255BF96" w14:textId="77777777" w:rsidR="001135DA" w:rsidRPr="00B27BF8" w:rsidRDefault="001135DA" w:rsidP="001135DA">
            <w:pPr>
              <w:rPr>
                <w:rFonts w:asciiTheme="minorHAnsi" w:hAnsiTheme="minorHAnsi" w:cstheme="minorHAnsi"/>
                <w:sz w:val="20"/>
                <w:szCs w:val="20"/>
              </w:rPr>
            </w:pPr>
            <w:r w:rsidRPr="00B27BF8">
              <w:rPr>
                <w:rFonts w:asciiTheme="minorHAnsi" w:hAnsiTheme="minorHAnsi" w:cstheme="minorHAnsi"/>
                <w:sz w:val="20"/>
                <w:szCs w:val="20"/>
              </w:rPr>
              <w:t>$146</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23</w:t>
            </w:r>
          </w:p>
          <w:p w14:paraId="5EA3C56B" w14:textId="77777777" w:rsidR="001135DA" w:rsidRPr="00B27BF8" w:rsidRDefault="001135DA" w:rsidP="001135DA">
            <w:pPr>
              <w:rPr>
                <w:rFonts w:asciiTheme="minorHAnsi" w:hAnsiTheme="minorHAnsi" w:cstheme="minorHAnsi"/>
                <w:sz w:val="20"/>
                <w:szCs w:val="20"/>
              </w:rPr>
            </w:pPr>
            <w:r w:rsidRPr="00B27BF8">
              <w:rPr>
                <w:rFonts w:asciiTheme="minorHAnsi" w:hAnsiTheme="minorHAnsi" w:cstheme="minorHAnsi"/>
                <w:sz w:val="20"/>
                <w:szCs w:val="20"/>
              </w:rPr>
              <w:t>$584</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93</w:t>
            </w:r>
          </w:p>
          <w:p w14:paraId="4BD97150" w14:textId="77777777" w:rsidR="001135DA" w:rsidRPr="00B27BF8" w:rsidRDefault="001135DA" w:rsidP="001135DA">
            <w:pPr>
              <w:rPr>
                <w:rFonts w:asciiTheme="minorHAnsi" w:hAnsiTheme="minorHAnsi" w:cstheme="minorHAnsi"/>
                <w:sz w:val="20"/>
                <w:szCs w:val="20"/>
                <w:highlight w:val="yellow"/>
              </w:rPr>
            </w:pPr>
            <w:r w:rsidRPr="00B27BF8">
              <w:rPr>
                <w:rFonts w:asciiTheme="minorHAnsi" w:hAnsiTheme="minorHAnsi" w:cstheme="minorHAnsi"/>
                <w:sz w:val="20"/>
                <w:szCs w:val="20"/>
              </w:rPr>
              <w:t>$1,169</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86</w:t>
            </w:r>
          </w:p>
        </w:tc>
      </w:tr>
      <w:tr w:rsidR="001135DA" w:rsidRPr="00B27BF8" w14:paraId="56D71135" w14:textId="77777777" w:rsidTr="00C40A6F">
        <w:tc>
          <w:tcPr>
            <w:tcW w:w="1053" w:type="pct"/>
          </w:tcPr>
          <w:p w14:paraId="07FA8846"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Privigen 10%</w:t>
            </w:r>
          </w:p>
        </w:tc>
        <w:tc>
          <w:tcPr>
            <w:tcW w:w="825" w:type="pct"/>
          </w:tcPr>
          <w:p w14:paraId="314AA7BE"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CSL Behring</w:t>
            </w:r>
          </w:p>
        </w:tc>
        <w:tc>
          <w:tcPr>
            <w:tcW w:w="909" w:type="pct"/>
          </w:tcPr>
          <w:p w14:paraId="1811F459"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IV</w:t>
            </w:r>
          </w:p>
        </w:tc>
        <w:tc>
          <w:tcPr>
            <w:tcW w:w="1106" w:type="pct"/>
          </w:tcPr>
          <w:p w14:paraId="03D7C963"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5g/50mL</w:t>
            </w:r>
          </w:p>
          <w:p w14:paraId="08558048"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10g/100mL</w:t>
            </w:r>
          </w:p>
          <w:p w14:paraId="53270F2A"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20g/200mL</w:t>
            </w:r>
          </w:p>
          <w:p w14:paraId="1C7DA343" w14:textId="77777777" w:rsidR="001135DA" w:rsidRPr="00B27BF8" w:rsidRDefault="00C40A6F" w:rsidP="00C40A6F">
            <w:pPr>
              <w:rPr>
                <w:rFonts w:asciiTheme="minorHAnsi" w:hAnsiTheme="minorHAnsi" w:cstheme="minorHAnsi"/>
                <w:sz w:val="20"/>
                <w:szCs w:val="20"/>
                <w:highlight w:val="yellow"/>
              </w:rPr>
            </w:pPr>
            <w:r w:rsidRPr="00B27BF8">
              <w:rPr>
                <w:rFonts w:asciiTheme="minorHAnsi" w:hAnsiTheme="minorHAnsi" w:cstheme="minorHAnsi"/>
                <w:sz w:val="20"/>
                <w:szCs w:val="20"/>
              </w:rPr>
              <w:t>40g/400mL</w:t>
            </w:r>
          </w:p>
        </w:tc>
        <w:tc>
          <w:tcPr>
            <w:tcW w:w="1106" w:type="pct"/>
          </w:tcPr>
          <w:p w14:paraId="1AED157D"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$225</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00</w:t>
            </w:r>
          </w:p>
          <w:p w14:paraId="145E0F37"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$450</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00</w:t>
            </w:r>
          </w:p>
          <w:p w14:paraId="777A6A4C"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$900</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00</w:t>
            </w:r>
          </w:p>
          <w:p w14:paraId="2E4CE417" w14:textId="77777777" w:rsidR="001135DA" w:rsidRPr="00B27BF8" w:rsidRDefault="00C40A6F" w:rsidP="00C40A6F">
            <w:pPr>
              <w:rPr>
                <w:rFonts w:asciiTheme="minorHAnsi" w:hAnsiTheme="minorHAnsi" w:cstheme="minorHAnsi"/>
                <w:sz w:val="20"/>
                <w:szCs w:val="20"/>
                <w:highlight w:val="yellow"/>
              </w:rPr>
            </w:pPr>
            <w:r w:rsidRPr="00B27BF8">
              <w:rPr>
                <w:rFonts w:asciiTheme="minorHAnsi" w:hAnsiTheme="minorHAnsi" w:cstheme="minorHAnsi"/>
                <w:sz w:val="20"/>
                <w:szCs w:val="20"/>
              </w:rPr>
              <w:t>$1,800</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00</w:t>
            </w:r>
          </w:p>
        </w:tc>
      </w:tr>
      <w:tr w:rsidR="001135DA" w:rsidRPr="00B27BF8" w14:paraId="5DA53C3F" w14:textId="77777777" w:rsidTr="00C40A6F">
        <w:tc>
          <w:tcPr>
            <w:tcW w:w="1053" w:type="pct"/>
          </w:tcPr>
          <w:p w14:paraId="13BC09B4"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Hizentra</w:t>
            </w:r>
          </w:p>
        </w:tc>
        <w:tc>
          <w:tcPr>
            <w:tcW w:w="825" w:type="pct"/>
          </w:tcPr>
          <w:p w14:paraId="2FCD0400"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 xml:space="preserve">CSL Behring </w:t>
            </w:r>
          </w:p>
        </w:tc>
        <w:tc>
          <w:tcPr>
            <w:tcW w:w="909" w:type="pct"/>
          </w:tcPr>
          <w:p w14:paraId="671F4405"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SC</w:t>
            </w:r>
          </w:p>
        </w:tc>
        <w:tc>
          <w:tcPr>
            <w:tcW w:w="1106" w:type="pct"/>
          </w:tcPr>
          <w:p w14:paraId="358173B8"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1g/5mL</w:t>
            </w:r>
          </w:p>
          <w:p w14:paraId="42413601"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2g/10mL</w:t>
            </w:r>
          </w:p>
          <w:p w14:paraId="5AC1AE3C"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4g/20mL</w:t>
            </w:r>
          </w:p>
          <w:p w14:paraId="534626E3" w14:textId="77777777" w:rsidR="001135DA" w:rsidRPr="00B27BF8" w:rsidRDefault="00C40A6F" w:rsidP="00C40A6F">
            <w:pPr>
              <w:rPr>
                <w:rFonts w:asciiTheme="minorHAnsi" w:hAnsiTheme="minorHAnsi" w:cstheme="minorHAnsi"/>
                <w:sz w:val="20"/>
                <w:szCs w:val="20"/>
                <w:highlight w:val="yellow"/>
              </w:rPr>
            </w:pPr>
            <w:r w:rsidRPr="00B27BF8">
              <w:rPr>
                <w:rFonts w:asciiTheme="minorHAnsi" w:hAnsiTheme="minorHAnsi" w:cstheme="minorHAnsi"/>
                <w:sz w:val="20"/>
                <w:szCs w:val="20"/>
              </w:rPr>
              <w:t>10g/50mL</w:t>
            </w:r>
          </w:p>
        </w:tc>
        <w:tc>
          <w:tcPr>
            <w:tcW w:w="1106" w:type="pct"/>
          </w:tcPr>
          <w:p w14:paraId="454EAC4E"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$59</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15</w:t>
            </w:r>
          </w:p>
          <w:p w14:paraId="7634FE01"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$118</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31</w:t>
            </w:r>
          </w:p>
          <w:p w14:paraId="6A016C1D"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$236</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61</w:t>
            </w:r>
          </w:p>
          <w:p w14:paraId="539D8933" w14:textId="77777777" w:rsidR="001135DA" w:rsidRPr="00B27BF8" w:rsidRDefault="00C40A6F" w:rsidP="00C40A6F">
            <w:pPr>
              <w:rPr>
                <w:rFonts w:asciiTheme="minorHAnsi" w:hAnsiTheme="minorHAnsi" w:cstheme="minorHAnsi"/>
                <w:sz w:val="20"/>
                <w:szCs w:val="20"/>
                <w:highlight w:val="yellow"/>
              </w:rPr>
            </w:pPr>
            <w:r w:rsidRPr="00B27BF8">
              <w:rPr>
                <w:rFonts w:asciiTheme="minorHAnsi" w:hAnsiTheme="minorHAnsi" w:cstheme="minorHAnsi"/>
                <w:sz w:val="20"/>
                <w:szCs w:val="20"/>
              </w:rPr>
              <w:t>$591</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53</w:t>
            </w:r>
          </w:p>
        </w:tc>
      </w:tr>
      <w:tr w:rsidR="00C40A6F" w:rsidRPr="00B27BF8" w14:paraId="37066E7E" w14:textId="77777777" w:rsidTr="00C40A6F">
        <w:tc>
          <w:tcPr>
            <w:tcW w:w="1053" w:type="pct"/>
          </w:tcPr>
          <w:p w14:paraId="27052B1C"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Flebogamma 5%</w:t>
            </w:r>
          </w:p>
        </w:tc>
        <w:tc>
          <w:tcPr>
            <w:tcW w:w="825" w:type="pct"/>
          </w:tcPr>
          <w:p w14:paraId="0C538C12"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 xml:space="preserve">Grifols </w:t>
            </w:r>
          </w:p>
        </w:tc>
        <w:tc>
          <w:tcPr>
            <w:tcW w:w="909" w:type="pct"/>
          </w:tcPr>
          <w:p w14:paraId="7C31392B"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IV</w:t>
            </w:r>
          </w:p>
        </w:tc>
        <w:tc>
          <w:tcPr>
            <w:tcW w:w="1106" w:type="pct"/>
          </w:tcPr>
          <w:p w14:paraId="076B3464"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0</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5g/10mL</w:t>
            </w:r>
          </w:p>
          <w:p w14:paraId="36C586EB"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2</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5g/50mL</w:t>
            </w:r>
          </w:p>
          <w:p w14:paraId="52D5ADC0"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5g/100mL</w:t>
            </w:r>
          </w:p>
          <w:p w14:paraId="6A778A6B"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10g/200mL</w:t>
            </w:r>
          </w:p>
          <w:p w14:paraId="07062BC0"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20g/400mL</w:t>
            </w:r>
          </w:p>
        </w:tc>
        <w:tc>
          <w:tcPr>
            <w:tcW w:w="1106" w:type="pct"/>
          </w:tcPr>
          <w:p w14:paraId="12C9286A"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$22</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50</w:t>
            </w:r>
          </w:p>
          <w:p w14:paraId="4A201ECF"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$112</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50</w:t>
            </w:r>
          </w:p>
          <w:p w14:paraId="4D4ABCCC"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$225</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00</w:t>
            </w:r>
          </w:p>
          <w:p w14:paraId="4739B088"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$450</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00</w:t>
            </w:r>
          </w:p>
          <w:p w14:paraId="0B3623C2" w14:textId="77777777" w:rsidR="00C40A6F" w:rsidRPr="00B27BF8" w:rsidRDefault="00C40A6F" w:rsidP="00106C06">
            <w:pPr>
              <w:rPr>
                <w:rFonts w:asciiTheme="minorHAnsi" w:hAnsiTheme="minorHAnsi" w:cstheme="minorHAnsi"/>
                <w:sz w:val="20"/>
                <w:szCs w:val="20"/>
              </w:rPr>
            </w:pPr>
            <w:r w:rsidRPr="00B27BF8">
              <w:rPr>
                <w:rFonts w:asciiTheme="minorHAnsi" w:hAnsiTheme="minorHAnsi" w:cstheme="minorHAnsi"/>
                <w:sz w:val="20"/>
                <w:szCs w:val="20"/>
              </w:rPr>
              <w:t>$900</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00</w:t>
            </w:r>
          </w:p>
        </w:tc>
      </w:tr>
      <w:tr w:rsidR="001135DA" w:rsidRPr="00B27BF8" w14:paraId="36DE928B" w14:textId="77777777" w:rsidTr="00C40A6F">
        <w:tc>
          <w:tcPr>
            <w:tcW w:w="1053" w:type="pct"/>
          </w:tcPr>
          <w:p w14:paraId="0CC9A747"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Flebogamma 10%</w:t>
            </w:r>
          </w:p>
        </w:tc>
        <w:tc>
          <w:tcPr>
            <w:tcW w:w="825" w:type="pct"/>
          </w:tcPr>
          <w:p w14:paraId="2F22F78E"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 xml:space="preserve">Grifols </w:t>
            </w:r>
          </w:p>
        </w:tc>
        <w:tc>
          <w:tcPr>
            <w:tcW w:w="909" w:type="pct"/>
          </w:tcPr>
          <w:p w14:paraId="6B7FD53B"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IV</w:t>
            </w:r>
          </w:p>
        </w:tc>
        <w:tc>
          <w:tcPr>
            <w:tcW w:w="1106" w:type="pct"/>
          </w:tcPr>
          <w:p w14:paraId="22241FB0"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5g/50mL</w:t>
            </w:r>
          </w:p>
          <w:p w14:paraId="5EE0621A"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10g/100mL</w:t>
            </w:r>
          </w:p>
          <w:p w14:paraId="61205E01" w14:textId="77777777" w:rsidR="001135DA"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20g/200mL</w:t>
            </w:r>
          </w:p>
        </w:tc>
        <w:tc>
          <w:tcPr>
            <w:tcW w:w="1106" w:type="pct"/>
          </w:tcPr>
          <w:p w14:paraId="31C32F0C"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$225</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00</w:t>
            </w:r>
          </w:p>
          <w:p w14:paraId="27F09B4E"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$450</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00</w:t>
            </w:r>
          </w:p>
          <w:p w14:paraId="5482BECD" w14:textId="77777777" w:rsidR="001135DA"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$900</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00</w:t>
            </w:r>
          </w:p>
        </w:tc>
      </w:tr>
      <w:tr w:rsidR="001135DA" w:rsidRPr="00B27BF8" w14:paraId="3FA31C2A" w14:textId="77777777" w:rsidTr="00C40A6F">
        <w:tc>
          <w:tcPr>
            <w:tcW w:w="1053" w:type="pct"/>
          </w:tcPr>
          <w:p w14:paraId="13A8B0B2" w14:textId="77777777" w:rsidR="001135DA" w:rsidRPr="00B27BF8" w:rsidRDefault="001135DA" w:rsidP="003F4EFD">
            <w:pPr>
              <w:rPr>
                <w:rFonts w:asciiTheme="minorHAnsi" w:hAnsiTheme="minorHAnsi" w:cstheme="minorHAnsi"/>
                <w:i/>
                <w:sz w:val="20"/>
                <w:szCs w:val="20"/>
              </w:rPr>
            </w:pPr>
            <w:r w:rsidRPr="00B27BF8">
              <w:rPr>
                <w:rFonts w:asciiTheme="minorHAnsi" w:hAnsiTheme="minorHAnsi" w:cstheme="minorHAnsi"/>
                <w:i/>
                <w:sz w:val="20"/>
                <w:szCs w:val="20"/>
              </w:rPr>
              <w:t>Intragam P</w:t>
            </w:r>
            <w:r w:rsidR="00FA0842" w:rsidRPr="00B27BF8">
              <w:rPr>
                <w:rFonts w:asciiTheme="minorHAnsi" w:hAnsiTheme="minorHAnsi" w:cstheme="minorHAnsi"/>
                <w:i/>
                <w:sz w:val="20"/>
                <w:szCs w:val="20"/>
                <w:vertAlign w:val="superscript"/>
              </w:rPr>
              <w:t>*</w:t>
            </w:r>
          </w:p>
        </w:tc>
        <w:tc>
          <w:tcPr>
            <w:tcW w:w="825" w:type="pct"/>
          </w:tcPr>
          <w:p w14:paraId="498F5A1B" w14:textId="77777777" w:rsidR="001135DA" w:rsidRPr="00B27BF8" w:rsidRDefault="001135DA" w:rsidP="003F4EFD">
            <w:pPr>
              <w:rPr>
                <w:rFonts w:asciiTheme="minorHAnsi" w:hAnsiTheme="minorHAnsi" w:cstheme="minorHAnsi"/>
                <w:i/>
                <w:sz w:val="20"/>
                <w:szCs w:val="20"/>
              </w:rPr>
            </w:pPr>
            <w:r w:rsidRPr="00B27BF8">
              <w:rPr>
                <w:rFonts w:asciiTheme="minorHAnsi" w:hAnsiTheme="minorHAnsi" w:cstheme="minorHAnsi"/>
                <w:i/>
                <w:sz w:val="20"/>
                <w:szCs w:val="20"/>
              </w:rPr>
              <w:t xml:space="preserve">CSL Behring  </w:t>
            </w:r>
          </w:p>
        </w:tc>
        <w:tc>
          <w:tcPr>
            <w:tcW w:w="909" w:type="pct"/>
          </w:tcPr>
          <w:p w14:paraId="1B80958D" w14:textId="77777777" w:rsidR="001135DA" w:rsidRPr="00B27BF8" w:rsidRDefault="001135DA" w:rsidP="003F4EFD">
            <w:pPr>
              <w:rPr>
                <w:rFonts w:asciiTheme="minorHAnsi" w:hAnsiTheme="minorHAnsi" w:cstheme="minorHAnsi"/>
                <w:i/>
                <w:sz w:val="20"/>
                <w:szCs w:val="20"/>
              </w:rPr>
            </w:pPr>
            <w:r w:rsidRPr="00B27BF8">
              <w:rPr>
                <w:rFonts w:asciiTheme="minorHAnsi" w:hAnsiTheme="minorHAnsi" w:cstheme="minorHAnsi"/>
                <w:i/>
                <w:sz w:val="20"/>
                <w:szCs w:val="20"/>
              </w:rPr>
              <w:t>IV</w:t>
            </w:r>
          </w:p>
        </w:tc>
        <w:tc>
          <w:tcPr>
            <w:tcW w:w="1106" w:type="pct"/>
          </w:tcPr>
          <w:p w14:paraId="2EF61099" w14:textId="77777777" w:rsidR="001135DA" w:rsidRPr="00B27BF8" w:rsidRDefault="00C40A6F" w:rsidP="003F4EFD">
            <w:pPr>
              <w:rPr>
                <w:rFonts w:asciiTheme="minorHAnsi" w:hAnsiTheme="minorHAnsi" w:cstheme="minorHAnsi"/>
                <w:i/>
                <w:sz w:val="20"/>
                <w:szCs w:val="20"/>
                <w:highlight w:val="yellow"/>
              </w:rPr>
            </w:pPr>
            <w:r w:rsidRPr="00B27BF8">
              <w:rPr>
                <w:rFonts w:asciiTheme="minorHAnsi" w:hAnsiTheme="minorHAnsi" w:cstheme="minorHAnsi"/>
                <w:i/>
                <w:sz w:val="20"/>
                <w:szCs w:val="20"/>
              </w:rPr>
              <w:t>3g/50mL</w:t>
            </w:r>
          </w:p>
        </w:tc>
        <w:tc>
          <w:tcPr>
            <w:tcW w:w="1106" w:type="pct"/>
          </w:tcPr>
          <w:p w14:paraId="30E79746" w14:textId="77777777" w:rsidR="001135DA" w:rsidRPr="00B27BF8" w:rsidRDefault="001135DA" w:rsidP="003F4EFD">
            <w:pPr>
              <w:rPr>
                <w:rFonts w:asciiTheme="minorHAnsi" w:hAnsiTheme="minorHAnsi" w:cstheme="minorHAnsi"/>
                <w:i/>
                <w:sz w:val="20"/>
                <w:szCs w:val="20"/>
              </w:rPr>
            </w:pPr>
            <w:r w:rsidRPr="00B27BF8">
              <w:rPr>
                <w:rFonts w:asciiTheme="minorHAnsi" w:hAnsiTheme="minorHAnsi" w:cstheme="minorHAnsi"/>
                <w:i/>
                <w:sz w:val="20"/>
                <w:szCs w:val="20"/>
              </w:rPr>
              <w:t>$175</w:t>
            </w:r>
            <w:r w:rsidR="00186509" w:rsidRPr="00B27BF8">
              <w:rPr>
                <w:rFonts w:asciiTheme="minorHAnsi" w:hAnsiTheme="minorHAnsi" w:cstheme="minorHAnsi"/>
                <w:i/>
                <w:sz w:val="20"/>
                <w:szCs w:val="20"/>
              </w:rPr>
              <w:t>.</w:t>
            </w:r>
            <w:r w:rsidRPr="00B27BF8">
              <w:rPr>
                <w:rFonts w:asciiTheme="minorHAnsi" w:hAnsiTheme="minorHAnsi" w:cstheme="minorHAnsi"/>
                <w:i/>
                <w:sz w:val="20"/>
                <w:szCs w:val="20"/>
              </w:rPr>
              <w:t>48</w:t>
            </w:r>
          </w:p>
        </w:tc>
      </w:tr>
      <w:tr w:rsidR="001135DA" w:rsidRPr="00B27BF8" w14:paraId="6DB35B91" w14:textId="77777777" w:rsidTr="00C40A6F">
        <w:tc>
          <w:tcPr>
            <w:tcW w:w="1053" w:type="pct"/>
            <w:shd w:val="clear" w:color="auto" w:fill="FFFFFF" w:themeFill="background1"/>
          </w:tcPr>
          <w:p w14:paraId="6F7C58E3" w14:textId="77777777" w:rsidR="001135DA" w:rsidRPr="00B27BF8" w:rsidRDefault="00C40A6F" w:rsidP="003F4EFD">
            <w:pPr>
              <w:rPr>
                <w:rFonts w:asciiTheme="minorHAnsi" w:hAnsiTheme="minorHAnsi" w:cstheme="minorHAnsi"/>
                <w:sz w:val="20"/>
                <w:szCs w:val="20"/>
              </w:rPr>
            </w:pPr>
            <w:r w:rsidRPr="00B27BF8">
              <w:rPr>
                <w:rFonts w:asciiTheme="minorHAnsi" w:hAnsiTheme="minorHAnsi" w:cstheme="minorHAnsi"/>
                <w:sz w:val="20"/>
                <w:szCs w:val="20"/>
              </w:rPr>
              <w:t>Evogam</w:t>
            </w:r>
          </w:p>
        </w:tc>
        <w:tc>
          <w:tcPr>
            <w:tcW w:w="825" w:type="pct"/>
            <w:shd w:val="clear" w:color="auto" w:fill="FFFFFF" w:themeFill="background1"/>
          </w:tcPr>
          <w:p w14:paraId="106AF04F"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 xml:space="preserve">CSL Behring </w:t>
            </w:r>
          </w:p>
        </w:tc>
        <w:tc>
          <w:tcPr>
            <w:tcW w:w="909" w:type="pct"/>
            <w:shd w:val="clear" w:color="auto" w:fill="FFFFFF" w:themeFill="background1"/>
          </w:tcPr>
          <w:p w14:paraId="7191B347" w14:textId="77777777" w:rsidR="001135DA" w:rsidRPr="00B27BF8" w:rsidRDefault="001135DA" w:rsidP="003F4EFD">
            <w:pPr>
              <w:rPr>
                <w:rFonts w:asciiTheme="minorHAnsi" w:hAnsiTheme="minorHAnsi" w:cstheme="minorHAnsi"/>
                <w:sz w:val="20"/>
                <w:szCs w:val="20"/>
              </w:rPr>
            </w:pPr>
            <w:r w:rsidRPr="00B27BF8">
              <w:rPr>
                <w:rFonts w:asciiTheme="minorHAnsi" w:hAnsiTheme="minorHAnsi" w:cstheme="minorHAnsi"/>
                <w:sz w:val="20"/>
                <w:szCs w:val="20"/>
              </w:rPr>
              <w:t>SC</w:t>
            </w:r>
          </w:p>
        </w:tc>
        <w:tc>
          <w:tcPr>
            <w:tcW w:w="1106" w:type="pct"/>
            <w:shd w:val="clear" w:color="auto" w:fill="FFFFFF" w:themeFill="background1"/>
          </w:tcPr>
          <w:p w14:paraId="7D97ADEA"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16% 0</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8g/5mL</w:t>
            </w:r>
          </w:p>
          <w:p w14:paraId="3EF7E56A" w14:textId="77777777" w:rsidR="001135DA" w:rsidRPr="00B27BF8" w:rsidRDefault="00C40A6F" w:rsidP="00C40A6F">
            <w:pPr>
              <w:rPr>
                <w:rFonts w:asciiTheme="minorHAnsi" w:hAnsiTheme="minorHAnsi" w:cstheme="minorHAnsi"/>
                <w:sz w:val="20"/>
                <w:szCs w:val="20"/>
                <w:highlight w:val="yellow"/>
              </w:rPr>
            </w:pPr>
            <w:r w:rsidRPr="00B27BF8">
              <w:rPr>
                <w:rFonts w:asciiTheme="minorHAnsi" w:hAnsiTheme="minorHAnsi" w:cstheme="minorHAnsi"/>
                <w:sz w:val="20"/>
                <w:szCs w:val="20"/>
              </w:rPr>
              <w:t>16%3</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2g/20mL</w:t>
            </w:r>
          </w:p>
        </w:tc>
        <w:tc>
          <w:tcPr>
            <w:tcW w:w="1106" w:type="pct"/>
            <w:shd w:val="clear" w:color="auto" w:fill="FFFFFF" w:themeFill="background1"/>
          </w:tcPr>
          <w:p w14:paraId="4728F3A4" w14:textId="77777777" w:rsidR="00C40A6F" w:rsidRPr="00B27BF8" w:rsidRDefault="00C40A6F" w:rsidP="00C40A6F">
            <w:pPr>
              <w:rPr>
                <w:rFonts w:asciiTheme="minorHAnsi" w:hAnsiTheme="minorHAnsi" w:cstheme="minorHAnsi"/>
                <w:sz w:val="20"/>
                <w:szCs w:val="20"/>
              </w:rPr>
            </w:pPr>
            <w:r w:rsidRPr="00B27BF8">
              <w:rPr>
                <w:rFonts w:asciiTheme="minorHAnsi" w:hAnsiTheme="minorHAnsi" w:cstheme="minorHAnsi"/>
                <w:sz w:val="20"/>
                <w:szCs w:val="20"/>
              </w:rPr>
              <w:t>$46</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79</w:t>
            </w:r>
          </w:p>
          <w:p w14:paraId="0917B625" w14:textId="77777777" w:rsidR="001135DA" w:rsidRPr="00B27BF8" w:rsidRDefault="00C40A6F" w:rsidP="00C40A6F">
            <w:pPr>
              <w:rPr>
                <w:rFonts w:asciiTheme="minorHAnsi" w:hAnsiTheme="minorHAnsi" w:cstheme="minorHAnsi"/>
                <w:sz w:val="20"/>
                <w:szCs w:val="20"/>
                <w:highlight w:val="yellow"/>
              </w:rPr>
            </w:pPr>
            <w:r w:rsidRPr="00B27BF8">
              <w:rPr>
                <w:rFonts w:asciiTheme="minorHAnsi" w:hAnsiTheme="minorHAnsi" w:cstheme="minorHAnsi"/>
                <w:sz w:val="20"/>
                <w:szCs w:val="20"/>
              </w:rPr>
              <w:t>$187</w:t>
            </w:r>
            <w:r w:rsidR="00186509" w:rsidRPr="00B27BF8">
              <w:rPr>
                <w:rFonts w:asciiTheme="minorHAnsi" w:hAnsiTheme="minorHAnsi" w:cstheme="minorHAnsi"/>
                <w:sz w:val="20"/>
                <w:szCs w:val="20"/>
              </w:rPr>
              <w:t>.</w:t>
            </w:r>
            <w:r w:rsidRPr="00B27BF8">
              <w:rPr>
                <w:rFonts w:asciiTheme="minorHAnsi" w:hAnsiTheme="minorHAnsi" w:cstheme="minorHAnsi"/>
                <w:sz w:val="20"/>
                <w:szCs w:val="20"/>
              </w:rPr>
              <w:t>18</w:t>
            </w:r>
          </w:p>
        </w:tc>
      </w:tr>
    </w:tbl>
    <w:p w14:paraId="14CCB760" w14:textId="77777777" w:rsidR="00680C20" w:rsidRPr="00B27BF8" w:rsidRDefault="00FA0842" w:rsidP="00375FD1">
      <w:pPr>
        <w:pStyle w:val="ListParagraph"/>
        <w:spacing w:after="0" w:line="240" w:lineRule="auto"/>
        <w:ind w:left="0"/>
        <w:rPr>
          <w:rFonts w:asciiTheme="minorHAnsi" w:hAnsiTheme="minorHAnsi" w:cstheme="minorHAnsi"/>
          <w:sz w:val="18"/>
          <w:szCs w:val="18"/>
        </w:rPr>
      </w:pPr>
      <w:r w:rsidRPr="00B27BF8">
        <w:rPr>
          <w:rFonts w:asciiTheme="minorHAnsi" w:hAnsiTheme="minorHAnsi" w:cstheme="minorHAnsi"/>
          <w:sz w:val="18"/>
          <w:szCs w:val="18"/>
        </w:rPr>
        <w:t>*</w:t>
      </w:r>
      <w:r w:rsidR="00680C20" w:rsidRPr="00B27BF8">
        <w:rPr>
          <w:rFonts w:asciiTheme="minorHAnsi" w:hAnsiTheme="minorHAnsi" w:cstheme="minorHAnsi"/>
          <w:sz w:val="18"/>
          <w:szCs w:val="18"/>
        </w:rPr>
        <w:t xml:space="preserve"> </w:t>
      </w:r>
      <w:r w:rsidR="00CB292A" w:rsidRPr="00B27BF8">
        <w:rPr>
          <w:rFonts w:asciiTheme="minorHAnsi" w:hAnsiTheme="minorHAnsi" w:cstheme="minorHAnsi"/>
          <w:sz w:val="18"/>
          <w:szCs w:val="18"/>
        </w:rPr>
        <w:t xml:space="preserve">Intragam P </w:t>
      </w:r>
      <w:r w:rsidR="00222063" w:rsidRPr="00B27BF8">
        <w:rPr>
          <w:rFonts w:asciiTheme="minorHAnsi" w:hAnsiTheme="minorHAnsi" w:cstheme="minorHAnsi"/>
          <w:sz w:val="18"/>
          <w:szCs w:val="18"/>
        </w:rPr>
        <w:t xml:space="preserve">is </w:t>
      </w:r>
      <w:r w:rsidR="00CB292A" w:rsidRPr="00B27BF8">
        <w:rPr>
          <w:rFonts w:asciiTheme="minorHAnsi" w:hAnsiTheme="minorHAnsi" w:cstheme="minorHAnsi"/>
          <w:sz w:val="18"/>
          <w:szCs w:val="18"/>
        </w:rPr>
        <w:t>out of scope – see Table 1</w:t>
      </w:r>
      <w:r w:rsidR="00186509" w:rsidRPr="00B27BF8">
        <w:rPr>
          <w:rFonts w:asciiTheme="minorHAnsi" w:hAnsiTheme="minorHAnsi" w:cstheme="minorHAnsi"/>
          <w:sz w:val="18"/>
          <w:szCs w:val="18"/>
        </w:rPr>
        <w:t xml:space="preserve">. </w:t>
      </w:r>
      <w:r w:rsidR="00AF367E" w:rsidRPr="00B27BF8">
        <w:rPr>
          <w:rFonts w:asciiTheme="minorHAnsi" w:hAnsiTheme="minorHAnsi" w:cstheme="minorHAnsi"/>
          <w:sz w:val="18"/>
          <w:szCs w:val="18"/>
        </w:rPr>
        <w:t xml:space="preserve"> </w:t>
      </w:r>
    </w:p>
    <w:p w14:paraId="0CA38E5B" w14:textId="77777777" w:rsidR="00680C20" w:rsidRPr="00B27BF8" w:rsidRDefault="00FA0842" w:rsidP="00375FD1">
      <w:pPr>
        <w:pStyle w:val="ListParagraph"/>
        <w:spacing w:after="0" w:line="240" w:lineRule="auto"/>
        <w:ind w:left="0"/>
        <w:rPr>
          <w:rFonts w:asciiTheme="minorHAnsi" w:hAnsiTheme="minorHAnsi" w:cstheme="minorHAnsi"/>
          <w:sz w:val="18"/>
          <w:szCs w:val="18"/>
        </w:rPr>
      </w:pPr>
      <w:r w:rsidRPr="00B27BF8">
        <w:rPr>
          <w:rFonts w:asciiTheme="minorHAnsi" w:hAnsiTheme="minorHAnsi" w:cstheme="minorHAnsi"/>
          <w:sz w:val="18"/>
          <w:szCs w:val="18"/>
        </w:rPr>
        <w:t>IV=</w:t>
      </w:r>
      <w:r w:rsidR="00680C20" w:rsidRPr="00B27BF8">
        <w:rPr>
          <w:rFonts w:asciiTheme="minorHAnsi" w:hAnsiTheme="minorHAnsi" w:cstheme="minorHAnsi"/>
          <w:sz w:val="18"/>
          <w:szCs w:val="18"/>
        </w:rPr>
        <w:t>intravenous</w:t>
      </w:r>
      <w:r w:rsidRPr="00B27BF8">
        <w:rPr>
          <w:rFonts w:asciiTheme="minorHAnsi" w:hAnsiTheme="minorHAnsi" w:cstheme="minorHAnsi"/>
          <w:sz w:val="18"/>
          <w:szCs w:val="18"/>
        </w:rPr>
        <w:t>; SC=subcutaneous; IM=</w:t>
      </w:r>
      <w:r w:rsidR="00680C20" w:rsidRPr="00B27BF8">
        <w:rPr>
          <w:rFonts w:asciiTheme="minorHAnsi" w:hAnsiTheme="minorHAnsi" w:cstheme="minorHAnsi"/>
          <w:sz w:val="18"/>
          <w:szCs w:val="18"/>
        </w:rPr>
        <w:t xml:space="preserve">intramuscular </w:t>
      </w:r>
    </w:p>
    <w:p w14:paraId="7DB692E8" w14:textId="2F58DD06" w:rsidR="00D07F09" w:rsidRDefault="003F4EFD" w:rsidP="00A86A66">
      <w:pPr>
        <w:pStyle w:val="ListParagraph"/>
        <w:spacing w:after="0" w:line="240" w:lineRule="auto"/>
        <w:ind w:left="0"/>
        <w:rPr>
          <w:rFonts w:asciiTheme="minorHAnsi" w:hAnsiTheme="minorHAnsi" w:cstheme="minorHAnsi"/>
        </w:rPr>
      </w:pPr>
      <w:r w:rsidRPr="00B27BF8">
        <w:rPr>
          <w:rFonts w:asciiTheme="minorHAnsi" w:hAnsiTheme="minorHAnsi" w:cstheme="minorHAnsi"/>
          <w:sz w:val="18"/>
          <w:szCs w:val="18"/>
        </w:rPr>
        <w:t>Source: Table 2 MSAC Application 1565 Referral form</w:t>
      </w:r>
      <w:r w:rsidR="00C40A6F" w:rsidRPr="00B27BF8">
        <w:rPr>
          <w:rFonts w:asciiTheme="minorHAnsi" w:hAnsiTheme="minorHAnsi" w:cstheme="minorHAnsi"/>
          <w:sz w:val="18"/>
          <w:szCs w:val="18"/>
        </w:rPr>
        <w:t>; NBA National Product List (</w:t>
      </w:r>
      <w:hyperlink r:id="rId9" w:history="1">
        <w:r w:rsidR="00186509" w:rsidRPr="00B27BF8">
          <w:rPr>
            <w:rStyle w:val="Hyperlink"/>
            <w:rFonts w:asciiTheme="minorHAnsi" w:hAnsiTheme="minorHAnsi" w:cstheme="minorHAnsi"/>
            <w:sz w:val="18"/>
            <w:szCs w:val="18"/>
          </w:rPr>
          <w:t>https://www.blood.gov.au/national-product-list</w:t>
        </w:r>
      </w:hyperlink>
      <w:r w:rsidR="00C40A6F" w:rsidRPr="00B27BF8">
        <w:rPr>
          <w:rFonts w:asciiTheme="minorHAnsi" w:hAnsiTheme="minorHAnsi" w:cstheme="minorHAnsi"/>
          <w:sz w:val="18"/>
          <w:szCs w:val="18"/>
        </w:rPr>
        <w:t>)</w:t>
      </w:r>
      <w:r w:rsidR="00D07F09">
        <w:rPr>
          <w:rFonts w:asciiTheme="minorHAnsi" w:hAnsiTheme="minorHAnsi" w:cstheme="minorHAnsi"/>
        </w:rPr>
        <w:br w:type="page"/>
      </w:r>
    </w:p>
    <w:p w14:paraId="602EDA52" w14:textId="6F61D4BC" w:rsidR="00375FD1" w:rsidRPr="00B27BF8" w:rsidRDefault="00222063" w:rsidP="00375FD1">
      <w:pPr>
        <w:rPr>
          <w:rFonts w:asciiTheme="minorHAnsi" w:hAnsiTheme="minorHAnsi" w:cstheme="minorHAnsi"/>
          <w:i/>
        </w:rPr>
      </w:pPr>
      <w:r w:rsidRPr="00B27BF8">
        <w:rPr>
          <w:rFonts w:asciiTheme="minorHAnsi" w:hAnsiTheme="minorHAnsi" w:cstheme="minorHAnsi"/>
        </w:rPr>
        <w:lastRenderedPageBreak/>
        <w:t xml:space="preserve">The </w:t>
      </w:r>
      <w:r w:rsidR="005173D3">
        <w:rPr>
          <w:rFonts w:asciiTheme="minorHAnsi" w:hAnsiTheme="minorHAnsi" w:cstheme="minorHAnsi"/>
        </w:rPr>
        <w:t>Ig Review Reference Group considered whether</w:t>
      </w:r>
      <w:r w:rsidRPr="00B27BF8">
        <w:rPr>
          <w:rFonts w:asciiTheme="minorHAnsi" w:hAnsiTheme="minorHAnsi" w:cstheme="minorHAnsi"/>
        </w:rPr>
        <w:t xml:space="preserve"> </w:t>
      </w:r>
      <w:r w:rsidR="00375FD1" w:rsidRPr="00B27BF8">
        <w:rPr>
          <w:rFonts w:asciiTheme="minorHAnsi" w:hAnsiTheme="minorHAnsi" w:cstheme="minorHAnsi"/>
        </w:rPr>
        <w:t>SCIg should be considered a different intervention</w:t>
      </w:r>
      <w:r w:rsidR="000F5CFF" w:rsidRPr="00B27BF8">
        <w:rPr>
          <w:rFonts w:asciiTheme="minorHAnsi" w:hAnsiTheme="minorHAnsi" w:cstheme="minorHAnsi"/>
        </w:rPr>
        <w:t xml:space="preserve"> to IVIg</w:t>
      </w:r>
      <w:r w:rsidR="005173D3">
        <w:rPr>
          <w:rFonts w:asciiTheme="minorHAnsi" w:hAnsiTheme="minorHAnsi" w:cstheme="minorHAnsi"/>
        </w:rPr>
        <w:t xml:space="preserve"> given that</w:t>
      </w:r>
      <w:r w:rsidR="00375FD1" w:rsidRPr="00B27BF8">
        <w:rPr>
          <w:rFonts w:asciiTheme="minorHAnsi" w:hAnsiTheme="minorHAnsi" w:cstheme="minorHAnsi"/>
        </w:rPr>
        <w:t xml:space="preserve"> response rates between IVIg and SCIg for some of the selected outcomes (adverse events, number of infections, venous damage), and health service consumption (such as outpatient day-admission hospital care versus self-care) are likely to be different</w:t>
      </w:r>
      <w:r w:rsidR="00186509" w:rsidRPr="00B27BF8">
        <w:rPr>
          <w:rFonts w:asciiTheme="minorHAnsi" w:hAnsiTheme="minorHAnsi" w:cstheme="minorHAnsi"/>
        </w:rPr>
        <w:t>.</w:t>
      </w:r>
      <w:r w:rsidR="00375FD1" w:rsidRPr="00B27BF8">
        <w:rPr>
          <w:rFonts w:asciiTheme="minorHAnsi" w:hAnsiTheme="minorHAnsi" w:cstheme="minorHAnsi"/>
        </w:rPr>
        <w:t xml:space="preserve"> </w:t>
      </w:r>
      <w:r w:rsidR="00375FD1" w:rsidRPr="00393B81">
        <w:rPr>
          <w:rFonts w:asciiTheme="minorHAnsi" w:hAnsiTheme="minorHAnsi"/>
        </w:rPr>
        <w:t xml:space="preserve">However, differences </w:t>
      </w:r>
      <w:r w:rsidR="000655AF" w:rsidRPr="00393B81">
        <w:rPr>
          <w:rFonts w:asciiTheme="minorHAnsi" w:hAnsiTheme="minorHAnsi"/>
        </w:rPr>
        <w:t xml:space="preserve">also </w:t>
      </w:r>
      <w:r w:rsidR="00375FD1" w:rsidRPr="00393B81">
        <w:rPr>
          <w:rFonts w:asciiTheme="minorHAnsi" w:hAnsiTheme="minorHAnsi"/>
        </w:rPr>
        <w:t xml:space="preserve">apply across the conditions included in the indication such as baseline risk of infections, </w:t>
      </w:r>
      <w:r w:rsidR="000655AF" w:rsidRPr="00393B81">
        <w:rPr>
          <w:rFonts w:asciiTheme="minorHAnsi" w:hAnsiTheme="minorHAnsi"/>
        </w:rPr>
        <w:t>mortality</w:t>
      </w:r>
      <w:r w:rsidR="00375FD1" w:rsidRPr="00393B81">
        <w:rPr>
          <w:rFonts w:asciiTheme="minorHAnsi" w:hAnsiTheme="minorHAnsi"/>
        </w:rPr>
        <w:t>, rates and types of adverse events and other factors due to underlying disease</w:t>
      </w:r>
      <w:r w:rsidR="00186509" w:rsidRPr="00393B81">
        <w:rPr>
          <w:rFonts w:asciiTheme="minorHAnsi" w:hAnsiTheme="minorHAnsi"/>
        </w:rPr>
        <w:t xml:space="preserve">. </w:t>
      </w:r>
      <w:r w:rsidR="00375FD1" w:rsidRPr="00393B81">
        <w:rPr>
          <w:rFonts w:asciiTheme="minorHAnsi" w:hAnsiTheme="minorHAnsi"/>
        </w:rPr>
        <w:t>The clinical and regulatory rationale for using SCIg is predicated on the principles of IVIg use – even if these are considered different interventions, a systematic review to evaluate SCIg products would need to include evidence from IVIg administration to draw any meaningful conclusion</w:t>
      </w:r>
      <w:r w:rsidR="00186509" w:rsidRPr="00393B81">
        <w:rPr>
          <w:rFonts w:asciiTheme="minorHAnsi" w:hAnsiTheme="minorHAnsi"/>
        </w:rPr>
        <w:t xml:space="preserve">. </w:t>
      </w:r>
    </w:p>
    <w:p w14:paraId="007A685D" w14:textId="77777777" w:rsidR="00375FD1" w:rsidRPr="00B27BF8" w:rsidRDefault="00375FD1" w:rsidP="00DE2EF2">
      <w:pPr>
        <w:keepNext/>
        <w:rPr>
          <w:rFonts w:asciiTheme="minorHAnsi" w:hAnsiTheme="minorHAnsi" w:cstheme="minorHAnsi"/>
          <w:u w:val="single"/>
        </w:rPr>
      </w:pPr>
      <w:r w:rsidRPr="00B27BF8">
        <w:rPr>
          <w:rFonts w:asciiTheme="minorHAnsi" w:hAnsiTheme="minorHAnsi" w:cstheme="minorHAnsi"/>
          <w:u w:val="single"/>
        </w:rPr>
        <w:t>Provider and treatment setting</w:t>
      </w:r>
    </w:p>
    <w:p w14:paraId="730272D3" w14:textId="77777777" w:rsidR="00070680" w:rsidRPr="00B27BF8" w:rsidRDefault="00070680" w:rsidP="00070680">
      <w:pPr>
        <w:rPr>
          <w:rFonts w:asciiTheme="minorHAnsi" w:hAnsiTheme="minorHAnsi" w:cstheme="minorHAnsi"/>
        </w:rPr>
      </w:pPr>
      <w:r w:rsidRPr="00B27BF8">
        <w:rPr>
          <w:rFonts w:asciiTheme="minorHAnsi" w:hAnsiTheme="minorHAnsi" w:cstheme="minorHAnsi"/>
        </w:rPr>
        <w:t>In order to qualify for supply of IgG, a diagnosis must be made by an immunologist, haematologist, paediatrician, general medicine physician or an oncologist. Management and review of the patient and prescribing of continuing treatment should also be undertake</w:t>
      </w:r>
      <w:r w:rsidR="005173D3">
        <w:rPr>
          <w:rFonts w:asciiTheme="minorHAnsi" w:hAnsiTheme="minorHAnsi" w:cstheme="minorHAnsi"/>
        </w:rPr>
        <w:t xml:space="preserve">n by one of these specialists. </w:t>
      </w:r>
      <w:r w:rsidR="005173D3" w:rsidRPr="00B27BF8">
        <w:rPr>
          <w:rFonts w:asciiTheme="minorHAnsi" w:hAnsiTheme="minorHAnsi" w:cstheme="minorHAnsi"/>
        </w:rPr>
        <w:t xml:space="preserve">Applications for IgG are made through the BloodSTAR online portal and assessed against the </w:t>
      </w:r>
      <w:r w:rsidR="005173D3" w:rsidRPr="00B27BF8">
        <w:rPr>
          <w:rFonts w:asciiTheme="minorHAnsi" w:hAnsiTheme="minorHAnsi" w:cstheme="minorHAnsi"/>
          <w:i/>
        </w:rPr>
        <w:t>Criteria Version 3</w:t>
      </w:r>
      <w:r w:rsidR="005173D3" w:rsidRPr="00B27BF8">
        <w:rPr>
          <w:rFonts w:asciiTheme="minorHAnsi" w:hAnsiTheme="minorHAnsi" w:cstheme="minorHAnsi"/>
        </w:rPr>
        <w:t xml:space="preserve">. </w:t>
      </w:r>
    </w:p>
    <w:p w14:paraId="3FFC0DF4" w14:textId="77777777" w:rsidR="00375FD1" w:rsidRPr="00B27BF8" w:rsidRDefault="00375FD1" w:rsidP="00375FD1">
      <w:pPr>
        <w:rPr>
          <w:rFonts w:asciiTheme="minorHAnsi" w:hAnsiTheme="minorHAnsi" w:cstheme="minorHAnsi"/>
        </w:rPr>
      </w:pPr>
      <w:r w:rsidRPr="00B27BF8">
        <w:rPr>
          <w:rFonts w:asciiTheme="minorHAnsi" w:hAnsiTheme="minorHAnsi" w:cstheme="minorHAnsi"/>
        </w:rPr>
        <w:t>IVIg administration requires a hospital or clinic with IV infusion facilities</w:t>
      </w:r>
      <w:r w:rsidR="00186509" w:rsidRPr="00B27BF8">
        <w:rPr>
          <w:rFonts w:asciiTheme="minorHAnsi" w:hAnsiTheme="minorHAnsi" w:cstheme="minorHAnsi"/>
        </w:rPr>
        <w:t xml:space="preserve">. </w:t>
      </w:r>
      <w:r w:rsidRPr="00B27BF8">
        <w:rPr>
          <w:rFonts w:asciiTheme="minorHAnsi" w:hAnsiTheme="minorHAnsi" w:cstheme="minorHAnsi"/>
        </w:rPr>
        <w:t>For access to SCIg (in addition to requirements applicable for access to IVIg), the patient must be being treated by a clinical specialist within a hospital</w:t>
      </w:r>
      <w:r w:rsidR="00ED0866">
        <w:rPr>
          <w:rFonts w:asciiTheme="minorHAnsi" w:hAnsiTheme="minorHAnsi" w:cstheme="minorHAnsi"/>
        </w:rPr>
        <w:t xml:space="preserve"> </w:t>
      </w:r>
      <w:r w:rsidR="00ED0866">
        <w:t xml:space="preserve">participating in the National </w:t>
      </w:r>
      <w:r w:rsidRPr="00B27BF8">
        <w:rPr>
          <w:rFonts w:asciiTheme="minorHAnsi" w:hAnsiTheme="minorHAnsi" w:cstheme="minorHAnsi"/>
        </w:rPr>
        <w:t xml:space="preserve">SCIg </w:t>
      </w:r>
      <w:r w:rsidR="00ED0866">
        <w:rPr>
          <w:rFonts w:asciiTheme="minorHAnsi" w:hAnsiTheme="minorHAnsi" w:cstheme="minorHAnsi"/>
        </w:rPr>
        <w:t>P</w:t>
      </w:r>
      <w:r w:rsidRPr="00B27BF8">
        <w:rPr>
          <w:rFonts w:asciiTheme="minorHAnsi" w:hAnsiTheme="minorHAnsi" w:cstheme="minorHAnsi"/>
        </w:rPr>
        <w:t>rogram</w:t>
      </w:r>
      <w:r w:rsidR="00070680" w:rsidRPr="00B27BF8">
        <w:rPr>
          <w:rStyle w:val="FootnoteReference"/>
          <w:rFonts w:asciiTheme="minorHAnsi" w:hAnsiTheme="minorHAnsi" w:cstheme="minorHAnsi"/>
        </w:rPr>
        <w:footnoteReference w:id="8"/>
      </w:r>
      <w:r w:rsidR="00186509" w:rsidRPr="00B27BF8">
        <w:rPr>
          <w:rFonts w:asciiTheme="minorHAnsi" w:hAnsiTheme="minorHAnsi" w:cstheme="minorHAnsi"/>
        </w:rPr>
        <w:t>.</w:t>
      </w:r>
      <w:r w:rsidRPr="00B27BF8">
        <w:rPr>
          <w:rFonts w:asciiTheme="minorHAnsi" w:hAnsiTheme="minorHAnsi" w:cstheme="minorHAnsi"/>
        </w:rPr>
        <w:t xml:space="preserve"> The patient/carer must be trained in the procedure by a qualified nurse or technician to deliver SCIg in an out of hospital setting</w:t>
      </w:r>
      <w:r w:rsidR="00186509" w:rsidRPr="00B27BF8">
        <w:rPr>
          <w:rFonts w:asciiTheme="minorHAnsi" w:hAnsiTheme="minorHAnsi" w:cstheme="minorHAnsi"/>
        </w:rPr>
        <w:t xml:space="preserve">. </w:t>
      </w:r>
    </w:p>
    <w:p w14:paraId="43B00E0D" w14:textId="77777777" w:rsidR="000655AF" w:rsidRPr="00B27BF8" w:rsidRDefault="000655AF" w:rsidP="000655AF">
      <w:pPr>
        <w:keepNext/>
        <w:rPr>
          <w:rFonts w:asciiTheme="minorHAnsi" w:hAnsiTheme="minorHAnsi" w:cstheme="minorHAnsi"/>
          <w:u w:val="single"/>
        </w:rPr>
      </w:pPr>
      <w:r w:rsidRPr="00B27BF8">
        <w:rPr>
          <w:rFonts w:asciiTheme="minorHAnsi" w:hAnsiTheme="minorHAnsi" w:cstheme="minorHAnsi"/>
          <w:u w:val="single"/>
        </w:rPr>
        <w:t>Criteria for initial treatment</w:t>
      </w:r>
    </w:p>
    <w:p w14:paraId="5417DC57" w14:textId="77777777" w:rsidR="000655AF" w:rsidRPr="00B27BF8" w:rsidRDefault="000655AF" w:rsidP="000655AF">
      <w:pPr>
        <w:rPr>
          <w:rFonts w:asciiTheme="minorHAnsi" w:hAnsiTheme="minorHAnsi" w:cstheme="minorHAnsi"/>
        </w:rPr>
      </w:pPr>
      <w:r w:rsidRPr="00B27BF8">
        <w:rPr>
          <w:rFonts w:asciiTheme="minorHAnsi" w:hAnsiTheme="minorHAnsi" w:cstheme="minorHAnsi"/>
        </w:rPr>
        <w:t>According to the</w:t>
      </w:r>
      <w:r w:rsidRPr="00B27BF8">
        <w:rPr>
          <w:rFonts w:asciiTheme="minorHAnsi" w:hAnsiTheme="minorHAnsi" w:cstheme="minorHAnsi"/>
          <w:i/>
        </w:rPr>
        <w:t xml:space="preserve"> Criteria</w:t>
      </w:r>
      <w:r w:rsidR="003032CA" w:rsidRPr="00B27BF8">
        <w:rPr>
          <w:rFonts w:asciiTheme="minorHAnsi" w:hAnsiTheme="minorHAnsi" w:cstheme="minorHAnsi"/>
          <w:i/>
        </w:rPr>
        <w:t xml:space="preserve"> Version 3</w:t>
      </w:r>
      <w:r w:rsidRPr="00B27BF8">
        <w:rPr>
          <w:rFonts w:asciiTheme="minorHAnsi" w:hAnsiTheme="minorHAnsi" w:cstheme="minorHAnsi"/>
        </w:rPr>
        <w:t>, treating specialists should report the following clinical parameters (for review by the Blood</w:t>
      </w:r>
      <w:r w:rsidR="008B425A" w:rsidRPr="00B27BF8">
        <w:rPr>
          <w:rFonts w:asciiTheme="minorHAnsi" w:hAnsiTheme="minorHAnsi" w:cstheme="minorHAnsi"/>
        </w:rPr>
        <w:t>STAR</w:t>
      </w:r>
      <w:r w:rsidRPr="00B27BF8">
        <w:rPr>
          <w:rFonts w:asciiTheme="minorHAnsi" w:hAnsiTheme="minorHAnsi" w:cstheme="minorHAnsi"/>
        </w:rPr>
        <w:t xml:space="preserve"> reviewing officer):</w:t>
      </w:r>
    </w:p>
    <w:p w14:paraId="326CEAB8" w14:textId="77777777" w:rsidR="000655AF" w:rsidRPr="00B27BF8" w:rsidRDefault="000655AF" w:rsidP="00A86A66">
      <w:pPr>
        <w:tabs>
          <w:tab w:val="left" w:pos="284"/>
        </w:tabs>
        <w:spacing w:after="0" w:line="240" w:lineRule="auto"/>
        <w:ind w:left="568" w:hanging="284"/>
        <w:rPr>
          <w:rFonts w:asciiTheme="minorHAnsi" w:hAnsiTheme="minorHAnsi" w:cstheme="minorHAnsi"/>
        </w:rPr>
      </w:pPr>
      <w:r w:rsidRPr="00B27BF8">
        <w:rPr>
          <w:rFonts w:asciiTheme="minorHAnsi" w:hAnsiTheme="minorHAnsi" w:cstheme="minorHAnsi"/>
        </w:rPr>
        <w:t>•</w:t>
      </w:r>
      <w:r w:rsidRPr="00B27BF8">
        <w:rPr>
          <w:rFonts w:asciiTheme="minorHAnsi" w:hAnsiTheme="minorHAnsi" w:cstheme="minorHAnsi"/>
        </w:rPr>
        <w:tab/>
        <w:t>Serum IgG level (results of two readings at least an hour apart, one taken when the patient does not have active infection)</w:t>
      </w:r>
    </w:p>
    <w:p w14:paraId="17756B04" w14:textId="77777777" w:rsidR="000655AF" w:rsidRPr="00B27BF8" w:rsidRDefault="000655AF" w:rsidP="00A86A66">
      <w:pPr>
        <w:tabs>
          <w:tab w:val="left" w:pos="284"/>
        </w:tabs>
        <w:spacing w:after="0" w:line="240" w:lineRule="auto"/>
        <w:ind w:left="568" w:hanging="284"/>
        <w:rPr>
          <w:rFonts w:asciiTheme="minorHAnsi" w:hAnsiTheme="minorHAnsi" w:cstheme="minorHAnsi"/>
        </w:rPr>
      </w:pPr>
      <w:r w:rsidRPr="00B27BF8">
        <w:rPr>
          <w:rFonts w:asciiTheme="minorHAnsi" w:hAnsiTheme="minorHAnsi" w:cstheme="minorHAnsi"/>
        </w:rPr>
        <w:t>•</w:t>
      </w:r>
      <w:r w:rsidRPr="00B27BF8">
        <w:rPr>
          <w:rFonts w:asciiTheme="minorHAnsi" w:hAnsiTheme="minorHAnsi" w:cstheme="minorHAnsi"/>
        </w:rPr>
        <w:tab/>
        <w:t>Serum IgM level (as a baseline for monitoring)</w:t>
      </w:r>
    </w:p>
    <w:p w14:paraId="0E972796" w14:textId="77777777" w:rsidR="000655AF" w:rsidRPr="00B27BF8" w:rsidRDefault="000655AF" w:rsidP="00A86A66">
      <w:pPr>
        <w:tabs>
          <w:tab w:val="left" w:pos="284"/>
        </w:tabs>
        <w:spacing w:after="0" w:line="240" w:lineRule="auto"/>
        <w:ind w:left="568" w:hanging="284"/>
        <w:rPr>
          <w:rFonts w:asciiTheme="minorHAnsi" w:hAnsiTheme="minorHAnsi" w:cstheme="minorHAnsi"/>
        </w:rPr>
      </w:pPr>
      <w:r w:rsidRPr="00B27BF8">
        <w:rPr>
          <w:rFonts w:asciiTheme="minorHAnsi" w:hAnsiTheme="minorHAnsi" w:cstheme="minorHAnsi"/>
        </w:rPr>
        <w:t>•</w:t>
      </w:r>
      <w:r w:rsidRPr="00B27BF8">
        <w:rPr>
          <w:rFonts w:asciiTheme="minorHAnsi" w:hAnsiTheme="minorHAnsi" w:cstheme="minorHAnsi"/>
        </w:rPr>
        <w:tab/>
        <w:t>Serum IgA level (as a baseline for monitoring)</w:t>
      </w:r>
    </w:p>
    <w:p w14:paraId="57D662A2" w14:textId="77777777" w:rsidR="000655AF" w:rsidRPr="00B27BF8" w:rsidRDefault="000655AF" w:rsidP="00A86A66">
      <w:pPr>
        <w:tabs>
          <w:tab w:val="left" w:pos="284"/>
        </w:tabs>
        <w:spacing w:after="0" w:line="240" w:lineRule="auto"/>
        <w:ind w:left="568" w:hanging="284"/>
        <w:rPr>
          <w:rFonts w:asciiTheme="minorHAnsi" w:hAnsiTheme="minorHAnsi" w:cstheme="minorHAnsi"/>
        </w:rPr>
      </w:pPr>
      <w:r w:rsidRPr="00B27BF8">
        <w:rPr>
          <w:rFonts w:asciiTheme="minorHAnsi" w:hAnsiTheme="minorHAnsi" w:cstheme="minorHAnsi"/>
        </w:rPr>
        <w:t>•</w:t>
      </w:r>
      <w:r w:rsidRPr="00B27BF8">
        <w:rPr>
          <w:rFonts w:asciiTheme="minorHAnsi" w:hAnsiTheme="minorHAnsi" w:cstheme="minorHAnsi"/>
        </w:rPr>
        <w:tab/>
        <w:t xml:space="preserve">The number of acute episodes of bacterial infection requiring antibiotics in last 6 months (the most severe infection(s) </w:t>
      </w:r>
      <w:r w:rsidR="00ED0866">
        <w:rPr>
          <w:rFonts w:asciiTheme="minorHAnsi" w:hAnsiTheme="minorHAnsi" w:cstheme="minorHAnsi"/>
        </w:rPr>
        <w:t>that have</w:t>
      </w:r>
      <w:r w:rsidRPr="00B27BF8">
        <w:rPr>
          <w:rFonts w:asciiTheme="minorHAnsi" w:hAnsiTheme="minorHAnsi" w:cstheme="minorHAnsi"/>
        </w:rPr>
        <w:t xml:space="preserve"> occurred within the last 6 months)</w:t>
      </w:r>
    </w:p>
    <w:p w14:paraId="5692C315" w14:textId="77777777" w:rsidR="000655AF" w:rsidRPr="00B27BF8" w:rsidRDefault="000655AF" w:rsidP="00A86A66">
      <w:pPr>
        <w:tabs>
          <w:tab w:val="left" w:pos="284"/>
        </w:tabs>
        <w:spacing w:after="0"/>
        <w:ind w:left="568" w:hanging="284"/>
        <w:rPr>
          <w:rFonts w:asciiTheme="minorHAnsi" w:hAnsiTheme="minorHAnsi" w:cstheme="minorHAnsi"/>
        </w:rPr>
      </w:pPr>
      <w:r w:rsidRPr="00B27BF8">
        <w:rPr>
          <w:rFonts w:asciiTheme="minorHAnsi" w:hAnsiTheme="minorHAnsi" w:cstheme="minorHAnsi"/>
        </w:rPr>
        <w:t>•</w:t>
      </w:r>
      <w:r w:rsidRPr="00B27BF8">
        <w:rPr>
          <w:rFonts w:asciiTheme="minorHAnsi" w:hAnsiTheme="minorHAnsi" w:cstheme="minorHAnsi"/>
        </w:rPr>
        <w:tab/>
        <w:t xml:space="preserve">Description of the bacterial infections and antibiotic or other treatment required </w:t>
      </w:r>
    </w:p>
    <w:p w14:paraId="5752DB7D" w14:textId="77777777" w:rsidR="000655AF" w:rsidRPr="00B27BF8" w:rsidRDefault="000655AF" w:rsidP="00DE2EF2">
      <w:pPr>
        <w:keepNext/>
        <w:rPr>
          <w:rFonts w:asciiTheme="minorHAnsi" w:hAnsiTheme="minorHAnsi" w:cstheme="minorHAnsi"/>
          <w:u w:val="single"/>
        </w:rPr>
      </w:pPr>
      <w:r w:rsidRPr="00B27BF8">
        <w:rPr>
          <w:rFonts w:asciiTheme="minorHAnsi" w:hAnsiTheme="minorHAnsi" w:cstheme="minorHAnsi"/>
          <w:u w:val="single"/>
        </w:rPr>
        <w:t>Criteria for continuing treatment</w:t>
      </w:r>
    </w:p>
    <w:p w14:paraId="20BB229A" w14:textId="77777777" w:rsidR="000655AF" w:rsidRPr="00B27BF8" w:rsidRDefault="000655AF" w:rsidP="000655AF">
      <w:pPr>
        <w:rPr>
          <w:rFonts w:asciiTheme="minorHAnsi" w:hAnsiTheme="minorHAnsi" w:cstheme="minorHAnsi"/>
        </w:rPr>
      </w:pPr>
      <w:r w:rsidRPr="00B27BF8">
        <w:rPr>
          <w:rFonts w:asciiTheme="minorHAnsi" w:hAnsiTheme="minorHAnsi" w:cstheme="minorHAnsi"/>
        </w:rPr>
        <w:t>According to the</w:t>
      </w:r>
      <w:r w:rsidRPr="00B27BF8">
        <w:rPr>
          <w:rFonts w:asciiTheme="minorHAnsi" w:hAnsiTheme="minorHAnsi" w:cstheme="minorHAnsi"/>
          <w:i/>
        </w:rPr>
        <w:t xml:space="preserve"> Criteria</w:t>
      </w:r>
      <w:r w:rsidR="00222063" w:rsidRPr="00B27BF8">
        <w:rPr>
          <w:rFonts w:asciiTheme="minorHAnsi" w:hAnsiTheme="minorHAnsi" w:cstheme="minorHAnsi"/>
          <w:i/>
        </w:rPr>
        <w:t xml:space="preserve"> </w:t>
      </w:r>
      <w:r w:rsidR="003032CA" w:rsidRPr="00B27BF8">
        <w:rPr>
          <w:rFonts w:asciiTheme="minorHAnsi" w:hAnsiTheme="minorHAnsi" w:cstheme="minorHAnsi"/>
          <w:i/>
        </w:rPr>
        <w:t>V</w:t>
      </w:r>
      <w:r w:rsidR="00222063" w:rsidRPr="00B27BF8">
        <w:rPr>
          <w:rFonts w:asciiTheme="minorHAnsi" w:hAnsiTheme="minorHAnsi" w:cstheme="minorHAnsi"/>
          <w:i/>
        </w:rPr>
        <w:t>ersion 3</w:t>
      </w:r>
      <w:r w:rsidRPr="00B27BF8">
        <w:rPr>
          <w:rFonts w:asciiTheme="minorHAnsi" w:hAnsiTheme="minorHAnsi" w:cstheme="minorHAnsi"/>
        </w:rPr>
        <w:t>, initial review is required within six months at which time only those patients showing ‘demonstrated clinical benefit’ should be considered for continuing treatment</w:t>
      </w:r>
      <w:r w:rsidR="00186509" w:rsidRPr="00B27BF8">
        <w:rPr>
          <w:rFonts w:asciiTheme="minorHAnsi" w:hAnsiTheme="minorHAnsi" w:cstheme="minorHAnsi"/>
        </w:rPr>
        <w:t xml:space="preserve">. </w:t>
      </w:r>
      <w:r w:rsidRPr="00B27BF8">
        <w:rPr>
          <w:rFonts w:asciiTheme="minorHAnsi" w:hAnsiTheme="minorHAnsi" w:cstheme="minorHAnsi"/>
        </w:rPr>
        <w:t>Thereafter, review should be annual</w:t>
      </w:r>
      <w:r w:rsidR="00D64850" w:rsidRPr="00B27BF8">
        <w:rPr>
          <w:rFonts w:asciiTheme="minorHAnsi" w:hAnsiTheme="minorHAnsi" w:cstheme="minorHAnsi"/>
        </w:rPr>
        <w:t xml:space="preserve"> at which time number of infections should be reviewed</w:t>
      </w:r>
      <w:r w:rsidR="00186509" w:rsidRPr="00B27BF8">
        <w:rPr>
          <w:rFonts w:asciiTheme="minorHAnsi" w:hAnsiTheme="minorHAnsi" w:cstheme="minorHAnsi"/>
        </w:rPr>
        <w:t xml:space="preserve">. </w:t>
      </w:r>
      <w:r w:rsidRPr="00B27BF8">
        <w:rPr>
          <w:rFonts w:asciiTheme="minorHAnsi" w:hAnsiTheme="minorHAnsi" w:cstheme="minorHAnsi"/>
        </w:rPr>
        <w:t>The</w:t>
      </w:r>
      <w:r w:rsidRPr="00B27BF8">
        <w:rPr>
          <w:rFonts w:asciiTheme="minorHAnsi" w:hAnsiTheme="minorHAnsi" w:cstheme="minorHAnsi"/>
          <w:i/>
        </w:rPr>
        <w:t xml:space="preserve"> Criteria</w:t>
      </w:r>
      <w:r w:rsidRPr="00B27BF8">
        <w:rPr>
          <w:rFonts w:asciiTheme="minorHAnsi" w:hAnsiTheme="minorHAnsi" w:cstheme="minorHAnsi"/>
        </w:rPr>
        <w:t xml:space="preserve"> </w:t>
      </w:r>
      <w:r w:rsidR="003032CA" w:rsidRPr="00B27BF8">
        <w:rPr>
          <w:rFonts w:asciiTheme="minorHAnsi" w:hAnsiTheme="minorHAnsi" w:cstheme="minorHAnsi"/>
          <w:i/>
        </w:rPr>
        <w:t>Version 3</w:t>
      </w:r>
      <w:r w:rsidR="003032CA" w:rsidRPr="00B27BF8">
        <w:rPr>
          <w:rFonts w:asciiTheme="minorHAnsi" w:hAnsiTheme="minorHAnsi" w:cstheme="minorHAnsi"/>
        </w:rPr>
        <w:t xml:space="preserve"> </w:t>
      </w:r>
      <w:r w:rsidRPr="00B27BF8">
        <w:rPr>
          <w:rFonts w:asciiTheme="minorHAnsi" w:hAnsiTheme="minorHAnsi" w:cstheme="minorHAnsi"/>
        </w:rPr>
        <w:t xml:space="preserve">do not define clinical benefit </w:t>
      </w:r>
      <w:r w:rsidR="00C77F5E" w:rsidRPr="00B27BF8">
        <w:rPr>
          <w:rFonts w:asciiTheme="minorHAnsi" w:hAnsiTheme="minorHAnsi" w:cstheme="minorHAnsi"/>
        </w:rPr>
        <w:t xml:space="preserve">but </w:t>
      </w:r>
      <w:r w:rsidRPr="00B27BF8">
        <w:rPr>
          <w:rFonts w:asciiTheme="minorHAnsi" w:hAnsiTheme="minorHAnsi" w:cstheme="minorHAnsi"/>
        </w:rPr>
        <w:t>the following factors ‘inform a decision to trial a cessation of therapy’</w:t>
      </w:r>
      <w:r w:rsidR="00C77F5E" w:rsidRPr="00B27BF8">
        <w:rPr>
          <w:rFonts w:asciiTheme="minorHAnsi" w:hAnsiTheme="minorHAnsi" w:cstheme="minorHAnsi"/>
        </w:rPr>
        <w:t xml:space="preserve"> by the reviewing medical officer</w:t>
      </w:r>
      <w:r w:rsidRPr="00B27BF8">
        <w:rPr>
          <w:rFonts w:asciiTheme="minorHAnsi" w:hAnsiTheme="minorHAnsi" w:cstheme="minorHAnsi"/>
        </w:rPr>
        <w:t>:</w:t>
      </w:r>
    </w:p>
    <w:p w14:paraId="462B3FC4" w14:textId="77777777" w:rsidR="000655AF" w:rsidRPr="00B27BF8" w:rsidRDefault="000655AF" w:rsidP="00A86A66">
      <w:pPr>
        <w:pStyle w:val="ListParagraph"/>
        <w:numPr>
          <w:ilvl w:val="0"/>
          <w:numId w:val="10"/>
        </w:numPr>
        <w:spacing w:after="0"/>
        <w:rPr>
          <w:rFonts w:asciiTheme="minorHAnsi" w:hAnsiTheme="minorHAnsi" w:cstheme="minorHAnsi"/>
        </w:rPr>
      </w:pPr>
      <w:r w:rsidRPr="00B27BF8">
        <w:rPr>
          <w:rFonts w:asciiTheme="minorHAnsi" w:hAnsiTheme="minorHAnsi" w:cstheme="minorHAnsi"/>
        </w:rPr>
        <w:t>An increase in IgG levels (increase compared with baseline or stabilisation towards normal)</w:t>
      </w:r>
    </w:p>
    <w:p w14:paraId="043A2989" w14:textId="77777777" w:rsidR="000655AF" w:rsidRPr="00B27BF8" w:rsidRDefault="000655AF" w:rsidP="00A86A66">
      <w:pPr>
        <w:pStyle w:val="ListParagraph"/>
        <w:numPr>
          <w:ilvl w:val="0"/>
          <w:numId w:val="10"/>
        </w:numPr>
        <w:spacing w:after="0"/>
        <w:rPr>
          <w:rFonts w:asciiTheme="minorHAnsi" w:hAnsiTheme="minorHAnsi" w:cstheme="minorHAnsi"/>
        </w:rPr>
      </w:pPr>
      <w:r w:rsidRPr="00B27BF8">
        <w:rPr>
          <w:rFonts w:asciiTheme="minorHAnsi" w:hAnsiTheme="minorHAnsi" w:cstheme="minorHAnsi"/>
        </w:rPr>
        <w:lastRenderedPageBreak/>
        <w:t>An improvement in IgM levels</w:t>
      </w:r>
      <w:r w:rsidR="002D2168" w:rsidRPr="00B27BF8">
        <w:rPr>
          <w:rFonts w:asciiTheme="minorHAnsi" w:hAnsiTheme="minorHAnsi" w:cstheme="minorHAnsi"/>
        </w:rPr>
        <w:t xml:space="preserve"> (an indicator of humoral immune function)</w:t>
      </w:r>
    </w:p>
    <w:p w14:paraId="46580C64" w14:textId="77777777" w:rsidR="000655AF" w:rsidRPr="00B27BF8" w:rsidRDefault="000655AF" w:rsidP="00A86A66">
      <w:pPr>
        <w:pStyle w:val="ListParagraph"/>
        <w:numPr>
          <w:ilvl w:val="0"/>
          <w:numId w:val="10"/>
        </w:numPr>
        <w:spacing w:after="0"/>
        <w:rPr>
          <w:rFonts w:asciiTheme="minorHAnsi" w:hAnsiTheme="minorHAnsi" w:cstheme="minorHAnsi"/>
        </w:rPr>
      </w:pPr>
      <w:r w:rsidRPr="00B27BF8">
        <w:rPr>
          <w:rFonts w:asciiTheme="minorHAnsi" w:hAnsiTheme="minorHAnsi" w:cstheme="minorHAnsi"/>
        </w:rPr>
        <w:t>An improvement in IgA levels</w:t>
      </w:r>
      <w:r w:rsidR="002D2168" w:rsidRPr="00B27BF8">
        <w:rPr>
          <w:rFonts w:asciiTheme="minorHAnsi" w:hAnsiTheme="minorHAnsi" w:cstheme="minorHAnsi"/>
        </w:rPr>
        <w:t xml:space="preserve"> (an indicator of humoral immune function)</w:t>
      </w:r>
    </w:p>
    <w:p w14:paraId="3AE024D5" w14:textId="77777777" w:rsidR="000655AF" w:rsidRPr="00B27BF8" w:rsidRDefault="000655AF" w:rsidP="00A86A66">
      <w:pPr>
        <w:pStyle w:val="ListParagraph"/>
        <w:numPr>
          <w:ilvl w:val="0"/>
          <w:numId w:val="10"/>
        </w:numPr>
        <w:spacing w:after="0"/>
        <w:rPr>
          <w:rFonts w:asciiTheme="minorHAnsi" w:hAnsiTheme="minorHAnsi" w:cstheme="minorHAnsi"/>
        </w:rPr>
      </w:pPr>
      <w:r w:rsidRPr="00B27BF8">
        <w:rPr>
          <w:rFonts w:asciiTheme="minorHAnsi" w:hAnsiTheme="minorHAnsi" w:cstheme="minorHAnsi"/>
        </w:rPr>
        <w:t>An improvement in the number of acute episodes of bacterial infections followed by a sustained period with no infections in subsequent review periods</w:t>
      </w:r>
    </w:p>
    <w:p w14:paraId="43F1C450" w14:textId="77777777" w:rsidR="00882234" w:rsidRPr="00B27BF8" w:rsidRDefault="000655AF" w:rsidP="000655AF">
      <w:pPr>
        <w:rPr>
          <w:rFonts w:asciiTheme="minorHAnsi" w:hAnsiTheme="minorHAnsi" w:cstheme="minorHAnsi"/>
        </w:rPr>
      </w:pPr>
      <w:r w:rsidRPr="00B27BF8">
        <w:rPr>
          <w:rFonts w:asciiTheme="minorHAnsi" w:hAnsiTheme="minorHAnsi" w:cstheme="minorHAnsi"/>
        </w:rPr>
        <w:t>A trial cessation of IgG would be contraindicated on safety grounds (if the patient is receiving immunosuppressant medication or has neutropenia, active bronchiectasis, or suppurative lung disease) or if severe hypogammaglobulinemia persists where no significant improvement has occurred in the underlying condition</w:t>
      </w:r>
      <w:r w:rsidR="00186509" w:rsidRPr="00B27BF8">
        <w:rPr>
          <w:rFonts w:asciiTheme="minorHAnsi" w:hAnsiTheme="minorHAnsi" w:cstheme="minorHAnsi"/>
        </w:rPr>
        <w:t xml:space="preserve">. </w:t>
      </w:r>
      <w:r w:rsidRPr="00B27BF8">
        <w:rPr>
          <w:rFonts w:asciiTheme="minorHAnsi" w:hAnsiTheme="minorHAnsi" w:cstheme="minorHAnsi"/>
        </w:rPr>
        <w:t>Where bronchiectasis and/or suppurative lung disease is cited as the reason for continuing IgG treatment, the diagnosis must be consistent with the guideline of the Thoracic Society of Australia and New Zealand</w:t>
      </w:r>
      <w:r w:rsidR="00186509" w:rsidRPr="00B27BF8">
        <w:rPr>
          <w:rFonts w:asciiTheme="minorHAnsi" w:hAnsiTheme="minorHAnsi" w:cstheme="minorHAnsi"/>
        </w:rPr>
        <w:t>.</w:t>
      </w:r>
    </w:p>
    <w:p w14:paraId="2D050F19" w14:textId="77777777" w:rsidR="00375FD1" w:rsidRPr="00B27BF8" w:rsidRDefault="00375FD1" w:rsidP="007F6F29">
      <w:pPr>
        <w:keepNext/>
        <w:rPr>
          <w:rFonts w:asciiTheme="minorHAnsi" w:hAnsiTheme="minorHAnsi" w:cstheme="minorHAnsi"/>
          <w:u w:val="single"/>
        </w:rPr>
      </w:pPr>
      <w:r w:rsidRPr="00B27BF8">
        <w:rPr>
          <w:rFonts w:asciiTheme="minorHAnsi" w:hAnsiTheme="minorHAnsi" w:cstheme="minorHAnsi"/>
          <w:u w:val="single"/>
        </w:rPr>
        <w:t>Dosing</w:t>
      </w:r>
    </w:p>
    <w:p w14:paraId="36210A59" w14:textId="77777777" w:rsidR="00186509" w:rsidRPr="00B27BF8" w:rsidRDefault="00CB292A" w:rsidP="00070680">
      <w:pPr>
        <w:spacing w:before="20"/>
        <w:rPr>
          <w:rFonts w:asciiTheme="minorHAnsi" w:hAnsiTheme="minorHAnsi" w:cstheme="minorHAnsi"/>
        </w:rPr>
      </w:pPr>
      <w:r w:rsidRPr="00B27BF8">
        <w:rPr>
          <w:rFonts w:asciiTheme="minorHAnsi" w:hAnsiTheme="minorHAnsi" w:cstheme="minorHAnsi"/>
        </w:rPr>
        <w:t>S</w:t>
      </w:r>
      <w:r w:rsidR="00186509" w:rsidRPr="00B27BF8">
        <w:rPr>
          <w:rFonts w:asciiTheme="minorHAnsi" w:hAnsiTheme="minorHAnsi" w:cstheme="minorHAnsi"/>
        </w:rPr>
        <w:t>tandard doses are 0.2-0.4 g/kg every three to four weeks</w:t>
      </w:r>
      <w:r w:rsidRPr="00B27BF8">
        <w:rPr>
          <w:rFonts w:asciiTheme="minorHAnsi" w:hAnsiTheme="minorHAnsi" w:cstheme="minorHAnsi"/>
        </w:rPr>
        <w:t>. T</w:t>
      </w:r>
      <w:r w:rsidR="00186509" w:rsidRPr="00B27BF8">
        <w:rPr>
          <w:rFonts w:asciiTheme="minorHAnsi" w:hAnsiTheme="minorHAnsi" w:cstheme="minorHAnsi"/>
        </w:rPr>
        <w:t>he majority of documentation reviewed cites a maintenance dose for IVIg of 0.4g/kg every four weeks</w:t>
      </w:r>
      <w:r w:rsidRPr="00B27BF8">
        <w:rPr>
          <w:rFonts w:asciiTheme="minorHAnsi" w:hAnsiTheme="minorHAnsi" w:cstheme="minorHAnsi"/>
        </w:rPr>
        <w:t>, however, doses lower than 0.4g/kg may be used during titration</w:t>
      </w:r>
      <w:r w:rsidR="00186509" w:rsidRPr="00B27BF8">
        <w:rPr>
          <w:rFonts w:asciiTheme="minorHAnsi" w:hAnsiTheme="minorHAnsi" w:cstheme="minorHAnsi"/>
        </w:rPr>
        <w:t>. A maximum IgG dose of up to 1g/kg may be given. Dosing may be divided to give two or more infusions within the month.</w:t>
      </w:r>
      <w:r w:rsidRPr="00B27BF8">
        <w:rPr>
          <w:rFonts w:asciiTheme="minorHAnsi" w:hAnsiTheme="minorHAnsi" w:cstheme="minorHAnsi"/>
        </w:rPr>
        <w:t xml:space="preserve"> </w:t>
      </w:r>
      <w:r w:rsidR="00186509" w:rsidRPr="00B27BF8">
        <w:rPr>
          <w:rFonts w:asciiTheme="minorHAnsi" w:hAnsiTheme="minorHAnsi" w:cstheme="minorHAnsi"/>
        </w:rPr>
        <w:t xml:space="preserve">Dosing for SCIg is 0.1g/kg per week (based on patient’s lean or ideal body weight). </w:t>
      </w:r>
    </w:p>
    <w:p w14:paraId="2C96D120" w14:textId="77777777" w:rsidR="000655AF" w:rsidRPr="00B27BF8" w:rsidRDefault="000655AF" w:rsidP="0088769C">
      <w:pPr>
        <w:rPr>
          <w:rFonts w:asciiTheme="minorHAnsi" w:hAnsiTheme="minorHAnsi" w:cstheme="minorHAnsi"/>
        </w:rPr>
      </w:pPr>
      <w:r w:rsidRPr="00B27BF8">
        <w:rPr>
          <w:rFonts w:asciiTheme="minorHAnsi" w:hAnsiTheme="minorHAnsi" w:cstheme="minorHAnsi"/>
        </w:rPr>
        <w:t>The applicant states that the usual length of an authorisation for maintenance therapy is one year</w:t>
      </w:r>
      <w:r w:rsidR="00070680" w:rsidRPr="00B27BF8">
        <w:rPr>
          <w:rFonts w:asciiTheme="minorHAnsi" w:hAnsiTheme="minorHAnsi" w:cstheme="minorHAnsi"/>
        </w:rPr>
        <w:t>, though they can be as short as one month</w:t>
      </w:r>
      <w:r w:rsidR="00186509" w:rsidRPr="00B27BF8">
        <w:rPr>
          <w:rFonts w:asciiTheme="minorHAnsi" w:hAnsiTheme="minorHAnsi" w:cstheme="minorHAnsi"/>
        </w:rPr>
        <w:t xml:space="preserve">. </w:t>
      </w:r>
      <w:r w:rsidRPr="00B27BF8">
        <w:rPr>
          <w:rFonts w:asciiTheme="minorHAnsi" w:hAnsiTheme="minorHAnsi" w:cstheme="minorHAnsi"/>
        </w:rPr>
        <w:t>Continuing therapy is allowed so treatment duration can exceed one year</w:t>
      </w:r>
      <w:r w:rsidR="00186509" w:rsidRPr="00B27BF8">
        <w:rPr>
          <w:rFonts w:asciiTheme="minorHAnsi" w:hAnsiTheme="minorHAnsi" w:cstheme="minorHAnsi"/>
        </w:rPr>
        <w:t xml:space="preserve">. </w:t>
      </w:r>
      <w:r w:rsidRPr="00B27BF8">
        <w:rPr>
          <w:rFonts w:asciiTheme="minorHAnsi" w:hAnsiTheme="minorHAnsi" w:cstheme="minorHAnsi"/>
        </w:rPr>
        <w:t>The majority of patients have more than one authorisation</w:t>
      </w:r>
      <w:r w:rsidR="00186509" w:rsidRPr="00B27BF8">
        <w:rPr>
          <w:rFonts w:asciiTheme="minorHAnsi" w:hAnsiTheme="minorHAnsi" w:cstheme="minorHAnsi"/>
        </w:rPr>
        <w:t xml:space="preserve">. </w:t>
      </w:r>
    </w:p>
    <w:p w14:paraId="30E17578" w14:textId="77777777" w:rsidR="0088769C" w:rsidRPr="00B27BF8" w:rsidRDefault="007F6F29" w:rsidP="0088769C">
      <w:pPr>
        <w:rPr>
          <w:rFonts w:asciiTheme="minorHAnsi" w:hAnsiTheme="minorHAnsi" w:cstheme="minorHAnsi"/>
        </w:rPr>
      </w:pPr>
      <w:r w:rsidRPr="00B27BF8">
        <w:rPr>
          <w:rFonts w:asciiTheme="minorHAnsi" w:hAnsiTheme="minorHAnsi" w:cstheme="minorHAnsi"/>
        </w:rPr>
        <w:t>Specialists may prescribe an initial</w:t>
      </w:r>
      <w:r w:rsidR="0088769C" w:rsidRPr="00B27BF8">
        <w:rPr>
          <w:rFonts w:asciiTheme="minorHAnsi" w:hAnsiTheme="minorHAnsi" w:cstheme="minorHAnsi"/>
        </w:rPr>
        <w:t xml:space="preserve"> loading dose of </w:t>
      </w:r>
      <w:r w:rsidR="00186509" w:rsidRPr="00B27BF8">
        <w:rPr>
          <w:rFonts w:asciiTheme="minorHAnsi" w:hAnsiTheme="minorHAnsi" w:cstheme="minorHAnsi"/>
        </w:rPr>
        <w:t>0.4</w:t>
      </w:r>
      <w:r w:rsidR="0088769C" w:rsidRPr="00B27BF8">
        <w:rPr>
          <w:rFonts w:asciiTheme="minorHAnsi" w:hAnsiTheme="minorHAnsi" w:cstheme="minorHAnsi"/>
        </w:rPr>
        <w:t>g/kg</w:t>
      </w:r>
      <w:r w:rsidR="000655AF" w:rsidRPr="00B27BF8">
        <w:rPr>
          <w:rFonts w:asciiTheme="minorHAnsi" w:hAnsiTheme="minorHAnsi" w:cstheme="minorHAnsi"/>
        </w:rPr>
        <w:t xml:space="preserve"> (on top of monthly maintenance supply)</w:t>
      </w:r>
      <w:r w:rsidRPr="00B27BF8">
        <w:rPr>
          <w:rFonts w:asciiTheme="minorHAnsi" w:hAnsiTheme="minorHAnsi" w:cstheme="minorHAnsi"/>
        </w:rPr>
        <w:t xml:space="preserve"> and a</w:t>
      </w:r>
      <w:r w:rsidR="0088769C" w:rsidRPr="00B27BF8">
        <w:rPr>
          <w:rFonts w:asciiTheme="minorHAnsi" w:hAnsiTheme="minorHAnsi" w:cstheme="minorHAnsi"/>
        </w:rPr>
        <w:t xml:space="preserve"> one-off dose of 2g/kg is </w:t>
      </w:r>
      <w:r w:rsidRPr="00B27BF8">
        <w:rPr>
          <w:rFonts w:asciiTheme="minorHAnsi" w:hAnsiTheme="minorHAnsi" w:cstheme="minorHAnsi"/>
        </w:rPr>
        <w:t>for</w:t>
      </w:r>
      <w:r w:rsidR="0088769C" w:rsidRPr="00B27BF8">
        <w:rPr>
          <w:rFonts w:asciiTheme="minorHAnsi" w:hAnsiTheme="minorHAnsi" w:cstheme="minorHAnsi"/>
        </w:rPr>
        <w:t xml:space="preserve"> disseminated enterovirus infection</w:t>
      </w:r>
      <w:r w:rsidR="00186509" w:rsidRPr="00B27BF8">
        <w:rPr>
          <w:rFonts w:asciiTheme="minorHAnsi" w:hAnsiTheme="minorHAnsi" w:cstheme="minorHAnsi"/>
        </w:rPr>
        <w:t xml:space="preserve">. </w:t>
      </w:r>
      <w:r w:rsidR="005173D3" w:rsidRPr="005173D3">
        <w:rPr>
          <w:rFonts w:asciiTheme="minorHAnsi" w:hAnsiTheme="minorHAnsi" w:cstheme="minorHAnsi"/>
        </w:rPr>
        <w:t>Treatment of d</w:t>
      </w:r>
      <w:r w:rsidRPr="005173D3">
        <w:rPr>
          <w:rFonts w:asciiTheme="minorHAnsi" w:hAnsiTheme="minorHAnsi" w:cstheme="minorHAnsi"/>
        </w:rPr>
        <w:t>isseminated enterovirus infection</w:t>
      </w:r>
      <w:r w:rsidR="005173D3" w:rsidRPr="005173D3">
        <w:rPr>
          <w:rFonts w:asciiTheme="minorHAnsi" w:hAnsiTheme="minorHAnsi" w:cstheme="minorHAnsi"/>
        </w:rPr>
        <w:t>,</w:t>
      </w:r>
      <w:r w:rsidRPr="005173D3">
        <w:rPr>
          <w:rFonts w:asciiTheme="minorHAnsi" w:hAnsiTheme="minorHAnsi" w:cstheme="minorHAnsi"/>
        </w:rPr>
        <w:t xml:space="preserve"> </w:t>
      </w:r>
      <w:r w:rsidR="005173D3" w:rsidRPr="005173D3">
        <w:rPr>
          <w:rFonts w:asciiTheme="minorHAnsi" w:hAnsiTheme="minorHAnsi" w:cstheme="minorHAnsi"/>
        </w:rPr>
        <w:t xml:space="preserve">currently provided for under </w:t>
      </w:r>
      <w:r w:rsidR="005173D3" w:rsidRPr="005173D3">
        <w:rPr>
          <w:rFonts w:asciiTheme="minorHAnsi" w:hAnsiTheme="minorHAnsi" w:cstheme="minorHAnsi"/>
          <w:i/>
        </w:rPr>
        <w:t>the Criteria Version 3</w:t>
      </w:r>
      <w:r w:rsidR="005173D3" w:rsidRPr="005173D3">
        <w:rPr>
          <w:rFonts w:asciiTheme="minorHAnsi" w:hAnsiTheme="minorHAnsi" w:cstheme="minorHAnsi"/>
        </w:rPr>
        <w:t xml:space="preserve">, would not be included in an evaluation that antibiotics as part of both intervention and </w:t>
      </w:r>
      <w:r w:rsidR="00306CE2" w:rsidRPr="005173D3">
        <w:rPr>
          <w:rFonts w:asciiTheme="minorHAnsi" w:hAnsiTheme="minorHAnsi" w:cstheme="minorHAnsi"/>
        </w:rPr>
        <w:t>comparator</w:t>
      </w:r>
      <w:r w:rsidR="00186509" w:rsidRPr="005173D3">
        <w:rPr>
          <w:rFonts w:asciiTheme="minorHAnsi" w:hAnsiTheme="minorHAnsi" w:cstheme="minorHAnsi"/>
        </w:rPr>
        <w:t>.</w:t>
      </w:r>
    </w:p>
    <w:p w14:paraId="546442F3" w14:textId="77777777" w:rsidR="00375FD1" w:rsidRPr="00B27BF8" w:rsidRDefault="00375FD1" w:rsidP="00DE2EF2">
      <w:pPr>
        <w:keepNext/>
        <w:rPr>
          <w:rFonts w:asciiTheme="minorHAnsi" w:hAnsiTheme="minorHAnsi" w:cstheme="minorHAnsi"/>
          <w:highlight w:val="yellow"/>
        </w:rPr>
      </w:pPr>
      <w:r w:rsidRPr="00B27BF8">
        <w:rPr>
          <w:rFonts w:asciiTheme="minorHAnsi" w:hAnsiTheme="minorHAnsi" w:cstheme="minorHAnsi"/>
          <w:u w:val="single"/>
        </w:rPr>
        <w:t>Monitoring</w:t>
      </w:r>
    </w:p>
    <w:p w14:paraId="2569539F" w14:textId="77777777" w:rsidR="00C32B8B" w:rsidRPr="005173D3" w:rsidRDefault="00CD7575" w:rsidP="00C32B8B">
      <w:pPr>
        <w:rPr>
          <w:rFonts w:asciiTheme="minorHAnsi" w:hAnsiTheme="minorHAnsi" w:cstheme="minorHAnsi"/>
          <w:highlight w:val="yellow"/>
        </w:rPr>
      </w:pPr>
      <w:r w:rsidRPr="00B27BF8">
        <w:rPr>
          <w:rFonts w:asciiTheme="minorHAnsi" w:hAnsiTheme="minorHAnsi" w:cstheme="minorHAnsi"/>
        </w:rPr>
        <w:t>Cessation of Ig therapy should be considered at least after each twelve months of treatment</w:t>
      </w:r>
      <w:r w:rsidR="00186509" w:rsidRPr="00B27BF8">
        <w:rPr>
          <w:rFonts w:asciiTheme="minorHAnsi" w:hAnsiTheme="minorHAnsi" w:cstheme="minorHAnsi"/>
        </w:rPr>
        <w:t xml:space="preserve">. </w:t>
      </w:r>
      <w:r w:rsidRPr="00B27BF8">
        <w:rPr>
          <w:rFonts w:asciiTheme="minorHAnsi" w:hAnsiTheme="minorHAnsi" w:cstheme="minorHAnsi"/>
        </w:rPr>
        <w:t>If serum IgM and IgA levels are trending upwards and near normal, this may suggest recovery of the immune system and a trial might be considered if the patient is well</w:t>
      </w:r>
      <w:r w:rsidR="00186509" w:rsidRPr="00B27BF8">
        <w:rPr>
          <w:rFonts w:asciiTheme="minorHAnsi" w:hAnsiTheme="minorHAnsi" w:cstheme="minorHAnsi"/>
        </w:rPr>
        <w:t xml:space="preserve">. </w:t>
      </w:r>
      <w:r w:rsidRPr="00B27BF8">
        <w:rPr>
          <w:rFonts w:asciiTheme="minorHAnsi" w:hAnsiTheme="minorHAnsi" w:cstheme="minorHAnsi"/>
        </w:rPr>
        <w:t>Once the patient has normal IgA and IgM levels, the IgG is also likely to be normal and a trial off therapy may be undertaken</w:t>
      </w:r>
      <w:r w:rsidR="00186509" w:rsidRPr="00B27BF8">
        <w:rPr>
          <w:rFonts w:asciiTheme="minorHAnsi" w:hAnsiTheme="minorHAnsi" w:cstheme="minorHAnsi"/>
        </w:rPr>
        <w:t xml:space="preserve">. </w:t>
      </w:r>
      <w:r w:rsidR="005173D3">
        <w:rPr>
          <w:rFonts w:asciiTheme="minorHAnsi" w:hAnsiTheme="minorHAnsi" w:cstheme="minorHAnsi"/>
        </w:rPr>
        <w:t>M</w:t>
      </w:r>
      <w:r w:rsidR="00C32B8B" w:rsidRPr="00B27BF8">
        <w:rPr>
          <w:rFonts w:asciiTheme="minorHAnsi" w:hAnsiTheme="minorHAnsi" w:cstheme="minorHAnsi"/>
        </w:rPr>
        <w:t xml:space="preserve">onitoring of IgG trough levels </w:t>
      </w:r>
      <w:r w:rsidR="005173D3">
        <w:rPr>
          <w:rFonts w:asciiTheme="minorHAnsi" w:hAnsiTheme="minorHAnsi" w:cstheme="minorHAnsi"/>
        </w:rPr>
        <w:t>enables</w:t>
      </w:r>
      <w:r w:rsidR="00C32B8B" w:rsidRPr="00B27BF8">
        <w:rPr>
          <w:rFonts w:asciiTheme="minorHAnsi" w:hAnsiTheme="minorHAnsi" w:cstheme="minorHAnsi"/>
        </w:rPr>
        <w:t xml:space="preserve"> dose adjustment </w:t>
      </w:r>
      <w:r w:rsidR="009A326A" w:rsidRPr="00B27BF8">
        <w:rPr>
          <w:rFonts w:asciiTheme="minorHAnsi" w:hAnsiTheme="minorHAnsi" w:cstheme="minorHAnsi"/>
        </w:rPr>
        <w:t>as described above</w:t>
      </w:r>
      <w:r w:rsidR="005173D3">
        <w:rPr>
          <w:rFonts w:asciiTheme="minorHAnsi" w:hAnsiTheme="minorHAnsi" w:cstheme="minorHAnsi"/>
        </w:rPr>
        <w:t xml:space="preserve"> though no frequency is defined by </w:t>
      </w:r>
      <w:r w:rsidR="005173D3" w:rsidRPr="005173D3">
        <w:rPr>
          <w:rFonts w:asciiTheme="minorHAnsi" w:hAnsiTheme="minorHAnsi" w:cstheme="minorHAnsi"/>
          <w:i/>
        </w:rPr>
        <w:t>the Criteria Version 3</w:t>
      </w:r>
      <w:r w:rsidR="005173D3">
        <w:rPr>
          <w:rFonts w:asciiTheme="minorHAnsi" w:hAnsiTheme="minorHAnsi" w:cstheme="minorHAnsi"/>
        </w:rPr>
        <w:t>.</w:t>
      </w:r>
    </w:p>
    <w:p w14:paraId="54B9D174" w14:textId="77777777" w:rsidR="00896845" w:rsidRPr="00B27BF8" w:rsidRDefault="00896845">
      <w:pPr>
        <w:rPr>
          <w:rFonts w:asciiTheme="minorHAnsi" w:hAnsiTheme="minorHAnsi" w:cstheme="minorHAnsi"/>
          <w:b/>
        </w:rPr>
      </w:pPr>
      <w:r w:rsidRPr="00B27BF8">
        <w:rPr>
          <w:rFonts w:asciiTheme="minorHAnsi" w:hAnsiTheme="minorHAnsi" w:cstheme="minorHAnsi"/>
          <w:b/>
        </w:rPr>
        <w:t>Comparator</w:t>
      </w:r>
    </w:p>
    <w:p w14:paraId="77A52F0C" w14:textId="77777777" w:rsidR="00AD51A4" w:rsidRPr="00B27BF8" w:rsidRDefault="004D0ECE" w:rsidP="001049F3">
      <w:pPr>
        <w:rPr>
          <w:rFonts w:asciiTheme="minorHAnsi" w:hAnsiTheme="minorHAnsi" w:cstheme="minorHAnsi"/>
        </w:rPr>
      </w:pPr>
      <w:r w:rsidRPr="00B27BF8">
        <w:rPr>
          <w:rFonts w:asciiTheme="minorHAnsi" w:hAnsiTheme="minorHAnsi" w:cstheme="minorHAnsi"/>
          <w:szCs w:val="20"/>
        </w:rPr>
        <w:t>The applicant advises that s</w:t>
      </w:r>
      <w:r w:rsidR="001049F3" w:rsidRPr="00B27BF8">
        <w:rPr>
          <w:rFonts w:asciiTheme="minorHAnsi" w:hAnsiTheme="minorHAnsi" w:cstheme="minorHAnsi"/>
        </w:rPr>
        <w:t>tandard practice in haematological malignancies is to treat infections as they arise</w:t>
      </w:r>
      <w:r w:rsidR="00CB292A" w:rsidRPr="00B27BF8">
        <w:rPr>
          <w:rFonts w:asciiTheme="minorHAnsi" w:hAnsiTheme="minorHAnsi" w:cstheme="minorHAnsi"/>
        </w:rPr>
        <w:t>.</w:t>
      </w:r>
      <w:r w:rsidR="001049F3" w:rsidRPr="00B27BF8">
        <w:rPr>
          <w:rFonts w:asciiTheme="minorHAnsi" w:hAnsiTheme="minorHAnsi" w:cstheme="minorHAnsi"/>
        </w:rPr>
        <w:t xml:space="preserve"> </w:t>
      </w:r>
      <w:r w:rsidR="004A3BA5" w:rsidRPr="00B27BF8">
        <w:rPr>
          <w:rFonts w:asciiTheme="minorHAnsi" w:hAnsiTheme="minorHAnsi" w:cstheme="minorHAnsi"/>
        </w:rPr>
        <w:t xml:space="preserve">The comparator </w:t>
      </w:r>
      <w:r w:rsidR="00CB292A" w:rsidRPr="00B27BF8">
        <w:rPr>
          <w:rFonts w:asciiTheme="minorHAnsi" w:hAnsiTheme="minorHAnsi" w:cstheme="minorHAnsi"/>
        </w:rPr>
        <w:t>is</w:t>
      </w:r>
      <w:r w:rsidR="004A3BA5" w:rsidRPr="00B27BF8">
        <w:rPr>
          <w:rFonts w:asciiTheme="minorHAnsi" w:hAnsiTheme="minorHAnsi" w:cstheme="minorHAnsi"/>
        </w:rPr>
        <w:t xml:space="preserve"> defined as ‘No IgG access; </w:t>
      </w:r>
      <w:r w:rsidR="00CB292A" w:rsidRPr="00B27BF8">
        <w:rPr>
          <w:rFonts w:asciiTheme="minorHAnsi" w:hAnsiTheme="minorHAnsi" w:cstheme="minorHAnsi"/>
        </w:rPr>
        <w:t xml:space="preserve">with or without </w:t>
      </w:r>
      <w:r w:rsidR="004A3BA5" w:rsidRPr="00B27BF8">
        <w:rPr>
          <w:rFonts w:asciiTheme="minorHAnsi" w:hAnsiTheme="minorHAnsi" w:cstheme="minorHAnsi"/>
        </w:rPr>
        <w:t>antibiotics</w:t>
      </w:r>
      <w:r w:rsidR="00CB292A" w:rsidRPr="00B27BF8">
        <w:rPr>
          <w:rFonts w:asciiTheme="minorHAnsi" w:hAnsiTheme="minorHAnsi" w:cstheme="minorHAnsi"/>
        </w:rPr>
        <w:t xml:space="preserve">’, given that </w:t>
      </w:r>
      <w:r w:rsidR="004A3BA5" w:rsidRPr="00B27BF8">
        <w:rPr>
          <w:rFonts w:asciiTheme="minorHAnsi" w:hAnsiTheme="minorHAnsi" w:cstheme="minorHAnsi"/>
        </w:rPr>
        <w:t>the intervention is defined as ‘IgG access</w:t>
      </w:r>
      <w:r w:rsidR="00CB292A" w:rsidRPr="00B27BF8">
        <w:rPr>
          <w:rFonts w:asciiTheme="minorHAnsi" w:hAnsiTheme="minorHAnsi" w:cstheme="minorHAnsi"/>
        </w:rPr>
        <w:t>; with or without antibiotics</w:t>
      </w:r>
      <w:r w:rsidR="004A3BA5" w:rsidRPr="00B27BF8">
        <w:rPr>
          <w:rFonts w:asciiTheme="minorHAnsi" w:hAnsiTheme="minorHAnsi" w:cstheme="minorHAnsi"/>
        </w:rPr>
        <w:t>’</w:t>
      </w:r>
      <w:r w:rsidR="00CB292A" w:rsidRPr="00B27BF8">
        <w:rPr>
          <w:rFonts w:asciiTheme="minorHAnsi" w:hAnsiTheme="minorHAnsi" w:cstheme="minorHAnsi"/>
        </w:rPr>
        <w:t xml:space="preserve"> (discussed above)</w:t>
      </w:r>
      <w:r w:rsidR="00186509" w:rsidRPr="00B27BF8">
        <w:rPr>
          <w:rFonts w:asciiTheme="minorHAnsi" w:hAnsiTheme="minorHAnsi" w:cstheme="minorHAnsi"/>
        </w:rPr>
        <w:t>.</w:t>
      </w:r>
      <w:r w:rsidR="004A3BA5" w:rsidRPr="00B27BF8">
        <w:rPr>
          <w:rFonts w:asciiTheme="minorHAnsi" w:hAnsiTheme="minorHAnsi" w:cstheme="minorHAnsi"/>
        </w:rPr>
        <w:t xml:space="preserve"> </w:t>
      </w:r>
      <w:r w:rsidR="002D2168" w:rsidRPr="00B27BF8">
        <w:rPr>
          <w:rFonts w:asciiTheme="minorHAnsi" w:hAnsiTheme="minorHAnsi" w:cstheme="minorHAnsi"/>
        </w:rPr>
        <w:t>The utilisation of antibiotics is expected to be higher in the comparator arm.</w:t>
      </w:r>
    </w:p>
    <w:p w14:paraId="170ACC62" w14:textId="77777777" w:rsidR="00C01DD7" w:rsidRPr="00B27BF8" w:rsidRDefault="00D12C07" w:rsidP="00D12C07">
      <w:pPr>
        <w:rPr>
          <w:rFonts w:asciiTheme="minorHAnsi" w:hAnsiTheme="minorHAnsi" w:cstheme="minorHAnsi"/>
          <w:szCs w:val="20"/>
        </w:rPr>
      </w:pPr>
      <w:r w:rsidRPr="00B27BF8">
        <w:rPr>
          <w:rFonts w:asciiTheme="minorHAnsi" w:hAnsiTheme="minorHAnsi" w:cstheme="minorHAnsi"/>
          <w:szCs w:val="20"/>
        </w:rPr>
        <w:t xml:space="preserve">The haematology expert on </w:t>
      </w:r>
      <w:r w:rsidR="00F703B2" w:rsidRPr="00B27BF8">
        <w:rPr>
          <w:rFonts w:asciiTheme="minorHAnsi" w:hAnsiTheme="minorHAnsi" w:cstheme="minorHAnsi"/>
          <w:szCs w:val="20"/>
        </w:rPr>
        <w:t>the</w:t>
      </w:r>
      <w:r w:rsidR="00F703B2" w:rsidRPr="00B27BF8">
        <w:rPr>
          <w:rFonts w:asciiTheme="minorHAnsi" w:hAnsiTheme="minorHAnsi" w:cstheme="minorHAnsi"/>
        </w:rPr>
        <w:t xml:space="preserve"> Ig Review Reference Group</w:t>
      </w:r>
      <w:r w:rsidRPr="00B27BF8">
        <w:rPr>
          <w:rFonts w:asciiTheme="minorHAnsi" w:hAnsiTheme="minorHAnsi" w:cstheme="minorHAnsi"/>
          <w:szCs w:val="20"/>
        </w:rPr>
        <w:t xml:space="preserve"> advised oral trimethoprim + sulfamethoxazole </w:t>
      </w:r>
      <w:r w:rsidR="00C01DD7" w:rsidRPr="00B27BF8">
        <w:rPr>
          <w:rFonts w:asciiTheme="minorHAnsi" w:hAnsiTheme="minorHAnsi" w:cstheme="minorHAnsi"/>
          <w:szCs w:val="20"/>
        </w:rPr>
        <w:t>would be the first line antibiotic</w:t>
      </w:r>
      <w:r w:rsidR="00186509" w:rsidRPr="00B27BF8">
        <w:rPr>
          <w:rFonts w:asciiTheme="minorHAnsi" w:hAnsiTheme="minorHAnsi" w:cstheme="minorHAnsi"/>
          <w:szCs w:val="20"/>
        </w:rPr>
        <w:t xml:space="preserve">. </w:t>
      </w:r>
      <w:r w:rsidR="00C01DD7" w:rsidRPr="00B27BF8">
        <w:rPr>
          <w:rFonts w:asciiTheme="minorHAnsi" w:hAnsiTheme="minorHAnsi" w:cstheme="minorHAnsi"/>
          <w:szCs w:val="20"/>
        </w:rPr>
        <w:t>This</w:t>
      </w:r>
      <w:r w:rsidR="00CC7291" w:rsidRPr="00B27BF8">
        <w:rPr>
          <w:rFonts w:asciiTheme="minorHAnsi" w:hAnsiTheme="minorHAnsi" w:cstheme="minorHAnsi"/>
          <w:szCs w:val="20"/>
        </w:rPr>
        <w:t xml:space="preserve"> has a broad TGA indication and</w:t>
      </w:r>
      <w:r w:rsidR="00C01DD7" w:rsidRPr="00B27BF8">
        <w:rPr>
          <w:rFonts w:asciiTheme="minorHAnsi" w:hAnsiTheme="minorHAnsi" w:cstheme="minorHAnsi"/>
          <w:szCs w:val="20"/>
        </w:rPr>
        <w:t xml:space="preserve"> is available</w:t>
      </w:r>
      <w:r w:rsidR="00505D6F" w:rsidRPr="00B27BF8">
        <w:rPr>
          <w:rFonts w:asciiTheme="minorHAnsi" w:hAnsiTheme="minorHAnsi" w:cstheme="minorHAnsi"/>
          <w:szCs w:val="20"/>
        </w:rPr>
        <w:t xml:space="preserve"> </w:t>
      </w:r>
      <w:r w:rsidR="00CC7291" w:rsidRPr="00B27BF8">
        <w:rPr>
          <w:rFonts w:asciiTheme="minorHAnsi" w:hAnsiTheme="minorHAnsi" w:cstheme="minorHAnsi"/>
          <w:szCs w:val="20"/>
        </w:rPr>
        <w:t>on the Pharmaceutical Benefits Scheme (PBS) (</w:t>
      </w:r>
      <w:r w:rsidR="00505D6F" w:rsidRPr="00B27BF8">
        <w:rPr>
          <w:rFonts w:asciiTheme="minorHAnsi" w:hAnsiTheme="minorHAnsi" w:cstheme="minorHAnsi"/>
          <w:szCs w:val="20"/>
        </w:rPr>
        <w:t xml:space="preserve">Table </w:t>
      </w:r>
      <w:r w:rsidR="00186509" w:rsidRPr="00B27BF8">
        <w:rPr>
          <w:rFonts w:asciiTheme="minorHAnsi" w:hAnsiTheme="minorHAnsi" w:cstheme="minorHAnsi"/>
          <w:szCs w:val="20"/>
        </w:rPr>
        <w:t>5</w:t>
      </w:r>
      <w:r w:rsidR="00CC7291" w:rsidRPr="00B27BF8">
        <w:rPr>
          <w:rFonts w:asciiTheme="minorHAnsi" w:hAnsiTheme="minorHAnsi" w:cstheme="minorHAnsi"/>
          <w:szCs w:val="20"/>
        </w:rPr>
        <w:t>)</w:t>
      </w:r>
      <w:r w:rsidR="00186509" w:rsidRPr="00B27BF8">
        <w:rPr>
          <w:rFonts w:asciiTheme="minorHAnsi" w:hAnsiTheme="minorHAnsi" w:cstheme="minorHAnsi"/>
          <w:szCs w:val="20"/>
        </w:rPr>
        <w:t xml:space="preserve">. </w:t>
      </w:r>
      <w:r w:rsidRPr="00B27BF8">
        <w:rPr>
          <w:rFonts w:asciiTheme="minorHAnsi" w:hAnsiTheme="minorHAnsi" w:cstheme="minorHAnsi"/>
          <w:szCs w:val="20"/>
        </w:rPr>
        <w:t xml:space="preserve"> </w:t>
      </w:r>
    </w:p>
    <w:p w14:paraId="144F8A2B" w14:textId="77777777" w:rsidR="00C01DD7" w:rsidRPr="00B27BF8" w:rsidRDefault="00C01DD7" w:rsidP="00C01DD7">
      <w:pPr>
        <w:keepNext/>
        <w:spacing w:after="0"/>
        <w:rPr>
          <w:rFonts w:asciiTheme="minorHAnsi" w:hAnsiTheme="minorHAnsi" w:cstheme="minorHAnsi"/>
          <w:b/>
          <w:szCs w:val="20"/>
        </w:rPr>
      </w:pPr>
      <w:r w:rsidRPr="00B27BF8">
        <w:rPr>
          <w:rFonts w:asciiTheme="minorHAnsi" w:hAnsiTheme="minorHAnsi" w:cstheme="minorHAnsi"/>
          <w:b/>
          <w:szCs w:val="20"/>
        </w:rPr>
        <w:lastRenderedPageBreak/>
        <w:t xml:space="preserve">Table </w:t>
      </w:r>
      <w:r w:rsidR="00186509" w:rsidRPr="00B27BF8">
        <w:rPr>
          <w:rFonts w:asciiTheme="minorHAnsi" w:hAnsiTheme="minorHAnsi" w:cstheme="minorHAnsi"/>
          <w:b/>
          <w:szCs w:val="20"/>
        </w:rPr>
        <w:t>5</w:t>
      </w:r>
      <w:r w:rsidR="00505D6F" w:rsidRPr="00B27BF8">
        <w:rPr>
          <w:rFonts w:asciiTheme="minorHAnsi" w:hAnsiTheme="minorHAnsi" w:cstheme="minorHAnsi"/>
          <w:b/>
          <w:szCs w:val="20"/>
        </w:rPr>
        <w:t>:</w:t>
      </w:r>
      <w:r w:rsidRPr="00B27BF8">
        <w:rPr>
          <w:rFonts w:asciiTheme="minorHAnsi" w:hAnsiTheme="minorHAnsi" w:cstheme="minorHAnsi"/>
          <w:b/>
          <w:szCs w:val="20"/>
        </w:rPr>
        <w:t xml:space="preserve"> Relevant trimethoprim + sulfamethoxazole listings on the PBS</w:t>
      </w:r>
    </w:p>
    <w:tbl>
      <w:tblPr>
        <w:tblStyle w:val="TableGrid"/>
        <w:tblW w:w="0" w:type="auto"/>
        <w:tblLook w:val="04A0" w:firstRow="1" w:lastRow="0" w:firstColumn="1" w:lastColumn="0" w:noHBand="0" w:noVBand="1"/>
        <w:tblCaption w:val="Table 5 decribes, relevant trimethoprim + sulfamethoxazole listings on the PBS"/>
      </w:tblPr>
      <w:tblGrid>
        <w:gridCol w:w="2290"/>
        <w:gridCol w:w="1173"/>
        <w:gridCol w:w="948"/>
        <w:gridCol w:w="935"/>
        <w:gridCol w:w="801"/>
        <w:gridCol w:w="886"/>
        <w:gridCol w:w="747"/>
        <w:gridCol w:w="1236"/>
      </w:tblGrid>
      <w:tr w:rsidR="00C01DD7" w:rsidRPr="00B27BF8" w14:paraId="46F24F2C" w14:textId="77777777" w:rsidTr="00313550">
        <w:trPr>
          <w:tblHeader/>
        </w:trPr>
        <w:tc>
          <w:tcPr>
            <w:tcW w:w="2505" w:type="dxa"/>
          </w:tcPr>
          <w:p w14:paraId="4A7460CC" w14:textId="77777777" w:rsidR="00C01DD7" w:rsidRPr="00B27BF8" w:rsidRDefault="00C01DD7" w:rsidP="000F7D13">
            <w:pPr>
              <w:keepNext/>
              <w:rPr>
                <w:rFonts w:asciiTheme="minorHAnsi" w:hAnsiTheme="minorHAnsi" w:cstheme="minorHAnsi"/>
                <w:b/>
                <w:sz w:val="20"/>
                <w:szCs w:val="20"/>
              </w:rPr>
            </w:pPr>
            <w:r w:rsidRPr="00B27BF8">
              <w:rPr>
                <w:rFonts w:asciiTheme="minorHAnsi" w:hAnsiTheme="minorHAnsi" w:cstheme="minorHAnsi"/>
                <w:b/>
                <w:sz w:val="20"/>
                <w:szCs w:val="20"/>
              </w:rPr>
              <w:t>Strengths</w:t>
            </w:r>
          </w:p>
        </w:tc>
        <w:tc>
          <w:tcPr>
            <w:tcW w:w="1270" w:type="dxa"/>
          </w:tcPr>
          <w:p w14:paraId="6DB24F65" w14:textId="77777777" w:rsidR="00C01DD7" w:rsidRPr="00B27BF8" w:rsidRDefault="00C01DD7" w:rsidP="000F7D13">
            <w:pPr>
              <w:keepNext/>
              <w:rPr>
                <w:rFonts w:asciiTheme="minorHAnsi" w:hAnsiTheme="minorHAnsi" w:cstheme="minorHAnsi"/>
                <w:b/>
                <w:sz w:val="20"/>
                <w:szCs w:val="20"/>
              </w:rPr>
            </w:pPr>
            <w:r w:rsidRPr="00B27BF8">
              <w:rPr>
                <w:rFonts w:asciiTheme="minorHAnsi" w:hAnsiTheme="minorHAnsi" w:cstheme="minorHAnsi"/>
                <w:b/>
                <w:sz w:val="20"/>
                <w:szCs w:val="20"/>
              </w:rPr>
              <w:t>Brands</w:t>
            </w:r>
          </w:p>
        </w:tc>
        <w:tc>
          <w:tcPr>
            <w:tcW w:w="990" w:type="dxa"/>
          </w:tcPr>
          <w:p w14:paraId="6C9CB4FF" w14:textId="77777777" w:rsidR="00C01DD7" w:rsidRPr="00B27BF8" w:rsidRDefault="00C01DD7" w:rsidP="000F7D13">
            <w:pPr>
              <w:keepNext/>
              <w:rPr>
                <w:rFonts w:asciiTheme="minorHAnsi" w:hAnsiTheme="minorHAnsi" w:cstheme="minorHAnsi"/>
                <w:b/>
                <w:sz w:val="20"/>
                <w:szCs w:val="20"/>
              </w:rPr>
            </w:pPr>
            <w:r w:rsidRPr="00B27BF8">
              <w:rPr>
                <w:rFonts w:asciiTheme="minorHAnsi" w:hAnsiTheme="minorHAnsi" w:cstheme="minorHAnsi"/>
                <w:b/>
                <w:sz w:val="20"/>
                <w:szCs w:val="20"/>
              </w:rPr>
              <w:t>Dosage form</w:t>
            </w:r>
          </w:p>
        </w:tc>
        <w:tc>
          <w:tcPr>
            <w:tcW w:w="989" w:type="dxa"/>
          </w:tcPr>
          <w:p w14:paraId="52D89CA3" w14:textId="77777777" w:rsidR="00C01DD7" w:rsidRPr="00B27BF8" w:rsidRDefault="00C01DD7" w:rsidP="000F7D13">
            <w:pPr>
              <w:keepNext/>
              <w:rPr>
                <w:rFonts w:asciiTheme="minorHAnsi" w:hAnsiTheme="minorHAnsi" w:cstheme="minorHAnsi"/>
                <w:b/>
                <w:sz w:val="20"/>
                <w:szCs w:val="20"/>
              </w:rPr>
            </w:pPr>
            <w:r w:rsidRPr="00B27BF8">
              <w:rPr>
                <w:rFonts w:asciiTheme="minorHAnsi" w:hAnsiTheme="minorHAnsi" w:cstheme="minorHAnsi"/>
                <w:b/>
                <w:sz w:val="20"/>
                <w:szCs w:val="20"/>
              </w:rPr>
              <w:t>Pack size</w:t>
            </w:r>
          </w:p>
        </w:tc>
        <w:tc>
          <w:tcPr>
            <w:tcW w:w="833" w:type="dxa"/>
          </w:tcPr>
          <w:p w14:paraId="5AFDF8BF" w14:textId="77777777" w:rsidR="00C01DD7" w:rsidRPr="00B27BF8" w:rsidRDefault="00C01DD7" w:rsidP="000F7D13">
            <w:pPr>
              <w:keepNext/>
              <w:rPr>
                <w:rFonts w:asciiTheme="minorHAnsi" w:hAnsiTheme="minorHAnsi" w:cstheme="minorHAnsi"/>
                <w:b/>
                <w:sz w:val="20"/>
                <w:szCs w:val="20"/>
              </w:rPr>
            </w:pPr>
            <w:r w:rsidRPr="00B27BF8">
              <w:rPr>
                <w:rFonts w:asciiTheme="minorHAnsi" w:hAnsiTheme="minorHAnsi" w:cstheme="minorHAnsi"/>
                <w:b/>
                <w:sz w:val="20"/>
                <w:szCs w:val="20"/>
              </w:rPr>
              <w:t>Max Qty</w:t>
            </w:r>
          </w:p>
        </w:tc>
        <w:tc>
          <w:tcPr>
            <w:tcW w:w="854" w:type="dxa"/>
          </w:tcPr>
          <w:p w14:paraId="5C3CA7ED" w14:textId="77777777" w:rsidR="00C01DD7" w:rsidRPr="00B27BF8" w:rsidRDefault="00C01DD7" w:rsidP="000F7D13">
            <w:pPr>
              <w:keepNext/>
              <w:rPr>
                <w:rFonts w:asciiTheme="minorHAnsi" w:hAnsiTheme="minorHAnsi" w:cstheme="minorHAnsi"/>
                <w:b/>
                <w:sz w:val="20"/>
                <w:szCs w:val="20"/>
              </w:rPr>
            </w:pPr>
            <w:r w:rsidRPr="00B27BF8">
              <w:rPr>
                <w:rFonts w:asciiTheme="minorHAnsi" w:hAnsiTheme="minorHAnsi" w:cstheme="minorHAnsi"/>
                <w:b/>
                <w:sz w:val="20"/>
                <w:szCs w:val="20"/>
              </w:rPr>
              <w:t>Repeats</w:t>
            </w:r>
          </w:p>
        </w:tc>
        <w:tc>
          <w:tcPr>
            <w:tcW w:w="700" w:type="dxa"/>
          </w:tcPr>
          <w:p w14:paraId="1E03288F" w14:textId="77777777" w:rsidR="00C01DD7" w:rsidRPr="00B27BF8" w:rsidRDefault="00C01DD7" w:rsidP="000F7D13">
            <w:pPr>
              <w:keepNext/>
              <w:rPr>
                <w:rFonts w:asciiTheme="minorHAnsi" w:hAnsiTheme="minorHAnsi" w:cstheme="minorHAnsi"/>
                <w:b/>
                <w:sz w:val="20"/>
                <w:szCs w:val="20"/>
              </w:rPr>
            </w:pPr>
            <w:r w:rsidRPr="00B27BF8">
              <w:rPr>
                <w:rFonts w:asciiTheme="minorHAnsi" w:hAnsiTheme="minorHAnsi" w:cstheme="minorHAnsi"/>
                <w:b/>
                <w:sz w:val="20"/>
                <w:szCs w:val="20"/>
              </w:rPr>
              <w:t>Item #</w:t>
            </w:r>
          </w:p>
        </w:tc>
        <w:tc>
          <w:tcPr>
            <w:tcW w:w="1101" w:type="dxa"/>
          </w:tcPr>
          <w:p w14:paraId="7A37BA48" w14:textId="77777777" w:rsidR="00C01DD7" w:rsidRPr="00B27BF8" w:rsidRDefault="00C01DD7" w:rsidP="000F7D13">
            <w:pPr>
              <w:keepNext/>
              <w:rPr>
                <w:rFonts w:asciiTheme="minorHAnsi" w:hAnsiTheme="minorHAnsi" w:cstheme="minorHAnsi"/>
                <w:b/>
                <w:sz w:val="20"/>
                <w:szCs w:val="20"/>
              </w:rPr>
            </w:pPr>
            <w:r w:rsidRPr="00B27BF8">
              <w:rPr>
                <w:rFonts w:asciiTheme="minorHAnsi" w:hAnsiTheme="minorHAnsi" w:cstheme="minorHAnsi"/>
                <w:b/>
                <w:sz w:val="20"/>
                <w:szCs w:val="20"/>
              </w:rPr>
              <w:t>PBS Benefit Type</w:t>
            </w:r>
          </w:p>
        </w:tc>
      </w:tr>
      <w:tr w:rsidR="00C01DD7" w:rsidRPr="00B27BF8" w14:paraId="49BB0204" w14:textId="77777777" w:rsidTr="00C01DD7">
        <w:tc>
          <w:tcPr>
            <w:tcW w:w="2505" w:type="dxa"/>
          </w:tcPr>
          <w:p w14:paraId="58D41DEE"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trimethoprim 160mg + sulfamethoxazole 800mg</w:t>
            </w:r>
          </w:p>
        </w:tc>
        <w:tc>
          <w:tcPr>
            <w:tcW w:w="1270" w:type="dxa"/>
          </w:tcPr>
          <w:p w14:paraId="5C8D1039"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Resprim Forte</w:t>
            </w:r>
          </w:p>
          <w:p w14:paraId="2AB42F9A"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Septrin Forte</w:t>
            </w:r>
          </w:p>
          <w:p w14:paraId="5D92F911"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Bactrim DS</w:t>
            </w:r>
          </w:p>
        </w:tc>
        <w:tc>
          <w:tcPr>
            <w:tcW w:w="990" w:type="dxa"/>
          </w:tcPr>
          <w:p w14:paraId="6A69DE02"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Tablets</w:t>
            </w:r>
          </w:p>
        </w:tc>
        <w:tc>
          <w:tcPr>
            <w:tcW w:w="989" w:type="dxa"/>
          </w:tcPr>
          <w:p w14:paraId="7A76F4F3"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10 tablets</w:t>
            </w:r>
          </w:p>
        </w:tc>
        <w:tc>
          <w:tcPr>
            <w:tcW w:w="833" w:type="dxa"/>
          </w:tcPr>
          <w:p w14:paraId="40A002A4"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1 pack</w:t>
            </w:r>
          </w:p>
        </w:tc>
        <w:tc>
          <w:tcPr>
            <w:tcW w:w="854" w:type="dxa"/>
          </w:tcPr>
          <w:p w14:paraId="55922ADD"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1</w:t>
            </w:r>
          </w:p>
        </w:tc>
        <w:tc>
          <w:tcPr>
            <w:tcW w:w="700" w:type="dxa"/>
          </w:tcPr>
          <w:p w14:paraId="63833F98"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2951H</w:t>
            </w:r>
          </w:p>
        </w:tc>
        <w:tc>
          <w:tcPr>
            <w:tcW w:w="1101" w:type="dxa"/>
          </w:tcPr>
          <w:p w14:paraId="3D2B85DB"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Unrestricted</w:t>
            </w:r>
          </w:p>
        </w:tc>
      </w:tr>
      <w:tr w:rsidR="00C01DD7" w:rsidRPr="00B27BF8" w14:paraId="5A84B622" w14:textId="77777777" w:rsidTr="00C01DD7">
        <w:tc>
          <w:tcPr>
            <w:tcW w:w="2505" w:type="dxa"/>
          </w:tcPr>
          <w:p w14:paraId="26493D07"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trimethoprim 40mg/5mL + sulfamethoxazole 200mg/5mL</w:t>
            </w:r>
          </w:p>
        </w:tc>
        <w:tc>
          <w:tcPr>
            <w:tcW w:w="1270" w:type="dxa"/>
          </w:tcPr>
          <w:p w14:paraId="62B70CC2"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Bactrim</w:t>
            </w:r>
          </w:p>
          <w:p w14:paraId="237158CD"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Septrin</w:t>
            </w:r>
          </w:p>
        </w:tc>
        <w:tc>
          <w:tcPr>
            <w:tcW w:w="990" w:type="dxa"/>
          </w:tcPr>
          <w:p w14:paraId="4E6880A5"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Oral liquid</w:t>
            </w:r>
          </w:p>
        </w:tc>
        <w:tc>
          <w:tcPr>
            <w:tcW w:w="989" w:type="dxa"/>
          </w:tcPr>
          <w:p w14:paraId="1A1C216C"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100mL</w:t>
            </w:r>
          </w:p>
        </w:tc>
        <w:tc>
          <w:tcPr>
            <w:tcW w:w="833" w:type="dxa"/>
          </w:tcPr>
          <w:p w14:paraId="443AD9CA"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1 bottle</w:t>
            </w:r>
          </w:p>
        </w:tc>
        <w:tc>
          <w:tcPr>
            <w:tcW w:w="854" w:type="dxa"/>
          </w:tcPr>
          <w:p w14:paraId="20C20502"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1</w:t>
            </w:r>
          </w:p>
        </w:tc>
        <w:tc>
          <w:tcPr>
            <w:tcW w:w="700" w:type="dxa"/>
          </w:tcPr>
          <w:p w14:paraId="4E46E369"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3103H</w:t>
            </w:r>
          </w:p>
        </w:tc>
        <w:tc>
          <w:tcPr>
            <w:tcW w:w="1101" w:type="dxa"/>
          </w:tcPr>
          <w:p w14:paraId="108F0A24" w14:textId="77777777" w:rsidR="00C01DD7" w:rsidRPr="00B27BF8" w:rsidRDefault="00C01DD7" w:rsidP="000F7D13">
            <w:pPr>
              <w:keepNext/>
              <w:rPr>
                <w:rFonts w:asciiTheme="minorHAnsi" w:hAnsiTheme="minorHAnsi" w:cstheme="minorHAnsi"/>
                <w:sz w:val="20"/>
                <w:szCs w:val="20"/>
              </w:rPr>
            </w:pPr>
            <w:r w:rsidRPr="00B27BF8">
              <w:rPr>
                <w:rFonts w:asciiTheme="minorHAnsi" w:hAnsiTheme="minorHAnsi" w:cstheme="minorHAnsi"/>
                <w:sz w:val="20"/>
                <w:szCs w:val="20"/>
              </w:rPr>
              <w:t>Unrestricted</w:t>
            </w:r>
          </w:p>
        </w:tc>
      </w:tr>
    </w:tbl>
    <w:p w14:paraId="304C12E4" w14:textId="77777777" w:rsidR="004F48CA" w:rsidRPr="00B27BF8" w:rsidRDefault="004F48CA" w:rsidP="00FF7022">
      <w:pPr>
        <w:spacing w:line="240" w:lineRule="auto"/>
        <w:rPr>
          <w:rFonts w:asciiTheme="minorHAnsi" w:hAnsiTheme="minorHAnsi" w:cstheme="minorHAnsi"/>
          <w:sz w:val="18"/>
          <w:szCs w:val="18"/>
        </w:rPr>
      </w:pPr>
      <w:r w:rsidRPr="00B27BF8">
        <w:rPr>
          <w:rFonts w:asciiTheme="minorHAnsi" w:hAnsiTheme="minorHAnsi" w:cstheme="minorHAnsi"/>
          <w:sz w:val="18"/>
          <w:szCs w:val="18"/>
        </w:rPr>
        <w:t>Note: the tablet brands are ‘a’ flagged as Schedule equivalent, but the oral liquids are not</w:t>
      </w:r>
      <w:r w:rsidR="00186509" w:rsidRPr="00B27BF8">
        <w:rPr>
          <w:rFonts w:asciiTheme="minorHAnsi" w:hAnsiTheme="minorHAnsi" w:cstheme="minorHAnsi"/>
          <w:sz w:val="18"/>
          <w:szCs w:val="18"/>
        </w:rPr>
        <w:t xml:space="preserve">. </w:t>
      </w:r>
      <w:r w:rsidRPr="00B27BF8">
        <w:rPr>
          <w:rFonts w:asciiTheme="minorHAnsi" w:hAnsiTheme="minorHAnsi" w:cstheme="minorHAnsi"/>
          <w:sz w:val="18"/>
          <w:szCs w:val="18"/>
        </w:rPr>
        <w:t xml:space="preserve"> </w:t>
      </w:r>
    </w:p>
    <w:p w14:paraId="717D74D0" w14:textId="77777777" w:rsidR="00C01DD7" w:rsidRPr="00B27BF8" w:rsidRDefault="00C01DD7" w:rsidP="00FF7022">
      <w:pPr>
        <w:spacing w:line="240" w:lineRule="auto"/>
        <w:rPr>
          <w:rFonts w:asciiTheme="minorHAnsi" w:hAnsiTheme="minorHAnsi" w:cstheme="minorHAnsi"/>
          <w:szCs w:val="20"/>
        </w:rPr>
      </w:pPr>
      <w:r w:rsidRPr="00B27BF8">
        <w:rPr>
          <w:rFonts w:asciiTheme="minorHAnsi" w:hAnsiTheme="minorHAnsi" w:cstheme="minorHAnsi"/>
        </w:rPr>
        <w:t>Patients already on chemotherapy for MM or CLL would likely be offered prophylactic antibiotics, however those not receiving chemotherapy are unlikely to be offered prophylaxis</w:t>
      </w:r>
      <w:r w:rsidR="00186509" w:rsidRPr="00B27BF8">
        <w:rPr>
          <w:rFonts w:asciiTheme="minorHAnsi" w:hAnsiTheme="minorHAnsi" w:cstheme="minorHAnsi"/>
        </w:rPr>
        <w:t xml:space="preserve">. </w:t>
      </w:r>
      <w:r w:rsidR="00CB292A" w:rsidRPr="00B27BF8">
        <w:rPr>
          <w:rFonts w:asciiTheme="minorHAnsi" w:hAnsiTheme="minorHAnsi" w:cstheme="minorHAnsi"/>
        </w:rPr>
        <w:t xml:space="preserve">The IgG Review </w:t>
      </w:r>
      <w:r w:rsidR="003032CA" w:rsidRPr="00B27BF8">
        <w:rPr>
          <w:rFonts w:asciiTheme="minorHAnsi" w:hAnsiTheme="minorHAnsi" w:cstheme="minorHAnsi"/>
        </w:rPr>
        <w:t xml:space="preserve">Reference </w:t>
      </w:r>
      <w:r w:rsidR="00CB292A" w:rsidRPr="00B27BF8">
        <w:rPr>
          <w:rFonts w:asciiTheme="minorHAnsi" w:hAnsiTheme="minorHAnsi" w:cstheme="minorHAnsi"/>
        </w:rPr>
        <w:t xml:space="preserve">Group considered that around 10% of MM or CLL patients </w:t>
      </w:r>
      <w:r w:rsidRPr="00B27BF8">
        <w:rPr>
          <w:rFonts w:asciiTheme="minorHAnsi" w:hAnsiTheme="minorHAnsi" w:cstheme="minorHAnsi"/>
        </w:rPr>
        <w:t>would r</w:t>
      </w:r>
      <w:r w:rsidR="00CB292A" w:rsidRPr="00B27BF8">
        <w:rPr>
          <w:rFonts w:asciiTheme="minorHAnsi" w:hAnsiTheme="minorHAnsi" w:cstheme="minorHAnsi"/>
        </w:rPr>
        <w:t>eceive antibiotic prophylaxis.</w:t>
      </w:r>
      <w:r w:rsidRPr="00B27BF8">
        <w:rPr>
          <w:rFonts w:asciiTheme="minorHAnsi" w:hAnsiTheme="minorHAnsi" w:cstheme="minorHAnsi"/>
          <w:szCs w:val="20"/>
        </w:rPr>
        <w:t xml:space="preserve"> </w:t>
      </w:r>
    </w:p>
    <w:p w14:paraId="74F75468" w14:textId="77777777" w:rsidR="00C01DD7" w:rsidRPr="00B27BF8" w:rsidRDefault="00C01DD7" w:rsidP="00C01DD7">
      <w:pPr>
        <w:rPr>
          <w:rFonts w:asciiTheme="minorHAnsi" w:hAnsiTheme="minorHAnsi" w:cstheme="minorHAnsi"/>
          <w:i/>
        </w:rPr>
      </w:pPr>
      <w:r w:rsidRPr="00B27BF8">
        <w:rPr>
          <w:rFonts w:asciiTheme="minorHAnsi" w:hAnsiTheme="minorHAnsi" w:cstheme="minorHAnsi"/>
        </w:rPr>
        <w:t xml:space="preserve">The applicant advises that some patients with hypogammaglobulinaemia (likely less than 20%) </w:t>
      </w:r>
      <w:r w:rsidR="00070680" w:rsidRPr="00B27BF8">
        <w:rPr>
          <w:rFonts w:asciiTheme="minorHAnsi" w:hAnsiTheme="minorHAnsi" w:cstheme="minorHAnsi"/>
        </w:rPr>
        <w:t>are commenced on</w:t>
      </w:r>
      <w:r w:rsidRPr="00B27BF8">
        <w:rPr>
          <w:rFonts w:asciiTheme="minorHAnsi" w:hAnsiTheme="minorHAnsi" w:cstheme="minorHAnsi"/>
        </w:rPr>
        <w:t xml:space="preserve"> chemotherapy because the patient is getting infections</w:t>
      </w:r>
      <w:r w:rsidR="00186509" w:rsidRPr="00B27BF8">
        <w:rPr>
          <w:rFonts w:asciiTheme="minorHAnsi" w:hAnsiTheme="minorHAnsi" w:cstheme="minorHAnsi"/>
        </w:rPr>
        <w:t xml:space="preserve">. </w:t>
      </w:r>
      <w:r w:rsidRPr="00B27BF8">
        <w:rPr>
          <w:rFonts w:asciiTheme="minorHAnsi" w:hAnsiTheme="minorHAnsi" w:cstheme="minorHAnsi"/>
        </w:rPr>
        <w:t xml:space="preserve">The </w:t>
      </w:r>
      <w:r w:rsidR="00222063" w:rsidRPr="00B27BF8">
        <w:rPr>
          <w:rFonts w:asciiTheme="minorHAnsi" w:hAnsiTheme="minorHAnsi" w:cstheme="minorHAnsi"/>
        </w:rPr>
        <w:t xml:space="preserve">clinical signs to commence chemotherapy are the same regardless of IgG access, but this is likely to be required more frequently without IgG replacement therapy.  </w:t>
      </w:r>
    </w:p>
    <w:p w14:paraId="4F6E1BEE" w14:textId="5FBC2F8A" w:rsidR="004F48CA" w:rsidRPr="00B27BF8" w:rsidRDefault="00222063" w:rsidP="00C01DD7">
      <w:pPr>
        <w:rPr>
          <w:rFonts w:asciiTheme="minorHAnsi" w:hAnsiTheme="minorHAnsi" w:cstheme="minorHAnsi"/>
        </w:rPr>
      </w:pPr>
      <w:r w:rsidRPr="00B27BF8">
        <w:rPr>
          <w:rFonts w:asciiTheme="minorHAnsi" w:hAnsiTheme="minorHAnsi" w:cstheme="minorHAnsi"/>
          <w:i/>
        </w:rPr>
        <w:t xml:space="preserve">The IgG </w:t>
      </w:r>
      <w:r w:rsidR="00EF364E" w:rsidRPr="00B27BF8">
        <w:rPr>
          <w:rFonts w:asciiTheme="minorHAnsi" w:hAnsiTheme="minorHAnsi" w:cstheme="minorHAnsi"/>
          <w:i/>
        </w:rPr>
        <w:t>R</w:t>
      </w:r>
      <w:r w:rsidRPr="00B27BF8">
        <w:rPr>
          <w:rFonts w:asciiTheme="minorHAnsi" w:hAnsiTheme="minorHAnsi" w:cstheme="minorHAnsi"/>
          <w:i/>
        </w:rPr>
        <w:t xml:space="preserve">eview </w:t>
      </w:r>
      <w:r w:rsidR="003032CA" w:rsidRPr="00B27BF8">
        <w:rPr>
          <w:rFonts w:asciiTheme="minorHAnsi" w:hAnsiTheme="minorHAnsi" w:cstheme="minorHAnsi"/>
          <w:i/>
        </w:rPr>
        <w:t xml:space="preserve">Reference </w:t>
      </w:r>
      <w:r w:rsidR="00EF364E" w:rsidRPr="00B27BF8">
        <w:rPr>
          <w:rFonts w:asciiTheme="minorHAnsi" w:hAnsiTheme="minorHAnsi" w:cstheme="minorHAnsi"/>
          <w:i/>
        </w:rPr>
        <w:t>G</w:t>
      </w:r>
      <w:r w:rsidRPr="00B27BF8">
        <w:rPr>
          <w:rFonts w:asciiTheme="minorHAnsi" w:hAnsiTheme="minorHAnsi" w:cstheme="minorHAnsi"/>
          <w:i/>
        </w:rPr>
        <w:t>roup considered that antibiotic use in the current treatment algorithm could be either prophylactic</w:t>
      </w:r>
      <w:r w:rsidR="002D2168" w:rsidRPr="00B27BF8">
        <w:rPr>
          <w:rFonts w:asciiTheme="minorHAnsi" w:hAnsiTheme="minorHAnsi" w:cstheme="minorHAnsi"/>
          <w:i/>
        </w:rPr>
        <w:t xml:space="preserve"> (based on high risk of infection)</w:t>
      </w:r>
      <w:r w:rsidRPr="00B27BF8">
        <w:rPr>
          <w:rFonts w:asciiTheme="minorHAnsi" w:hAnsiTheme="minorHAnsi" w:cstheme="minorHAnsi"/>
          <w:i/>
        </w:rPr>
        <w:t xml:space="preserve"> or prn (in response to clinical signs of infection). Chemotherapy was not considered to be a secondary comparator for the evaluation.</w:t>
      </w:r>
    </w:p>
    <w:p w14:paraId="4E3266EE" w14:textId="77777777" w:rsidR="00896845" w:rsidRPr="00B27BF8" w:rsidRDefault="00896845" w:rsidP="004D0ECE">
      <w:pPr>
        <w:keepNext/>
        <w:rPr>
          <w:rFonts w:asciiTheme="minorHAnsi" w:hAnsiTheme="minorHAnsi" w:cstheme="minorHAnsi"/>
          <w:b/>
        </w:rPr>
      </w:pPr>
      <w:r w:rsidRPr="00B27BF8">
        <w:rPr>
          <w:rFonts w:asciiTheme="minorHAnsi" w:hAnsiTheme="minorHAnsi" w:cstheme="minorHAnsi"/>
          <w:b/>
        </w:rPr>
        <w:t>Outcomes</w:t>
      </w:r>
    </w:p>
    <w:p w14:paraId="7EA3A0C2" w14:textId="77777777" w:rsidR="00B52FB1" w:rsidRPr="00B27BF8" w:rsidRDefault="008B50D8" w:rsidP="00222063">
      <w:pPr>
        <w:keepNext/>
        <w:rPr>
          <w:rFonts w:asciiTheme="minorHAnsi" w:hAnsiTheme="minorHAnsi" w:cstheme="minorHAnsi"/>
          <w:u w:val="single"/>
        </w:rPr>
      </w:pPr>
      <w:r w:rsidRPr="00B27BF8">
        <w:rPr>
          <w:rFonts w:asciiTheme="minorHAnsi" w:hAnsiTheme="minorHAnsi" w:cstheme="minorHAnsi"/>
          <w:u w:val="single"/>
        </w:rPr>
        <w:t>Effectiveness</w:t>
      </w:r>
    </w:p>
    <w:p w14:paraId="665B2CAF" w14:textId="77777777" w:rsidR="00B52FB1" w:rsidRPr="00B27BF8" w:rsidRDefault="00B52FB1" w:rsidP="00B52FB1">
      <w:pPr>
        <w:rPr>
          <w:rFonts w:asciiTheme="minorHAnsi" w:hAnsiTheme="minorHAnsi" w:cstheme="minorHAnsi"/>
        </w:rPr>
      </w:pPr>
      <w:r w:rsidRPr="00B27BF8">
        <w:rPr>
          <w:rFonts w:asciiTheme="minorHAnsi" w:hAnsiTheme="minorHAnsi" w:cstheme="minorHAnsi"/>
        </w:rPr>
        <w:t xml:space="preserve">The applicant proposes that mortality, morbidity, infections (decrease in infection rate), hospitalisations and quality of life are the </w:t>
      </w:r>
      <w:r w:rsidR="008B50D8" w:rsidRPr="00B27BF8">
        <w:rPr>
          <w:rFonts w:asciiTheme="minorHAnsi" w:hAnsiTheme="minorHAnsi" w:cstheme="minorHAnsi"/>
        </w:rPr>
        <w:t xml:space="preserve">effectiveness </w:t>
      </w:r>
      <w:r w:rsidRPr="00B27BF8">
        <w:rPr>
          <w:rFonts w:asciiTheme="minorHAnsi" w:hAnsiTheme="minorHAnsi" w:cstheme="minorHAnsi"/>
        </w:rPr>
        <w:t>outcomes that should be included in the evaluation</w:t>
      </w:r>
      <w:r w:rsidR="00186509" w:rsidRPr="00B27BF8">
        <w:rPr>
          <w:rFonts w:asciiTheme="minorHAnsi" w:hAnsiTheme="minorHAnsi" w:cstheme="minorHAnsi"/>
        </w:rPr>
        <w:t>.</w:t>
      </w:r>
      <w:r w:rsidRPr="00B27BF8">
        <w:rPr>
          <w:rFonts w:asciiTheme="minorHAnsi" w:hAnsiTheme="minorHAnsi" w:cstheme="minorHAnsi"/>
        </w:rPr>
        <w:t xml:space="preserve"> </w:t>
      </w:r>
    </w:p>
    <w:p w14:paraId="52CE194E" w14:textId="77777777" w:rsidR="00EE0365" w:rsidRPr="00B27BF8" w:rsidRDefault="00B52FB1" w:rsidP="00B52FB1">
      <w:pPr>
        <w:rPr>
          <w:rFonts w:asciiTheme="minorHAnsi" w:hAnsiTheme="minorHAnsi" w:cstheme="minorHAnsi"/>
          <w:i/>
        </w:rPr>
      </w:pPr>
      <w:r w:rsidRPr="00B27BF8">
        <w:rPr>
          <w:rFonts w:asciiTheme="minorHAnsi" w:hAnsiTheme="minorHAnsi" w:cstheme="minorHAnsi"/>
          <w:i/>
        </w:rPr>
        <w:t>Mortality and morbidity are likely to be confounded by divergent baseline risk and life expectancy due to</w:t>
      </w:r>
      <w:r w:rsidR="00EE0365" w:rsidRPr="00B27BF8">
        <w:rPr>
          <w:rFonts w:asciiTheme="minorHAnsi" w:hAnsiTheme="minorHAnsi" w:cstheme="minorHAnsi"/>
          <w:i/>
        </w:rPr>
        <w:t xml:space="preserve"> differences in</w:t>
      </w:r>
      <w:r w:rsidRPr="00B27BF8">
        <w:rPr>
          <w:rFonts w:asciiTheme="minorHAnsi" w:hAnsiTheme="minorHAnsi" w:cstheme="minorHAnsi"/>
          <w:i/>
        </w:rPr>
        <w:t xml:space="preserve"> underlying disease</w:t>
      </w:r>
      <w:r w:rsidR="00EE0365" w:rsidRPr="00B27BF8">
        <w:rPr>
          <w:rFonts w:asciiTheme="minorHAnsi" w:hAnsiTheme="minorHAnsi" w:cstheme="minorHAnsi"/>
          <w:i/>
        </w:rPr>
        <w:t xml:space="preserve"> </w:t>
      </w:r>
      <w:r w:rsidR="00070680" w:rsidRPr="00B27BF8">
        <w:rPr>
          <w:rFonts w:asciiTheme="minorHAnsi" w:hAnsiTheme="minorHAnsi" w:cstheme="minorHAnsi"/>
          <w:i/>
        </w:rPr>
        <w:t xml:space="preserve">and </w:t>
      </w:r>
      <w:r w:rsidR="00186509" w:rsidRPr="00B27BF8">
        <w:rPr>
          <w:rFonts w:asciiTheme="minorHAnsi" w:hAnsiTheme="minorHAnsi" w:cstheme="minorHAnsi"/>
          <w:i/>
        </w:rPr>
        <w:t xml:space="preserve">given the modest size of clinical studies in this indication. </w:t>
      </w:r>
      <w:r w:rsidR="00EE0365" w:rsidRPr="00B27BF8">
        <w:rPr>
          <w:rFonts w:asciiTheme="minorHAnsi" w:hAnsiTheme="minorHAnsi" w:cstheme="minorHAnsi"/>
          <w:i/>
        </w:rPr>
        <w:t xml:space="preserve">The definition of morbidity is </w:t>
      </w:r>
      <w:r w:rsidR="008F1B60" w:rsidRPr="00B27BF8">
        <w:rPr>
          <w:rFonts w:asciiTheme="minorHAnsi" w:hAnsiTheme="minorHAnsi" w:cstheme="minorHAnsi"/>
          <w:i/>
        </w:rPr>
        <w:t>also</w:t>
      </w:r>
      <w:r w:rsidR="00EE0365" w:rsidRPr="00B27BF8">
        <w:rPr>
          <w:rFonts w:asciiTheme="minorHAnsi" w:hAnsiTheme="minorHAnsi" w:cstheme="minorHAnsi"/>
          <w:i/>
        </w:rPr>
        <w:t xml:space="preserve"> likely to vary widely</w:t>
      </w:r>
      <w:r w:rsidR="00D64850" w:rsidRPr="00B27BF8">
        <w:rPr>
          <w:rFonts w:asciiTheme="minorHAnsi" w:hAnsiTheme="minorHAnsi" w:cstheme="minorHAnsi"/>
          <w:i/>
        </w:rPr>
        <w:t xml:space="preserve"> and is better captured as individual outcomes such as hospitalisations or severe infections</w:t>
      </w:r>
      <w:r w:rsidR="00186509" w:rsidRPr="00B27BF8">
        <w:rPr>
          <w:rFonts w:asciiTheme="minorHAnsi" w:hAnsiTheme="minorHAnsi" w:cstheme="minorHAnsi"/>
          <w:i/>
        </w:rPr>
        <w:t xml:space="preserve">. </w:t>
      </w:r>
      <w:r w:rsidRPr="00B27BF8">
        <w:rPr>
          <w:rFonts w:asciiTheme="minorHAnsi" w:hAnsiTheme="minorHAnsi" w:cstheme="minorHAnsi"/>
          <w:i/>
        </w:rPr>
        <w:t xml:space="preserve">Mortality could be considered </w:t>
      </w:r>
      <w:r w:rsidR="008B50D8" w:rsidRPr="00B27BF8">
        <w:rPr>
          <w:rFonts w:asciiTheme="minorHAnsi" w:hAnsiTheme="minorHAnsi" w:cstheme="minorHAnsi"/>
          <w:i/>
        </w:rPr>
        <w:t xml:space="preserve">a </w:t>
      </w:r>
      <w:r w:rsidRPr="00B27BF8">
        <w:rPr>
          <w:rFonts w:asciiTheme="minorHAnsi" w:hAnsiTheme="minorHAnsi" w:cstheme="minorHAnsi"/>
          <w:i/>
        </w:rPr>
        <w:t>secondary outcome</w:t>
      </w:r>
      <w:r w:rsidR="00070680" w:rsidRPr="00B27BF8">
        <w:rPr>
          <w:rFonts w:asciiTheme="minorHAnsi" w:hAnsiTheme="minorHAnsi" w:cstheme="minorHAnsi"/>
          <w:i/>
        </w:rPr>
        <w:t>. T</w:t>
      </w:r>
      <w:r w:rsidRPr="00B27BF8">
        <w:rPr>
          <w:rFonts w:asciiTheme="minorHAnsi" w:hAnsiTheme="minorHAnsi" w:cstheme="minorHAnsi"/>
          <w:i/>
        </w:rPr>
        <w:t xml:space="preserve">he key outcome should be infections, </w:t>
      </w:r>
      <w:r w:rsidR="00070680" w:rsidRPr="00B27BF8">
        <w:rPr>
          <w:rFonts w:asciiTheme="minorHAnsi" w:hAnsiTheme="minorHAnsi" w:cstheme="minorHAnsi"/>
          <w:i/>
        </w:rPr>
        <w:t>including</w:t>
      </w:r>
      <w:r w:rsidRPr="00B27BF8">
        <w:rPr>
          <w:rFonts w:asciiTheme="minorHAnsi" w:hAnsiTheme="minorHAnsi" w:cstheme="minorHAnsi"/>
          <w:i/>
        </w:rPr>
        <w:t xml:space="preserve"> severe</w:t>
      </w:r>
      <w:r w:rsidR="00207547" w:rsidRPr="00B27BF8">
        <w:rPr>
          <w:rFonts w:asciiTheme="minorHAnsi" w:hAnsiTheme="minorHAnsi" w:cstheme="minorHAnsi"/>
          <w:i/>
        </w:rPr>
        <w:t xml:space="preserve"> and/</w:t>
      </w:r>
      <w:r w:rsidRPr="00B27BF8">
        <w:rPr>
          <w:rFonts w:asciiTheme="minorHAnsi" w:hAnsiTheme="minorHAnsi" w:cstheme="minorHAnsi"/>
          <w:i/>
        </w:rPr>
        <w:t>or recurrent infections (or infections requiring hospitalisation), total infections, and antibiotic use</w:t>
      </w:r>
      <w:r w:rsidR="00EE0365" w:rsidRPr="00B27BF8">
        <w:rPr>
          <w:rFonts w:asciiTheme="minorHAnsi" w:hAnsiTheme="minorHAnsi" w:cstheme="minorHAnsi"/>
          <w:i/>
        </w:rPr>
        <w:t xml:space="preserve"> (</w:t>
      </w:r>
      <w:r w:rsidR="00D64850" w:rsidRPr="00B27BF8">
        <w:rPr>
          <w:rFonts w:asciiTheme="minorHAnsi" w:hAnsiTheme="minorHAnsi" w:cstheme="minorHAnsi"/>
          <w:i/>
        </w:rPr>
        <w:t>noting whether as</w:t>
      </w:r>
      <w:r w:rsidR="00EE0365" w:rsidRPr="00B27BF8">
        <w:rPr>
          <w:rFonts w:asciiTheme="minorHAnsi" w:hAnsiTheme="minorHAnsi" w:cstheme="minorHAnsi"/>
          <w:i/>
        </w:rPr>
        <w:t xml:space="preserve"> </w:t>
      </w:r>
      <w:r w:rsidR="008F1B60" w:rsidRPr="00B27BF8">
        <w:rPr>
          <w:rFonts w:asciiTheme="minorHAnsi" w:hAnsiTheme="minorHAnsi" w:cstheme="minorHAnsi"/>
          <w:i/>
        </w:rPr>
        <w:t>prophylaxis</w:t>
      </w:r>
      <w:r w:rsidR="00EE0365" w:rsidRPr="00B27BF8">
        <w:rPr>
          <w:rFonts w:asciiTheme="minorHAnsi" w:hAnsiTheme="minorHAnsi" w:cstheme="minorHAnsi"/>
          <w:i/>
        </w:rPr>
        <w:t>)</w:t>
      </w:r>
      <w:r w:rsidR="00186509" w:rsidRPr="00B27BF8">
        <w:rPr>
          <w:rFonts w:asciiTheme="minorHAnsi" w:hAnsiTheme="minorHAnsi" w:cstheme="minorHAnsi"/>
          <w:i/>
        </w:rPr>
        <w:t xml:space="preserve">. </w:t>
      </w:r>
      <w:r w:rsidR="00207547" w:rsidRPr="00B27BF8">
        <w:rPr>
          <w:rFonts w:asciiTheme="minorHAnsi" w:hAnsiTheme="minorHAnsi" w:cstheme="minorHAnsi"/>
          <w:i/>
        </w:rPr>
        <w:t>Hospitalisations (all cause)</w:t>
      </w:r>
      <w:r w:rsidR="00222063" w:rsidRPr="00B27BF8">
        <w:rPr>
          <w:rFonts w:asciiTheme="minorHAnsi" w:hAnsiTheme="minorHAnsi" w:cstheme="minorHAnsi"/>
          <w:i/>
        </w:rPr>
        <w:t xml:space="preserve"> and</w:t>
      </w:r>
      <w:r w:rsidR="00C23481" w:rsidRPr="00B27BF8">
        <w:rPr>
          <w:rFonts w:asciiTheme="minorHAnsi" w:hAnsiTheme="minorHAnsi" w:cstheme="minorHAnsi"/>
          <w:i/>
        </w:rPr>
        <w:t xml:space="preserve"> </w:t>
      </w:r>
      <w:r w:rsidR="00D64850" w:rsidRPr="00B27BF8">
        <w:rPr>
          <w:rFonts w:asciiTheme="minorHAnsi" w:hAnsiTheme="minorHAnsi" w:cstheme="minorHAnsi"/>
          <w:i/>
        </w:rPr>
        <w:t>QoL (and anxiety, if reported)</w:t>
      </w:r>
      <w:r w:rsidR="00222063" w:rsidRPr="00B27BF8">
        <w:rPr>
          <w:rFonts w:asciiTheme="minorHAnsi" w:hAnsiTheme="minorHAnsi" w:cstheme="minorHAnsi"/>
          <w:i/>
        </w:rPr>
        <w:t xml:space="preserve"> are</w:t>
      </w:r>
      <w:r w:rsidR="00EE0365" w:rsidRPr="00B27BF8">
        <w:rPr>
          <w:rFonts w:asciiTheme="minorHAnsi" w:hAnsiTheme="minorHAnsi" w:cstheme="minorHAnsi"/>
          <w:i/>
        </w:rPr>
        <w:t xml:space="preserve"> </w:t>
      </w:r>
      <w:r w:rsidR="00207547" w:rsidRPr="00B27BF8">
        <w:rPr>
          <w:rFonts w:asciiTheme="minorHAnsi" w:hAnsiTheme="minorHAnsi" w:cstheme="minorHAnsi"/>
          <w:i/>
        </w:rPr>
        <w:t>appropriate</w:t>
      </w:r>
      <w:r w:rsidR="00EE0365" w:rsidRPr="00B27BF8">
        <w:rPr>
          <w:rFonts w:asciiTheme="minorHAnsi" w:hAnsiTheme="minorHAnsi" w:cstheme="minorHAnsi"/>
          <w:i/>
        </w:rPr>
        <w:t xml:space="preserve"> patient-relevant outcome</w:t>
      </w:r>
      <w:r w:rsidR="00222063" w:rsidRPr="00B27BF8">
        <w:rPr>
          <w:rFonts w:asciiTheme="minorHAnsi" w:hAnsiTheme="minorHAnsi" w:cstheme="minorHAnsi"/>
          <w:i/>
        </w:rPr>
        <w:t>s</w:t>
      </w:r>
      <w:r w:rsidR="00EE0365" w:rsidRPr="00B27BF8">
        <w:rPr>
          <w:rFonts w:asciiTheme="minorHAnsi" w:hAnsiTheme="minorHAnsi" w:cstheme="minorHAnsi"/>
          <w:i/>
        </w:rPr>
        <w:t xml:space="preserve"> – if duration of hos</w:t>
      </w:r>
      <w:r w:rsidR="00334E46" w:rsidRPr="00B27BF8">
        <w:rPr>
          <w:rFonts w:asciiTheme="minorHAnsi" w:hAnsiTheme="minorHAnsi" w:cstheme="minorHAnsi"/>
          <w:i/>
        </w:rPr>
        <w:t>pital stay or time to discharge is available, this c</w:t>
      </w:r>
      <w:r w:rsidR="00EE0365" w:rsidRPr="00B27BF8">
        <w:rPr>
          <w:rFonts w:asciiTheme="minorHAnsi" w:hAnsiTheme="minorHAnsi" w:cstheme="minorHAnsi"/>
          <w:i/>
        </w:rPr>
        <w:t xml:space="preserve">ould </w:t>
      </w:r>
      <w:r w:rsidR="00334E46" w:rsidRPr="00B27BF8">
        <w:rPr>
          <w:rFonts w:asciiTheme="minorHAnsi" w:hAnsiTheme="minorHAnsi" w:cstheme="minorHAnsi"/>
          <w:i/>
        </w:rPr>
        <w:t xml:space="preserve">also </w:t>
      </w:r>
      <w:r w:rsidR="00EE0365" w:rsidRPr="00B27BF8">
        <w:rPr>
          <w:rFonts w:asciiTheme="minorHAnsi" w:hAnsiTheme="minorHAnsi" w:cstheme="minorHAnsi"/>
          <w:i/>
        </w:rPr>
        <w:t>be included</w:t>
      </w:r>
      <w:r w:rsidR="00186509" w:rsidRPr="00B27BF8">
        <w:rPr>
          <w:rFonts w:asciiTheme="minorHAnsi" w:hAnsiTheme="minorHAnsi" w:cstheme="minorHAnsi"/>
          <w:i/>
        </w:rPr>
        <w:t xml:space="preserve">. </w:t>
      </w:r>
    </w:p>
    <w:p w14:paraId="47AD961C" w14:textId="77777777" w:rsidR="008F1B60" w:rsidRPr="00B27BF8" w:rsidRDefault="00186509" w:rsidP="00B52FB1">
      <w:pPr>
        <w:rPr>
          <w:rFonts w:asciiTheme="minorHAnsi" w:hAnsiTheme="minorHAnsi" w:cstheme="minorHAnsi"/>
          <w:i/>
        </w:rPr>
      </w:pPr>
      <w:r w:rsidRPr="00B27BF8">
        <w:rPr>
          <w:rFonts w:asciiTheme="minorHAnsi" w:hAnsiTheme="minorHAnsi" w:cstheme="minorHAnsi"/>
          <w:i/>
        </w:rPr>
        <w:t>A</w:t>
      </w:r>
      <w:r w:rsidR="00EC7C13" w:rsidRPr="00B27BF8">
        <w:rPr>
          <w:rFonts w:asciiTheme="minorHAnsi" w:hAnsiTheme="minorHAnsi" w:cstheme="minorHAnsi"/>
          <w:i/>
        </w:rPr>
        <w:t>l</w:t>
      </w:r>
      <w:r w:rsidR="008F1B60" w:rsidRPr="00B27BF8">
        <w:rPr>
          <w:rFonts w:asciiTheme="minorHAnsi" w:hAnsiTheme="minorHAnsi" w:cstheme="minorHAnsi"/>
          <w:i/>
        </w:rPr>
        <w:t xml:space="preserve">though </w:t>
      </w:r>
      <w:r w:rsidRPr="00B27BF8">
        <w:rPr>
          <w:rFonts w:asciiTheme="minorHAnsi" w:hAnsiTheme="minorHAnsi" w:cstheme="minorHAnsi"/>
          <w:i/>
        </w:rPr>
        <w:t xml:space="preserve">IgG trough levels are </w:t>
      </w:r>
      <w:r w:rsidR="008F1B60" w:rsidRPr="00B27BF8">
        <w:rPr>
          <w:rFonts w:asciiTheme="minorHAnsi" w:hAnsiTheme="minorHAnsi" w:cstheme="minorHAnsi"/>
          <w:i/>
        </w:rPr>
        <w:t xml:space="preserve">not patient-relevant, </w:t>
      </w:r>
      <w:r w:rsidR="00CC3829" w:rsidRPr="00B27BF8">
        <w:rPr>
          <w:rFonts w:asciiTheme="minorHAnsi" w:hAnsiTheme="minorHAnsi" w:cstheme="minorHAnsi"/>
          <w:i/>
        </w:rPr>
        <w:t xml:space="preserve">they </w:t>
      </w:r>
      <w:r w:rsidR="008F1B60" w:rsidRPr="00B27BF8">
        <w:rPr>
          <w:rFonts w:asciiTheme="minorHAnsi" w:hAnsiTheme="minorHAnsi" w:cstheme="minorHAnsi"/>
          <w:i/>
        </w:rPr>
        <w:t>would be informative as a measure of how well serum IgG levels are recovering</w:t>
      </w:r>
      <w:r w:rsidRPr="00B27BF8">
        <w:rPr>
          <w:rFonts w:asciiTheme="minorHAnsi" w:hAnsiTheme="minorHAnsi" w:cstheme="minorHAnsi"/>
          <w:i/>
        </w:rPr>
        <w:t xml:space="preserve">. </w:t>
      </w:r>
      <w:r w:rsidR="00EC7C13" w:rsidRPr="00B27BF8">
        <w:rPr>
          <w:rFonts w:asciiTheme="minorHAnsi" w:hAnsiTheme="minorHAnsi" w:cstheme="minorHAnsi"/>
          <w:i/>
        </w:rPr>
        <w:t xml:space="preserve">Given that </w:t>
      </w:r>
      <w:r w:rsidRPr="00B27BF8">
        <w:rPr>
          <w:rFonts w:asciiTheme="minorHAnsi" w:hAnsiTheme="minorHAnsi" w:cstheme="minorHAnsi"/>
          <w:i/>
        </w:rPr>
        <w:t xml:space="preserve">the applicable </w:t>
      </w:r>
      <w:r w:rsidR="00EC7C13" w:rsidRPr="00B27BF8">
        <w:rPr>
          <w:rFonts w:asciiTheme="minorHAnsi" w:hAnsiTheme="minorHAnsi" w:cstheme="minorHAnsi"/>
          <w:i/>
        </w:rPr>
        <w:t xml:space="preserve">studies involve small patient numbers, pre-dose trough levels </w:t>
      </w:r>
      <w:r w:rsidR="0014636E" w:rsidRPr="00B27BF8">
        <w:rPr>
          <w:rFonts w:asciiTheme="minorHAnsi" w:hAnsiTheme="minorHAnsi" w:cstheme="minorHAnsi"/>
          <w:i/>
        </w:rPr>
        <w:t>could</w:t>
      </w:r>
      <w:r w:rsidR="00EC7C13" w:rsidRPr="00B27BF8">
        <w:rPr>
          <w:rFonts w:asciiTheme="minorHAnsi" w:hAnsiTheme="minorHAnsi" w:cstheme="minorHAnsi"/>
          <w:i/>
        </w:rPr>
        <w:t xml:space="preserve"> provide </w:t>
      </w:r>
      <w:r w:rsidRPr="00B27BF8">
        <w:rPr>
          <w:rFonts w:asciiTheme="minorHAnsi" w:hAnsiTheme="minorHAnsi" w:cstheme="minorHAnsi"/>
          <w:i/>
        </w:rPr>
        <w:t xml:space="preserve">valuable </w:t>
      </w:r>
      <w:r w:rsidR="00EC7C13" w:rsidRPr="00B27BF8">
        <w:rPr>
          <w:rFonts w:asciiTheme="minorHAnsi" w:hAnsiTheme="minorHAnsi" w:cstheme="minorHAnsi"/>
          <w:i/>
        </w:rPr>
        <w:t>context to interpretation of the patient relevant outcomes</w:t>
      </w:r>
      <w:r w:rsidR="0014636E" w:rsidRPr="00B27BF8">
        <w:rPr>
          <w:rFonts w:asciiTheme="minorHAnsi" w:hAnsiTheme="minorHAnsi" w:cstheme="minorHAnsi"/>
          <w:i/>
        </w:rPr>
        <w:t>, especially for studies including SCIg products</w:t>
      </w:r>
      <w:r w:rsidRPr="00B27BF8">
        <w:rPr>
          <w:rFonts w:asciiTheme="minorHAnsi" w:hAnsiTheme="minorHAnsi" w:cstheme="minorHAnsi"/>
          <w:i/>
        </w:rPr>
        <w:t>.</w:t>
      </w:r>
    </w:p>
    <w:p w14:paraId="696482AA" w14:textId="77777777" w:rsidR="009A706B" w:rsidRPr="00B27BF8" w:rsidRDefault="009A706B" w:rsidP="009A706B">
      <w:pPr>
        <w:rPr>
          <w:rFonts w:asciiTheme="minorHAnsi" w:hAnsiTheme="minorHAnsi" w:cstheme="minorHAnsi"/>
        </w:rPr>
      </w:pPr>
      <w:r w:rsidRPr="00B27BF8">
        <w:rPr>
          <w:rFonts w:asciiTheme="minorHAnsi" w:hAnsiTheme="minorHAnsi" w:cstheme="minorHAnsi"/>
        </w:rPr>
        <w:lastRenderedPageBreak/>
        <w:t xml:space="preserve">The United Kingdom’s </w:t>
      </w:r>
      <w:r w:rsidRPr="00B27BF8">
        <w:rPr>
          <w:rFonts w:asciiTheme="minorHAnsi" w:hAnsiTheme="minorHAnsi" w:cstheme="minorHAnsi"/>
          <w:i/>
        </w:rPr>
        <w:t>Clinical Guidelines for Immunoglobulin Use</w:t>
      </w:r>
      <w:r w:rsidRPr="00B27BF8">
        <w:rPr>
          <w:rFonts w:asciiTheme="minorHAnsi" w:hAnsiTheme="minorHAnsi" w:cstheme="minorHAnsi"/>
        </w:rPr>
        <w:t xml:space="preserve"> (2011) require reporting number of infections and number of days in hospital as efficacy outcomes for this indication, to be measured every six months</w:t>
      </w:r>
      <w:r w:rsidR="00186509" w:rsidRPr="00B27BF8">
        <w:rPr>
          <w:rFonts w:asciiTheme="minorHAnsi" w:hAnsiTheme="minorHAnsi" w:cstheme="minorHAnsi"/>
        </w:rPr>
        <w:t>.</w:t>
      </w:r>
      <w:r w:rsidR="00070680" w:rsidRPr="00B27BF8">
        <w:rPr>
          <w:rFonts w:asciiTheme="minorHAnsi" w:hAnsiTheme="minorHAnsi" w:cstheme="minorHAnsi"/>
        </w:rPr>
        <w:t xml:space="preserve"> </w:t>
      </w:r>
      <w:r w:rsidRPr="00B27BF8">
        <w:rPr>
          <w:rFonts w:asciiTheme="minorHAnsi" w:hAnsiTheme="minorHAnsi" w:cstheme="minorHAnsi"/>
        </w:rPr>
        <w:t>The EMA Guideline which applies to TGA review of IgG products recommends the number of serious bacterial infections as the primary endpoint for clinical evaluation of IVIg in primary and secondary immunodeficiencies</w:t>
      </w:r>
      <w:r w:rsidR="00186509" w:rsidRPr="00B27BF8">
        <w:rPr>
          <w:rFonts w:asciiTheme="minorHAnsi" w:hAnsiTheme="minorHAnsi" w:cstheme="minorHAnsi"/>
        </w:rPr>
        <w:t xml:space="preserve">. </w:t>
      </w:r>
      <w:r w:rsidRPr="00B27BF8">
        <w:rPr>
          <w:rFonts w:asciiTheme="minorHAnsi" w:hAnsiTheme="minorHAnsi" w:cstheme="minorHAnsi"/>
        </w:rPr>
        <w:t>The EMA guideline defines an acceptable level as less than 1</w:t>
      </w:r>
      <w:r w:rsidR="00186509" w:rsidRPr="00B27BF8">
        <w:rPr>
          <w:rFonts w:asciiTheme="minorHAnsi" w:hAnsiTheme="minorHAnsi" w:cstheme="minorHAnsi"/>
        </w:rPr>
        <w:t>.</w:t>
      </w:r>
      <w:r w:rsidRPr="00B27BF8">
        <w:rPr>
          <w:rFonts w:asciiTheme="minorHAnsi" w:hAnsiTheme="minorHAnsi" w:cstheme="minorHAnsi"/>
        </w:rPr>
        <w:t>0 infection/subject/year</w:t>
      </w:r>
      <w:r w:rsidR="00186509" w:rsidRPr="00B27BF8">
        <w:rPr>
          <w:rFonts w:asciiTheme="minorHAnsi" w:hAnsiTheme="minorHAnsi" w:cstheme="minorHAnsi"/>
        </w:rPr>
        <w:t xml:space="preserve">. </w:t>
      </w:r>
      <w:r w:rsidRPr="00B27BF8">
        <w:rPr>
          <w:rFonts w:asciiTheme="minorHAnsi" w:hAnsiTheme="minorHAnsi" w:cstheme="minorHAnsi"/>
        </w:rPr>
        <w:t>Recommended secondary endpoints include IgG trough levels, any other infections, antibiotic treatment, hospitalisations and fever episodes</w:t>
      </w:r>
      <w:r w:rsidR="00186509" w:rsidRPr="00B27BF8">
        <w:rPr>
          <w:rFonts w:asciiTheme="minorHAnsi" w:hAnsiTheme="minorHAnsi" w:cstheme="minorHAnsi"/>
        </w:rPr>
        <w:t xml:space="preserve">. </w:t>
      </w:r>
    </w:p>
    <w:p w14:paraId="4FF5B36F" w14:textId="77777777" w:rsidR="00B52FB1" w:rsidRPr="00B27BF8" w:rsidRDefault="00B52FB1" w:rsidP="00DE2EF2">
      <w:pPr>
        <w:keepNext/>
        <w:rPr>
          <w:rFonts w:asciiTheme="minorHAnsi" w:hAnsiTheme="minorHAnsi" w:cstheme="minorHAnsi"/>
          <w:u w:val="single"/>
        </w:rPr>
      </w:pPr>
      <w:r w:rsidRPr="00B27BF8">
        <w:rPr>
          <w:rFonts w:asciiTheme="minorHAnsi" w:hAnsiTheme="minorHAnsi" w:cstheme="minorHAnsi"/>
          <w:u w:val="single"/>
        </w:rPr>
        <w:t>Safety</w:t>
      </w:r>
    </w:p>
    <w:p w14:paraId="1FF196F2" w14:textId="77777777" w:rsidR="00B52FB1" w:rsidRPr="00B27BF8" w:rsidRDefault="00B52FB1" w:rsidP="00B52FB1">
      <w:pPr>
        <w:rPr>
          <w:rFonts w:asciiTheme="minorHAnsi" w:hAnsiTheme="minorHAnsi" w:cstheme="minorHAnsi"/>
        </w:rPr>
      </w:pPr>
      <w:r w:rsidRPr="00B27BF8">
        <w:rPr>
          <w:rFonts w:asciiTheme="minorHAnsi" w:hAnsiTheme="minorHAnsi" w:cstheme="minorHAnsi"/>
        </w:rPr>
        <w:t>The applicant proposes that serious adverse events (antibiotic allergy, anaphylaxis, veno-occlusive events) and antibiotic resistance should be included as safety outcomes for the evaluation</w:t>
      </w:r>
      <w:r w:rsidR="00186509" w:rsidRPr="00B27BF8">
        <w:rPr>
          <w:rFonts w:asciiTheme="minorHAnsi" w:hAnsiTheme="minorHAnsi" w:cstheme="minorHAnsi"/>
        </w:rPr>
        <w:t xml:space="preserve">. </w:t>
      </w:r>
      <w:r w:rsidRPr="00B27BF8">
        <w:rPr>
          <w:rFonts w:asciiTheme="minorHAnsi" w:hAnsiTheme="minorHAnsi" w:cstheme="minorHAnsi"/>
        </w:rPr>
        <w:t xml:space="preserve"> </w:t>
      </w:r>
    </w:p>
    <w:p w14:paraId="123891CA" w14:textId="77777777" w:rsidR="00EC7C13" w:rsidRPr="00B27BF8" w:rsidRDefault="00070680" w:rsidP="00B52FB1">
      <w:pPr>
        <w:rPr>
          <w:rFonts w:asciiTheme="minorHAnsi" w:hAnsiTheme="minorHAnsi" w:cstheme="minorHAnsi"/>
          <w:i/>
        </w:rPr>
      </w:pPr>
      <w:r w:rsidRPr="00B27BF8">
        <w:rPr>
          <w:rFonts w:asciiTheme="minorHAnsi" w:hAnsiTheme="minorHAnsi" w:cstheme="minorHAnsi"/>
          <w:i/>
        </w:rPr>
        <w:t>Anaphylaxis should be expanded to include any s</w:t>
      </w:r>
      <w:r w:rsidR="00EC7C13" w:rsidRPr="00B27BF8">
        <w:rPr>
          <w:rFonts w:asciiTheme="minorHAnsi" w:hAnsiTheme="minorHAnsi" w:cstheme="minorHAnsi"/>
          <w:i/>
        </w:rPr>
        <w:t>erious i</w:t>
      </w:r>
      <w:r w:rsidR="00B52FB1" w:rsidRPr="00B27BF8">
        <w:rPr>
          <w:rFonts w:asciiTheme="minorHAnsi" w:hAnsiTheme="minorHAnsi" w:cstheme="minorHAnsi"/>
          <w:i/>
        </w:rPr>
        <w:t>nfusion reactions,</w:t>
      </w:r>
      <w:r w:rsidR="008F1B60" w:rsidRPr="00B27BF8">
        <w:rPr>
          <w:rFonts w:asciiTheme="minorHAnsi" w:hAnsiTheme="minorHAnsi" w:cstheme="minorHAnsi"/>
          <w:i/>
        </w:rPr>
        <w:t xml:space="preserve"> </w:t>
      </w:r>
      <w:r w:rsidRPr="00B27BF8">
        <w:rPr>
          <w:rFonts w:asciiTheme="minorHAnsi" w:hAnsiTheme="minorHAnsi" w:cstheme="minorHAnsi"/>
          <w:i/>
        </w:rPr>
        <w:t>although</w:t>
      </w:r>
      <w:r w:rsidR="00B52FB1" w:rsidRPr="00B27BF8">
        <w:rPr>
          <w:rFonts w:asciiTheme="minorHAnsi" w:hAnsiTheme="minorHAnsi" w:cstheme="minorHAnsi"/>
          <w:i/>
        </w:rPr>
        <w:t xml:space="preserve"> total number of reactions</w:t>
      </w:r>
      <w:r w:rsidR="00EE0365" w:rsidRPr="00B27BF8">
        <w:rPr>
          <w:rFonts w:asciiTheme="minorHAnsi" w:hAnsiTheme="minorHAnsi" w:cstheme="minorHAnsi"/>
          <w:i/>
        </w:rPr>
        <w:t xml:space="preserve"> are </w:t>
      </w:r>
      <w:r w:rsidR="00C01DD7" w:rsidRPr="00B27BF8">
        <w:rPr>
          <w:rFonts w:asciiTheme="minorHAnsi" w:hAnsiTheme="minorHAnsi" w:cstheme="minorHAnsi"/>
          <w:i/>
        </w:rPr>
        <w:t>relatively common</w:t>
      </w:r>
      <w:r w:rsidR="008F1B60" w:rsidRPr="00B27BF8">
        <w:rPr>
          <w:rFonts w:asciiTheme="minorHAnsi" w:hAnsiTheme="minorHAnsi" w:cstheme="minorHAnsi"/>
          <w:i/>
        </w:rPr>
        <w:t xml:space="preserve"> for these products</w:t>
      </w:r>
      <w:r w:rsidRPr="00B27BF8">
        <w:rPr>
          <w:rFonts w:asciiTheme="minorHAnsi" w:hAnsiTheme="minorHAnsi" w:cstheme="minorHAnsi"/>
          <w:i/>
        </w:rPr>
        <w:t xml:space="preserve"> and may not be as informative</w:t>
      </w:r>
      <w:r w:rsidR="00186509" w:rsidRPr="00B27BF8">
        <w:rPr>
          <w:rFonts w:asciiTheme="minorHAnsi" w:hAnsiTheme="minorHAnsi" w:cstheme="minorHAnsi"/>
          <w:i/>
        </w:rPr>
        <w:t xml:space="preserve">. </w:t>
      </w:r>
      <w:r w:rsidR="00B52FB1" w:rsidRPr="00B27BF8">
        <w:rPr>
          <w:rFonts w:asciiTheme="minorHAnsi" w:hAnsiTheme="minorHAnsi" w:cstheme="minorHAnsi"/>
          <w:i/>
        </w:rPr>
        <w:t xml:space="preserve"> </w:t>
      </w:r>
    </w:p>
    <w:p w14:paraId="1F3DBDFD" w14:textId="77777777" w:rsidR="00EC7C13" w:rsidRPr="00B27BF8" w:rsidRDefault="00EC7C13" w:rsidP="00EC7C13">
      <w:pPr>
        <w:rPr>
          <w:rFonts w:asciiTheme="minorHAnsi" w:hAnsiTheme="minorHAnsi" w:cstheme="minorHAnsi"/>
          <w:i/>
        </w:rPr>
      </w:pPr>
      <w:r w:rsidRPr="00B27BF8">
        <w:rPr>
          <w:rFonts w:asciiTheme="minorHAnsi" w:hAnsiTheme="minorHAnsi" w:cstheme="minorHAnsi"/>
          <w:i/>
        </w:rPr>
        <w:t>Thrombotic (veno-occlusive) events are known adverse event</w:t>
      </w:r>
      <w:r w:rsidR="00070680" w:rsidRPr="00B27BF8">
        <w:rPr>
          <w:rFonts w:asciiTheme="minorHAnsi" w:hAnsiTheme="minorHAnsi" w:cstheme="minorHAnsi"/>
          <w:i/>
        </w:rPr>
        <w:t>s</w:t>
      </w:r>
      <w:r w:rsidRPr="00B27BF8">
        <w:rPr>
          <w:rFonts w:asciiTheme="minorHAnsi" w:hAnsiTheme="minorHAnsi" w:cstheme="minorHAnsi"/>
          <w:i/>
        </w:rPr>
        <w:t xml:space="preserve"> of IgG products</w:t>
      </w:r>
      <w:r w:rsidR="00186509" w:rsidRPr="00B27BF8">
        <w:rPr>
          <w:rFonts w:asciiTheme="minorHAnsi" w:hAnsiTheme="minorHAnsi" w:cstheme="minorHAnsi"/>
          <w:i/>
        </w:rPr>
        <w:t>.</w:t>
      </w:r>
      <w:r w:rsidRPr="00B27BF8">
        <w:rPr>
          <w:rFonts w:asciiTheme="minorHAnsi" w:hAnsiTheme="minorHAnsi" w:cstheme="minorHAnsi"/>
          <w:i/>
        </w:rPr>
        <w:t xml:space="preserve"> Other known</w:t>
      </w:r>
      <w:r w:rsidR="00186509" w:rsidRPr="00B27BF8">
        <w:rPr>
          <w:rFonts w:asciiTheme="minorHAnsi" w:hAnsiTheme="minorHAnsi" w:cstheme="minorHAnsi"/>
          <w:i/>
        </w:rPr>
        <w:t xml:space="preserve"> serious</w:t>
      </w:r>
      <w:r w:rsidRPr="00B27BF8">
        <w:rPr>
          <w:rFonts w:asciiTheme="minorHAnsi" w:hAnsiTheme="minorHAnsi" w:cstheme="minorHAnsi"/>
          <w:i/>
        </w:rPr>
        <w:t xml:space="preserve"> adverse effects such as renal insufficiency, haemolytic anaemia and aseptic meningitis should be reported where known, acknowledging that patient </w:t>
      </w:r>
      <w:r w:rsidR="00070680" w:rsidRPr="00B27BF8">
        <w:rPr>
          <w:rFonts w:asciiTheme="minorHAnsi" w:hAnsiTheme="minorHAnsi" w:cstheme="minorHAnsi"/>
          <w:i/>
        </w:rPr>
        <w:t>numbers</w:t>
      </w:r>
      <w:r w:rsidRPr="00B27BF8">
        <w:rPr>
          <w:rFonts w:asciiTheme="minorHAnsi" w:hAnsiTheme="minorHAnsi" w:cstheme="minorHAnsi"/>
          <w:i/>
        </w:rPr>
        <w:t xml:space="preserve"> in most studies will render these infrequent at most</w:t>
      </w:r>
      <w:r w:rsidR="00186509" w:rsidRPr="00B27BF8">
        <w:rPr>
          <w:rFonts w:asciiTheme="minorHAnsi" w:hAnsiTheme="minorHAnsi" w:cstheme="minorHAnsi"/>
          <w:i/>
        </w:rPr>
        <w:t xml:space="preserve">. </w:t>
      </w:r>
      <w:r w:rsidR="00566084" w:rsidRPr="00B27BF8">
        <w:rPr>
          <w:rFonts w:asciiTheme="minorHAnsi" w:hAnsiTheme="minorHAnsi" w:cstheme="minorHAnsi"/>
        </w:rPr>
        <w:t xml:space="preserve">Venous damage is also mentioned as relevant for IVIg use. </w:t>
      </w:r>
      <w:r w:rsidR="00D64850" w:rsidRPr="00B27BF8">
        <w:rPr>
          <w:rFonts w:asciiTheme="minorHAnsi" w:hAnsiTheme="minorHAnsi" w:cstheme="minorHAnsi"/>
        </w:rPr>
        <w:t xml:space="preserve">The Ig Review </w:t>
      </w:r>
      <w:r w:rsidR="003032CA" w:rsidRPr="00B27BF8">
        <w:rPr>
          <w:rFonts w:asciiTheme="minorHAnsi" w:hAnsiTheme="minorHAnsi" w:cstheme="minorHAnsi"/>
        </w:rPr>
        <w:t xml:space="preserve">Reference </w:t>
      </w:r>
      <w:r w:rsidR="00D64850" w:rsidRPr="00B27BF8">
        <w:rPr>
          <w:rFonts w:asciiTheme="minorHAnsi" w:hAnsiTheme="minorHAnsi" w:cstheme="minorHAnsi"/>
        </w:rPr>
        <w:t xml:space="preserve">Group suggested including </w:t>
      </w:r>
      <w:r w:rsidR="008B50D8" w:rsidRPr="00B27BF8">
        <w:rPr>
          <w:rFonts w:asciiTheme="minorHAnsi" w:hAnsiTheme="minorHAnsi" w:cstheme="minorHAnsi"/>
        </w:rPr>
        <w:t>graft versus host disease (</w:t>
      </w:r>
      <w:r w:rsidR="00D64850" w:rsidRPr="00B27BF8">
        <w:rPr>
          <w:rFonts w:asciiTheme="minorHAnsi" w:hAnsiTheme="minorHAnsi" w:cstheme="minorHAnsi"/>
        </w:rPr>
        <w:t>GVHD</w:t>
      </w:r>
      <w:r w:rsidR="008B50D8" w:rsidRPr="00B27BF8">
        <w:rPr>
          <w:rFonts w:asciiTheme="minorHAnsi" w:hAnsiTheme="minorHAnsi" w:cstheme="minorHAnsi"/>
        </w:rPr>
        <w:t>)</w:t>
      </w:r>
      <w:r w:rsidR="00D64850" w:rsidRPr="00B27BF8">
        <w:rPr>
          <w:rFonts w:asciiTheme="minorHAnsi" w:hAnsiTheme="minorHAnsi" w:cstheme="minorHAnsi"/>
        </w:rPr>
        <w:t xml:space="preserve">, noting that it would be expected IgG would enable a full course chemotherapy to prevent this. </w:t>
      </w:r>
    </w:p>
    <w:p w14:paraId="1EAE50F4" w14:textId="77777777" w:rsidR="00EC7C13" w:rsidRPr="00B27BF8" w:rsidRDefault="00EE0365" w:rsidP="00B52FB1">
      <w:pPr>
        <w:rPr>
          <w:rFonts w:asciiTheme="minorHAnsi" w:hAnsiTheme="minorHAnsi" w:cstheme="minorHAnsi"/>
          <w:i/>
        </w:rPr>
      </w:pPr>
      <w:r w:rsidRPr="00B27BF8">
        <w:rPr>
          <w:rFonts w:asciiTheme="minorHAnsi" w:hAnsiTheme="minorHAnsi" w:cstheme="minorHAnsi"/>
          <w:i/>
        </w:rPr>
        <w:t xml:space="preserve">Antibiotic allergy and antibiotic resistance are adverse events specific to antibiotic use and </w:t>
      </w:r>
      <w:r w:rsidR="00EC7C13" w:rsidRPr="00B27BF8">
        <w:rPr>
          <w:rFonts w:asciiTheme="minorHAnsi" w:hAnsiTheme="minorHAnsi" w:cstheme="minorHAnsi"/>
          <w:i/>
        </w:rPr>
        <w:t>sh</w:t>
      </w:r>
      <w:r w:rsidRPr="00B27BF8">
        <w:rPr>
          <w:rFonts w:asciiTheme="minorHAnsi" w:hAnsiTheme="minorHAnsi" w:cstheme="minorHAnsi"/>
          <w:i/>
        </w:rPr>
        <w:t xml:space="preserve">ould be </w:t>
      </w:r>
      <w:r w:rsidR="00EC7C13" w:rsidRPr="00B27BF8">
        <w:rPr>
          <w:rFonts w:asciiTheme="minorHAnsi" w:hAnsiTheme="minorHAnsi" w:cstheme="minorHAnsi"/>
          <w:i/>
        </w:rPr>
        <w:t>reported for both intervention and comparator, depend</w:t>
      </w:r>
      <w:r w:rsidR="00070680" w:rsidRPr="00B27BF8">
        <w:rPr>
          <w:rFonts w:asciiTheme="minorHAnsi" w:hAnsiTheme="minorHAnsi" w:cstheme="minorHAnsi"/>
          <w:i/>
        </w:rPr>
        <w:t>ing</w:t>
      </w:r>
      <w:r w:rsidR="00EC7C13" w:rsidRPr="00B27BF8">
        <w:rPr>
          <w:rFonts w:asciiTheme="minorHAnsi" w:hAnsiTheme="minorHAnsi" w:cstheme="minorHAnsi"/>
          <w:i/>
        </w:rPr>
        <w:t xml:space="preserve"> on how these are defined</w:t>
      </w:r>
      <w:r w:rsidR="00186509" w:rsidRPr="00B27BF8">
        <w:rPr>
          <w:rFonts w:asciiTheme="minorHAnsi" w:hAnsiTheme="minorHAnsi" w:cstheme="minorHAnsi"/>
          <w:i/>
        </w:rPr>
        <w:t>.</w:t>
      </w:r>
    </w:p>
    <w:p w14:paraId="20646367" w14:textId="77777777" w:rsidR="00896845" w:rsidRPr="00B27BF8" w:rsidRDefault="00896845" w:rsidP="00896845">
      <w:pPr>
        <w:pStyle w:val="Heading2"/>
        <w:spacing w:line="240" w:lineRule="auto"/>
        <w:jc w:val="both"/>
        <w:rPr>
          <w:rFonts w:asciiTheme="minorHAnsi" w:hAnsiTheme="minorHAnsi" w:cstheme="minorHAnsi"/>
          <w:color w:val="548DD4"/>
        </w:rPr>
      </w:pPr>
      <w:r w:rsidRPr="00B27BF8">
        <w:rPr>
          <w:rFonts w:asciiTheme="minorHAnsi" w:hAnsiTheme="minorHAnsi" w:cstheme="minorHAnsi"/>
          <w:color w:val="548DD4"/>
        </w:rPr>
        <w:t>Current clinical management algorithm</w:t>
      </w:r>
      <w:r w:rsidR="002B3338" w:rsidRPr="00B27BF8">
        <w:rPr>
          <w:rFonts w:asciiTheme="minorHAnsi" w:hAnsiTheme="minorHAnsi" w:cstheme="minorHAnsi"/>
          <w:color w:val="548DD4"/>
        </w:rPr>
        <w:t xml:space="preserve"> for identified population</w:t>
      </w:r>
    </w:p>
    <w:p w14:paraId="46463A30" w14:textId="77777777" w:rsidR="0014636E" w:rsidRPr="00B27BF8" w:rsidRDefault="0014636E" w:rsidP="0014636E">
      <w:pPr>
        <w:rPr>
          <w:rFonts w:asciiTheme="minorHAnsi" w:hAnsiTheme="minorHAnsi" w:cstheme="minorHAnsi"/>
        </w:rPr>
      </w:pPr>
      <w:r w:rsidRPr="00B27BF8">
        <w:rPr>
          <w:rFonts w:asciiTheme="minorHAnsi" w:hAnsiTheme="minorHAnsi" w:cstheme="minorHAnsi"/>
        </w:rPr>
        <w:t>The applicant’s treatment algorithms are presented in Appendix Figure 1</w:t>
      </w:r>
      <w:r w:rsidR="00186509" w:rsidRPr="00B27BF8">
        <w:rPr>
          <w:rFonts w:asciiTheme="minorHAnsi" w:hAnsiTheme="minorHAnsi" w:cstheme="minorHAnsi"/>
        </w:rPr>
        <w:t xml:space="preserve">. </w:t>
      </w:r>
      <w:r w:rsidRPr="00B27BF8">
        <w:rPr>
          <w:rFonts w:asciiTheme="minorHAnsi" w:hAnsiTheme="minorHAnsi" w:cstheme="minorHAnsi"/>
        </w:rPr>
        <w:t>The main algorithm in Figure 1 (A) is considered appropriate</w:t>
      </w:r>
      <w:r w:rsidR="00186509" w:rsidRPr="00B27BF8">
        <w:rPr>
          <w:rFonts w:asciiTheme="minorHAnsi" w:hAnsiTheme="minorHAnsi" w:cstheme="minorHAnsi"/>
        </w:rPr>
        <w:t>.</w:t>
      </w:r>
    </w:p>
    <w:p w14:paraId="0F332021" w14:textId="77777777" w:rsidR="00896845" w:rsidRPr="00B27BF8" w:rsidRDefault="00896845" w:rsidP="00896845">
      <w:pPr>
        <w:pStyle w:val="Heading2"/>
        <w:spacing w:line="240" w:lineRule="auto"/>
        <w:jc w:val="both"/>
        <w:rPr>
          <w:rFonts w:asciiTheme="minorHAnsi" w:hAnsiTheme="minorHAnsi" w:cstheme="minorHAnsi"/>
          <w:color w:val="548DD4"/>
        </w:rPr>
      </w:pPr>
      <w:r w:rsidRPr="00B27BF8">
        <w:rPr>
          <w:rFonts w:asciiTheme="minorHAnsi" w:hAnsiTheme="minorHAnsi" w:cstheme="minorHAnsi"/>
          <w:color w:val="548DD4"/>
        </w:rPr>
        <w:t>Proposed clinical management algorithm</w:t>
      </w:r>
      <w:r w:rsidR="002B3338" w:rsidRPr="00B27BF8">
        <w:rPr>
          <w:rFonts w:asciiTheme="minorHAnsi" w:hAnsiTheme="minorHAnsi" w:cstheme="minorHAnsi"/>
          <w:color w:val="548DD4"/>
        </w:rPr>
        <w:t xml:space="preserve"> for identified population</w:t>
      </w:r>
    </w:p>
    <w:p w14:paraId="3764398D" w14:textId="322773CA" w:rsidR="00D07F09" w:rsidRDefault="00EE0365" w:rsidP="00EE0365">
      <w:pPr>
        <w:rPr>
          <w:rFonts w:asciiTheme="minorHAnsi" w:hAnsiTheme="minorHAnsi" w:cstheme="minorHAnsi"/>
        </w:rPr>
      </w:pPr>
      <w:r w:rsidRPr="00B27BF8">
        <w:rPr>
          <w:rFonts w:asciiTheme="minorHAnsi" w:hAnsiTheme="minorHAnsi" w:cstheme="minorHAnsi"/>
        </w:rPr>
        <w:t>IgG for this indication is already funded by the NBA</w:t>
      </w:r>
      <w:r w:rsidR="00FF20B9">
        <w:rPr>
          <w:rFonts w:asciiTheme="minorHAnsi" w:hAnsiTheme="minorHAnsi" w:cstheme="minorHAnsi"/>
        </w:rPr>
        <w:t>. T</w:t>
      </w:r>
      <w:r w:rsidRPr="00B27BF8">
        <w:rPr>
          <w:rFonts w:asciiTheme="minorHAnsi" w:hAnsiTheme="minorHAnsi" w:cstheme="minorHAnsi"/>
        </w:rPr>
        <w:t>he purpose of this application is to consider the</w:t>
      </w:r>
      <w:r w:rsidR="00FF20B9">
        <w:rPr>
          <w:rFonts w:asciiTheme="minorHAnsi" w:hAnsiTheme="minorHAnsi" w:cstheme="minorHAnsi"/>
        </w:rPr>
        <w:t xml:space="preserve"> clinical and</w:t>
      </w:r>
      <w:r w:rsidRPr="00B27BF8">
        <w:rPr>
          <w:rFonts w:asciiTheme="minorHAnsi" w:hAnsiTheme="minorHAnsi" w:cstheme="minorHAnsi"/>
        </w:rPr>
        <w:t xml:space="preserve"> cost-effectiveness of these products as currently funded</w:t>
      </w:r>
      <w:r w:rsidR="00186509" w:rsidRPr="00B27BF8">
        <w:rPr>
          <w:rFonts w:asciiTheme="minorHAnsi" w:hAnsiTheme="minorHAnsi" w:cstheme="minorHAnsi"/>
        </w:rPr>
        <w:t>.</w:t>
      </w:r>
    </w:p>
    <w:p w14:paraId="2E91D6CA" w14:textId="77777777" w:rsidR="00D07F09" w:rsidRDefault="00D07F09">
      <w:pPr>
        <w:rPr>
          <w:rFonts w:asciiTheme="minorHAnsi" w:hAnsiTheme="minorHAnsi" w:cstheme="minorHAnsi"/>
        </w:rPr>
      </w:pPr>
      <w:r>
        <w:rPr>
          <w:rFonts w:asciiTheme="minorHAnsi" w:hAnsiTheme="minorHAnsi" w:cstheme="minorHAnsi"/>
        </w:rPr>
        <w:br w:type="page"/>
      </w:r>
    </w:p>
    <w:p w14:paraId="1B00AC78" w14:textId="77777777" w:rsidR="00E968F6" w:rsidRPr="00B27BF8" w:rsidRDefault="003E0382" w:rsidP="00E968F6">
      <w:pPr>
        <w:pStyle w:val="Heading2"/>
        <w:spacing w:line="240" w:lineRule="auto"/>
        <w:jc w:val="both"/>
        <w:rPr>
          <w:rFonts w:asciiTheme="minorHAnsi" w:hAnsiTheme="minorHAnsi" w:cstheme="minorHAnsi"/>
          <w:color w:val="548DD4"/>
        </w:rPr>
      </w:pPr>
      <w:r w:rsidRPr="00B27BF8">
        <w:rPr>
          <w:rFonts w:asciiTheme="minorHAnsi" w:hAnsiTheme="minorHAnsi" w:cstheme="minorHAnsi"/>
          <w:color w:val="548DD4"/>
        </w:rPr>
        <w:lastRenderedPageBreak/>
        <w:t xml:space="preserve">Proposed </w:t>
      </w:r>
      <w:r w:rsidR="002B226C" w:rsidRPr="00B27BF8">
        <w:rPr>
          <w:rFonts w:asciiTheme="minorHAnsi" w:hAnsiTheme="minorHAnsi" w:cstheme="minorHAnsi"/>
          <w:color w:val="548DD4"/>
        </w:rPr>
        <w:t xml:space="preserve">economic </w:t>
      </w:r>
      <w:r w:rsidR="009E5295" w:rsidRPr="00B27BF8">
        <w:rPr>
          <w:rFonts w:asciiTheme="minorHAnsi" w:hAnsiTheme="minorHAnsi" w:cstheme="minorHAnsi"/>
          <w:color w:val="548DD4"/>
        </w:rPr>
        <w:t>evaluation</w:t>
      </w:r>
    </w:p>
    <w:p w14:paraId="0A16BEB0" w14:textId="79652BE3" w:rsidR="002143A8" w:rsidRPr="00B27BF8" w:rsidRDefault="008F043B" w:rsidP="002143A8">
      <w:pPr>
        <w:rPr>
          <w:rFonts w:asciiTheme="minorHAnsi" w:hAnsiTheme="minorHAnsi" w:cstheme="minorHAnsi"/>
        </w:rPr>
      </w:pPr>
      <w:r w:rsidRPr="00B27BF8">
        <w:rPr>
          <w:rFonts w:asciiTheme="minorHAnsi" w:hAnsiTheme="minorHAnsi" w:cstheme="minorHAnsi"/>
        </w:rPr>
        <w:t xml:space="preserve">The applicant proposed clinical claim is </w:t>
      </w:r>
      <w:r w:rsidRPr="00393B81">
        <w:rPr>
          <w:rFonts w:asciiTheme="minorHAnsi" w:hAnsiTheme="minorHAnsi"/>
        </w:rPr>
        <w:t>superiority</w:t>
      </w:r>
      <w:r w:rsidRPr="00B27BF8">
        <w:rPr>
          <w:rFonts w:asciiTheme="minorHAnsi" w:hAnsiTheme="minorHAnsi" w:cstheme="minorHAnsi"/>
        </w:rPr>
        <w:t xml:space="preserve"> of IgG to antibiotics as required (defined in this draft PICO Confirmation as ‘IgG </w:t>
      </w:r>
      <w:r w:rsidR="00F0429A">
        <w:rPr>
          <w:rFonts w:asciiTheme="minorHAnsi" w:hAnsiTheme="minorHAnsi" w:cstheme="minorHAnsi"/>
        </w:rPr>
        <w:t>with</w:t>
      </w:r>
      <w:r w:rsidR="00F0429A" w:rsidRPr="00B27BF8">
        <w:rPr>
          <w:rFonts w:asciiTheme="minorHAnsi" w:hAnsiTheme="minorHAnsi" w:cstheme="minorHAnsi"/>
        </w:rPr>
        <w:t xml:space="preserve"> </w:t>
      </w:r>
      <w:r w:rsidRPr="00B27BF8">
        <w:rPr>
          <w:rFonts w:asciiTheme="minorHAnsi" w:hAnsiTheme="minorHAnsi" w:cstheme="minorHAnsi"/>
        </w:rPr>
        <w:t>antibiotics as required’ versus ‘no IgG</w:t>
      </w:r>
      <w:r w:rsidR="00F0429A">
        <w:rPr>
          <w:rFonts w:asciiTheme="minorHAnsi" w:hAnsiTheme="minorHAnsi" w:cstheme="minorHAnsi"/>
        </w:rPr>
        <w:t xml:space="preserve"> with</w:t>
      </w:r>
      <w:r w:rsidR="005173D3">
        <w:rPr>
          <w:rFonts w:asciiTheme="minorHAnsi" w:hAnsiTheme="minorHAnsi" w:cstheme="minorHAnsi"/>
        </w:rPr>
        <w:t xml:space="preserve"> </w:t>
      </w:r>
      <w:r w:rsidRPr="00B27BF8">
        <w:rPr>
          <w:rFonts w:asciiTheme="minorHAnsi" w:hAnsiTheme="minorHAnsi" w:cstheme="minorHAnsi"/>
        </w:rPr>
        <w:t>antibiotics as required’)</w:t>
      </w:r>
      <w:r w:rsidR="00186509" w:rsidRPr="00B27BF8">
        <w:rPr>
          <w:rFonts w:asciiTheme="minorHAnsi" w:hAnsiTheme="minorHAnsi" w:cstheme="minorHAnsi"/>
        </w:rPr>
        <w:t xml:space="preserve">. </w:t>
      </w:r>
      <w:r w:rsidRPr="00B27BF8">
        <w:rPr>
          <w:rFonts w:asciiTheme="minorHAnsi" w:hAnsiTheme="minorHAnsi" w:cstheme="minorHAnsi"/>
        </w:rPr>
        <w:t>The proposed economic evaluation is therefore a cost-effectiveness or cost-utility analysis</w:t>
      </w:r>
      <w:r w:rsidR="002D2168" w:rsidRPr="00B27BF8">
        <w:rPr>
          <w:rFonts w:asciiTheme="minorHAnsi" w:hAnsiTheme="minorHAnsi" w:cstheme="minorHAnsi"/>
        </w:rPr>
        <w:t>, noting that this will be subject to whether the studies found in the literature search support this approach</w:t>
      </w:r>
      <w:r w:rsidR="00186509" w:rsidRPr="00B27BF8">
        <w:rPr>
          <w:rFonts w:asciiTheme="minorHAnsi" w:hAnsiTheme="minorHAnsi" w:cstheme="minorHAnsi"/>
        </w:rPr>
        <w:t>.</w:t>
      </w:r>
      <w:r w:rsidR="002143A8" w:rsidRPr="00B27BF8">
        <w:rPr>
          <w:rFonts w:asciiTheme="minorHAnsi" w:hAnsiTheme="minorHAnsi" w:cstheme="minorHAnsi"/>
        </w:rPr>
        <w:t xml:space="preserve"> </w:t>
      </w:r>
      <w:r w:rsidR="00D64850" w:rsidRPr="00B27BF8">
        <w:rPr>
          <w:rFonts w:asciiTheme="minorHAnsi" w:hAnsiTheme="minorHAnsi" w:cstheme="minorHAnsi"/>
        </w:rPr>
        <w:t>T</w:t>
      </w:r>
      <w:r w:rsidR="002143A8" w:rsidRPr="00B27BF8">
        <w:rPr>
          <w:rFonts w:asciiTheme="minorHAnsi" w:hAnsiTheme="minorHAnsi" w:cstheme="minorHAnsi"/>
        </w:rPr>
        <w:t xml:space="preserve">he table in Appendix Table 1 is included to guide the requirements for economic evaluation based on the findings of the clinical review. </w:t>
      </w:r>
    </w:p>
    <w:p w14:paraId="259E222F" w14:textId="77777777" w:rsidR="00EE0365" w:rsidRPr="00B27BF8" w:rsidRDefault="002834F0" w:rsidP="00EE0365">
      <w:pPr>
        <w:rPr>
          <w:rFonts w:asciiTheme="minorHAnsi" w:hAnsiTheme="minorHAnsi" w:cstheme="minorHAnsi"/>
          <w:i/>
        </w:rPr>
      </w:pPr>
      <w:r w:rsidRPr="00B27BF8">
        <w:rPr>
          <w:rFonts w:asciiTheme="minorHAnsi" w:hAnsiTheme="minorHAnsi" w:cstheme="minorHAnsi"/>
          <w:i/>
        </w:rPr>
        <w:t>Resources</w:t>
      </w:r>
      <w:r w:rsidR="002D2168" w:rsidRPr="00B27BF8">
        <w:rPr>
          <w:rFonts w:asciiTheme="minorHAnsi" w:hAnsiTheme="minorHAnsi" w:cstheme="minorHAnsi"/>
          <w:i/>
        </w:rPr>
        <w:t xml:space="preserve"> </w:t>
      </w:r>
      <w:r w:rsidRPr="00B27BF8">
        <w:rPr>
          <w:rFonts w:asciiTheme="minorHAnsi" w:hAnsiTheme="minorHAnsi" w:cstheme="minorHAnsi"/>
          <w:i/>
        </w:rPr>
        <w:t xml:space="preserve">for inclusion in the analysis </w:t>
      </w:r>
      <w:r w:rsidR="002D2168" w:rsidRPr="00B27BF8">
        <w:rPr>
          <w:rFonts w:asciiTheme="minorHAnsi" w:hAnsiTheme="minorHAnsi" w:cstheme="minorHAnsi"/>
          <w:i/>
        </w:rPr>
        <w:t>are to be confirmed by the Department of Health</w:t>
      </w:r>
      <w:r w:rsidR="00186509" w:rsidRPr="00B27BF8">
        <w:rPr>
          <w:rFonts w:asciiTheme="minorHAnsi" w:hAnsiTheme="minorHAnsi" w:cstheme="minorHAnsi"/>
          <w:i/>
        </w:rPr>
        <w:t>.</w:t>
      </w:r>
      <w:r w:rsidR="002143A8" w:rsidRPr="00B27BF8">
        <w:rPr>
          <w:rFonts w:asciiTheme="minorHAnsi" w:hAnsiTheme="minorHAnsi" w:cstheme="minorHAnsi"/>
          <w:i/>
        </w:rPr>
        <w:t xml:space="preserve"> </w:t>
      </w:r>
      <w:r w:rsidR="002143A8" w:rsidRPr="00B27BF8">
        <w:rPr>
          <w:rFonts w:asciiTheme="minorHAnsi" w:hAnsiTheme="minorHAnsi" w:cstheme="minorHAnsi"/>
        </w:rPr>
        <w:t>Resources that could be considered for inclusion in the analysis would be acquisition costs (IgG and/or antibiotics), IV infusion administration (outpatient setting), health resource use (number of specialist visits, hospital days, ICU admission) and cost of managing adverse events such as severe infusion reactions. Drug costs should include dispensing fees and wastage where applicable.</w:t>
      </w:r>
    </w:p>
    <w:p w14:paraId="3E921A0D" w14:textId="77777777" w:rsidR="002834F0" w:rsidRPr="00B27BF8" w:rsidRDefault="002D2168" w:rsidP="002834F0">
      <w:pPr>
        <w:rPr>
          <w:rFonts w:asciiTheme="minorHAnsi" w:hAnsiTheme="minorHAnsi" w:cstheme="minorHAnsi"/>
        </w:rPr>
      </w:pPr>
      <w:r w:rsidRPr="00B27BF8">
        <w:rPr>
          <w:rFonts w:asciiTheme="minorHAnsi" w:hAnsiTheme="minorHAnsi" w:cstheme="minorHAnsi"/>
        </w:rPr>
        <w:t>The supply of IgG to patients meeting eligibility criteria involves no direct cost to the patient. It is assumed there are no dispensing fees that are met by the health system.</w:t>
      </w:r>
    </w:p>
    <w:p w14:paraId="05FE2850" w14:textId="77777777" w:rsidR="002834F0" w:rsidRPr="00B27BF8" w:rsidRDefault="005173D3" w:rsidP="00882234">
      <w:pPr>
        <w:rPr>
          <w:rFonts w:asciiTheme="minorHAnsi" w:hAnsiTheme="minorHAnsi" w:cstheme="minorHAnsi"/>
          <w:i/>
        </w:rPr>
      </w:pPr>
      <w:r>
        <w:rPr>
          <w:rFonts w:asciiTheme="minorHAnsi" w:hAnsiTheme="minorHAnsi" w:cstheme="minorHAnsi"/>
          <w:i/>
        </w:rPr>
        <w:t>F</w:t>
      </w:r>
      <w:r w:rsidR="002D2168" w:rsidRPr="00B27BF8">
        <w:rPr>
          <w:rFonts w:asciiTheme="minorHAnsi" w:hAnsiTheme="minorHAnsi" w:cstheme="minorHAnsi"/>
          <w:i/>
        </w:rPr>
        <w:t>or the contracted assessment, t</w:t>
      </w:r>
      <w:r w:rsidR="002834F0" w:rsidRPr="00B27BF8">
        <w:rPr>
          <w:rFonts w:asciiTheme="minorHAnsi" w:hAnsiTheme="minorHAnsi" w:cstheme="minorHAnsi"/>
          <w:i/>
        </w:rPr>
        <w:t>he applica</w:t>
      </w:r>
      <w:r>
        <w:rPr>
          <w:rFonts w:asciiTheme="minorHAnsi" w:hAnsiTheme="minorHAnsi" w:cstheme="minorHAnsi"/>
          <w:i/>
        </w:rPr>
        <w:t>nt should provide the following,</w:t>
      </w:r>
      <w:r w:rsidR="002834F0" w:rsidRPr="00B27BF8">
        <w:rPr>
          <w:rFonts w:asciiTheme="minorHAnsi" w:hAnsiTheme="minorHAnsi" w:cstheme="minorHAnsi"/>
          <w:i/>
        </w:rPr>
        <w:t xml:space="preserve"> where available:</w:t>
      </w:r>
    </w:p>
    <w:p w14:paraId="025D3266" w14:textId="77777777" w:rsidR="002834F0" w:rsidRPr="00B27BF8" w:rsidRDefault="002834F0" w:rsidP="00A86A66">
      <w:pPr>
        <w:pStyle w:val="ListParagraph"/>
        <w:numPr>
          <w:ilvl w:val="0"/>
          <w:numId w:val="10"/>
        </w:numPr>
        <w:rPr>
          <w:rFonts w:asciiTheme="minorHAnsi" w:hAnsiTheme="minorHAnsi" w:cstheme="minorHAnsi"/>
          <w:i/>
        </w:rPr>
      </w:pPr>
      <w:r w:rsidRPr="00B27BF8">
        <w:rPr>
          <w:rFonts w:asciiTheme="minorHAnsi" w:hAnsiTheme="minorHAnsi" w:cstheme="minorHAnsi"/>
          <w:i/>
        </w:rPr>
        <w:t xml:space="preserve">Typical </w:t>
      </w:r>
      <w:r w:rsidR="00CC7291" w:rsidRPr="00B27BF8">
        <w:rPr>
          <w:rFonts w:asciiTheme="minorHAnsi" w:hAnsiTheme="minorHAnsi" w:cstheme="minorHAnsi"/>
          <w:i/>
        </w:rPr>
        <w:t xml:space="preserve">monthly </w:t>
      </w:r>
      <w:r w:rsidRPr="00B27BF8">
        <w:rPr>
          <w:rFonts w:asciiTheme="minorHAnsi" w:hAnsiTheme="minorHAnsi" w:cstheme="minorHAnsi"/>
          <w:i/>
        </w:rPr>
        <w:t xml:space="preserve">dose and/or dose range per patient </w:t>
      </w:r>
    </w:p>
    <w:p w14:paraId="4C632269" w14:textId="77777777" w:rsidR="002834F0" w:rsidRPr="00B27BF8" w:rsidRDefault="002834F0" w:rsidP="00A86A66">
      <w:pPr>
        <w:pStyle w:val="ListParagraph"/>
        <w:numPr>
          <w:ilvl w:val="0"/>
          <w:numId w:val="10"/>
        </w:numPr>
        <w:rPr>
          <w:rFonts w:asciiTheme="minorHAnsi" w:hAnsiTheme="minorHAnsi" w:cstheme="minorHAnsi"/>
          <w:i/>
        </w:rPr>
      </w:pPr>
      <w:r w:rsidRPr="00B27BF8">
        <w:rPr>
          <w:rFonts w:asciiTheme="minorHAnsi" w:hAnsiTheme="minorHAnsi" w:cstheme="minorHAnsi"/>
          <w:i/>
        </w:rPr>
        <w:t>Typical dose duration and/or range per patient</w:t>
      </w:r>
    </w:p>
    <w:p w14:paraId="122BE832" w14:textId="77777777" w:rsidR="002834F0" w:rsidRPr="00B27BF8" w:rsidRDefault="002834F0" w:rsidP="00882234">
      <w:pPr>
        <w:rPr>
          <w:rFonts w:asciiTheme="minorHAnsi" w:hAnsiTheme="minorHAnsi" w:cstheme="minorHAnsi"/>
          <w:i/>
        </w:rPr>
      </w:pPr>
      <w:r w:rsidRPr="00B27BF8">
        <w:rPr>
          <w:rFonts w:asciiTheme="minorHAnsi" w:hAnsiTheme="minorHAnsi" w:cstheme="minorHAnsi"/>
          <w:i/>
        </w:rPr>
        <w:t xml:space="preserve">This should permit a calculation of cost per </w:t>
      </w:r>
      <w:r w:rsidR="00CC7291" w:rsidRPr="00B27BF8">
        <w:rPr>
          <w:rFonts w:asciiTheme="minorHAnsi" w:hAnsiTheme="minorHAnsi" w:cstheme="minorHAnsi"/>
          <w:i/>
        </w:rPr>
        <w:t>month</w:t>
      </w:r>
      <w:r w:rsidRPr="00B27BF8">
        <w:rPr>
          <w:rFonts w:asciiTheme="minorHAnsi" w:hAnsiTheme="minorHAnsi" w:cstheme="minorHAnsi"/>
          <w:i/>
        </w:rPr>
        <w:t xml:space="preserve"> and cost per course</w:t>
      </w:r>
      <w:r w:rsidR="00186509" w:rsidRPr="00B27BF8">
        <w:rPr>
          <w:rFonts w:asciiTheme="minorHAnsi" w:hAnsiTheme="minorHAnsi" w:cstheme="minorHAnsi"/>
          <w:i/>
        </w:rPr>
        <w:t xml:space="preserve">. </w:t>
      </w:r>
      <w:r w:rsidRPr="00B27BF8">
        <w:rPr>
          <w:rFonts w:asciiTheme="minorHAnsi" w:hAnsiTheme="minorHAnsi" w:cstheme="minorHAnsi"/>
          <w:i/>
        </w:rPr>
        <w:t xml:space="preserve">The applicant should ideally </w:t>
      </w:r>
      <w:r w:rsidR="00070680" w:rsidRPr="00B27BF8">
        <w:rPr>
          <w:rFonts w:asciiTheme="minorHAnsi" w:hAnsiTheme="minorHAnsi" w:cstheme="minorHAnsi"/>
          <w:i/>
        </w:rPr>
        <w:t>separate</w:t>
      </w:r>
      <w:r w:rsidRPr="00B27BF8">
        <w:rPr>
          <w:rFonts w:asciiTheme="minorHAnsi" w:hAnsiTheme="minorHAnsi" w:cstheme="minorHAnsi"/>
          <w:i/>
        </w:rPr>
        <w:t xml:space="preserve"> estimates by the conditions included in this indication as patients with different underlying diseases are likely to require different dose duration and intensity to achieve the same outcomes</w:t>
      </w:r>
      <w:r w:rsidR="00186509" w:rsidRPr="00B27BF8">
        <w:rPr>
          <w:rFonts w:asciiTheme="minorHAnsi" w:hAnsiTheme="minorHAnsi" w:cstheme="minorHAnsi"/>
          <w:i/>
        </w:rPr>
        <w:t xml:space="preserve">. </w:t>
      </w:r>
      <w:r w:rsidRPr="00B27BF8">
        <w:rPr>
          <w:rFonts w:asciiTheme="minorHAnsi" w:hAnsiTheme="minorHAnsi" w:cstheme="minorHAnsi"/>
          <w:i/>
        </w:rPr>
        <w:t xml:space="preserve"> </w:t>
      </w:r>
    </w:p>
    <w:p w14:paraId="39778CAC" w14:textId="77777777" w:rsidR="002834F0" w:rsidRPr="00B27BF8" w:rsidRDefault="002D2168" w:rsidP="00882234">
      <w:pPr>
        <w:rPr>
          <w:rFonts w:asciiTheme="minorHAnsi" w:hAnsiTheme="minorHAnsi" w:cstheme="minorHAnsi"/>
          <w:i/>
        </w:rPr>
      </w:pPr>
      <w:r w:rsidRPr="00B27BF8">
        <w:rPr>
          <w:rFonts w:asciiTheme="minorHAnsi" w:hAnsiTheme="minorHAnsi" w:cstheme="minorHAnsi"/>
          <w:i/>
        </w:rPr>
        <w:t>The Department of Health advises that the NBA price structure is not within scope for this review</w:t>
      </w:r>
      <w:r w:rsidR="002143A8" w:rsidRPr="00B27BF8">
        <w:rPr>
          <w:rFonts w:asciiTheme="minorHAnsi" w:hAnsiTheme="minorHAnsi" w:cstheme="minorHAnsi"/>
          <w:i/>
        </w:rPr>
        <w:t>, though the economic evaluation may need to consider local versus imported pricing</w:t>
      </w:r>
      <w:r w:rsidRPr="00B27BF8">
        <w:rPr>
          <w:rFonts w:asciiTheme="minorHAnsi" w:hAnsiTheme="minorHAnsi" w:cstheme="minorHAnsi"/>
          <w:i/>
        </w:rPr>
        <w:t>.</w:t>
      </w:r>
      <w:r w:rsidR="00186509" w:rsidRPr="00B27BF8">
        <w:rPr>
          <w:rFonts w:asciiTheme="minorHAnsi" w:hAnsiTheme="minorHAnsi" w:cstheme="minorHAnsi"/>
          <w:i/>
        </w:rPr>
        <w:t xml:space="preserve"> </w:t>
      </w:r>
      <w:r w:rsidRPr="00B27BF8">
        <w:rPr>
          <w:rFonts w:asciiTheme="minorHAnsi" w:hAnsiTheme="minorHAnsi" w:cstheme="minorHAnsi"/>
          <w:i/>
        </w:rPr>
        <w:t xml:space="preserve">Pricing of IgG products may be amended </w:t>
      </w:r>
      <w:r w:rsidR="002143A8" w:rsidRPr="00B27BF8">
        <w:rPr>
          <w:rFonts w:asciiTheme="minorHAnsi" w:hAnsiTheme="minorHAnsi" w:cstheme="minorHAnsi"/>
          <w:i/>
        </w:rPr>
        <w:t xml:space="preserve">by the NBA </w:t>
      </w:r>
      <w:r w:rsidRPr="00B27BF8">
        <w:rPr>
          <w:rFonts w:asciiTheme="minorHAnsi" w:hAnsiTheme="minorHAnsi" w:cstheme="minorHAnsi"/>
          <w:i/>
        </w:rPr>
        <w:t>in future.</w:t>
      </w:r>
    </w:p>
    <w:p w14:paraId="24CF4204" w14:textId="77777777" w:rsidR="002B1062" w:rsidRDefault="002B1062">
      <w:pPr>
        <w:rPr>
          <w:rFonts w:asciiTheme="minorHAnsi" w:hAnsiTheme="minorHAnsi" w:cstheme="minorHAnsi"/>
          <w:b/>
          <w:i/>
          <w:sz w:val="24"/>
        </w:rPr>
      </w:pPr>
      <w:r>
        <w:rPr>
          <w:rFonts w:asciiTheme="minorHAnsi" w:hAnsiTheme="minorHAnsi" w:cstheme="minorHAnsi"/>
          <w:b/>
          <w:i/>
          <w:sz w:val="24"/>
        </w:rPr>
        <w:br w:type="page"/>
      </w:r>
    </w:p>
    <w:p w14:paraId="08AA32DF" w14:textId="155624D2" w:rsidR="00E749AC" w:rsidRPr="00B27BF8" w:rsidRDefault="009A326A" w:rsidP="00E364F7">
      <w:pPr>
        <w:rPr>
          <w:rFonts w:asciiTheme="minorHAnsi" w:hAnsiTheme="minorHAnsi" w:cstheme="minorHAnsi"/>
          <w:b/>
          <w:i/>
          <w:sz w:val="24"/>
        </w:rPr>
      </w:pPr>
      <w:r w:rsidRPr="00B27BF8">
        <w:rPr>
          <w:rFonts w:asciiTheme="minorHAnsi" w:hAnsiTheme="minorHAnsi" w:cstheme="minorHAnsi"/>
          <w:b/>
          <w:i/>
          <w:sz w:val="24"/>
        </w:rPr>
        <w:lastRenderedPageBreak/>
        <w:t>Appendix</w:t>
      </w:r>
    </w:p>
    <w:p w14:paraId="521527D1" w14:textId="65DB36AA" w:rsidR="0000373A" w:rsidRDefault="00E749AC" w:rsidP="00E749AC">
      <w:pPr>
        <w:spacing w:after="0" w:line="240" w:lineRule="auto"/>
        <w:rPr>
          <w:rFonts w:asciiTheme="minorHAnsi" w:hAnsiTheme="minorHAnsi" w:cstheme="minorHAnsi"/>
          <w:b/>
          <w:sz w:val="20"/>
        </w:rPr>
      </w:pPr>
      <w:r w:rsidRPr="00B27BF8">
        <w:rPr>
          <w:rFonts w:asciiTheme="minorHAnsi" w:hAnsiTheme="minorHAnsi" w:cstheme="minorHAnsi"/>
          <w:b/>
          <w:sz w:val="20"/>
        </w:rPr>
        <w:t xml:space="preserve">Appendix </w:t>
      </w:r>
      <w:r w:rsidR="00511D0E" w:rsidRPr="00B27BF8">
        <w:rPr>
          <w:rFonts w:asciiTheme="minorHAnsi" w:hAnsiTheme="minorHAnsi" w:cstheme="minorHAnsi"/>
          <w:b/>
          <w:sz w:val="20"/>
        </w:rPr>
        <w:t>Figure</w:t>
      </w:r>
      <w:r w:rsidRPr="00B27BF8">
        <w:rPr>
          <w:rFonts w:asciiTheme="minorHAnsi" w:hAnsiTheme="minorHAnsi" w:cstheme="minorHAnsi"/>
          <w:b/>
          <w:sz w:val="20"/>
        </w:rPr>
        <w:t xml:space="preserve"> </w:t>
      </w:r>
      <w:r w:rsidR="00511D0E" w:rsidRPr="00B27BF8">
        <w:rPr>
          <w:rFonts w:asciiTheme="minorHAnsi" w:hAnsiTheme="minorHAnsi" w:cstheme="minorHAnsi"/>
          <w:b/>
          <w:sz w:val="20"/>
        </w:rPr>
        <w:t>1</w:t>
      </w:r>
      <w:r w:rsidRPr="00B27BF8">
        <w:rPr>
          <w:rFonts w:asciiTheme="minorHAnsi" w:hAnsiTheme="minorHAnsi" w:cstheme="minorHAnsi"/>
          <w:b/>
          <w:sz w:val="20"/>
        </w:rPr>
        <w:t>: Treatment algorithm</w:t>
      </w:r>
    </w:p>
    <w:p w14:paraId="2E9523A7" w14:textId="1297179D" w:rsidR="0000373A" w:rsidRDefault="0000373A" w:rsidP="00E749AC">
      <w:pPr>
        <w:spacing w:after="0" w:line="240" w:lineRule="auto"/>
        <w:rPr>
          <w:rFonts w:asciiTheme="minorHAnsi" w:hAnsiTheme="minorHAnsi" w:cstheme="minorHAnsi"/>
          <w:b/>
          <w:sz w:val="20"/>
        </w:rPr>
      </w:pPr>
      <w:r>
        <w:rPr>
          <w:noProof/>
          <w:lang w:eastAsia="en-AU"/>
        </w:rPr>
        <w:drawing>
          <wp:inline distT="0" distB="0" distL="0" distR="0" wp14:anchorId="2236551F" wp14:editId="3827BDC1">
            <wp:extent cx="5731510" cy="5305425"/>
            <wp:effectExtent l="0" t="0" r="2540" b="9525"/>
            <wp:docPr id="3" name="Picture 3" descr="Picture A decribes initial access to IgG funded under the National Blood arrangements " title="Appendix Figure 1,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305425"/>
                    </a:xfrm>
                    <a:prstGeom prst="rect">
                      <a:avLst/>
                    </a:prstGeom>
                  </pic:spPr>
                </pic:pic>
              </a:graphicData>
            </a:graphic>
          </wp:inline>
        </w:drawing>
      </w:r>
    </w:p>
    <w:p w14:paraId="0DAF4449" w14:textId="2902F58C" w:rsidR="0000373A" w:rsidRDefault="00A713A7" w:rsidP="00E749AC">
      <w:pPr>
        <w:spacing w:after="0" w:line="240" w:lineRule="auto"/>
        <w:rPr>
          <w:rFonts w:asciiTheme="minorHAnsi" w:hAnsiTheme="minorHAnsi" w:cstheme="minorHAnsi"/>
          <w:b/>
          <w:sz w:val="20"/>
        </w:rPr>
      </w:pPr>
      <w:r>
        <w:rPr>
          <w:noProof/>
          <w:lang w:eastAsia="en-AU"/>
        </w:rPr>
        <w:lastRenderedPageBreak/>
        <w:drawing>
          <wp:inline distT="0" distB="0" distL="0" distR="0" wp14:anchorId="7192D35F" wp14:editId="3A064912">
            <wp:extent cx="5731510" cy="5819775"/>
            <wp:effectExtent l="0" t="0" r="2540" b="9525"/>
            <wp:docPr id="4" name="Picture 4" descr="Picture B decribes monitoring response to IgG therapy.&#10;" title="Appendix Figure 1: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819775"/>
                    </a:xfrm>
                    <a:prstGeom prst="rect">
                      <a:avLst/>
                    </a:prstGeom>
                  </pic:spPr>
                </pic:pic>
              </a:graphicData>
            </a:graphic>
          </wp:inline>
        </w:drawing>
      </w:r>
    </w:p>
    <w:p w14:paraId="2BBFB966" w14:textId="175E48D8" w:rsidR="0000373A" w:rsidRDefault="0000373A" w:rsidP="00E749AC">
      <w:pPr>
        <w:spacing w:after="0" w:line="240" w:lineRule="auto"/>
        <w:rPr>
          <w:rFonts w:asciiTheme="minorHAnsi" w:hAnsiTheme="minorHAnsi" w:cstheme="minorHAnsi"/>
          <w:b/>
          <w:sz w:val="20"/>
        </w:rPr>
      </w:pPr>
    </w:p>
    <w:p w14:paraId="171D342E" w14:textId="36CBA505" w:rsidR="0000373A" w:rsidRDefault="00A713A7" w:rsidP="00E749AC">
      <w:pPr>
        <w:spacing w:after="0" w:line="240" w:lineRule="auto"/>
        <w:rPr>
          <w:rFonts w:asciiTheme="minorHAnsi" w:hAnsiTheme="minorHAnsi" w:cstheme="minorHAnsi"/>
          <w:b/>
          <w:sz w:val="20"/>
        </w:rPr>
      </w:pPr>
      <w:r>
        <w:rPr>
          <w:noProof/>
          <w:lang w:eastAsia="en-AU"/>
        </w:rPr>
        <w:drawing>
          <wp:inline distT="0" distB="0" distL="0" distR="0" wp14:anchorId="3D868E37" wp14:editId="6D163AD7">
            <wp:extent cx="5731510" cy="2476500"/>
            <wp:effectExtent l="0" t="0" r="2540" b="0"/>
            <wp:docPr id="5" name="Picture 5" descr="Picture C decrives Patway when IgG is not an option." title="Appendix Figure 1: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476500"/>
                    </a:xfrm>
                    <a:prstGeom prst="rect">
                      <a:avLst/>
                    </a:prstGeom>
                  </pic:spPr>
                </pic:pic>
              </a:graphicData>
            </a:graphic>
          </wp:inline>
        </w:drawing>
      </w:r>
    </w:p>
    <w:p w14:paraId="30973354" w14:textId="77777777" w:rsidR="0000373A" w:rsidRPr="00B27BF8" w:rsidRDefault="0000373A" w:rsidP="00E749AC">
      <w:pPr>
        <w:spacing w:after="0" w:line="240" w:lineRule="auto"/>
        <w:rPr>
          <w:rFonts w:asciiTheme="minorHAnsi" w:hAnsiTheme="minorHAnsi" w:cstheme="minorHAnsi"/>
          <w:b/>
          <w:sz w:val="20"/>
        </w:rPr>
      </w:pPr>
    </w:p>
    <w:p w14:paraId="7A0266F9" w14:textId="77777777" w:rsidR="002143A8" w:rsidRPr="00B27BF8" w:rsidRDefault="002143A8" w:rsidP="00882234">
      <w:pPr>
        <w:spacing w:after="0" w:line="240" w:lineRule="auto"/>
        <w:rPr>
          <w:rFonts w:asciiTheme="minorHAnsi" w:hAnsiTheme="minorHAnsi" w:cstheme="minorHAnsi"/>
          <w:color w:val="FF0000"/>
          <w:sz w:val="2"/>
          <w:szCs w:val="2"/>
          <w:u w:val="dotted"/>
        </w:rPr>
      </w:pPr>
    </w:p>
    <w:p w14:paraId="49355E22" w14:textId="088DF139" w:rsidR="003032CA" w:rsidRPr="00FC3196" w:rsidRDefault="002143A8" w:rsidP="00D07F09">
      <w:pPr>
        <w:spacing w:after="0"/>
        <w:rPr>
          <w:rFonts w:asciiTheme="minorHAnsi" w:hAnsiTheme="minorHAnsi" w:cstheme="minorHAnsi"/>
          <w:b/>
          <w:szCs w:val="20"/>
        </w:rPr>
      </w:pPr>
      <w:r w:rsidRPr="00FC3196">
        <w:rPr>
          <w:rFonts w:asciiTheme="minorHAnsi" w:hAnsiTheme="minorHAnsi" w:cstheme="minorHAnsi"/>
          <w:b/>
          <w:szCs w:val="20"/>
        </w:rPr>
        <w:t xml:space="preserve">Appendix Table </w:t>
      </w:r>
      <w:r w:rsidR="00FC3196">
        <w:rPr>
          <w:rFonts w:asciiTheme="minorHAnsi" w:hAnsiTheme="minorHAnsi" w:cstheme="minorHAnsi"/>
          <w:b/>
        </w:rPr>
        <w:t xml:space="preserve">1 - </w:t>
      </w:r>
      <w:r w:rsidRPr="00FC3196">
        <w:rPr>
          <w:rFonts w:asciiTheme="minorHAnsi" w:hAnsiTheme="minorHAnsi" w:cstheme="minorHAnsi"/>
          <w:b/>
        </w:rPr>
        <w:t>Decision algorithm for undertaking an economic evaluation in the setting of the Ig Review.</w:t>
      </w:r>
      <w:r w:rsidR="003032CA" w:rsidRPr="00FC3196">
        <w:rPr>
          <w:rFonts w:asciiTheme="minorHAnsi" w:hAnsiTheme="minorHAnsi" w:cstheme="minorHAnsi"/>
          <w:b/>
          <w:szCs w:val="20"/>
        </w:rPr>
        <w:t xml:space="preserve"> (Schubert, C and Merlin T, Adelaide Health Technology Assessment, 2018)</w:t>
      </w:r>
    </w:p>
    <w:tbl>
      <w:tblPr>
        <w:tblStyle w:val="TableGrid"/>
        <w:tblW w:w="0" w:type="auto"/>
        <w:tblLook w:val="04A0" w:firstRow="1" w:lastRow="0" w:firstColumn="1" w:lastColumn="0" w:noHBand="0" w:noVBand="1"/>
        <w:tblCaption w:val="Appendix Table 1 decription, decision algorithm for undertaking an economic evaluation in the setting of the Ig Review. (Adelaide Health Technology Assessment, 2018)"/>
      </w:tblPr>
      <w:tblGrid>
        <w:gridCol w:w="1801"/>
        <w:gridCol w:w="1280"/>
        <w:gridCol w:w="1280"/>
        <w:gridCol w:w="1120"/>
        <w:gridCol w:w="1260"/>
        <w:gridCol w:w="1350"/>
      </w:tblGrid>
      <w:tr w:rsidR="002143A8" w:rsidRPr="00B27BF8" w14:paraId="5060EB7B" w14:textId="77777777" w:rsidTr="00313550">
        <w:trPr>
          <w:tblHeader/>
        </w:trPr>
        <w:tc>
          <w:tcPr>
            <w:tcW w:w="1801" w:type="dxa"/>
            <w:vMerge w:val="restart"/>
            <w:shd w:val="clear" w:color="auto" w:fill="8DB3E2" w:themeFill="text2" w:themeFillTint="66"/>
            <w:vAlign w:val="center"/>
          </w:tcPr>
          <w:p w14:paraId="1F692BF9" w14:textId="77777777" w:rsidR="002143A8" w:rsidRPr="00B27BF8" w:rsidRDefault="002143A8" w:rsidP="00FD0F2F">
            <w:pPr>
              <w:pStyle w:val="Caption1"/>
              <w:rPr>
                <w:rFonts w:asciiTheme="minorHAnsi" w:hAnsiTheme="minorHAnsi" w:cstheme="minorHAnsi"/>
                <w:sz w:val="24"/>
                <w:szCs w:val="24"/>
              </w:rPr>
            </w:pPr>
            <w:r w:rsidRPr="00B27BF8">
              <w:rPr>
                <w:rFonts w:asciiTheme="minorHAnsi" w:hAnsiTheme="minorHAnsi" w:cstheme="minorHAnsi"/>
                <w:sz w:val="24"/>
                <w:szCs w:val="24"/>
              </w:rPr>
              <w:t>Comparative safety of Ig</w:t>
            </w:r>
          </w:p>
        </w:tc>
        <w:tc>
          <w:tcPr>
            <w:tcW w:w="6290" w:type="dxa"/>
            <w:gridSpan w:val="5"/>
            <w:shd w:val="clear" w:color="auto" w:fill="8DB3E2" w:themeFill="text2" w:themeFillTint="66"/>
          </w:tcPr>
          <w:p w14:paraId="20C8BF55" w14:textId="77777777" w:rsidR="002143A8" w:rsidRPr="00B27BF8" w:rsidRDefault="002143A8" w:rsidP="00FD0F2F">
            <w:pPr>
              <w:pStyle w:val="Caption1"/>
              <w:jc w:val="center"/>
              <w:rPr>
                <w:rFonts w:asciiTheme="minorHAnsi" w:hAnsiTheme="minorHAnsi" w:cstheme="minorHAnsi"/>
                <w:sz w:val="24"/>
                <w:szCs w:val="24"/>
              </w:rPr>
            </w:pPr>
            <w:r w:rsidRPr="00B27BF8">
              <w:rPr>
                <w:rFonts w:asciiTheme="minorHAnsi" w:hAnsiTheme="minorHAnsi" w:cstheme="minorHAnsi"/>
                <w:sz w:val="24"/>
                <w:szCs w:val="24"/>
              </w:rPr>
              <w:t>Comparative effectiveness of Ig</w:t>
            </w:r>
          </w:p>
        </w:tc>
      </w:tr>
      <w:tr w:rsidR="002143A8" w:rsidRPr="00B27BF8" w14:paraId="53624DDE" w14:textId="77777777" w:rsidTr="00313550">
        <w:trPr>
          <w:tblHeader/>
        </w:trPr>
        <w:tc>
          <w:tcPr>
            <w:tcW w:w="1801" w:type="dxa"/>
            <w:vMerge/>
            <w:shd w:val="clear" w:color="auto" w:fill="8DB3E2" w:themeFill="text2" w:themeFillTint="66"/>
          </w:tcPr>
          <w:p w14:paraId="3136B217" w14:textId="77777777" w:rsidR="002143A8" w:rsidRPr="00B27BF8" w:rsidRDefault="002143A8" w:rsidP="00FD0F2F">
            <w:pPr>
              <w:pStyle w:val="Caption1"/>
              <w:rPr>
                <w:rFonts w:asciiTheme="minorHAnsi" w:hAnsiTheme="minorHAnsi" w:cstheme="minorHAnsi"/>
                <w:szCs w:val="20"/>
              </w:rPr>
            </w:pPr>
          </w:p>
        </w:tc>
        <w:tc>
          <w:tcPr>
            <w:tcW w:w="2560" w:type="dxa"/>
            <w:gridSpan w:val="2"/>
            <w:shd w:val="clear" w:color="auto" w:fill="808080" w:themeFill="background1" w:themeFillShade="80"/>
            <w:vAlign w:val="center"/>
          </w:tcPr>
          <w:p w14:paraId="1A5ADF1F" w14:textId="77777777" w:rsidR="002143A8" w:rsidRPr="00B27BF8" w:rsidRDefault="002143A8" w:rsidP="00FD0F2F">
            <w:pPr>
              <w:pStyle w:val="Caption1"/>
              <w:jc w:val="center"/>
              <w:rPr>
                <w:rFonts w:asciiTheme="minorHAnsi" w:hAnsiTheme="minorHAnsi" w:cstheme="minorHAnsi"/>
                <w:szCs w:val="20"/>
              </w:rPr>
            </w:pPr>
            <w:r w:rsidRPr="00B27BF8">
              <w:rPr>
                <w:rFonts w:asciiTheme="minorHAnsi" w:hAnsiTheme="minorHAnsi" w:cstheme="minorHAnsi"/>
                <w:szCs w:val="20"/>
              </w:rPr>
              <w:t>Inferior</w:t>
            </w:r>
          </w:p>
        </w:tc>
        <w:tc>
          <w:tcPr>
            <w:tcW w:w="1120" w:type="dxa"/>
            <w:vMerge w:val="restart"/>
            <w:shd w:val="clear" w:color="auto" w:fill="808080" w:themeFill="background1" w:themeFillShade="80"/>
          </w:tcPr>
          <w:p w14:paraId="2B2E55AB" w14:textId="77777777" w:rsidR="002143A8" w:rsidRPr="00B27BF8" w:rsidRDefault="002143A8" w:rsidP="00FD0F2F">
            <w:pPr>
              <w:pStyle w:val="Caption1"/>
              <w:rPr>
                <w:rFonts w:asciiTheme="minorHAnsi" w:hAnsiTheme="minorHAnsi" w:cstheme="minorHAnsi"/>
                <w:szCs w:val="20"/>
              </w:rPr>
            </w:pPr>
            <w:r w:rsidRPr="00B27BF8">
              <w:rPr>
                <w:rFonts w:asciiTheme="minorHAnsi" w:hAnsiTheme="minorHAnsi" w:cstheme="minorHAnsi"/>
                <w:szCs w:val="20"/>
              </w:rPr>
              <w:t>Uncertain</w:t>
            </w:r>
          </w:p>
        </w:tc>
        <w:tc>
          <w:tcPr>
            <w:tcW w:w="1260" w:type="dxa"/>
            <w:vMerge w:val="restart"/>
            <w:shd w:val="clear" w:color="auto" w:fill="808080" w:themeFill="background1" w:themeFillShade="80"/>
          </w:tcPr>
          <w:p w14:paraId="2B995DCF" w14:textId="77777777" w:rsidR="002143A8" w:rsidRPr="00B27BF8" w:rsidRDefault="002143A8" w:rsidP="00FD0F2F">
            <w:pPr>
              <w:pStyle w:val="Caption1"/>
              <w:rPr>
                <w:rFonts w:asciiTheme="minorHAnsi" w:hAnsiTheme="minorHAnsi" w:cstheme="minorHAnsi"/>
                <w:szCs w:val="20"/>
              </w:rPr>
            </w:pPr>
            <w:r w:rsidRPr="00B27BF8">
              <w:rPr>
                <w:rFonts w:asciiTheme="minorHAnsi" w:hAnsiTheme="minorHAnsi" w:cstheme="minorHAnsi"/>
                <w:szCs w:val="20"/>
              </w:rPr>
              <w:t>Non-inferior</w:t>
            </w:r>
          </w:p>
        </w:tc>
        <w:tc>
          <w:tcPr>
            <w:tcW w:w="1350" w:type="dxa"/>
            <w:vMerge w:val="restart"/>
            <w:shd w:val="clear" w:color="auto" w:fill="808080" w:themeFill="background1" w:themeFillShade="80"/>
          </w:tcPr>
          <w:p w14:paraId="35B09C20" w14:textId="77777777" w:rsidR="002143A8" w:rsidRPr="00B27BF8" w:rsidRDefault="002143A8" w:rsidP="00FD0F2F">
            <w:pPr>
              <w:pStyle w:val="Caption1"/>
              <w:rPr>
                <w:rFonts w:asciiTheme="minorHAnsi" w:hAnsiTheme="minorHAnsi" w:cstheme="minorHAnsi"/>
                <w:szCs w:val="20"/>
              </w:rPr>
            </w:pPr>
            <w:r w:rsidRPr="00B27BF8">
              <w:rPr>
                <w:rFonts w:asciiTheme="minorHAnsi" w:hAnsiTheme="minorHAnsi" w:cstheme="minorHAnsi"/>
                <w:szCs w:val="20"/>
              </w:rPr>
              <w:t>Superior</w:t>
            </w:r>
          </w:p>
        </w:tc>
      </w:tr>
      <w:tr w:rsidR="002143A8" w:rsidRPr="00B27BF8" w14:paraId="4655003A" w14:textId="77777777" w:rsidTr="00313550">
        <w:trPr>
          <w:tblHeader/>
        </w:trPr>
        <w:tc>
          <w:tcPr>
            <w:tcW w:w="1801" w:type="dxa"/>
            <w:vMerge/>
            <w:shd w:val="clear" w:color="auto" w:fill="8DB3E2" w:themeFill="text2" w:themeFillTint="66"/>
          </w:tcPr>
          <w:p w14:paraId="7D521A1B" w14:textId="77777777" w:rsidR="002143A8" w:rsidRPr="00B27BF8" w:rsidRDefault="002143A8" w:rsidP="00FD0F2F">
            <w:pPr>
              <w:pStyle w:val="Caption1"/>
              <w:rPr>
                <w:rFonts w:asciiTheme="minorHAnsi" w:hAnsiTheme="minorHAnsi" w:cstheme="minorHAnsi"/>
                <w:szCs w:val="20"/>
              </w:rPr>
            </w:pPr>
          </w:p>
        </w:tc>
        <w:tc>
          <w:tcPr>
            <w:tcW w:w="1280" w:type="dxa"/>
            <w:shd w:val="clear" w:color="auto" w:fill="808080" w:themeFill="background1" w:themeFillShade="80"/>
          </w:tcPr>
          <w:p w14:paraId="51C0838E" w14:textId="77777777" w:rsidR="002143A8" w:rsidRPr="00B27BF8" w:rsidRDefault="002143A8" w:rsidP="00FD0F2F">
            <w:pPr>
              <w:pStyle w:val="Caption1"/>
              <w:rPr>
                <w:rFonts w:asciiTheme="minorHAnsi" w:hAnsiTheme="minorHAnsi" w:cstheme="minorHAnsi"/>
                <w:szCs w:val="20"/>
              </w:rPr>
            </w:pPr>
            <w:r w:rsidRPr="00B27BF8">
              <w:rPr>
                <w:rFonts w:asciiTheme="minorHAnsi" w:hAnsiTheme="minorHAnsi" w:cstheme="minorHAnsi"/>
                <w:szCs w:val="20"/>
              </w:rPr>
              <w:t>No active comparator</w:t>
            </w:r>
          </w:p>
        </w:tc>
        <w:tc>
          <w:tcPr>
            <w:tcW w:w="1280" w:type="dxa"/>
            <w:shd w:val="clear" w:color="auto" w:fill="808080" w:themeFill="background1" w:themeFillShade="80"/>
          </w:tcPr>
          <w:p w14:paraId="6183C144" w14:textId="77777777" w:rsidR="002143A8" w:rsidRPr="00B27BF8" w:rsidRDefault="002143A8" w:rsidP="00FD0F2F">
            <w:pPr>
              <w:pStyle w:val="Caption1"/>
              <w:rPr>
                <w:rFonts w:asciiTheme="minorHAnsi" w:hAnsiTheme="minorHAnsi" w:cstheme="minorHAnsi"/>
                <w:szCs w:val="20"/>
              </w:rPr>
            </w:pPr>
            <w:r w:rsidRPr="00B27BF8">
              <w:rPr>
                <w:rFonts w:asciiTheme="minorHAnsi" w:hAnsiTheme="minorHAnsi" w:cstheme="minorHAnsi"/>
                <w:szCs w:val="20"/>
              </w:rPr>
              <w:t>Active comparator</w:t>
            </w:r>
          </w:p>
        </w:tc>
        <w:tc>
          <w:tcPr>
            <w:tcW w:w="1120" w:type="dxa"/>
            <w:vMerge/>
          </w:tcPr>
          <w:p w14:paraId="169A3003" w14:textId="77777777" w:rsidR="002143A8" w:rsidRPr="00B27BF8" w:rsidRDefault="002143A8" w:rsidP="00FD0F2F">
            <w:pPr>
              <w:pStyle w:val="Caption1"/>
              <w:rPr>
                <w:rFonts w:asciiTheme="minorHAnsi" w:hAnsiTheme="minorHAnsi" w:cstheme="minorHAnsi"/>
                <w:szCs w:val="20"/>
              </w:rPr>
            </w:pPr>
          </w:p>
        </w:tc>
        <w:tc>
          <w:tcPr>
            <w:tcW w:w="1260" w:type="dxa"/>
            <w:vMerge/>
          </w:tcPr>
          <w:p w14:paraId="3430A28E" w14:textId="77777777" w:rsidR="002143A8" w:rsidRPr="00B27BF8" w:rsidRDefault="002143A8" w:rsidP="00FD0F2F">
            <w:pPr>
              <w:pStyle w:val="Caption1"/>
              <w:rPr>
                <w:rFonts w:asciiTheme="minorHAnsi" w:hAnsiTheme="minorHAnsi" w:cstheme="minorHAnsi"/>
                <w:szCs w:val="20"/>
              </w:rPr>
            </w:pPr>
          </w:p>
        </w:tc>
        <w:tc>
          <w:tcPr>
            <w:tcW w:w="1350" w:type="dxa"/>
            <w:vMerge/>
          </w:tcPr>
          <w:p w14:paraId="48D8F5A8" w14:textId="77777777" w:rsidR="002143A8" w:rsidRPr="00B27BF8" w:rsidRDefault="002143A8" w:rsidP="00FD0F2F">
            <w:pPr>
              <w:pStyle w:val="Caption1"/>
              <w:rPr>
                <w:rFonts w:asciiTheme="minorHAnsi" w:hAnsiTheme="minorHAnsi" w:cstheme="minorHAnsi"/>
                <w:szCs w:val="20"/>
              </w:rPr>
            </w:pPr>
          </w:p>
        </w:tc>
      </w:tr>
      <w:tr w:rsidR="002143A8" w:rsidRPr="00B27BF8" w14:paraId="1A98BD8B" w14:textId="77777777" w:rsidTr="003A6E41">
        <w:tc>
          <w:tcPr>
            <w:tcW w:w="1801" w:type="dxa"/>
            <w:shd w:val="clear" w:color="auto" w:fill="D9D9D9" w:themeFill="background1" w:themeFillShade="D9"/>
          </w:tcPr>
          <w:p w14:paraId="45F694E0" w14:textId="77777777" w:rsidR="002143A8" w:rsidRPr="00B27BF8" w:rsidRDefault="002143A8" w:rsidP="00FD0F2F">
            <w:pPr>
              <w:pStyle w:val="Caption1"/>
              <w:rPr>
                <w:rFonts w:asciiTheme="minorHAnsi" w:hAnsiTheme="minorHAnsi" w:cstheme="minorHAnsi"/>
                <w:szCs w:val="20"/>
              </w:rPr>
            </w:pPr>
            <w:r w:rsidRPr="00B27BF8">
              <w:rPr>
                <w:rFonts w:asciiTheme="minorHAnsi" w:hAnsiTheme="minorHAnsi" w:cstheme="minorHAnsi"/>
                <w:szCs w:val="20"/>
              </w:rPr>
              <w:t>Inferior</w:t>
            </w:r>
          </w:p>
        </w:tc>
        <w:tc>
          <w:tcPr>
            <w:tcW w:w="1280" w:type="dxa"/>
            <w:shd w:val="clear" w:color="auto" w:fill="D9D9D9" w:themeFill="background1" w:themeFillShade="D9"/>
            <w:vAlign w:val="center"/>
          </w:tcPr>
          <w:p w14:paraId="1FBA2D1E" w14:textId="77777777" w:rsidR="002143A8" w:rsidRPr="00B27BF8" w:rsidRDefault="002143A8" w:rsidP="008B425A">
            <w:pPr>
              <w:pStyle w:val="Caption1"/>
              <w:jc w:val="center"/>
              <w:rPr>
                <w:rFonts w:asciiTheme="minorHAnsi" w:hAnsiTheme="minorHAnsi" w:cstheme="minorHAnsi"/>
                <w:i/>
                <w:sz w:val="24"/>
                <w:szCs w:val="24"/>
              </w:rPr>
            </w:pPr>
            <w:r w:rsidRPr="00B27BF8">
              <w:rPr>
                <w:rFonts w:asciiTheme="minorHAnsi" w:hAnsiTheme="minorHAnsi" w:cstheme="minorHAnsi"/>
                <w:i/>
                <w:sz w:val="24"/>
                <w:szCs w:val="24"/>
              </w:rPr>
              <w:t>x</w:t>
            </w:r>
          </w:p>
        </w:tc>
        <w:tc>
          <w:tcPr>
            <w:tcW w:w="1280" w:type="dxa"/>
            <w:shd w:val="clear" w:color="auto" w:fill="D9D9D9" w:themeFill="background1" w:themeFillShade="D9"/>
            <w:vAlign w:val="center"/>
          </w:tcPr>
          <w:p w14:paraId="4461A646"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F</w:t>
            </w:r>
          </w:p>
        </w:tc>
        <w:tc>
          <w:tcPr>
            <w:tcW w:w="1120" w:type="dxa"/>
            <w:shd w:val="clear" w:color="auto" w:fill="D9D9D9" w:themeFill="background1" w:themeFillShade="D9"/>
            <w:vAlign w:val="center"/>
          </w:tcPr>
          <w:p w14:paraId="7134A51E"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w:t>
            </w:r>
          </w:p>
        </w:tc>
        <w:tc>
          <w:tcPr>
            <w:tcW w:w="1260" w:type="dxa"/>
            <w:shd w:val="clear" w:color="auto" w:fill="D9D9D9" w:themeFill="background1" w:themeFillShade="D9"/>
            <w:vAlign w:val="center"/>
          </w:tcPr>
          <w:p w14:paraId="0BAF5A00"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F</w:t>
            </w:r>
            <w:r w:rsidRPr="00B27BF8">
              <w:rPr>
                <w:rFonts w:asciiTheme="minorHAnsi" w:hAnsiTheme="minorHAnsi" w:cstheme="minorHAnsi"/>
                <w:szCs w:val="20"/>
                <w:vertAlign w:val="superscript"/>
              </w:rPr>
              <w:t>b</w:t>
            </w:r>
          </w:p>
        </w:tc>
        <w:tc>
          <w:tcPr>
            <w:tcW w:w="1350" w:type="dxa"/>
            <w:shd w:val="clear" w:color="auto" w:fill="D9D9D9" w:themeFill="background1" w:themeFillShade="D9"/>
            <w:vAlign w:val="center"/>
          </w:tcPr>
          <w:p w14:paraId="611C6D44"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F</w:t>
            </w:r>
            <w:r w:rsidRPr="00B27BF8">
              <w:rPr>
                <w:rFonts w:asciiTheme="minorHAnsi" w:hAnsiTheme="minorHAnsi" w:cstheme="minorHAnsi"/>
                <w:szCs w:val="20"/>
                <w:vertAlign w:val="superscript"/>
              </w:rPr>
              <w:t>a</w:t>
            </w:r>
          </w:p>
        </w:tc>
      </w:tr>
      <w:tr w:rsidR="002143A8" w:rsidRPr="00B27BF8" w14:paraId="69AFC0FE" w14:textId="77777777" w:rsidTr="003A6E41">
        <w:tc>
          <w:tcPr>
            <w:tcW w:w="1801" w:type="dxa"/>
            <w:shd w:val="clear" w:color="auto" w:fill="A6A6A6" w:themeFill="background1" w:themeFillShade="A6"/>
          </w:tcPr>
          <w:p w14:paraId="70AC504A" w14:textId="77777777" w:rsidR="002143A8" w:rsidRPr="00B27BF8" w:rsidRDefault="002143A8" w:rsidP="00FD0F2F">
            <w:pPr>
              <w:pStyle w:val="Caption1"/>
              <w:rPr>
                <w:rFonts w:asciiTheme="minorHAnsi" w:hAnsiTheme="minorHAnsi" w:cstheme="minorHAnsi"/>
                <w:szCs w:val="20"/>
              </w:rPr>
            </w:pPr>
            <w:r w:rsidRPr="00B27BF8">
              <w:rPr>
                <w:rFonts w:asciiTheme="minorHAnsi" w:hAnsiTheme="minorHAnsi" w:cstheme="minorHAnsi"/>
                <w:szCs w:val="20"/>
              </w:rPr>
              <w:t>Uncertain</w:t>
            </w:r>
          </w:p>
        </w:tc>
        <w:tc>
          <w:tcPr>
            <w:tcW w:w="1280" w:type="dxa"/>
            <w:shd w:val="clear" w:color="auto" w:fill="A6A6A6" w:themeFill="background1" w:themeFillShade="A6"/>
            <w:vAlign w:val="center"/>
          </w:tcPr>
          <w:p w14:paraId="1D911C13"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i/>
                <w:sz w:val="24"/>
                <w:szCs w:val="24"/>
              </w:rPr>
              <w:t>x</w:t>
            </w:r>
          </w:p>
        </w:tc>
        <w:tc>
          <w:tcPr>
            <w:tcW w:w="1280" w:type="dxa"/>
            <w:shd w:val="clear" w:color="auto" w:fill="A6A6A6" w:themeFill="background1" w:themeFillShade="A6"/>
            <w:vAlign w:val="center"/>
          </w:tcPr>
          <w:p w14:paraId="62EEBBAC"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F</w:t>
            </w:r>
            <w:r w:rsidRPr="00B27BF8">
              <w:rPr>
                <w:rFonts w:asciiTheme="minorHAnsi" w:hAnsiTheme="minorHAnsi" w:cstheme="minorHAnsi"/>
                <w:szCs w:val="20"/>
                <w:vertAlign w:val="superscript"/>
              </w:rPr>
              <w:t>a</w:t>
            </w:r>
          </w:p>
        </w:tc>
        <w:tc>
          <w:tcPr>
            <w:tcW w:w="1120" w:type="dxa"/>
            <w:shd w:val="clear" w:color="auto" w:fill="A6A6A6" w:themeFill="background1" w:themeFillShade="A6"/>
            <w:vAlign w:val="center"/>
          </w:tcPr>
          <w:p w14:paraId="7BA2AD37"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w:t>
            </w:r>
          </w:p>
        </w:tc>
        <w:tc>
          <w:tcPr>
            <w:tcW w:w="1260" w:type="dxa"/>
            <w:shd w:val="clear" w:color="auto" w:fill="A6A6A6" w:themeFill="background1" w:themeFillShade="A6"/>
            <w:vAlign w:val="center"/>
          </w:tcPr>
          <w:p w14:paraId="2ADC213A"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w:t>
            </w:r>
          </w:p>
        </w:tc>
        <w:tc>
          <w:tcPr>
            <w:tcW w:w="1350" w:type="dxa"/>
            <w:shd w:val="clear" w:color="auto" w:fill="A6A6A6" w:themeFill="background1" w:themeFillShade="A6"/>
            <w:vAlign w:val="center"/>
          </w:tcPr>
          <w:p w14:paraId="59F3667D"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F</w:t>
            </w:r>
            <w:r w:rsidRPr="00B27BF8">
              <w:rPr>
                <w:rFonts w:asciiTheme="minorHAnsi" w:hAnsiTheme="minorHAnsi" w:cstheme="minorHAnsi"/>
                <w:szCs w:val="20"/>
                <w:vertAlign w:val="superscript"/>
              </w:rPr>
              <w:t>a</w:t>
            </w:r>
          </w:p>
        </w:tc>
      </w:tr>
      <w:tr w:rsidR="002143A8" w:rsidRPr="00B27BF8" w14:paraId="00087C22" w14:textId="77777777" w:rsidTr="003A6E41">
        <w:tc>
          <w:tcPr>
            <w:tcW w:w="1801" w:type="dxa"/>
            <w:shd w:val="clear" w:color="auto" w:fill="D9D9D9" w:themeFill="background1" w:themeFillShade="D9"/>
          </w:tcPr>
          <w:p w14:paraId="168BCC95" w14:textId="77777777" w:rsidR="002143A8" w:rsidRPr="00B27BF8" w:rsidRDefault="002143A8" w:rsidP="00FD0F2F">
            <w:pPr>
              <w:pStyle w:val="Caption1"/>
              <w:rPr>
                <w:rFonts w:asciiTheme="minorHAnsi" w:hAnsiTheme="minorHAnsi" w:cstheme="minorHAnsi"/>
                <w:szCs w:val="20"/>
              </w:rPr>
            </w:pPr>
            <w:r w:rsidRPr="00B27BF8">
              <w:rPr>
                <w:rFonts w:asciiTheme="minorHAnsi" w:hAnsiTheme="minorHAnsi" w:cstheme="minorHAnsi"/>
                <w:szCs w:val="20"/>
              </w:rPr>
              <w:t>Non-inferior</w:t>
            </w:r>
          </w:p>
        </w:tc>
        <w:tc>
          <w:tcPr>
            <w:tcW w:w="1280" w:type="dxa"/>
            <w:shd w:val="clear" w:color="auto" w:fill="D9D9D9" w:themeFill="background1" w:themeFillShade="D9"/>
            <w:vAlign w:val="center"/>
          </w:tcPr>
          <w:p w14:paraId="0C3430B8"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i/>
                <w:sz w:val="24"/>
                <w:szCs w:val="24"/>
              </w:rPr>
              <w:t>x</w:t>
            </w:r>
            <w:r w:rsidRPr="00B27BF8">
              <w:rPr>
                <w:rFonts w:asciiTheme="minorHAnsi" w:hAnsiTheme="minorHAnsi" w:cstheme="minorHAnsi"/>
                <w:i/>
                <w:sz w:val="24"/>
                <w:szCs w:val="24"/>
                <w:vertAlign w:val="superscript"/>
              </w:rPr>
              <w:t>c</w:t>
            </w:r>
          </w:p>
        </w:tc>
        <w:tc>
          <w:tcPr>
            <w:tcW w:w="1280" w:type="dxa"/>
            <w:shd w:val="clear" w:color="auto" w:fill="D9D9D9" w:themeFill="background1" w:themeFillShade="D9"/>
            <w:vAlign w:val="center"/>
          </w:tcPr>
          <w:p w14:paraId="493DCC59"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F</w:t>
            </w:r>
          </w:p>
        </w:tc>
        <w:tc>
          <w:tcPr>
            <w:tcW w:w="1120" w:type="dxa"/>
            <w:shd w:val="clear" w:color="auto" w:fill="D9D9D9" w:themeFill="background1" w:themeFillShade="D9"/>
            <w:vAlign w:val="center"/>
          </w:tcPr>
          <w:p w14:paraId="62D55370"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w:t>
            </w:r>
          </w:p>
        </w:tc>
        <w:tc>
          <w:tcPr>
            <w:tcW w:w="1260" w:type="dxa"/>
            <w:shd w:val="clear" w:color="auto" w:fill="D9D9D9" w:themeFill="background1" w:themeFillShade="D9"/>
            <w:vAlign w:val="center"/>
          </w:tcPr>
          <w:p w14:paraId="2CEED91D"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w:t>
            </w:r>
          </w:p>
        </w:tc>
        <w:tc>
          <w:tcPr>
            <w:tcW w:w="1350" w:type="dxa"/>
            <w:shd w:val="clear" w:color="auto" w:fill="D9D9D9" w:themeFill="background1" w:themeFillShade="D9"/>
            <w:vAlign w:val="center"/>
          </w:tcPr>
          <w:p w14:paraId="620BF6D0"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F</w:t>
            </w:r>
          </w:p>
        </w:tc>
      </w:tr>
      <w:tr w:rsidR="002143A8" w:rsidRPr="00B27BF8" w14:paraId="1C5B23B7" w14:textId="77777777" w:rsidTr="003A6E41">
        <w:tc>
          <w:tcPr>
            <w:tcW w:w="1801" w:type="dxa"/>
            <w:shd w:val="clear" w:color="auto" w:fill="A6A6A6" w:themeFill="background1" w:themeFillShade="A6"/>
          </w:tcPr>
          <w:p w14:paraId="608ECD69" w14:textId="77777777" w:rsidR="002143A8" w:rsidRPr="00B27BF8" w:rsidRDefault="002143A8" w:rsidP="00FD0F2F">
            <w:pPr>
              <w:pStyle w:val="Caption1"/>
              <w:rPr>
                <w:rFonts w:asciiTheme="minorHAnsi" w:hAnsiTheme="minorHAnsi" w:cstheme="minorHAnsi"/>
                <w:szCs w:val="20"/>
              </w:rPr>
            </w:pPr>
            <w:r w:rsidRPr="00B27BF8">
              <w:rPr>
                <w:rFonts w:asciiTheme="minorHAnsi" w:hAnsiTheme="minorHAnsi" w:cstheme="minorHAnsi"/>
                <w:szCs w:val="20"/>
              </w:rPr>
              <w:t>Superior</w:t>
            </w:r>
          </w:p>
        </w:tc>
        <w:tc>
          <w:tcPr>
            <w:tcW w:w="1280" w:type="dxa"/>
            <w:shd w:val="clear" w:color="auto" w:fill="A6A6A6" w:themeFill="background1" w:themeFillShade="A6"/>
            <w:vAlign w:val="center"/>
          </w:tcPr>
          <w:p w14:paraId="616B23AA"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i/>
                <w:sz w:val="24"/>
                <w:szCs w:val="24"/>
              </w:rPr>
              <w:t>x</w:t>
            </w:r>
            <w:r w:rsidRPr="00B27BF8">
              <w:rPr>
                <w:rFonts w:asciiTheme="minorHAnsi" w:hAnsiTheme="minorHAnsi" w:cstheme="minorHAnsi"/>
                <w:i/>
                <w:sz w:val="24"/>
                <w:szCs w:val="24"/>
                <w:vertAlign w:val="superscript"/>
              </w:rPr>
              <w:t>c</w:t>
            </w:r>
          </w:p>
        </w:tc>
        <w:tc>
          <w:tcPr>
            <w:tcW w:w="1280" w:type="dxa"/>
            <w:shd w:val="clear" w:color="auto" w:fill="A6A6A6" w:themeFill="background1" w:themeFillShade="A6"/>
            <w:vAlign w:val="center"/>
          </w:tcPr>
          <w:p w14:paraId="66441529"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F</w:t>
            </w:r>
            <w:r w:rsidRPr="00B27BF8">
              <w:rPr>
                <w:rFonts w:asciiTheme="minorHAnsi" w:hAnsiTheme="minorHAnsi" w:cstheme="minorHAnsi"/>
                <w:szCs w:val="20"/>
                <w:vertAlign w:val="superscript"/>
              </w:rPr>
              <w:t>a</w:t>
            </w:r>
          </w:p>
        </w:tc>
        <w:tc>
          <w:tcPr>
            <w:tcW w:w="1120" w:type="dxa"/>
            <w:shd w:val="clear" w:color="auto" w:fill="A6A6A6" w:themeFill="background1" w:themeFillShade="A6"/>
            <w:vAlign w:val="center"/>
          </w:tcPr>
          <w:p w14:paraId="5CECAF04"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w:t>
            </w:r>
          </w:p>
        </w:tc>
        <w:tc>
          <w:tcPr>
            <w:tcW w:w="1260" w:type="dxa"/>
            <w:shd w:val="clear" w:color="auto" w:fill="A6A6A6" w:themeFill="background1" w:themeFillShade="A6"/>
            <w:vAlign w:val="center"/>
          </w:tcPr>
          <w:p w14:paraId="7F032695"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F</w:t>
            </w:r>
            <w:r w:rsidRPr="00B27BF8">
              <w:rPr>
                <w:rFonts w:asciiTheme="minorHAnsi" w:hAnsiTheme="minorHAnsi" w:cstheme="minorHAnsi"/>
                <w:szCs w:val="20"/>
                <w:vertAlign w:val="superscript"/>
              </w:rPr>
              <w:t>b</w:t>
            </w:r>
          </w:p>
        </w:tc>
        <w:tc>
          <w:tcPr>
            <w:tcW w:w="1350" w:type="dxa"/>
            <w:shd w:val="clear" w:color="auto" w:fill="A6A6A6" w:themeFill="background1" w:themeFillShade="A6"/>
            <w:vAlign w:val="center"/>
          </w:tcPr>
          <w:p w14:paraId="36EC252E" w14:textId="77777777" w:rsidR="002143A8" w:rsidRPr="00B27BF8" w:rsidRDefault="002143A8" w:rsidP="008B425A">
            <w:pPr>
              <w:pStyle w:val="Caption1"/>
              <w:jc w:val="center"/>
              <w:rPr>
                <w:rFonts w:asciiTheme="minorHAnsi" w:hAnsiTheme="minorHAnsi" w:cstheme="minorHAnsi"/>
                <w:szCs w:val="20"/>
              </w:rPr>
            </w:pPr>
            <w:r w:rsidRPr="00B27BF8">
              <w:rPr>
                <w:rFonts w:asciiTheme="minorHAnsi" w:hAnsiTheme="minorHAnsi" w:cstheme="minorHAnsi"/>
                <w:szCs w:val="20"/>
              </w:rPr>
              <w:t>F</w:t>
            </w:r>
          </w:p>
        </w:tc>
      </w:tr>
    </w:tbl>
    <w:p w14:paraId="6F75DA53" w14:textId="77777777" w:rsidR="002143A8" w:rsidRPr="00B27BF8" w:rsidRDefault="002143A8" w:rsidP="002143A8">
      <w:pPr>
        <w:widowControl w:val="0"/>
        <w:autoSpaceDE w:val="0"/>
        <w:autoSpaceDN w:val="0"/>
        <w:adjustRightInd w:val="0"/>
        <w:spacing w:before="240" w:after="120"/>
        <w:jc w:val="both"/>
        <w:rPr>
          <w:rFonts w:asciiTheme="minorHAnsi" w:hAnsiTheme="minorHAnsi" w:cstheme="minorHAnsi"/>
          <w:sz w:val="20"/>
          <w:szCs w:val="20"/>
        </w:rPr>
      </w:pPr>
      <w:r w:rsidRPr="00B27BF8">
        <w:rPr>
          <w:rFonts w:asciiTheme="minorHAnsi" w:hAnsiTheme="minorHAnsi" w:cstheme="minorHAnsi"/>
          <w:i/>
          <w:sz w:val="24"/>
          <w:szCs w:val="24"/>
        </w:rPr>
        <w:t>x</w:t>
      </w:r>
      <w:r w:rsidRPr="00B27BF8">
        <w:rPr>
          <w:rFonts w:asciiTheme="minorHAnsi" w:hAnsiTheme="minorHAnsi" w:cstheme="minorHAnsi"/>
          <w:sz w:val="20"/>
          <w:szCs w:val="20"/>
        </w:rPr>
        <w:t xml:space="preserve"> = health forgone (at cost). An economic evaluation is not warranted and continued use of Ig should not occur in this circumstance unless there are other supportive factors.</w:t>
      </w:r>
    </w:p>
    <w:p w14:paraId="1745A0DC" w14:textId="77777777" w:rsidR="002143A8" w:rsidRPr="00B27BF8" w:rsidRDefault="002143A8" w:rsidP="002143A8">
      <w:pPr>
        <w:widowControl w:val="0"/>
        <w:autoSpaceDE w:val="0"/>
        <w:autoSpaceDN w:val="0"/>
        <w:adjustRightInd w:val="0"/>
        <w:spacing w:after="120"/>
        <w:jc w:val="both"/>
        <w:rPr>
          <w:rFonts w:asciiTheme="minorHAnsi" w:hAnsiTheme="minorHAnsi" w:cstheme="minorHAnsi"/>
          <w:sz w:val="20"/>
          <w:szCs w:val="20"/>
        </w:rPr>
      </w:pPr>
      <w:r w:rsidRPr="00B27BF8">
        <w:rPr>
          <w:rFonts w:asciiTheme="minorHAnsi" w:hAnsiTheme="minorHAnsi" w:cstheme="minorHAnsi"/>
          <w:sz w:val="20"/>
          <w:szCs w:val="20"/>
        </w:rPr>
        <w:t xml:space="preserve">F = undertake a full economic evaluation. These may take the form of cost-utility analyses (preferred if adequate data are available) or cost effectiveness analyses in terms of clinically relevant outcome(s). </w:t>
      </w:r>
    </w:p>
    <w:p w14:paraId="6538D164" w14:textId="77777777" w:rsidR="002143A8" w:rsidRPr="00B27BF8" w:rsidRDefault="002143A8" w:rsidP="002143A8">
      <w:pPr>
        <w:widowControl w:val="0"/>
        <w:autoSpaceDE w:val="0"/>
        <w:autoSpaceDN w:val="0"/>
        <w:adjustRightInd w:val="0"/>
        <w:spacing w:after="120"/>
        <w:jc w:val="both"/>
        <w:rPr>
          <w:rFonts w:asciiTheme="minorHAnsi" w:hAnsiTheme="minorHAnsi" w:cstheme="minorHAnsi"/>
          <w:sz w:val="20"/>
          <w:szCs w:val="20"/>
        </w:rPr>
      </w:pPr>
      <w:r w:rsidRPr="00B27BF8">
        <w:rPr>
          <w:rFonts w:asciiTheme="minorHAnsi" w:hAnsiTheme="minorHAnsi" w:cstheme="minorHAnsi"/>
          <w:sz w:val="20"/>
          <w:szCs w:val="20"/>
        </w:rPr>
        <w:t>? = high levels of uncertainty will occur in an economic evaluation (if it is feasible to construct one). A cost analysis (partial economic evaluation) could be performed.</w:t>
      </w:r>
    </w:p>
    <w:p w14:paraId="4FC5CF61" w14:textId="77777777" w:rsidR="002143A8" w:rsidRPr="00B27BF8" w:rsidRDefault="002143A8" w:rsidP="002143A8">
      <w:pPr>
        <w:widowControl w:val="0"/>
        <w:autoSpaceDE w:val="0"/>
        <w:autoSpaceDN w:val="0"/>
        <w:adjustRightInd w:val="0"/>
        <w:spacing w:after="120"/>
        <w:jc w:val="both"/>
        <w:rPr>
          <w:rFonts w:asciiTheme="minorHAnsi" w:hAnsiTheme="minorHAnsi" w:cstheme="minorHAnsi"/>
          <w:sz w:val="20"/>
          <w:szCs w:val="20"/>
        </w:rPr>
      </w:pPr>
      <w:r w:rsidRPr="00B27BF8">
        <w:rPr>
          <w:rFonts w:asciiTheme="minorHAnsi" w:hAnsiTheme="minorHAnsi" w:cstheme="minorHAnsi"/>
          <w:sz w:val="20"/>
          <w:szCs w:val="20"/>
        </w:rPr>
        <w:t xml:space="preserve">$ = cost minimisation analysis (partial economic evaluation that explicitly assumes no significant differences in health outcomes, associated with either effectiveness or safety, and analyses cost-differences only). </w:t>
      </w:r>
    </w:p>
    <w:p w14:paraId="72B1A536" w14:textId="77777777" w:rsidR="002143A8" w:rsidRPr="00B27BF8" w:rsidRDefault="002143A8" w:rsidP="002143A8">
      <w:pPr>
        <w:widowControl w:val="0"/>
        <w:autoSpaceDE w:val="0"/>
        <w:autoSpaceDN w:val="0"/>
        <w:adjustRightInd w:val="0"/>
        <w:spacing w:after="120"/>
        <w:jc w:val="both"/>
        <w:rPr>
          <w:rFonts w:asciiTheme="minorHAnsi" w:hAnsiTheme="minorHAnsi" w:cstheme="minorHAnsi"/>
          <w:sz w:val="20"/>
          <w:szCs w:val="20"/>
        </w:rPr>
      </w:pPr>
      <w:r w:rsidRPr="00B27BF8">
        <w:rPr>
          <w:rFonts w:asciiTheme="minorHAnsi" w:hAnsiTheme="minorHAnsi" w:cstheme="minorHAnsi"/>
          <w:sz w:val="20"/>
          <w:szCs w:val="20"/>
          <w:vertAlign w:val="superscript"/>
        </w:rPr>
        <w:t>a</w:t>
      </w:r>
      <w:r w:rsidRPr="00B27BF8">
        <w:rPr>
          <w:rFonts w:asciiTheme="minorHAnsi" w:hAnsiTheme="minorHAnsi" w:cstheme="minorHAnsi"/>
          <w:sz w:val="20"/>
          <w:szCs w:val="20"/>
        </w:rPr>
        <w:t xml:space="preserve"> where the conclusions with respect to effectiveness and safety are not congruent, then analyses identifying all relevant health consequences (i.e. effectiveness and safety outcomes in opposing directions of benefit) need to be presented. If a CUA is presented, this should capture effectiveness and safety collectively. If a CUA is not possible, then a single CEA may not capture all health consequences adequately and so a CCA is likely to be required. Where possible, the CCA should be quantitative, but in the absence of adequate data, a minimum qualitative identification of consequences should be presented.</w:t>
      </w:r>
    </w:p>
    <w:p w14:paraId="241BF4D1" w14:textId="77777777" w:rsidR="002143A8" w:rsidRPr="00B27BF8" w:rsidRDefault="002143A8" w:rsidP="002143A8">
      <w:pPr>
        <w:widowControl w:val="0"/>
        <w:autoSpaceDE w:val="0"/>
        <w:autoSpaceDN w:val="0"/>
        <w:adjustRightInd w:val="0"/>
        <w:spacing w:after="120"/>
        <w:jc w:val="both"/>
        <w:rPr>
          <w:rFonts w:asciiTheme="minorHAnsi" w:hAnsiTheme="minorHAnsi" w:cstheme="minorHAnsi"/>
          <w:sz w:val="20"/>
          <w:szCs w:val="20"/>
        </w:rPr>
      </w:pPr>
      <w:r w:rsidRPr="00B27BF8">
        <w:rPr>
          <w:rFonts w:asciiTheme="minorHAnsi" w:hAnsiTheme="minorHAnsi" w:cstheme="minorHAnsi"/>
          <w:sz w:val="20"/>
          <w:szCs w:val="20"/>
          <w:vertAlign w:val="superscript"/>
        </w:rPr>
        <w:t>b</w:t>
      </w:r>
      <w:r w:rsidRPr="00B27BF8">
        <w:rPr>
          <w:rFonts w:asciiTheme="minorHAnsi" w:hAnsiTheme="minorHAnsi" w:cstheme="minorHAnsi"/>
          <w:sz w:val="20"/>
          <w:szCs w:val="20"/>
        </w:rPr>
        <w:t xml:space="preserve"> where effectiveness is assessed as non-inferior but safety differences exist, and in the absence of a CUA being possible, the outcomes component of the analysis should include a clinically relevant outcome which reflects the safety differences between Ig and the comparator.</w:t>
      </w:r>
    </w:p>
    <w:p w14:paraId="5F8BB47D" w14:textId="77777777" w:rsidR="002143A8" w:rsidRPr="00B27BF8" w:rsidRDefault="002143A8" w:rsidP="002143A8">
      <w:pPr>
        <w:widowControl w:val="0"/>
        <w:autoSpaceDE w:val="0"/>
        <w:autoSpaceDN w:val="0"/>
        <w:adjustRightInd w:val="0"/>
        <w:jc w:val="both"/>
        <w:rPr>
          <w:rFonts w:asciiTheme="minorHAnsi" w:hAnsiTheme="minorHAnsi" w:cstheme="minorHAnsi"/>
          <w:sz w:val="20"/>
          <w:szCs w:val="20"/>
        </w:rPr>
      </w:pPr>
      <w:r w:rsidRPr="00B27BF8">
        <w:rPr>
          <w:rFonts w:asciiTheme="minorHAnsi" w:hAnsiTheme="minorHAnsi" w:cstheme="minorHAnsi"/>
          <w:sz w:val="18"/>
          <w:szCs w:val="18"/>
          <w:vertAlign w:val="superscript"/>
        </w:rPr>
        <w:t>c</w:t>
      </w:r>
      <w:r w:rsidRPr="00B27BF8">
        <w:rPr>
          <w:rFonts w:asciiTheme="minorHAnsi" w:hAnsiTheme="minorHAnsi" w:cstheme="minorHAnsi"/>
          <w:sz w:val="18"/>
          <w:szCs w:val="18"/>
        </w:rPr>
        <w:t xml:space="preserve"> </w:t>
      </w:r>
      <w:r w:rsidRPr="00B27BF8">
        <w:rPr>
          <w:rFonts w:asciiTheme="minorHAnsi" w:hAnsiTheme="minorHAnsi" w:cstheme="minorHAnsi"/>
          <w:sz w:val="20"/>
          <w:szCs w:val="20"/>
        </w:rPr>
        <w:t>The small but unavoidable potential risks associated with administering a blood product means that a conclusion of non-inferior or superior Ig safety relative to no active comparator, should never arise.</w:t>
      </w:r>
    </w:p>
    <w:p w14:paraId="0D9812F4" w14:textId="77777777" w:rsidR="002143A8" w:rsidRPr="00B27BF8" w:rsidRDefault="002143A8" w:rsidP="002143A8">
      <w:pPr>
        <w:widowControl w:val="0"/>
        <w:autoSpaceDE w:val="0"/>
        <w:autoSpaceDN w:val="0"/>
        <w:adjustRightInd w:val="0"/>
        <w:rPr>
          <w:rFonts w:asciiTheme="minorHAnsi" w:hAnsiTheme="minorHAnsi" w:cstheme="minorHAnsi"/>
          <w:sz w:val="24"/>
          <w:szCs w:val="24"/>
        </w:rPr>
      </w:pPr>
    </w:p>
    <w:p w14:paraId="1E1BD191" w14:textId="77777777" w:rsidR="00150029" w:rsidRPr="00B27BF8" w:rsidRDefault="00150029" w:rsidP="00882234">
      <w:pPr>
        <w:spacing w:after="0" w:line="240" w:lineRule="auto"/>
        <w:rPr>
          <w:rFonts w:asciiTheme="minorHAnsi" w:hAnsiTheme="minorHAnsi" w:cstheme="minorHAnsi"/>
          <w:color w:val="FF0000"/>
          <w:sz w:val="2"/>
          <w:szCs w:val="2"/>
          <w:u w:val="dotted"/>
        </w:rPr>
      </w:pPr>
    </w:p>
    <w:sectPr w:rsidR="00150029" w:rsidRPr="00B27BF8" w:rsidSect="00E749A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B6753" w16cid:durableId="202CA899"/>
  <w16cid:commentId w16cid:paraId="68D7C254" w16cid:durableId="202CA89A"/>
  <w16cid:commentId w16cid:paraId="3846EEED" w16cid:durableId="202CAB15"/>
  <w16cid:commentId w16cid:paraId="1448CED8" w16cid:durableId="202CA89B"/>
  <w16cid:commentId w16cid:paraId="4833F8A7" w16cid:durableId="202CA89C"/>
  <w16cid:commentId w16cid:paraId="0CD703C0" w16cid:durableId="202CAAD7"/>
  <w16cid:commentId w16cid:paraId="2FB79180" w16cid:durableId="202CA89D"/>
  <w16cid:commentId w16cid:paraId="3055B08B" w16cid:durableId="202CA89E"/>
  <w16cid:commentId w16cid:paraId="7D4FB02D" w16cid:durableId="202CAD77"/>
  <w16cid:commentId w16cid:paraId="7526B152" w16cid:durableId="202CACBF"/>
  <w16cid:commentId w16cid:paraId="686D841B" w16cid:durableId="202CAD5F"/>
  <w16cid:commentId w16cid:paraId="4C72009C" w16cid:durableId="202CAC87"/>
  <w16cid:commentId w16cid:paraId="08C9155C" w16cid:durableId="202CADB1"/>
  <w16cid:commentId w16cid:paraId="664E4119" w16cid:durableId="202CADA0"/>
  <w16cid:commentId w16cid:paraId="63244308" w16cid:durableId="202CAC9B"/>
  <w16cid:commentId w16cid:paraId="012C79C7" w16cid:durableId="202CADC9"/>
  <w16cid:commentId w16cid:paraId="52B17CB2" w16cid:durableId="202CADDF"/>
  <w16cid:commentId w16cid:paraId="7E098D71" w16cid:durableId="202CA89F"/>
  <w16cid:commentId w16cid:paraId="4F84293A" w16cid:durableId="202CAB76"/>
  <w16cid:commentId w16cid:paraId="1C2E759B" w16cid:durableId="202CA8A0"/>
  <w16cid:commentId w16cid:paraId="3D62857D" w16cid:durableId="202CA8A1"/>
  <w16cid:commentId w16cid:paraId="07A7DF82" w16cid:durableId="202CA8A2"/>
  <w16cid:commentId w16cid:paraId="4E364290" w16cid:durableId="202CA8A3"/>
  <w16cid:commentId w16cid:paraId="12A45AF8" w16cid:durableId="202CA8A4"/>
  <w16cid:commentId w16cid:paraId="4642889A" w16cid:durableId="202CA8A5"/>
  <w16cid:commentId w16cid:paraId="017F51BE" w16cid:durableId="202CA8A6"/>
  <w16cid:commentId w16cid:paraId="0C6F98AE" w16cid:durableId="202CAA46"/>
  <w16cid:commentId w16cid:paraId="3040F699" w16cid:durableId="202CA8A7"/>
  <w16cid:commentId w16cid:paraId="47411114" w16cid:durableId="202CAA66"/>
  <w16cid:commentId w16cid:paraId="26390505" w16cid:durableId="202CA8A8"/>
  <w16cid:commentId w16cid:paraId="74825D64" w16cid:durableId="202CAA8B"/>
  <w16cid:commentId w16cid:paraId="4845B798" w16cid:durableId="202CA8A9"/>
  <w16cid:commentId w16cid:paraId="35A11C35" w16cid:durableId="202CA8AA"/>
  <w16cid:commentId w16cid:paraId="00C3FCDE" w16cid:durableId="202CA8AB"/>
  <w16cid:commentId w16cid:paraId="79C87B6E" w16cid:durableId="202CA8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3FC34" w14:textId="77777777" w:rsidR="00A75F38" w:rsidRDefault="00A75F38" w:rsidP="003D699E">
      <w:pPr>
        <w:spacing w:after="0" w:line="240" w:lineRule="auto"/>
      </w:pPr>
      <w:r>
        <w:separator/>
      </w:r>
    </w:p>
  </w:endnote>
  <w:endnote w:type="continuationSeparator" w:id="0">
    <w:p w14:paraId="506A4260" w14:textId="77777777" w:rsidR="00A75F38" w:rsidRDefault="00A75F38" w:rsidP="003D699E">
      <w:pPr>
        <w:spacing w:after="0" w:line="240" w:lineRule="auto"/>
      </w:pPr>
      <w:r>
        <w:continuationSeparator/>
      </w:r>
    </w:p>
  </w:endnote>
  <w:endnote w:type="continuationNotice" w:id="1">
    <w:p w14:paraId="54676D47" w14:textId="77777777" w:rsidR="00A75F38" w:rsidRDefault="00A75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7B1E" w14:textId="77777777" w:rsidR="00FA1A8D" w:rsidRDefault="00FA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422D7929" w14:textId="1CC18E1D" w:rsidR="00A75F38" w:rsidRDefault="00A75F38" w:rsidP="006300EA">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F2207" w:rsidRPr="00CF2207">
          <w:rPr>
            <w:b/>
            <w:bCs/>
            <w:noProof/>
            <w:sz w:val="18"/>
            <w:szCs w:val="18"/>
          </w:rPr>
          <w:t>1</w:t>
        </w:r>
        <w:r w:rsidRPr="00CF2DFA">
          <w:rPr>
            <w:b/>
            <w:bCs/>
            <w:noProof/>
            <w:sz w:val="18"/>
            <w:szCs w:val="18"/>
          </w:rPr>
          <w:fldChar w:fldCharType="end"/>
        </w:r>
        <w:r w:rsidRPr="00CF2DFA">
          <w:rPr>
            <w:b/>
            <w:bCs/>
            <w:sz w:val="18"/>
            <w:szCs w:val="18"/>
          </w:rPr>
          <w:t xml:space="preserve"> | </w:t>
        </w:r>
        <w:r>
          <w:rPr>
            <w:color w:val="808080" w:themeColor="background1" w:themeShade="80"/>
            <w:spacing w:val="60"/>
            <w:sz w:val="18"/>
            <w:szCs w:val="18"/>
          </w:rPr>
          <w:t>Page</w:t>
        </w:r>
      </w:p>
      <w:p w14:paraId="17943A9D" w14:textId="0E85E84D" w:rsidR="00A75F38" w:rsidRDefault="00A75F38" w:rsidP="00A86A66">
        <w:pPr>
          <w:pStyle w:val="Footer"/>
          <w:pBdr>
            <w:top w:val="single" w:sz="4" w:space="1" w:color="D9D9D9" w:themeColor="background1" w:themeShade="D9"/>
          </w:pBdr>
          <w:jc w:val="center"/>
          <w:rPr>
            <w:color w:val="808080" w:themeColor="background1" w:themeShade="80"/>
            <w:spacing w:val="60"/>
            <w:sz w:val="18"/>
            <w:szCs w:val="18"/>
          </w:rPr>
        </w:pPr>
        <w:r>
          <w:rPr>
            <w:color w:val="808080" w:themeColor="background1" w:themeShade="80"/>
            <w:spacing w:val="60"/>
            <w:sz w:val="18"/>
            <w:szCs w:val="18"/>
          </w:rPr>
          <w:t>PICO Confirmation</w:t>
        </w:r>
      </w:p>
      <w:p w14:paraId="2C994BC3" w14:textId="25038A33" w:rsidR="00A75F38" w:rsidRPr="00CF2DFA" w:rsidRDefault="00A75F38" w:rsidP="00A86A66">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Application 1565:</w:t>
        </w:r>
        <w:r w:rsidRPr="00723DAC">
          <w:rPr>
            <w:color w:val="808080" w:themeColor="background1" w:themeShade="80"/>
            <w:spacing w:val="60"/>
            <w:sz w:val="18"/>
            <w:szCs w:val="18"/>
          </w:rPr>
          <w:t>Acquired hypogammaglobulinaemia secondary to haematological malignancies, or post-haemopoietic stem cell transplantation (HSCT)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3B7AE" w14:textId="77777777" w:rsidR="00FA1A8D" w:rsidRDefault="00FA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E5902" w14:textId="77777777" w:rsidR="00A75F38" w:rsidRDefault="00A75F38" w:rsidP="003D699E">
      <w:pPr>
        <w:spacing w:after="0" w:line="240" w:lineRule="auto"/>
      </w:pPr>
      <w:r>
        <w:separator/>
      </w:r>
    </w:p>
  </w:footnote>
  <w:footnote w:type="continuationSeparator" w:id="0">
    <w:p w14:paraId="0C0DE235" w14:textId="77777777" w:rsidR="00A75F38" w:rsidRDefault="00A75F38" w:rsidP="003D699E">
      <w:pPr>
        <w:spacing w:after="0" w:line="240" w:lineRule="auto"/>
      </w:pPr>
      <w:r>
        <w:continuationSeparator/>
      </w:r>
    </w:p>
  </w:footnote>
  <w:footnote w:type="continuationNotice" w:id="1">
    <w:p w14:paraId="54EC52AF" w14:textId="77777777" w:rsidR="00A75F38" w:rsidRDefault="00A75F38">
      <w:pPr>
        <w:spacing w:after="0" w:line="240" w:lineRule="auto"/>
      </w:pPr>
    </w:p>
  </w:footnote>
  <w:footnote w:id="2">
    <w:p w14:paraId="6AB17BE2" w14:textId="77777777" w:rsidR="00A75F38" w:rsidRDefault="00A75F38" w:rsidP="001D3FA4">
      <w:pPr>
        <w:pStyle w:val="FootnoteText"/>
      </w:pPr>
      <w:r>
        <w:rPr>
          <w:rStyle w:val="FootnoteReference"/>
        </w:rPr>
        <w:footnoteRef/>
      </w:r>
      <w:r>
        <w:t xml:space="preserve"> </w:t>
      </w:r>
      <w:hyperlink r:id="rId1" w:history="1">
        <w:r w:rsidRPr="00A97C15">
          <w:rPr>
            <w:rStyle w:val="Hyperlink"/>
          </w:rPr>
          <w:t>http://www.health.gov.au/internet/hta/publishing.nsf/Content/nba-1</w:t>
        </w:r>
      </w:hyperlink>
      <w:r>
        <w:t xml:space="preserve"> </w:t>
      </w:r>
    </w:p>
  </w:footnote>
  <w:footnote w:id="3">
    <w:p w14:paraId="35EA8B82" w14:textId="77777777" w:rsidR="00A75F38" w:rsidRDefault="00A75F38">
      <w:pPr>
        <w:pStyle w:val="FootnoteText"/>
      </w:pPr>
      <w:r>
        <w:rPr>
          <w:rStyle w:val="FootnoteReference"/>
        </w:rPr>
        <w:footnoteRef/>
      </w:r>
      <w:r>
        <w:t xml:space="preserve"> National Blood Authority, 2018. Available at </w:t>
      </w:r>
      <w:r w:rsidRPr="00A2368F">
        <w:t>https://www.blood.gov.au/igcriteria-version3</w:t>
      </w:r>
    </w:p>
  </w:footnote>
  <w:footnote w:id="4">
    <w:p w14:paraId="01F6BE1E" w14:textId="77777777" w:rsidR="00A75F38" w:rsidRDefault="00A75F38">
      <w:pPr>
        <w:pStyle w:val="FootnoteText"/>
      </w:pPr>
      <w:r>
        <w:rPr>
          <w:rStyle w:val="FootnoteReference"/>
        </w:rPr>
        <w:footnoteRef/>
      </w:r>
      <w:r>
        <w:t xml:space="preserve"> </w:t>
      </w:r>
      <w:r w:rsidRPr="00AD1E3F">
        <w:t>WHO Classification of Tumours of Haematopoietic and Lymphoid Tissues</w:t>
      </w:r>
      <w:r>
        <w:t>, IARC Revised 4</w:t>
      </w:r>
      <w:r w:rsidRPr="00AD1E3F">
        <w:rPr>
          <w:vertAlign w:val="superscript"/>
        </w:rPr>
        <w:t>th</w:t>
      </w:r>
      <w:r>
        <w:t xml:space="preserve"> Edition 2017</w:t>
      </w:r>
    </w:p>
  </w:footnote>
  <w:footnote w:id="5">
    <w:p w14:paraId="71E827BD" w14:textId="77777777" w:rsidR="00A75F38" w:rsidRDefault="00A75F38" w:rsidP="00773D66">
      <w:pPr>
        <w:pStyle w:val="FootnoteText"/>
      </w:pPr>
      <w:r>
        <w:rPr>
          <w:rStyle w:val="FootnoteReference"/>
        </w:rPr>
        <w:footnoteRef/>
      </w:r>
      <w:r>
        <w:t xml:space="preserve"> </w:t>
      </w:r>
      <w:hyperlink r:id="rId2" w:history="1">
        <w:r w:rsidRPr="00AA6232">
          <w:rPr>
            <w:rStyle w:val="Hyperlink"/>
          </w:rPr>
          <w:t>https://www.aihw.gov.au/reports/cancer/cancer-data-in-australia/acim-books</w:t>
        </w:r>
      </w:hyperlink>
      <w:r>
        <w:t xml:space="preserve"> </w:t>
      </w:r>
    </w:p>
  </w:footnote>
  <w:footnote w:id="6">
    <w:p w14:paraId="6F6A086D" w14:textId="5DC06D0E" w:rsidR="00A75F38" w:rsidRDefault="00A75F38">
      <w:pPr>
        <w:pStyle w:val="FootnoteText"/>
      </w:pPr>
      <w:r>
        <w:rPr>
          <w:rStyle w:val="FootnoteReference"/>
        </w:rPr>
        <w:footnoteRef/>
      </w:r>
      <w:r>
        <w:t xml:space="preserve"> </w:t>
      </w:r>
      <w:r w:rsidR="002B1062" w:rsidRPr="00CD225E">
        <w:rPr>
          <w:rFonts w:asciiTheme="minorHAnsi" w:hAnsiTheme="minorHAnsi" w:cstheme="minorHAnsi"/>
          <w:sz w:val="18"/>
          <w:szCs w:val="18"/>
        </w:rPr>
        <w:t>NBA disagree with statement ‘CSL Normal Immunoglobulin VF is manufactured from hyperimmune plasma</w:t>
      </w:r>
    </w:p>
  </w:footnote>
  <w:footnote w:id="7">
    <w:p w14:paraId="72496942" w14:textId="77777777" w:rsidR="00A75F38" w:rsidRDefault="00A75F38" w:rsidP="00106C06">
      <w:pPr>
        <w:pStyle w:val="FootnoteText"/>
      </w:pPr>
      <w:r>
        <w:rPr>
          <w:rStyle w:val="FootnoteReference"/>
        </w:rPr>
        <w:footnoteRef/>
      </w:r>
      <w:r>
        <w:t xml:space="preserve"> N</w:t>
      </w:r>
      <w:r w:rsidRPr="00285A00">
        <w:t>ational report on the issue and use of immunoglobulin (Ig)</w:t>
      </w:r>
      <w:r>
        <w:t xml:space="preserve">. Annual Report 2015-16. NBA.  </w:t>
      </w:r>
    </w:p>
  </w:footnote>
  <w:footnote w:id="8">
    <w:p w14:paraId="0557F39A" w14:textId="77777777" w:rsidR="00A75F38" w:rsidRDefault="00A75F38" w:rsidP="00070680">
      <w:pPr>
        <w:pStyle w:val="FootnoteText"/>
      </w:pPr>
      <w:r>
        <w:rPr>
          <w:rStyle w:val="FootnoteReference"/>
        </w:rPr>
        <w:footnoteRef/>
      </w:r>
      <w:r>
        <w:t xml:space="preserve"> </w:t>
      </w:r>
      <w:hyperlink r:id="rId3" w:history="1">
        <w:r w:rsidRPr="00AA6232">
          <w:rPr>
            <w:rStyle w:val="Hyperlink"/>
          </w:rPr>
          <w:t>https://www.blood.gov.au/SCIg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6447" w14:textId="77777777" w:rsidR="00A75F38" w:rsidRDefault="00A75F38">
    <w:pPr>
      <w:pStyle w:val="Header"/>
    </w:pPr>
    <w:r>
      <w:rPr>
        <w:noProof/>
        <w:lang w:eastAsia="en-AU"/>
      </w:rPr>
      <mc:AlternateContent>
        <mc:Choice Requires="wps">
          <w:drawing>
            <wp:anchor distT="0" distB="0" distL="114300" distR="114300" simplePos="0" relativeHeight="251657728" behindDoc="1" locked="0" layoutInCell="0" allowOverlap="1" wp14:anchorId="1F031FEC" wp14:editId="55EC70D5">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D8775A" w14:textId="77777777" w:rsidR="00A75F38" w:rsidRDefault="00A75F38" w:rsidP="0076706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031FEC"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36D8775A" w14:textId="77777777" w:rsidR="00A75F38" w:rsidRDefault="00A75F38" w:rsidP="0076706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E260" w14:textId="77777777" w:rsidR="00FA1A8D" w:rsidRDefault="00FA1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66CD" w14:textId="77777777" w:rsidR="00FA1A8D" w:rsidRDefault="00FA1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3E7"/>
    <w:multiLevelType w:val="hybridMultilevel"/>
    <w:tmpl w:val="5F301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5336C"/>
    <w:multiLevelType w:val="hybridMultilevel"/>
    <w:tmpl w:val="EEC2091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F54C42"/>
    <w:multiLevelType w:val="hybridMultilevel"/>
    <w:tmpl w:val="8FEE452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B76C7"/>
    <w:multiLevelType w:val="hybridMultilevel"/>
    <w:tmpl w:val="C2306098"/>
    <w:lvl w:ilvl="0" w:tplc="0C090001">
      <w:start w:val="1"/>
      <w:numFmt w:val="bullet"/>
      <w:lvlText w:val=""/>
      <w:lvlJc w:val="left"/>
      <w:pPr>
        <w:ind w:left="780" w:hanging="420"/>
      </w:pPr>
      <w:rPr>
        <w:rFonts w:ascii="Symbol" w:hAnsi="Symbol" w:hint="default"/>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EC3EA5"/>
    <w:multiLevelType w:val="hybridMultilevel"/>
    <w:tmpl w:val="E41477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5E0232"/>
    <w:multiLevelType w:val="hybridMultilevel"/>
    <w:tmpl w:val="CFCC43C8"/>
    <w:lvl w:ilvl="0" w:tplc="0C090001">
      <w:start w:val="1"/>
      <w:numFmt w:val="bullet"/>
      <w:lvlText w:val=""/>
      <w:lvlJc w:val="left"/>
      <w:pPr>
        <w:ind w:left="-636" w:hanging="360"/>
      </w:pPr>
      <w:rPr>
        <w:rFonts w:ascii="Symbol" w:hAnsi="Symbol" w:hint="default"/>
      </w:rPr>
    </w:lvl>
    <w:lvl w:ilvl="1" w:tplc="0C090003" w:tentative="1">
      <w:start w:val="1"/>
      <w:numFmt w:val="bullet"/>
      <w:lvlText w:val="o"/>
      <w:lvlJc w:val="left"/>
      <w:pPr>
        <w:ind w:left="84" w:hanging="360"/>
      </w:pPr>
      <w:rPr>
        <w:rFonts w:ascii="Courier New" w:hAnsi="Courier New" w:cs="Courier New" w:hint="default"/>
      </w:rPr>
    </w:lvl>
    <w:lvl w:ilvl="2" w:tplc="0C090005" w:tentative="1">
      <w:start w:val="1"/>
      <w:numFmt w:val="bullet"/>
      <w:lvlText w:val=""/>
      <w:lvlJc w:val="left"/>
      <w:pPr>
        <w:ind w:left="804" w:hanging="360"/>
      </w:pPr>
      <w:rPr>
        <w:rFonts w:ascii="Wingdings" w:hAnsi="Wingdings" w:hint="default"/>
      </w:rPr>
    </w:lvl>
    <w:lvl w:ilvl="3" w:tplc="0C090001" w:tentative="1">
      <w:start w:val="1"/>
      <w:numFmt w:val="bullet"/>
      <w:lvlText w:val=""/>
      <w:lvlJc w:val="left"/>
      <w:pPr>
        <w:ind w:left="1524" w:hanging="360"/>
      </w:pPr>
      <w:rPr>
        <w:rFonts w:ascii="Symbol" w:hAnsi="Symbol" w:hint="default"/>
      </w:rPr>
    </w:lvl>
    <w:lvl w:ilvl="4" w:tplc="0C090003" w:tentative="1">
      <w:start w:val="1"/>
      <w:numFmt w:val="bullet"/>
      <w:lvlText w:val="o"/>
      <w:lvlJc w:val="left"/>
      <w:pPr>
        <w:ind w:left="2244" w:hanging="360"/>
      </w:pPr>
      <w:rPr>
        <w:rFonts w:ascii="Courier New" w:hAnsi="Courier New" w:cs="Courier New" w:hint="default"/>
      </w:rPr>
    </w:lvl>
    <w:lvl w:ilvl="5" w:tplc="0C090005" w:tentative="1">
      <w:start w:val="1"/>
      <w:numFmt w:val="bullet"/>
      <w:lvlText w:val=""/>
      <w:lvlJc w:val="left"/>
      <w:pPr>
        <w:ind w:left="2964" w:hanging="360"/>
      </w:pPr>
      <w:rPr>
        <w:rFonts w:ascii="Wingdings" w:hAnsi="Wingdings" w:hint="default"/>
      </w:rPr>
    </w:lvl>
    <w:lvl w:ilvl="6" w:tplc="0C090001" w:tentative="1">
      <w:start w:val="1"/>
      <w:numFmt w:val="bullet"/>
      <w:lvlText w:val=""/>
      <w:lvlJc w:val="left"/>
      <w:pPr>
        <w:ind w:left="3684" w:hanging="360"/>
      </w:pPr>
      <w:rPr>
        <w:rFonts w:ascii="Symbol" w:hAnsi="Symbol" w:hint="default"/>
      </w:rPr>
    </w:lvl>
    <w:lvl w:ilvl="7" w:tplc="0C090003" w:tentative="1">
      <w:start w:val="1"/>
      <w:numFmt w:val="bullet"/>
      <w:lvlText w:val="o"/>
      <w:lvlJc w:val="left"/>
      <w:pPr>
        <w:ind w:left="4404" w:hanging="360"/>
      </w:pPr>
      <w:rPr>
        <w:rFonts w:ascii="Courier New" w:hAnsi="Courier New" w:cs="Courier New" w:hint="default"/>
      </w:rPr>
    </w:lvl>
    <w:lvl w:ilvl="8" w:tplc="0C090005" w:tentative="1">
      <w:start w:val="1"/>
      <w:numFmt w:val="bullet"/>
      <w:lvlText w:val=""/>
      <w:lvlJc w:val="left"/>
      <w:pPr>
        <w:ind w:left="5124" w:hanging="360"/>
      </w:pPr>
      <w:rPr>
        <w:rFonts w:ascii="Wingdings" w:hAnsi="Wingdings" w:hint="default"/>
      </w:rPr>
    </w:lvl>
  </w:abstractNum>
  <w:abstractNum w:abstractNumId="10" w15:restartNumberingAfterBreak="0">
    <w:nsid w:val="353E4C42"/>
    <w:multiLevelType w:val="hybridMultilevel"/>
    <w:tmpl w:val="6C380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B3934"/>
    <w:multiLevelType w:val="hybridMultilevel"/>
    <w:tmpl w:val="63FC4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C02206D"/>
    <w:multiLevelType w:val="hybridMultilevel"/>
    <w:tmpl w:val="B05C4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4C1163"/>
    <w:multiLevelType w:val="hybridMultilevel"/>
    <w:tmpl w:val="A1EA3B70"/>
    <w:lvl w:ilvl="0" w:tplc="9C724AD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2B147B"/>
    <w:multiLevelType w:val="hybridMultilevel"/>
    <w:tmpl w:val="A8D0C0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257250"/>
    <w:multiLevelType w:val="hybridMultilevel"/>
    <w:tmpl w:val="5A84D22C"/>
    <w:lvl w:ilvl="0" w:tplc="0C090003">
      <w:start w:val="1"/>
      <w:numFmt w:val="bullet"/>
      <w:lvlText w:val="o"/>
      <w:lvlJc w:val="left"/>
      <w:pPr>
        <w:ind w:left="99" w:hanging="360"/>
      </w:pPr>
      <w:rPr>
        <w:rFonts w:ascii="Courier New" w:hAnsi="Courier New" w:cs="Courier New"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19"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3508B8"/>
    <w:multiLevelType w:val="hybridMultilevel"/>
    <w:tmpl w:val="5170CFF2"/>
    <w:lvl w:ilvl="0" w:tplc="2534B6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6"/>
  </w:num>
  <w:num w:numId="2">
    <w:abstractNumId w:val="2"/>
  </w:num>
  <w:num w:numId="3">
    <w:abstractNumId w:val="6"/>
  </w:num>
  <w:num w:numId="4">
    <w:abstractNumId w:val="19"/>
  </w:num>
  <w:num w:numId="5">
    <w:abstractNumId w:val="21"/>
  </w:num>
  <w:num w:numId="6">
    <w:abstractNumId w:val="12"/>
  </w:num>
  <w:num w:numId="7">
    <w:abstractNumId w:val="4"/>
  </w:num>
  <w:num w:numId="8">
    <w:abstractNumId w:val="3"/>
  </w:num>
  <w:num w:numId="9">
    <w:abstractNumId w:val="15"/>
  </w:num>
  <w:num w:numId="10">
    <w:abstractNumId w:val="13"/>
  </w:num>
  <w:num w:numId="11">
    <w:abstractNumId w:val="17"/>
  </w:num>
  <w:num w:numId="12">
    <w:abstractNumId w:val="9"/>
  </w:num>
  <w:num w:numId="13">
    <w:abstractNumId w:val="20"/>
  </w:num>
  <w:num w:numId="14">
    <w:abstractNumId w:val="14"/>
  </w:num>
  <w:num w:numId="15">
    <w:abstractNumId w:val="11"/>
  </w:num>
  <w:num w:numId="16">
    <w:abstractNumId w:val="7"/>
  </w:num>
  <w:num w:numId="17">
    <w:abstractNumId w:val="8"/>
  </w:num>
  <w:num w:numId="18">
    <w:abstractNumId w:val="1"/>
  </w:num>
  <w:num w:numId="19">
    <w:abstractNumId w:val="0"/>
  </w:num>
  <w:num w:numId="20">
    <w:abstractNumId w:val="10"/>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2118"/>
    <w:rsid w:val="0000373A"/>
    <w:rsid w:val="00004548"/>
    <w:rsid w:val="00014375"/>
    <w:rsid w:val="00024D9B"/>
    <w:rsid w:val="0003068E"/>
    <w:rsid w:val="0003157F"/>
    <w:rsid w:val="00032F32"/>
    <w:rsid w:val="000413F9"/>
    <w:rsid w:val="000455A5"/>
    <w:rsid w:val="000563A7"/>
    <w:rsid w:val="00057693"/>
    <w:rsid w:val="00063AC8"/>
    <w:rsid w:val="000655AF"/>
    <w:rsid w:val="00066607"/>
    <w:rsid w:val="00070680"/>
    <w:rsid w:val="00074508"/>
    <w:rsid w:val="000A0FBA"/>
    <w:rsid w:val="000A242C"/>
    <w:rsid w:val="000B519A"/>
    <w:rsid w:val="000C09AE"/>
    <w:rsid w:val="000D423D"/>
    <w:rsid w:val="000E390A"/>
    <w:rsid w:val="000E541D"/>
    <w:rsid w:val="000E7E5C"/>
    <w:rsid w:val="000F5CFF"/>
    <w:rsid w:val="000F7D13"/>
    <w:rsid w:val="001049F3"/>
    <w:rsid w:val="00106C06"/>
    <w:rsid w:val="001135DA"/>
    <w:rsid w:val="001455EC"/>
    <w:rsid w:val="0014636E"/>
    <w:rsid w:val="00150029"/>
    <w:rsid w:val="00166D90"/>
    <w:rsid w:val="0017658A"/>
    <w:rsid w:val="00185A78"/>
    <w:rsid w:val="00186509"/>
    <w:rsid w:val="00191A81"/>
    <w:rsid w:val="00191E53"/>
    <w:rsid w:val="0019681A"/>
    <w:rsid w:val="001970E6"/>
    <w:rsid w:val="00197879"/>
    <w:rsid w:val="001A126E"/>
    <w:rsid w:val="001D327B"/>
    <w:rsid w:val="001D3FA4"/>
    <w:rsid w:val="001F2A5C"/>
    <w:rsid w:val="001F2AE9"/>
    <w:rsid w:val="00207547"/>
    <w:rsid w:val="002143A8"/>
    <w:rsid w:val="00216777"/>
    <w:rsid w:val="002172B1"/>
    <w:rsid w:val="002203B3"/>
    <w:rsid w:val="00222063"/>
    <w:rsid w:val="00234E84"/>
    <w:rsid w:val="00271B6C"/>
    <w:rsid w:val="00276CAC"/>
    <w:rsid w:val="002777DE"/>
    <w:rsid w:val="00282B7B"/>
    <w:rsid w:val="002834F0"/>
    <w:rsid w:val="00283D66"/>
    <w:rsid w:val="00285A00"/>
    <w:rsid w:val="00292DE9"/>
    <w:rsid w:val="002A03CE"/>
    <w:rsid w:val="002A4909"/>
    <w:rsid w:val="002A66BD"/>
    <w:rsid w:val="002B1062"/>
    <w:rsid w:val="002B226C"/>
    <w:rsid w:val="002B3338"/>
    <w:rsid w:val="002B4932"/>
    <w:rsid w:val="002C418F"/>
    <w:rsid w:val="002D02D7"/>
    <w:rsid w:val="002D2168"/>
    <w:rsid w:val="002E35D0"/>
    <w:rsid w:val="002F3EA9"/>
    <w:rsid w:val="003032CA"/>
    <w:rsid w:val="00303C94"/>
    <w:rsid w:val="003057B0"/>
    <w:rsid w:val="00305F7B"/>
    <w:rsid w:val="00306CE2"/>
    <w:rsid w:val="00312EA5"/>
    <w:rsid w:val="00313550"/>
    <w:rsid w:val="003165DC"/>
    <w:rsid w:val="0033262F"/>
    <w:rsid w:val="00334E46"/>
    <w:rsid w:val="00342130"/>
    <w:rsid w:val="00342393"/>
    <w:rsid w:val="00344430"/>
    <w:rsid w:val="00344C2D"/>
    <w:rsid w:val="00350B56"/>
    <w:rsid w:val="00352715"/>
    <w:rsid w:val="00353A54"/>
    <w:rsid w:val="00356D2E"/>
    <w:rsid w:val="00362776"/>
    <w:rsid w:val="00366262"/>
    <w:rsid w:val="00375FD1"/>
    <w:rsid w:val="00382875"/>
    <w:rsid w:val="003829BC"/>
    <w:rsid w:val="00385722"/>
    <w:rsid w:val="00392381"/>
    <w:rsid w:val="00393B81"/>
    <w:rsid w:val="003A1B76"/>
    <w:rsid w:val="003A6E41"/>
    <w:rsid w:val="003C2E02"/>
    <w:rsid w:val="003D699E"/>
    <w:rsid w:val="003E0382"/>
    <w:rsid w:val="003F1570"/>
    <w:rsid w:val="003F4EFD"/>
    <w:rsid w:val="003F584C"/>
    <w:rsid w:val="00411511"/>
    <w:rsid w:val="0041510F"/>
    <w:rsid w:val="00416DBF"/>
    <w:rsid w:val="00422D4A"/>
    <w:rsid w:val="0042483F"/>
    <w:rsid w:val="004358ED"/>
    <w:rsid w:val="004370A6"/>
    <w:rsid w:val="00440228"/>
    <w:rsid w:val="00440C9A"/>
    <w:rsid w:val="004452BF"/>
    <w:rsid w:val="004465C4"/>
    <w:rsid w:val="0044715D"/>
    <w:rsid w:val="004546B5"/>
    <w:rsid w:val="00475756"/>
    <w:rsid w:val="004A0743"/>
    <w:rsid w:val="004A187C"/>
    <w:rsid w:val="004A3BA5"/>
    <w:rsid w:val="004B1053"/>
    <w:rsid w:val="004C0719"/>
    <w:rsid w:val="004C0897"/>
    <w:rsid w:val="004C1FA9"/>
    <w:rsid w:val="004C41E0"/>
    <w:rsid w:val="004D0ECE"/>
    <w:rsid w:val="004D1D41"/>
    <w:rsid w:val="004D4D4F"/>
    <w:rsid w:val="004F48CA"/>
    <w:rsid w:val="004F4D50"/>
    <w:rsid w:val="004F6037"/>
    <w:rsid w:val="00505D6F"/>
    <w:rsid w:val="00511D0E"/>
    <w:rsid w:val="005173D3"/>
    <w:rsid w:val="00543611"/>
    <w:rsid w:val="00543A25"/>
    <w:rsid w:val="00546BCC"/>
    <w:rsid w:val="00551EAC"/>
    <w:rsid w:val="00552A7E"/>
    <w:rsid w:val="005640CC"/>
    <w:rsid w:val="00566084"/>
    <w:rsid w:val="005B279D"/>
    <w:rsid w:val="005C6B1C"/>
    <w:rsid w:val="005C7B58"/>
    <w:rsid w:val="005D4B75"/>
    <w:rsid w:val="005D6190"/>
    <w:rsid w:val="005E5FFE"/>
    <w:rsid w:val="005F4D2F"/>
    <w:rsid w:val="00604C3D"/>
    <w:rsid w:val="00611495"/>
    <w:rsid w:val="006228CD"/>
    <w:rsid w:val="00622B71"/>
    <w:rsid w:val="00627B5C"/>
    <w:rsid w:val="006300EA"/>
    <w:rsid w:val="00644920"/>
    <w:rsid w:val="00653644"/>
    <w:rsid w:val="00654DE3"/>
    <w:rsid w:val="00655327"/>
    <w:rsid w:val="00670A6F"/>
    <w:rsid w:val="006770E8"/>
    <w:rsid w:val="00680C20"/>
    <w:rsid w:val="00680CDC"/>
    <w:rsid w:val="00683E82"/>
    <w:rsid w:val="006B6204"/>
    <w:rsid w:val="006C0128"/>
    <w:rsid w:val="006D1643"/>
    <w:rsid w:val="00701B16"/>
    <w:rsid w:val="00713551"/>
    <w:rsid w:val="00723DAC"/>
    <w:rsid w:val="00734F81"/>
    <w:rsid w:val="0073757B"/>
    <w:rsid w:val="0074192A"/>
    <w:rsid w:val="007422BB"/>
    <w:rsid w:val="00751006"/>
    <w:rsid w:val="00752491"/>
    <w:rsid w:val="00753652"/>
    <w:rsid w:val="00756C4B"/>
    <w:rsid w:val="0076706B"/>
    <w:rsid w:val="00773D66"/>
    <w:rsid w:val="00784019"/>
    <w:rsid w:val="007A77E8"/>
    <w:rsid w:val="007D4CB5"/>
    <w:rsid w:val="007E7E23"/>
    <w:rsid w:val="007F4E20"/>
    <w:rsid w:val="007F6F29"/>
    <w:rsid w:val="00825B2C"/>
    <w:rsid w:val="00831CA9"/>
    <w:rsid w:val="008327A7"/>
    <w:rsid w:val="0083533D"/>
    <w:rsid w:val="008425D2"/>
    <w:rsid w:val="00847C5F"/>
    <w:rsid w:val="00850E3A"/>
    <w:rsid w:val="00870120"/>
    <w:rsid w:val="00870245"/>
    <w:rsid w:val="008706D6"/>
    <w:rsid w:val="00873A74"/>
    <w:rsid w:val="00874BA7"/>
    <w:rsid w:val="008757BF"/>
    <w:rsid w:val="008761CB"/>
    <w:rsid w:val="00882234"/>
    <w:rsid w:val="00884AC4"/>
    <w:rsid w:val="0088769C"/>
    <w:rsid w:val="008938CE"/>
    <w:rsid w:val="00895BCC"/>
    <w:rsid w:val="00896845"/>
    <w:rsid w:val="008A10BC"/>
    <w:rsid w:val="008A2FC1"/>
    <w:rsid w:val="008B425A"/>
    <w:rsid w:val="008B50D8"/>
    <w:rsid w:val="008C3E5E"/>
    <w:rsid w:val="008F043B"/>
    <w:rsid w:val="008F1B60"/>
    <w:rsid w:val="0091263F"/>
    <w:rsid w:val="00915AAE"/>
    <w:rsid w:val="009260D6"/>
    <w:rsid w:val="00927E8D"/>
    <w:rsid w:val="009445C3"/>
    <w:rsid w:val="00953ED7"/>
    <w:rsid w:val="00955AF0"/>
    <w:rsid w:val="00956060"/>
    <w:rsid w:val="00961038"/>
    <w:rsid w:val="009755DC"/>
    <w:rsid w:val="009805A2"/>
    <w:rsid w:val="0098795B"/>
    <w:rsid w:val="009A326A"/>
    <w:rsid w:val="009A4C9C"/>
    <w:rsid w:val="009A58A0"/>
    <w:rsid w:val="009A706B"/>
    <w:rsid w:val="009D6757"/>
    <w:rsid w:val="009E07B9"/>
    <w:rsid w:val="009E5295"/>
    <w:rsid w:val="009F418F"/>
    <w:rsid w:val="009F6125"/>
    <w:rsid w:val="00A1321F"/>
    <w:rsid w:val="00A2084B"/>
    <w:rsid w:val="00A2368F"/>
    <w:rsid w:val="00A24E64"/>
    <w:rsid w:val="00A40A32"/>
    <w:rsid w:val="00A42401"/>
    <w:rsid w:val="00A474CF"/>
    <w:rsid w:val="00A47BF3"/>
    <w:rsid w:val="00A53F76"/>
    <w:rsid w:val="00A54376"/>
    <w:rsid w:val="00A601AC"/>
    <w:rsid w:val="00A67CBB"/>
    <w:rsid w:val="00A713A7"/>
    <w:rsid w:val="00A75F38"/>
    <w:rsid w:val="00A77978"/>
    <w:rsid w:val="00A84A56"/>
    <w:rsid w:val="00A8584A"/>
    <w:rsid w:val="00A86A66"/>
    <w:rsid w:val="00AB1F47"/>
    <w:rsid w:val="00AB355D"/>
    <w:rsid w:val="00AB713E"/>
    <w:rsid w:val="00AD1E3F"/>
    <w:rsid w:val="00AD51A4"/>
    <w:rsid w:val="00AD5223"/>
    <w:rsid w:val="00AF367E"/>
    <w:rsid w:val="00AF480C"/>
    <w:rsid w:val="00B13BEA"/>
    <w:rsid w:val="00B13DCC"/>
    <w:rsid w:val="00B16A96"/>
    <w:rsid w:val="00B27BF8"/>
    <w:rsid w:val="00B33103"/>
    <w:rsid w:val="00B3388D"/>
    <w:rsid w:val="00B4438A"/>
    <w:rsid w:val="00B45971"/>
    <w:rsid w:val="00B46A0A"/>
    <w:rsid w:val="00B52FB1"/>
    <w:rsid w:val="00B54990"/>
    <w:rsid w:val="00B74B4D"/>
    <w:rsid w:val="00B83C0D"/>
    <w:rsid w:val="00B85D39"/>
    <w:rsid w:val="00BA5EEC"/>
    <w:rsid w:val="00BA63AA"/>
    <w:rsid w:val="00BB0BCE"/>
    <w:rsid w:val="00BB0F80"/>
    <w:rsid w:val="00BB10D7"/>
    <w:rsid w:val="00BB5949"/>
    <w:rsid w:val="00BC198E"/>
    <w:rsid w:val="00BC7D1D"/>
    <w:rsid w:val="00BE15CE"/>
    <w:rsid w:val="00C01DD7"/>
    <w:rsid w:val="00C03703"/>
    <w:rsid w:val="00C1387C"/>
    <w:rsid w:val="00C22204"/>
    <w:rsid w:val="00C23481"/>
    <w:rsid w:val="00C2614E"/>
    <w:rsid w:val="00C3221E"/>
    <w:rsid w:val="00C32B8B"/>
    <w:rsid w:val="00C40A6F"/>
    <w:rsid w:val="00C504CD"/>
    <w:rsid w:val="00C61965"/>
    <w:rsid w:val="00C63A94"/>
    <w:rsid w:val="00C70BF8"/>
    <w:rsid w:val="00C77F5E"/>
    <w:rsid w:val="00C838F3"/>
    <w:rsid w:val="00C852E8"/>
    <w:rsid w:val="00C92B06"/>
    <w:rsid w:val="00C93134"/>
    <w:rsid w:val="00C9630A"/>
    <w:rsid w:val="00CA10D7"/>
    <w:rsid w:val="00CA14DB"/>
    <w:rsid w:val="00CA3269"/>
    <w:rsid w:val="00CB292A"/>
    <w:rsid w:val="00CB2E3D"/>
    <w:rsid w:val="00CB79D7"/>
    <w:rsid w:val="00CC3829"/>
    <w:rsid w:val="00CC60B0"/>
    <w:rsid w:val="00CC71CD"/>
    <w:rsid w:val="00CC7291"/>
    <w:rsid w:val="00CD225E"/>
    <w:rsid w:val="00CD6339"/>
    <w:rsid w:val="00CD6E49"/>
    <w:rsid w:val="00CD7575"/>
    <w:rsid w:val="00CD79FF"/>
    <w:rsid w:val="00CF2207"/>
    <w:rsid w:val="00D07F09"/>
    <w:rsid w:val="00D12C07"/>
    <w:rsid w:val="00D13E11"/>
    <w:rsid w:val="00D26848"/>
    <w:rsid w:val="00D32039"/>
    <w:rsid w:val="00D35690"/>
    <w:rsid w:val="00D35E98"/>
    <w:rsid w:val="00D46C89"/>
    <w:rsid w:val="00D53BE5"/>
    <w:rsid w:val="00D63FF5"/>
    <w:rsid w:val="00D64850"/>
    <w:rsid w:val="00D64A29"/>
    <w:rsid w:val="00D66578"/>
    <w:rsid w:val="00D67257"/>
    <w:rsid w:val="00D816EF"/>
    <w:rsid w:val="00D818D8"/>
    <w:rsid w:val="00D92609"/>
    <w:rsid w:val="00D971AA"/>
    <w:rsid w:val="00D9740E"/>
    <w:rsid w:val="00DA15E5"/>
    <w:rsid w:val="00DB3CD9"/>
    <w:rsid w:val="00DB62B6"/>
    <w:rsid w:val="00DD0D74"/>
    <w:rsid w:val="00DD1D15"/>
    <w:rsid w:val="00DD456A"/>
    <w:rsid w:val="00DE2EF2"/>
    <w:rsid w:val="00DE3D6C"/>
    <w:rsid w:val="00DE7839"/>
    <w:rsid w:val="00DF01EE"/>
    <w:rsid w:val="00E364F7"/>
    <w:rsid w:val="00E40FAB"/>
    <w:rsid w:val="00E42099"/>
    <w:rsid w:val="00E46B27"/>
    <w:rsid w:val="00E46C0B"/>
    <w:rsid w:val="00E668B0"/>
    <w:rsid w:val="00E749AC"/>
    <w:rsid w:val="00E77F5A"/>
    <w:rsid w:val="00E83EA4"/>
    <w:rsid w:val="00E968F6"/>
    <w:rsid w:val="00EA4E19"/>
    <w:rsid w:val="00EC4FC9"/>
    <w:rsid w:val="00EC7C13"/>
    <w:rsid w:val="00ED0866"/>
    <w:rsid w:val="00ED1491"/>
    <w:rsid w:val="00ED372A"/>
    <w:rsid w:val="00EE0154"/>
    <w:rsid w:val="00EE0365"/>
    <w:rsid w:val="00EE466C"/>
    <w:rsid w:val="00EE57F7"/>
    <w:rsid w:val="00EE7A1F"/>
    <w:rsid w:val="00EF364E"/>
    <w:rsid w:val="00EF6479"/>
    <w:rsid w:val="00F0186F"/>
    <w:rsid w:val="00F0429A"/>
    <w:rsid w:val="00F1083F"/>
    <w:rsid w:val="00F125FA"/>
    <w:rsid w:val="00F12E59"/>
    <w:rsid w:val="00F35967"/>
    <w:rsid w:val="00F4034F"/>
    <w:rsid w:val="00F4254E"/>
    <w:rsid w:val="00F44233"/>
    <w:rsid w:val="00F4622B"/>
    <w:rsid w:val="00F463CD"/>
    <w:rsid w:val="00F63BFB"/>
    <w:rsid w:val="00F64E40"/>
    <w:rsid w:val="00F66C65"/>
    <w:rsid w:val="00F703B2"/>
    <w:rsid w:val="00F72B96"/>
    <w:rsid w:val="00F86FF0"/>
    <w:rsid w:val="00F96CCB"/>
    <w:rsid w:val="00FA0842"/>
    <w:rsid w:val="00FA1A8D"/>
    <w:rsid w:val="00FA4917"/>
    <w:rsid w:val="00FA522E"/>
    <w:rsid w:val="00FC3196"/>
    <w:rsid w:val="00FC3F20"/>
    <w:rsid w:val="00FC752E"/>
    <w:rsid w:val="00FD0F2F"/>
    <w:rsid w:val="00FE4B0D"/>
    <w:rsid w:val="00FF20B9"/>
    <w:rsid w:val="00FF5347"/>
    <w:rsid w:val="00FF7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9F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ListParagraphChar">
    <w:name w:val="List Paragraph Char"/>
    <w:link w:val="ListParagraph"/>
    <w:uiPriority w:val="34"/>
    <w:rsid w:val="00D63FF5"/>
    <w:rPr>
      <w:rFonts w:ascii="Calibri" w:eastAsia="Calibri" w:hAnsi="Calibri" w:cs="Times New Roman"/>
      <w:sz w:val="22"/>
    </w:rPr>
  </w:style>
  <w:style w:type="paragraph" w:styleId="FootnoteText">
    <w:name w:val="footnote text"/>
    <w:basedOn w:val="Normal"/>
    <w:link w:val="FootnoteTextChar"/>
    <w:uiPriority w:val="99"/>
    <w:semiHidden/>
    <w:unhideWhenUsed/>
    <w:rsid w:val="009A58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8A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A58A0"/>
    <w:rPr>
      <w:vertAlign w:val="superscript"/>
    </w:rPr>
  </w:style>
  <w:style w:type="character" w:styleId="PlaceholderText">
    <w:name w:val="Placeholder Text"/>
    <w:basedOn w:val="DefaultParagraphFont"/>
    <w:uiPriority w:val="99"/>
    <w:semiHidden/>
    <w:rsid w:val="00440C9A"/>
    <w:rPr>
      <w:color w:val="808080"/>
    </w:rPr>
  </w:style>
  <w:style w:type="paragraph" w:customStyle="1" w:styleId="Caption1">
    <w:name w:val="Caption1"/>
    <w:basedOn w:val="Normal"/>
    <w:link w:val="captionChar"/>
    <w:qFormat/>
    <w:rsid w:val="002143A8"/>
    <w:pPr>
      <w:widowControl w:val="0"/>
      <w:autoSpaceDE w:val="0"/>
      <w:autoSpaceDN w:val="0"/>
      <w:adjustRightInd w:val="0"/>
      <w:spacing w:after="240" w:line="240" w:lineRule="auto"/>
      <w:ind w:right="86"/>
    </w:pPr>
    <w:rPr>
      <w:rFonts w:ascii="Arial Narrow" w:eastAsia="Arial Narrow" w:hAnsi="Arial Narrow" w:cs="Arial"/>
      <w:b/>
      <w:bCs/>
      <w:sz w:val="20"/>
      <w:lang w:val="en-US"/>
    </w:rPr>
  </w:style>
  <w:style w:type="character" w:customStyle="1" w:styleId="captionChar">
    <w:name w:val="caption Char"/>
    <w:basedOn w:val="DefaultParagraphFont"/>
    <w:link w:val="Caption1"/>
    <w:rsid w:val="002143A8"/>
    <w:rPr>
      <w:rFonts w:ascii="Arial Narrow" w:eastAsia="Arial Narrow" w:hAnsi="Arial Narrow" w:cs="Arial"/>
      <w:b/>
      <w:bCs/>
      <w:sz w:val="20"/>
      <w:lang w:val="en-US"/>
    </w:rPr>
  </w:style>
  <w:style w:type="paragraph" w:styleId="NormalWeb">
    <w:name w:val="Normal (Web)"/>
    <w:basedOn w:val="Normal"/>
    <w:uiPriority w:val="99"/>
    <w:semiHidden/>
    <w:unhideWhenUsed/>
    <w:rsid w:val="0076706B"/>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TablecontentsChar">
    <w:name w:val="Table contents Char"/>
    <w:basedOn w:val="DefaultParagraphFont"/>
    <w:link w:val="Tablecontents"/>
    <w:locked/>
    <w:rsid w:val="009445C3"/>
    <w:rPr>
      <w:rFonts w:ascii="Arial Narrow" w:hAnsi="Arial Narrow"/>
    </w:rPr>
  </w:style>
  <w:style w:type="paragraph" w:customStyle="1" w:styleId="Tablecontents">
    <w:name w:val="Table contents"/>
    <w:basedOn w:val="Normal"/>
    <w:link w:val="TablecontentsChar"/>
    <w:qFormat/>
    <w:rsid w:val="009445C3"/>
    <w:pPr>
      <w:spacing w:before="60" w:after="60" w:line="240" w:lineRule="auto"/>
      <w:contextualSpacing/>
    </w:pPr>
    <w:rPr>
      <w:rFonts w:ascii="Arial Narrow" w:eastAsiaTheme="minorHAnsi" w:hAnsi="Arial Narrow" w:cstheme="minorBidi"/>
      <w:sz w:val="24"/>
    </w:rPr>
  </w:style>
  <w:style w:type="paragraph" w:styleId="Revision">
    <w:name w:val="Revision"/>
    <w:hidden/>
    <w:uiPriority w:val="99"/>
    <w:semiHidden/>
    <w:rsid w:val="00784019"/>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0662">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80205448">
      <w:bodyDiv w:val="1"/>
      <w:marLeft w:val="0"/>
      <w:marRight w:val="0"/>
      <w:marTop w:val="0"/>
      <w:marBottom w:val="0"/>
      <w:divBdr>
        <w:top w:val="none" w:sz="0" w:space="0" w:color="auto"/>
        <w:left w:val="none" w:sz="0" w:space="0" w:color="auto"/>
        <w:bottom w:val="none" w:sz="0" w:space="0" w:color="auto"/>
        <w:right w:val="none" w:sz="0" w:space="0" w:color="auto"/>
      </w:divBdr>
    </w:div>
    <w:div w:id="724916777">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405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ood.gov.au/national-product-list"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blood.gov.au/SCIg" TargetMode="External"/><Relationship Id="rId2" Type="http://schemas.openxmlformats.org/officeDocument/2006/relationships/hyperlink" Target="https://www.aihw.gov.au/reports/cancer/cancer-data-in-australia/acim-books" TargetMode="External"/><Relationship Id="rId1" Type="http://schemas.openxmlformats.org/officeDocument/2006/relationships/hyperlink" Target="http://www.health.gov.au/internet/hta/publishing.nsf/Content/nb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6E01-82DB-464D-A890-8AC2617E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4556</Words>
  <Characters>25971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1565-Ratified PICO</vt:lpstr>
    </vt:vector>
  </TitlesOfParts>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1565-Ratified PICO</dc:title>
  <dc:creator/>
  <cp:lastModifiedBy/>
  <cp:revision>1</cp:revision>
  <dcterms:created xsi:type="dcterms:W3CDTF">2019-08-20T06:51:00Z</dcterms:created>
  <dcterms:modified xsi:type="dcterms:W3CDTF">2019-08-20T06:51:00Z</dcterms:modified>
</cp:coreProperties>
</file>