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45858" w14:textId="77777777" w:rsidR="003511C3" w:rsidRPr="003511C3" w:rsidRDefault="00C67DD2" w:rsidP="00F715D1">
      <w:pPr>
        <w:spacing w:after="240"/>
        <w:jc w:val="center"/>
        <w:rPr>
          <w:b/>
          <w:i/>
          <w:szCs w:val="24"/>
        </w:rPr>
      </w:pPr>
      <w:r>
        <w:rPr>
          <w:rFonts w:ascii="Arial" w:hAnsi="Arial" w:cs="Arial"/>
          <w:b/>
          <w:noProof/>
          <w:color w:val="000080"/>
          <w:sz w:val="28"/>
          <w:szCs w:val="28"/>
        </w:rPr>
        <w:drawing>
          <wp:inline distT="0" distB="0" distL="0" distR="0" wp14:anchorId="55FCB99C" wp14:editId="5B69880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F61F2AF" w14:textId="7CA05EDE" w:rsidR="002E18FB" w:rsidRDefault="002E18FB" w:rsidP="002E18FB">
      <w:pPr>
        <w:pStyle w:val="Subtitle"/>
        <w:spacing w:before="360"/>
        <w:rPr>
          <w:rFonts w:eastAsiaTheme="majorEastAsia"/>
          <w:i w:val="0"/>
          <w:sz w:val="36"/>
          <w:szCs w:val="36"/>
          <w:lang w:eastAsia="en-US"/>
        </w:rPr>
      </w:pPr>
      <w:bookmarkStart w:id="0" w:name="_Hlk96001231"/>
      <w:r w:rsidRPr="005F6A3D">
        <w:rPr>
          <w:rFonts w:eastAsiaTheme="majorEastAsia"/>
          <w:i w:val="0"/>
          <w:sz w:val="36"/>
          <w:szCs w:val="36"/>
          <w:lang w:eastAsia="en-US"/>
        </w:rPr>
        <w:t>Public Summary Document</w:t>
      </w:r>
    </w:p>
    <w:p w14:paraId="2F00EFEC" w14:textId="2109630E" w:rsidR="00BC1364" w:rsidRPr="00F715D1" w:rsidRDefault="00BC1364" w:rsidP="00184806">
      <w:pPr>
        <w:pStyle w:val="Subtitle"/>
      </w:pPr>
      <w:r w:rsidRPr="00F715D1">
        <w:t xml:space="preserve">Application No. </w:t>
      </w:r>
      <w:r w:rsidR="00892284">
        <w:t>1695</w:t>
      </w:r>
      <w:r w:rsidR="00BC37AC">
        <w:t xml:space="preserve"> – </w:t>
      </w:r>
      <w:r w:rsidR="00184806" w:rsidRPr="00184806">
        <w:t xml:space="preserve">Implantation and refill-exchange of the Port Delivery System with ranibizumab to treat neovascular age-related macular degeneration </w:t>
      </w:r>
      <w:r w:rsidR="00CB4234">
        <w:t xml:space="preserve">in patients </w:t>
      </w:r>
      <w:r w:rsidR="00184806">
        <w:t xml:space="preserve">who have previously responded </w:t>
      </w:r>
      <w:r w:rsidR="00393FA0">
        <w:t>to prior</w:t>
      </w:r>
      <w:r w:rsidR="00184806">
        <w:t xml:space="preserve"> anti-VEGF treatment</w:t>
      </w:r>
    </w:p>
    <w:bookmarkEnd w:id="0"/>
    <w:p w14:paraId="358FB770" w14:textId="1180EB55" w:rsidR="00892284" w:rsidRPr="00892284" w:rsidRDefault="00B35595" w:rsidP="00892284">
      <w:pPr>
        <w:tabs>
          <w:tab w:val="left" w:pos="1418"/>
        </w:tabs>
        <w:spacing w:after="240"/>
        <w:rPr>
          <w:rFonts w:ascii="Arial" w:hAnsi="Arial" w:cs="Arial"/>
          <w:b/>
          <w:iCs/>
          <w:szCs w:val="24"/>
        </w:rPr>
      </w:pPr>
      <w:r w:rsidRPr="00F715D1">
        <w:rPr>
          <w:rFonts w:ascii="Arial" w:hAnsi="Arial" w:cs="Arial"/>
          <w:b/>
          <w:szCs w:val="24"/>
        </w:rPr>
        <w:t>Applicant</w:t>
      </w:r>
      <w:r w:rsidR="00400DB5">
        <w:rPr>
          <w:rFonts w:ascii="Arial" w:hAnsi="Arial" w:cs="Arial"/>
          <w:b/>
          <w:szCs w:val="24"/>
        </w:rPr>
        <w:t>:</w:t>
      </w:r>
      <w:r w:rsidR="00400DB5">
        <w:rPr>
          <w:rFonts w:ascii="Arial" w:hAnsi="Arial" w:cs="Arial"/>
          <w:b/>
          <w:szCs w:val="24"/>
        </w:rPr>
        <w:tab/>
      </w:r>
      <w:r w:rsidR="002E18FB">
        <w:rPr>
          <w:rFonts w:ascii="Arial" w:hAnsi="Arial" w:cs="Arial"/>
          <w:b/>
          <w:szCs w:val="24"/>
        </w:rPr>
        <w:tab/>
      </w:r>
      <w:r w:rsidR="002E18FB">
        <w:rPr>
          <w:rFonts w:ascii="Arial" w:hAnsi="Arial" w:cs="Arial"/>
          <w:b/>
          <w:szCs w:val="24"/>
        </w:rPr>
        <w:tab/>
      </w:r>
      <w:r w:rsidR="002E18FB">
        <w:rPr>
          <w:rFonts w:ascii="Arial" w:hAnsi="Arial" w:cs="Arial"/>
          <w:b/>
          <w:szCs w:val="24"/>
        </w:rPr>
        <w:tab/>
      </w:r>
      <w:r w:rsidR="002E18FB">
        <w:rPr>
          <w:rFonts w:ascii="Arial" w:hAnsi="Arial" w:cs="Arial"/>
          <w:b/>
          <w:szCs w:val="24"/>
        </w:rPr>
        <w:tab/>
      </w:r>
      <w:r w:rsidR="00892284" w:rsidRPr="00892284">
        <w:rPr>
          <w:rFonts w:ascii="Arial" w:hAnsi="Arial" w:cs="Arial"/>
          <w:b/>
          <w:iCs/>
          <w:szCs w:val="24"/>
        </w:rPr>
        <w:t>Roche Products Pty Limited</w:t>
      </w:r>
    </w:p>
    <w:p w14:paraId="0C7E20E6" w14:textId="79F1F043" w:rsidR="00BC1364" w:rsidRPr="00F715D1" w:rsidRDefault="00BC1364" w:rsidP="00386C21">
      <w:pPr>
        <w:tabs>
          <w:tab w:val="left" w:pos="1418"/>
        </w:tabs>
        <w:spacing w:after="360"/>
        <w:rPr>
          <w:rFonts w:ascii="Arial" w:hAnsi="Arial" w:cs="Arial"/>
          <w:b/>
          <w:szCs w:val="24"/>
        </w:rPr>
      </w:pPr>
      <w:r w:rsidRPr="00F715D1">
        <w:rPr>
          <w:rFonts w:ascii="Arial" w:hAnsi="Arial" w:cs="Arial"/>
          <w:b/>
          <w:szCs w:val="24"/>
        </w:rPr>
        <w:t>Date of MSAC consideration:</w:t>
      </w:r>
      <w:r w:rsidR="00184806">
        <w:rPr>
          <w:rFonts w:ascii="Arial" w:hAnsi="Arial" w:cs="Arial"/>
          <w:b/>
          <w:szCs w:val="24"/>
        </w:rPr>
        <w:t xml:space="preserve"> </w:t>
      </w:r>
      <w:r w:rsidR="002E18FB">
        <w:rPr>
          <w:rFonts w:ascii="Arial" w:hAnsi="Arial" w:cs="Arial"/>
          <w:b/>
          <w:szCs w:val="24"/>
        </w:rPr>
        <w:tab/>
      </w:r>
      <w:r w:rsidR="00184806">
        <w:rPr>
          <w:rFonts w:ascii="Arial" w:hAnsi="Arial" w:cs="Arial"/>
          <w:b/>
          <w:szCs w:val="24"/>
        </w:rPr>
        <w:t>31 March 2022 – 1 April 2022</w:t>
      </w:r>
    </w:p>
    <w:p w14:paraId="11DC4896" w14:textId="522B78DA" w:rsidR="004B1F54" w:rsidRDefault="003D7F29" w:rsidP="00386C21">
      <w:pPr>
        <w:pStyle w:val="Heading1"/>
        <w:ind w:left="709" w:hanging="709"/>
      </w:pPr>
      <w:r w:rsidRPr="00F715D1">
        <w:t>Purpose of application</w:t>
      </w:r>
    </w:p>
    <w:p w14:paraId="02F672C2" w14:textId="41945AF4" w:rsidR="002E18FB" w:rsidRDefault="00DB46D0" w:rsidP="0078054E">
      <w:r>
        <w:t>The</w:t>
      </w:r>
      <w:r w:rsidR="009F74B9">
        <w:t xml:space="preserve"> </w:t>
      </w:r>
      <w:r w:rsidR="004A0653">
        <w:t>application request</w:t>
      </w:r>
      <w:r>
        <w:t>ed</w:t>
      </w:r>
      <w:r w:rsidR="004A0653">
        <w:t xml:space="preserve"> new Medicare Benefits Schedule (MBS) listings for the implantation</w:t>
      </w:r>
      <w:r w:rsidR="00B4173E">
        <w:t xml:space="preserve">, </w:t>
      </w:r>
      <w:r w:rsidR="00493ECC">
        <w:t xml:space="preserve">initial fill, </w:t>
      </w:r>
      <w:r w:rsidR="00B4173E">
        <w:t>r</w:t>
      </w:r>
      <w:r w:rsidR="004A0653">
        <w:t xml:space="preserve">efill-exchange </w:t>
      </w:r>
      <w:r w:rsidR="00B4173E">
        <w:t xml:space="preserve">and explantation (if required) </w:t>
      </w:r>
      <w:r w:rsidR="003E444D">
        <w:t xml:space="preserve">procedures </w:t>
      </w:r>
      <w:r w:rsidR="0064596E">
        <w:t>f</w:t>
      </w:r>
      <w:r w:rsidR="00A15042">
        <w:t>or</w:t>
      </w:r>
      <w:r w:rsidR="0064596E">
        <w:t xml:space="preserve"> the Port Delivery System (PDS) ocular implant </w:t>
      </w:r>
      <w:r w:rsidR="003E444D">
        <w:t xml:space="preserve">to deliver ranibizumab </w:t>
      </w:r>
      <w:r w:rsidR="003E444D" w:rsidRPr="005550DC">
        <w:rPr>
          <w:lang w:val="en-GB"/>
        </w:rPr>
        <w:t>100 mg/mL (</w:t>
      </w:r>
      <w:proofErr w:type="spellStart"/>
      <w:r w:rsidR="003E444D" w:rsidRPr="005550DC">
        <w:rPr>
          <w:lang w:val="en-GB"/>
        </w:rPr>
        <w:t>Susvimo</w:t>
      </w:r>
      <w:proofErr w:type="spellEnd"/>
      <w:r w:rsidR="003E444D" w:rsidRPr="005550DC">
        <w:rPr>
          <w:vertAlign w:val="superscript"/>
          <w:lang w:val="en-GB"/>
        </w:rPr>
        <w:t>®</w:t>
      </w:r>
      <w:r w:rsidR="003E444D" w:rsidRPr="005550DC">
        <w:rPr>
          <w:lang w:val="en-GB"/>
        </w:rPr>
        <w:t>)</w:t>
      </w:r>
      <w:r w:rsidR="003E444D">
        <w:rPr>
          <w:lang w:val="en-GB"/>
        </w:rPr>
        <w:t xml:space="preserve"> </w:t>
      </w:r>
      <w:r w:rsidR="004A0653">
        <w:t>for the treatment of n</w:t>
      </w:r>
      <w:r w:rsidR="004A0653" w:rsidRPr="004A0653">
        <w:t>eovascular</w:t>
      </w:r>
      <w:r w:rsidR="00383846">
        <w:t xml:space="preserve"> (wet)</w:t>
      </w:r>
      <w:r w:rsidR="004A0653" w:rsidRPr="004A0653">
        <w:t xml:space="preserve"> </w:t>
      </w:r>
      <w:r w:rsidR="004A0653">
        <w:t>a</w:t>
      </w:r>
      <w:r w:rsidR="004A0653" w:rsidRPr="004A0653">
        <w:t xml:space="preserve">ge-related macular degeneration </w:t>
      </w:r>
      <w:r w:rsidR="004A0653">
        <w:t>(</w:t>
      </w:r>
      <w:proofErr w:type="spellStart"/>
      <w:r w:rsidR="004A0653">
        <w:t>nAMD</w:t>
      </w:r>
      <w:proofErr w:type="spellEnd"/>
      <w:r w:rsidR="004A0653">
        <w:t>)</w:t>
      </w:r>
      <w:r w:rsidR="00C17C82">
        <w:t xml:space="preserve"> in patients </w:t>
      </w:r>
      <w:r w:rsidR="00C17C82" w:rsidRPr="00C17C82">
        <w:t>who have previously responded to prior</w:t>
      </w:r>
      <w:r w:rsidR="004838AF" w:rsidRPr="004838AF">
        <w:t xml:space="preserve"> anti-vascular endothelial growth factor</w:t>
      </w:r>
      <w:r w:rsidR="00C17C82" w:rsidRPr="00C17C82">
        <w:t xml:space="preserve"> </w:t>
      </w:r>
      <w:r w:rsidR="004838AF">
        <w:t>(</w:t>
      </w:r>
      <w:r w:rsidR="00C17C82" w:rsidRPr="00C17C82">
        <w:t>anti-VEGF</w:t>
      </w:r>
      <w:r w:rsidR="004838AF">
        <w:t>)</w:t>
      </w:r>
      <w:r w:rsidR="00C17C82" w:rsidRPr="00C17C82">
        <w:t xml:space="preserve"> treatment</w:t>
      </w:r>
      <w:r w:rsidR="004A0653">
        <w:t>.</w:t>
      </w:r>
    </w:p>
    <w:p w14:paraId="605E5F57" w14:textId="77777777" w:rsidR="002E18FB" w:rsidRPr="002E18FB" w:rsidRDefault="002E18FB" w:rsidP="002E18FB">
      <w:pPr>
        <w:pStyle w:val="Heading1"/>
        <w:ind w:left="709" w:hanging="709"/>
      </w:pPr>
      <w:r w:rsidRPr="002E18FB">
        <w:t>MSAC’s advice to the Minister</w:t>
      </w:r>
    </w:p>
    <w:p w14:paraId="1AD5A452" w14:textId="73720B9E" w:rsidR="0029763A" w:rsidRPr="002E18FB" w:rsidRDefault="0029763A" w:rsidP="0029763A">
      <w:pPr>
        <w:pStyle w:val="5Bodytext"/>
        <w:rPr>
          <w:rFonts w:ascii="Times New Roman" w:hAnsi="Times New Roman"/>
          <w:bCs/>
        </w:rPr>
      </w:pPr>
      <w:r w:rsidRPr="0029763A">
        <w:rPr>
          <w:rFonts w:ascii="Times New Roman" w:hAnsi="Times New Roman"/>
          <w:bCs/>
        </w:rPr>
        <w:t xml:space="preserve">After considering the strength of the available evidence in relation to comparative safety, clinical </w:t>
      </w:r>
      <w:proofErr w:type="gramStart"/>
      <w:r w:rsidRPr="0029763A">
        <w:rPr>
          <w:rFonts w:ascii="Times New Roman" w:hAnsi="Times New Roman"/>
          <w:bCs/>
        </w:rPr>
        <w:t>effectiveness</w:t>
      </w:r>
      <w:proofErr w:type="gramEnd"/>
      <w:r w:rsidRPr="0029763A">
        <w:rPr>
          <w:rFonts w:ascii="Times New Roman" w:hAnsi="Times New Roman"/>
          <w:bCs/>
        </w:rPr>
        <w:t xml:space="preserve"> and cost-effectiveness, MSAC deferred its decision regarding the creation of Medicare Benefits Schedule (MBS) items for the implant, refill-exchange and explant of the Port Delivery System (PDS) </w:t>
      </w:r>
      <w:r w:rsidR="0064596E">
        <w:rPr>
          <w:rFonts w:ascii="Times New Roman" w:hAnsi="Times New Roman"/>
          <w:bCs/>
        </w:rPr>
        <w:t xml:space="preserve">to deliver </w:t>
      </w:r>
      <w:r w:rsidRPr="0029763A">
        <w:rPr>
          <w:rFonts w:ascii="Times New Roman" w:hAnsi="Times New Roman"/>
          <w:bCs/>
        </w:rPr>
        <w:t>ranibizumab</w:t>
      </w:r>
      <w:r w:rsidR="0064596E">
        <w:t xml:space="preserve"> </w:t>
      </w:r>
      <w:r w:rsidR="0064596E" w:rsidRPr="005550DC">
        <w:rPr>
          <w:lang w:val="en-GB"/>
        </w:rPr>
        <w:t>100 mg/mL</w:t>
      </w:r>
      <w:r w:rsidRPr="0029763A">
        <w:rPr>
          <w:rFonts w:ascii="Times New Roman" w:hAnsi="Times New Roman"/>
          <w:bCs/>
        </w:rPr>
        <w:t xml:space="preserve"> to treat neovascular age-related macular degeneration (</w:t>
      </w:r>
      <w:proofErr w:type="spellStart"/>
      <w:r w:rsidRPr="0029763A">
        <w:rPr>
          <w:rFonts w:ascii="Times New Roman" w:hAnsi="Times New Roman"/>
          <w:bCs/>
        </w:rPr>
        <w:t>nAMD</w:t>
      </w:r>
      <w:proofErr w:type="spellEnd"/>
      <w:r w:rsidRPr="0029763A">
        <w:rPr>
          <w:rFonts w:ascii="Times New Roman" w:hAnsi="Times New Roman"/>
          <w:bCs/>
        </w:rPr>
        <w:t>). MSAC advised that the proposed cost-minimisation approach also needs to include the hospital costs of the implant procedure beyond those of the device and the specialist implanting the device. MSAC foreshadowed that it would expeditiously reconsider these items if the Pharmaceutical Benefits Advisory Committee (PBAC) recommends the ranibizumab 100</w:t>
      </w:r>
      <w:r w:rsidR="00493ECC">
        <w:rPr>
          <w:rFonts w:ascii="Times New Roman" w:hAnsi="Times New Roman"/>
          <w:bCs/>
        </w:rPr>
        <w:t> </w:t>
      </w:r>
      <w:r w:rsidRPr="0029763A">
        <w:rPr>
          <w:rFonts w:ascii="Times New Roman" w:hAnsi="Times New Roman"/>
          <w:bCs/>
        </w:rPr>
        <w:t>mg/mL formulation.</w:t>
      </w:r>
    </w:p>
    <w:tbl>
      <w:tblPr>
        <w:tblStyle w:val="TableGrid"/>
        <w:tblW w:w="0" w:type="auto"/>
        <w:tblLook w:val="04A0" w:firstRow="1" w:lastRow="0" w:firstColumn="1" w:lastColumn="0" w:noHBand="0" w:noVBand="1"/>
        <w:tblDescription w:val="Consumer summary of MSAC consideration"/>
      </w:tblPr>
      <w:tblGrid>
        <w:gridCol w:w="9016"/>
      </w:tblGrid>
      <w:tr w:rsidR="002E18FB" w:rsidRPr="002E18FB" w14:paraId="1731D088" w14:textId="77777777" w:rsidTr="0064596E">
        <w:trPr>
          <w:tblHeader/>
        </w:trPr>
        <w:tc>
          <w:tcPr>
            <w:tcW w:w="9016" w:type="dxa"/>
          </w:tcPr>
          <w:p w14:paraId="31294466" w14:textId="77777777" w:rsidR="002E18FB" w:rsidRPr="002E18FB" w:rsidRDefault="002E18FB" w:rsidP="0064596E">
            <w:pPr>
              <w:keepNext/>
              <w:keepLines/>
              <w:tabs>
                <w:tab w:val="left" w:pos="851"/>
              </w:tabs>
              <w:spacing w:before="120" w:after="120"/>
              <w:outlineLvl w:val="2"/>
              <w:rPr>
                <w:rFonts w:ascii="Times New Roman" w:eastAsia="Calibri" w:hAnsi="Times New Roman" w:cs="Times New Roman"/>
                <w:b/>
                <w:bCs/>
                <w:iCs/>
                <w:szCs w:val="24"/>
              </w:rPr>
            </w:pPr>
            <w:r w:rsidRPr="002E18FB">
              <w:rPr>
                <w:rFonts w:ascii="Times New Roman" w:eastAsia="SimSun" w:hAnsi="Times New Roman" w:cs="Times New Roman"/>
                <w:b/>
                <w:bCs/>
                <w:szCs w:val="24"/>
              </w:rPr>
              <w:t>Consumer summary</w:t>
            </w:r>
          </w:p>
        </w:tc>
      </w:tr>
      <w:tr w:rsidR="002E18FB" w:rsidRPr="002E18FB" w14:paraId="25BA6E6A" w14:textId="77777777" w:rsidTr="0064596E">
        <w:tc>
          <w:tcPr>
            <w:tcW w:w="9016" w:type="dxa"/>
          </w:tcPr>
          <w:p w14:paraId="5DBF58AA" w14:textId="03003F1F" w:rsidR="0029763A" w:rsidRPr="0029763A" w:rsidRDefault="0029763A" w:rsidP="004008F6">
            <w:pPr>
              <w:autoSpaceDE w:val="0"/>
              <w:autoSpaceDN w:val="0"/>
              <w:adjustRightInd w:val="0"/>
              <w:spacing w:before="120"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MSAC noted that this application was from Roche Products Pty Ltd requesting Medicare Benefits Schedule (MBS) listing of procedures for implanting, </w:t>
            </w:r>
            <w:proofErr w:type="gramStart"/>
            <w:r w:rsidRPr="0029763A">
              <w:rPr>
                <w:rFonts w:ascii="Times New Roman" w:eastAsia="Calibri" w:hAnsi="Times New Roman" w:cs="Times New Roman"/>
                <w:iCs/>
                <w:szCs w:val="24"/>
              </w:rPr>
              <w:t>refilling</w:t>
            </w:r>
            <w:proofErr w:type="gramEnd"/>
            <w:r w:rsidRPr="0029763A">
              <w:rPr>
                <w:rFonts w:ascii="Times New Roman" w:eastAsia="Calibri" w:hAnsi="Times New Roman" w:cs="Times New Roman"/>
                <w:iCs/>
                <w:szCs w:val="24"/>
              </w:rPr>
              <w:t xml:space="preserve"> and removing a Port Delivery System </w:t>
            </w:r>
            <w:r w:rsidR="0064596E">
              <w:rPr>
                <w:rFonts w:ascii="Times New Roman" w:eastAsia="Calibri" w:hAnsi="Times New Roman" w:cs="Times New Roman"/>
                <w:iCs/>
                <w:szCs w:val="24"/>
              </w:rPr>
              <w:t>to deliver</w:t>
            </w:r>
            <w:r w:rsidRPr="0029763A">
              <w:rPr>
                <w:rFonts w:ascii="Times New Roman" w:eastAsia="Calibri" w:hAnsi="Times New Roman" w:cs="Times New Roman"/>
                <w:iCs/>
                <w:szCs w:val="24"/>
              </w:rPr>
              <w:t xml:space="preserve"> a medicine called ranibizumab to treat neovascular age-related macular degeneration (</w:t>
            </w:r>
            <w:proofErr w:type="spellStart"/>
            <w:r w:rsidRPr="0029763A">
              <w:rPr>
                <w:rFonts w:ascii="Times New Roman" w:eastAsia="Calibri" w:hAnsi="Times New Roman" w:cs="Times New Roman"/>
                <w:iCs/>
                <w:szCs w:val="24"/>
              </w:rPr>
              <w:t>nAMD</w:t>
            </w:r>
            <w:proofErr w:type="spellEnd"/>
            <w:r w:rsidRPr="0029763A">
              <w:rPr>
                <w:rFonts w:ascii="Times New Roman" w:eastAsia="Calibri" w:hAnsi="Times New Roman" w:cs="Times New Roman"/>
                <w:iCs/>
                <w:szCs w:val="24"/>
              </w:rPr>
              <w:t>).</w:t>
            </w:r>
          </w:p>
          <w:p w14:paraId="10B96B12" w14:textId="39BF0BEE" w:rsidR="0029763A" w:rsidRPr="0029763A" w:rsidRDefault="0029763A" w:rsidP="0029763A">
            <w:pPr>
              <w:autoSpaceDE w:val="0"/>
              <w:autoSpaceDN w:val="0"/>
              <w:adjustRightInd w:val="0"/>
              <w:spacing w:after="240"/>
              <w:rPr>
                <w:rFonts w:ascii="Times New Roman" w:eastAsia="Calibri" w:hAnsi="Times New Roman" w:cs="Times New Roman"/>
                <w:iCs/>
                <w:szCs w:val="24"/>
              </w:rPr>
            </w:pPr>
            <w:proofErr w:type="spellStart"/>
            <w:r w:rsidRPr="0029763A">
              <w:rPr>
                <w:rFonts w:ascii="Times New Roman" w:eastAsia="Calibri" w:hAnsi="Times New Roman" w:cs="Times New Roman"/>
                <w:iCs/>
                <w:szCs w:val="24"/>
              </w:rPr>
              <w:t>nAMD</w:t>
            </w:r>
            <w:proofErr w:type="spellEnd"/>
            <w:r w:rsidRPr="0029763A">
              <w:rPr>
                <w:rFonts w:ascii="Times New Roman" w:eastAsia="Calibri" w:hAnsi="Times New Roman" w:cs="Times New Roman"/>
                <w:iCs/>
                <w:szCs w:val="24"/>
              </w:rPr>
              <w:t xml:space="preserve"> is a chronic disease of the eye. It affects the retina – the part of the eye that receives light and sends nerve signals to the brain for visual recognition. </w:t>
            </w:r>
            <w:proofErr w:type="spellStart"/>
            <w:r w:rsidRPr="0029763A">
              <w:rPr>
                <w:rFonts w:ascii="Times New Roman" w:eastAsia="Calibri" w:hAnsi="Times New Roman" w:cs="Times New Roman"/>
                <w:iCs/>
                <w:szCs w:val="24"/>
              </w:rPr>
              <w:t>nAMD</w:t>
            </w:r>
            <w:proofErr w:type="spellEnd"/>
            <w:r w:rsidRPr="0029763A">
              <w:rPr>
                <w:rFonts w:ascii="Times New Roman" w:eastAsia="Calibri" w:hAnsi="Times New Roman" w:cs="Times New Roman"/>
                <w:iCs/>
                <w:szCs w:val="24"/>
              </w:rPr>
              <w:t xml:space="preserve"> causes vision loss over time. The most common treatment for </w:t>
            </w:r>
            <w:proofErr w:type="spellStart"/>
            <w:r w:rsidRPr="0029763A">
              <w:rPr>
                <w:rFonts w:ascii="Times New Roman" w:eastAsia="Calibri" w:hAnsi="Times New Roman" w:cs="Times New Roman"/>
                <w:iCs/>
                <w:szCs w:val="24"/>
              </w:rPr>
              <w:t>nAMD</w:t>
            </w:r>
            <w:proofErr w:type="spellEnd"/>
            <w:r w:rsidRPr="0029763A">
              <w:rPr>
                <w:rFonts w:ascii="Times New Roman" w:eastAsia="Calibri" w:hAnsi="Times New Roman" w:cs="Times New Roman"/>
                <w:iCs/>
                <w:szCs w:val="24"/>
              </w:rPr>
              <w:t xml:space="preserve"> involves injecting medicines (such as </w:t>
            </w:r>
            <w:r w:rsidRPr="0029763A">
              <w:rPr>
                <w:rFonts w:ascii="Times New Roman" w:eastAsia="Calibri" w:hAnsi="Times New Roman" w:cs="Times New Roman"/>
                <w:iCs/>
                <w:szCs w:val="24"/>
              </w:rPr>
              <w:lastRenderedPageBreak/>
              <w:t xml:space="preserve">ranibizumab) into the eye that can help </w:t>
            </w:r>
            <w:r w:rsidR="0064596E">
              <w:rPr>
                <w:rFonts w:ascii="Times New Roman" w:eastAsia="Calibri" w:hAnsi="Times New Roman" w:cs="Times New Roman"/>
                <w:iCs/>
                <w:szCs w:val="24"/>
              </w:rPr>
              <w:t>maintain</w:t>
            </w:r>
            <w:r w:rsidRPr="0029763A">
              <w:rPr>
                <w:rFonts w:ascii="Times New Roman" w:eastAsia="Calibri" w:hAnsi="Times New Roman" w:cs="Times New Roman"/>
                <w:iCs/>
                <w:szCs w:val="24"/>
              </w:rPr>
              <w:t xml:space="preserve"> eyesight. These are called </w:t>
            </w:r>
            <w:bookmarkStart w:id="1" w:name="_Hlk102053095"/>
            <w:r w:rsidRPr="0029763A">
              <w:rPr>
                <w:rFonts w:ascii="Times New Roman" w:eastAsia="Calibri" w:hAnsi="Times New Roman" w:cs="Times New Roman"/>
                <w:iCs/>
                <w:szCs w:val="24"/>
              </w:rPr>
              <w:t>intravitreal injections</w:t>
            </w:r>
            <w:bookmarkEnd w:id="1"/>
            <w:r w:rsidRPr="0029763A">
              <w:rPr>
                <w:rFonts w:ascii="Times New Roman" w:eastAsia="Calibri" w:hAnsi="Times New Roman" w:cs="Times New Roman"/>
                <w:iCs/>
                <w:szCs w:val="24"/>
              </w:rPr>
              <w:t xml:space="preserve"> and </w:t>
            </w:r>
            <w:r w:rsidR="00116104">
              <w:rPr>
                <w:rFonts w:ascii="Times New Roman" w:eastAsia="Calibri" w:hAnsi="Times New Roman" w:cs="Times New Roman"/>
                <w:iCs/>
                <w:szCs w:val="24"/>
              </w:rPr>
              <w:t xml:space="preserve">usually </w:t>
            </w:r>
            <w:r w:rsidRPr="0029763A">
              <w:rPr>
                <w:rFonts w:ascii="Times New Roman" w:eastAsia="Calibri" w:hAnsi="Times New Roman" w:cs="Times New Roman"/>
                <w:iCs/>
                <w:szCs w:val="24"/>
              </w:rPr>
              <w:t>need to be given every 1 to 2 months.</w:t>
            </w:r>
          </w:p>
          <w:p w14:paraId="344D47F0" w14:textId="0EEFAB31" w:rsidR="0029763A" w:rsidRPr="0029763A" w:rsidRDefault="0029763A" w:rsidP="0029763A">
            <w:pPr>
              <w:autoSpaceDE w:val="0"/>
              <w:autoSpaceDN w:val="0"/>
              <w:adjustRightInd w:val="0"/>
              <w:spacing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The </w:t>
            </w:r>
            <w:r w:rsidR="002B746B" w:rsidRPr="0029763A">
              <w:rPr>
                <w:rFonts w:ascii="Times New Roman" w:eastAsia="Calibri" w:hAnsi="Times New Roman" w:cs="Times New Roman"/>
                <w:iCs/>
                <w:szCs w:val="24"/>
              </w:rPr>
              <w:t xml:space="preserve">Port Delivery System </w:t>
            </w:r>
            <w:r w:rsidRPr="0029763A">
              <w:rPr>
                <w:rFonts w:ascii="Times New Roman" w:eastAsia="Calibri" w:hAnsi="Times New Roman" w:cs="Times New Roman"/>
                <w:iCs/>
                <w:szCs w:val="24"/>
              </w:rPr>
              <w:t xml:space="preserve">is a tiny device that is surgically implanted into the eye. It is filled with a special formulation of ranibizumab that is gradually released into the eye over time. Patients who have </w:t>
            </w:r>
            <w:r w:rsidR="002B746B">
              <w:rPr>
                <w:rFonts w:ascii="Times New Roman" w:eastAsia="Calibri" w:hAnsi="Times New Roman" w:cs="Times New Roman"/>
                <w:iCs/>
                <w:szCs w:val="24"/>
              </w:rPr>
              <w:t>this device</w:t>
            </w:r>
            <w:r w:rsidRPr="0029763A">
              <w:rPr>
                <w:rFonts w:ascii="Times New Roman" w:eastAsia="Calibri" w:hAnsi="Times New Roman" w:cs="Times New Roman"/>
                <w:iCs/>
                <w:szCs w:val="24"/>
              </w:rPr>
              <w:t xml:space="preserve"> implanted need to have it refilled every 6 months, instead of having </w:t>
            </w:r>
            <w:r w:rsidR="002B746B">
              <w:rPr>
                <w:rFonts w:ascii="Times New Roman" w:eastAsia="Calibri" w:hAnsi="Times New Roman" w:cs="Times New Roman"/>
                <w:iCs/>
                <w:szCs w:val="24"/>
              </w:rPr>
              <w:t xml:space="preserve">intravitreal </w:t>
            </w:r>
            <w:r w:rsidRPr="0029763A">
              <w:rPr>
                <w:rFonts w:ascii="Times New Roman" w:eastAsia="Calibri" w:hAnsi="Times New Roman" w:cs="Times New Roman"/>
                <w:iCs/>
                <w:szCs w:val="24"/>
              </w:rPr>
              <w:t>injections every 1 to 2 months.</w:t>
            </w:r>
          </w:p>
          <w:p w14:paraId="13CD9716" w14:textId="5B0C316B" w:rsidR="0029763A" w:rsidRPr="0029763A" w:rsidRDefault="0029763A" w:rsidP="0029763A">
            <w:pPr>
              <w:autoSpaceDE w:val="0"/>
              <w:autoSpaceDN w:val="0"/>
              <w:adjustRightInd w:val="0"/>
              <w:spacing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MSAC noted that this was a codependent application. This means that the applicant is seeking to list the procedures on the MBS at the same time as listing the medicine on the Pharmaceutical Benefits Scheme (PBS) and the implantable device on the Prostheses List. The Pharmaceutical Benefits Advisory Committee </w:t>
            </w:r>
            <w:r w:rsidR="00E56519">
              <w:rPr>
                <w:rFonts w:ascii="Times New Roman" w:eastAsia="Calibri" w:hAnsi="Times New Roman" w:cs="Times New Roman"/>
                <w:iCs/>
                <w:szCs w:val="24"/>
              </w:rPr>
              <w:t xml:space="preserve">was of </w:t>
            </w:r>
            <w:r w:rsidR="002B746B">
              <w:rPr>
                <w:rFonts w:ascii="Times New Roman" w:eastAsia="Calibri" w:hAnsi="Times New Roman" w:cs="Times New Roman"/>
                <w:iCs/>
                <w:szCs w:val="24"/>
              </w:rPr>
              <w:t>a</w:t>
            </w:r>
            <w:r w:rsidR="00E56519">
              <w:rPr>
                <w:rFonts w:ascii="Times New Roman" w:eastAsia="Calibri" w:hAnsi="Times New Roman" w:cs="Times New Roman"/>
                <w:iCs/>
                <w:szCs w:val="24"/>
              </w:rPr>
              <w:t xml:space="preserve"> mind to recommend the listing of the medicine but </w:t>
            </w:r>
            <w:r w:rsidRPr="0029763A">
              <w:rPr>
                <w:rFonts w:ascii="Times New Roman" w:eastAsia="Calibri" w:hAnsi="Times New Roman" w:cs="Times New Roman"/>
                <w:iCs/>
                <w:szCs w:val="24"/>
              </w:rPr>
              <w:t xml:space="preserve">deferred </w:t>
            </w:r>
            <w:r w:rsidR="00E56519">
              <w:rPr>
                <w:rFonts w:ascii="Times New Roman" w:eastAsia="Calibri" w:hAnsi="Times New Roman" w:cs="Times New Roman"/>
                <w:iCs/>
                <w:szCs w:val="24"/>
              </w:rPr>
              <w:t xml:space="preserve">this </w:t>
            </w:r>
            <w:r w:rsidRPr="0029763A">
              <w:rPr>
                <w:rFonts w:ascii="Times New Roman" w:eastAsia="Calibri" w:hAnsi="Times New Roman" w:cs="Times New Roman"/>
                <w:iCs/>
                <w:szCs w:val="24"/>
              </w:rPr>
              <w:t>until it could review data on comparative safety from the Therapeutic Goods Administration and receive advice from MSAC.</w:t>
            </w:r>
          </w:p>
          <w:p w14:paraId="5129D2C0" w14:textId="4403C02E" w:rsidR="0029763A" w:rsidRPr="0029763A" w:rsidRDefault="0029763A" w:rsidP="0029763A">
            <w:pPr>
              <w:autoSpaceDE w:val="0"/>
              <w:autoSpaceDN w:val="0"/>
              <w:adjustRightInd w:val="0"/>
              <w:spacing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MSAC </w:t>
            </w:r>
            <w:r w:rsidR="0064596E">
              <w:rPr>
                <w:rFonts w:ascii="Times New Roman" w:eastAsia="Calibri" w:hAnsi="Times New Roman" w:cs="Times New Roman"/>
                <w:iCs/>
                <w:szCs w:val="24"/>
              </w:rPr>
              <w:t xml:space="preserve">advised </w:t>
            </w:r>
            <w:r w:rsidRPr="0029763A">
              <w:rPr>
                <w:rFonts w:ascii="Times New Roman" w:eastAsia="Calibri" w:hAnsi="Times New Roman" w:cs="Times New Roman"/>
                <w:iCs/>
                <w:szCs w:val="24"/>
              </w:rPr>
              <w:t xml:space="preserve">that changes </w:t>
            </w:r>
            <w:r w:rsidR="0064596E">
              <w:rPr>
                <w:rFonts w:ascii="Times New Roman" w:eastAsia="Calibri" w:hAnsi="Times New Roman" w:cs="Times New Roman"/>
                <w:iCs/>
                <w:szCs w:val="24"/>
              </w:rPr>
              <w:t xml:space="preserve">be </w:t>
            </w:r>
            <w:r w:rsidRPr="0029763A">
              <w:rPr>
                <w:rFonts w:ascii="Times New Roman" w:eastAsia="Calibri" w:hAnsi="Times New Roman" w:cs="Times New Roman"/>
                <w:iCs/>
                <w:szCs w:val="24"/>
              </w:rPr>
              <w:t xml:space="preserve">made to the economic and financial estimates to ensure that all </w:t>
            </w:r>
            <w:r w:rsidR="0064596E">
              <w:rPr>
                <w:rFonts w:ascii="Times New Roman" w:eastAsia="Calibri" w:hAnsi="Times New Roman" w:cs="Times New Roman"/>
                <w:iCs/>
                <w:szCs w:val="24"/>
              </w:rPr>
              <w:t xml:space="preserve">relevant </w:t>
            </w:r>
            <w:r w:rsidRPr="0029763A">
              <w:rPr>
                <w:rFonts w:ascii="Times New Roman" w:eastAsia="Calibri" w:hAnsi="Times New Roman" w:cs="Times New Roman"/>
                <w:iCs/>
                <w:szCs w:val="24"/>
              </w:rPr>
              <w:t>costs are included.</w:t>
            </w:r>
          </w:p>
          <w:p w14:paraId="4C86EC96" w14:textId="6F95B730" w:rsidR="0029763A" w:rsidRPr="0029763A" w:rsidRDefault="0029763A" w:rsidP="0029763A">
            <w:pPr>
              <w:autoSpaceDE w:val="0"/>
              <w:autoSpaceDN w:val="0"/>
              <w:adjustRightInd w:val="0"/>
              <w:spacing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MSAC </w:t>
            </w:r>
            <w:r w:rsidR="0064596E">
              <w:rPr>
                <w:rFonts w:ascii="Times New Roman" w:eastAsia="Calibri" w:hAnsi="Times New Roman" w:cs="Times New Roman"/>
                <w:iCs/>
                <w:szCs w:val="24"/>
              </w:rPr>
              <w:t xml:space="preserve">supported the </w:t>
            </w:r>
            <w:r w:rsidR="002B746B">
              <w:rPr>
                <w:rFonts w:ascii="Times New Roman" w:eastAsia="Calibri" w:hAnsi="Times New Roman" w:cs="Times New Roman"/>
                <w:iCs/>
                <w:szCs w:val="24"/>
              </w:rPr>
              <w:t xml:space="preserve">proposal of </w:t>
            </w:r>
            <w:r w:rsidR="002B746B" w:rsidRPr="002B746B">
              <w:rPr>
                <w:rFonts w:ascii="Times New Roman" w:eastAsia="Calibri" w:hAnsi="Times New Roman" w:cs="Times New Roman"/>
                <w:iCs/>
                <w:szCs w:val="24"/>
              </w:rPr>
              <w:t xml:space="preserve">the MBS Review Taskforce </w:t>
            </w:r>
            <w:r w:rsidR="004D1199">
              <w:rPr>
                <w:rFonts w:ascii="Times New Roman" w:eastAsia="Calibri" w:hAnsi="Times New Roman" w:cs="Times New Roman"/>
                <w:iCs/>
                <w:szCs w:val="24"/>
              </w:rPr>
              <w:t>R</w:t>
            </w:r>
            <w:r w:rsidR="002B746B" w:rsidRPr="002B746B">
              <w:rPr>
                <w:rFonts w:ascii="Times New Roman" w:eastAsia="Calibri" w:hAnsi="Times New Roman" w:cs="Times New Roman"/>
                <w:iCs/>
                <w:szCs w:val="24"/>
              </w:rPr>
              <w:t xml:space="preserve">eview of </w:t>
            </w:r>
            <w:r w:rsidR="004D1199">
              <w:rPr>
                <w:rFonts w:ascii="Times New Roman" w:eastAsia="Calibri" w:hAnsi="Times New Roman" w:cs="Times New Roman"/>
                <w:iCs/>
                <w:szCs w:val="24"/>
              </w:rPr>
              <w:t>O</w:t>
            </w:r>
            <w:r w:rsidR="002B746B" w:rsidRPr="002B746B">
              <w:rPr>
                <w:rFonts w:ascii="Times New Roman" w:eastAsia="Calibri" w:hAnsi="Times New Roman" w:cs="Times New Roman"/>
                <w:iCs/>
                <w:szCs w:val="24"/>
              </w:rPr>
              <w:t xml:space="preserve">phthalmology </w:t>
            </w:r>
            <w:r w:rsidR="004D1199">
              <w:rPr>
                <w:rFonts w:ascii="Times New Roman" w:eastAsia="Calibri" w:hAnsi="Times New Roman" w:cs="Times New Roman"/>
                <w:iCs/>
                <w:szCs w:val="24"/>
              </w:rPr>
              <w:t>I</w:t>
            </w:r>
            <w:r w:rsidR="002B746B" w:rsidRPr="002B746B">
              <w:rPr>
                <w:rFonts w:ascii="Times New Roman" w:eastAsia="Calibri" w:hAnsi="Times New Roman" w:cs="Times New Roman"/>
                <w:iCs/>
                <w:szCs w:val="24"/>
              </w:rPr>
              <w:t xml:space="preserve">tems </w:t>
            </w:r>
            <w:r w:rsidR="0064596E">
              <w:rPr>
                <w:rFonts w:ascii="Times New Roman" w:eastAsia="Calibri" w:hAnsi="Times New Roman" w:cs="Times New Roman"/>
                <w:iCs/>
                <w:szCs w:val="24"/>
              </w:rPr>
              <w:t xml:space="preserve">to reduce </w:t>
            </w:r>
            <w:r w:rsidRPr="0029763A">
              <w:rPr>
                <w:rFonts w:ascii="Times New Roman" w:eastAsia="Calibri" w:hAnsi="Times New Roman" w:cs="Times New Roman"/>
                <w:iCs/>
                <w:szCs w:val="24"/>
              </w:rPr>
              <w:t xml:space="preserve">the MBS fees for </w:t>
            </w:r>
            <w:r w:rsidR="002B746B">
              <w:rPr>
                <w:rFonts w:ascii="Times New Roman" w:eastAsia="Calibri" w:hAnsi="Times New Roman" w:cs="Times New Roman"/>
                <w:iCs/>
                <w:szCs w:val="24"/>
              </w:rPr>
              <w:t>intravitreal</w:t>
            </w:r>
            <w:r w:rsidRPr="0029763A">
              <w:rPr>
                <w:rFonts w:ascii="Times New Roman" w:eastAsia="Calibri" w:hAnsi="Times New Roman" w:cs="Times New Roman"/>
                <w:iCs/>
                <w:szCs w:val="24"/>
              </w:rPr>
              <w:t xml:space="preserve"> </w:t>
            </w:r>
            <w:proofErr w:type="gramStart"/>
            <w:r w:rsidRPr="0029763A">
              <w:rPr>
                <w:rFonts w:ascii="Times New Roman" w:eastAsia="Calibri" w:hAnsi="Times New Roman" w:cs="Times New Roman"/>
                <w:iCs/>
                <w:szCs w:val="24"/>
              </w:rPr>
              <w:t>injections</w:t>
            </w:r>
            <w:r w:rsidR="004D1199">
              <w:rPr>
                <w:rFonts w:ascii="Times New Roman" w:eastAsia="Calibri" w:hAnsi="Times New Roman" w:cs="Times New Roman"/>
                <w:iCs/>
                <w:szCs w:val="24"/>
              </w:rPr>
              <w:t>, but</w:t>
            </w:r>
            <w:proofErr w:type="gramEnd"/>
            <w:r w:rsidR="004D1199">
              <w:rPr>
                <w:rFonts w:ascii="Times New Roman" w:eastAsia="Calibri" w:hAnsi="Times New Roman" w:cs="Times New Roman"/>
                <w:iCs/>
                <w:szCs w:val="24"/>
              </w:rPr>
              <w:t xml:space="preserve"> noted that this proposal had not been implemented</w:t>
            </w:r>
            <w:r w:rsidRPr="0029763A">
              <w:rPr>
                <w:rFonts w:ascii="Times New Roman" w:eastAsia="Calibri" w:hAnsi="Times New Roman" w:cs="Times New Roman"/>
                <w:iCs/>
                <w:szCs w:val="24"/>
              </w:rPr>
              <w:t>.</w:t>
            </w:r>
          </w:p>
          <w:p w14:paraId="1F0E4844" w14:textId="77777777" w:rsidR="0029763A" w:rsidRPr="0029763A" w:rsidRDefault="0029763A" w:rsidP="0029763A">
            <w:pPr>
              <w:autoSpaceDE w:val="0"/>
              <w:autoSpaceDN w:val="0"/>
              <w:adjustRightInd w:val="0"/>
              <w:spacing w:after="240"/>
              <w:rPr>
                <w:rFonts w:ascii="Times New Roman" w:eastAsia="Calibri" w:hAnsi="Times New Roman" w:cs="Times New Roman"/>
                <w:b/>
                <w:bCs/>
                <w:iCs/>
                <w:szCs w:val="24"/>
              </w:rPr>
            </w:pPr>
            <w:r w:rsidRPr="0029763A">
              <w:rPr>
                <w:rFonts w:ascii="Times New Roman" w:eastAsia="Calibri" w:hAnsi="Times New Roman" w:cs="Times New Roman"/>
                <w:b/>
                <w:bCs/>
                <w:iCs/>
                <w:szCs w:val="24"/>
              </w:rPr>
              <w:t>MSAC's advice to the Commonwealth Minister for Health</w:t>
            </w:r>
          </w:p>
          <w:p w14:paraId="3AE2B159" w14:textId="6ADC10F6" w:rsidR="002E18FB" w:rsidRPr="002E18FB" w:rsidRDefault="0029763A" w:rsidP="0029763A">
            <w:pPr>
              <w:autoSpaceDE w:val="0"/>
              <w:autoSpaceDN w:val="0"/>
              <w:adjustRightInd w:val="0"/>
              <w:spacing w:after="240"/>
              <w:rPr>
                <w:rFonts w:ascii="Times New Roman" w:eastAsia="Calibri" w:hAnsi="Times New Roman" w:cs="Times New Roman"/>
                <w:iCs/>
                <w:szCs w:val="24"/>
              </w:rPr>
            </w:pPr>
            <w:r w:rsidRPr="0029763A">
              <w:rPr>
                <w:rFonts w:ascii="Times New Roman" w:eastAsia="Calibri" w:hAnsi="Times New Roman" w:cs="Times New Roman"/>
                <w:iCs/>
                <w:szCs w:val="24"/>
              </w:rPr>
              <w:t xml:space="preserve">MSAC deferred its </w:t>
            </w:r>
            <w:r w:rsidR="002B746B">
              <w:rPr>
                <w:rFonts w:ascii="Times New Roman" w:eastAsia="Calibri" w:hAnsi="Times New Roman" w:cs="Times New Roman"/>
                <w:iCs/>
                <w:szCs w:val="24"/>
              </w:rPr>
              <w:t xml:space="preserve">advice on procedures related to the </w:t>
            </w:r>
            <w:r w:rsidR="00005B78">
              <w:rPr>
                <w:rFonts w:ascii="Times New Roman" w:eastAsia="Calibri" w:hAnsi="Times New Roman" w:cs="Times New Roman"/>
                <w:iCs/>
                <w:szCs w:val="24"/>
              </w:rPr>
              <w:t>Port Delivery System</w:t>
            </w:r>
            <w:r w:rsidRPr="0029763A">
              <w:rPr>
                <w:rFonts w:ascii="Times New Roman" w:eastAsia="Calibri" w:hAnsi="Times New Roman" w:cs="Times New Roman"/>
                <w:iCs/>
                <w:szCs w:val="24"/>
              </w:rPr>
              <w:t xml:space="preserve"> for </w:t>
            </w:r>
            <w:proofErr w:type="spellStart"/>
            <w:r w:rsidRPr="0029763A">
              <w:rPr>
                <w:rFonts w:ascii="Times New Roman" w:eastAsia="Calibri" w:hAnsi="Times New Roman" w:cs="Times New Roman"/>
                <w:iCs/>
                <w:szCs w:val="24"/>
              </w:rPr>
              <w:t>nAMD</w:t>
            </w:r>
            <w:proofErr w:type="spellEnd"/>
            <w:r w:rsidRPr="0029763A">
              <w:rPr>
                <w:rFonts w:ascii="Times New Roman" w:eastAsia="Calibri" w:hAnsi="Times New Roman" w:cs="Times New Roman"/>
                <w:iCs/>
                <w:szCs w:val="24"/>
              </w:rPr>
              <w:t xml:space="preserve"> because the </w:t>
            </w:r>
            <w:r w:rsidR="002B746B" w:rsidRPr="0029763A">
              <w:rPr>
                <w:rFonts w:ascii="Times New Roman" w:eastAsia="Calibri" w:hAnsi="Times New Roman" w:cs="Times New Roman"/>
                <w:iCs/>
                <w:szCs w:val="24"/>
              </w:rPr>
              <w:t xml:space="preserve">Pharmaceutical Benefits Advisory Committee </w:t>
            </w:r>
            <w:r w:rsidRPr="0029763A">
              <w:rPr>
                <w:rFonts w:ascii="Times New Roman" w:eastAsia="Calibri" w:hAnsi="Times New Roman" w:cs="Times New Roman"/>
                <w:iCs/>
                <w:szCs w:val="24"/>
              </w:rPr>
              <w:t xml:space="preserve">had </w:t>
            </w:r>
            <w:r w:rsidR="002B746B">
              <w:rPr>
                <w:rFonts w:ascii="Times New Roman" w:eastAsia="Calibri" w:hAnsi="Times New Roman" w:cs="Times New Roman"/>
                <w:iCs/>
                <w:szCs w:val="24"/>
              </w:rPr>
              <w:t xml:space="preserve">deferred its decision </w:t>
            </w:r>
            <w:r w:rsidRPr="0029763A">
              <w:rPr>
                <w:rFonts w:ascii="Times New Roman" w:eastAsia="Calibri" w:hAnsi="Times New Roman" w:cs="Times New Roman"/>
                <w:iCs/>
                <w:szCs w:val="24"/>
              </w:rPr>
              <w:t xml:space="preserve">about the medicine. MSAC will reconsider the application in a short timeframe if the </w:t>
            </w:r>
            <w:r w:rsidR="002B746B" w:rsidRPr="0029763A">
              <w:rPr>
                <w:rFonts w:ascii="Times New Roman" w:eastAsia="Calibri" w:hAnsi="Times New Roman" w:cs="Times New Roman"/>
                <w:iCs/>
                <w:szCs w:val="24"/>
              </w:rPr>
              <w:t xml:space="preserve">Pharmaceutical Benefits Advisory Committee </w:t>
            </w:r>
            <w:r w:rsidRPr="0029763A">
              <w:rPr>
                <w:rFonts w:ascii="Times New Roman" w:eastAsia="Calibri" w:hAnsi="Times New Roman" w:cs="Times New Roman"/>
                <w:iCs/>
                <w:szCs w:val="24"/>
              </w:rPr>
              <w:t xml:space="preserve">recommends </w:t>
            </w:r>
            <w:proofErr w:type="gramStart"/>
            <w:r w:rsidRPr="0029763A">
              <w:rPr>
                <w:rFonts w:ascii="Times New Roman" w:eastAsia="Calibri" w:hAnsi="Times New Roman" w:cs="Times New Roman"/>
                <w:iCs/>
                <w:szCs w:val="24"/>
              </w:rPr>
              <w:t>to list</w:t>
            </w:r>
            <w:proofErr w:type="gramEnd"/>
            <w:r w:rsidRPr="0029763A">
              <w:rPr>
                <w:rFonts w:ascii="Times New Roman" w:eastAsia="Calibri" w:hAnsi="Times New Roman" w:cs="Times New Roman"/>
                <w:iCs/>
                <w:szCs w:val="24"/>
              </w:rPr>
              <w:t xml:space="preserve"> the medicine on the PBS.</w:t>
            </w:r>
          </w:p>
        </w:tc>
      </w:tr>
    </w:tbl>
    <w:p w14:paraId="74C850EC" w14:textId="77777777" w:rsidR="002E18FB" w:rsidRPr="002E18FB" w:rsidRDefault="002E18FB" w:rsidP="002E18FB">
      <w:pPr>
        <w:pStyle w:val="Heading1"/>
        <w:ind w:left="709" w:hanging="709"/>
      </w:pPr>
      <w:r w:rsidRPr="002E18FB">
        <w:lastRenderedPageBreak/>
        <w:t>Summary of consideration and rationale for MSAC’s advice</w:t>
      </w:r>
    </w:p>
    <w:p w14:paraId="2FDD7E20" w14:textId="0396D1AE" w:rsidR="0029763A" w:rsidRDefault="0029763A" w:rsidP="0029763A">
      <w:r>
        <w:t xml:space="preserve">MSAC noted the purpose of the application was to request </w:t>
      </w:r>
      <w:r w:rsidRPr="008916BE">
        <w:t xml:space="preserve">new MBS listings for the implantation, </w:t>
      </w:r>
      <w:r w:rsidR="00493ECC">
        <w:t xml:space="preserve">initial fill, </w:t>
      </w:r>
      <w:r w:rsidRPr="008916BE">
        <w:t xml:space="preserve">refill-exchange and explantation (if required) procedures </w:t>
      </w:r>
      <w:r w:rsidR="00A15042">
        <w:t xml:space="preserve">for the PDS ocular implant </w:t>
      </w:r>
      <w:r w:rsidRPr="008916BE">
        <w:t>to deliver ranibizumab 100</w:t>
      </w:r>
      <w:r w:rsidR="00493ECC">
        <w:t> </w:t>
      </w:r>
      <w:r w:rsidRPr="008916BE">
        <w:t xml:space="preserve">mg/mL for the treatment of </w:t>
      </w:r>
      <w:proofErr w:type="spellStart"/>
      <w:r w:rsidRPr="008916BE">
        <w:t>nAMD</w:t>
      </w:r>
      <w:proofErr w:type="spellEnd"/>
      <w:r w:rsidRPr="008916BE">
        <w:t xml:space="preserve"> in patients who have previously responded to prior anti-VEGF treatment</w:t>
      </w:r>
      <w:r>
        <w:t>. MSAC noted that this was a codependent application requesting listing on the Pharmaceutical Benefits Scheme (PBS) of the customised formulation of ranibizumab and listing on the Prostheses List (PL) for the PDS ocular implant. MSAC also noted that</w:t>
      </w:r>
      <w:r w:rsidR="00493ECC">
        <w:t>, although</w:t>
      </w:r>
      <w:r>
        <w:t xml:space="preserve"> the medicine and the </w:t>
      </w:r>
      <w:r w:rsidR="00493ECC">
        <w:t>implant</w:t>
      </w:r>
      <w:r>
        <w:t xml:space="preserve"> were not yet </w:t>
      </w:r>
      <w:r w:rsidR="00493ECC">
        <w:t xml:space="preserve">included </w:t>
      </w:r>
      <w:r>
        <w:t>on the Australian Register of Therapeutic Goods (ARTG)</w:t>
      </w:r>
      <w:r w:rsidR="00493ECC">
        <w:t>,</w:t>
      </w:r>
      <w:r>
        <w:t xml:space="preserve"> the Therapeutic Goods Administration (TGA) </w:t>
      </w:r>
      <w:r w:rsidR="00493ECC">
        <w:t>is currently considering the relevant applications</w:t>
      </w:r>
      <w:r>
        <w:t>.</w:t>
      </w:r>
    </w:p>
    <w:p w14:paraId="5F3C58F5" w14:textId="130DD390" w:rsidR="0029763A" w:rsidRDefault="0029763A" w:rsidP="00966670">
      <w:pPr>
        <w:spacing w:before="240"/>
      </w:pPr>
      <w:r>
        <w:t xml:space="preserve">MSAC noted that the PBAC had deferred its recommendation on listing of the medicine pending advice from the TGA delegate on </w:t>
      </w:r>
      <w:r w:rsidR="00606541">
        <w:t xml:space="preserve">the </w:t>
      </w:r>
      <w:r>
        <w:t>comparative safety</w:t>
      </w:r>
      <w:r w:rsidR="00493ECC">
        <w:t xml:space="preserve"> of the two approaches to delivering the medicine</w:t>
      </w:r>
      <w:r>
        <w:t>, and advice from MSAC</w:t>
      </w:r>
      <w:r w:rsidR="00493ECC">
        <w:t xml:space="preserve"> on the procedures associated with the implant</w:t>
      </w:r>
      <w:r>
        <w:t xml:space="preserve">. The PBAC was of a mind to recommend the </w:t>
      </w:r>
      <w:r w:rsidR="00493ECC">
        <w:t xml:space="preserve">PBS </w:t>
      </w:r>
      <w:r>
        <w:t>listing.</w:t>
      </w:r>
    </w:p>
    <w:p w14:paraId="292D85D9" w14:textId="5E29C9F5" w:rsidR="0029763A" w:rsidRDefault="0029763A" w:rsidP="00966670">
      <w:pPr>
        <w:spacing w:before="240"/>
      </w:pPr>
      <w:r>
        <w:t>MSAC noted that the proposed intervention i</w:t>
      </w:r>
      <w:r w:rsidR="00606541">
        <w:t>nvolve</w:t>
      </w:r>
      <w:r>
        <w:t xml:space="preserve">s a </w:t>
      </w:r>
      <w:r w:rsidRPr="00CD13D2">
        <w:t xml:space="preserve">surgically implanted </w:t>
      </w:r>
      <w:r w:rsidR="00493ECC">
        <w:t xml:space="preserve">device delivering a </w:t>
      </w:r>
      <w:r w:rsidRPr="00CD13D2">
        <w:t xml:space="preserve">long-acting treatment that continuously suppresses VEGF in the eye. </w:t>
      </w:r>
      <w:r w:rsidR="0006556E">
        <w:t xml:space="preserve">The </w:t>
      </w:r>
      <w:r w:rsidRPr="00CD13D2">
        <w:rPr>
          <w:lang w:val="en-GB"/>
        </w:rPr>
        <w:t>PDS is a permanent, refillable, intraocular drug delivery system</w:t>
      </w:r>
      <w:r w:rsidRPr="00CD13D2" w:rsidDel="00D626FE">
        <w:rPr>
          <w:lang w:val="en-GB"/>
        </w:rPr>
        <w:t xml:space="preserve"> </w:t>
      </w:r>
      <w:r w:rsidRPr="00CD13D2">
        <w:rPr>
          <w:lang w:val="en-GB"/>
        </w:rPr>
        <w:t>designed for continuous delivery of a customised formulation of ranibizumab 100 mg/mL (</w:t>
      </w:r>
      <w:proofErr w:type="spellStart"/>
      <w:r w:rsidRPr="00CD13D2">
        <w:rPr>
          <w:lang w:val="en-GB"/>
        </w:rPr>
        <w:t>Susvimo</w:t>
      </w:r>
      <w:proofErr w:type="spellEnd"/>
      <w:r w:rsidRPr="00CD13D2">
        <w:rPr>
          <w:vertAlign w:val="superscript"/>
          <w:lang w:val="en-GB"/>
        </w:rPr>
        <w:t>®</w:t>
      </w:r>
      <w:r w:rsidRPr="00CD13D2">
        <w:rPr>
          <w:lang w:val="en-GB"/>
        </w:rPr>
        <w:t xml:space="preserve">), </w:t>
      </w:r>
      <w:r w:rsidRPr="00CD13D2">
        <w:t xml:space="preserve">resulting in delivery of a </w:t>
      </w:r>
      <w:r w:rsidRPr="00CD13D2">
        <w:lastRenderedPageBreak/>
        <w:t>2</w:t>
      </w:r>
      <w:r>
        <w:t> </w:t>
      </w:r>
      <w:r w:rsidRPr="00CD13D2">
        <w:t>mg (0.02</w:t>
      </w:r>
      <w:r>
        <w:t> </w:t>
      </w:r>
      <w:r w:rsidRPr="00CD13D2">
        <w:t>mL of solution) ranibizumab formulation, refilled every 24 weeks (approximately every 6</w:t>
      </w:r>
      <w:r>
        <w:t> </w:t>
      </w:r>
      <w:r w:rsidRPr="00CD13D2">
        <w:t>months).</w:t>
      </w:r>
    </w:p>
    <w:p w14:paraId="52749D50" w14:textId="48709480" w:rsidR="0029763A" w:rsidRDefault="0029763A" w:rsidP="00966670">
      <w:pPr>
        <w:spacing w:before="240"/>
      </w:pPr>
      <w:r>
        <w:t xml:space="preserve">MSAC noted the consultation feedback from the Macular Disease Foundation Australia and the Royal Australian and New Zealand College of Ophthalmologists (RANZCO), which was supportive. Both organisations identified patient groups who would be most likely to benefit from </w:t>
      </w:r>
      <w:r w:rsidR="00E25A63">
        <w:t xml:space="preserve">the </w:t>
      </w:r>
      <w:r>
        <w:t xml:space="preserve">PDS. RANZCO also noted the differences in comparative safety between intravitreal (IVT) injections and </w:t>
      </w:r>
      <w:r w:rsidR="00606541">
        <w:t xml:space="preserve">the </w:t>
      </w:r>
      <w:r>
        <w:t>PDS.</w:t>
      </w:r>
    </w:p>
    <w:p w14:paraId="7B1C2E6B" w14:textId="2DAA199F" w:rsidR="0002000A" w:rsidRDefault="0002000A" w:rsidP="00966670">
      <w:pPr>
        <w:spacing w:before="240"/>
      </w:pPr>
      <w:r>
        <w:t xml:space="preserve">MSAC noted the Department’s suggested amendments to the proposed MBS item descriptors and the applicant’s agreement with these in its pre-MSAC response. MSAC </w:t>
      </w:r>
      <w:r w:rsidR="00844B4E">
        <w:t xml:space="preserve">advised against </w:t>
      </w:r>
      <w:r>
        <w:t xml:space="preserve">a generic reference to “ocular implant” in the item descriptor, given that the implant device is new and not comparable to existing devices, and the method of implantation is also new. MSAC considered that limiting the number of implants or explants a patient can receive during their lifetime is unnecessary, because explantation of the device would only be because of serious complications, and </w:t>
      </w:r>
      <w:r w:rsidR="00606541">
        <w:t xml:space="preserve">any </w:t>
      </w:r>
      <w:r>
        <w:t>reimplantation would require serious consideration by the patient and the surgeon (as noted in the pre-MSAC response). MSAC advised that,</w:t>
      </w:r>
      <w:r w:rsidRPr="00744112">
        <w:t xml:space="preserve"> </w:t>
      </w:r>
      <w:r>
        <w:t xml:space="preserve">to avoid double claiming, the MBS item </w:t>
      </w:r>
      <w:r w:rsidR="001154FC">
        <w:t xml:space="preserve">descriptor </w:t>
      </w:r>
      <w:r>
        <w:t>for the implant</w:t>
      </w:r>
      <w:r w:rsidR="001154FC">
        <w:t>ation</w:t>
      </w:r>
      <w:r>
        <w:t xml:space="preserve"> and initial fill </w:t>
      </w:r>
      <w:r w:rsidR="001154FC">
        <w:t xml:space="preserve">procedure </w:t>
      </w:r>
      <w:r>
        <w:t xml:space="preserve">should specify that the procedure includes conjunctival peritomy, pars planar sclerotomy and ciliary body </w:t>
      </w:r>
      <w:proofErr w:type="spellStart"/>
      <w:r>
        <w:t>endolaser</w:t>
      </w:r>
      <w:proofErr w:type="spellEnd"/>
      <w:r>
        <w:t>, or should state that the item cannot be co-claimed with items 42725 or 42809.</w:t>
      </w:r>
    </w:p>
    <w:p w14:paraId="6906F814" w14:textId="3B22E597" w:rsidR="001154FC" w:rsidRDefault="001154FC" w:rsidP="00966670">
      <w:pPr>
        <w:spacing w:before="240"/>
      </w:pPr>
      <w:r>
        <w:t>MSAC considered that the proposed MBS fees for the implantation and initial fill procedure and for the explantation procedure were reasonably justified with reference to relevant existing MBS benchmarks.</w:t>
      </w:r>
    </w:p>
    <w:p w14:paraId="12822A86" w14:textId="216780A2" w:rsidR="0002000A" w:rsidRDefault="00005B78" w:rsidP="00966670">
      <w:pPr>
        <w:spacing w:before="240"/>
      </w:pPr>
      <w:r>
        <w:t xml:space="preserve">MSAC supported a separate MBS item for the refill-exchange procedure. </w:t>
      </w:r>
      <w:r w:rsidR="0002000A">
        <w:t xml:space="preserve">MSAC noted that the proposed MBS fee for the refill-exchange </w:t>
      </w:r>
      <w:r w:rsidR="001154FC">
        <w:t xml:space="preserve">procedure </w:t>
      </w:r>
      <w:r w:rsidR="0002000A">
        <w:t xml:space="preserve">was based on similar time and complexity of ocular procedures covered under existing MBS items for IVT injections. </w:t>
      </w:r>
      <w:r w:rsidR="00561FB5">
        <w:t>MSAC had no objections to this proposal.</w:t>
      </w:r>
      <w:r w:rsidR="00484D29">
        <w:t xml:space="preserve"> </w:t>
      </w:r>
      <w:r w:rsidR="0002000A">
        <w:t xml:space="preserve">However, </w:t>
      </w:r>
      <w:r w:rsidR="00391A47">
        <w:t xml:space="preserve">MSAC supported a fee reduction of IVT injections, noting that listings of the various anti-VEGF medicines on the PBS had been associated with large increases in MBS billing for the associated regular IVT injections. In this context, </w:t>
      </w:r>
      <w:r w:rsidR="0002000A">
        <w:t xml:space="preserve">MSAC noted that the MBS Review Taskforce </w:t>
      </w:r>
      <w:r>
        <w:t>R</w:t>
      </w:r>
      <w:r w:rsidR="0002000A">
        <w:t xml:space="preserve">eview of </w:t>
      </w:r>
      <w:r>
        <w:t>O</w:t>
      </w:r>
      <w:r w:rsidR="0002000A">
        <w:t xml:space="preserve">phthalmology </w:t>
      </w:r>
      <w:r>
        <w:t>I</w:t>
      </w:r>
      <w:r w:rsidR="0002000A">
        <w:t>tems had proposed reducing the fee for these items from $312.95 to $97.40, to align with other items of similar complexity. MSAC noted the substantial volume of feedback received by the Taskforce from clinicians, private health peak bodies and public hospitals that opposed the fee reduction.</w:t>
      </w:r>
      <w:r w:rsidR="00391A47">
        <w:t xml:space="preserve"> This suggested that if ophthalmologists did not similarly reduce the fees they charged, this would increase out-of-pocket costs for consumers.</w:t>
      </w:r>
      <w:r>
        <w:t xml:space="preserve"> MSAC advised that, if the current fee for IVT injections is reduced, then the fee for the PDS refill-exchange procedure should also be reduced to match this reduced fee due to their similar time requirements and complexity.</w:t>
      </w:r>
    </w:p>
    <w:p w14:paraId="5EC3EAD7" w14:textId="47CCB75C" w:rsidR="0029763A" w:rsidRDefault="0029763A" w:rsidP="00966670">
      <w:pPr>
        <w:spacing w:before="240"/>
      </w:pPr>
      <w:r>
        <w:t xml:space="preserve">MSAC noted that </w:t>
      </w:r>
      <w:r w:rsidR="00391A47">
        <w:t xml:space="preserve">the </w:t>
      </w:r>
      <w:r>
        <w:t xml:space="preserve">PDS </w:t>
      </w:r>
      <w:r w:rsidR="00391A47">
        <w:t>would</w:t>
      </w:r>
      <w:r>
        <w:t xml:space="preserve"> not change the current treatment management pathway, but it is intended to provide an alternative method of treatment delivery to the regular IVT injections that are the current standard of </w:t>
      </w:r>
      <w:r w:rsidR="00116104">
        <w:t>treatment delivery</w:t>
      </w:r>
      <w:r>
        <w:t xml:space="preserve"> for </w:t>
      </w:r>
      <w:proofErr w:type="spellStart"/>
      <w:r>
        <w:t>nAMD</w:t>
      </w:r>
      <w:proofErr w:type="spellEnd"/>
      <w:r>
        <w:t xml:space="preserve"> and are given at intervals of 4 weeks or longer. MSAC considered that IVT injection </w:t>
      </w:r>
      <w:r w:rsidR="00116104">
        <w:t>of an anti</w:t>
      </w:r>
      <w:r w:rsidR="00CC21B1">
        <w:t>-</w:t>
      </w:r>
      <w:r w:rsidR="00116104">
        <w:t xml:space="preserve">VEGF treatment </w:t>
      </w:r>
      <w:r>
        <w:t>was the appropriate comparator.</w:t>
      </w:r>
    </w:p>
    <w:p w14:paraId="734F35B0" w14:textId="77777777" w:rsidR="001154FC" w:rsidRDefault="001154FC" w:rsidP="00966670">
      <w:pPr>
        <w:spacing w:before="240"/>
      </w:pPr>
      <w:r>
        <w:t>MSAC did not agree with the applicant that the majority of procedures would be conducted in private settings (hospital or clinic</w:t>
      </w:r>
      <w:proofErr w:type="gramStart"/>
      <w:r>
        <w:t>), and</w:t>
      </w:r>
      <w:proofErr w:type="gramEnd"/>
      <w:r>
        <w:t xml:space="preserve"> considered that the procedure would also be performed in public hospital settings. MSAC also noted that the procedure would likely be limited to retinal specialists at first, with eventual expansion to general ophthalmologists.</w:t>
      </w:r>
    </w:p>
    <w:p w14:paraId="1D151FB6" w14:textId="7A3D760F" w:rsidR="0029763A" w:rsidRDefault="0029763A" w:rsidP="0029763A">
      <w:r>
        <w:lastRenderedPageBreak/>
        <w:t xml:space="preserve">MSAC </w:t>
      </w:r>
      <w:r w:rsidR="0029710A">
        <w:t xml:space="preserve">considered that </w:t>
      </w:r>
      <w:r>
        <w:t xml:space="preserve">the clinical need addressed by this application </w:t>
      </w:r>
      <w:r w:rsidR="0029710A">
        <w:t xml:space="preserve">was limited because </w:t>
      </w:r>
      <w:r>
        <w:t>patients must demonstrate responsiveness to previous IVT inject</w:t>
      </w:r>
      <w:r w:rsidR="00606541">
        <w:t>ed</w:t>
      </w:r>
      <w:r>
        <w:t xml:space="preserve"> treatment before they are eligible for </w:t>
      </w:r>
      <w:r w:rsidR="00606541">
        <w:t xml:space="preserve">the </w:t>
      </w:r>
      <w:r>
        <w:t xml:space="preserve">PDS. MSAC therefore considered that the application did not address unmet needs of patients who are not currently accessing </w:t>
      </w:r>
      <w:proofErr w:type="gramStart"/>
      <w:r>
        <w:t>treatment</w:t>
      </w:r>
      <w:r w:rsidR="0029710A">
        <w:t>, but</w:t>
      </w:r>
      <w:proofErr w:type="gramEnd"/>
      <w:r w:rsidR="0029710A">
        <w:t xml:space="preserve"> provided an alternative option for those who would prefer less </w:t>
      </w:r>
      <w:r w:rsidR="00744112">
        <w:t>frequent doses of therapy</w:t>
      </w:r>
      <w:r>
        <w:t>.</w:t>
      </w:r>
      <w:r w:rsidR="00744112">
        <w:t xml:space="preserve"> </w:t>
      </w:r>
      <w:r w:rsidR="00744112" w:rsidRPr="00705E04">
        <w:t xml:space="preserve">Results of the PDS patient preference questionnaire in </w:t>
      </w:r>
      <w:r w:rsidR="00744112">
        <w:t>the key Phase III trial (</w:t>
      </w:r>
      <w:r w:rsidR="00744112" w:rsidRPr="00705E04">
        <w:t>ARCHWAY</w:t>
      </w:r>
      <w:r w:rsidR="00744112">
        <w:t>)</w:t>
      </w:r>
      <w:r w:rsidR="00744112" w:rsidRPr="00705E04">
        <w:t xml:space="preserve"> reported that 93.2% (218/234) of patients </w:t>
      </w:r>
      <w:r w:rsidR="00844B4E">
        <w:t xml:space="preserve">randomised to </w:t>
      </w:r>
      <w:r w:rsidR="00606541">
        <w:t xml:space="preserve">the </w:t>
      </w:r>
      <w:r w:rsidR="00844B4E">
        <w:t xml:space="preserve">PDS </w:t>
      </w:r>
      <w:r w:rsidR="00744112" w:rsidRPr="00705E04">
        <w:t xml:space="preserve">preferred </w:t>
      </w:r>
      <w:r w:rsidR="00606541">
        <w:t xml:space="preserve">the </w:t>
      </w:r>
      <w:r w:rsidR="00744112" w:rsidRPr="00705E04">
        <w:t xml:space="preserve">PDS over IVT injections. </w:t>
      </w:r>
      <w:r w:rsidR="00744112" w:rsidRPr="00953EFA">
        <w:t xml:space="preserve">Common reasons for </w:t>
      </w:r>
      <w:r w:rsidR="00744112">
        <w:t xml:space="preserve">this </w:t>
      </w:r>
      <w:r w:rsidR="00744112" w:rsidRPr="00953EFA">
        <w:t xml:space="preserve">preference </w:t>
      </w:r>
      <w:r w:rsidR="00744112">
        <w:t>were</w:t>
      </w:r>
      <w:r w:rsidR="00744112" w:rsidRPr="00953EFA">
        <w:t xml:space="preserve"> fewer treatments and less discomfort</w:t>
      </w:r>
      <w:r w:rsidR="00744112">
        <w:t xml:space="preserve"> associated with the treatment.</w:t>
      </w:r>
    </w:p>
    <w:p w14:paraId="77D7D0B6" w14:textId="5AA2D85A" w:rsidR="0029763A" w:rsidRDefault="0029763A" w:rsidP="00966670">
      <w:pPr>
        <w:spacing w:before="240"/>
      </w:pPr>
      <w:r>
        <w:t>MSAC noted d</w:t>
      </w:r>
      <w:r w:rsidRPr="00676106">
        <w:t xml:space="preserve">ata </w:t>
      </w:r>
      <w:r>
        <w:t xml:space="preserve">on safety and efficacy </w:t>
      </w:r>
      <w:r w:rsidRPr="00676106">
        <w:t xml:space="preserve">from the </w:t>
      </w:r>
      <w:r>
        <w:t>ARCHWAY</w:t>
      </w:r>
      <w:r w:rsidR="00744112">
        <w:t xml:space="preserve"> trial</w:t>
      </w:r>
      <w:r>
        <w:t xml:space="preserve"> and the extended safety assessment up to 96 weeks. The studies indicated that t</w:t>
      </w:r>
      <w:r w:rsidRPr="00705E04">
        <w:t>he ocular implant procedure and refill</w:t>
      </w:r>
      <w:r w:rsidRPr="00705E04">
        <w:noBreakHyphen/>
        <w:t xml:space="preserve">exchange procedures were generally well tolerated, </w:t>
      </w:r>
      <w:r>
        <w:t xml:space="preserve">but </w:t>
      </w:r>
      <w:r w:rsidRPr="00705E04">
        <w:t xml:space="preserve">the </w:t>
      </w:r>
      <w:r>
        <w:t xml:space="preserve">adverse effect </w:t>
      </w:r>
      <w:r w:rsidRPr="00705E04">
        <w:t xml:space="preserve">profile of PDS treatment </w:t>
      </w:r>
      <w:r>
        <w:t xml:space="preserve">was less favourable than </w:t>
      </w:r>
      <w:r w:rsidRPr="00705E04">
        <w:t xml:space="preserve">monthly IVT ranibizumab treatment. </w:t>
      </w:r>
      <w:r>
        <w:t xml:space="preserve">MSAC noted that the </w:t>
      </w:r>
      <w:r w:rsidR="00744112">
        <w:t xml:space="preserve">initial </w:t>
      </w:r>
      <w:r>
        <w:t xml:space="preserve">trial period included only a single refill-exchange of </w:t>
      </w:r>
      <w:r w:rsidR="00606541">
        <w:t xml:space="preserve">the </w:t>
      </w:r>
      <w:proofErr w:type="gramStart"/>
      <w:r>
        <w:t>PDS, and</w:t>
      </w:r>
      <w:proofErr w:type="gramEnd"/>
      <w:r>
        <w:t xml:space="preserve"> </w:t>
      </w:r>
      <w:r w:rsidR="00744112">
        <w:t xml:space="preserve">considered </w:t>
      </w:r>
      <w:r>
        <w:t xml:space="preserve">that some adverse events were attributed to </w:t>
      </w:r>
      <w:r w:rsidR="00606541">
        <w:t xml:space="preserve">the </w:t>
      </w:r>
      <w:r>
        <w:t xml:space="preserve">PDS being a new device that involves a learning curve for clinicians, suggesting that </w:t>
      </w:r>
      <w:r w:rsidR="00A34692">
        <w:t xml:space="preserve">procedure </w:t>
      </w:r>
      <w:r>
        <w:t xml:space="preserve">complications may be more common in </w:t>
      </w:r>
      <w:r w:rsidR="00744112">
        <w:t>practice</w:t>
      </w:r>
      <w:r>
        <w:t xml:space="preserve"> than in the trial setting. MSAC considered that the follow-up period of 96 weeks was not sufficiently long for a lifetime device. Overall, MSAC considered that </w:t>
      </w:r>
      <w:r w:rsidR="00606541">
        <w:t xml:space="preserve">the </w:t>
      </w:r>
      <w:r>
        <w:t>PDS did not have non-inferior safety compared with IVT</w:t>
      </w:r>
      <w:r w:rsidR="00606541">
        <w:t xml:space="preserve"> injections</w:t>
      </w:r>
      <w:r>
        <w:t>, but that the adverse events were manageable.</w:t>
      </w:r>
    </w:p>
    <w:p w14:paraId="2D6EDF2A" w14:textId="2DEDAB1E" w:rsidR="0029763A" w:rsidRDefault="0029763A" w:rsidP="00966670">
      <w:pPr>
        <w:spacing w:before="240"/>
      </w:pPr>
      <w:r>
        <w:t xml:space="preserve">MSAC </w:t>
      </w:r>
      <w:r w:rsidR="00744112">
        <w:t xml:space="preserve">considered </w:t>
      </w:r>
      <w:r>
        <w:t>that</w:t>
      </w:r>
      <w:r w:rsidR="00744112">
        <w:t>, overall,</w:t>
      </w:r>
      <w:r>
        <w:t xml:space="preserve"> </w:t>
      </w:r>
      <w:r w:rsidR="00606541">
        <w:t xml:space="preserve">the </w:t>
      </w:r>
      <w:r>
        <w:t xml:space="preserve">PDS and IVT injections were </w:t>
      </w:r>
      <w:proofErr w:type="spellStart"/>
      <w:r>
        <w:t>equ</w:t>
      </w:r>
      <w:r w:rsidR="00744112">
        <w:t>i</w:t>
      </w:r>
      <w:proofErr w:type="spellEnd"/>
      <w:r w:rsidR="00744112">
        <w:t>-effective</w:t>
      </w:r>
      <w:r>
        <w:t xml:space="preserve"> during the trial period and follow-up period. MSAC noted that IVT injection intervals were fixed at 4 weeks during the trial</w:t>
      </w:r>
      <w:r w:rsidR="00A34692">
        <w:t xml:space="preserve"> with an intensive monitoring protocol</w:t>
      </w:r>
      <w:r>
        <w:t>, which does not reflect clinical practice in Australia, where “treat and extend” (T&amp;E) regimens are used</w:t>
      </w:r>
      <w:r w:rsidR="00606541">
        <w:t>,</w:t>
      </w:r>
      <w:r w:rsidR="00A34692">
        <w:t xml:space="preserve"> monitoring is not standardised</w:t>
      </w:r>
      <w:r w:rsidR="00ED0EF5">
        <w:t xml:space="preserve"> and difficult to predict in the context of the proposed PDS option</w:t>
      </w:r>
      <w:r>
        <w:t>. A total of 5.2% of patients in the PDS arm (13/241) required supplemental IVT injections during the 40 weeks of the trial. MSAC considered that it was uncertain whether this rate would be maintained over a longer time.</w:t>
      </w:r>
    </w:p>
    <w:p w14:paraId="04BBDB64" w14:textId="7D2D137B" w:rsidR="0029763A" w:rsidRDefault="0029763A" w:rsidP="00966670">
      <w:pPr>
        <w:spacing w:before="240"/>
      </w:pPr>
      <w:r>
        <w:t xml:space="preserve">MSAC noted that the economic evaluation was a cost-minimisation analysis based on the claim of non-inferior efficacy and inferior but manageable safety. The economic evaluation was assessed by the PBAC and was revised to incorporate the effective price of ranibizumab, which is committee-in-confidence with the PBAC. MSAC noted the proposed price </w:t>
      </w:r>
      <w:r w:rsidR="00606541">
        <w:t xml:space="preserve">of the proposed ranibizumab formulation </w:t>
      </w:r>
      <w:r>
        <w:t xml:space="preserve">was based on </w:t>
      </w:r>
      <w:proofErr w:type="spellStart"/>
      <w:r>
        <w:t>equi</w:t>
      </w:r>
      <w:proofErr w:type="spellEnd"/>
      <w:r>
        <w:t xml:space="preserve">-effective doses of 2.17 PDS administrations </w:t>
      </w:r>
      <w:r w:rsidR="00987A2B">
        <w:t xml:space="preserve">per patient </w:t>
      </w:r>
      <w:r>
        <w:t xml:space="preserve">per year and 7.09 IVT injections </w:t>
      </w:r>
      <w:r w:rsidR="00987A2B">
        <w:t xml:space="preserve">per patient </w:t>
      </w:r>
      <w:r>
        <w:t>per year (</w:t>
      </w:r>
      <w:r w:rsidR="00987A2B">
        <w:t xml:space="preserve">with the latter estimate </w:t>
      </w:r>
      <w:r>
        <w:t xml:space="preserve">based on </w:t>
      </w:r>
      <w:r w:rsidR="00987A2B">
        <w:t xml:space="preserve">an </w:t>
      </w:r>
      <w:r>
        <w:t xml:space="preserve">analysis from the Drug Utilisation Sub-Committee [DUSC] in 2018). However, an updated </w:t>
      </w:r>
      <w:r w:rsidR="0002000A">
        <w:t xml:space="preserve">analysis by the </w:t>
      </w:r>
      <w:r>
        <w:t xml:space="preserve">DUSC </w:t>
      </w:r>
      <w:r w:rsidR="0002000A">
        <w:t>secretariat</w:t>
      </w:r>
      <w:r>
        <w:t xml:space="preserve"> found that the </w:t>
      </w:r>
      <w:proofErr w:type="spellStart"/>
      <w:r>
        <w:t>equi</w:t>
      </w:r>
      <w:proofErr w:type="spellEnd"/>
      <w:r>
        <w:t xml:space="preserve">-effective doses </w:t>
      </w:r>
      <w:r w:rsidR="00987A2B">
        <w:t xml:space="preserve">per patient per year </w:t>
      </w:r>
      <w:r>
        <w:t xml:space="preserve">were 2.17 PDS </w:t>
      </w:r>
      <w:r w:rsidR="00606541">
        <w:t xml:space="preserve">administrations </w:t>
      </w:r>
      <w:r>
        <w:t>and 6.31 IVT injections</w:t>
      </w:r>
      <w:r w:rsidR="0002000A">
        <w:t>, and the applicant accepted this more recent basis for the cost-minimisation calculations</w:t>
      </w:r>
      <w:r>
        <w:t xml:space="preserve">. </w:t>
      </w:r>
      <w:r w:rsidR="00391A47">
        <w:t xml:space="preserve">MSAC also advised that the cost-minimisation calculations should also include hospital costs beyond </w:t>
      </w:r>
      <w:r w:rsidR="00391A47" w:rsidRPr="00EC68E2">
        <w:t>those of the device and the specialist implanting the device</w:t>
      </w:r>
      <w:r w:rsidR="00391A47">
        <w:t>.</w:t>
      </w:r>
    </w:p>
    <w:p w14:paraId="27798537" w14:textId="45515ECD" w:rsidR="0029763A" w:rsidRDefault="0029763A" w:rsidP="00966670">
      <w:pPr>
        <w:spacing w:before="240"/>
      </w:pPr>
      <w:r>
        <w:t xml:space="preserve">MSAC </w:t>
      </w:r>
      <w:r w:rsidR="00391A47">
        <w:t xml:space="preserve">also </w:t>
      </w:r>
      <w:r>
        <w:t xml:space="preserve">noted that the requested benefit for listing </w:t>
      </w:r>
      <w:r w:rsidR="00E25A63">
        <w:t xml:space="preserve">the </w:t>
      </w:r>
      <w:r>
        <w:t xml:space="preserve">PDS </w:t>
      </w:r>
      <w:r w:rsidR="00E25A63">
        <w:t xml:space="preserve">implant </w:t>
      </w:r>
      <w:r>
        <w:t xml:space="preserve">on the PL was $400, and that this had been incorporated in the cost-minimisation </w:t>
      </w:r>
      <w:r w:rsidR="00391A47">
        <w:t>calculations</w:t>
      </w:r>
      <w:r>
        <w:t xml:space="preserve">. MSAC had no objections to </w:t>
      </w:r>
      <w:r w:rsidR="003C2D3B">
        <w:t xml:space="preserve">the size of </w:t>
      </w:r>
      <w:r>
        <w:t>this requested benefit.</w:t>
      </w:r>
    </w:p>
    <w:p w14:paraId="2BBEF7EA" w14:textId="3BB47527" w:rsidR="00B60C7C" w:rsidRDefault="00987A2B" w:rsidP="00966670">
      <w:pPr>
        <w:spacing w:before="240"/>
      </w:pPr>
      <w:r>
        <w:t xml:space="preserve">MSAC </w:t>
      </w:r>
      <w:r w:rsidR="003C2D3B">
        <w:t xml:space="preserve">considered that there was a </w:t>
      </w:r>
      <w:r>
        <w:t xml:space="preserve">need </w:t>
      </w:r>
      <w:r w:rsidR="003C2D3B">
        <w:t>to</w:t>
      </w:r>
      <w:r>
        <w:t xml:space="preserve"> </w:t>
      </w:r>
      <w:r w:rsidR="00B60C7C">
        <w:t>update</w:t>
      </w:r>
      <w:r w:rsidR="003C2D3B">
        <w:t xml:space="preserve"> the </w:t>
      </w:r>
      <w:r w:rsidR="00B60C7C">
        <w:t xml:space="preserve">financial analysis </w:t>
      </w:r>
      <w:r w:rsidR="003C2D3B">
        <w:t xml:space="preserve">to reflect the </w:t>
      </w:r>
      <w:r>
        <w:t xml:space="preserve">updated estimate of 6.31 IVT injections per patient per year. </w:t>
      </w:r>
      <w:r w:rsidR="00B60C7C">
        <w:t xml:space="preserve">MSAC </w:t>
      </w:r>
      <w:r w:rsidR="003C2D3B">
        <w:t xml:space="preserve">also </w:t>
      </w:r>
      <w:r w:rsidR="00B60C7C">
        <w:t xml:space="preserve">noted that the MBS costs associated with adverse events were not included in the financial estimates. MSAC </w:t>
      </w:r>
      <w:r w:rsidR="00B60C7C">
        <w:lastRenderedPageBreak/>
        <w:t xml:space="preserve">considered that these costs would not </w:t>
      </w:r>
      <w:r>
        <w:t xml:space="preserve">greatly </w:t>
      </w:r>
      <w:r w:rsidR="00B60C7C">
        <w:t xml:space="preserve">affect the overall </w:t>
      </w:r>
      <w:proofErr w:type="gramStart"/>
      <w:r>
        <w:t>estimates,</w:t>
      </w:r>
      <w:r w:rsidR="00B60C7C">
        <w:t xml:space="preserve"> but</w:t>
      </w:r>
      <w:proofErr w:type="gramEnd"/>
      <w:r w:rsidR="00B60C7C">
        <w:t xml:space="preserve"> should be included for completeness.</w:t>
      </w:r>
    </w:p>
    <w:p w14:paraId="0130D09E" w14:textId="1FD87925" w:rsidR="0029763A" w:rsidRDefault="00987A2B" w:rsidP="00966670">
      <w:pPr>
        <w:spacing w:before="240"/>
      </w:pPr>
      <w:r>
        <w:t xml:space="preserve">MSAC advised that, if listed, the listing should be reviewed after 1–2 years, with an emphasis on monitoring </w:t>
      </w:r>
      <w:r w:rsidR="0029763A">
        <w:t>patient out-of-pocket costs over time</w:t>
      </w:r>
      <w:r w:rsidR="00C40564">
        <w:t xml:space="preserve"> given their unpredictability</w:t>
      </w:r>
      <w:r w:rsidR="0029763A">
        <w:t xml:space="preserve">. If </w:t>
      </w:r>
      <w:r>
        <w:t xml:space="preserve">the PDS implant is </w:t>
      </w:r>
      <w:r w:rsidR="0029763A">
        <w:t xml:space="preserve">listed on the PL, access to private health insurance may affect uptake. If </w:t>
      </w:r>
      <w:r>
        <w:t xml:space="preserve">it is </w:t>
      </w:r>
      <w:r w:rsidR="0029763A">
        <w:t xml:space="preserve">not listed on the PL, cost barriers for all patients may further reduce uptake. </w:t>
      </w:r>
      <w:r w:rsidR="00CF1CA1">
        <w:t xml:space="preserve">Optical coherence tomography (OCT) is covered under MBS item 11219 for diagnosis. </w:t>
      </w:r>
      <w:r>
        <w:t>However, MSAC noted that this item</w:t>
      </w:r>
      <w:r w:rsidR="0029763A">
        <w:t xml:space="preserve"> is </w:t>
      </w:r>
      <w:r w:rsidR="0002000A">
        <w:t xml:space="preserve">not </w:t>
      </w:r>
      <w:r w:rsidR="0029763A">
        <w:t xml:space="preserve">claimable </w:t>
      </w:r>
      <w:r w:rsidR="0002000A">
        <w:t>for monitoring treatment</w:t>
      </w:r>
      <w:r>
        <w:t xml:space="preserve"> and</w:t>
      </w:r>
      <w:r w:rsidR="0029763A">
        <w:t xml:space="preserve"> therefore could not be used for regular monitoring after PDS implantation.</w:t>
      </w:r>
    </w:p>
    <w:p w14:paraId="18BED726" w14:textId="0287029A" w:rsidR="007F41EB" w:rsidRDefault="00BC1364" w:rsidP="00386C21">
      <w:pPr>
        <w:pStyle w:val="Heading1"/>
        <w:ind w:left="709" w:hanging="709"/>
      </w:pPr>
      <w:r w:rsidRPr="00F715D1">
        <w:t>Background</w:t>
      </w:r>
    </w:p>
    <w:p w14:paraId="5E069D03" w14:textId="589BE811" w:rsidR="00292A65" w:rsidRDefault="00377FE7" w:rsidP="00377FE7">
      <w:r>
        <w:t xml:space="preserve">MSAC has not previously considered </w:t>
      </w:r>
      <w:r w:rsidR="00A610BD">
        <w:t>A</w:t>
      </w:r>
      <w:r>
        <w:t xml:space="preserve">pplication 1695. </w:t>
      </w:r>
      <w:r w:rsidR="006C1876">
        <w:t xml:space="preserve">Roche Products </w:t>
      </w:r>
      <w:r>
        <w:t xml:space="preserve">has lodged </w:t>
      </w:r>
      <w:r w:rsidR="006E4365">
        <w:t xml:space="preserve">a codependent application </w:t>
      </w:r>
      <w:r w:rsidR="00CB0073">
        <w:t>for</w:t>
      </w:r>
      <w:r>
        <w:t xml:space="preserve"> Pharmaceutical Benefits Advisory Committee (PBAC)</w:t>
      </w:r>
      <w:r w:rsidR="00CB0073">
        <w:t xml:space="preserve"> consideration</w:t>
      </w:r>
      <w:r>
        <w:t xml:space="preserve">, requesting Pharmaceutical Benefits Scheme (PBS) listing of a customised formulation of ranibizumab for the treatment of </w:t>
      </w:r>
      <w:proofErr w:type="spellStart"/>
      <w:r>
        <w:t>nAMD</w:t>
      </w:r>
      <w:proofErr w:type="spellEnd"/>
      <w:r>
        <w:t xml:space="preserve"> in patients who have responded to prior anti-VEGF treatment. </w:t>
      </w:r>
      <w:r w:rsidR="00FB2479" w:rsidRPr="00FC760D">
        <w:t xml:space="preserve">B </w:t>
      </w:r>
      <w:r w:rsidR="007D53A9" w:rsidRPr="00FB2479">
        <w:t>Braun</w:t>
      </w:r>
      <w:r>
        <w:t xml:space="preserve"> </w:t>
      </w:r>
      <w:r w:rsidR="00CB0073">
        <w:t xml:space="preserve">has </w:t>
      </w:r>
      <w:r>
        <w:t xml:space="preserve">lodged </w:t>
      </w:r>
      <w:r w:rsidR="006E4365">
        <w:t>a codependent application</w:t>
      </w:r>
      <w:r w:rsidR="00CB0073">
        <w:t xml:space="preserve"> </w:t>
      </w:r>
      <w:r>
        <w:t xml:space="preserve">requesting a Prostheses List </w:t>
      </w:r>
      <w:r w:rsidR="00A610BD">
        <w:t>listing</w:t>
      </w:r>
      <w:r>
        <w:t xml:space="preserve"> for the </w:t>
      </w:r>
      <w:r w:rsidR="0040407C">
        <w:t xml:space="preserve">PDS </w:t>
      </w:r>
      <w:r>
        <w:t>ocular implant</w:t>
      </w:r>
      <w:r w:rsidR="006E4365">
        <w:t>.</w:t>
      </w:r>
    </w:p>
    <w:p w14:paraId="2D660C5D" w14:textId="7566CA91" w:rsidR="0032136A" w:rsidRPr="00EC3E2F" w:rsidRDefault="009370D6" w:rsidP="006508EF">
      <w:pPr>
        <w:spacing w:before="240"/>
      </w:pPr>
      <w:r w:rsidRPr="00EC3E2F">
        <w:t xml:space="preserve">Intravitreal (IVT) injections with anti-VEGF drugs are the current standard of care for </w:t>
      </w:r>
      <w:proofErr w:type="spellStart"/>
      <w:r w:rsidRPr="00EC3E2F">
        <w:t>nAMD</w:t>
      </w:r>
      <w:proofErr w:type="spellEnd"/>
      <w:r w:rsidR="0032136A" w:rsidRPr="00EC3E2F">
        <w:t>,</w:t>
      </w:r>
      <w:r w:rsidRPr="00EC3E2F">
        <w:t xml:space="preserve"> </w:t>
      </w:r>
      <w:r w:rsidR="00582355" w:rsidRPr="00EC3E2F">
        <w:t>administered</w:t>
      </w:r>
      <w:r w:rsidRPr="00EC3E2F">
        <w:t xml:space="preserve"> by an ophthalmologist as an injection into the eye/s under a local anaesthetic. </w:t>
      </w:r>
      <w:r w:rsidR="00A213A2" w:rsidRPr="00EC3E2F">
        <w:t>The PBS</w:t>
      </w:r>
      <w:r w:rsidR="006E4365" w:rsidRPr="00EC3E2F">
        <w:t>-</w:t>
      </w:r>
      <w:r w:rsidR="00A213A2" w:rsidRPr="00EC3E2F">
        <w:t xml:space="preserve">listed medicines for </w:t>
      </w:r>
      <w:proofErr w:type="spellStart"/>
      <w:r w:rsidR="006E4365" w:rsidRPr="00EC3E2F">
        <w:t>n</w:t>
      </w:r>
      <w:r w:rsidR="00A213A2" w:rsidRPr="00EC3E2F">
        <w:t>AMD</w:t>
      </w:r>
      <w:proofErr w:type="spellEnd"/>
      <w:r w:rsidR="00A213A2" w:rsidRPr="00EC3E2F">
        <w:t xml:space="preserve">, diabetic macular oedema (DMO), branch retinal vein occlusion (BRVO) and central retinal vein occlusion (CRVO) are shown in </w:t>
      </w:r>
      <w:r w:rsidR="0040407C" w:rsidRPr="00EC3E2F">
        <w:t>T</w:t>
      </w:r>
      <w:r w:rsidR="005F2FD5" w:rsidRPr="00EC3E2F">
        <w:t>able 1.1</w:t>
      </w:r>
      <w:r w:rsidR="00A213A2" w:rsidRPr="00EC3E2F">
        <w:t>.</w:t>
      </w:r>
      <w:r w:rsidR="0032136A" w:rsidRPr="00EC3E2F">
        <w:t xml:space="preserve"> Bevacizumab is another monoclonal anti-VEGF therapy, </w:t>
      </w:r>
      <w:r w:rsidR="00623993" w:rsidRPr="00EC3E2F">
        <w:t>like</w:t>
      </w:r>
      <w:r w:rsidR="0032136A" w:rsidRPr="00EC3E2F">
        <w:t xml:space="preserve"> ranibizumab. However, it is </w:t>
      </w:r>
      <w:r w:rsidR="00BF7105" w:rsidRPr="00EC3E2F">
        <w:t>n</w:t>
      </w:r>
      <w:r w:rsidR="00CF5387" w:rsidRPr="00EC3E2F">
        <w:t>either</w:t>
      </w:r>
      <w:r w:rsidR="0032136A" w:rsidRPr="00EC3E2F">
        <w:t xml:space="preserve"> TGA</w:t>
      </w:r>
      <w:r w:rsidR="00422F18" w:rsidRPr="00EC3E2F">
        <w:t xml:space="preserve"> </w:t>
      </w:r>
      <w:proofErr w:type="gramStart"/>
      <w:r w:rsidR="00422F18" w:rsidRPr="00EC3E2F">
        <w:t>registered</w:t>
      </w:r>
      <w:proofErr w:type="gramEnd"/>
      <w:r w:rsidR="0032136A" w:rsidRPr="00EC3E2F">
        <w:t xml:space="preserve"> </w:t>
      </w:r>
      <w:r w:rsidR="00CF5387" w:rsidRPr="00EC3E2F">
        <w:t>n</w:t>
      </w:r>
      <w:r w:rsidR="0032136A" w:rsidRPr="00EC3E2F">
        <w:t>or PBS listed for ophthalmic indications.</w:t>
      </w:r>
    </w:p>
    <w:p w14:paraId="095CFCBB" w14:textId="2FA5C896" w:rsidR="00CF5387" w:rsidRPr="00EC3E2F" w:rsidRDefault="00CF5387" w:rsidP="00EC3E2F">
      <w:pPr>
        <w:spacing w:before="240" w:after="240"/>
      </w:pPr>
      <w:r w:rsidRPr="00EC3E2F">
        <w:t xml:space="preserve">These </w:t>
      </w:r>
      <w:r w:rsidR="00422F18" w:rsidRPr="00EC3E2F">
        <w:t xml:space="preserve">PBS </w:t>
      </w:r>
      <w:r w:rsidRPr="00EC3E2F">
        <w:t>listing</w:t>
      </w:r>
      <w:r w:rsidR="00422F18" w:rsidRPr="00EC3E2F">
        <w:t>s were associated with large increases in MBS billing for the associated procedures for these regular injections with a current fee of $312.95 per injection.</w:t>
      </w:r>
    </w:p>
    <w:p w14:paraId="5E55712E" w14:textId="76F8A5C2" w:rsidR="00A213A2" w:rsidRPr="00CF5387" w:rsidRDefault="005F2FD5" w:rsidP="00A213A2">
      <w:pPr>
        <w:pStyle w:val="Heading3"/>
        <w:rPr>
          <w:rFonts w:ascii="Arial Narrow" w:eastAsiaTheme="minorEastAsia" w:hAnsi="Arial Narrow"/>
          <w:b/>
          <w:bCs/>
          <w:color w:val="auto"/>
          <w:sz w:val="20"/>
          <w:szCs w:val="20"/>
        </w:rPr>
      </w:pPr>
      <w:bookmarkStart w:id="2" w:name="_Toc513038004"/>
      <w:r w:rsidRPr="00CF5387">
        <w:rPr>
          <w:rFonts w:ascii="Arial Narrow" w:eastAsiaTheme="minorEastAsia" w:hAnsi="Arial Narrow"/>
          <w:b/>
          <w:bCs/>
          <w:color w:val="auto"/>
          <w:sz w:val="20"/>
          <w:szCs w:val="20"/>
        </w:rPr>
        <w:t>Table 1.1</w:t>
      </w:r>
      <w:r w:rsidR="006E4365" w:rsidRPr="00CF5387">
        <w:rPr>
          <w:rFonts w:ascii="Arial Narrow" w:eastAsiaTheme="minorEastAsia" w:hAnsi="Arial Narrow"/>
          <w:b/>
          <w:bCs/>
          <w:color w:val="auto"/>
          <w:sz w:val="20"/>
          <w:szCs w:val="20"/>
        </w:rPr>
        <w:t>: Anti-</w:t>
      </w:r>
      <w:r w:rsidR="0040407C" w:rsidRPr="00CF5387">
        <w:rPr>
          <w:rFonts w:ascii="Arial Narrow" w:eastAsiaTheme="minorEastAsia" w:hAnsi="Arial Narrow"/>
          <w:b/>
          <w:bCs/>
          <w:color w:val="auto"/>
          <w:sz w:val="20"/>
          <w:szCs w:val="20"/>
        </w:rPr>
        <w:t>vascular endothelial growth factor l</w:t>
      </w:r>
      <w:r w:rsidR="00A213A2" w:rsidRPr="00CF5387">
        <w:rPr>
          <w:rFonts w:ascii="Arial Narrow" w:eastAsiaTheme="minorEastAsia" w:hAnsi="Arial Narrow"/>
          <w:b/>
          <w:bCs/>
          <w:color w:val="auto"/>
          <w:sz w:val="20"/>
          <w:szCs w:val="20"/>
        </w:rPr>
        <w:t>isting</w:t>
      </w:r>
      <w:r w:rsidR="0040407C" w:rsidRPr="00CF5387">
        <w:rPr>
          <w:rFonts w:ascii="Arial Narrow" w:eastAsiaTheme="minorEastAsia" w:hAnsi="Arial Narrow"/>
          <w:b/>
          <w:bCs/>
          <w:color w:val="auto"/>
          <w:sz w:val="20"/>
          <w:szCs w:val="20"/>
        </w:rPr>
        <w:t>s</w:t>
      </w:r>
      <w:r w:rsidR="00A213A2" w:rsidRPr="00CF5387">
        <w:rPr>
          <w:rFonts w:ascii="Arial Narrow" w:eastAsiaTheme="minorEastAsia" w:hAnsi="Arial Narrow"/>
          <w:b/>
          <w:bCs/>
          <w:color w:val="auto"/>
          <w:sz w:val="20"/>
          <w:szCs w:val="20"/>
        </w:rPr>
        <w:t xml:space="preserve"> on the Pharmaceutical Benefits Scheme (PBS)</w:t>
      </w:r>
      <w:bookmarkEnd w:id="2"/>
    </w:p>
    <w:tbl>
      <w:tblPr>
        <w:tblStyle w:val="TableGrid"/>
        <w:tblW w:w="9180" w:type="dxa"/>
        <w:tblLook w:val="04A0" w:firstRow="1" w:lastRow="0" w:firstColumn="1" w:lastColumn="0" w:noHBand="0" w:noVBand="1"/>
        <w:tblCaption w:val="PBS listing dates"/>
        <w:tblDescription w:val="Summary of listings for ranibizumab and aflibercept"/>
      </w:tblPr>
      <w:tblGrid>
        <w:gridCol w:w="1809"/>
        <w:gridCol w:w="5529"/>
        <w:gridCol w:w="1842"/>
      </w:tblGrid>
      <w:tr w:rsidR="00A213A2" w:rsidRPr="005F2FD5" w14:paraId="6628B34A" w14:textId="77777777" w:rsidTr="00A213A2">
        <w:trPr>
          <w:tblHeader/>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3DF7C" w14:textId="77777777" w:rsidR="00A213A2" w:rsidRPr="005F2FD5" w:rsidRDefault="00A213A2">
            <w:pPr>
              <w:pStyle w:val="Tableheading0"/>
              <w:keepNext/>
              <w:rPr>
                <w:rFonts w:ascii="Arial Narrow" w:hAnsi="Arial Narrow"/>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14F7E" w14:textId="77777777" w:rsidR="00A213A2" w:rsidRPr="005F2FD5" w:rsidRDefault="00A213A2">
            <w:pPr>
              <w:pStyle w:val="Tableheading0"/>
              <w:keepNext/>
              <w:rPr>
                <w:rFonts w:ascii="Arial Narrow" w:hAnsi="Arial Narrow"/>
                <w:sz w:val="20"/>
                <w:szCs w:val="20"/>
              </w:rPr>
            </w:pPr>
            <w:r w:rsidRPr="005F2FD5">
              <w:rPr>
                <w:rFonts w:ascii="Arial Narrow" w:hAnsi="Arial Narrow"/>
                <w:sz w:val="20"/>
                <w:szCs w:val="20"/>
              </w:rPr>
              <w:t>Abridged restriction</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537E7F" w14:textId="77777777" w:rsidR="00A213A2" w:rsidRPr="005F2FD5" w:rsidRDefault="00A213A2">
            <w:pPr>
              <w:pStyle w:val="Tableheading0"/>
              <w:keepNext/>
              <w:rPr>
                <w:rFonts w:ascii="Arial Narrow" w:hAnsi="Arial Narrow"/>
                <w:sz w:val="20"/>
                <w:szCs w:val="20"/>
              </w:rPr>
            </w:pPr>
            <w:r w:rsidRPr="005F2FD5">
              <w:rPr>
                <w:rFonts w:ascii="Arial Narrow" w:hAnsi="Arial Narrow"/>
                <w:sz w:val="20"/>
                <w:szCs w:val="20"/>
              </w:rPr>
              <w:t>Date listed</w:t>
            </w:r>
          </w:p>
        </w:tc>
      </w:tr>
      <w:tr w:rsidR="00A213A2" w:rsidRPr="005F2FD5" w14:paraId="383A1085"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4272FFF7" w14:textId="77777777" w:rsidR="00A213A2" w:rsidRPr="005F2FD5" w:rsidRDefault="00A213A2">
            <w:pPr>
              <w:keepNext/>
              <w:rPr>
                <w:rFonts w:ascii="Arial Narrow" w:hAnsi="Arial Narrow" w:cs="Calibri"/>
                <w:color w:val="000000"/>
                <w:sz w:val="20"/>
              </w:rPr>
            </w:pPr>
            <w:r w:rsidRPr="005F2FD5">
              <w:rPr>
                <w:rFonts w:ascii="Arial Narrow" w:hAnsi="Arial Narrow" w:cs="Calibri"/>
                <w:color w:val="000000"/>
                <w:sz w:val="20"/>
              </w:rPr>
              <w:t>Ranibizumab</w:t>
            </w:r>
          </w:p>
        </w:tc>
        <w:tc>
          <w:tcPr>
            <w:tcW w:w="5529" w:type="dxa"/>
            <w:tcBorders>
              <w:top w:val="single" w:sz="4" w:space="0" w:color="auto"/>
              <w:left w:val="single" w:sz="4" w:space="0" w:color="auto"/>
              <w:bottom w:val="single" w:sz="4" w:space="0" w:color="auto"/>
              <w:right w:val="single" w:sz="4" w:space="0" w:color="auto"/>
            </w:tcBorders>
            <w:hideMark/>
          </w:tcPr>
          <w:p w14:paraId="50D277A7" w14:textId="77777777" w:rsidR="00A213A2" w:rsidRPr="005F2FD5" w:rsidRDefault="00A213A2">
            <w:pPr>
              <w:keepNext/>
              <w:rPr>
                <w:rFonts w:ascii="Arial Narrow" w:hAnsi="Arial Narrow" w:cs="Calibri"/>
                <w:color w:val="000000"/>
                <w:sz w:val="20"/>
              </w:rPr>
            </w:pPr>
            <w:proofErr w:type="spellStart"/>
            <w:r w:rsidRPr="005F2FD5">
              <w:rPr>
                <w:rFonts w:ascii="Arial Narrow" w:hAnsi="Arial Narrow" w:cs="Calibri"/>
                <w:color w:val="000000"/>
                <w:sz w:val="20"/>
              </w:rPr>
              <w:t>Subfoveal</w:t>
            </w:r>
            <w:proofErr w:type="spellEnd"/>
            <w:r w:rsidRPr="005F2FD5">
              <w:rPr>
                <w:rFonts w:ascii="Arial Narrow" w:hAnsi="Arial Narrow" w:cs="Calibri"/>
                <w:color w:val="000000"/>
                <w:sz w:val="20"/>
              </w:rPr>
              <w:t xml:space="preserve"> choroidal neovascularisation (CNV) due to age-related macular degeneration (AMD).</w:t>
            </w:r>
          </w:p>
        </w:tc>
        <w:tc>
          <w:tcPr>
            <w:tcW w:w="1842" w:type="dxa"/>
            <w:tcBorders>
              <w:top w:val="single" w:sz="4" w:space="0" w:color="auto"/>
              <w:left w:val="single" w:sz="4" w:space="0" w:color="auto"/>
              <w:bottom w:val="single" w:sz="4" w:space="0" w:color="auto"/>
              <w:right w:val="single" w:sz="4" w:space="0" w:color="auto"/>
            </w:tcBorders>
            <w:hideMark/>
          </w:tcPr>
          <w:p w14:paraId="3545221A" w14:textId="77777777" w:rsidR="00A213A2" w:rsidRPr="005F2FD5" w:rsidRDefault="00A213A2">
            <w:pPr>
              <w:keepNext/>
              <w:rPr>
                <w:rFonts w:ascii="Arial Narrow" w:hAnsi="Arial Narrow" w:cs="Calibri"/>
                <w:color w:val="000000"/>
                <w:sz w:val="20"/>
              </w:rPr>
            </w:pPr>
            <w:r w:rsidRPr="005F2FD5">
              <w:rPr>
                <w:rFonts w:ascii="Arial Narrow" w:hAnsi="Arial Narrow" w:cs="Calibri"/>
                <w:color w:val="000000"/>
                <w:sz w:val="20"/>
              </w:rPr>
              <w:t>1 August 2007</w:t>
            </w:r>
          </w:p>
        </w:tc>
      </w:tr>
      <w:tr w:rsidR="00A213A2" w:rsidRPr="005F2FD5" w14:paraId="060CE420"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26988653" w14:textId="77777777" w:rsidR="00A213A2" w:rsidRPr="005F2FD5" w:rsidRDefault="00A213A2">
            <w:pPr>
              <w:keepNext/>
              <w:rPr>
                <w:rFonts w:ascii="Arial Narrow" w:hAnsi="Arial Narrow" w:cs="Calibri"/>
                <w:color w:val="000000"/>
                <w:sz w:val="20"/>
              </w:rPr>
            </w:pPr>
            <w:r w:rsidRPr="005F2FD5">
              <w:rPr>
                <w:rFonts w:ascii="Arial Narrow" w:hAnsi="Arial Narrow" w:cs="Calibri"/>
                <w:color w:val="000000"/>
                <w:sz w:val="20"/>
              </w:rPr>
              <w:t>Aflibercept</w:t>
            </w:r>
          </w:p>
        </w:tc>
        <w:tc>
          <w:tcPr>
            <w:tcW w:w="5529" w:type="dxa"/>
            <w:tcBorders>
              <w:top w:val="single" w:sz="4" w:space="0" w:color="auto"/>
              <w:left w:val="single" w:sz="4" w:space="0" w:color="auto"/>
              <w:bottom w:val="single" w:sz="4" w:space="0" w:color="auto"/>
              <w:right w:val="single" w:sz="4" w:space="0" w:color="auto"/>
            </w:tcBorders>
            <w:hideMark/>
          </w:tcPr>
          <w:p w14:paraId="4465E6FC" w14:textId="77777777" w:rsidR="00A213A2" w:rsidRPr="005F2FD5" w:rsidRDefault="00A213A2">
            <w:pPr>
              <w:keepNext/>
              <w:rPr>
                <w:rFonts w:ascii="Arial Narrow" w:hAnsi="Arial Narrow" w:cs="Calibri"/>
                <w:color w:val="000000"/>
                <w:sz w:val="20"/>
              </w:rPr>
            </w:pPr>
            <w:r w:rsidRPr="005F2FD5">
              <w:rPr>
                <w:rFonts w:ascii="Arial Narrow" w:hAnsi="Arial Narrow" w:cs="Calibri"/>
                <w:color w:val="000000"/>
                <w:sz w:val="20"/>
              </w:rPr>
              <w:t>CNV due to AMD.</w:t>
            </w:r>
          </w:p>
        </w:tc>
        <w:tc>
          <w:tcPr>
            <w:tcW w:w="1842" w:type="dxa"/>
            <w:tcBorders>
              <w:top w:val="single" w:sz="4" w:space="0" w:color="auto"/>
              <w:left w:val="single" w:sz="4" w:space="0" w:color="auto"/>
              <w:bottom w:val="single" w:sz="4" w:space="0" w:color="auto"/>
              <w:right w:val="single" w:sz="4" w:space="0" w:color="auto"/>
            </w:tcBorders>
            <w:hideMark/>
          </w:tcPr>
          <w:p w14:paraId="145B1A4E" w14:textId="77777777" w:rsidR="00A213A2" w:rsidRPr="005F2FD5" w:rsidRDefault="00A213A2">
            <w:pPr>
              <w:keepNext/>
              <w:rPr>
                <w:rFonts w:ascii="Arial Narrow" w:hAnsi="Arial Narrow" w:cs="Calibri"/>
                <w:color w:val="000000"/>
                <w:sz w:val="20"/>
              </w:rPr>
            </w:pPr>
            <w:r w:rsidRPr="005F2FD5">
              <w:rPr>
                <w:rFonts w:ascii="Arial Narrow" w:hAnsi="Arial Narrow" w:cs="Calibri"/>
                <w:color w:val="000000"/>
                <w:sz w:val="20"/>
              </w:rPr>
              <w:t>1 December 2012</w:t>
            </w:r>
          </w:p>
        </w:tc>
      </w:tr>
      <w:tr w:rsidR="00A213A2" w:rsidRPr="005F2FD5" w14:paraId="4ED63D10"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37986589" w14:textId="77777777" w:rsidR="00A213A2" w:rsidRPr="005F2FD5" w:rsidRDefault="00A213A2" w:rsidP="00CF5387">
            <w:pPr>
              <w:keepNext/>
              <w:rPr>
                <w:rFonts w:ascii="Arial Narrow" w:hAnsi="Arial Narrow" w:cs="Calibri"/>
                <w:color w:val="000000"/>
                <w:sz w:val="20"/>
              </w:rPr>
            </w:pPr>
            <w:r w:rsidRPr="005F2FD5">
              <w:rPr>
                <w:rFonts w:ascii="Arial Narrow" w:hAnsi="Arial Narrow" w:cs="Calibri"/>
                <w:color w:val="000000"/>
                <w:sz w:val="20"/>
              </w:rPr>
              <w:t>Ranibizumab</w:t>
            </w:r>
          </w:p>
        </w:tc>
        <w:tc>
          <w:tcPr>
            <w:tcW w:w="5529" w:type="dxa"/>
            <w:tcBorders>
              <w:top w:val="single" w:sz="4" w:space="0" w:color="auto"/>
              <w:left w:val="single" w:sz="4" w:space="0" w:color="auto"/>
              <w:bottom w:val="single" w:sz="4" w:space="0" w:color="auto"/>
              <w:right w:val="single" w:sz="4" w:space="0" w:color="auto"/>
            </w:tcBorders>
            <w:hideMark/>
          </w:tcPr>
          <w:p w14:paraId="6C7BFE4D" w14:textId="5581047E" w:rsidR="00A213A2" w:rsidRPr="005F2FD5" w:rsidRDefault="00A213A2">
            <w:pPr>
              <w:rPr>
                <w:rFonts w:ascii="Arial Narrow" w:hAnsi="Arial Narrow" w:cs="Calibri"/>
                <w:color w:val="000000"/>
                <w:sz w:val="20"/>
              </w:rPr>
            </w:pPr>
            <w:r w:rsidRPr="005F2FD5">
              <w:rPr>
                <w:rFonts w:ascii="Arial Narrow" w:hAnsi="Arial Narrow" w:cs="Calibri"/>
                <w:color w:val="000000"/>
                <w:sz w:val="20"/>
              </w:rPr>
              <w:t>Visual impairment due to macular oedema (MO) secondary to branch retinal vein occlusion (BVRO) and central retinal vein occlusion (CRVO).</w:t>
            </w:r>
          </w:p>
        </w:tc>
        <w:tc>
          <w:tcPr>
            <w:tcW w:w="1842" w:type="dxa"/>
            <w:tcBorders>
              <w:top w:val="single" w:sz="4" w:space="0" w:color="auto"/>
              <w:left w:val="single" w:sz="4" w:space="0" w:color="auto"/>
              <w:bottom w:val="single" w:sz="4" w:space="0" w:color="auto"/>
              <w:right w:val="single" w:sz="4" w:space="0" w:color="auto"/>
            </w:tcBorders>
            <w:hideMark/>
          </w:tcPr>
          <w:p w14:paraId="6BD7BF64" w14:textId="77777777" w:rsidR="00A213A2" w:rsidRPr="005F2FD5" w:rsidRDefault="00A213A2">
            <w:pPr>
              <w:rPr>
                <w:rFonts w:ascii="Arial Narrow" w:hAnsi="Arial Narrow" w:cs="Calibri"/>
                <w:color w:val="000000"/>
                <w:sz w:val="20"/>
              </w:rPr>
            </w:pPr>
            <w:r w:rsidRPr="005F2FD5">
              <w:rPr>
                <w:rFonts w:ascii="Arial Narrow" w:hAnsi="Arial Narrow" w:cs="Calibri"/>
                <w:color w:val="000000"/>
                <w:sz w:val="20"/>
              </w:rPr>
              <w:t>1 July 2015</w:t>
            </w:r>
          </w:p>
        </w:tc>
      </w:tr>
      <w:tr w:rsidR="00A213A2" w:rsidRPr="005F2FD5" w14:paraId="4D115731"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0BF171A5" w14:textId="77777777" w:rsidR="00A213A2" w:rsidRPr="005D2084" w:rsidRDefault="00A213A2" w:rsidP="00CF5387">
            <w:pPr>
              <w:keepNext/>
              <w:rPr>
                <w:rFonts w:ascii="Arial Narrow" w:hAnsi="Arial Narrow" w:cs="Calibri"/>
                <w:color w:val="000000"/>
                <w:sz w:val="20"/>
              </w:rPr>
            </w:pPr>
            <w:r w:rsidRPr="005D2084">
              <w:rPr>
                <w:rFonts w:ascii="Arial Narrow" w:hAnsi="Arial Narrow" w:cs="Calibri"/>
                <w:color w:val="000000"/>
                <w:sz w:val="20"/>
              </w:rPr>
              <w:t>Ranibizumab</w:t>
            </w:r>
          </w:p>
        </w:tc>
        <w:tc>
          <w:tcPr>
            <w:tcW w:w="5529" w:type="dxa"/>
            <w:tcBorders>
              <w:top w:val="single" w:sz="4" w:space="0" w:color="auto"/>
              <w:left w:val="single" w:sz="4" w:space="0" w:color="auto"/>
              <w:bottom w:val="single" w:sz="4" w:space="0" w:color="auto"/>
              <w:right w:val="single" w:sz="4" w:space="0" w:color="auto"/>
            </w:tcBorders>
            <w:hideMark/>
          </w:tcPr>
          <w:p w14:paraId="48A190D2" w14:textId="77777777" w:rsidR="00A213A2" w:rsidRPr="005D2084" w:rsidRDefault="00A213A2">
            <w:pPr>
              <w:rPr>
                <w:rFonts w:ascii="Arial Narrow" w:hAnsi="Arial Narrow" w:cs="Calibri"/>
                <w:color w:val="000000"/>
                <w:sz w:val="20"/>
              </w:rPr>
            </w:pPr>
            <w:r w:rsidRPr="005D2084">
              <w:rPr>
                <w:rFonts w:ascii="Arial Narrow" w:hAnsi="Arial Narrow" w:cs="Calibri"/>
                <w:color w:val="000000"/>
                <w:sz w:val="20"/>
              </w:rPr>
              <w:t>Visual impairment due to diabetic macular oedema (DMO).</w:t>
            </w:r>
          </w:p>
        </w:tc>
        <w:tc>
          <w:tcPr>
            <w:tcW w:w="1842" w:type="dxa"/>
            <w:tcBorders>
              <w:top w:val="single" w:sz="4" w:space="0" w:color="auto"/>
              <w:left w:val="single" w:sz="4" w:space="0" w:color="auto"/>
              <w:bottom w:val="single" w:sz="4" w:space="0" w:color="auto"/>
              <w:right w:val="single" w:sz="4" w:space="0" w:color="auto"/>
            </w:tcBorders>
            <w:hideMark/>
          </w:tcPr>
          <w:p w14:paraId="793DA5DF" w14:textId="77777777" w:rsidR="00A213A2" w:rsidRPr="005D2084" w:rsidRDefault="00A213A2">
            <w:pPr>
              <w:rPr>
                <w:rFonts w:ascii="Arial Narrow" w:hAnsi="Arial Narrow" w:cs="Calibri"/>
                <w:color w:val="000000"/>
                <w:sz w:val="20"/>
              </w:rPr>
            </w:pPr>
            <w:r w:rsidRPr="005D2084">
              <w:rPr>
                <w:rFonts w:ascii="Arial Narrow" w:hAnsi="Arial Narrow" w:cs="Calibri"/>
                <w:color w:val="000000"/>
                <w:sz w:val="20"/>
              </w:rPr>
              <w:t>1 July 2015</w:t>
            </w:r>
          </w:p>
        </w:tc>
      </w:tr>
      <w:tr w:rsidR="00A213A2" w:rsidRPr="005F2FD5" w14:paraId="15E25AE1"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2D4AE452" w14:textId="77777777" w:rsidR="00A213A2" w:rsidRPr="005D2084" w:rsidRDefault="00A213A2" w:rsidP="00CF5387">
            <w:pPr>
              <w:keepNext/>
              <w:rPr>
                <w:rFonts w:ascii="Arial Narrow" w:hAnsi="Arial Narrow" w:cs="Calibri"/>
                <w:color w:val="000000"/>
                <w:sz w:val="20"/>
              </w:rPr>
            </w:pPr>
            <w:r w:rsidRPr="005D2084">
              <w:rPr>
                <w:rFonts w:ascii="Arial Narrow" w:hAnsi="Arial Narrow" w:cs="Calibri"/>
                <w:color w:val="000000"/>
                <w:sz w:val="20"/>
              </w:rPr>
              <w:t>Aflibercept</w:t>
            </w:r>
          </w:p>
        </w:tc>
        <w:tc>
          <w:tcPr>
            <w:tcW w:w="5529" w:type="dxa"/>
            <w:tcBorders>
              <w:top w:val="single" w:sz="4" w:space="0" w:color="auto"/>
              <w:left w:val="single" w:sz="4" w:space="0" w:color="auto"/>
              <w:bottom w:val="single" w:sz="4" w:space="0" w:color="auto"/>
              <w:right w:val="single" w:sz="4" w:space="0" w:color="auto"/>
            </w:tcBorders>
            <w:hideMark/>
          </w:tcPr>
          <w:p w14:paraId="2D25D862" w14:textId="0A1AA6CC" w:rsidR="00A213A2" w:rsidRPr="005F2FD5" w:rsidRDefault="00A213A2">
            <w:pPr>
              <w:rPr>
                <w:rFonts w:ascii="Arial Narrow" w:hAnsi="Arial Narrow" w:cs="Calibri"/>
                <w:color w:val="000000"/>
                <w:sz w:val="20"/>
              </w:rPr>
            </w:pPr>
            <w:r w:rsidRPr="005D2084">
              <w:rPr>
                <w:rFonts w:ascii="Arial Narrow" w:hAnsi="Arial Narrow"/>
                <w:sz w:val="20"/>
              </w:rPr>
              <w:t xml:space="preserve">Visual impairment </w:t>
            </w:r>
            <w:r w:rsidRPr="005D2084">
              <w:rPr>
                <w:rFonts w:ascii="Arial Narrow" w:hAnsi="Arial Narrow" w:cs="Calibri"/>
                <w:color w:val="000000"/>
                <w:sz w:val="20"/>
              </w:rPr>
              <w:t>due to DMO.</w:t>
            </w:r>
          </w:p>
        </w:tc>
        <w:tc>
          <w:tcPr>
            <w:tcW w:w="1842" w:type="dxa"/>
            <w:tcBorders>
              <w:top w:val="single" w:sz="4" w:space="0" w:color="auto"/>
              <w:left w:val="single" w:sz="4" w:space="0" w:color="auto"/>
              <w:bottom w:val="single" w:sz="4" w:space="0" w:color="auto"/>
              <w:right w:val="single" w:sz="4" w:space="0" w:color="auto"/>
            </w:tcBorders>
            <w:hideMark/>
          </w:tcPr>
          <w:p w14:paraId="1FEB0317" w14:textId="77777777" w:rsidR="00A213A2" w:rsidRPr="005F2FD5" w:rsidRDefault="00A213A2">
            <w:pPr>
              <w:rPr>
                <w:rFonts w:ascii="Arial Narrow" w:hAnsi="Arial Narrow" w:cs="Calibri"/>
                <w:color w:val="000000"/>
                <w:sz w:val="20"/>
              </w:rPr>
            </w:pPr>
            <w:r w:rsidRPr="005F2FD5">
              <w:rPr>
                <w:rFonts w:ascii="Arial Narrow" w:hAnsi="Arial Narrow" w:cs="Calibri"/>
                <w:color w:val="000000"/>
                <w:sz w:val="20"/>
              </w:rPr>
              <w:t>1 October 2015</w:t>
            </w:r>
          </w:p>
        </w:tc>
      </w:tr>
      <w:tr w:rsidR="00A213A2" w:rsidRPr="005F2FD5" w14:paraId="6393068F"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27C53531" w14:textId="77777777" w:rsidR="00A213A2" w:rsidRPr="005F2FD5" w:rsidRDefault="00A213A2" w:rsidP="00CF5387">
            <w:pPr>
              <w:keepNext/>
              <w:rPr>
                <w:rFonts w:ascii="Arial Narrow" w:hAnsi="Arial Narrow" w:cs="Calibri"/>
                <w:color w:val="000000"/>
                <w:sz w:val="20"/>
              </w:rPr>
            </w:pPr>
            <w:r w:rsidRPr="005F2FD5">
              <w:rPr>
                <w:rFonts w:ascii="Arial Narrow" w:hAnsi="Arial Narrow" w:cs="Calibri"/>
                <w:color w:val="000000"/>
                <w:sz w:val="20"/>
              </w:rPr>
              <w:t>Aflibercept</w:t>
            </w:r>
          </w:p>
        </w:tc>
        <w:tc>
          <w:tcPr>
            <w:tcW w:w="5529" w:type="dxa"/>
            <w:tcBorders>
              <w:top w:val="single" w:sz="4" w:space="0" w:color="auto"/>
              <w:left w:val="single" w:sz="4" w:space="0" w:color="auto"/>
              <w:bottom w:val="single" w:sz="4" w:space="0" w:color="auto"/>
              <w:right w:val="single" w:sz="4" w:space="0" w:color="auto"/>
            </w:tcBorders>
            <w:hideMark/>
          </w:tcPr>
          <w:p w14:paraId="53966F44" w14:textId="77777777" w:rsidR="00A213A2" w:rsidRPr="005F2FD5" w:rsidRDefault="00A213A2">
            <w:pPr>
              <w:rPr>
                <w:rFonts w:ascii="Arial Narrow" w:hAnsi="Arial Narrow" w:cs="Calibri"/>
                <w:color w:val="000000"/>
                <w:sz w:val="20"/>
              </w:rPr>
            </w:pPr>
            <w:r w:rsidRPr="005F2FD5">
              <w:rPr>
                <w:rFonts w:ascii="Arial Narrow" w:hAnsi="Arial Narrow" w:cs="Calibri"/>
                <w:color w:val="000000"/>
                <w:sz w:val="20"/>
              </w:rPr>
              <w:t>Visual impairment due to macular oedema secondary to CRVO.</w:t>
            </w:r>
          </w:p>
        </w:tc>
        <w:tc>
          <w:tcPr>
            <w:tcW w:w="1842" w:type="dxa"/>
            <w:tcBorders>
              <w:top w:val="single" w:sz="4" w:space="0" w:color="auto"/>
              <w:left w:val="single" w:sz="4" w:space="0" w:color="auto"/>
              <w:bottom w:val="single" w:sz="4" w:space="0" w:color="auto"/>
              <w:right w:val="single" w:sz="4" w:space="0" w:color="auto"/>
            </w:tcBorders>
            <w:hideMark/>
          </w:tcPr>
          <w:p w14:paraId="4D377512" w14:textId="77777777" w:rsidR="00A213A2" w:rsidRPr="005F2FD5" w:rsidRDefault="00A213A2">
            <w:pPr>
              <w:rPr>
                <w:rFonts w:ascii="Arial Narrow" w:hAnsi="Arial Narrow" w:cs="Calibri"/>
                <w:color w:val="000000"/>
                <w:sz w:val="20"/>
              </w:rPr>
            </w:pPr>
            <w:r w:rsidRPr="005F2FD5">
              <w:rPr>
                <w:rFonts w:ascii="Arial Narrow" w:hAnsi="Arial Narrow" w:cs="Calibri"/>
                <w:color w:val="000000"/>
                <w:sz w:val="20"/>
              </w:rPr>
              <w:t>1 October 2015</w:t>
            </w:r>
          </w:p>
        </w:tc>
      </w:tr>
      <w:tr w:rsidR="00A213A2" w:rsidRPr="005F2FD5" w14:paraId="2F37B350"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1A6F7FAE" w14:textId="77777777" w:rsidR="00A213A2" w:rsidRPr="005F2FD5" w:rsidRDefault="00A213A2" w:rsidP="00CF5387">
            <w:pPr>
              <w:keepNext/>
              <w:rPr>
                <w:rFonts w:ascii="Arial Narrow" w:hAnsi="Arial Narrow" w:cs="Calibri"/>
                <w:color w:val="000000"/>
                <w:sz w:val="20"/>
              </w:rPr>
            </w:pPr>
            <w:r w:rsidRPr="005F2FD5">
              <w:rPr>
                <w:rFonts w:ascii="Arial Narrow" w:hAnsi="Arial Narrow" w:cs="Calibri"/>
                <w:color w:val="000000"/>
                <w:sz w:val="20"/>
              </w:rPr>
              <w:t>Aflibercept</w:t>
            </w:r>
          </w:p>
        </w:tc>
        <w:tc>
          <w:tcPr>
            <w:tcW w:w="5529" w:type="dxa"/>
            <w:tcBorders>
              <w:top w:val="single" w:sz="4" w:space="0" w:color="auto"/>
              <w:left w:val="single" w:sz="4" w:space="0" w:color="auto"/>
              <w:bottom w:val="single" w:sz="4" w:space="0" w:color="auto"/>
              <w:right w:val="single" w:sz="4" w:space="0" w:color="auto"/>
            </w:tcBorders>
            <w:hideMark/>
          </w:tcPr>
          <w:p w14:paraId="428206FC" w14:textId="5B09B95F" w:rsidR="00A213A2" w:rsidRPr="005F2FD5" w:rsidRDefault="00A213A2">
            <w:pPr>
              <w:rPr>
                <w:rFonts w:ascii="Arial Narrow" w:hAnsi="Arial Narrow" w:cs="Calibri"/>
                <w:color w:val="000000"/>
                <w:sz w:val="20"/>
              </w:rPr>
            </w:pPr>
            <w:r w:rsidRPr="005F2FD5">
              <w:rPr>
                <w:rFonts w:ascii="Arial Narrow" w:hAnsi="Arial Narrow" w:cs="Calibri"/>
                <w:color w:val="000000"/>
                <w:sz w:val="20"/>
              </w:rPr>
              <w:t>Visual impairment due to macular oedema secondary to BRVO.</w:t>
            </w:r>
          </w:p>
        </w:tc>
        <w:tc>
          <w:tcPr>
            <w:tcW w:w="1842" w:type="dxa"/>
            <w:tcBorders>
              <w:top w:val="single" w:sz="4" w:space="0" w:color="auto"/>
              <w:left w:val="single" w:sz="4" w:space="0" w:color="auto"/>
              <w:bottom w:val="single" w:sz="4" w:space="0" w:color="auto"/>
              <w:right w:val="single" w:sz="4" w:space="0" w:color="auto"/>
            </w:tcBorders>
            <w:hideMark/>
          </w:tcPr>
          <w:p w14:paraId="1152C40C" w14:textId="77777777" w:rsidR="00A213A2" w:rsidRPr="005F2FD5" w:rsidRDefault="00A213A2">
            <w:pPr>
              <w:rPr>
                <w:rFonts w:ascii="Arial Narrow" w:hAnsi="Arial Narrow" w:cs="Calibri"/>
                <w:color w:val="000000"/>
                <w:sz w:val="20"/>
              </w:rPr>
            </w:pPr>
            <w:r w:rsidRPr="005F2FD5">
              <w:rPr>
                <w:rFonts w:ascii="Arial Narrow" w:hAnsi="Arial Narrow" w:cs="Calibri"/>
                <w:color w:val="000000"/>
                <w:sz w:val="20"/>
              </w:rPr>
              <w:t>1 December 2016</w:t>
            </w:r>
          </w:p>
        </w:tc>
      </w:tr>
      <w:tr w:rsidR="00A213A2" w:rsidRPr="005F2FD5" w14:paraId="5D8356D3" w14:textId="77777777" w:rsidTr="00A213A2">
        <w:tc>
          <w:tcPr>
            <w:tcW w:w="1809" w:type="dxa"/>
            <w:tcBorders>
              <w:top w:val="single" w:sz="4" w:space="0" w:color="auto"/>
              <w:left w:val="single" w:sz="4" w:space="0" w:color="auto"/>
              <w:bottom w:val="single" w:sz="4" w:space="0" w:color="auto"/>
              <w:right w:val="single" w:sz="4" w:space="0" w:color="auto"/>
            </w:tcBorders>
            <w:hideMark/>
          </w:tcPr>
          <w:p w14:paraId="06E6CB53" w14:textId="2340F9C6" w:rsidR="00A213A2" w:rsidRPr="005D2084" w:rsidRDefault="0040407C">
            <w:pPr>
              <w:rPr>
                <w:rFonts w:ascii="Arial Narrow" w:hAnsi="Arial Narrow"/>
                <w:sz w:val="20"/>
              </w:rPr>
            </w:pPr>
            <w:r>
              <w:rPr>
                <w:rFonts w:ascii="Arial Narrow" w:hAnsi="Arial Narrow"/>
                <w:sz w:val="20"/>
              </w:rPr>
              <w:t>Brolucizumab</w:t>
            </w:r>
          </w:p>
        </w:tc>
        <w:tc>
          <w:tcPr>
            <w:tcW w:w="5529" w:type="dxa"/>
            <w:tcBorders>
              <w:top w:val="single" w:sz="4" w:space="0" w:color="auto"/>
              <w:left w:val="single" w:sz="4" w:space="0" w:color="auto"/>
              <w:bottom w:val="single" w:sz="4" w:space="0" w:color="auto"/>
              <w:right w:val="single" w:sz="4" w:space="0" w:color="auto"/>
            </w:tcBorders>
            <w:hideMark/>
          </w:tcPr>
          <w:p w14:paraId="5F12D8A9" w14:textId="599AE477" w:rsidR="00A213A2" w:rsidRPr="005D2084" w:rsidRDefault="0040407C">
            <w:pPr>
              <w:rPr>
                <w:rFonts w:ascii="Arial Narrow" w:hAnsi="Arial Narrow" w:cs="Calibri"/>
                <w:color w:val="000000"/>
                <w:sz w:val="20"/>
              </w:rPr>
            </w:pPr>
            <w:r>
              <w:rPr>
                <w:rFonts w:ascii="Arial Narrow" w:hAnsi="Arial Narrow"/>
                <w:sz w:val="20"/>
              </w:rPr>
              <w:t xml:space="preserve">CNV </w:t>
            </w:r>
            <w:r w:rsidR="00A213A2" w:rsidRPr="005D2084">
              <w:rPr>
                <w:rFonts w:ascii="Arial Narrow" w:hAnsi="Arial Narrow"/>
                <w:sz w:val="20"/>
              </w:rPr>
              <w:t xml:space="preserve">due to </w:t>
            </w:r>
            <w:r>
              <w:rPr>
                <w:rFonts w:ascii="Arial Narrow" w:hAnsi="Arial Narrow"/>
                <w:sz w:val="20"/>
              </w:rPr>
              <w:t>AM</w:t>
            </w:r>
            <w:r w:rsidR="00A213A2" w:rsidRPr="005D2084">
              <w:rPr>
                <w:rFonts w:ascii="Arial Narrow" w:hAnsi="Arial Narrow"/>
                <w:sz w:val="20"/>
              </w:rPr>
              <w:t xml:space="preserve">D for patients unsuitable for, contraindicated to, or who have failed </w:t>
            </w:r>
            <w:r>
              <w:rPr>
                <w:rFonts w:ascii="Arial Narrow" w:hAnsi="Arial Narrow"/>
                <w:sz w:val="20"/>
              </w:rPr>
              <w:t>aflibercept or ranibizumab</w:t>
            </w:r>
            <w:r w:rsidR="00A213A2" w:rsidRPr="005D2084">
              <w:rPr>
                <w:rFonts w:ascii="Arial Narrow" w:hAnsi="Arial Narrow"/>
                <w:sz w:val="20"/>
              </w:rPr>
              <w:t>.</w:t>
            </w:r>
          </w:p>
        </w:tc>
        <w:tc>
          <w:tcPr>
            <w:tcW w:w="1842" w:type="dxa"/>
            <w:tcBorders>
              <w:top w:val="single" w:sz="4" w:space="0" w:color="auto"/>
              <w:left w:val="single" w:sz="4" w:space="0" w:color="auto"/>
              <w:bottom w:val="single" w:sz="4" w:space="0" w:color="auto"/>
              <w:right w:val="single" w:sz="4" w:space="0" w:color="auto"/>
            </w:tcBorders>
            <w:hideMark/>
          </w:tcPr>
          <w:p w14:paraId="710EBD5C" w14:textId="5EBE2FEB" w:rsidR="00A213A2" w:rsidRPr="00C05BED" w:rsidRDefault="00A213A2">
            <w:pPr>
              <w:rPr>
                <w:rFonts w:ascii="Arial Narrow" w:hAnsi="Arial Narrow" w:cs="Calibri"/>
                <w:color w:val="000000"/>
                <w:sz w:val="20"/>
              </w:rPr>
            </w:pPr>
            <w:r w:rsidRPr="00C05BED">
              <w:rPr>
                <w:rFonts w:ascii="Arial Narrow" w:hAnsi="Arial Narrow" w:cs="Calibri"/>
                <w:color w:val="000000"/>
                <w:sz w:val="20"/>
              </w:rPr>
              <w:t xml:space="preserve">1 </w:t>
            </w:r>
            <w:r w:rsidR="00C05BED" w:rsidRPr="00C05BED">
              <w:rPr>
                <w:rFonts w:ascii="Arial Narrow" w:hAnsi="Arial Narrow" w:cs="Calibri"/>
                <w:color w:val="000000"/>
                <w:sz w:val="20"/>
              </w:rPr>
              <w:t xml:space="preserve">October </w:t>
            </w:r>
            <w:r w:rsidRPr="00C05BED">
              <w:rPr>
                <w:rFonts w:ascii="Arial Narrow" w:hAnsi="Arial Narrow" w:cs="Calibri"/>
                <w:color w:val="000000"/>
                <w:sz w:val="20"/>
              </w:rPr>
              <w:t>20</w:t>
            </w:r>
            <w:r w:rsidR="00C05BED" w:rsidRPr="00C05BED">
              <w:rPr>
                <w:rFonts w:ascii="Arial Narrow" w:hAnsi="Arial Narrow" w:cs="Calibri"/>
                <w:color w:val="000000"/>
                <w:sz w:val="20"/>
              </w:rPr>
              <w:t>2</w:t>
            </w:r>
            <w:r w:rsidRPr="00C05BED">
              <w:rPr>
                <w:rFonts w:ascii="Arial Narrow" w:hAnsi="Arial Narrow" w:cs="Calibri"/>
                <w:color w:val="000000"/>
                <w:sz w:val="20"/>
              </w:rPr>
              <w:t>1</w:t>
            </w:r>
          </w:p>
        </w:tc>
      </w:tr>
    </w:tbl>
    <w:p w14:paraId="120DBA64" w14:textId="7A4A78B1" w:rsidR="00BC1364" w:rsidRDefault="00BC1364" w:rsidP="00386C21">
      <w:pPr>
        <w:pStyle w:val="Heading1"/>
        <w:ind w:left="709" w:hanging="709"/>
      </w:pPr>
      <w:r w:rsidRPr="00F715D1">
        <w:t>Prerequisites to implementation of any funding advice</w:t>
      </w:r>
    </w:p>
    <w:p w14:paraId="2FF00342" w14:textId="1E361F48" w:rsidR="00583904" w:rsidRPr="00E65701" w:rsidRDefault="007F17F4" w:rsidP="00CB0073">
      <w:pPr>
        <w:pBdr>
          <w:top w:val="nil"/>
          <w:left w:val="nil"/>
          <w:bottom w:val="nil"/>
          <w:right w:val="nil"/>
          <w:between w:val="nil"/>
        </w:pBdr>
        <w:spacing w:after="120"/>
      </w:pPr>
      <w:r>
        <w:t xml:space="preserve">The </w:t>
      </w:r>
      <w:r w:rsidRPr="007F17F4">
        <w:t>ranibizumab 100</w:t>
      </w:r>
      <w:r w:rsidR="002357A3">
        <w:t> </w:t>
      </w:r>
      <w:r w:rsidRPr="007F17F4">
        <w:t>mg/mL (</w:t>
      </w:r>
      <w:proofErr w:type="spellStart"/>
      <w:r w:rsidRPr="007F17F4">
        <w:t>Susvimo</w:t>
      </w:r>
      <w:proofErr w:type="spellEnd"/>
      <w:r w:rsidRPr="00C96C78">
        <w:rPr>
          <w:vertAlign w:val="superscript"/>
        </w:rPr>
        <w:t>®</w:t>
      </w:r>
      <w:r w:rsidRPr="007F17F4">
        <w:t>)</w:t>
      </w:r>
      <w:r>
        <w:t xml:space="preserve"> </w:t>
      </w:r>
      <w:r w:rsidR="00CB0073">
        <w:t xml:space="preserve">formulation </w:t>
      </w:r>
      <w:r w:rsidR="00DB46D0">
        <w:t>wa</w:t>
      </w:r>
      <w:r>
        <w:t xml:space="preserve">s not registered </w:t>
      </w:r>
      <w:r w:rsidR="00422F18">
        <w:t>on</w:t>
      </w:r>
      <w:r>
        <w:t xml:space="preserve"> the </w:t>
      </w:r>
      <w:r w:rsidRPr="007F17F4">
        <w:t>Australian Register of Therapeutic Goods</w:t>
      </w:r>
      <w:r>
        <w:t xml:space="preserve"> (ARTG)</w:t>
      </w:r>
      <w:r w:rsidR="00E5224A">
        <w:t xml:space="preserve"> when the application was lodged</w:t>
      </w:r>
      <w:r>
        <w:t>.</w:t>
      </w:r>
      <w:r w:rsidR="005E3412">
        <w:t xml:space="preserve"> </w:t>
      </w:r>
      <w:r w:rsidR="00DB0EFD">
        <w:t xml:space="preserve">A submission for </w:t>
      </w:r>
      <w:proofErr w:type="spellStart"/>
      <w:r w:rsidR="00583904">
        <w:t>Susvimo</w:t>
      </w:r>
      <w:proofErr w:type="spellEnd"/>
      <w:r w:rsidR="00583904" w:rsidRPr="00C96C78">
        <w:rPr>
          <w:vertAlign w:val="superscript"/>
        </w:rPr>
        <w:t>®</w:t>
      </w:r>
      <w:r w:rsidR="00583904">
        <w:t xml:space="preserve"> (ranibizumab) </w:t>
      </w:r>
      <w:r w:rsidR="00DB0EFD">
        <w:t>was</w:t>
      </w:r>
      <w:r w:rsidR="00583904">
        <w:t xml:space="preserve"> lodged</w:t>
      </w:r>
      <w:r w:rsidR="00583904" w:rsidRPr="00E65701">
        <w:t xml:space="preserve"> </w:t>
      </w:r>
      <w:r w:rsidR="00DB0EFD">
        <w:t>with</w:t>
      </w:r>
      <w:r w:rsidR="00583904" w:rsidRPr="00E65701">
        <w:t xml:space="preserve"> the TGA</w:t>
      </w:r>
      <w:r w:rsidR="00DB0EFD">
        <w:t xml:space="preserve"> in May 2021 for t</w:t>
      </w:r>
      <w:r w:rsidR="00583904" w:rsidRPr="00E65701">
        <w:t>he following indication:</w:t>
      </w:r>
    </w:p>
    <w:p w14:paraId="25B9BB44" w14:textId="3F6793E5" w:rsidR="00583904" w:rsidRPr="00EC3E2F" w:rsidRDefault="00583904" w:rsidP="00CB0073">
      <w:pPr>
        <w:ind w:left="720"/>
        <w:rPr>
          <w:iCs/>
        </w:rPr>
      </w:pPr>
      <w:proofErr w:type="spellStart"/>
      <w:r w:rsidRPr="00EC3E2F">
        <w:rPr>
          <w:iCs/>
        </w:rPr>
        <w:t>Susvimo</w:t>
      </w:r>
      <w:proofErr w:type="spellEnd"/>
      <w:r w:rsidRPr="00EC3E2F">
        <w:rPr>
          <w:iCs/>
        </w:rPr>
        <w:t xml:space="preserve"> is indicated for the treatment of adult patients with neovascular (wet) age-related macular degeneration (AMD)</w:t>
      </w:r>
      <w:r w:rsidR="00DB0EFD" w:rsidRPr="00EC3E2F">
        <w:rPr>
          <w:iCs/>
        </w:rPr>
        <w:t>.</w:t>
      </w:r>
    </w:p>
    <w:p w14:paraId="6151F3B2" w14:textId="434E9B36" w:rsidR="00583904" w:rsidRPr="00EC3E2F" w:rsidRDefault="00583904" w:rsidP="006508EF">
      <w:pPr>
        <w:pBdr>
          <w:top w:val="nil"/>
          <w:left w:val="nil"/>
          <w:bottom w:val="nil"/>
          <w:right w:val="nil"/>
          <w:between w:val="nil"/>
        </w:pBdr>
        <w:spacing w:before="240" w:after="120"/>
        <w:rPr>
          <w:iCs/>
        </w:rPr>
      </w:pPr>
      <w:r w:rsidRPr="00EC3E2F">
        <w:rPr>
          <w:iCs/>
        </w:rPr>
        <w:t>The dosing and administration for ranibizumab (</w:t>
      </w:r>
      <w:proofErr w:type="spellStart"/>
      <w:r w:rsidRPr="00EC3E2F">
        <w:rPr>
          <w:iCs/>
        </w:rPr>
        <w:t>Susvimo</w:t>
      </w:r>
      <w:proofErr w:type="spellEnd"/>
      <w:r w:rsidRPr="00EC3E2F">
        <w:rPr>
          <w:iCs/>
          <w:vertAlign w:val="superscript"/>
        </w:rPr>
        <w:t>®</w:t>
      </w:r>
      <w:r w:rsidRPr="00EC3E2F">
        <w:rPr>
          <w:iCs/>
        </w:rPr>
        <w:t xml:space="preserve">) </w:t>
      </w:r>
      <w:r w:rsidR="00DB46D0" w:rsidRPr="00EC3E2F">
        <w:rPr>
          <w:iCs/>
        </w:rPr>
        <w:t>wa</w:t>
      </w:r>
      <w:r w:rsidR="006A379B" w:rsidRPr="00EC3E2F">
        <w:rPr>
          <w:iCs/>
        </w:rPr>
        <w:t>s proposed to be</w:t>
      </w:r>
      <w:r w:rsidRPr="00EC3E2F">
        <w:rPr>
          <w:iCs/>
        </w:rPr>
        <w:t>:</w:t>
      </w:r>
    </w:p>
    <w:p w14:paraId="1FFEE542" w14:textId="15F6FE4D" w:rsidR="00583904" w:rsidRPr="00EC3E2F" w:rsidRDefault="00583904" w:rsidP="00C96C78">
      <w:pPr>
        <w:pBdr>
          <w:top w:val="nil"/>
          <w:left w:val="nil"/>
          <w:bottom w:val="nil"/>
          <w:right w:val="nil"/>
          <w:between w:val="nil"/>
        </w:pBdr>
        <w:spacing w:after="120"/>
        <w:ind w:left="720"/>
        <w:rPr>
          <w:iCs/>
        </w:rPr>
      </w:pPr>
      <w:proofErr w:type="spellStart"/>
      <w:r w:rsidRPr="00EC3E2F">
        <w:rPr>
          <w:iCs/>
        </w:rPr>
        <w:t>Susvimo</w:t>
      </w:r>
      <w:proofErr w:type="spellEnd"/>
      <w:r w:rsidRPr="00EC3E2F">
        <w:rPr>
          <w:iCs/>
        </w:rPr>
        <w:t xml:space="preserve"> has been specially developed for use with the implant.</w:t>
      </w:r>
    </w:p>
    <w:p w14:paraId="10ADD68B" w14:textId="29B4F308" w:rsidR="00583904" w:rsidRPr="00EC3E2F" w:rsidRDefault="00583904" w:rsidP="00C96C78">
      <w:pPr>
        <w:pBdr>
          <w:top w:val="nil"/>
          <w:left w:val="nil"/>
          <w:bottom w:val="nil"/>
          <w:right w:val="nil"/>
          <w:between w:val="nil"/>
        </w:pBdr>
        <w:spacing w:after="120"/>
        <w:ind w:left="720"/>
        <w:rPr>
          <w:iCs/>
        </w:rPr>
      </w:pPr>
      <w:r w:rsidRPr="00EC3E2F">
        <w:rPr>
          <w:iCs/>
        </w:rPr>
        <w:lastRenderedPageBreak/>
        <w:t xml:space="preserve">The recommended dose of </w:t>
      </w:r>
      <w:proofErr w:type="spellStart"/>
      <w:r w:rsidRPr="00EC3E2F">
        <w:rPr>
          <w:iCs/>
        </w:rPr>
        <w:t>Susvimo</w:t>
      </w:r>
      <w:proofErr w:type="spellEnd"/>
      <w:r w:rsidRPr="00EC3E2F">
        <w:rPr>
          <w:iCs/>
        </w:rPr>
        <w:t xml:space="preserve"> is 2</w:t>
      </w:r>
      <w:r w:rsidR="002357A3" w:rsidRPr="00EC3E2F">
        <w:rPr>
          <w:iCs/>
        </w:rPr>
        <w:t> </w:t>
      </w:r>
      <w:r w:rsidRPr="00EC3E2F">
        <w:rPr>
          <w:iCs/>
        </w:rPr>
        <w:t>mg in 0.02</w:t>
      </w:r>
      <w:r w:rsidR="002357A3" w:rsidRPr="00EC3E2F">
        <w:rPr>
          <w:iCs/>
        </w:rPr>
        <w:t> </w:t>
      </w:r>
      <w:r w:rsidRPr="00EC3E2F">
        <w:rPr>
          <w:iCs/>
        </w:rPr>
        <w:t xml:space="preserve">mL continuously delivered via the </w:t>
      </w:r>
      <w:proofErr w:type="spellStart"/>
      <w:r w:rsidRPr="00EC3E2F">
        <w:rPr>
          <w:iCs/>
        </w:rPr>
        <w:t>Susvimo</w:t>
      </w:r>
      <w:proofErr w:type="spellEnd"/>
      <w:r w:rsidRPr="00EC3E2F">
        <w:rPr>
          <w:iCs/>
        </w:rPr>
        <w:t xml:space="preserve"> implant with refills administered every 24 weeks (approximately 6 months).</w:t>
      </w:r>
    </w:p>
    <w:p w14:paraId="6A8A848F" w14:textId="74A133A6" w:rsidR="0059454C" w:rsidRDefault="00583904" w:rsidP="006508EF">
      <w:pPr>
        <w:spacing w:before="240"/>
      </w:pPr>
      <w:proofErr w:type="spellStart"/>
      <w:r>
        <w:t>Susvimo</w:t>
      </w:r>
      <w:proofErr w:type="spellEnd"/>
      <w:r w:rsidRPr="00C96C78">
        <w:rPr>
          <w:vertAlign w:val="superscript"/>
        </w:rPr>
        <w:t>®</w:t>
      </w:r>
      <w:r>
        <w:t xml:space="preserve"> was approved for </w:t>
      </w:r>
      <w:r w:rsidRPr="004A23BA">
        <w:t>use by the Food and Drug Administrati</w:t>
      </w:r>
      <w:r>
        <w:t>on (FDA) on 22</w:t>
      </w:r>
      <w:r w:rsidR="00422F18">
        <w:t> </w:t>
      </w:r>
      <w:r>
        <w:t>Oct</w:t>
      </w:r>
      <w:r w:rsidR="000132FD">
        <w:t>ober</w:t>
      </w:r>
      <w:r w:rsidR="00422F18">
        <w:t> </w:t>
      </w:r>
      <w:r>
        <w:t>2021.</w:t>
      </w:r>
    </w:p>
    <w:p w14:paraId="25D61BE9" w14:textId="60FEBA1B" w:rsidR="00BF7105" w:rsidRPr="00097F9D" w:rsidRDefault="00BF7105" w:rsidP="006508EF">
      <w:pPr>
        <w:spacing w:before="240"/>
        <w:rPr>
          <w:i/>
        </w:rPr>
      </w:pPr>
      <w:r>
        <w:t>A submission for the PDS ocular implant was lodged with the TGA on 1 June</w:t>
      </w:r>
      <w:r w:rsidR="00422F18">
        <w:t> </w:t>
      </w:r>
      <w:r>
        <w:t>2021.</w:t>
      </w:r>
    </w:p>
    <w:p w14:paraId="16126C8E" w14:textId="3C287DAB" w:rsidR="00055F87" w:rsidRDefault="00BC1364" w:rsidP="00386C21">
      <w:pPr>
        <w:pStyle w:val="Heading1"/>
        <w:ind w:left="709" w:hanging="709"/>
      </w:pPr>
      <w:r w:rsidRPr="00F715D1">
        <w:t>Proposal for public funding</w:t>
      </w:r>
    </w:p>
    <w:p w14:paraId="3769F917" w14:textId="5D2F6B85" w:rsidR="00422C8A" w:rsidRPr="00C72FC3" w:rsidRDefault="00422C8A" w:rsidP="00422C8A">
      <w:pPr>
        <w:rPr>
          <w:b/>
          <w:bCs/>
        </w:rPr>
      </w:pPr>
      <w:r w:rsidRPr="00C72FC3">
        <w:rPr>
          <w:b/>
          <w:bCs/>
        </w:rPr>
        <w:t xml:space="preserve">Proposed MBS fees </w:t>
      </w:r>
      <w:r>
        <w:rPr>
          <w:b/>
          <w:bCs/>
        </w:rPr>
        <w:t>and MBS item descriptors</w:t>
      </w:r>
    </w:p>
    <w:p w14:paraId="0FB60C72" w14:textId="6E9ABD7C" w:rsidR="00422C8A" w:rsidRPr="00C96C78" w:rsidRDefault="00422C8A" w:rsidP="00422C8A">
      <w:r w:rsidRPr="00390E4D">
        <w:t>Th</w:t>
      </w:r>
      <w:r w:rsidR="00DB46D0">
        <w:t>e</w:t>
      </w:r>
      <w:r w:rsidRPr="00390E4D">
        <w:t xml:space="preserve"> MSAC application request</w:t>
      </w:r>
      <w:r w:rsidR="00DB46D0">
        <w:t>ed</w:t>
      </w:r>
      <w:r w:rsidRPr="00390E4D">
        <w:t xml:space="preserve"> public funding for the procedures for the implantation</w:t>
      </w:r>
      <w:r>
        <w:t xml:space="preserve">, </w:t>
      </w:r>
      <w:r w:rsidRPr="00390E4D">
        <w:t xml:space="preserve">refill-exchange </w:t>
      </w:r>
      <w:r>
        <w:t xml:space="preserve">and explantation </w:t>
      </w:r>
      <w:r w:rsidRPr="00390E4D">
        <w:t>of the P</w:t>
      </w:r>
      <w:r w:rsidR="00DB00AA">
        <w:t>DS</w:t>
      </w:r>
      <w:r w:rsidRPr="00390E4D">
        <w:t xml:space="preserve"> </w:t>
      </w:r>
      <w:r w:rsidR="00A610BD">
        <w:t xml:space="preserve">ocular implant to deliver a new formulation of </w:t>
      </w:r>
      <w:r w:rsidRPr="00390E4D">
        <w:t xml:space="preserve">ranibizumab </w:t>
      </w:r>
      <w:r w:rsidR="00A610BD">
        <w:t>in the</w:t>
      </w:r>
      <w:r w:rsidRPr="00390E4D">
        <w:t xml:space="preserve"> treat</w:t>
      </w:r>
      <w:r w:rsidR="00A610BD">
        <w:t>ment of</w:t>
      </w:r>
      <w:r w:rsidRPr="00390E4D">
        <w:t xml:space="preserve"> </w:t>
      </w:r>
      <w:proofErr w:type="spellStart"/>
      <w:r>
        <w:t>nAMD</w:t>
      </w:r>
      <w:proofErr w:type="spellEnd"/>
      <w:r w:rsidRPr="00390E4D">
        <w:t>.</w:t>
      </w:r>
      <w:r>
        <w:t xml:space="preserve"> The proposed MBS fees </w:t>
      </w:r>
      <w:r w:rsidR="00DB46D0">
        <w:t>we</w:t>
      </w:r>
      <w:r>
        <w:t>re based on similar complexity and time to ocular</w:t>
      </w:r>
      <w:r w:rsidRPr="00F00A7B">
        <w:t xml:space="preserve"> procedures covered under existing MBS item numbers</w:t>
      </w:r>
      <w:r>
        <w:t xml:space="preserve"> as shown in Table</w:t>
      </w:r>
      <w:r w:rsidR="00C05BED">
        <w:t>s</w:t>
      </w:r>
      <w:r>
        <w:t xml:space="preserve"> 1.</w:t>
      </w:r>
      <w:r w:rsidR="00C05BED">
        <w:t>2</w:t>
      </w:r>
      <w:r>
        <w:t xml:space="preserve"> </w:t>
      </w:r>
      <w:r w:rsidR="00C05BED">
        <w:t xml:space="preserve">and 1.3 </w:t>
      </w:r>
      <w:r>
        <w:t>below.</w:t>
      </w:r>
    </w:p>
    <w:p w14:paraId="560822DE" w14:textId="7C77A6A5" w:rsidR="00422C8A" w:rsidRPr="002D226B" w:rsidRDefault="00422C8A" w:rsidP="002D226B">
      <w:pPr>
        <w:pStyle w:val="Caption"/>
        <w:tabs>
          <w:tab w:val="left" w:pos="1134"/>
        </w:tabs>
        <w:spacing w:before="240"/>
        <w:ind w:left="1134" w:hanging="1134"/>
      </w:pPr>
      <w:r w:rsidRPr="002D226B">
        <w:rPr>
          <w:rFonts w:cs="Times New Roman"/>
        </w:rPr>
        <w:t>Table</w:t>
      </w:r>
      <w:r w:rsidRPr="002D226B">
        <w:t xml:space="preserve"> 1.</w:t>
      </w:r>
      <w:r w:rsidR="0040407C">
        <w:t>2</w:t>
      </w:r>
      <w:r w:rsidR="002357A3" w:rsidRPr="002D226B">
        <w:t>:</w:t>
      </w:r>
      <w:r w:rsidRPr="002D226B">
        <w:t xml:space="preserve"> Proposed MBS fees</w:t>
      </w:r>
    </w:p>
    <w:tbl>
      <w:tblPr>
        <w:tblStyle w:val="TableGrid"/>
        <w:tblW w:w="0" w:type="auto"/>
        <w:tblLook w:val="04A0" w:firstRow="1" w:lastRow="0" w:firstColumn="1" w:lastColumn="0" w:noHBand="0" w:noVBand="1"/>
        <w:tblDescription w:val="Proposed MBS fees"/>
      </w:tblPr>
      <w:tblGrid>
        <w:gridCol w:w="1980"/>
        <w:gridCol w:w="1701"/>
        <w:gridCol w:w="5335"/>
      </w:tblGrid>
      <w:tr w:rsidR="00422C8A" w:rsidRPr="00C96C78" w14:paraId="522C7D9C" w14:textId="77777777" w:rsidTr="00C96C78">
        <w:tc>
          <w:tcPr>
            <w:tcW w:w="1980" w:type="dxa"/>
          </w:tcPr>
          <w:p w14:paraId="3E24ACD8" w14:textId="15DA4593" w:rsidR="00422C8A" w:rsidRPr="00C96C78" w:rsidRDefault="00422C8A" w:rsidP="00C96C78">
            <w:pPr>
              <w:keepNext/>
              <w:rPr>
                <w:rFonts w:ascii="Arial Narrow" w:hAnsi="Arial Narrow" w:cs="Times New Roman"/>
                <w:b/>
                <w:bCs/>
                <w:iCs/>
                <w:sz w:val="20"/>
              </w:rPr>
            </w:pPr>
            <w:r w:rsidRPr="00C96C78">
              <w:rPr>
                <w:rFonts w:ascii="Arial Narrow" w:hAnsi="Arial Narrow" w:cs="Times New Roman"/>
                <w:b/>
                <w:bCs/>
                <w:iCs/>
                <w:sz w:val="20"/>
              </w:rPr>
              <w:t>Procedure</w:t>
            </w:r>
          </w:p>
        </w:tc>
        <w:tc>
          <w:tcPr>
            <w:tcW w:w="1701" w:type="dxa"/>
          </w:tcPr>
          <w:p w14:paraId="20079E95" w14:textId="77777777" w:rsidR="00422C8A" w:rsidRPr="00C96C78" w:rsidRDefault="00422C8A" w:rsidP="00C96C78">
            <w:pPr>
              <w:jc w:val="center"/>
              <w:rPr>
                <w:rFonts w:ascii="Arial Narrow" w:hAnsi="Arial Narrow" w:cs="Times New Roman"/>
                <w:b/>
                <w:bCs/>
                <w:iCs/>
                <w:sz w:val="20"/>
              </w:rPr>
            </w:pPr>
            <w:r w:rsidRPr="00C96C78">
              <w:rPr>
                <w:rFonts w:ascii="Arial Narrow" w:hAnsi="Arial Narrow" w:cs="Times New Roman"/>
                <w:b/>
                <w:bCs/>
                <w:iCs/>
                <w:sz w:val="20"/>
              </w:rPr>
              <w:t>Proposed MBS fee</w:t>
            </w:r>
          </w:p>
        </w:tc>
        <w:tc>
          <w:tcPr>
            <w:tcW w:w="5335" w:type="dxa"/>
          </w:tcPr>
          <w:p w14:paraId="5F5B71E0" w14:textId="77777777" w:rsidR="00422C8A" w:rsidRPr="00C96C78" w:rsidRDefault="00422C8A" w:rsidP="00422C8A">
            <w:pPr>
              <w:rPr>
                <w:rFonts w:ascii="Arial Narrow" w:hAnsi="Arial Narrow" w:cs="Times New Roman"/>
                <w:b/>
                <w:bCs/>
                <w:iCs/>
                <w:sz w:val="20"/>
              </w:rPr>
            </w:pPr>
            <w:r w:rsidRPr="00C96C78">
              <w:rPr>
                <w:rFonts w:ascii="Arial Narrow" w:hAnsi="Arial Narrow" w:cs="Times New Roman"/>
                <w:b/>
                <w:bCs/>
                <w:iCs/>
                <w:sz w:val="20"/>
              </w:rPr>
              <w:t>Reason for the proposed fee</w:t>
            </w:r>
          </w:p>
        </w:tc>
      </w:tr>
      <w:tr w:rsidR="00422C8A" w:rsidRPr="00C96C78" w14:paraId="429D272B" w14:textId="77777777" w:rsidTr="00C96C78">
        <w:tc>
          <w:tcPr>
            <w:tcW w:w="1980" w:type="dxa"/>
          </w:tcPr>
          <w:p w14:paraId="0FDB9E58" w14:textId="77777777" w:rsidR="00422C8A" w:rsidRPr="00C96C78" w:rsidRDefault="00422C8A" w:rsidP="00C96C78">
            <w:pPr>
              <w:keepNext/>
              <w:rPr>
                <w:rFonts w:ascii="Arial Narrow" w:hAnsi="Arial Narrow" w:cs="Times New Roman"/>
                <w:iCs/>
                <w:sz w:val="20"/>
              </w:rPr>
            </w:pPr>
            <w:r w:rsidRPr="00C96C78">
              <w:rPr>
                <w:rFonts w:ascii="Arial Narrow" w:hAnsi="Arial Narrow" w:cs="Times New Roman"/>
                <w:iCs/>
                <w:sz w:val="20"/>
              </w:rPr>
              <w:t>Initial fill and implantation</w:t>
            </w:r>
          </w:p>
        </w:tc>
        <w:tc>
          <w:tcPr>
            <w:tcW w:w="1701" w:type="dxa"/>
          </w:tcPr>
          <w:p w14:paraId="7756532F" w14:textId="77777777" w:rsidR="00422C8A" w:rsidRPr="00C96C78" w:rsidRDefault="00422C8A" w:rsidP="00C96C78">
            <w:pPr>
              <w:jc w:val="center"/>
              <w:rPr>
                <w:rFonts w:ascii="Arial Narrow" w:hAnsi="Arial Narrow" w:cs="Times New Roman"/>
                <w:iCs/>
                <w:sz w:val="20"/>
              </w:rPr>
            </w:pPr>
            <w:r w:rsidRPr="00C96C78">
              <w:rPr>
                <w:rFonts w:ascii="Arial Narrow" w:hAnsi="Arial Narrow" w:cs="Times New Roman"/>
                <w:iCs/>
                <w:sz w:val="20"/>
              </w:rPr>
              <w:t>$1193.18</w:t>
            </w:r>
          </w:p>
        </w:tc>
        <w:tc>
          <w:tcPr>
            <w:tcW w:w="5335" w:type="dxa"/>
          </w:tcPr>
          <w:p w14:paraId="45C21B46" w14:textId="6230D8A9" w:rsidR="00422C8A" w:rsidRPr="00C96C78" w:rsidRDefault="00422C8A" w:rsidP="00422C8A">
            <w:pPr>
              <w:rPr>
                <w:rFonts w:ascii="Arial Narrow" w:hAnsi="Arial Narrow" w:cs="Times New Roman"/>
                <w:iCs/>
                <w:sz w:val="20"/>
              </w:rPr>
            </w:pPr>
            <w:r w:rsidRPr="00C96C78">
              <w:rPr>
                <w:rFonts w:ascii="Arial Narrow" w:hAnsi="Arial Narrow" w:cs="Times New Roman"/>
                <w:iCs/>
                <w:sz w:val="20"/>
              </w:rPr>
              <w:t>Intermediate in complexity and time between MBS items 42752</w:t>
            </w:r>
            <w:r w:rsidRPr="001672E2">
              <w:rPr>
                <w:rFonts w:ascii="Arial Narrow" w:hAnsi="Arial Narrow" w:cs="Times New Roman"/>
                <w:iCs/>
                <w:sz w:val="20"/>
                <w:vertAlign w:val="superscript"/>
              </w:rPr>
              <w:t xml:space="preserve"> </w:t>
            </w:r>
            <w:r w:rsidRPr="00C96C78">
              <w:rPr>
                <w:rFonts w:ascii="Arial Narrow" w:hAnsi="Arial Narrow" w:cs="Times New Roman"/>
                <w:iCs/>
                <w:sz w:val="20"/>
              </w:rPr>
              <w:t>and 42746 (i</w:t>
            </w:r>
            <w:r w:rsidR="00623993">
              <w:rPr>
                <w:rFonts w:ascii="Arial Narrow" w:hAnsi="Arial Narrow" w:cs="Times New Roman"/>
                <w:iCs/>
                <w:sz w:val="20"/>
              </w:rPr>
              <w:t>.</w:t>
            </w:r>
            <w:r w:rsidRPr="00C96C78">
              <w:rPr>
                <w:rFonts w:ascii="Arial Narrow" w:hAnsi="Arial Narrow" w:cs="Times New Roman"/>
                <w:iCs/>
                <w:sz w:val="20"/>
              </w:rPr>
              <w:t>e.</w:t>
            </w:r>
            <w:r w:rsidR="00623993">
              <w:rPr>
                <w:rFonts w:ascii="Arial Narrow" w:hAnsi="Arial Narrow" w:cs="Times New Roman"/>
                <w:iCs/>
                <w:sz w:val="20"/>
              </w:rPr>
              <w:t>,</w:t>
            </w:r>
            <w:r w:rsidRPr="00C96C78">
              <w:rPr>
                <w:rFonts w:ascii="Arial Narrow" w:hAnsi="Arial Narrow" w:cs="Times New Roman"/>
                <w:iCs/>
                <w:sz w:val="20"/>
              </w:rPr>
              <w:t xml:space="preserve"> $1392.65 + $993.70 divided by 2)</w:t>
            </w:r>
          </w:p>
        </w:tc>
      </w:tr>
      <w:tr w:rsidR="00422C8A" w:rsidRPr="00C96C78" w14:paraId="6FB06875" w14:textId="77777777" w:rsidTr="00C96C78">
        <w:tc>
          <w:tcPr>
            <w:tcW w:w="1980" w:type="dxa"/>
          </w:tcPr>
          <w:p w14:paraId="21F47530" w14:textId="77777777" w:rsidR="00422C8A" w:rsidRPr="00C96C78" w:rsidRDefault="00422C8A" w:rsidP="00C96C78">
            <w:pPr>
              <w:keepNext/>
              <w:rPr>
                <w:rFonts w:ascii="Arial Narrow" w:hAnsi="Arial Narrow" w:cs="Times New Roman"/>
                <w:iCs/>
                <w:sz w:val="20"/>
              </w:rPr>
            </w:pPr>
            <w:r w:rsidRPr="00C96C78">
              <w:rPr>
                <w:rFonts w:ascii="Arial Narrow" w:hAnsi="Arial Narrow" w:cs="Times New Roman"/>
                <w:iCs/>
                <w:sz w:val="20"/>
              </w:rPr>
              <w:t>Refill-exchange</w:t>
            </w:r>
          </w:p>
        </w:tc>
        <w:tc>
          <w:tcPr>
            <w:tcW w:w="1701" w:type="dxa"/>
          </w:tcPr>
          <w:p w14:paraId="3A4080BD" w14:textId="77777777" w:rsidR="00422C8A" w:rsidRPr="00C96C78" w:rsidRDefault="00422C8A" w:rsidP="00C96C78">
            <w:pPr>
              <w:jc w:val="center"/>
              <w:rPr>
                <w:rFonts w:ascii="Arial Narrow" w:hAnsi="Arial Narrow" w:cs="Times New Roman"/>
                <w:iCs/>
                <w:sz w:val="20"/>
              </w:rPr>
            </w:pPr>
            <w:r w:rsidRPr="00C96C78">
              <w:rPr>
                <w:rFonts w:ascii="Arial Narrow" w:hAnsi="Arial Narrow" w:cs="Times New Roman"/>
                <w:iCs/>
                <w:sz w:val="20"/>
              </w:rPr>
              <w:t>$312.95</w:t>
            </w:r>
          </w:p>
        </w:tc>
        <w:tc>
          <w:tcPr>
            <w:tcW w:w="5335" w:type="dxa"/>
          </w:tcPr>
          <w:p w14:paraId="5797A561" w14:textId="0459001B" w:rsidR="00422C8A" w:rsidRPr="00C96C78" w:rsidRDefault="00422C8A" w:rsidP="00422C8A">
            <w:pPr>
              <w:rPr>
                <w:rFonts w:ascii="Arial Narrow" w:hAnsi="Arial Narrow" w:cs="Times New Roman"/>
                <w:iCs/>
                <w:sz w:val="20"/>
              </w:rPr>
            </w:pPr>
            <w:r w:rsidRPr="00C96C78">
              <w:rPr>
                <w:rFonts w:ascii="Arial Narrow" w:hAnsi="Arial Narrow" w:cs="Times New Roman"/>
                <w:iCs/>
                <w:sz w:val="20"/>
              </w:rPr>
              <w:t>Similar in terms of complexity and time to MBS item numbers 42738, 42739 and 42740 (which all currently have a schedule fee of $312.95)</w:t>
            </w:r>
          </w:p>
        </w:tc>
      </w:tr>
      <w:tr w:rsidR="00422C8A" w:rsidRPr="00C96C78" w14:paraId="150EA754" w14:textId="77777777" w:rsidTr="00C96C78">
        <w:tc>
          <w:tcPr>
            <w:tcW w:w="1980" w:type="dxa"/>
          </w:tcPr>
          <w:p w14:paraId="5DA431C2" w14:textId="77777777" w:rsidR="00422C8A" w:rsidRPr="00C96C78" w:rsidRDefault="00422C8A" w:rsidP="00422C8A">
            <w:pPr>
              <w:rPr>
                <w:rFonts w:ascii="Arial Narrow" w:hAnsi="Arial Narrow" w:cs="Times New Roman"/>
                <w:iCs/>
                <w:sz w:val="20"/>
              </w:rPr>
            </w:pPr>
            <w:r w:rsidRPr="00C96C78">
              <w:rPr>
                <w:rFonts w:ascii="Arial Narrow" w:hAnsi="Arial Narrow" w:cs="Times New Roman"/>
                <w:iCs/>
                <w:sz w:val="20"/>
              </w:rPr>
              <w:t>Explantation (if needed)</w:t>
            </w:r>
          </w:p>
        </w:tc>
        <w:tc>
          <w:tcPr>
            <w:tcW w:w="1701" w:type="dxa"/>
          </w:tcPr>
          <w:p w14:paraId="7F15D6FC" w14:textId="77777777" w:rsidR="00422C8A" w:rsidRPr="00C96C78" w:rsidRDefault="00422C8A" w:rsidP="00C96C78">
            <w:pPr>
              <w:jc w:val="center"/>
              <w:rPr>
                <w:rFonts w:ascii="Arial Narrow" w:hAnsi="Arial Narrow" w:cs="Times New Roman"/>
                <w:iCs/>
                <w:sz w:val="20"/>
              </w:rPr>
            </w:pPr>
            <w:r w:rsidRPr="00C96C78">
              <w:rPr>
                <w:rFonts w:ascii="Arial Narrow" w:hAnsi="Arial Narrow" w:cs="Times New Roman"/>
                <w:iCs/>
                <w:sz w:val="20"/>
              </w:rPr>
              <w:t>$400.00</w:t>
            </w:r>
          </w:p>
        </w:tc>
        <w:tc>
          <w:tcPr>
            <w:tcW w:w="5335" w:type="dxa"/>
          </w:tcPr>
          <w:p w14:paraId="03E576E3" w14:textId="23D4CC4F" w:rsidR="00422C8A" w:rsidRPr="00C96C78" w:rsidRDefault="00422C8A" w:rsidP="00422C8A">
            <w:pPr>
              <w:rPr>
                <w:rFonts w:ascii="Arial Narrow" w:hAnsi="Arial Narrow" w:cs="Times New Roman"/>
                <w:iCs/>
                <w:sz w:val="20"/>
              </w:rPr>
            </w:pPr>
            <w:r w:rsidRPr="00C96C78">
              <w:rPr>
                <w:rFonts w:ascii="Arial Narrow" w:hAnsi="Arial Narrow" w:cs="Times New Roman"/>
                <w:iCs/>
                <w:sz w:val="20"/>
              </w:rPr>
              <w:t>More complex and time consuming than MBS item 42505 ($312.95)</w:t>
            </w:r>
          </w:p>
        </w:tc>
      </w:tr>
    </w:tbl>
    <w:p w14:paraId="7E3900A8" w14:textId="79417803" w:rsidR="000D01B7" w:rsidRPr="006A379B" w:rsidRDefault="000D01B7" w:rsidP="006A379B">
      <w:pPr>
        <w:pStyle w:val="Caption"/>
        <w:tabs>
          <w:tab w:val="left" w:pos="1134"/>
        </w:tabs>
        <w:spacing w:before="240"/>
        <w:ind w:left="1134" w:hanging="1134"/>
        <w:rPr>
          <w:iCs w:val="0"/>
        </w:rPr>
      </w:pPr>
      <w:r w:rsidRPr="006A379B">
        <w:t>Table</w:t>
      </w:r>
      <w:r w:rsidRPr="006A379B">
        <w:rPr>
          <w:iCs w:val="0"/>
        </w:rPr>
        <w:t xml:space="preserve"> 1.</w:t>
      </w:r>
      <w:r w:rsidR="0040407C">
        <w:rPr>
          <w:iCs w:val="0"/>
        </w:rPr>
        <w:t>3</w:t>
      </w:r>
      <w:r w:rsidRPr="006A379B">
        <w:rPr>
          <w:iCs w:val="0"/>
        </w:rPr>
        <w:t>: Current MBS items utilised for the basis of the proposed MBS fee</w:t>
      </w:r>
      <w:r w:rsidR="00117695">
        <w:rPr>
          <w:iCs w:val="0"/>
        </w:rPr>
        <w:t>s</w:t>
      </w:r>
    </w:p>
    <w:tbl>
      <w:tblPr>
        <w:tblStyle w:val="TableGrid"/>
        <w:tblW w:w="0" w:type="auto"/>
        <w:tblLayout w:type="fixed"/>
        <w:tblLook w:val="04A0" w:firstRow="1" w:lastRow="0" w:firstColumn="1" w:lastColumn="0" w:noHBand="0" w:noVBand="1"/>
        <w:tblDescription w:val="Current MBS items utilised for the basis of the proposed MBS fees"/>
      </w:tblPr>
      <w:tblGrid>
        <w:gridCol w:w="1129"/>
        <w:gridCol w:w="7887"/>
      </w:tblGrid>
      <w:tr w:rsidR="00317BA9" w14:paraId="2E24E7A8" w14:textId="77777777" w:rsidTr="00432143">
        <w:tc>
          <w:tcPr>
            <w:tcW w:w="1129" w:type="dxa"/>
          </w:tcPr>
          <w:p w14:paraId="686D802C" w14:textId="1780B350" w:rsidR="000D01B7" w:rsidRPr="00C05BED" w:rsidRDefault="000D01B7" w:rsidP="00CF5387">
            <w:pPr>
              <w:keepNext/>
              <w:rPr>
                <w:rFonts w:ascii="Arial Narrow" w:hAnsi="Arial Narrow" w:cs="Arial"/>
                <w:b/>
                <w:bCs/>
                <w:iCs/>
                <w:sz w:val="20"/>
              </w:rPr>
            </w:pPr>
            <w:r w:rsidRPr="00C05BED">
              <w:rPr>
                <w:rFonts w:ascii="Arial Narrow" w:hAnsi="Arial Narrow" w:cs="Arial"/>
                <w:b/>
                <w:bCs/>
                <w:iCs/>
                <w:sz w:val="20"/>
              </w:rPr>
              <w:t xml:space="preserve">MBS </w:t>
            </w:r>
            <w:r w:rsidR="00117695" w:rsidRPr="00C05BED">
              <w:rPr>
                <w:rFonts w:ascii="Arial Narrow" w:hAnsi="Arial Narrow" w:cs="Arial"/>
                <w:b/>
                <w:bCs/>
                <w:iCs/>
                <w:sz w:val="20"/>
              </w:rPr>
              <w:t>i</w:t>
            </w:r>
            <w:r w:rsidRPr="00C05BED">
              <w:rPr>
                <w:rFonts w:ascii="Arial Narrow" w:hAnsi="Arial Narrow" w:cs="Arial"/>
                <w:b/>
                <w:bCs/>
                <w:iCs/>
                <w:sz w:val="20"/>
              </w:rPr>
              <w:t>tem</w:t>
            </w:r>
          </w:p>
        </w:tc>
        <w:tc>
          <w:tcPr>
            <w:tcW w:w="7887" w:type="dxa"/>
          </w:tcPr>
          <w:p w14:paraId="4BDB10EB" w14:textId="39379C68" w:rsidR="000D01B7" w:rsidRPr="00C05BED" w:rsidRDefault="000D01B7" w:rsidP="00422C8A">
            <w:pPr>
              <w:rPr>
                <w:rFonts w:ascii="Arial Narrow" w:hAnsi="Arial Narrow" w:cs="Arial"/>
                <w:b/>
                <w:bCs/>
                <w:iCs/>
                <w:sz w:val="20"/>
              </w:rPr>
            </w:pPr>
            <w:r w:rsidRPr="00C05BED">
              <w:rPr>
                <w:rFonts w:ascii="Arial Narrow" w:hAnsi="Arial Narrow" w:cs="Arial"/>
                <w:b/>
                <w:bCs/>
                <w:iCs/>
                <w:sz w:val="20"/>
              </w:rPr>
              <w:t>MBS descriptors and fees</w:t>
            </w:r>
          </w:p>
        </w:tc>
      </w:tr>
      <w:tr w:rsidR="00317BA9" w14:paraId="4FFCC318" w14:textId="77777777" w:rsidTr="00432143">
        <w:tc>
          <w:tcPr>
            <w:tcW w:w="1129" w:type="dxa"/>
          </w:tcPr>
          <w:p w14:paraId="58D7DB2A" w14:textId="35AEC6C5" w:rsidR="000D01B7" w:rsidRPr="00C05BED" w:rsidRDefault="001672E2" w:rsidP="00422C8A">
            <w:pPr>
              <w:rPr>
                <w:iCs/>
              </w:rPr>
            </w:pPr>
            <w:r w:rsidRPr="00C05BED">
              <w:rPr>
                <w:rFonts w:ascii="Arial Narrow" w:hAnsi="Arial Narrow" w:cs="Times New Roman"/>
                <w:iCs/>
                <w:sz w:val="20"/>
              </w:rPr>
              <w:t>42752</w:t>
            </w:r>
          </w:p>
        </w:tc>
        <w:tc>
          <w:tcPr>
            <w:tcW w:w="7887" w:type="dxa"/>
          </w:tcPr>
          <w:p w14:paraId="6BFFD0DE" w14:textId="5277B96C" w:rsidR="000D01B7" w:rsidRDefault="00317BA9" w:rsidP="00422C8A">
            <w:pPr>
              <w:rPr>
                <w:i/>
              </w:rPr>
            </w:pPr>
            <w:r w:rsidRPr="00317BA9">
              <w:rPr>
                <w:i/>
                <w:noProof/>
              </w:rPr>
              <w:drawing>
                <wp:inline distT="0" distB="0" distL="0" distR="0" wp14:anchorId="23E9222A" wp14:editId="33C4ABE3">
                  <wp:extent cx="4602612" cy="1003029"/>
                  <wp:effectExtent l="19050" t="19050" r="26670" b="26035"/>
                  <wp:docPr id="4" name="Picture 4"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rrent MBS items utilised for the basis of the proposed MBS fe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189" cy="1028216"/>
                          </a:xfrm>
                          <a:prstGeom prst="rect">
                            <a:avLst/>
                          </a:prstGeom>
                          <a:noFill/>
                          <a:ln>
                            <a:solidFill>
                              <a:schemeClr val="tx1"/>
                            </a:solidFill>
                          </a:ln>
                        </pic:spPr>
                      </pic:pic>
                    </a:graphicData>
                  </a:graphic>
                </wp:inline>
              </w:drawing>
            </w:r>
          </w:p>
        </w:tc>
      </w:tr>
      <w:tr w:rsidR="00317BA9" w14:paraId="62FC4795" w14:textId="77777777" w:rsidTr="00432143">
        <w:tc>
          <w:tcPr>
            <w:tcW w:w="1129" w:type="dxa"/>
          </w:tcPr>
          <w:p w14:paraId="2ED53FAB" w14:textId="376E88F8" w:rsidR="000D01B7" w:rsidRPr="00C05BED" w:rsidRDefault="001672E2" w:rsidP="00422C8A">
            <w:pPr>
              <w:rPr>
                <w:iCs/>
              </w:rPr>
            </w:pPr>
            <w:r w:rsidRPr="00C05BED">
              <w:rPr>
                <w:rFonts w:ascii="Arial Narrow" w:hAnsi="Arial Narrow" w:cs="Times New Roman"/>
                <w:iCs/>
                <w:sz w:val="20"/>
              </w:rPr>
              <w:t>42746</w:t>
            </w:r>
          </w:p>
        </w:tc>
        <w:tc>
          <w:tcPr>
            <w:tcW w:w="7887" w:type="dxa"/>
          </w:tcPr>
          <w:p w14:paraId="45F855B1" w14:textId="514A6FC1" w:rsidR="000D01B7" w:rsidRDefault="006528B8" w:rsidP="00422C8A">
            <w:pPr>
              <w:rPr>
                <w:i/>
              </w:rPr>
            </w:pPr>
            <w:r w:rsidRPr="006528B8">
              <w:rPr>
                <w:i/>
                <w:noProof/>
              </w:rPr>
              <w:drawing>
                <wp:inline distT="0" distB="0" distL="0" distR="0" wp14:anchorId="766975E2" wp14:editId="2DED369C">
                  <wp:extent cx="4634837" cy="1010052"/>
                  <wp:effectExtent l="19050" t="19050" r="13970" b="19050"/>
                  <wp:docPr id="6" name="Picture 6"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rrent MBS items utilised for the basis of the proposed MBS fe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985" cy="1017058"/>
                          </a:xfrm>
                          <a:prstGeom prst="rect">
                            <a:avLst/>
                          </a:prstGeom>
                          <a:noFill/>
                          <a:ln>
                            <a:solidFill>
                              <a:schemeClr val="tx1"/>
                            </a:solidFill>
                          </a:ln>
                        </pic:spPr>
                      </pic:pic>
                    </a:graphicData>
                  </a:graphic>
                </wp:inline>
              </w:drawing>
            </w:r>
          </w:p>
        </w:tc>
      </w:tr>
      <w:tr w:rsidR="00317BA9" w14:paraId="544D92BE" w14:textId="77777777" w:rsidTr="00432143">
        <w:tc>
          <w:tcPr>
            <w:tcW w:w="1129" w:type="dxa"/>
          </w:tcPr>
          <w:p w14:paraId="035308A2" w14:textId="26896CD5" w:rsidR="000D01B7" w:rsidRPr="00C05BED" w:rsidRDefault="001672E2" w:rsidP="00422C8A">
            <w:pPr>
              <w:rPr>
                <w:iCs/>
              </w:rPr>
            </w:pPr>
            <w:r w:rsidRPr="00C05BED">
              <w:rPr>
                <w:rFonts w:ascii="Arial Narrow" w:hAnsi="Arial Narrow" w:cs="Times New Roman"/>
                <w:iCs/>
                <w:sz w:val="20"/>
              </w:rPr>
              <w:t>42738</w:t>
            </w:r>
          </w:p>
        </w:tc>
        <w:tc>
          <w:tcPr>
            <w:tcW w:w="7887" w:type="dxa"/>
          </w:tcPr>
          <w:p w14:paraId="237ED8BD" w14:textId="4F76FF9B" w:rsidR="000D01B7" w:rsidRDefault="006528B8" w:rsidP="00422C8A">
            <w:pPr>
              <w:rPr>
                <w:i/>
              </w:rPr>
            </w:pPr>
            <w:r w:rsidRPr="006528B8">
              <w:rPr>
                <w:i/>
                <w:noProof/>
              </w:rPr>
              <w:drawing>
                <wp:inline distT="0" distB="0" distL="0" distR="0" wp14:anchorId="3044D236" wp14:editId="50C0F9BF">
                  <wp:extent cx="4681182" cy="1162048"/>
                  <wp:effectExtent l="0" t="0" r="5715" b="0"/>
                  <wp:docPr id="7" name="Picture 7"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rrent MBS items utilised for the basis of the proposed MBS fe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6510" cy="1165853"/>
                          </a:xfrm>
                          <a:prstGeom prst="rect">
                            <a:avLst/>
                          </a:prstGeom>
                          <a:noFill/>
                          <a:ln>
                            <a:noFill/>
                          </a:ln>
                        </pic:spPr>
                      </pic:pic>
                    </a:graphicData>
                  </a:graphic>
                </wp:inline>
              </w:drawing>
            </w:r>
          </w:p>
        </w:tc>
      </w:tr>
      <w:tr w:rsidR="00317BA9" w14:paraId="3102AE34" w14:textId="77777777" w:rsidTr="00432143">
        <w:tc>
          <w:tcPr>
            <w:tcW w:w="1129" w:type="dxa"/>
          </w:tcPr>
          <w:p w14:paraId="298F29DC" w14:textId="0120FFF3" w:rsidR="001672E2" w:rsidRPr="00C05BED" w:rsidRDefault="001672E2" w:rsidP="00496A61">
            <w:pPr>
              <w:rPr>
                <w:iCs/>
              </w:rPr>
            </w:pPr>
            <w:r w:rsidRPr="00C05BED">
              <w:rPr>
                <w:rFonts w:ascii="Arial Narrow" w:hAnsi="Arial Narrow" w:cs="Times New Roman"/>
                <w:iCs/>
                <w:sz w:val="20"/>
              </w:rPr>
              <w:t>42739</w:t>
            </w:r>
          </w:p>
        </w:tc>
        <w:tc>
          <w:tcPr>
            <w:tcW w:w="7887" w:type="dxa"/>
          </w:tcPr>
          <w:p w14:paraId="7445B376" w14:textId="620154BB" w:rsidR="001672E2" w:rsidRDefault="006528B8" w:rsidP="00496A61">
            <w:pPr>
              <w:rPr>
                <w:i/>
              </w:rPr>
            </w:pPr>
            <w:r w:rsidRPr="006528B8">
              <w:rPr>
                <w:i/>
                <w:noProof/>
              </w:rPr>
              <w:drawing>
                <wp:inline distT="0" distB="0" distL="0" distR="0" wp14:anchorId="08A7A59B" wp14:editId="4791C5D6">
                  <wp:extent cx="4680585" cy="1299959"/>
                  <wp:effectExtent l="0" t="0" r="5715" b="0"/>
                  <wp:docPr id="8" name="Picture 8"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rrent MBS items utilised for the basis of the proposed MBS fe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609" cy="1303576"/>
                          </a:xfrm>
                          <a:prstGeom prst="rect">
                            <a:avLst/>
                          </a:prstGeom>
                          <a:noFill/>
                          <a:ln>
                            <a:noFill/>
                          </a:ln>
                        </pic:spPr>
                      </pic:pic>
                    </a:graphicData>
                  </a:graphic>
                </wp:inline>
              </w:drawing>
            </w:r>
          </w:p>
        </w:tc>
      </w:tr>
      <w:tr w:rsidR="00317BA9" w14:paraId="548EC871" w14:textId="77777777" w:rsidTr="00432143">
        <w:tc>
          <w:tcPr>
            <w:tcW w:w="1129" w:type="dxa"/>
          </w:tcPr>
          <w:p w14:paraId="4EE1CFF0" w14:textId="6A07B536" w:rsidR="001672E2" w:rsidRPr="00C05BED" w:rsidRDefault="001672E2" w:rsidP="00496A61">
            <w:pPr>
              <w:rPr>
                <w:iCs/>
              </w:rPr>
            </w:pPr>
            <w:r w:rsidRPr="00C05BED">
              <w:rPr>
                <w:rFonts w:ascii="Arial Narrow" w:hAnsi="Arial Narrow" w:cs="Times New Roman"/>
                <w:iCs/>
                <w:sz w:val="20"/>
              </w:rPr>
              <w:lastRenderedPageBreak/>
              <w:t>42740</w:t>
            </w:r>
          </w:p>
        </w:tc>
        <w:tc>
          <w:tcPr>
            <w:tcW w:w="7887" w:type="dxa"/>
          </w:tcPr>
          <w:p w14:paraId="47F31C3A" w14:textId="5851C643" w:rsidR="001672E2" w:rsidRDefault="004142C8" w:rsidP="00496A61">
            <w:pPr>
              <w:rPr>
                <w:i/>
              </w:rPr>
            </w:pPr>
            <w:r w:rsidRPr="004142C8">
              <w:rPr>
                <w:i/>
                <w:noProof/>
              </w:rPr>
              <w:drawing>
                <wp:inline distT="0" distB="0" distL="0" distR="0" wp14:anchorId="076080B7" wp14:editId="6F04BFC4">
                  <wp:extent cx="4701654" cy="1167129"/>
                  <wp:effectExtent l="0" t="0" r="3810" b="0"/>
                  <wp:docPr id="9" name="Picture 9"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rrent MBS items utilised for the basis of the proposed MBS fe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4572" cy="1175300"/>
                          </a:xfrm>
                          <a:prstGeom prst="rect">
                            <a:avLst/>
                          </a:prstGeom>
                          <a:noFill/>
                          <a:ln>
                            <a:noFill/>
                          </a:ln>
                        </pic:spPr>
                      </pic:pic>
                    </a:graphicData>
                  </a:graphic>
                </wp:inline>
              </w:drawing>
            </w:r>
          </w:p>
        </w:tc>
      </w:tr>
      <w:tr w:rsidR="00317BA9" w14:paraId="2DA9259A" w14:textId="77777777" w:rsidTr="00432143">
        <w:tc>
          <w:tcPr>
            <w:tcW w:w="1129" w:type="dxa"/>
          </w:tcPr>
          <w:p w14:paraId="04AC7C0F" w14:textId="44BFD1B4" w:rsidR="001672E2" w:rsidRPr="00C05BED" w:rsidRDefault="001672E2" w:rsidP="00496A61">
            <w:pPr>
              <w:rPr>
                <w:iCs/>
              </w:rPr>
            </w:pPr>
            <w:r w:rsidRPr="00C05BED">
              <w:rPr>
                <w:rFonts w:ascii="Arial Narrow" w:hAnsi="Arial Narrow" w:cs="Times New Roman"/>
                <w:iCs/>
                <w:sz w:val="20"/>
              </w:rPr>
              <w:t>42505</w:t>
            </w:r>
          </w:p>
        </w:tc>
        <w:tc>
          <w:tcPr>
            <w:tcW w:w="7887" w:type="dxa"/>
          </w:tcPr>
          <w:p w14:paraId="681FF93A" w14:textId="4371229A" w:rsidR="001672E2" w:rsidRDefault="004142C8" w:rsidP="00496A61">
            <w:pPr>
              <w:rPr>
                <w:i/>
              </w:rPr>
            </w:pPr>
            <w:r w:rsidRPr="004142C8">
              <w:rPr>
                <w:i/>
                <w:noProof/>
              </w:rPr>
              <w:drawing>
                <wp:inline distT="0" distB="0" distL="0" distR="0" wp14:anchorId="290FEC1A" wp14:editId="6DFC3CAF">
                  <wp:extent cx="4701540" cy="1167101"/>
                  <wp:effectExtent l="0" t="0" r="3810" b="0"/>
                  <wp:docPr id="10" name="Picture 10" descr="Current MBS items utilised for the basis of the proposed MB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rrent MBS items utilised for the basis of the proposed MBS fe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860" cy="1170656"/>
                          </a:xfrm>
                          <a:prstGeom prst="rect">
                            <a:avLst/>
                          </a:prstGeom>
                          <a:noFill/>
                          <a:ln>
                            <a:noFill/>
                          </a:ln>
                        </pic:spPr>
                      </pic:pic>
                    </a:graphicData>
                  </a:graphic>
                </wp:inline>
              </w:drawing>
            </w:r>
          </w:p>
        </w:tc>
      </w:tr>
    </w:tbl>
    <w:p w14:paraId="269A2ABB" w14:textId="1D2DA154" w:rsidR="00422C8A" w:rsidRPr="007041C8" w:rsidRDefault="00422C8A" w:rsidP="006508EF">
      <w:pPr>
        <w:spacing w:before="240"/>
        <w:rPr>
          <w:iCs/>
        </w:rPr>
      </w:pPr>
      <w:r w:rsidRPr="007041C8">
        <w:rPr>
          <w:iCs/>
        </w:rPr>
        <w:t>The requested MBS item</w:t>
      </w:r>
      <w:r w:rsidR="00117695">
        <w:rPr>
          <w:iCs/>
        </w:rPr>
        <w:t>s</w:t>
      </w:r>
      <w:r w:rsidRPr="007041C8">
        <w:rPr>
          <w:iCs/>
        </w:rPr>
        <w:t xml:space="preserve"> are presented in Table</w:t>
      </w:r>
      <w:r w:rsidR="00C05BED">
        <w:rPr>
          <w:iCs/>
        </w:rPr>
        <w:t>s</w:t>
      </w:r>
      <w:r w:rsidRPr="007041C8">
        <w:rPr>
          <w:iCs/>
        </w:rPr>
        <w:t xml:space="preserve"> </w:t>
      </w:r>
      <w:r>
        <w:rPr>
          <w:iCs/>
        </w:rPr>
        <w:t>1.</w:t>
      </w:r>
      <w:r w:rsidR="00C05BED">
        <w:rPr>
          <w:iCs/>
        </w:rPr>
        <w:t>4 to</w:t>
      </w:r>
      <w:r>
        <w:rPr>
          <w:iCs/>
        </w:rPr>
        <w:t xml:space="preserve"> 1.</w:t>
      </w:r>
      <w:r w:rsidR="00C05BED">
        <w:rPr>
          <w:iCs/>
        </w:rPr>
        <w:t>6</w:t>
      </w:r>
      <w:r w:rsidR="000C0500" w:rsidRPr="007041C8">
        <w:rPr>
          <w:iCs/>
        </w:rPr>
        <w:t xml:space="preserve"> </w:t>
      </w:r>
      <w:r>
        <w:rPr>
          <w:iCs/>
        </w:rPr>
        <w:t>below</w:t>
      </w:r>
      <w:r w:rsidRPr="007041C8">
        <w:rPr>
          <w:iCs/>
        </w:rPr>
        <w:t>, based on the format of MBS items 42752 and 42755.</w:t>
      </w:r>
    </w:p>
    <w:p w14:paraId="0366206E" w14:textId="6C2DCCD7" w:rsidR="00422C8A" w:rsidRPr="00C96C78" w:rsidRDefault="00422C8A" w:rsidP="00C96C78">
      <w:pPr>
        <w:pStyle w:val="Caption"/>
        <w:tabs>
          <w:tab w:val="left" w:pos="1134"/>
        </w:tabs>
        <w:spacing w:before="240"/>
        <w:ind w:left="1134" w:hanging="1134"/>
        <w:rPr>
          <w:rFonts w:cs="Times New Roman"/>
        </w:rPr>
      </w:pPr>
      <w:r w:rsidRPr="00C96C78">
        <w:rPr>
          <w:rFonts w:cs="Times New Roman"/>
        </w:rPr>
        <w:t>Table 1.</w:t>
      </w:r>
      <w:r w:rsidR="00C05BED">
        <w:rPr>
          <w:rFonts w:cs="Times New Roman"/>
        </w:rPr>
        <w:t>4</w:t>
      </w:r>
      <w:r w:rsidR="002357A3">
        <w:rPr>
          <w:rFonts w:cs="Times New Roman"/>
        </w:rPr>
        <w:t>:</w:t>
      </w:r>
      <w:r w:rsidRPr="00C96C78">
        <w:rPr>
          <w:rFonts w:cs="Times New Roman"/>
        </w:rPr>
        <w:t xml:space="preserve"> MBS descriptor for </w:t>
      </w:r>
      <w:r w:rsidR="000132FD" w:rsidRPr="00C96C78">
        <w:rPr>
          <w:rFonts w:cs="Times New Roman"/>
          <w:u w:val="single"/>
        </w:rPr>
        <w:t>in</w:t>
      </w:r>
      <w:r w:rsidRPr="00C96C78">
        <w:rPr>
          <w:rFonts w:cs="Times New Roman"/>
          <w:u w:val="single"/>
        </w:rPr>
        <w:t>itial fill and implantation</w:t>
      </w:r>
    </w:p>
    <w:p w14:paraId="7FF6BCED" w14:textId="77777777" w:rsidR="00422C8A" w:rsidRPr="00794E0C" w:rsidRDefault="00422C8A" w:rsidP="00C96C7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Narrow" w:hAnsi="Arial Narrow"/>
          <w:sz w:val="20"/>
        </w:rPr>
      </w:pPr>
      <w:bookmarkStart w:id="3" w:name="_Hlk88724438"/>
      <w:r w:rsidRPr="00794E0C">
        <w:rPr>
          <w:rFonts w:ascii="Arial Narrow" w:hAnsi="Arial Narrow"/>
          <w:sz w:val="20"/>
        </w:rPr>
        <w:t xml:space="preserve">Category 3 - THERAPEUTIC PROCEDURES </w:t>
      </w:r>
    </w:p>
    <w:p w14:paraId="37BACD4E"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Group</w:t>
      </w:r>
      <w:r w:rsidRPr="00794E0C">
        <w:rPr>
          <w:rFonts w:ascii="Arial Narrow" w:hAnsi="Arial Narrow"/>
          <w:sz w:val="20"/>
        </w:rPr>
        <w:tab/>
      </w:r>
      <w:r w:rsidRPr="00794E0C">
        <w:rPr>
          <w:rFonts w:ascii="Arial Narrow" w:hAnsi="Arial Narrow"/>
          <w:sz w:val="20"/>
        </w:rPr>
        <w:tab/>
        <w:t>T8 - Surgical Operations</w:t>
      </w:r>
    </w:p>
    <w:p w14:paraId="1462F0E5"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Subgroup</w:t>
      </w:r>
      <w:r w:rsidRPr="00794E0C">
        <w:rPr>
          <w:rFonts w:ascii="Arial Narrow" w:hAnsi="Arial Narrow"/>
          <w:sz w:val="20"/>
        </w:rPr>
        <w:tab/>
        <w:t>9 - Ophthalmology</w:t>
      </w:r>
    </w:p>
    <w:p w14:paraId="32C04693" w14:textId="77777777" w:rsidR="00422C8A" w:rsidRPr="00794E0C" w:rsidRDefault="00422C8A" w:rsidP="00CF5387">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 xml:space="preserve">Neovascular age-related macular degeneration, initial </w:t>
      </w:r>
      <w:proofErr w:type="gramStart"/>
      <w:r w:rsidRPr="00794E0C">
        <w:rPr>
          <w:rFonts w:ascii="Arial Narrow" w:hAnsi="Arial Narrow"/>
          <w:sz w:val="20"/>
        </w:rPr>
        <w:t>fill</w:t>
      </w:r>
      <w:proofErr w:type="gramEnd"/>
      <w:r w:rsidRPr="00794E0C">
        <w:rPr>
          <w:rFonts w:ascii="Arial Narrow" w:hAnsi="Arial Narrow"/>
          <w:sz w:val="20"/>
        </w:rPr>
        <w:t xml:space="preserve"> and implantation of an ocular implant for </w:t>
      </w:r>
      <w:proofErr w:type="spellStart"/>
      <w:r w:rsidRPr="00794E0C">
        <w:rPr>
          <w:rFonts w:ascii="Arial Narrow" w:hAnsi="Arial Narrow"/>
          <w:sz w:val="20"/>
        </w:rPr>
        <w:t>Susvimo</w:t>
      </w:r>
      <w:proofErr w:type="spellEnd"/>
      <w:r w:rsidRPr="00794E0C">
        <w:rPr>
          <w:rFonts w:ascii="Arial Narrow" w:hAnsi="Arial Narrow"/>
          <w:sz w:val="20"/>
          <w:vertAlign w:val="superscript"/>
        </w:rPr>
        <w:t>®</w:t>
      </w:r>
      <w:r w:rsidRPr="00794E0C">
        <w:rPr>
          <w:rFonts w:ascii="Arial Narrow" w:hAnsi="Arial Narrow"/>
          <w:sz w:val="20"/>
        </w:rPr>
        <w:t xml:space="preserve"> (ranibizumab)</w:t>
      </w:r>
    </w:p>
    <w:p w14:paraId="156056E3" w14:textId="77777777" w:rsidR="00422C8A" w:rsidRPr="00794E0C" w:rsidRDefault="00422C8A" w:rsidP="00422C8A">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Fee:  $1193.18</w:t>
      </w:r>
    </w:p>
    <w:bookmarkEnd w:id="3"/>
    <w:p w14:paraId="7E43BB66" w14:textId="1E7A0635" w:rsidR="00422C8A" w:rsidRPr="002D226B" w:rsidRDefault="00422C8A" w:rsidP="002D226B">
      <w:pPr>
        <w:pStyle w:val="Caption"/>
        <w:tabs>
          <w:tab w:val="left" w:pos="1134"/>
        </w:tabs>
        <w:spacing w:before="240"/>
        <w:ind w:left="1134" w:hanging="1134"/>
        <w:rPr>
          <w:u w:val="single"/>
        </w:rPr>
      </w:pPr>
      <w:r w:rsidRPr="002D226B">
        <w:t>Table 1.</w:t>
      </w:r>
      <w:r w:rsidR="00C05BED">
        <w:t>5</w:t>
      </w:r>
      <w:r w:rsidR="002357A3" w:rsidRPr="002D226B">
        <w:t>:</w:t>
      </w:r>
      <w:r w:rsidRPr="002D226B">
        <w:t xml:space="preserve"> MBS descriptor for </w:t>
      </w:r>
      <w:r w:rsidR="000132FD" w:rsidRPr="002D226B">
        <w:rPr>
          <w:u w:val="single"/>
        </w:rPr>
        <w:t>r</w:t>
      </w:r>
      <w:r w:rsidRPr="002D226B">
        <w:rPr>
          <w:u w:val="single"/>
        </w:rPr>
        <w:t>efill-exchange</w:t>
      </w:r>
    </w:p>
    <w:p w14:paraId="07792C7F" w14:textId="77777777" w:rsidR="00422C8A" w:rsidRPr="00794E0C" w:rsidRDefault="00422C8A" w:rsidP="00C96C7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Narrow" w:hAnsi="Arial Narrow"/>
          <w:sz w:val="20"/>
        </w:rPr>
      </w:pPr>
      <w:r w:rsidRPr="00794E0C">
        <w:rPr>
          <w:rFonts w:ascii="Arial Narrow" w:hAnsi="Arial Narrow"/>
          <w:sz w:val="20"/>
        </w:rPr>
        <w:t xml:space="preserve">Category 3 - THERAPEUTIC PROCEDURES </w:t>
      </w:r>
    </w:p>
    <w:p w14:paraId="4EACC21A"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Group</w:t>
      </w:r>
      <w:r w:rsidRPr="00794E0C">
        <w:rPr>
          <w:rFonts w:ascii="Arial Narrow" w:hAnsi="Arial Narrow"/>
          <w:sz w:val="20"/>
        </w:rPr>
        <w:tab/>
      </w:r>
      <w:r w:rsidRPr="00794E0C">
        <w:rPr>
          <w:rFonts w:ascii="Arial Narrow" w:hAnsi="Arial Narrow"/>
          <w:sz w:val="20"/>
        </w:rPr>
        <w:tab/>
        <w:t>T8 - Surgical Operations</w:t>
      </w:r>
    </w:p>
    <w:p w14:paraId="549F419A"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Subgroup</w:t>
      </w:r>
      <w:r w:rsidRPr="00794E0C">
        <w:rPr>
          <w:rFonts w:ascii="Arial Narrow" w:hAnsi="Arial Narrow"/>
          <w:sz w:val="20"/>
        </w:rPr>
        <w:tab/>
        <w:t>9 - Ophthalmology</w:t>
      </w:r>
    </w:p>
    <w:p w14:paraId="7CA488D5" w14:textId="77777777" w:rsidR="00422C8A" w:rsidRPr="00794E0C" w:rsidRDefault="00422C8A" w:rsidP="00CF5387">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 xml:space="preserve">Neovascular age-related macular degeneration, refill-exchange of an ocular implant for </w:t>
      </w:r>
      <w:proofErr w:type="spellStart"/>
      <w:r w:rsidRPr="00794E0C">
        <w:rPr>
          <w:rFonts w:ascii="Arial Narrow" w:hAnsi="Arial Narrow"/>
          <w:sz w:val="20"/>
        </w:rPr>
        <w:t>Susvimo</w:t>
      </w:r>
      <w:proofErr w:type="spellEnd"/>
      <w:r w:rsidRPr="00794E0C">
        <w:rPr>
          <w:rFonts w:ascii="Arial Narrow" w:hAnsi="Arial Narrow"/>
          <w:sz w:val="20"/>
          <w:vertAlign w:val="superscript"/>
        </w:rPr>
        <w:t>®</w:t>
      </w:r>
      <w:r w:rsidRPr="00794E0C">
        <w:rPr>
          <w:rFonts w:ascii="Arial Narrow" w:hAnsi="Arial Narrow"/>
          <w:sz w:val="20"/>
        </w:rPr>
        <w:t xml:space="preserve"> (ranibizumab)</w:t>
      </w:r>
    </w:p>
    <w:p w14:paraId="4F22560E" w14:textId="77777777" w:rsidR="00422C8A" w:rsidRPr="00794E0C" w:rsidRDefault="00422C8A" w:rsidP="00422C8A">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Fee:  $312.95</w:t>
      </w:r>
    </w:p>
    <w:p w14:paraId="4BBBD441" w14:textId="01487595" w:rsidR="00422C8A" w:rsidRPr="002D226B" w:rsidRDefault="00422C8A" w:rsidP="002D226B">
      <w:pPr>
        <w:pStyle w:val="Caption"/>
        <w:tabs>
          <w:tab w:val="left" w:pos="1134"/>
        </w:tabs>
        <w:spacing w:before="240"/>
        <w:ind w:left="1134" w:hanging="1134"/>
        <w:rPr>
          <w:u w:val="single"/>
        </w:rPr>
      </w:pPr>
      <w:r w:rsidRPr="002D226B">
        <w:t>Table 1.</w:t>
      </w:r>
      <w:r w:rsidR="00C05BED">
        <w:t>6</w:t>
      </w:r>
      <w:r w:rsidR="002357A3" w:rsidRPr="002D226B">
        <w:t>:</w:t>
      </w:r>
      <w:r w:rsidRPr="002D226B">
        <w:t xml:space="preserve"> MBS descriptor for </w:t>
      </w:r>
      <w:r w:rsidR="000132FD" w:rsidRPr="002D226B">
        <w:rPr>
          <w:u w:val="single"/>
        </w:rPr>
        <w:t>e</w:t>
      </w:r>
      <w:r w:rsidRPr="002D226B">
        <w:rPr>
          <w:u w:val="single"/>
        </w:rPr>
        <w:t>xplantation</w:t>
      </w:r>
    </w:p>
    <w:p w14:paraId="7FCA9C59" w14:textId="77777777" w:rsidR="00422C8A" w:rsidRPr="00794E0C" w:rsidRDefault="00422C8A" w:rsidP="00C96C7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Narrow" w:hAnsi="Arial Narrow"/>
          <w:sz w:val="20"/>
        </w:rPr>
      </w:pPr>
      <w:r w:rsidRPr="00794E0C">
        <w:rPr>
          <w:rFonts w:ascii="Arial Narrow" w:hAnsi="Arial Narrow"/>
          <w:sz w:val="20"/>
        </w:rPr>
        <w:t xml:space="preserve">Category 3 - THERAPEUTIC PROCEDURES </w:t>
      </w:r>
    </w:p>
    <w:p w14:paraId="1ADD0143"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Group</w:t>
      </w:r>
      <w:r w:rsidRPr="00794E0C">
        <w:rPr>
          <w:rFonts w:ascii="Arial Narrow" w:hAnsi="Arial Narrow"/>
          <w:sz w:val="20"/>
        </w:rPr>
        <w:tab/>
      </w:r>
      <w:r w:rsidRPr="00794E0C">
        <w:rPr>
          <w:rFonts w:ascii="Arial Narrow" w:hAnsi="Arial Narrow"/>
          <w:sz w:val="20"/>
        </w:rPr>
        <w:tab/>
        <w:t>T8 - Surgical Operations</w:t>
      </w:r>
    </w:p>
    <w:p w14:paraId="2B8635CB" w14:textId="77777777" w:rsidR="00422C8A" w:rsidRPr="00794E0C" w:rsidRDefault="00422C8A" w:rsidP="00C96C78">
      <w:pPr>
        <w:keepNext/>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r>
      <w:r w:rsidRPr="00794E0C">
        <w:rPr>
          <w:rFonts w:ascii="Arial Narrow" w:hAnsi="Arial Narrow"/>
          <w:sz w:val="20"/>
        </w:rPr>
        <w:tab/>
        <w:t>Subgroup</w:t>
      </w:r>
      <w:r w:rsidRPr="00794E0C">
        <w:rPr>
          <w:rFonts w:ascii="Arial Narrow" w:hAnsi="Arial Narrow"/>
          <w:sz w:val="20"/>
        </w:rPr>
        <w:tab/>
        <w:t>9 - Ophthalmology</w:t>
      </w:r>
    </w:p>
    <w:p w14:paraId="56CA670A" w14:textId="77777777" w:rsidR="00422C8A" w:rsidRPr="00794E0C" w:rsidRDefault="00422C8A" w:rsidP="00CF5387">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 xml:space="preserve">Neovascular age-related macular degeneration, explantation of an ocular implant for </w:t>
      </w:r>
      <w:proofErr w:type="spellStart"/>
      <w:r w:rsidRPr="00794E0C">
        <w:rPr>
          <w:rFonts w:ascii="Arial Narrow" w:hAnsi="Arial Narrow"/>
          <w:sz w:val="20"/>
        </w:rPr>
        <w:t>Susvimo</w:t>
      </w:r>
      <w:proofErr w:type="spellEnd"/>
      <w:r w:rsidRPr="00794E0C">
        <w:rPr>
          <w:rFonts w:ascii="Arial Narrow" w:hAnsi="Arial Narrow"/>
          <w:sz w:val="20"/>
          <w:vertAlign w:val="superscript"/>
        </w:rPr>
        <w:t>®</w:t>
      </w:r>
      <w:r w:rsidRPr="00794E0C">
        <w:rPr>
          <w:rFonts w:ascii="Arial Narrow" w:hAnsi="Arial Narrow"/>
          <w:sz w:val="20"/>
        </w:rPr>
        <w:t xml:space="preserve"> (ranibizumab)</w:t>
      </w:r>
    </w:p>
    <w:p w14:paraId="2DDFD09D" w14:textId="77777777" w:rsidR="00422C8A" w:rsidRPr="00794E0C" w:rsidRDefault="00422C8A" w:rsidP="00422C8A">
      <w:pPr>
        <w:pBdr>
          <w:top w:val="single" w:sz="4" w:space="1" w:color="auto"/>
          <w:left w:val="single" w:sz="4" w:space="4" w:color="auto"/>
          <w:bottom w:val="single" w:sz="4" w:space="1" w:color="auto"/>
          <w:right w:val="single" w:sz="4" w:space="4" w:color="auto"/>
        </w:pBdr>
        <w:rPr>
          <w:rFonts w:ascii="Arial Narrow" w:hAnsi="Arial Narrow"/>
          <w:sz w:val="20"/>
        </w:rPr>
      </w:pPr>
      <w:r w:rsidRPr="00794E0C">
        <w:rPr>
          <w:rFonts w:ascii="Arial Narrow" w:hAnsi="Arial Narrow"/>
          <w:sz w:val="20"/>
        </w:rPr>
        <w:t>Fee:  $400.00</w:t>
      </w:r>
    </w:p>
    <w:p w14:paraId="249C7D05" w14:textId="7EFBB4B0" w:rsidR="00705E04" w:rsidRDefault="00BE57FF" w:rsidP="00CF5387">
      <w:pPr>
        <w:spacing w:before="240"/>
      </w:pPr>
      <w:r>
        <w:t>Table 1.7 outlines t</w:t>
      </w:r>
      <w:r w:rsidR="00705E04">
        <w:t>he c</w:t>
      </w:r>
      <w:r w:rsidR="00705E04" w:rsidRPr="00705E04">
        <w:t>omponents, purpose, procedures, source of funding associated with the PDS</w:t>
      </w:r>
      <w:bookmarkStart w:id="4" w:name="_Ref64448221"/>
      <w:bookmarkStart w:id="5" w:name="_Toc80051822"/>
      <w:bookmarkStart w:id="6" w:name="_Toc84841396"/>
      <w:bookmarkStart w:id="7" w:name="_Toc86743002"/>
      <w:r>
        <w:t xml:space="preserve">, together with the applicant’s expectations regarding </w:t>
      </w:r>
      <w:proofErr w:type="gramStart"/>
      <w:r>
        <w:t>out of pocket</w:t>
      </w:r>
      <w:proofErr w:type="gramEnd"/>
      <w:r>
        <w:t xml:space="preserve"> costs</w:t>
      </w:r>
      <w:r w:rsidR="000132FD">
        <w:t>.</w:t>
      </w:r>
    </w:p>
    <w:p w14:paraId="6D32496E" w14:textId="16347AB7" w:rsidR="00705E04" w:rsidRPr="002D226B" w:rsidRDefault="00705E04" w:rsidP="002D226B">
      <w:pPr>
        <w:pStyle w:val="Caption"/>
        <w:tabs>
          <w:tab w:val="left" w:pos="1134"/>
        </w:tabs>
        <w:spacing w:before="240"/>
        <w:ind w:left="1134" w:hanging="1134"/>
      </w:pPr>
      <w:r w:rsidRPr="002D226B">
        <w:lastRenderedPageBreak/>
        <w:t>Table</w:t>
      </w:r>
      <w:bookmarkEnd w:id="4"/>
      <w:r w:rsidRPr="002D226B">
        <w:t xml:space="preserve"> 1.</w:t>
      </w:r>
      <w:r w:rsidR="00C05BED">
        <w:t>7</w:t>
      </w:r>
      <w:r w:rsidR="002357A3" w:rsidRPr="002D226B">
        <w:t>:</w:t>
      </w:r>
      <w:r w:rsidRPr="002D226B">
        <w:t xml:space="preserve"> Components, purpose</w:t>
      </w:r>
      <w:r w:rsidR="00117695">
        <w:t xml:space="preserve"> and</w:t>
      </w:r>
      <w:r w:rsidRPr="002D226B">
        <w:t xml:space="preserve"> source</w:t>
      </w:r>
      <w:r w:rsidR="00117695">
        <w:t>s</w:t>
      </w:r>
      <w:r w:rsidRPr="002D226B">
        <w:t xml:space="preserve"> of funding associated with the </w:t>
      </w:r>
      <w:bookmarkEnd w:id="5"/>
      <w:r w:rsidR="00117695">
        <w:t>requested procedures</w:t>
      </w:r>
      <w:bookmarkEnd w:id="6"/>
      <w:bookmarkEnd w:id="7"/>
    </w:p>
    <w:tbl>
      <w:tblPr>
        <w:tblStyle w:val="TableGrid1"/>
        <w:tblW w:w="0" w:type="auto"/>
        <w:tblCellMar>
          <w:top w:w="15" w:type="dxa"/>
          <w:left w:w="15" w:type="dxa"/>
          <w:bottom w:w="15" w:type="dxa"/>
          <w:right w:w="15" w:type="dxa"/>
        </w:tblCellMar>
        <w:tblLook w:val="04A0" w:firstRow="1" w:lastRow="0" w:firstColumn="1" w:lastColumn="0" w:noHBand="0" w:noVBand="1"/>
        <w:tblDescription w:val="Components, purpose and sources of funding associated with the requested procedures"/>
      </w:tblPr>
      <w:tblGrid>
        <w:gridCol w:w="1245"/>
        <w:gridCol w:w="1275"/>
        <w:gridCol w:w="2782"/>
        <w:gridCol w:w="1743"/>
        <w:gridCol w:w="1961"/>
      </w:tblGrid>
      <w:tr w:rsidR="00705E04" w:rsidRPr="00C96C78" w14:paraId="26319ECD" w14:textId="77777777" w:rsidTr="00C72FC3">
        <w:trPr>
          <w:cnfStyle w:val="100000000000" w:firstRow="1" w:lastRow="0" w:firstColumn="0" w:lastColumn="0" w:oddVBand="0" w:evenVBand="0" w:oddHBand="0" w:evenHBand="0" w:firstRowFirstColumn="0" w:firstRowLastColumn="0" w:lastRowFirstColumn="0" w:lastRowLastColumn="0"/>
          <w:trHeight w:val="20"/>
        </w:trPr>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7EF68" w14:textId="77777777" w:rsidR="00705E04" w:rsidRPr="00C96C78" w:rsidRDefault="00705E04" w:rsidP="002357A3">
            <w:pPr>
              <w:pStyle w:val="TableHeadingRow"/>
              <w:spacing w:before="0" w:after="0"/>
              <w:rPr>
                <w:rFonts w:ascii="Arial Narrow" w:hAnsi="Arial Narrow"/>
              </w:rPr>
            </w:pPr>
            <w:bookmarkStart w:id="8" w:name="_Hlk88212448"/>
            <w:r w:rsidRPr="00C96C78">
              <w:rPr>
                <w:rFonts w:ascii="Arial Narrow" w:hAnsi="Arial Narrow"/>
              </w:rPr>
              <w:t>Procedure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38BB" w14:textId="77777777" w:rsidR="00705E04" w:rsidRPr="00C96C78" w:rsidRDefault="00705E04" w:rsidP="002357A3">
            <w:pPr>
              <w:pStyle w:val="TableHeadingRow"/>
              <w:spacing w:before="0" w:after="0"/>
              <w:rPr>
                <w:rFonts w:ascii="Arial Narrow" w:hAnsi="Arial Narrow"/>
              </w:rPr>
            </w:pPr>
            <w:r w:rsidRPr="00C96C78">
              <w:rPr>
                <w:rFonts w:ascii="Arial Narrow" w:hAnsi="Arial Narrow"/>
              </w:rPr>
              <w:t>Component</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53081" w14:textId="77777777" w:rsidR="00705E04" w:rsidRPr="00C96C78" w:rsidRDefault="00705E04" w:rsidP="002357A3">
            <w:pPr>
              <w:pStyle w:val="TableHeadingRow"/>
              <w:spacing w:before="0" w:after="0"/>
              <w:rPr>
                <w:rFonts w:ascii="Arial Narrow" w:hAnsi="Arial Narrow"/>
              </w:rPr>
            </w:pPr>
            <w:r w:rsidRPr="00C96C78">
              <w:rPr>
                <w:rFonts w:ascii="Arial Narrow" w:hAnsi="Arial Narrow"/>
              </w:rPr>
              <w:t>Purpose</w:t>
            </w:r>
          </w:p>
        </w:tc>
        <w:tc>
          <w:tcPr>
            <w:tcW w:w="1743" w:type="dxa"/>
            <w:tcBorders>
              <w:top w:val="single" w:sz="8" w:space="0" w:color="000000"/>
              <w:left w:val="single" w:sz="8" w:space="0" w:color="000000"/>
              <w:bottom w:val="single" w:sz="8" w:space="0" w:color="000000"/>
              <w:right w:val="single" w:sz="8" w:space="0" w:color="000000"/>
            </w:tcBorders>
          </w:tcPr>
          <w:p w14:paraId="05B2A526" w14:textId="77777777" w:rsidR="00705E04" w:rsidRPr="00C96C78" w:rsidRDefault="00705E04" w:rsidP="002357A3">
            <w:pPr>
              <w:pStyle w:val="TableHeadingRow"/>
              <w:spacing w:before="0" w:after="0"/>
              <w:rPr>
                <w:rFonts w:ascii="Arial Narrow" w:hAnsi="Arial Narrow"/>
              </w:rPr>
            </w:pPr>
            <w:r w:rsidRPr="00C96C78">
              <w:rPr>
                <w:rFonts w:ascii="Arial Narrow" w:hAnsi="Arial Narrow"/>
              </w:rPr>
              <w:t>Foreshadowed funding scheme</w:t>
            </w:r>
          </w:p>
        </w:tc>
        <w:tc>
          <w:tcPr>
            <w:tcW w:w="1961" w:type="dxa"/>
            <w:tcBorders>
              <w:top w:val="single" w:sz="8" w:space="0" w:color="000000"/>
              <w:left w:val="single" w:sz="8" w:space="0" w:color="000000"/>
              <w:bottom w:val="single" w:sz="8" w:space="0" w:color="000000"/>
              <w:right w:val="single" w:sz="8" w:space="0" w:color="000000"/>
            </w:tcBorders>
          </w:tcPr>
          <w:p w14:paraId="317665F1" w14:textId="77777777" w:rsidR="00705E04" w:rsidRPr="00C96C78" w:rsidRDefault="00705E04" w:rsidP="002357A3">
            <w:pPr>
              <w:pStyle w:val="TableHeadingRow"/>
              <w:spacing w:before="0" w:after="0"/>
              <w:rPr>
                <w:rFonts w:ascii="Arial Narrow" w:hAnsi="Arial Narrow"/>
              </w:rPr>
            </w:pPr>
            <w:r w:rsidRPr="00C96C78">
              <w:rPr>
                <w:rFonts w:ascii="Arial Narrow" w:hAnsi="Arial Narrow"/>
              </w:rPr>
              <w:t>Foreshadowed out of pocket costs</w:t>
            </w:r>
          </w:p>
        </w:tc>
      </w:tr>
      <w:tr w:rsidR="00705E04" w:rsidRPr="00C96C78" w14:paraId="6111A63D" w14:textId="77777777" w:rsidTr="00C72FC3">
        <w:trPr>
          <w:trHeight w:val="20"/>
        </w:trPr>
        <w:tc>
          <w:tcPr>
            <w:tcW w:w="12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5E68D"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Initial fill and implantation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8AA562" w14:textId="64FBBEBF" w:rsidR="00705E04" w:rsidRPr="00C96C78" w:rsidRDefault="00DB5671" w:rsidP="002357A3">
            <w:pPr>
              <w:pStyle w:val="TableText1"/>
              <w:keepNext/>
              <w:spacing w:before="0" w:after="0"/>
              <w:jc w:val="center"/>
              <w:rPr>
                <w:rFonts w:ascii="Arial Narrow" w:hAnsi="Arial Narrow"/>
              </w:rPr>
            </w:pPr>
            <w:r>
              <w:rPr>
                <w:rFonts w:ascii="Arial Narrow" w:hAnsi="Arial Narrow"/>
              </w:rPr>
              <w:t>PDS o</w:t>
            </w:r>
            <w:r w:rsidR="00705E04" w:rsidRPr="00C96C78">
              <w:rPr>
                <w:rFonts w:ascii="Arial Narrow" w:hAnsi="Arial Narrow"/>
              </w:rPr>
              <w:t>cular implant</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F78B9A" w14:textId="6056EB0B"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Continuous release of ranibizumab 100</w:t>
            </w:r>
            <w:r w:rsidR="002357A3">
              <w:rPr>
                <w:rFonts w:ascii="Arial Narrow" w:hAnsi="Arial Narrow"/>
              </w:rPr>
              <w:t> </w:t>
            </w:r>
            <w:r w:rsidRPr="00C96C78">
              <w:rPr>
                <w:rFonts w:ascii="Arial Narrow" w:hAnsi="Arial Narrow"/>
              </w:rPr>
              <w:t>mg/mL in the eye</w:t>
            </w:r>
          </w:p>
        </w:tc>
        <w:tc>
          <w:tcPr>
            <w:tcW w:w="1743" w:type="dxa"/>
            <w:tcBorders>
              <w:top w:val="single" w:sz="8" w:space="0" w:color="000000"/>
              <w:left w:val="single" w:sz="8" w:space="0" w:color="000000"/>
              <w:bottom w:val="single" w:sz="8" w:space="0" w:color="000000"/>
              <w:right w:val="single" w:sz="8" w:space="0" w:color="000000"/>
            </w:tcBorders>
            <w:vAlign w:val="center"/>
          </w:tcPr>
          <w:p w14:paraId="17B3551C"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Prostheses List</w:t>
            </w:r>
          </w:p>
        </w:tc>
        <w:tc>
          <w:tcPr>
            <w:tcW w:w="1961" w:type="dxa"/>
            <w:tcBorders>
              <w:top w:val="single" w:sz="8" w:space="0" w:color="000000"/>
              <w:left w:val="single" w:sz="8" w:space="0" w:color="000000"/>
              <w:bottom w:val="single" w:sz="8" w:space="0" w:color="000000"/>
              <w:right w:val="single" w:sz="8" w:space="0" w:color="000000"/>
            </w:tcBorders>
            <w:vAlign w:val="center"/>
          </w:tcPr>
          <w:p w14:paraId="55D4D58F" w14:textId="2BA120E3"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 xml:space="preserve">None, if the patient has </w:t>
            </w:r>
            <w:r w:rsidR="00A610BD">
              <w:rPr>
                <w:rFonts w:ascii="Arial Narrow" w:hAnsi="Arial Narrow"/>
                <w:i/>
                <w:iCs/>
              </w:rPr>
              <w:t xml:space="preserve">the appropriate </w:t>
            </w:r>
            <w:r w:rsidRPr="00C96C78">
              <w:rPr>
                <w:rFonts w:ascii="Arial Narrow" w:hAnsi="Arial Narrow"/>
              </w:rPr>
              <w:t>private health insurance</w:t>
            </w:r>
          </w:p>
        </w:tc>
      </w:tr>
      <w:tr w:rsidR="00705E04" w:rsidRPr="00C96C78" w14:paraId="11053BF6" w14:textId="77777777" w:rsidTr="00C72FC3">
        <w:trPr>
          <w:trHeight w:val="20"/>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14:paraId="7D236373" w14:textId="77777777" w:rsidR="00705E04" w:rsidRPr="00C96C78" w:rsidRDefault="00705E04" w:rsidP="002357A3">
            <w:pPr>
              <w:pStyle w:val="TableText1"/>
              <w:keepNext/>
              <w:spacing w:before="0" w:after="0"/>
              <w:jc w:val="center"/>
              <w:rPr>
                <w:rFonts w:ascii="Arial Narrow" w:hAnsi="Arial Narrow"/>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B2531" w14:textId="76BF5F45"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 xml:space="preserve">Insertion </w:t>
            </w:r>
            <w:r w:rsidR="002357A3">
              <w:rPr>
                <w:rFonts w:ascii="Arial Narrow" w:hAnsi="Arial Narrow"/>
              </w:rPr>
              <w:t>t</w:t>
            </w:r>
            <w:r w:rsidRPr="00C96C78">
              <w:rPr>
                <w:rFonts w:ascii="Arial Narrow" w:hAnsi="Arial Narrow"/>
              </w:rPr>
              <w:t xml:space="preserve">ool </w:t>
            </w:r>
            <w:r w:rsidR="002357A3">
              <w:rPr>
                <w:rFonts w:ascii="Arial Narrow" w:hAnsi="Arial Narrow"/>
              </w:rPr>
              <w:t>a</w:t>
            </w:r>
            <w:r w:rsidRPr="00C96C78">
              <w:rPr>
                <w:rFonts w:ascii="Arial Narrow" w:hAnsi="Arial Narrow"/>
              </w:rPr>
              <w:t>ssembly</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EB0BA"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Hold the implant and to place the implant in the eye during the implant procedure</w:t>
            </w:r>
          </w:p>
        </w:tc>
        <w:tc>
          <w:tcPr>
            <w:tcW w:w="1743" w:type="dxa"/>
            <w:tcBorders>
              <w:top w:val="single" w:sz="8" w:space="0" w:color="000000"/>
              <w:left w:val="single" w:sz="8" w:space="0" w:color="000000"/>
              <w:bottom w:val="single" w:sz="8" w:space="0" w:color="000000"/>
              <w:right w:val="single" w:sz="8" w:space="0" w:color="000000"/>
            </w:tcBorders>
            <w:vAlign w:val="center"/>
          </w:tcPr>
          <w:p w14:paraId="078EA6F1" w14:textId="6585324E" w:rsidR="00705E04" w:rsidRPr="00A610BD" w:rsidRDefault="00A610BD" w:rsidP="002357A3">
            <w:pPr>
              <w:pStyle w:val="TableText1"/>
              <w:keepNext/>
              <w:spacing w:before="0" w:after="0"/>
              <w:jc w:val="center"/>
              <w:rPr>
                <w:rFonts w:ascii="Arial Narrow" w:hAnsi="Arial Narrow"/>
                <w:i/>
                <w:iCs/>
              </w:rPr>
            </w:pPr>
            <w:r w:rsidRPr="00A610BD">
              <w:rPr>
                <w:rFonts w:ascii="Arial Narrow" w:hAnsi="Arial Narrow"/>
                <w:i/>
                <w:iCs/>
              </w:rPr>
              <w:t>Prostheses List</w:t>
            </w:r>
          </w:p>
          <w:p w14:paraId="06A71717" w14:textId="6B09FFAA"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w:t>
            </w:r>
            <w:r w:rsidR="00DB5671">
              <w:rPr>
                <w:rFonts w:ascii="Arial Narrow" w:hAnsi="Arial Narrow"/>
              </w:rPr>
              <w:t xml:space="preserve">when </w:t>
            </w:r>
            <w:r w:rsidRPr="00C96C78">
              <w:rPr>
                <w:rFonts w:ascii="Arial Narrow" w:hAnsi="Arial Narrow"/>
              </w:rPr>
              <w:t xml:space="preserve">co-packaged in the same carton as the </w:t>
            </w:r>
            <w:r w:rsidR="00DB5671">
              <w:rPr>
                <w:rFonts w:ascii="Arial Narrow" w:hAnsi="Arial Narrow"/>
              </w:rPr>
              <w:t xml:space="preserve">PDS </w:t>
            </w:r>
            <w:r w:rsidRPr="00C96C78">
              <w:rPr>
                <w:rFonts w:ascii="Arial Narrow" w:hAnsi="Arial Narrow"/>
              </w:rPr>
              <w:t>ocular implant)</w:t>
            </w:r>
          </w:p>
        </w:tc>
        <w:tc>
          <w:tcPr>
            <w:tcW w:w="1961" w:type="dxa"/>
            <w:tcBorders>
              <w:top w:val="single" w:sz="8" w:space="0" w:color="000000"/>
              <w:left w:val="single" w:sz="8" w:space="0" w:color="000000"/>
              <w:bottom w:val="single" w:sz="8" w:space="0" w:color="000000"/>
              <w:right w:val="single" w:sz="8" w:space="0" w:color="000000"/>
            </w:tcBorders>
            <w:vAlign w:val="center"/>
          </w:tcPr>
          <w:p w14:paraId="532D6EEC" w14:textId="087065D1"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None</w:t>
            </w:r>
            <w:r w:rsidR="00A610BD" w:rsidRPr="00A610BD">
              <w:rPr>
                <w:rFonts w:ascii="Arial Narrow" w:hAnsi="Arial Narrow"/>
                <w:i/>
                <w:iCs/>
              </w:rPr>
              <w:t>, if the patient has the appropriate private health insurance</w:t>
            </w:r>
          </w:p>
        </w:tc>
      </w:tr>
      <w:tr w:rsidR="00705E04" w:rsidRPr="00C96C78" w14:paraId="2B4B0942" w14:textId="77777777" w:rsidTr="00C72FC3">
        <w:trPr>
          <w:trHeight w:val="20"/>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14:paraId="10DA193F" w14:textId="77777777" w:rsidR="00705E04" w:rsidRPr="00C96C78" w:rsidRDefault="00705E04" w:rsidP="002357A3">
            <w:pPr>
              <w:pStyle w:val="TableText1"/>
              <w:keepNext/>
              <w:spacing w:before="0" w:after="0"/>
              <w:jc w:val="center"/>
              <w:rPr>
                <w:rFonts w:ascii="Arial Narrow" w:hAnsi="Arial Narrow"/>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07474D" w14:textId="6A48BF08"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 xml:space="preserve">Initial </w:t>
            </w:r>
            <w:r w:rsidR="002357A3">
              <w:rPr>
                <w:rFonts w:ascii="Arial Narrow" w:hAnsi="Arial Narrow"/>
              </w:rPr>
              <w:t>f</w:t>
            </w:r>
            <w:r w:rsidRPr="00C96C78">
              <w:rPr>
                <w:rFonts w:ascii="Arial Narrow" w:hAnsi="Arial Narrow"/>
              </w:rPr>
              <w:t xml:space="preserve">ill </w:t>
            </w:r>
            <w:r w:rsidR="002357A3">
              <w:rPr>
                <w:rFonts w:ascii="Arial Narrow" w:hAnsi="Arial Narrow"/>
              </w:rPr>
              <w:t>n</w:t>
            </w:r>
            <w:r w:rsidRPr="00C96C78">
              <w:rPr>
                <w:rFonts w:ascii="Arial Narrow" w:hAnsi="Arial Narrow"/>
              </w:rPr>
              <w:t>eedle</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471E68" w14:textId="5E1FCCC9"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 xml:space="preserve">Fill the </w:t>
            </w:r>
            <w:r w:rsidR="00DB00AA">
              <w:rPr>
                <w:rFonts w:ascii="Arial Narrow" w:hAnsi="Arial Narrow"/>
              </w:rPr>
              <w:t xml:space="preserve">PDS </w:t>
            </w:r>
            <w:r w:rsidRPr="00C96C78">
              <w:rPr>
                <w:rFonts w:ascii="Arial Narrow" w:hAnsi="Arial Narrow"/>
              </w:rPr>
              <w:t>ocular implant with ranibizumab 100</w:t>
            </w:r>
            <w:r w:rsidR="002357A3">
              <w:rPr>
                <w:rFonts w:ascii="Arial Narrow" w:hAnsi="Arial Narrow"/>
              </w:rPr>
              <w:t> </w:t>
            </w:r>
            <w:r w:rsidRPr="00C96C78">
              <w:rPr>
                <w:rFonts w:ascii="Arial Narrow" w:hAnsi="Arial Narrow"/>
              </w:rPr>
              <w:t>mg/mL prior to implantation</w:t>
            </w:r>
          </w:p>
        </w:tc>
        <w:tc>
          <w:tcPr>
            <w:tcW w:w="1743" w:type="dxa"/>
            <w:tcBorders>
              <w:top w:val="single" w:sz="8" w:space="0" w:color="000000"/>
              <w:left w:val="single" w:sz="8" w:space="0" w:color="000000"/>
              <w:bottom w:val="single" w:sz="8" w:space="0" w:color="000000"/>
              <w:right w:val="single" w:sz="8" w:space="0" w:color="000000"/>
            </w:tcBorders>
            <w:vAlign w:val="center"/>
          </w:tcPr>
          <w:p w14:paraId="57662F8E" w14:textId="3F70CEE1"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None</w:t>
            </w:r>
          </w:p>
        </w:tc>
        <w:tc>
          <w:tcPr>
            <w:tcW w:w="1961" w:type="dxa"/>
            <w:tcBorders>
              <w:top w:val="single" w:sz="8" w:space="0" w:color="000000"/>
              <w:left w:val="single" w:sz="8" w:space="0" w:color="000000"/>
              <w:bottom w:val="single" w:sz="8" w:space="0" w:color="000000"/>
              <w:right w:val="single" w:sz="8" w:space="0" w:color="000000"/>
            </w:tcBorders>
            <w:vAlign w:val="center"/>
          </w:tcPr>
          <w:p w14:paraId="063B4823"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None</w:t>
            </w:r>
          </w:p>
        </w:tc>
      </w:tr>
      <w:tr w:rsidR="00705E04" w:rsidRPr="00C96C78" w14:paraId="5C267E37" w14:textId="77777777" w:rsidTr="00C72FC3">
        <w:trPr>
          <w:trHeight w:val="20"/>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14:paraId="78AEF8B2" w14:textId="77777777" w:rsidR="00705E04" w:rsidRPr="00C96C78" w:rsidRDefault="00705E04" w:rsidP="002357A3">
            <w:pPr>
              <w:pStyle w:val="TableText1"/>
              <w:keepNext/>
              <w:spacing w:before="0" w:after="0"/>
              <w:jc w:val="center"/>
              <w:rPr>
                <w:rFonts w:ascii="Arial Narrow" w:hAnsi="Arial Narrow"/>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7CF0E" w14:textId="77777777" w:rsidR="00705E04" w:rsidRPr="00C96C78" w:rsidRDefault="00705E04" w:rsidP="002357A3">
            <w:pPr>
              <w:pStyle w:val="TableText1"/>
              <w:keepNext/>
              <w:spacing w:before="0" w:after="0"/>
              <w:jc w:val="center"/>
              <w:rPr>
                <w:rFonts w:ascii="Arial Narrow" w:hAnsi="Arial Narrow"/>
              </w:rPr>
            </w:pPr>
            <w:proofErr w:type="spellStart"/>
            <w:r w:rsidRPr="00C96C78">
              <w:rPr>
                <w:rFonts w:ascii="Arial Narrow" w:hAnsi="Arial Narrow"/>
              </w:rPr>
              <w:t>Susvimo</w:t>
            </w:r>
            <w:proofErr w:type="spellEnd"/>
            <w:r w:rsidRPr="00C96C78">
              <w:rPr>
                <w:rFonts w:ascii="Arial Narrow" w:hAnsi="Arial Narrow"/>
              </w:rPr>
              <w:t>® vial</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F38CE" w14:textId="59FDE592" w:rsidR="00705E04" w:rsidRPr="00C96C78" w:rsidRDefault="002357A3" w:rsidP="002357A3">
            <w:pPr>
              <w:pStyle w:val="TableText1"/>
              <w:keepNext/>
              <w:spacing w:before="0" w:after="0"/>
              <w:jc w:val="center"/>
              <w:rPr>
                <w:rFonts w:ascii="Arial Narrow" w:hAnsi="Arial Narrow"/>
              </w:rPr>
            </w:pPr>
            <w:r>
              <w:rPr>
                <w:rFonts w:ascii="Arial Narrow" w:hAnsi="Arial Narrow"/>
              </w:rPr>
              <w:t>R</w:t>
            </w:r>
            <w:r w:rsidR="00705E04" w:rsidRPr="00C96C78">
              <w:rPr>
                <w:rFonts w:ascii="Arial Narrow" w:hAnsi="Arial Narrow"/>
              </w:rPr>
              <w:t>anibizumab 100</w:t>
            </w:r>
            <w:r>
              <w:rPr>
                <w:rFonts w:ascii="Arial Narrow" w:hAnsi="Arial Narrow"/>
              </w:rPr>
              <w:t> </w:t>
            </w:r>
            <w:r w:rsidR="00705E04" w:rsidRPr="00C96C78">
              <w:rPr>
                <w:rFonts w:ascii="Arial Narrow" w:hAnsi="Arial Narrow"/>
              </w:rPr>
              <w:t>mg/mL</w:t>
            </w:r>
          </w:p>
        </w:tc>
        <w:tc>
          <w:tcPr>
            <w:tcW w:w="1743" w:type="dxa"/>
            <w:tcBorders>
              <w:top w:val="single" w:sz="8" w:space="0" w:color="000000"/>
              <w:left w:val="single" w:sz="8" w:space="0" w:color="000000"/>
              <w:bottom w:val="single" w:sz="8" w:space="0" w:color="000000"/>
              <w:right w:val="single" w:sz="8" w:space="0" w:color="000000"/>
            </w:tcBorders>
            <w:vAlign w:val="center"/>
          </w:tcPr>
          <w:p w14:paraId="4CD32641"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Pharmaceutical Benefits Scheme</w:t>
            </w:r>
          </w:p>
        </w:tc>
        <w:tc>
          <w:tcPr>
            <w:tcW w:w="1961" w:type="dxa"/>
            <w:tcBorders>
              <w:top w:val="single" w:sz="8" w:space="0" w:color="000000"/>
              <w:left w:val="single" w:sz="8" w:space="0" w:color="000000"/>
              <w:bottom w:val="single" w:sz="8" w:space="0" w:color="000000"/>
              <w:right w:val="single" w:sz="8" w:space="0" w:color="000000"/>
            </w:tcBorders>
            <w:vAlign w:val="center"/>
          </w:tcPr>
          <w:p w14:paraId="5B6F6946"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PBS co-payment</w:t>
            </w:r>
          </w:p>
        </w:tc>
      </w:tr>
      <w:tr w:rsidR="00705E04" w:rsidRPr="00C96C78" w14:paraId="7C81BEFF" w14:textId="77777777" w:rsidTr="00C72FC3">
        <w:trPr>
          <w:trHeight w:val="20"/>
        </w:trPr>
        <w:tc>
          <w:tcPr>
            <w:tcW w:w="12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4F160"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Refill-exchange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6CD135" w14:textId="2F6BD5B4"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 xml:space="preserve">Refill </w:t>
            </w:r>
            <w:r w:rsidR="002357A3">
              <w:rPr>
                <w:rFonts w:ascii="Arial Narrow" w:hAnsi="Arial Narrow"/>
              </w:rPr>
              <w:t>n</w:t>
            </w:r>
            <w:r w:rsidRPr="00C96C78">
              <w:rPr>
                <w:rFonts w:ascii="Arial Narrow" w:hAnsi="Arial Narrow"/>
              </w:rPr>
              <w:t>eedle</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A2B639" w14:textId="7E74838F"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Refill the implant with ranibizumab 100</w:t>
            </w:r>
            <w:r w:rsidR="002357A3">
              <w:rPr>
                <w:rFonts w:ascii="Arial Narrow" w:hAnsi="Arial Narrow"/>
              </w:rPr>
              <w:t> </w:t>
            </w:r>
            <w:r w:rsidRPr="00C96C78">
              <w:rPr>
                <w:rFonts w:ascii="Arial Narrow" w:hAnsi="Arial Narrow"/>
              </w:rPr>
              <w:t xml:space="preserve">mg/mL </w:t>
            </w:r>
            <w:r w:rsidRPr="002357A3">
              <w:rPr>
                <w:rFonts w:ascii="Arial Narrow" w:hAnsi="Arial Narrow"/>
                <w:i/>
                <w:iCs/>
              </w:rPr>
              <w:t>in</w:t>
            </w:r>
            <w:r w:rsidR="002357A3" w:rsidRPr="002357A3">
              <w:rPr>
                <w:rFonts w:ascii="Arial Narrow" w:hAnsi="Arial Narrow"/>
                <w:i/>
                <w:iCs/>
              </w:rPr>
              <w:t xml:space="preserve"> </w:t>
            </w:r>
            <w:r w:rsidRPr="002357A3">
              <w:rPr>
                <w:rFonts w:ascii="Arial Narrow" w:hAnsi="Arial Narrow"/>
                <w:i/>
                <w:iCs/>
              </w:rPr>
              <w:t>situ</w:t>
            </w:r>
          </w:p>
        </w:tc>
        <w:tc>
          <w:tcPr>
            <w:tcW w:w="1743" w:type="dxa"/>
            <w:tcBorders>
              <w:top w:val="single" w:sz="8" w:space="0" w:color="000000"/>
              <w:left w:val="single" w:sz="8" w:space="0" w:color="000000"/>
              <w:bottom w:val="single" w:sz="8" w:space="0" w:color="000000"/>
              <w:right w:val="single" w:sz="8" w:space="0" w:color="000000"/>
            </w:tcBorders>
            <w:vAlign w:val="center"/>
          </w:tcPr>
          <w:p w14:paraId="273565A0"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None</w:t>
            </w:r>
          </w:p>
        </w:tc>
        <w:tc>
          <w:tcPr>
            <w:tcW w:w="1961" w:type="dxa"/>
            <w:tcBorders>
              <w:top w:val="single" w:sz="8" w:space="0" w:color="000000"/>
              <w:left w:val="single" w:sz="8" w:space="0" w:color="000000"/>
              <w:bottom w:val="single" w:sz="8" w:space="0" w:color="000000"/>
              <w:right w:val="single" w:sz="8" w:space="0" w:color="000000"/>
            </w:tcBorders>
            <w:vAlign w:val="center"/>
          </w:tcPr>
          <w:p w14:paraId="46887873" w14:textId="77777777" w:rsidR="00705E04" w:rsidRPr="00C96C78" w:rsidRDefault="00705E04" w:rsidP="002357A3">
            <w:pPr>
              <w:pStyle w:val="TableText1"/>
              <w:keepNext/>
              <w:spacing w:before="0" w:after="0"/>
              <w:jc w:val="center"/>
              <w:rPr>
                <w:rFonts w:ascii="Arial Narrow" w:hAnsi="Arial Narrow"/>
              </w:rPr>
            </w:pPr>
            <w:r w:rsidRPr="00C96C78">
              <w:rPr>
                <w:rFonts w:ascii="Arial Narrow" w:hAnsi="Arial Narrow"/>
              </w:rPr>
              <w:t>None</w:t>
            </w:r>
          </w:p>
        </w:tc>
      </w:tr>
      <w:tr w:rsidR="00705E04" w:rsidRPr="00C96C78" w14:paraId="64B32F3F" w14:textId="77777777" w:rsidTr="00C72FC3">
        <w:trPr>
          <w:trHeight w:val="20"/>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14:paraId="18893A12" w14:textId="77777777" w:rsidR="00705E04" w:rsidRPr="00C96C78" w:rsidRDefault="00705E04" w:rsidP="002357A3">
            <w:pPr>
              <w:pStyle w:val="TableText1"/>
              <w:spacing w:before="0" w:after="0"/>
              <w:jc w:val="center"/>
              <w:rPr>
                <w:rFonts w:ascii="Arial Narrow" w:hAnsi="Arial Narrow"/>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57AB6" w14:textId="77777777" w:rsidR="00705E04" w:rsidRPr="00C96C78" w:rsidRDefault="00705E04" w:rsidP="002357A3">
            <w:pPr>
              <w:pStyle w:val="TableText1"/>
              <w:spacing w:before="0" w:after="0"/>
              <w:jc w:val="center"/>
              <w:rPr>
                <w:rFonts w:ascii="Arial Narrow" w:hAnsi="Arial Narrow"/>
              </w:rPr>
            </w:pPr>
            <w:proofErr w:type="spellStart"/>
            <w:r w:rsidRPr="00C96C78">
              <w:rPr>
                <w:rFonts w:ascii="Arial Narrow" w:hAnsi="Arial Narrow"/>
              </w:rPr>
              <w:t>Susvimo</w:t>
            </w:r>
            <w:proofErr w:type="spellEnd"/>
            <w:r w:rsidRPr="002357A3">
              <w:rPr>
                <w:rFonts w:ascii="Arial Narrow" w:hAnsi="Arial Narrow"/>
                <w:vertAlign w:val="superscript"/>
              </w:rPr>
              <w:t>®</w:t>
            </w:r>
            <w:r w:rsidRPr="00C96C78">
              <w:rPr>
                <w:rFonts w:ascii="Arial Narrow" w:hAnsi="Arial Narrow"/>
              </w:rPr>
              <w:t xml:space="preserve"> vial</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C17E79" w14:textId="17F0D8F3" w:rsidR="00705E04" w:rsidRPr="00C96C78" w:rsidRDefault="002357A3" w:rsidP="002357A3">
            <w:pPr>
              <w:pStyle w:val="TableText1"/>
              <w:spacing w:before="0" w:after="0"/>
              <w:jc w:val="center"/>
              <w:rPr>
                <w:rFonts w:ascii="Arial Narrow" w:hAnsi="Arial Narrow"/>
              </w:rPr>
            </w:pPr>
            <w:r>
              <w:rPr>
                <w:rFonts w:ascii="Arial Narrow" w:hAnsi="Arial Narrow"/>
              </w:rPr>
              <w:t>R</w:t>
            </w:r>
            <w:r w:rsidR="00705E04" w:rsidRPr="00C96C78">
              <w:rPr>
                <w:rFonts w:ascii="Arial Narrow" w:hAnsi="Arial Narrow"/>
              </w:rPr>
              <w:t>anibizumab 100</w:t>
            </w:r>
            <w:r>
              <w:rPr>
                <w:rFonts w:ascii="Arial Narrow" w:hAnsi="Arial Narrow"/>
              </w:rPr>
              <w:t> </w:t>
            </w:r>
            <w:r w:rsidR="00705E04" w:rsidRPr="00C96C78">
              <w:rPr>
                <w:rFonts w:ascii="Arial Narrow" w:hAnsi="Arial Narrow"/>
              </w:rPr>
              <w:t>mg/mL</w:t>
            </w:r>
          </w:p>
        </w:tc>
        <w:tc>
          <w:tcPr>
            <w:tcW w:w="1743" w:type="dxa"/>
            <w:tcBorders>
              <w:top w:val="single" w:sz="8" w:space="0" w:color="000000"/>
              <w:left w:val="single" w:sz="8" w:space="0" w:color="000000"/>
              <w:bottom w:val="single" w:sz="8" w:space="0" w:color="000000"/>
              <w:right w:val="single" w:sz="8" w:space="0" w:color="000000"/>
            </w:tcBorders>
            <w:vAlign w:val="center"/>
          </w:tcPr>
          <w:p w14:paraId="241DA015" w14:textId="77777777" w:rsidR="00705E04" w:rsidRPr="00C96C78" w:rsidRDefault="00705E04" w:rsidP="002357A3">
            <w:pPr>
              <w:pStyle w:val="TableText1"/>
              <w:spacing w:before="0" w:after="0"/>
              <w:jc w:val="center"/>
              <w:rPr>
                <w:rFonts w:ascii="Arial Narrow" w:hAnsi="Arial Narrow"/>
              </w:rPr>
            </w:pPr>
            <w:r w:rsidRPr="00C96C78">
              <w:rPr>
                <w:rFonts w:ascii="Arial Narrow" w:hAnsi="Arial Narrow"/>
              </w:rPr>
              <w:t>Pharmaceutical Benefits Scheme</w:t>
            </w:r>
          </w:p>
        </w:tc>
        <w:tc>
          <w:tcPr>
            <w:tcW w:w="1961" w:type="dxa"/>
            <w:tcBorders>
              <w:top w:val="single" w:sz="8" w:space="0" w:color="000000"/>
              <w:left w:val="single" w:sz="8" w:space="0" w:color="000000"/>
              <w:bottom w:val="single" w:sz="8" w:space="0" w:color="000000"/>
              <w:right w:val="single" w:sz="8" w:space="0" w:color="000000"/>
            </w:tcBorders>
            <w:vAlign w:val="center"/>
          </w:tcPr>
          <w:p w14:paraId="1F92FAFB" w14:textId="77777777" w:rsidR="00705E04" w:rsidRPr="00C96C78" w:rsidRDefault="00705E04" w:rsidP="002357A3">
            <w:pPr>
              <w:pStyle w:val="TableText1"/>
              <w:spacing w:before="0" w:after="0"/>
              <w:jc w:val="center"/>
              <w:rPr>
                <w:rFonts w:ascii="Arial Narrow" w:hAnsi="Arial Narrow"/>
              </w:rPr>
            </w:pPr>
            <w:r w:rsidRPr="00C96C78">
              <w:rPr>
                <w:rFonts w:ascii="Arial Narrow" w:hAnsi="Arial Narrow"/>
              </w:rPr>
              <w:t>PBS co-payment</w:t>
            </w:r>
          </w:p>
        </w:tc>
      </w:tr>
      <w:tr w:rsidR="00705E04" w:rsidRPr="00C96C78" w14:paraId="00E5D4B4" w14:textId="77777777" w:rsidTr="00C72FC3">
        <w:trPr>
          <w:trHeight w:val="20"/>
        </w:trPr>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286957" w14:textId="77777777" w:rsidR="00705E04" w:rsidRPr="00C96C78" w:rsidRDefault="00705E04" w:rsidP="002357A3">
            <w:pPr>
              <w:pStyle w:val="TableText1"/>
              <w:spacing w:before="0" w:after="0"/>
              <w:jc w:val="center"/>
              <w:rPr>
                <w:rFonts w:ascii="Arial Narrow" w:hAnsi="Arial Narrow"/>
              </w:rPr>
            </w:pPr>
            <w:r w:rsidRPr="00C96C78">
              <w:rPr>
                <w:rFonts w:ascii="Arial Narrow" w:hAnsi="Arial Narrow"/>
              </w:rPr>
              <w:t>Explantation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5E0633" w14:textId="252968D7" w:rsidR="00705E04" w:rsidRPr="00C96C78" w:rsidRDefault="00705E04" w:rsidP="002357A3">
            <w:pPr>
              <w:pStyle w:val="TableText1"/>
              <w:spacing w:before="0" w:after="0"/>
              <w:jc w:val="center"/>
              <w:rPr>
                <w:rFonts w:ascii="Arial Narrow" w:hAnsi="Arial Narrow"/>
              </w:rPr>
            </w:pPr>
            <w:r w:rsidRPr="00C96C78">
              <w:rPr>
                <w:rFonts w:ascii="Arial Narrow" w:hAnsi="Arial Narrow"/>
              </w:rPr>
              <w:t xml:space="preserve">Explant </w:t>
            </w:r>
            <w:r w:rsidR="002357A3">
              <w:rPr>
                <w:rFonts w:ascii="Arial Narrow" w:hAnsi="Arial Narrow"/>
              </w:rPr>
              <w:t>t</w:t>
            </w:r>
            <w:r w:rsidRPr="00C96C78">
              <w:rPr>
                <w:rFonts w:ascii="Arial Narrow" w:hAnsi="Arial Narrow"/>
              </w:rPr>
              <w:t>ool</w:t>
            </w:r>
          </w:p>
        </w:tc>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092F7" w14:textId="05A5BA3F" w:rsidR="00705E04" w:rsidRPr="00C96C78" w:rsidRDefault="00705E04" w:rsidP="002357A3">
            <w:pPr>
              <w:pStyle w:val="TableText1"/>
              <w:spacing w:before="0" w:after="0"/>
              <w:jc w:val="center"/>
              <w:rPr>
                <w:rFonts w:ascii="Arial Narrow" w:hAnsi="Arial Narrow"/>
              </w:rPr>
            </w:pPr>
            <w:r w:rsidRPr="00C96C78">
              <w:rPr>
                <w:rFonts w:ascii="Arial Narrow" w:hAnsi="Arial Narrow"/>
              </w:rPr>
              <w:t>Remove the implant, if needed</w:t>
            </w:r>
          </w:p>
        </w:tc>
        <w:tc>
          <w:tcPr>
            <w:tcW w:w="1743" w:type="dxa"/>
            <w:tcBorders>
              <w:top w:val="single" w:sz="8" w:space="0" w:color="000000"/>
              <w:left w:val="single" w:sz="8" w:space="0" w:color="000000"/>
              <w:bottom w:val="single" w:sz="8" w:space="0" w:color="000000"/>
              <w:right w:val="single" w:sz="8" w:space="0" w:color="000000"/>
            </w:tcBorders>
            <w:vAlign w:val="center"/>
          </w:tcPr>
          <w:p w14:paraId="44B2EFA9" w14:textId="77777777" w:rsidR="00705E04" w:rsidRPr="00C96C78" w:rsidRDefault="00705E04" w:rsidP="002357A3">
            <w:pPr>
              <w:pStyle w:val="TableText1"/>
              <w:spacing w:before="0" w:after="0"/>
              <w:jc w:val="center"/>
              <w:rPr>
                <w:rFonts w:ascii="Arial Narrow" w:hAnsi="Arial Narrow"/>
              </w:rPr>
            </w:pPr>
            <w:r w:rsidRPr="00C96C78">
              <w:rPr>
                <w:rFonts w:ascii="Arial Narrow" w:hAnsi="Arial Narrow"/>
              </w:rPr>
              <w:t>None</w:t>
            </w:r>
          </w:p>
        </w:tc>
        <w:tc>
          <w:tcPr>
            <w:tcW w:w="1961" w:type="dxa"/>
            <w:tcBorders>
              <w:top w:val="single" w:sz="8" w:space="0" w:color="000000"/>
              <w:left w:val="single" w:sz="8" w:space="0" w:color="000000"/>
              <w:bottom w:val="single" w:sz="8" w:space="0" w:color="000000"/>
              <w:right w:val="single" w:sz="8" w:space="0" w:color="000000"/>
            </w:tcBorders>
            <w:vAlign w:val="center"/>
          </w:tcPr>
          <w:p w14:paraId="1FA10FBF" w14:textId="77777777" w:rsidR="00705E04" w:rsidRPr="00C96C78" w:rsidRDefault="00705E04" w:rsidP="002357A3">
            <w:pPr>
              <w:pStyle w:val="TableText1"/>
              <w:spacing w:before="0" w:after="0"/>
              <w:jc w:val="center"/>
              <w:rPr>
                <w:rFonts w:ascii="Arial Narrow" w:hAnsi="Arial Narrow"/>
              </w:rPr>
            </w:pPr>
            <w:r w:rsidRPr="00C96C78">
              <w:rPr>
                <w:rFonts w:ascii="Arial Narrow" w:hAnsi="Arial Narrow"/>
              </w:rPr>
              <w:t>None</w:t>
            </w:r>
          </w:p>
        </w:tc>
      </w:tr>
    </w:tbl>
    <w:p w14:paraId="3842B399" w14:textId="0D3F90B1" w:rsidR="00422F18" w:rsidRDefault="00C2788B" w:rsidP="00CF5387">
      <w:pPr>
        <w:spacing w:before="240"/>
      </w:pPr>
      <w:bookmarkStart w:id="9" w:name="_Toc86742971"/>
      <w:r>
        <w:t>The application stated that all components are single use consumables</w:t>
      </w:r>
      <w:r w:rsidR="00A610BD">
        <w:t xml:space="preserve"> </w:t>
      </w:r>
      <w:r w:rsidR="00E43922">
        <w:t>and anticipated that there would be no out-of-pocket costs to patients</w:t>
      </w:r>
      <w:r>
        <w:t xml:space="preserve"> </w:t>
      </w:r>
      <w:r w:rsidR="00E43922">
        <w:t>f</w:t>
      </w:r>
      <w:r>
        <w:t xml:space="preserve">or components/consumables not funded through the Prostheses List or the PBS. </w:t>
      </w:r>
      <w:r w:rsidR="000D5CF3">
        <w:t>As t</w:t>
      </w:r>
      <w:r>
        <w:t xml:space="preserve">he </w:t>
      </w:r>
      <w:r w:rsidR="002357A3">
        <w:t>i</w:t>
      </w:r>
      <w:r>
        <w:t xml:space="preserve">nsertion </w:t>
      </w:r>
      <w:r w:rsidR="002357A3">
        <w:t>t</w:t>
      </w:r>
      <w:r>
        <w:t xml:space="preserve">ool assembly is co-packaged with the </w:t>
      </w:r>
      <w:r w:rsidR="00E5224A">
        <w:t xml:space="preserve">PDS </w:t>
      </w:r>
      <w:r>
        <w:t>ocular implant</w:t>
      </w:r>
      <w:r w:rsidR="00E5224A">
        <w:t>,</w:t>
      </w:r>
      <w:r>
        <w:t xml:space="preserve"> </w:t>
      </w:r>
      <w:r w:rsidR="000D5CF3">
        <w:t>it w</w:t>
      </w:r>
      <w:r w:rsidR="00E5224A">
        <w:t>ould</w:t>
      </w:r>
      <w:r w:rsidR="000D5CF3">
        <w:t xml:space="preserve"> </w:t>
      </w:r>
      <w:r>
        <w:t xml:space="preserve">be </w:t>
      </w:r>
      <w:r w:rsidR="000D5CF3">
        <w:t xml:space="preserve">considered for </w:t>
      </w:r>
      <w:r>
        <w:t>fund</w:t>
      </w:r>
      <w:r w:rsidR="000D5CF3">
        <w:t>ing</w:t>
      </w:r>
      <w:r>
        <w:t xml:space="preserve"> through the Prostheses List. The </w:t>
      </w:r>
      <w:r w:rsidR="005B0C22">
        <w:t xml:space="preserve">application </w:t>
      </w:r>
      <w:r>
        <w:t xml:space="preserve">anticipated </w:t>
      </w:r>
      <w:r w:rsidR="005B0C22">
        <w:t>that the initial fill needle, refill needle and explant tool would</w:t>
      </w:r>
      <w:r>
        <w:t xml:space="preserve"> be provided to clinics and hospitals at no cost, </w:t>
      </w:r>
      <w:r w:rsidR="00BE57FF">
        <w:t xml:space="preserve">either </w:t>
      </w:r>
      <w:r>
        <w:t>through existing distribution channels (i.e.</w:t>
      </w:r>
      <w:r w:rsidR="00422F18">
        <w:t>,</w:t>
      </w:r>
      <w:r>
        <w:t xml:space="preserve"> standard wholesalers) or directly </w:t>
      </w:r>
      <w:r w:rsidR="005B0C22">
        <w:t>from</w:t>
      </w:r>
      <w:r>
        <w:t xml:space="preserve"> Roche</w:t>
      </w:r>
      <w:r w:rsidR="005B0C22">
        <w:t xml:space="preserve"> Products</w:t>
      </w:r>
      <w:r>
        <w:t>.</w:t>
      </w:r>
      <w:bookmarkEnd w:id="8"/>
    </w:p>
    <w:bookmarkEnd w:id="9"/>
    <w:p w14:paraId="422BB380" w14:textId="77777777" w:rsidR="00AE01EE" w:rsidRPr="00AE01EE" w:rsidRDefault="00AE01EE" w:rsidP="00AE01EE">
      <w:pPr>
        <w:pStyle w:val="Heading1"/>
      </w:pPr>
      <w:r w:rsidRPr="00AE01EE">
        <w:t>Summary of public consultation feedback/consumer Issues</w:t>
      </w:r>
    </w:p>
    <w:p w14:paraId="2AC4D676" w14:textId="0E345A6F" w:rsidR="00AE01EE" w:rsidRDefault="009D00E2" w:rsidP="009D00E2">
      <w:r w:rsidRPr="009D00E2">
        <w:t>Targeted consultation feedback was received from</w:t>
      </w:r>
      <w:r>
        <w:t xml:space="preserve"> two (2) organisations, the </w:t>
      </w:r>
      <w:r w:rsidRPr="009D00E2">
        <w:t>Macular Disease Foundation Australia</w:t>
      </w:r>
      <w:r>
        <w:t xml:space="preserve"> </w:t>
      </w:r>
      <w:r w:rsidR="005E7A9F">
        <w:t xml:space="preserve">(MDFA) </w:t>
      </w:r>
      <w:r>
        <w:t>and the Royal Australian and New Zealand College of Ophthalmologists (RANZCO)</w:t>
      </w:r>
      <w:r w:rsidR="00FA11AB">
        <w:t>. Both organisations were supportive of the application.</w:t>
      </w:r>
    </w:p>
    <w:p w14:paraId="79E8539C" w14:textId="0E80E90A" w:rsidR="009D00E2" w:rsidRDefault="00FA11AB" w:rsidP="00966670">
      <w:pPr>
        <w:spacing w:before="240"/>
      </w:pPr>
      <w:r>
        <w:t xml:space="preserve">RANZCO considered that </w:t>
      </w:r>
      <w:r w:rsidR="00254739">
        <w:t>ranibizumab PDS</w:t>
      </w:r>
      <w:r>
        <w:t xml:space="preserve"> </w:t>
      </w:r>
      <w:r w:rsidRPr="00FA11AB">
        <w:t>should only be for patients that are unable to obtain disease quiescence with 8 weeks or more intervals with traditional intra-</w:t>
      </w:r>
      <w:proofErr w:type="spellStart"/>
      <w:r w:rsidRPr="00FA11AB">
        <w:t>vitreal</w:t>
      </w:r>
      <w:proofErr w:type="spellEnd"/>
      <w:r w:rsidRPr="00FA11AB">
        <w:t xml:space="preserve"> therapy. </w:t>
      </w:r>
      <w:r>
        <w:t>RANZCO noted that t</w:t>
      </w:r>
      <w:r w:rsidRPr="00FA11AB">
        <w:t xml:space="preserve">here is an increased risk of complication and infection with this system </w:t>
      </w:r>
      <w:r>
        <w:t>and considered that this</w:t>
      </w:r>
      <w:r w:rsidRPr="00FA11AB">
        <w:t xml:space="preserve"> needs to be balanced against the current standard of care.</w:t>
      </w:r>
    </w:p>
    <w:p w14:paraId="02A7BF31" w14:textId="190B6786" w:rsidR="00FA11AB" w:rsidRPr="00CA36C9" w:rsidRDefault="005E7A9F" w:rsidP="00966670">
      <w:pPr>
        <w:autoSpaceDE w:val="0"/>
        <w:autoSpaceDN w:val="0"/>
        <w:adjustRightInd w:val="0"/>
        <w:spacing w:before="240"/>
      </w:pPr>
      <w:r>
        <w:t xml:space="preserve">MDFA </w:t>
      </w:r>
      <w:r w:rsidR="00CE72D6">
        <w:t xml:space="preserve">noted that </w:t>
      </w:r>
      <w:r w:rsidR="00417278">
        <w:t>w</w:t>
      </w:r>
      <w:r w:rsidR="00FA11AB">
        <w:t>ithout timely access to</w:t>
      </w:r>
      <w:r w:rsidR="00CE72D6">
        <w:t xml:space="preserve"> </w:t>
      </w:r>
      <w:r w:rsidR="00FA11AB">
        <w:t xml:space="preserve">treatment patients with </w:t>
      </w:r>
      <w:proofErr w:type="spellStart"/>
      <w:r w:rsidR="00FA11AB">
        <w:t>nAMD</w:t>
      </w:r>
      <w:proofErr w:type="spellEnd"/>
      <w:r w:rsidR="00FA11AB">
        <w:t xml:space="preserve"> progressively develop irreversible severe loss and blindness</w:t>
      </w:r>
      <w:r w:rsidR="00CE72D6">
        <w:t xml:space="preserve">, </w:t>
      </w:r>
      <w:r w:rsidR="00CA36C9">
        <w:t>which also has</w:t>
      </w:r>
      <w:r w:rsidR="00CE72D6">
        <w:t xml:space="preserve"> consequences </w:t>
      </w:r>
      <w:r w:rsidR="00CA36C9">
        <w:t>for</w:t>
      </w:r>
      <w:r w:rsidR="00CE72D6">
        <w:t xml:space="preserve"> the patient’s family and carer(s). </w:t>
      </w:r>
      <w:r w:rsidRPr="00CA36C9">
        <w:t>MDFA noted that t</w:t>
      </w:r>
      <w:r w:rsidR="00CE72D6" w:rsidRPr="00CA36C9">
        <w:t>he biggest challenge</w:t>
      </w:r>
      <w:r w:rsidRPr="00CA36C9">
        <w:t>s</w:t>
      </w:r>
      <w:r w:rsidR="00CE72D6" w:rsidRPr="00CA36C9">
        <w:t xml:space="preserve"> </w:t>
      </w:r>
      <w:r w:rsidRPr="00CA36C9">
        <w:t xml:space="preserve">for patients </w:t>
      </w:r>
      <w:r w:rsidR="00CE72D6" w:rsidRPr="00CA36C9">
        <w:t xml:space="preserve">with existing treatments </w:t>
      </w:r>
      <w:r w:rsidR="00417278" w:rsidRPr="00CA36C9">
        <w:t>i</w:t>
      </w:r>
      <w:r w:rsidR="00CE72D6" w:rsidRPr="00CA36C9">
        <w:t xml:space="preserve">s the frequency of injections </w:t>
      </w:r>
      <w:r w:rsidRPr="00CA36C9">
        <w:t xml:space="preserve">and associated </w:t>
      </w:r>
      <w:r>
        <w:t>f</w:t>
      </w:r>
      <w:r w:rsidRPr="00CE72D6">
        <w:t>inancial burden</w:t>
      </w:r>
      <w:r>
        <w:t xml:space="preserve">s, along with </w:t>
      </w:r>
      <w:r w:rsidR="00CA36C9">
        <w:t>access</w:t>
      </w:r>
      <w:r w:rsidR="00417278" w:rsidRPr="00CA36C9">
        <w:t xml:space="preserve"> </w:t>
      </w:r>
      <w:r w:rsidR="00CA36C9" w:rsidRPr="00CA36C9">
        <w:t>i</w:t>
      </w:r>
      <w:r w:rsidR="00417278" w:rsidRPr="00CA36C9">
        <w:t xml:space="preserve">ssues to effective treatment in regional, </w:t>
      </w:r>
      <w:proofErr w:type="gramStart"/>
      <w:r w:rsidR="00417278" w:rsidRPr="00CA36C9">
        <w:t>rural</w:t>
      </w:r>
      <w:proofErr w:type="gramEnd"/>
      <w:r w:rsidR="00417278" w:rsidRPr="00CA36C9">
        <w:t xml:space="preserve"> and remote areas.</w:t>
      </w:r>
    </w:p>
    <w:p w14:paraId="252E85F7" w14:textId="13B8FB8E" w:rsidR="00417278" w:rsidRPr="00CA36C9" w:rsidRDefault="00CA36C9" w:rsidP="00966670">
      <w:pPr>
        <w:autoSpaceDE w:val="0"/>
        <w:autoSpaceDN w:val="0"/>
        <w:adjustRightInd w:val="0"/>
        <w:spacing w:before="240"/>
      </w:pPr>
      <w:r w:rsidRPr="00CA36C9">
        <w:t>MDFA considered that f</w:t>
      </w:r>
      <w:r w:rsidR="00417278" w:rsidRPr="00CA36C9">
        <w:t>or patients who have responded well to prior anti-VEGF therapy, ranibizumab PDS appears to</w:t>
      </w:r>
      <w:r w:rsidRPr="00CA36C9">
        <w:t xml:space="preserve"> </w:t>
      </w:r>
      <w:r w:rsidR="00417278" w:rsidRPr="00CA36C9">
        <w:t>offer the advantage of substantially fewer visits to the ophthalmologists for treatment and</w:t>
      </w:r>
      <w:r w:rsidRPr="00CA36C9">
        <w:t xml:space="preserve"> </w:t>
      </w:r>
      <w:r w:rsidR="00417278" w:rsidRPr="00CA36C9">
        <w:t xml:space="preserve">disease monitoring, </w:t>
      </w:r>
      <w:r w:rsidRPr="00CA36C9">
        <w:t>which would assist with</w:t>
      </w:r>
      <w:r w:rsidR="00417278" w:rsidRPr="00CA36C9">
        <w:t xml:space="preserve"> reduc</w:t>
      </w:r>
      <w:r w:rsidRPr="00CA36C9">
        <w:t>ing the</w:t>
      </w:r>
      <w:r w:rsidR="00417278" w:rsidRPr="00CA36C9">
        <w:t xml:space="preserve"> </w:t>
      </w:r>
      <w:r w:rsidR="00417278" w:rsidRPr="00CA36C9">
        <w:lastRenderedPageBreak/>
        <w:t>overall treatment burden, compared with</w:t>
      </w:r>
      <w:r w:rsidRPr="00CA36C9">
        <w:t xml:space="preserve"> </w:t>
      </w:r>
      <w:r w:rsidR="00417278" w:rsidRPr="00CA36C9">
        <w:t>intravitreal ranibizumab injections. Further benefits may be reduced</w:t>
      </w:r>
      <w:r w:rsidRPr="00CA36C9">
        <w:t xml:space="preserve"> </w:t>
      </w:r>
      <w:r w:rsidR="00417278" w:rsidRPr="00CA36C9">
        <w:t>out-of-pocket costs (after Medicare rebates) for the treatment procedure and reduced travel</w:t>
      </w:r>
      <w:r w:rsidRPr="00CA36C9">
        <w:t xml:space="preserve"> </w:t>
      </w:r>
      <w:r w:rsidR="00417278" w:rsidRPr="00CA36C9">
        <w:t>related</w:t>
      </w:r>
      <w:r w:rsidRPr="00CA36C9">
        <w:t xml:space="preserve"> </w:t>
      </w:r>
      <w:r w:rsidR="00417278" w:rsidRPr="00CA36C9">
        <w:t>costs.</w:t>
      </w:r>
    </w:p>
    <w:p w14:paraId="4B24A8F8" w14:textId="1E2EB975" w:rsidR="005E7A9F" w:rsidRDefault="005E7A9F" w:rsidP="00966670">
      <w:pPr>
        <w:autoSpaceDE w:val="0"/>
        <w:autoSpaceDN w:val="0"/>
        <w:adjustRightInd w:val="0"/>
        <w:spacing w:before="240"/>
        <w:rPr>
          <w:rFonts w:ascii="ArialMT" w:eastAsia="Calibri" w:hAnsi="ArialMT" w:cs="ArialMT"/>
          <w:color w:val="1F3864"/>
          <w:sz w:val="21"/>
          <w:szCs w:val="21"/>
        </w:rPr>
      </w:pPr>
      <w:r w:rsidRPr="00CA36C9">
        <w:t xml:space="preserve">MDFA anticipates ranibizumab PDS will be of interest to </w:t>
      </w:r>
      <w:r w:rsidR="00CA36C9" w:rsidRPr="00CA36C9">
        <w:t xml:space="preserve">patients requiring frequent injections and unable to extend treatment intervals, those facing geographical or personal circumstances that would limit their ability to access to sight-saving treatment, as well as </w:t>
      </w:r>
      <w:r w:rsidRPr="00CA36C9">
        <w:t>patients who require</w:t>
      </w:r>
      <w:r w:rsidR="00CA36C9" w:rsidRPr="00CA36C9">
        <w:t xml:space="preserve"> </w:t>
      </w:r>
      <w:r w:rsidRPr="00CA36C9">
        <w:t>bilateral treatment but for whom same-day intravitreal injections are either not advised or are</w:t>
      </w:r>
      <w:r w:rsidR="00CA36C9" w:rsidRPr="00CA36C9">
        <w:t xml:space="preserve"> </w:t>
      </w:r>
      <w:r w:rsidRPr="00CA36C9">
        <w:t>impractical, and patients who have successfully responded to treatment over several years but</w:t>
      </w:r>
      <w:r w:rsidR="00CA36C9" w:rsidRPr="00CA36C9">
        <w:t xml:space="preserve"> </w:t>
      </w:r>
      <w:r w:rsidRPr="00CA36C9">
        <w:t>are at risk of delaying or stopping therapy due to treatment cost, treatment fatigue or other</w:t>
      </w:r>
      <w:r w:rsidR="00CA36C9" w:rsidRPr="00CA36C9">
        <w:t xml:space="preserve"> </w:t>
      </w:r>
      <w:r w:rsidRPr="00CA36C9">
        <w:t>factor</w:t>
      </w:r>
      <w:r w:rsidR="00CA36C9">
        <w:t>s.</w:t>
      </w:r>
      <w:r>
        <w:rPr>
          <w:rFonts w:ascii="ArialMT" w:eastAsia="Calibri" w:hAnsi="ArialMT" w:cs="ArialMT"/>
          <w:color w:val="1F3864"/>
          <w:sz w:val="21"/>
          <w:szCs w:val="21"/>
        </w:rPr>
        <w:t xml:space="preserve"> </w:t>
      </w:r>
    </w:p>
    <w:p w14:paraId="319E0B75" w14:textId="4402640B" w:rsidR="00E35489" w:rsidRPr="00AD404A" w:rsidRDefault="00BC1364" w:rsidP="00386C21">
      <w:pPr>
        <w:pStyle w:val="Heading1"/>
        <w:ind w:left="709" w:hanging="709"/>
      </w:pPr>
      <w:r w:rsidRPr="00F715D1">
        <w:t>Proposed intervention’s place in clinical management</w:t>
      </w:r>
    </w:p>
    <w:p w14:paraId="50764721" w14:textId="0AB1115E" w:rsidR="0076327A" w:rsidRPr="002D226B" w:rsidRDefault="0076327A" w:rsidP="00BB66AB">
      <w:pPr>
        <w:keepNext/>
        <w:autoSpaceDE w:val="0"/>
        <w:autoSpaceDN w:val="0"/>
        <w:adjustRightInd w:val="0"/>
        <w:rPr>
          <w:b/>
          <w:iCs/>
        </w:rPr>
      </w:pPr>
      <w:r w:rsidRPr="002D226B">
        <w:rPr>
          <w:b/>
        </w:rPr>
        <w:t>Description</w:t>
      </w:r>
      <w:r w:rsidRPr="002D226B">
        <w:rPr>
          <w:b/>
          <w:iCs/>
        </w:rPr>
        <w:t xml:space="preserve"> of </w:t>
      </w:r>
      <w:r w:rsidR="00C96C78" w:rsidRPr="002D226B">
        <w:rPr>
          <w:b/>
          <w:iCs/>
        </w:rPr>
        <w:t>proposed inte</w:t>
      </w:r>
      <w:r w:rsidRPr="002D226B">
        <w:rPr>
          <w:b/>
          <w:iCs/>
        </w:rPr>
        <w:t>rvention</w:t>
      </w:r>
    </w:p>
    <w:p w14:paraId="6BA38F9D" w14:textId="2D774977" w:rsidR="00CD13D2" w:rsidRPr="00CD13D2" w:rsidRDefault="00CD13D2" w:rsidP="00CD13D2">
      <w:r w:rsidRPr="00CD13D2">
        <w:t xml:space="preserve">The </w:t>
      </w:r>
      <w:r>
        <w:t>PDS</w:t>
      </w:r>
      <w:r w:rsidRPr="00CD13D2">
        <w:t xml:space="preserve"> with ranibizumab </w:t>
      </w:r>
      <w:r w:rsidR="00556F71" w:rsidRPr="00556F71">
        <w:t>100</w:t>
      </w:r>
      <w:r w:rsidR="002357A3">
        <w:t> </w:t>
      </w:r>
      <w:r w:rsidR="00556F71" w:rsidRPr="00556F71">
        <w:t>mg/mL (via ocular implant)</w:t>
      </w:r>
      <w:r w:rsidR="00556F71">
        <w:t xml:space="preserve"> </w:t>
      </w:r>
      <w:r w:rsidR="00E5224A">
        <w:t>wa</w:t>
      </w:r>
      <w:r w:rsidRPr="00CD13D2">
        <w:t xml:space="preserve">s the first and only surgically implanted long-acting treatment solution that continuously suppresses VEGF in the eye. </w:t>
      </w:r>
      <w:r w:rsidR="00E25A63">
        <w:t xml:space="preserve">The </w:t>
      </w:r>
      <w:r w:rsidRPr="00CD13D2">
        <w:rPr>
          <w:lang w:val="en-GB"/>
        </w:rPr>
        <w:t>PDS is a permanent, refillable, intraocular drug delivery system</w:t>
      </w:r>
      <w:r w:rsidRPr="00CD13D2" w:rsidDel="00D626FE">
        <w:rPr>
          <w:lang w:val="en-GB"/>
        </w:rPr>
        <w:t xml:space="preserve"> </w:t>
      </w:r>
      <w:r w:rsidRPr="00CD13D2">
        <w:rPr>
          <w:lang w:val="en-GB"/>
        </w:rPr>
        <w:t>designed for continuous delivery of a customised formulation of ranibizumab 100 mg/mL (</w:t>
      </w:r>
      <w:proofErr w:type="spellStart"/>
      <w:r w:rsidRPr="00CD13D2">
        <w:rPr>
          <w:lang w:val="en-GB"/>
        </w:rPr>
        <w:t>Susvimo</w:t>
      </w:r>
      <w:proofErr w:type="spellEnd"/>
      <w:r w:rsidRPr="00CD13D2">
        <w:rPr>
          <w:vertAlign w:val="superscript"/>
          <w:lang w:val="en-GB"/>
        </w:rPr>
        <w:t>®</w:t>
      </w:r>
      <w:r w:rsidRPr="00CD13D2">
        <w:rPr>
          <w:lang w:val="en-GB"/>
        </w:rPr>
        <w:t xml:space="preserve">), </w:t>
      </w:r>
      <w:r w:rsidRPr="00CD13D2">
        <w:t>resulting in delivery of a 2</w:t>
      </w:r>
      <w:r w:rsidR="00C96C78">
        <w:t> </w:t>
      </w:r>
      <w:r w:rsidRPr="00CD13D2">
        <w:t>mg (0.02</w:t>
      </w:r>
      <w:r w:rsidR="00C96C78">
        <w:t> </w:t>
      </w:r>
      <w:r w:rsidRPr="00CD13D2">
        <w:t>mL of solution) ranibizumab formulation, refilled every 24 weeks (approximately every 6 months).</w:t>
      </w:r>
    </w:p>
    <w:p w14:paraId="0D8BD90F" w14:textId="55E1F61F" w:rsidR="0076327A" w:rsidRPr="0076327A" w:rsidRDefault="0076327A" w:rsidP="006508EF">
      <w:pPr>
        <w:keepNext/>
        <w:autoSpaceDE w:val="0"/>
        <w:autoSpaceDN w:val="0"/>
        <w:adjustRightInd w:val="0"/>
        <w:spacing w:before="240"/>
        <w:rPr>
          <w:b/>
        </w:rPr>
      </w:pPr>
      <w:r w:rsidRPr="0076327A">
        <w:rPr>
          <w:b/>
        </w:rPr>
        <w:t xml:space="preserve">Description of </w:t>
      </w:r>
      <w:r w:rsidR="00C96C78" w:rsidRPr="0076327A">
        <w:rPr>
          <w:b/>
        </w:rPr>
        <w:t>medical co</w:t>
      </w:r>
      <w:r w:rsidRPr="0076327A">
        <w:rPr>
          <w:b/>
        </w:rPr>
        <w:t>ndition</w:t>
      </w:r>
    </w:p>
    <w:p w14:paraId="5AE915CB" w14:textId="5D6B7004" w:rsidR="0076327A" w:rsidRDefault="005663FB" w:rsidP="0076327A">
      <w:pPr>
        <w:autoSpaceDE w:val="0"/>
        <w:autoSpaceDN w:val="0"/>
        <w:adjustRightInd w:val="0"/>
      </w:pPr>
      <w:r w:rsidRPr="005663FB">
        <w:t>Age-related macular degeneration is a chronic eye disease characterised by progressive degenerative abnormalities in the central retina (macula) and is the leading cause of severe vision loss and legal blindness in people over the age of 65 years. There are two types of AMD: the non-neovascular (atrophic) or dry form, and the neovascular (exudative) or wet form</w:t>
      </w:r>
      <w:r>
        <w:t xml:space="preserve"> (</w:t>
      </w:r>
      <w:proofErr w:type="spellStart"/>
      <w:r>
        <w:t>nAMD</w:t>
      </w:r>
      <w:proofErr w:type="spellEnd"/>
      <w:r>
        <w:t>)</w:t>
      </w:r>
      <w:r w:rsidRPr="005663FB">
        <w:t xml:space="preserve"> </w:t>
      </w:r>
      <w:r>
        <w:t xml:space="preserve">which </w:t>
      </w:r>
      <w:r w:rsidRPr="005663FB">
        <w:t>occurs in around 10-15% of overall AMD cases.</w:t>
      </w:r>
      <w:r>
        <w:t xml:space="preserve"> </w:t>
      </w:r>
      <w:r w:rsidRPr="005663FB">
        <w:t xml:space="preserve">IVT injections with anti-VEGF drugs are the current standard of care for </w:t>
      </w:r>
      <w:proofErr w:type="spellStart"/>
      <w:r w:rsidRPr="005663FB">
        <w:t>nAMD</w:t>
      </w:r>
      <w:proofErr w:type="spellEnd"/>
      <w:r w:rsidRPr="005663FB">
        <w:t>.</w:t>
      </w:r>
    </w:p>
    <w:p w14:paraId="54713C77" w14:textId="5A12C813" w:rsidR="00097AC2" w:rsidRPr="00097AC2" w:rsidRDefault="00097AC2" w:rsidP="006508EF">
      <w:pPr>
        <w:keepNext/>
        <w:autoSpaceDE w:val="0"/>
        <w:autoSpaceDN w:val="0"/>
        <w:adjustRightInd w:val="0"/>
        <w:spacing w:before="240"/>
        <w:rPr>
          <w:b/>
          <w:bCs/>
          <w:lang w:val="en-GB"/>
        </w:rPr>
      </w:pPr>
      <w:r w:rsidRPr="00097AC2">
        <w:rPr>
          <w:b/>
          <w:bCs/>
          <w:lang w:val="en-GB"/>
        </w:rPr>
        <w:t>Current clinical management pathway</w:t>
      </w:r>
    </w:p>
    <w:p w14:paraId="7774BC85" w14:textId="3DF84DD3" w:rsidR="00097AC2" w:rsidRDefault="0015435A" w:rsidP="0076327A">
      <w:pPr>
        <w:autoSpaceDE w:val="0"/>
        <w:autoSpaceDN w:val="0"/>
        <w:adjustRightInd w:val="0"/>
      </w:pPr>
      <w:r>
        <w:t>As outlined in Figure 1</w:t>
      </w:r>
      <w:r w:rsidR="005D165F">
        <w:t>.1</w:t>
      </w:r>
      <w:r>
        <w:t xml:space="preserve"> below, t</w:t>
      </w:r>
      <w:r w:rsidR="00097AC2">
        <w:t>he c</w:t>
      </w:r>
      <w:r w:rsidR="00097AC2" w:rsidRPr="00097AC2">
        <w:t xml:space="preserve">urrent management of </w:t>
      </w:r>
      <w:proofErr w:type="spellStart"/>
      <w:r w:rsidR="00097AC2" w:rsidRPr="00097AC2">
        <w:t>nAMD</w:t>
      </w:r>
      <w:proofErr w:type="spellEnd"/>
      <w:r w:rsidR="00097AC2">
        <w:t xml:space="preserve"> </w:t>
      </w:r>
      <w:r w:rsidR="00097AC2" w:rsidRPr="00097AC2">
        <w:t>require</w:t>
      </w:r>
      <w:r w:rsidR="00E5224A">
        <w:t>d</w:t>
      </w:r>
      <w:r w:rsidR="00097AC2" w:rsidRPr="00097AC2">
        <w:t xml:space="preserve"> formal diagnosis </w:t>
      </w:r>
      <w:r w:rsidR="00097AC2">
        <w:t xml:space="preserve">with </w:t>
      </w:r>
      <w:r w:rsidR="00097AC2" w:rsidRPr="00097AC2">
        <w:t>optical coherence tomography (</w:t>
      </w:r>
      <w:r w:rsidR="00097AC2">
        <w:t>MBS item 11219</w:t>
      </w:r>
      <w:r w:rsidR="00097AC2" w:rsidRPr="00097AC2">
        <w:t>) or fluorescein angiography (</w:t>
      </w:r>
      <w:r w:rsidR="00097AC2">
        <w:t>MBS 11215</w:t>
      </w:r>
      <w:r w:rsidR="00097AC2" w:rsidRPr="00097AC2">
        <w:t>) by an ophthalmologist</w:t>
      </w:r>
      <w:r w:rsidR="00097AC2">
        <w:t xml:space="preserve"> prior to patient</w:t>
      </w:r>
      <w:r>
        <w:t xml:space="preserve">s </w:t>
      </w:r>
      <w:r w:rsidR="00097AC2">
        <w:t xml:space="preserve">receiving treatment with </w:t>
      </w:r>
      <w:r>
        <w:t>IVT injections (</w:t>
      </w:r>
      <w:r w:rsidR="00097AC2">
        <w:t>ranibizumab or aflibercept</w:t>
      </w:r>
      <w:r>
        <w:t>)</w:t>
      </w:r>
      <w:r w:rsidR="00097AC2">
        <w:t xml:space="preserve">. </w:t>
      </w:r>
      <w:r>
        <w:t>Patients would then continue to receive an anti-VEGF therapy provided that a response has been demonstrated. For patients unresponsive to a minimum of 6 months’ treatment with at least one prior anti-VEGF therapy, brolucizumab may be trialled.</w:t>
      </w:r>
    </w:p>
    <w:p w14:paraId="67C9C9DF" w14:textId="715FF88C" w:rsidR="0015435A" w:rsidRDefault="0015435A" w:rsidP="006508EF">
      <w:pPr>
        <w:keepNext/>
        <w:autoSpaceDE w:val="0"/>
        <w:autoSpaceDN w:val="0"/>
        <w:adjustRightInd w:val="0"/>
        <w:spacing w:before="240" w:after="240"/>
        <w:rPr>
          <w:rFonts w:ascii="Arial Narrow" w:hAnsi="Arial Narrow"/>
          <w:b/>
          <w:bCs/>
          <w:sz w:val="20"/>
        </w:rPr>
      </w:pPr>
      <w:r w:rsidRPr="002357A3">
        <w:rPr>
          <w:rFonts w:ascii="Arial Narrow" w:hAnsi="Arial Narrow"/>
          <w:b/>
          <w:bCs/>
          <w:sz w:val="20"/>
        </w:rPr>
        <w:lastRenderedPageBreak/>
        <w:t>Figure 1</w:t>
      </w:r>
      <w:r w:rsidR="005D165F" w:rsidRPr="002357A3">
        <w:rPr>
          <w:rFonts w:ascii="Arial Narrow" w:hAnsi="Arial Narrow"/>
          <w:b/>
          <w:bCs/>
          <w:sz w:val="20"/>
        </w:rPr>
        <w:t>.1</w:t>
      </w:r>
      <w:r w:rsidR="002357A3">
        <w:rPr>
          <w:rFonts w:ascii="Arial Narrow" w:hAnsi="Arial Narrow"/>
          <w:b/>
          <w:bCs/>
          <w:sz w:val="20"/>
        </w:rPr>
        <w:t>:</w:t>
      </w:r>
      <w:r w:rsidR="007041C8" w:rsidRPr="002357A3">
        <w:rPr>
          <w:rFonts w:ascii="Arial Narrow" w:hAnsi="Arial Narrow"/>
          <w:b/>
          <w:bCs/>
          <w:sz w:val="20"/>
        </w:rPr>
        <w:t xml:space="preserve"> Current</w:t>
      </w:r>
      <w:r w:rsidRPr="002357A3">
        <w:rPr>
          <w:rFonts w:ascii="Arial Narrow" w:hAnsi="Arial Narrow"/>
          <w:b/>
          <w:bCs/>
          <w:sz w:val="20"/>
        </w:rPr>
        <w:t xml:space="preserve"> clinical management pathway</w:t>
      </w:r>
    </w:p>
    <w:p w14:paraId="2EDE11A2" w14:textId="33AC3A46" w:rsidR="005663FB" w:rsidRDefault="0015435A" w:rsidP="0076327A">
      <w:pPr>
        <w:autoSpaceDE w:val="0"/>
        <w:autoSpaceDN w:val="0"/>
        <w:adjustRightInd w:val="0"/>
        <w:rPr>
          <w:i/>
        </w:rPr>
      </w:pPr>
      <w:r>
        <w:rPr>
          <w:noProof/>
        </w:rPr>
        <w:drawing>
          <wp:inline distT="0" distB="0" distL="0" distR="0" wp14:anchorId="71445111" wp14:editId="72BB4FCD">
            <wp:extent cx="5052231" cy="2399386"/>
            <wp:effectExtent l="0" t="0" r="0" b="1270"/>
            <wp:docPr id="5" name="Picture 5" descr="Current clinical manage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rrent clinical management pathway"/>
                    <pic:cNvPicPr/>
                  </pic:nvPicPr>
                  <pic:blipFill rotWithShape="1">
                    <a:blip r:embed="rId15"/>
                    <a:srcRect b="56241"/>
                    <a:stretch/>
                  </pic:blipFill>
                  <pic:spPr bwMode="auto">
                    <a:xfrm>
                      <a:off x="0" y="0"/>
                      <a:ext cx="5436326" cy="2581799"/>
                    </a:xfrm>
                    <a:prstGeom prst="rect">
                      <a:avLst/>
                    </a:prstGeom>
                    <a:ln>
                      <a:noFill/>
                    </a:ln>
                    <a:extLst>
                      <a:ext uri="{53640926-AAD7-44D8-BBD7-CCE9431645EC}">
                        <a14:shadowObscured xmlns:a14="http://schemas.microsoft.com/office/drawing/2010/main"/>
                      </a:ext>
                    </a:extLst>
                  </pic:spPr>
                </pic:pic>
              </a:graphicData>
            </a:graphic>
          </wp:inline>
        </w:drawing>
      </w:r>
    </w:p>
    <w:p w14:paraId="20A7BB7F" w14:textId="380326C6" w:rsidR="0015435A" w:rsidRPr="002D226B" w:rsidRDefault="0015435A" w:rsidP="006508EF">
      <w:pPr>
        <w:keepNext/>
        <w:autoSpaceDE w:val="0"/>
        <w:autoSpaceDN w:val="0"/>
        <w:adjustRightInd w:val="0"/>
        <w:spacing w:before="240"/>
        <w:rPr>
          <w:b/>
          <w:bCs/>
        </w:rPr>
      </w:pPr>
      <w:bookmarkStart w:id="10" w:name="_Ref75159833"/>
      <w:r w:rsidRPr="002D226B">
        <w:rPr>
          <w:b/>
          <w:bCs/>
        </w:rPr>
        <w:t xml:space="preserve">Proposed </w:t>
      </w:r>
      <w:r w:rsidRPr="002D226B">
        <w:rPr>
          <w:b/>
          <w:bCs/>
          <w:lang w:val="en-GB"/>
        </w:rPr>
        <w:t>clinical</w:t>
      </w:r>
      <w:r w:rsidRPr="002D226B">
        <w:rPr>
          <w:b/>
          <w:bCs/>
        </w:rPr>
        <w:t xml:space="preserve"> management pathway</w:t>
      </w:r>
      <w:bookmarkEnd w:id="10"/>
    </w:p>
    <w:p w14:paraId="241E4C4C" w14:textId="760CCE4C" w:rsidR="002D226B" w:rsidRPr="006508EF" w:rsidRDefault="00C57102" w:rsidP="00966670">
      <w:pPr>
        <w:spacing w:after="240"/>
        <w:rPr>
          <w:i/>
          <w:iCs/>
        </w:rPr>
      </w:pPr>
      <w:r>
        <w:t>The proposed clinical management d</w:t>
      </w:r>
      <w:r w:rsidR="00E5224A">
        <w:t>id</w:t>
      </w:r>
      <w:r>
        <w:t xml:space="preserve"> not change the current treatment management pathway, rather, it provide</w:t>
      </w:r>
      <w:r w:rsidR="00E5224A">
        <w:t>d</w:t>
      </w:r>
      <w:r>
        <w:t xml:space="preserve"> an alternative method of delivery/treatment option to patients who have previously </w:t>
      </w:r>
      <w:r w:rsidRPr="00C57102">
        <w:t>respond</w:t>
      </w:r>
      <w:r>
        <w:t>ed</w:t>
      </w:r>
      <w:r w:rsidRPr="00C57102">
        <w:t xml:space="preserve"> to standard of care IVT injections as depicted </w:t>
      </w:r>
      <w:r w:rsidR="00FB7735">
        <w:t xml:space="preserve">below in Figure </w:t>
      </w:r>
      <w:r w:rsidR="005D165F">
        <w:t>1.2</w:t>
      </w:r>
      <w:r w:rsidR="00FB7735">
        <w:t>.</w:t>
      </w:r>
    </w:p>
    <w:p w14:paraId="2AC64858" w14:textId="4F30B92E" w:rsidR="0015435A" w:rsidRDefault="00FB7735" w:rsidP="006508EF">
      <w:pPr>
        <w:keepNext/>
        <w:autoSpaceDE w:val="0"/>
        <w:autoSpaceDN w:val="0"/>
        <w:adjustRightInd w:val="0"/>
        <w:spacing w:after="240"/>
        <w:rPr>
          <w:rFonts w:ascii="Arial Narrow" w:hAnsi="Arial Narrow"/>
          <w:b/>
          <w:bCs/>
          <w:sz w:val="20"/>
        </w:rPr>
      </w:pPr>
      <w:r w:rsidRPr="002D226B">
        <w:rPr>
          <w:rFonts w:ascii="Arial Narrow" w:hAnsi="Arial Narrow"/>
          <w:b/>
          <w:bCs/>
          <w:sz w:val="20"/>
        </w:rPr>
        <w:t xml:space="preserve">Figure </w:t>
      </w:r>
      <w:r w:rsidR="005D165F" w:rsidRPr="002D226B">
        <w:rPr>
          <w:rFonts w:ascii="Arial Narrow" w:hAnsi="Arial Narrow"/>
          <w:b/>
          <w:bCs/>
          <w:sz w:val="20"/>
        </w:rPr>
        <w:t>1.</w:t>
      </w:r>
      <w:r w:rsidRPr="002D226B">
        <w:rPr>
          <w:rFonts w:ascii="Arial Narrow" w:hAnsi="Arial Narrow"/>
          <w:b/>
          <w:bCs/>
          <w:sz w:val="20"/>
        </w:rPr>
        <w:t>2</w:t>
      </w:r>
      <w:r w:rsidR="002357A3" w:rsidRPr="002D226B">
        <w:rPr>
          <w:rFonts w:ascii="Arial Narrow" w:hAnsi="Arial Narrow"/>
          <w:b/>
          <w:bCs/>
          <w:sz w:val="20"/>
        </w:rPr>
        <w:t>:</w:t>
      </w:r>
      <w:r w:rsidRPr="002D226B">
        <w:rPr>
          <w:rFonts w:ascii="Arial Narrow" w:hAnsi="Arial Narrow"/>
          <w:b/>
          <w:bCs/>
          <w:sz w:val="20"/>
        </w:rPr>
        <w:t xml:space="preserve"> Proposed clinical management pathway</w:t>
      </w:r>
    </w:p>
    <w:p w14:paraId="0792A5D3" w14:textId="1FF05783" w:rsidR="00FB7735" w:rsidRPr="00FB7735" w:rsidRDefault="00FB7735" w:rsidP="00FB7735">
      <w:r>
        <w:rPr>
          <w:noProof/>
        </w:rPr>
        <w:drawing>
          <wp:inline distT="0" distB="0" distL="0" distR="0" wp14:anchorId="6259F77B" wp14:editId="43523F48">
            <wp:extent cx="4272077" cy="4636424"/>
            <wp:effectExtent l="0" t="0" r="0" b="0"/>
            <wp:docPr id="1" name="Picture 1" descr="Proposed clinical manage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posed clinical management pathway"/>
                    <pic:cNvPicPr/>
                  </pic:nvPicPr>
                  <pic:blipFill>
                    <a:blip r:embed="rId15"/>
                    <a:stretch>
                      <a:fillRect/>
                    </a:stretch>
                  </pic:blipFill>
                  <pic:spPr>
                    <a:xfrm>
                      <a:off x="0" y="0"/>
                      <a:ext cx="4571135" cy="4960988"/>
                    </a:xfrm>
                    <a:prstGeom prst="rect">
                      <a:avLst/>
                    </a:prstGeom>
                  </pic:spPr>
                </pic:pic>
              </a:graphicData>
            </a:graphic>
          </wp:inline>
        </w:drawing>
      </w:r>
    </w:p>
    <w:p w14:paraId="3706CD85" w14:textId="44909B6F" w:rsidR="00BC1364" w:rsidRDefault="006D1DFC" w:rsidP="00386C21">
      <w:pPr>
        <w:pStyle w:val="Heading1"/>
        <w:ind w:left="709" w:hanging="709"/>
      </w:pPr>
      <w:r>
        <w:lastRenderedPageBreak/>
        <w:t>Comparator</w:t>
      </w:r>
    </w:p>
    <w:p w14:paraId="0A2FA1C1" w14:textId="74A00FAF" w:rsidR="00556F71" w:rsidRPr="00556F71" w:rsidRDefault="00556F71" w:rsidP="00AD404A">
      <w:r>
        <w:t>The nominated comparator for th</w:t>
      </w:r>
      <w:r w:rsidR="007703FE">
        <w:t>e</w:t>
      </w:r>
      <w:r>
        <w:t xml:space="preserve"> application </w:t>
      </w:r>
      <w:r w:rsidR="007703FE">
        <w:t>wa</w:t>
      </w:r>
      <w:r>
        <w:t xml:space="preserve">s </w:t>
      </w:r>
      <w:r w:rsidR="00C96C78">
        <w:t xml:space="preserve">continuing </w:t>
      </w:r>
      <w:r>
        <w:t>r</w:t>
      </w:r>
      <w:r w:rsidRPr="00556F71">
        <w:t>anibizumab 10</w:t>
      </w:r>
      <w:r w:rsidR="002357A3">
        <w:t> </w:t>
      </w:r>
      <w:r w:rsidRPr="00556F71">
        <w:t xml:space="preserve">mg/mL (via </w:t>
      </w:r>
      <w:r w:rsidR="00097AC2">
        <w:t>IVT</w:t>
      </w:r>
      <w:r w:rsidRPr="00556F71">
        <w:t xml:space="preserve"> injection) as a proxy for standard of care</w:t>
      </w:r>
      <w:r>
        <w:t>.</w:t>
      </w:r>
      <w:r w:rsidRPr="00556F71">
        <w:t xml:space="preserve"> </w:t>
      </w:r>
      <w:r>
        <w:t xml:space="preserve">Currently, </w:t>
      </w:r>
      <w:r w:rsidRPr="00292A65">
        <w:t xml:space="preserve">anti-VEGF ranibizumab </w:t>
      </w:r>
      <w:r>
        <w:t>(</w:t>
      </w:r>
      <w:r w:rsidRPr="00292A65">
        <w:t>Lucentis</w:t>
      </w:r>
      <w:r w:rsidRPr="00C96C78">
        <w:rPr>
          <w:vertAlign w:val="superscript"/>
        </w:rPr>
        <w:t>®</w:t>
      </w:r>
      <w:r>
        <w:t xml:space="preserve">) and </w:t>
      </w:r>
      <w:r w:rsidRPr="00292A65">
        <w:t>aflibercept</w:t>
      </w:r>
      <w:r>
        <w:t xml:space="preserve"> (</w:t>
      </w:r>
      <w:r w:rsidRPr="00292A65">
        <w:t>Eylea</w:t>
      </w:r>
      <w:r w:rsidRPr="00C96C78">
        <w:rPr>
          <w:vertAlign w:val="superscript"/>
        </w:rPr>
        <w:t>®</w:t>
      </w:r>
      <w:r>
        <w:t xml:space="preserve">) are available through the PBS for the treatment of </w:t>
      </w:r>
      <w:proofErr w:type="spellStart"/>
      <w:r>
        <w:t>nAMD</w:t>
      </w:r>
      <w:proofErr w:type="spellEnd"/>
      <w:r>
        <w:t xml:space="preserve">. These anti-VEGFs are administered at a minimum of 4 weekly intervals by an </w:t>
      </w:r>
      <w:r w:rsidRPr="00BC151D">
        <w:t>ophthalmologist</w:t>
      </w:r>
      <w:r>
        <w:t xml:space="preserve"> </w:t>
      </w:r>
      <w:r w:rsidR="00C96C78">
        <w:t xml:space="preserve">or retinal specialist </w:t>
      </w:r>
      <w:r>
        <w:t>in a clinic. The PDS proposed by the applicant offer</w:t>
      </w:r>
      <w:r w:rsidR="007703FE">
        <w:t>ed</w:t>
      </w:r>
      <w:r>
        <w:t xml:space="preserve"> an alternative to the current subsidised anti-VEGF treatments</w:t>
      </w:r>
      <w:r w:rsidRPr="00292A65">
        <w:t xml:space="preserve">, </w:t>
      </w:r>
      <w:r>
        <w:t>aiming to reduce</w:t>
      </w:r>
      <w:r w:rsidRPr="00292A65">
        <w:t xml:space="preserve"> </w:t>
      </w:r>
      <w:r>
        <w:t>the administration intervals, patient treatment burden</w:t>
      </w:r>
      <w:r w:rsidRPr="00292A65">
        <w:t xml:space="preserve"> and </w:t>
      </w:r>
      <w:r>
        <w:t xml:space="preserve">the </w:t>
      </w:r>
      <w:r w:rsidRPr="00292A65">
        <w:t>associated MBS costs with frequent eye injections.</w:t>
      </w:r>
    </w:p>
    <w:p w14:paraId="50872862" w14:textId="03BCF756" w:rsidR="00AD404A" w:rsidRDefault="00BC1364" w:rsidP="00386C21">
      <w:pPr>
        <w:pStyle w:val="Heading1"/>
        <w:ind w:left="709" w:hanging="709"/>
      </w:pPr>
      <w:r w:rsidRPr="00F715D1">
        <w:t>Comparative safety</w:t>
      </w:r>
    </w:p>
    <w:p w14:paraId="6689488C" w14:textId="3545033D" w:rsidR="00201DB6" w:rsidRPr="00201DB6" w:rsidRDefault="00705E04" w:rsidP="0076327A">
      <w:r w:rsidRPr="00676106">
        <w:t xml:space="preserve">Data from the pivotal </w:t>
      </w:r>
      <w:r>
        <w:t>phase III study ARCHWAY indicated that t</w:t>
      </w:r>
      <w:r w:rsidRPr="00705E04">
        <w:t>he ocular implant procedure and refill</w:t>
      </w:r>
      <w:r w:rsidRPr="00705E04">
        <w:noBreakHyphen/>
        <w:t xml:space="preserve">exchange procedures were generally well tolerated, </w:t>
      </w:r>
      <w:r w:rsidR="00F72515">
        <w:t xml:space="preserve">but </w:t>
      </w:r>
      <w:r w:rsidRPr="00705E04">
        <w:t xml:space="preserve">the systemic </w:t>
      </w:r>
      <w:r w:rsidR="00F72515">
        <w:t xml:space="preserve">adverse effects </w:t>
      </w:r>
      <w:r w:rsidRPr="00705E04">
        <w:t xml:space="preserve">profile of PDS treatment </w:t>
      </w:r>
      <w:r w:rsidR="008C0B8A">
        <w:t xml:space="preserve">was </w:t>
      </w:r>
      <w:r w:rsidR="00F72515">
        <w:t xml:space="preserve">less favourable than </w:t>
      </w:r>
      <w:r w:rsidRPr="00705E04">
        <w:t xml:space="preserve">monthly IVT ranibizumab treatment. Results of the PDS patient preference questionnaire in ARCHWAY reported that 93.2% (218/234) of patients preferred the continuous delivery of ranibizumab using </w:t>
      </w:r>
      <w:r w:rsidR="00E25A63">
        <w:t xml:space="preserve">the </w:t>
      </w:r>
      <w:r w:rsidRPr="00705E04">
        <w:t xml:space="preserve">PDS over ranibizumab IVT injections. </w:t>
      </w:r>
      <w:r w:rsidR="00953EFA" w:rsidRPr="00953EFA">
        <w:t xml:space="preserve">Common reasons for </w:t>
      </w:r>
      <w:r w:rsidR="008C0B8A">
        <w:t xml:space="preserve">this </w:t>
      </w:r>
      <w:r w:rsidR="00953EFA" w:rsidRPr="00953EFA">
        <w:t xml:space="preserve">preference among </w:t>
      </w:r>
      <w:r w:rsidR="008C0B8A">
        <w:t xml:space="preserve">the </w:t>
      </w:r>
      <w:r w:rsidR="00953EFA" w:rsidRPr="00953EFA">
        <w:t xml:space="preserve">patients who preferred </w:t>
      </w:r>
      <w:r w:rsidR="001F2A6B">
        <w:t xml:space="preserve">the </w:t>
      </w:r>
      <w:r w:rsidR="00953EFA" w:rsidRPr="00953EFA">
        <w:t xml:space="preserve">PDS </w:t>
      </w:r>
      <w:r w:rsidR="001F2A6B">
        <w:t xml:space="preserve">option </w:t>
      </w:r>
      <w:r w:rsidR="008C0B8A">
        <w:t>were</w:t>
      </w:r>
      <w:r w:rsidR="00953EFA" w:rsidRPr="00953EFA">
        <w:t xml:space="preserve"> fewer treatments and less discomfort.</w:t>
      </w:r>
    </w:p>
    <w:p w14:paraId="33F0B31E" w14:textId="7B98E431" w:rsidR="00BC1364" w:rsidRPr="00F715D1" w:rsidRDefault="00BC1364" w:rsidP="00386C21">
      <w:pPr>
        <w:pStyle w:val="Heading1"/>
        <w:ind w:left="709" w:hanging="709"/>
      </w:pPr>
      <w:r w:rsidRPr="00F715D1">
        <w:t>Comparative effectiveness</w:t>
      </w:r>
    </w:p>
    <w:p w14:paraId="40163730" w14:textId="5E233A71" w:rsidR="001E7239" w:rsidRDefault="001E7239" w:rsidP="0078054E">
      <w:pPr>
        <w:rPr>
          <w:i/>
        </w:rPr>
      </w:pPr>
      <w:r w:rsidRPr="00676106">
        <w:t xml:space="preserve">Data from the pivotal </w:t>
      </w:r>
      <w:r>
        <w:t>phase III study ARCHWAY showed</w:t>
      </w:r>
      <w:r w:rsidRPr="00676106">
        <w:t xml:space="preserve"> that more than 90% of patients treated with </w:t>
      </w:r>
      <w:r w:rsidR="001F2A6B">
        <w:t xml:space="preserve">the </w:t>
      </w:r>
      <w:r w:rsidRPr="00676106">
        <w:t xml:space="preserve">PDS did not receive supplemental treatment before each refill-exchange procedure, meaning that PDS patients were able to go six months without needing additional treatment while achieving visual and anatomical outcomes </w:t>
      </w:r>
      <w:r w:rsidR="00F72515">
        <w:t xml:space="preserve">overall </w:t>
      </w:r>
      <w:r w:rsidR="00953EFA">
        <w:t xml:space="preserve">non-inferior </w:t>
      </w:r>
      <w:r w:rsidRPr="00676106">
        <w:t xml:space="preserve">to patients receiving </w:t>
      </w:r>
      <w:r w:rsidR="00953EFA" w:rsidRPr="00953EFA">
        <w:t>IVT ranibizumab 0.5</w:t>
      </w:r>
      <w:r w:rsidR="002357A3">
        <w:t> </w:t>
      </w:r>
      <w:r w:rsidR="00953EFA" w:rsidRPr="00953EFA">
        <w:t>mg every 4 weeks</w:t>
      </w:r>
      <w:r w:rsidR="00EB6884">
        <w:t xml:space="preserve"> (Q4W)</w:t>
      </w:r>
      <w:r>
        <w:t>.</w:t>
      </w:r>
    </w:p>
    <w:p w14:paraId="4D0E8EEC" w14:textId="033546E6" w:rsidR="00C86CE4" w:rsidRDefault="00F37B9C" w:rsidP="006508EF">
      <w:pPr>
        <w:keepNext/>
        <w:tabs>
          <w:tab w:val="left" w:pos="720"/>
          <w:tab w:val="left" w:pos="1140"/>
        </w:tabs>
        <w:spacing w:before="240"/>
        <w:rPr>
          <w:b/>
          <w:szCs w:val="24"/>
        </w:rPr>
      </w:pPr>
      <w:r w:rsidRPr="00F37B9C">
        <w:rPr>
          <w:b/>
          <w:szCs w:val="24"/>
        </w:rPr>
        <w:t xml:space="preserve">Clinical </w:t>
      </w:r>
      <w:r w:rsidR="00537B6C">
        <w:rPr>
          <w:b/>
          <w:szCs w:val="24"/>
        </w:rPr>
        <w:t>c</w:t>
      </w:r>
      <w:r w:rsidRPr="00F37B9C">
        <w:rPr>
          <w:b/>
          <w:szCs w:val="24"/>
        </w:rPr>
        <w:t>laim</w:t>
      </w:r>
    </w:p>
    <w:p w14:paraId="2DEDA459" w14:textId="4F988E98" w:rsidR="00FB7735" w:rsidRDefault="00FB7735" w:rsidP="00F715D1">
      <w:pPr>
        <w:tabs>
          <w:tab w:val="left" w:pos="720"/>
          <w:tab w:val="left" w:pos="1140"/>
        </w:tabs>
        <w:spacing w:after="240"/>
      </w:pPr>
      <w:r w:rsidRPr="00B137E6">
        <w:t xml:space="preserve">In </w:t>
      </w:r>
      <w:r>
        <w:t xml:space="preserve">patients with </w:t>
      </w:r>
      <w:proofErr w:type="spellStart"/>
      <w:r>
        <w:t>nAMD</w:t>
      </w:r>
      <w:proofErr w:type="spellEnd"/>
      <w:r w:rsidRPr="00B137E6">
        <w:t xml:space="preserve">, </w:t>
      </w:r>
      <w:r>
        <w:t>ranibizumab 100</w:t>
      </w:r>
      <w:r w:rsidR="002357A3">
        <w:t> </w:t>
      </w:r>
      <w:r>
        <w:t xml:space="preserve">mg/mL via ocular implant </w:t>
      </w:r>
      <w:r w:rsidRPr="00B137E6">
        <w:t>is as effective as</w:t>
      </w:r>
      <w:r>
        <w:t xml:space="preserve"> ranibizumab 10 mg/mL via intravitreal injection</w:t>
      </w:r>
      <w:r w:rsidRPr="00B137E6">
        <w:t xml:space="preserve"> at </w:t>
      </w:r>
      <w:r>
        <w:t xml:space="preserve">maintaining </w:t>
      </w:r>
      <w:r w:rsidR="00953EFA">
        <w:t>b</w:t>
      </w:r>
      <w:r w:rsidR="00953EFA" w:rsidRPr="00953EFA">
        <w:t>est corrected visual acuity</w:t>
      </w:r>
      <w:r>
        <w:t xml:space="preserve"> (with a reduction in frequency visits for treatment administration)</w:t>
      </w:r>
      <w:r w:rsidR="008E2096">
        <w:t>.</w:t>
      </w:r>
    </w:p>
    <w:p w14:paraId="759F43E3" w14:textId="23871C69" w:rsidR="00243CC1" w:rsidRDefault="00243CC1" w:rsidP="00386C21">
      <w:pPr>
        <w:pStyle w:val="Heading1"/>
        <w:ind w:left="709" w:hanging="709"/>
      </w:pPr>
      <w:r>
        <w:t xml:space="preserve">Economic </w:t>
      </w:r>
      <w:r w:rsidR="00F72515">
        <w:t>e</w:t>
      </w:r>
      <w:r>
        <w:t>valuation</w:t>
      </w:r>
    </w:p>
    <w:p w14:paraId="79FC5140" w14:textId="1EA5D0E4" w:rsidR="00243CC1" w:rsidRPr="00CB4851" w:rsidRDefault="00243CC1" w:rsidP="00243CC1">
      <w:r>
        <w:t xml:space="preserve">The economic evaluation will be assessed by the </w:t>
      </w:r>
      <w:r w:rsidR="003974BA">
        <w:t>March 2022 PBAC meeting. MSAC will be advised of the outcomes prior to its consideration at the March/April 2022 MSAC meeting.</w:t>
      </w:r>
    </w:p>
    <w:p w14:paraId="63D02B31" w14:textId="30A018C4" w:rsidR="00BC1364" w:rsidRDefault="00BC1364" w:rsidP="00386C21">
      <w:pPr>
        <w:pStyle w:val="Heading1"/>
        <w:ind w:left="709" w:hanging="709"/>
      </w:pPr>
      <w:r w:rsidRPr="00F715D1">
        <w:t>Financial/budgetary impacts</w:t>
      </w:r>
    </w:p>
    <w:p w14:paraId="08E2D792" w14:textId="252F76B6" w:rsidR="00C44EE0" w:rsidRDefault="00C44EE0" w:rsidP="00DB00AA">
      <w:pPr>
        <w:keepNext/>
        <w:rPr>
          <w:b/>
          <w:bCs/>
        </w:rPr>
      </w:pPr>
      <w:r w:rsidRPr="00C44EE0">
        <w:rPr>
          <w:b/>
          <w:bCs/>
        </w:rPr>
        <w:t>Utilisation estimates</w:t>
      </w:r>
    </w:p>
    <w:p w14:paraId="0F3E2CEF" w14:textId="5A4B73EC" w:rsidR="008B53F1" w:rsidRDefault="008B53F1" w:rsidP="00C44EE0">
      <w:r>
        <w:t xml:space="preserve">Given the anticipated treated population is a subset of a relatively mature PBS eligible population, a market-based approach was </w:t>
      </w:r>
      <w:r w:rsidR="004838AF">
        <w:t>utilised</w:t>
      </w:r>
      <w:r>
        <w:t xml:space="preserve"> to estimate the size of the proposed population.</w:t>
      </w:r>
      <w:r w:rsidRPr="008B53F1">
        <w:t xml:space="preserve"> Table </w:t>
      </w:r>
      <w:r w:rsidR="003A43D3">
        <w:t>2</w:t>
      </w:r>
      <w:r>
        <w:t>.</w:t>
      </w:r>
      <w:r w:rsidRPr="008B53F1">
        <w:t xml:space="preserve">1 presents the number of services for MBS items 42738, 42739 and 42740 in the preceding five years. </w:t>
      </w:r>
      <w:r w:rsidR="00F72515">
        <w:t>T</w:t>
      </w:r>
      <w:r w:rsidRPr="008B53F1">
        <w:t xml:space="preserve">his represents utilisation in addition to </w:t>
      </w:r>
      <w:proofErr w:type="spellStart"/>
      <w:r w:rsidRPr="008B53F1">
        <w:t>nAMD</w:t>
      </w:r>
      <w:proofErr w:type="spellEnd"/>
      <w:r w:rsidRPr="008B53F1">
        <w:t xml:space="preserve"> (including, but not limited to, the administration of IVT injections in diabetic macular oedema and retinal vein occlusion) and thus is limited in estimating the relative size of the proposed population.</w:t>
      </w:r>
    </w:p>
    <w:p w14:paraId="0A4F5130" w14:textId="410FCF68" w:rsidR="008B53F1" w:rsidRPr="00BD5A95" w:rsidRDefault="008B53F1" w:rsidP="006508EF">
      <w:pPr>
        <w:pStyle w:val="Caption"/>
        <w:spacing w:before="240"/>
        <w:rPr>
          <w:rFonts w:cs="Times New Roman"/>
        </w:rPr>
      </w:pPr>
      <w:bookmarkStart w:id="11" w:name="_Ref75429612"/>
      <w:bookmarkStart w:id="12" w:name="_Toc86743004"/>
      <w:r w:rsidRPr="00BD5A95">
        <w:rPr>
          <w:rFonts w:cs="Times New Roman"/>
        </w:rPr>
        <w:t xml:space="preserve">Table </w:t>
      </w:r>
      <w:r w:rsidR="003A43D3" w:rsidRPr="00BD5A95">
        <w:rPr>
          <w:rFonts w:cs="Times New Roman"/>
        </w:rPr>
        <w:t>2</w:t>
      </w:r>
      <w:r w:rsidR="005A085E" w:rsidRPr="00BD5A95">
        <w:rPr>
          <w:rFonts w:cs="Times New Roman"/>
        </w:rPr>
        <w:t>.</w:t>
      </w:r>
      <w:r w:rsidRPr="00BD5A95">
        <w:rPr>
          <w:rFonts w:cs="Times New Roman"/>
        </w:rPr>
        <w:fldChar w:fldCharType="begin"/>
      </w:r>
      <w:r w:rsidRPr="00BD5A95">
        <w:rPr>
          <w:rFonts w:cs="Times New Roman"/>
        </w:rPr>
        <w:instrText xml:space="preserve"> SEQ Table \* ARABIC \s 1 </w:instrText>
      </w:r>
      <w:r w:rsidRPr="00BD5A95">
        <w:rPr>
          <w:rFonts w:cs="Times New Roman"/>
        </w:rPr>
        <w:fldChar w:fldCharType="separate"/>
      </w:r>
      <w:r w:rsidRPr="00BD5A95">
        <w:rPr>
          <w:rFonts w:cs="Times New Roman"/>
          <w:noProof/>
        </w:rPr>
        <w:t>1</w:t>
      </w:r>
      <w:r w:rsidRPr="00BD5A95">
        <w:rPr>
          <w:rFonts w:cs="Times New Roman"/>
        </w:rPr>
        <w:fldChar w:fldCharType="end"/>
      </w:r>
      <w:bookmarkEnd w:id="11"/>
      <w:r w:rsidR="00BD5A95" w:rsidRPr="00BD5A95">
        <w:rPr>
          <w:rFonts w:cs="Times New Roman"/>
        </w:rPr>
        <w:t xml:space="preserve">: </w:t>
      </w:r>
      <w:r w:rsidR="005A085E" w:rsidRPr="00BD5A95">
        <w:rPr>
          <w:rFonts w:cs="Times New Roman"/>
        </w:rPr>
        <w:t>U</w:t>
      </w:r>
      <w:r w:rsidR="008E4ED0" w:rsidRPr="00BD5A95">
        <w:rPr>
          <w:rFonts w:cs="Times New Roman"/>
        </w:rPr>
        <w:t>t</w:t>
      </w:r>
      <w:r w:rsidR="005A085E" w:rsidRPr="00BD5A95">
        <w:rPr>
          <w:rFonts w:cs="Times New Roman"/>
        </w:rPr>
        <w:t xml:space="preserve">ilisation of </w:t>
      </w:r>
      <w:r w:rsidRPr="00BD5A95">
        <w:rPr>
          <w:rFonts w:cs="Times New Roman"/>
        </w:rPr>
        <w:t xml:space="preserve">MBS services for </w:t>
      </w:r>
      <w:r w:rsidR="005A085E" w:rsidRPr="00BD5A95">
        <w:rPr>
          <w:rFonts w:cs="Times New Roman"/>
        </w:rPr>
        <w:t>MBS items 4</w:t>
      </w:r>
      <w:r w:rsidRPr="00BD5A95">
        <w:rPr>
          <w:rFonts w:cs="Times New Roman"/>
        </w:rPr>
        <w:t>2738, 42739 and 42740</w:t>
      </w:r>
      <w:bookmarkEnd w:id="12"/>
    </w:p>
    <w:tbl>
      <w:tblPr>
        <w:tblStyle w:val="TableGrid"/>
        <w:tblW w:w="5000" w:type="pct"/>
        <w:tblLook w:val="04A0" w:firstRow="1" w:lastRow="0" w:firstColumn="1" w:lastColumn="0" w:noHBand="0" w:noVBand="1"/>
        <w:tblDescription w:val="Utilisation of MBS services for MBS items 42738, 42739 and 42740"/>
      </w:tblPr>
      <w:tblGrid>
        <w:gridCol w:w="1449"/>
        <w:gridCol w:w="1515"/>
        <w:gridCol w:w="1515"/>
        <w:gridCol w:w="1513"/>
        <w:gridCol w:w="1513"/>
        <w:gridCol w:w="1511"/>
      </w:tblGrid>
      <w:tr w:rsidR="008B53F1" w:rsidRPr="00BD5A95" w14:paraId="1222CA6C" w14:textId="77777777" w:rsidTr="00EB6884">
        <w:tc>
          <w:tcPr>
            <w:tcW w:w="804" w:type="pct"/>
          </w:tcPr>
          <w:p w14:paraId="1FEA4E3E" w14:textId="4AAA7F8A" w:rsidR="008B53F1" w:rsidRPr="00BD5A95" w:rsidRDefault="008B53F1" w:rsidP="00BD5A95">
            <w:pPr>
              <w:pStyle w:val="TableText1"/>
              <w:keepNext/>
              <w:spacing w:before="0" w:after="0"/>
              <w:rPr>
                <w:rFonts w:ascii="Arial Narrow" w:hAnsi="Arial Narrow" w:cs="Times New Roman"/>
                <w:b/>
              </w:rPr>
            </w:pPr>
            <w:r w:rsidRPr="00BD5A95">
              <w:rPr>
                <w:rFonts w:ascii="Arial Narrow" w:hAnsi="Arial Narrow" w:cs="Times New Roman"/>
                <w:b/>
              </w:rPr>
              <w:t>MBS item</w:t>
            </w:r>
          </w:p>
        </w:tc>
        <w:tc>
          <w:tcPr>
            <w:tcW w:w="840" w:type="pct"/>
          </w:tcPr>
          <w:p w14:paraId="7AC87603" w14:textId="77777777" w:rsidR="008B53F1" w:rsidRPr="00BD5A95" w:rsidRDefault="008B53F1" w:rsidP="00EB6884">
            <w:pPr>
              <w:pStyle w:val="TableText1"/>
              <w:spacing w:before="0" w:after="0"/>
              <w:jc w:val="center"/>
              <w:rPr>
                <w:rFonts w:ascii="Arial Narrow" w:hAnsi="Arial Narrow" w:cs="Times New Roman"/>
                <w:b/>
              </w:rPr>
            </w:pPr>
            <w:r w:rsidRPr="00BD5A95">
              <w:rPr>
                <w:rFonts w:ascii="Arial Narrow" w:hAnsi="Arial Narrow" w:cs="Times New Roman"/>
                <w:b/>
              </w:rPr>
              <w:t>2016</w:t>
            </w:r>
          </w:p>
        </w:tc>
        <w:tc>
          <w:tcPr>
            <w:tcW w:w="840" w:type="pct"/>
          </w:tcPr>
          <w:p w14:paraId="77645AF4" w14:textId="77777777" w:rsidR="008B53F1" w:rsidRPr="00BD5A95" w:rsidRDefault="008B53F1" w:rsidP="00EB6884">
            <w:pPr>
              <w:pStyle w:val="TableText1"/>
              <w:spacing w:before="0" w:after="0"/>
              <w:jc w:val="center"/>
              <w:rPr>
                <w:rFonts w:ascii="Arial Narrow" w:hAnsi="Arial Narrow" w:cs="Times New Roman"/>
                <w:b/>
              </w:rPr>
            </w:pPr>
            <w:r w:rsidRPr="00BD5A95">
              <w:rPr>
                <w:rFonts w:ascii="Arial Narrow" w:hAnsi="Arial Narrow" w:cs="Times New Roman"/>
                <w:b/>
              </w:rPr>
              <w:t>2017</w:t>
            </w:r>
          </w:p>
        </w:tc>
        <w:tc>
          <w:tcPr>
            <w:tcW w:w="839" w:type="pct"/>
          </w:tcPr>
          <w:p w14:paraId="60024B3C" w14:textId="77777777" w:rsidR="008B53F1" w:rsidRPr="00BD5A95" w:rsidRDefault="008B53F1" w:rsidP="00EB6884">
            <w:pPr>
              <w:pStyle w:val="TableText1"/>
              <w:spacing w:before="0" w:after="0"/>
              <w:jc w:val="center"/>
              <w:rPr>
                <w:rFonts w:ascii="Arial Narrow" w:hAnsi="Arial Narrow" w:cs="Times New Roman"/>
                <w:b/>
              </w:rPr>
            </w:pPr>
            <w:r w:rsidRPr="00BD5A95">
              <w:rPr>
                <w:rFonts w:ascii="Arial Narrow" w:hAnsi="Arial Narrow" w:cs="Times New Roman"/>
                <w:b/>
              </w:rPr>
              <w:t>2018</w:t>
            </w:r>
          </w:p>
        </w:tc>
        <w:tc>
          <w:tcPr>
            <w:tcW w:w="839" w:type="pct"/>
          </w:tcPr>
          <w:p w14:paraId="530D1BBB" w14:textId="77777777" w:rsidR="008B53F1" w:rsidRPr="00BD5A95" w:rsidRDefault="008B53F1" w:rsidP="00EB6884">
            <w:pPr>
              <w:pStyle w:val="TableText1"/>
              <w:spacing w:before="0" w:after="0"/>
              <w:jc w:val="center"/>
              <w:rPr>
                <w:rFonts w:ascii="Arial Narrow" w:hAnsi="Arial Narrow" w:cs="Times New Roman"/>
                <w:b/>
              </w:rPr>
            </w:pPr>
            <w:r w:rsidRPr="00BD5A95">
              <w:rPr>
                <w:rFonts w:ascii="Arial Narrow" w:hAnsi="Arial Narrow" w:cs="Times New Roman"/>
                <w:b/>
              </w:rPr>
              <w:t>2019</w:t>
            </w:r>
          </w:p>
        </w:tc>
        <w:tc>
          <w:tcPr>
            <w:tcW w:w="838" w:type="pct"/>
          </w:tcPr>
          <w:p w14:paraId="38EDB418" w14:textId="77777777" w:rsidR="008B53F1" w:rsidRPr="00BD5A95" w:rsidRDefault="008B53F1" w:rsidP="00EB6884">
            <w:pPr>
              <w:pStyle w:val="TableText1"/>
              <w:spacing w:before="0" w:after="0"/>
              <w:jc w:val="center"/>
              <w:rPr>
                <w:rFonts w:ascii="Arial Narrow" w:hAnsi="Arial Narrow" w:cs="Times New Roman"/>
                <w:b/>
              </w:rPr>
            </w:pPr>
            <w:r w:rsidRPr="00BD5A95">
              <w:rPr>
                <w:rFonts w:ascii="Arial Narrow" w:hAnsi="Arial Narrow" w:cs="Times New Roman"/>
                <w:b/>
              </w:rPr>
              <w:t>2020</w:t>
            </w:r>
          </w:p>
        </w:tc>
      </w:tr>
      <w:tr w:rsidR="008B53F1" w:rsidRPr="00BD5A95" w14:paraId="45967A98" w14:textId="77777777" w:rsidTr="00EB6884">
        <w:tc>
          <w:tcPr>
            <w:tcW w:w="804" w:type="pct"/>
          </w:tcPr>
          <w:p w14:paraId="5BBC5292" w14:textId="77777777" w:rsidR="008B53F1" w:rsidRPr="00BD5A95" w:rsidRDefault="008B53F1" w:rsidP="00BD5A95">
            <w:pPr>
              <w:keepNext/>
              <w:rPr>
                <w:rFonts w:ascii="Arial Narrow" w:hAnsi="Arial Narrow" w:cs="Times New Roman"/>
                <w:sz w:val="20"/>
              </w:rPr>
            </w:pPr>
            <w:r w:rsidRPr="00BD5A95">
              <w:rPr>
                <w:rFonts w:ascii="Arial Narrow" w:hAnsi="Arial Narrow" w:cs="Times New Roman"/>
                <w:sz w:val="20"/>
              </w:rPr>
              <w:t>42738</w:t>
            </w:r>
          </w:p>
        </w:tc>
        <w:tc>
          <w:tcPr>
            <w:tcW w:w="840" w:type="pct"/>
          </w:tcPr>
          <w:p w14:paraId="62B893DD"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384,124</w:t>
            </w:r>
          </w:p>
        </w:tc>
        <w:tc>
          <w:tcPr>
            <w:tcW w:w="840" w:type="pct"/>
          </w:tcPr>
          <w:p w14:paraId="5E0D638B"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429,405</w:t>
            </w:r>
          </w:p>
        </w:tc>
        <w:tc>
          <w:tcPr>
            <w:tcW w:w="839" w:type="pct"/>
          </w:tcPr>
          <w:p w14:paraId="42B0B8AB"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475,786</w:t>
            </w:r>
          </w:p>
        </w:tc>
        <w:tc>
          <w:tcPr>
            <w:tcW w:w="839" w:type="pct"/>
          </w:tcPr>
          <w:p w14:paraId="10A9448D"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515,448</w:t>
            </w:r>
          </w:p>
        </w:tc>
        <w:tc>
          <w:tcPr>
            <w:tcW w:w="838" w:type="pct"/>
          </w:tcPr>
          <w:p w14:paraId="48B79330"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554,891</w:t>
            </w:r>
          </w:p>
        </w:tc>
      </w:tr>
      <w:tr w:rsidR="008B53F1" w:rsidRPr="00BD5A95" w14:paraId="49486D21" w14:textId="77777777" w:rsidTr="00EB6884">
        <w:tc>
          <w:tcPr>
            <w:tcW w:w="804" w:type="pct"/>
          </w:tcPr>
          <w:p w14:paraId="38E9F11C" w14:textId="77777777" w:rsidR="008B53F1" w:rsidRPr="00BD5A95" w:rsidRDefault="008B53F1" w:rsidP="00BD5A95">
            <w:pPr>
              <w:keepNext/>
              <w:rPr>
                <w:rFonts w:ascii="Arial Narrow" w:hAnsi="Arial Narrow" w:cs="Times New Roman"/>
                <w:sz w:val="20"/>
              </w:rPr>
            </w:pPr>
            <w:r w:rsidRPr="00BD5A95">
              <w:rPr>
                <w:rFonts w:ascii="Arial Narrow" w:hAnsi="Arial Narrow" w:cs="Times New Roman"/>
                <w:sz w:val="20"/>
              </w:rPr>
              <w:t>42739</w:t>
            </w:r>
          </w:p>
        </w:tc>
        <w:tc>
          <w:tcPr>
            <w:tcW w:w="840" w:type="pct"/>
          </w:tcPr>
          <w:p w14:paraId="01D39B7D"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9,245</w:t>
            </w:r>
          </w:p>
        </w:tc>
        <w:tc>
          <w:tcPr>
            <w:tcW w:w="840" w:type="pct"/>
          </w:tcPr>
          <w:p w14:paraId="2E00B57F"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9,036</w:t>
            </w:r>
          </w:p>
        </w:tc>
        <w:tc>
          <w:tcPr>
            <w:tcW w:w="839" w:type="pct"/>
          </w:tcPr>
          <w:p w14:paraId="6C3F8D9F"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9,141</w:t>
            </w:r>
          </w:p>
        </w:tc>
        <w:tc>
          <w:tcPr>
            <w:tcW w:w="839" w:type="pct"/>
          </w:tcPr>
          <w:p w14:paraId="5D28FE5A"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9,600</w:t>
            </w:r>
          </w:p>
        </w:tc>
        <w:tc>
          <w:tcPr>
            <w:tcW w:w="838" w:type="pct"/>
          </w:tcPr>
          <w:p w14:paraId="08B2AAA0"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9,044</w:t>
            </w:r>
          </w:p>
        </w:tc>
      </w:tr>
      <w:tr w:rsidR="008B53F1" w:rsidRPr="00BD5A95" w14:paraId="014F7073" w14:textId="77777777" w:rsidTr="00EB6884">
        <w:tc>
          <w:tcPr>
            <w:tcW w:w="804" w:type="pct"/>
          </w:tcPr>
          <w:p w14:paraId="7A8F5CE2" w14:textId="77777777" w:rsidR="008B53F1" w:rsidRPr="00BD5A95" w:rsidRDefault="008B53F1" w:rsidP="00BD5A95">
            <w:pPr>
              <w:keepNext/>
              <w:rPr>
                <w:rFonts w:ascii="Arial Narrow" w:hAnsi="Arial Narrow" w:cs="Times New Roman"/>
                <w:sz w:val="20"/>
              </w:rPr>
            </w:pPr>
            <w:r w:rsidRPr="00BD5A95">
              <w:rPr>
                <w:rFonts w:ascii="Arial Narrow" w:hAnsi="Arial Narrow" w:cs="Times New Roman"/>
                <w:sz w:val="20"/>
              </w:rPr>
              <w:t>42740</w:t>
            </w:r>
          </w:p>
        </w:tc>
        <w:tc>
          <w:tcPr>
            <w:tcW w:w="840" w:type="pct"/>
          </w:tcPr>
          <w:p w14:paraId="68EB3865"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15,074</w:t>
            </w:r>
          </w:p>
        </w:tc>
        <w:tc>
          <w:tcPr>
            <w:tcW w:w="840" w:type="pct"/>
          </w:tcPr>
          <w:p w14:paraId="22DF62EB"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15,846</w:t>
            </w:r>
          </w:p>
        </w:tc>
        <w:tc>
          <w:tcPr>
            <w:tcW w:w="839" w:type="pct"/>
          </w:tcPr>
          <w:p w14:paraId="6EE29E3F"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13,606</w:t>
            </w:r>
          </w:p>
        </w:tc>
        <w:tc>
          <w:tcPr>
            <w:tcW w:w="839" w:type="pct"/>
          </w:tcPr>
          <w:p w14:paraId="06DDBEAB"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14,223</w:t>
            </w:r>
          </w:p>
        </w:tc>
        <w:tc>
          <w:tcPr>
            <w:tcW w:w="838" w:type="pct"/>
          </w:tcPr>
          <w:p w14:paraId="03E84944" w14:textId="77777777" w:rsidR="008B53F1" w:rsidRPr="00BD5A95" w:rsidRDefault="008B53F1" w:rsidP="00EB6884">
            <w:pPr>
              <w:jc w:val="center"/>
              <w:rPr>
                <w:rFonts w:ascii="Arial Narrow" w:hAnsi="Arial Narrow" w:cs="Times New Roman"/>
                <w:sz w:val="20"/>
              </w:rPr>
            </w:pPr>
            <w:r w:rsidRPr="00BD5A95">
              <w:rPr>
                <w:rFonts w:ascii="Arial Narrow" w:hAnsi="Arial Narrow" w:cs="Times New Roman"/>
                <w:sz w:val="20"/>
              </w:rPr>
              <w:t>13,743</w:t>
            </w:r>
          </w:p>
        </w:tc>
      </w:tr>
      <w:tr w:rsidR="008B53F1" w:rsidRPr="00BD5A95" w14:paraId="4140A711" w14:textId="77777777" w:rsidTr="00EB6884">
        <w:tc>
          <w:tcPr>
            <w:tcW w:w="804" w:type="pct"/>
          </w:tcPr>
          <w:p w14:paraId="5F99AED6" w14:textId="77777777" w:rsidR="008B53F1" w:rsidRPr="00BD5A95" w:rsidRDefault="008B53F1" w:rsidP="00EB6884">
            <w:pPr>
              <w:rPr>
                <w:rFonts w:ascii="Arial Narrow" w:hAnsi="Arial Narrow" w:cs="Times New Roman"/>
                <w:b/>
                <w:bCs/>
                <w:sz w:val="20"/>
              </w:rPr>
            </w:pPr>
            <w:r w:rsidRPr="00BD5A95">
              <w:rPr>
                <w:rFonts w:ascii="Arial Narrow" w:hAnsi="Arial Narrow" w:cs="Times New Roman"/>
                <w:b/>
                <w:bCs/>
                <w:sz w:val="20"/>
              </w:rPr>
              <w:t>Total</w:t>
            </w:r>
          </w:p>
        </w:tc>
        <w:tc>
          <w:tcPr>
            <w:tcW w:w="840" w:type="pct"/>
          </w:tcPr>
          <w:p w14:paraId="25D53763" w14:textId="77777777" w:rsidR="008B53F1" w:rsidRPr="00BD5A95" w:rsidRDefault="008B53F1" w:rsidP="00EB6884">
            <w:pPr>
              <w:jc w:val="center"/>
              <w:rPr>
                <w:rFonts w:ascii="Arial Narrow" w:hAnsi="Arial Narrow" w:cs="Times New Roman"/>
                <w:b/>
                <w:bCs/>
                <w:sz w:val="20"/>
              </w:rPr>
            </w:pPr>
            <w:r w:rsidRPr="00BD5A95">
              <w:rPr>
                <w:rFonts w:ascii="Arial Narrow" w:hAnsi="Arial Narrow" w:cs="Times New Roman"/>
                <w:b/>
                <w:bCs/>
                <w:sz w:val="20"/>
              </w:rPr>
              <w:t>408,443</w:t>
            </w:r>
          </w:p>
        </w:tc>
        <w:tc>
          <w:tcPr>
            <w:tcW w:w="840" w:type="pct"/>
          </w:tcPr>
          <w:p w14:paraId="7FBAA8A1" w14:textId="77777777" w:rsidR="008B53F1" w:rsidRPr="00BD5A95" w:rsidRDefault="008B53F1" w:rsidP="00EB6884">
            <w:pPr>
              <w:jc w:val="center"/>
              <w:rPr>
                <w:rFonts w:ascii="Arial Narrow" w:hAnsi="Arial Narrow" w:cs="Times New Roman"/>
                <w:b/>
                <w:bCs/>
                <w:sz w:val="20"/>
              </w:rPr>
            </w:pPr>
            <w:r w:rsidRPr="00BD5A95">
              <w:rPr>
                <w:rFonts w:ascii="Arial Narrow" w:hAnsi="Arial Narrow" w:cs="Times New Roman"/>
                <w:b/>
                <w:bCs/>
                <w:sz w:val="20"/>
              </w:rPr>
              <w:t>454,287</w:t>
            </w:r>
          </w:p>
        </w:tc>
        <w:tc>
          <w:tcPr>
            <w:tcW w:w="839" w:type="pct"/>
          </w:tcPr>
          <w:p w14:paraId="36E41642" w14:textId="77777777" w:rsidR="008B53F1" w:rsidRPr="00BD5A95" w:rsidRDefault="008B53F1" w:rsidP="00EB6884">
            <w:pPr>
              <w:jc w:val="center"/>
              <w:rPr>
                <w:rFonts w:ascii="Arial Narrow" w:hAnsi="Arial Narrow" w:cs="Times New Roman"/>
                <w:b/>
                <w:bCs/>
                <w:sz w:val="20"/>
              </w:rPr>
            </w:pPr>
            <w:r w:rsidRPr="00BD5A95">
              <w:rPr>
                <w:rFonts w:ascii="Arial Narrow" w:hAnsi="Arial Narrow" w:cs="Times New Roman"/>
                <w:b/>
                <w:bCs/>
                <w:sz w:val="20"/>
              </w:rPr>
              <w:t>498,533</w:t>
            </w:r>
          </w:p>
        </w:tc>
        <w:tc>
          <w:tcPr>
            <w:tcW w:w="839" w:type="pct"/>
          </w:tcPr>
          <w:p w14:paraId="6736BFDC" w14:textId="77777777" w:rsidR="008B53F1" w:rsidRPr="00BD5A95" w:rsidRDefault="008B53F1" w:rsidP="00EB6884">
            <w:pPr>
              <w:jc w:val="center"/>
              <w:rPr>
                <w:rFonts w:ascii="Arial Narrow" w:hAnsi="Arial Narrow" w:cs="Times New Roman"/>
                <w:b/>
                <w:bCs/>
                <w:sz w:val="20"/>
              </w:rPr>
            </w:pPr>
            <w:r w:rsidRPr="00BD5A95">
              <w:rPr>
                <w:rFonts w:ascii="Arial Narrow" w:hAnsi="Arial Narrow" w:cs="Times New Roman"/>
                <w:b/>
                <w:bCs/>
                <w:sz w:val="20"/>
              </w:rPr>
              <w:t>539,271</w:t>
            </w:r>
          </w:p>
        </w:tc>
        <w:tc>
          <w:tcPr>
            <w:tcW w:w="838" w:type="pct"/>
          </w:tcPr>
          <w:p w14:paraId="3A6B4B9D" w14:textId="77777777" w:rsidR="008B53F1" w:rsidRPr="00BD5A95" w:rsidRDefault="008B53F1" w:rsidP="00EB6884">
            <w:pPr>
              <w:jc w:val="center"/>
              <w:rPr>
                <w:rFonts w:ascii="Arial Narrow" w:hAnsi="Arial Narrow" w:cs="Times New Roman"/>
                <w:b/>
                <w:bCs/>
                <w:sz w:val="20"/>
              </w:rPr>
            </w:pPr>
            <w:r w:rsidRPr="00BD5A95">
              <w:rPr>
                <w:rFonts w:ascii="Arial Narrow" w:hAnsi="Arial Narrow" w:cs="Times New Roman"/>
                <w:b/>
                <w:bCs/>
                <w:sz w:val="20"/>
              </w:rPr>
              <w:t>577,678</w:t>
            </w:r>
          </w:p>
        </w:tc>
      </w:tr>
    </w:tbl>
    <w:p w14:paraId="1770FF65" w14:textId="10DF4426" w:rsidR="005A085E" w:rsidRDefault="005A085E" w:rsidP="006508EF">
      <w:pPr>
        <w:spacing w:before="240" w:after="240"/>
      </w:pPr>
      <w:r w:rsidRPr="008C7F34">
        <w:lastRenderedPageBreak/>
        <w:fldChar w:fldCharType="begin"/>
      </w:r>
      <w:r w:rsidRPr="008C7F34">
        <w:instrText xml:space="preserve"> REF _Ref75448061 \h  \* MERGEFORMAT </w:instrText>
      </w:r>
      <w:r w:rsidRPr="008C7F34">
        <w:fldChar w:fldCharType="separate"/>
      </w:r>
      <w:r w:rsidRPr="007462CB">
        <w:t xml:space="preserve">Table </w:t>
      </w:r>
      <w:r w:rsidR="00BD5A95">
        <w:t>2</w:t>
      </w:r>
      <w:r>
        <w:t>.2</w:t>
      </w:r>
      <w:r w:rsidRPr="008C7F34">
        <w:fldChar w:fldCharType="end"/>
      </w:r>
      <w:r>
        <w:t xml:space="preserve"> presents market utilisation of anti-VEGF therapy specific to </w:t>
      </w:r>
      <w:proofErr w:type="spellStart"/>
      <w:r>
        <w:t>nAMD</w:t>
      </w:r>
      <w:proofErr w:type="spellEnd"/>
      <w:r>
        <w:t>.</w:t>
      </w:r>
    </w:p>
    <w:p w14:paraId="65027BA3" w14:textId="384BB97B" w:rsidR="005A085E" w:rsidRPr="00BD5A95" w:rsidRDefault="005A085E" w:rsidP="00BD5A95">
      <w:pPr>
        <w:pStyle w:val="Caption"/>
        <w:rPr>
          <w:rFonts w:cs="Times New Roman"/>
        </w:rPr>
      </w:pPr>
      <w:bookmarkStart w:id="13" w:name="_Ref75448061"/>
      <w:bookmarkStart w:id="14" w:name="_Toc86743005"/>
      <w:r w:rsidRPr="00BD5A95">
        <w:rPr>
          <w:rFonts w:cs="Times New Roman"/>
        </w:rPr>
        <w:t xml:space="preserve">Table </w:t>
      </w:r>
      <w:r w:rsidR="003A43D3" w:rsidRPr="00BD5A95">
        <w:rPr>
          <w:rFonts w:cs="Times New Roman"/>
        </w:rPr>
        <w:t>2</w:t>
      </w:r>
      <w:r w:rsidRPr="00BD5A95">
        <w:rPr>
          <w:rFonts w:cs="Times New Roman"/>
        </w:rPr>
        <w:t>.</w:t>
      </w:r>
      <w:r w:rsidRPr="00BD5A95">
        <w:rPr>
          <w:rFonts w:cs="Times New Roman"/>
        </w:rPr>
        <w:fldChar w:fldCharType="begin"/>
      </w:r>
      <w:r w:rsidRPr="00BD5A95">
        <w:rPr>
          <w:rFonts w:cs="Times New Roman"/>
        </w:rPr>
        <w:instrText xml:space="preserve"> SEQ Table \* ARABIC \s 1 </w:instrText>
      </w:r>
      <w:r w:rsidRPr="00BD5A95">
        <w:rPr>
          <w:rFonts w:cs="Times New Roman"/>
        </w:rPr>
        <w:fldChar w:fldCharType="separate"/>
      </w:r>
      <w:r w:rsidRPr="00BD5A95">
        <w:rPr>
          <w:rFonts w:cs="Times New Roman"/>
          <w:noProof/>
        </w:rPr>
        <w:t>2</w:t>
      </w:r>
      <w:r w:rsidRPr="00BD5A95">
        <w:rPr>
          <w:rFonts w:cs="Times New Roman"/>
        </w:rPr>
        <w:fldChar w:fldCharType="end"/>
      </w:r>
      <w:bookmarkEnd w:id="13"/>
      <w:r w:rsidR="00BD5A95" w:rsidRPr="00BD5A95">
        <w:rPr>
          <w:rFonts w:cs="Times New Roman"/>
        </w:rPr>
        <w:t>:</w:t>
      </w:r>
      <w:r w:rsidRPr="00BD5A95">
        <w:rPr>
          <w:rFonts w:cs="Times New Roman"/>
        </w:rPr>
        <w:t xml:space="preserve"> </w:t>
      </w:r>
      <w:proofErr w:type="spellStart"/>
      <w:r w:rsidRPr="00BD5A95">
        <w:rPr>
          <w:rFonts w:cs="Times New Roman"/>
        </w:rPr>
        <w:t>nAMD</w:t>
      </w:r>
      <w:proofErr w:type="spellEnd"/>
      <w:r w:rsidRPr="00BD5A95">
        <w:rPr>
          <w:rFonts w:cs="Times New Roman"/>
        </w:rPr>
        <w:t xml:space="preserve"> PBS-listed therapy utilisation</w:t>
      </w:r>
      <w:bookmarkEnd w:id="14"/>
    </w:p>
    <w:tbl>
      <w:tblPr>
        <w:tblStyle w:val="TableGrid"/>
        <w:tblW w:w="5000" w:type="pct"/>
        <w:tblLook w:val="04A0" w:firstRow="1" w:lastRow="0" w:firstColumn="1" w:lastColumn="0" w:noHBand="0" w:noVBand="1"/>
        <w:tblDescription w:val=": nAMD PBS-listed therapy utilisation"/>
      </w:tblPr>
      <w:tblGrid>
        <w:gridCol w:w="3398"/>
        <w:gridCol w:w="1134"/>
        <w:gridCol w:w="1134"/>
        <w:gridCol w:w="1134"/>
        <w:gridCol w:w="1132"/>
        <w:gridCol w:w="1084"/>
      </w:tblGrid>
      <w:tr w:rsidR="00BD5A95" w:rsidRPr="00BD5A95" w14:paraId="0F59FD9A" w14:textId="77777777" w:rsidTr="00BD5A95">
        <w:tc>
          <w:tcPr>
            <w:tcW w:w="1884" w:type="pct"/>
            <w:shd w:val="clear" w:color="auto" w:fill="auto"/>
          </w:tcPr>
          <w:p w14:paraId="2B4E1407" w14:textId="77777777" w:rsidR="005A085E" w:rsidRPr="00BD5A95" w:rsidRDefault="005A085E" w:rsidP="00BD5A95">
            <w:pPr>
              <w:pStyle w:val="TableText1"/>
              <w:keepNext/>
              <w:spacing w:before="0" w:after="0"/>
              <w:rPr>
                <w:rFonts w:ascii="Arial Narrow" w:hAnsi="Arial Narrow" w:cs="Times New Roman"/>
                <w:b/>
              </w:rPr>
            </w:pPr>
            <w:r w:rsidRPr="00BD5A95">
              <w:rPr>
                <w:rFonts w:ascii="Arial Narrow" w:hAnsi="Arial Narrow" w:cs="Times New Roman"/>
                <w:b/>
              </w:rPr>
              <w:t>Product</w:t>
            </w:r>
          </w:p>
        </w:tc>
        <w:tc>
          <w:tcPr>
            <w:tcW w:w="629" w:type="pct"/>
            <w:tcBorders>
              <w:bottom w:val="single" w:sz="4" w:space="0" w:color="auto"/>
            </w:tcBorders>
            <w:shd w:val="clear" w:color="auto" w:fill="auto"/>
          </w:tcPr>
          <w:p w14:paraId="6D631506"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2016</w:t>
            </w:r>
          </w:p>
        </w:tc>
        <w:tc>
          <w:tcPr>
            <w:tcW w:w="629" w:type="pct"/>
            <w:tcBorders>
              <w:bottom w:val="single" w:sz="4" w:space="0" w:color="auto"/>
            </w:tcBorders>
            <w:shd w:val="clear" w:color="auto" w:fill="auto"/>
          </w:tcPr>
          <w:p w14:paraId="0D2A8822"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2017</w:t>
            </w:r>
          </w:p>
        </w:tc>
        <w:tc>
          <w:tcPr>
            <w:tcW w:w="629" w:type="pct"/>
            <w:tcBorders>
              <w:bottom w:val="single" w:sz="4" w:space="0" w:color="auto"/>
            </w:tcBorders>
            <w:shd w:val="clear" w:color="auto" w:fill="auto"/>
          </w:tcPr>
          <w:p w14:paraId="33B54B0E"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2018</w:t>
            </w:r>
          </w:p>
        </w:tc>
        <w:tc>
          <w:tcPr>
            <w:tcW w:w="628" w:type="pct"/>
            <w:tcBorders>
              <w:bottom w:val="single" w:sz="4" w:space="0" w:color="auto"/>
            </w:tcBorders>
            <w:shd w:val="clear" w:color="auto" w:fill="auto"/>
          </w:tcPr>
          <w:p w14:paraId="4D0D3599"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2019</w:t>
            </w:r>
          </w:p>
        </w:tc>
        <w:tc>
          <w:tcPr>
            <w:tcW w:w="601" w:type="pct"/>
            <w:tcBorders>
              <w:bottom w:val="single" w:sz="4" w:space="0" w:color="auto"/>
            </w:tcBorders>
            <w:shd w:val="clear" w:color="auto" w:fill="auto"/>
          </w:tcPr>
          <w:p w14:paraId="0ECDFC70"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2020</w:t>
            </w:r>
          </w:p>
        </w:tc>
      </w:tr>
      <w:tr w:rsidR="005A085E" w:rsidRPr="00BD5A95" w14:paraId="5C3590B1" w14:textId="77777777" w:rsidTr="00BD5A95">
        <w:tc>
          <w:tcPr>
            <w:tcW w:w="1884" w:type="pct"/>
            <w:tcBorders>
              <w:right w:val="single" w:sz="4" w:space="0" w:color="auto"/>
            </w:tcBorders>
          </w:tcPr>
          <w:p w14:paraId="0A62B72B" w14:textId="77777777" w:rsidR="005A085E" w:rsidRPr="00BD5A95" w:rsidRDefault="005A085E" w:rsidP="00BD5A95">
            <w:pPr>
              <w:pStyle w:val="TableText1"/>
              <w:keepNext/>
              <w:rPr>
                <w:rFonts w:ascii="Arial Narrow" w:hAnsi="Arial Narrow" w:cs="Times New Roman"/>
              </w:rPr>
            </w:pPr>
            <w:r w:rsidRPr="00BD5A95">
              <w:rPr>
                <w:rFonts w:ascii="Arial Narrow" w:hAnsi="Arial Narrow" w:cs="Times New Roman"/>
              </w:rPr>
              <w:t>Lucentis</w:t>
            </w:r>
            <w:r w:rsidRPr="00BD5A95">
              <w:rPr>
                <w:rFonts w:ascii="Arial Narrow" w:hAnsi="Arial Narrow" w:cs="Times New Roman"/>
                <w:vertAlign w:val="superscript"/>
              </w:rPr>
              <w:t>®</w:t>
            </w:r>
            <w:r w:rsidRPr="00BD5A95">
              <w:rPr>
                <w:rFonts w:ascii="Arial Narrow" w:hAnsi="Arial Narrow" w:cs="Times New Roman"/>
              </w:rPr>
              <w:t xml:space="preserve"> (ranibizumab)</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819A545"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134,197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AE607D4"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133,145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5C73FF5"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132,253</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7ED8215"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141,566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DA41E92"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152,673</w:t>
            </w:r>
          </w:p>
        </w:tc>
      </w:tr>
      <w:tr w:rsidR="005A085E" w:rsidRPr="00BD5A95" w14:paraId="1B41E77A" w14:textId="77777777" w:rsidTr="00BD5A95">
        <w:tc>
          <w:tcPr>
            <w:tcW w:w="1884" w:type="pct"/>
            <w:tcBorders>
              <w:right w:val="single" w:sz="4" w:space="0" w:color="auto"/>
            </w:tcBorders>
          </w:tcPr>
          <w:p w14:paraId="0DFCC559" w14:textId="77777777" w:rsidR="005A085E" w:rsidRPr="00BD5A95" w:rsidRDefault="005A085E" w:rsidP="00BD5A95">
            <w:pPr>
              <w:pStyle w:val="TableText1"/>
              <w:keepNext/>
              <w:rPr>
                <w:rFonts w:ascii="Arial Narrow" w:hAnsi="Arial Narrow" w:cs="Times New Roman"/>
              </w:rPr>
            </w:pPr>
            <w:r w:rsidRPr="00BD5A95">
              <w:rPr>
                <w:rFonts w:ascii="Arial Narrow" w:hAnsi="Arial Narrow" w:cs="Times New Roman"/>
              </w:rPr>
              <w:t>Eylea</w:t>
            </w:r>
            <w:r w:rsidRPr="00BD5A95">
              <w:rPr>
                <w:rFonts w:ascii="Arial Narrow" w:hAnsi="Arial Narrow" w:cs="Times New Roman"/>
                <w:vertAlign w:val="superscript"/>
              </w:rPr>
              <w:t>®</w:t>
            </w:r>
            <w:r w:rsidRPr="00BD5A95">
              <w:rPr>
                <w:rFonts w:ascii="Arial Narrow" w:hAnsi="Arial Narrow" w:cs="Times New Roman"/>
              </w:rPr>
              <w:t xml:space="preserve"> (aflibercept)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52BA227"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140,125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65F87C32"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169,630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8C175B1"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189,955</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0CCAD85"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216,170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7296CDB" w14:textId="77777777" w:rsidR="005A085E" w:rsidRPr="00BD5A95" w:rsidRDefault="005A085E" w:rsidP="00EB6884">
            <w:pPr>
              <w:pStyle w:val="TableText1"/>
              <w:jc w:val="center"/>
              <w:rPr>
                <w:rFonts w:ascii="Arial Narrow" w:hAnsi="Arial Narrow" w:cs="Times New Roman"/>
              </w:rPr>
            </w:pPr>
            <w:r w:rsidRPr="00BD5A95">
              <w:rPr>
                <w:rFonts w:ascii="Arial Narrow" w:hAnsi="Arial Narrow" w:cs="Times New Roman"/>
              </w:rPr>
              <w:t>244,301</w:t>
            </w:r>
          </w:p>
        </w:tc>
      </w:tr>
      <w:tr w:rsidR="005A085E" w:rsidRPr="00BD5A95" w14:paraId="56CFC7CF" w14:textId="77777777" w:rsidTr="00BD5A95">
        <w:tc>
          <w:tcPr>
            <w:tcW w:w="1884" w:type="pct"/>
            <w:tcBorders>
              <w:right w:val="single" w:sz="4" w:space="0" w:color="auto"/>
            </w:tcBorders>
          </w:tcPr>
          <w:p w14:paraId="4A59F110" w14:textId="77777777" w:rsidR="005A085E" w:rsidRPr="00BD5A95" w:rsidRDefault="005A085E" w:rsidP="002D226B">
            <w:pPr>
              <w:pStyle w:val="TableText1"/>
              <w:keepNext/>
              <w:rPr>
                <w:rFonts w:ascii="Arial Narrow" w:hAnsi="Arial Narrow" w:cs="Times New Roman"/>
                <w:b/>
              </w:rPr>
            </w:pPr>
            <w:r w:rsidRPr="00BD5A95">
              <w:rPr>
                <w:rFonts w:ascii="Arial Narrow" w:hAnsi="Arial Narrow" w:cs="Times New Roman"/>
                <w:b/>
              </w:rPr>
              <w:t>Total utilisation</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781C00F" w14:textId="77777777" w:rsidR="005A085E" w:rsidRPr="00BD5A95" w:rsidRDefault="005A085E" w:rsidP="00EB6884">
            <w:pPr>
              <w:pStyle w:val="TableText1"/>
              <w:jc w:val="center"/>
              <w:rPr>
                <w:rFonts w:ascii="Arial Narrow" w:hAnsi="Arial Narrow" w:cs="Times New Roman"/>
                <w:b/>
              </w:rPr>
            </w:pPr>
            <w:r w:rsidRPr="00BD5A95">
              <w:rPr>
                <w:rFonts w:ascii="Arial Narrow" w:hAnsi="Arial Narrow" w:cs="Times New Roman"/>
                <w:b/>
              </w:rPr>
              <w:t>274,322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7B20A11" w14:textId="77777777" w:rsidR="005A085E" w:rsidRPr="00BD5A95" w:rsidRDefault="005A085E" w:rsidP="00EB6884">
            <w:pPr>
              <w:pStyle w:val="TableText1"/>
              <w:jc w:val="center"/>
              <w:rPr>
                <w:rFonts w:ascii="Arial Narrow" w:hAnsi="Arial Narrow" w:cs="Times New Roman"/>
                <w:b/>
              </w:rPr>
            </w:pPr>
            <w:r w:rsidRPr="00BD5A95">
              <w:rPr>
                <w:rFonts w:ascii="Arial Narrow" w:hAnsi="Arial Narrow" w:cs="Times New Roman"/>
                <w:b/>
              </w:rPr>
              <w:t>302,775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14390984" w14:textId="77777777" w:rsidR="005A085E" w:rsidRPr="00BD5A95" w:rsidRDefault="005A085E" w:rsidP="00EB6884">
            <w:pPr>
              <w:pStyle w:val="TableText1"/>
              <w:jc w:val="center"/>
              <w:rPr>
                <w:rFonts w:ascii="Arial Narrow" w:hAnsi="Arial Narrow" w:cs="Times New Roman"/>
                <w:b/>
              </w:rPr>
            </w:pPr>
            <w:r w:rsidRPr="00BD5A95">
              <w:rPr>
                <w:rFonts w:ascii="Arial Narrow" w:hAnsi="Arial Narrow" w:cs="Times New Roman"/>
                <w:b/>
              </w:rPr>
              <w:t>322,207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B2ED089" w14:textId="77777777" w:rsidR="005A085E" w:rsidRPr="00BD5A95" w:rsidRDefault="005A085E" w:rsidP="00EB6884">
            <w:pPr>
              <w:pStyle w:val="TableText1"/>
              <w:jc w:val="center"/>
              <w:rPr>
                <w:rFonts w:ascii="Arial Narrow" w:hAnsi="Arial Narrow" w:cs="Times New Roman"/>
                <w:b/>
              </w:rPr>
            </w:pPr>
            <w:r w:rsidRPr="00BD5A95">
              <w:rPr>
                <w:rFonts w:ascii="Arial Narrow" w:hAnsi="Arial Narrow" w:cs="Times New Roman"/>
                <w:b/>
              </w:rPr>
              <w:t>357,736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E0311D3" w14:textId="77777777" w:rsidR="005A085E" w:rsidRPr="00BD5A95" w:rsidRDefault="005A085E" w:rsidP="00EB6884">
            <w:pPr>
              <w:pStyle w:val="TableText1"/>
              <w:jc w:val="center"/>
              <w:rPr>
                <w:rFonts w:ascii="Arial Narrow" w:hAnsi="Arial Narrow" w:cs="Times New Roman"/>
                <w:b/>
              </w:rPr>
            </w:pPr>
            <w:r w:rsidRPr="00BD5A95">
              <w:rPr>
                <w:rFonts w:ascii="Arial Narrow" w:hAnsi="Arial Narrow" w:cs="Times New Roman"/>
                <w:b/>
              </w:rPr>
              <w:t>396,974</w:t>
            </w:r>
          </w:p>
        </w:tc>
      </w:tr>
    </w:tbl>
    <w:p w14:paraId="7C312949" w14:textId="77777777" w:rsidR="005A085E" w:rsidRPr="00BD5A95" w:rsidRDefault="005A085E" w:rsidP="005A085E">
      <w:pPr>
        <w:pStyle w:val="SourceNotes"/>
        <w:rPr>
          <w:rFonts w:ascii="Arial Narrow" w:hAnsi="Arial Narrow" w:cs="Times New Roman"/>
        </w:rPr>
      </w:pPr>
      <w:r w:rsidRPr="00BD5A95">
        <w:rPr>
          <w:rFonts w:ascii="Arial Narrow" w:hAnsi="Arial Narrow" w:cs="Times New Roman"/>
        </w:rPr>
        <w:t>Source:</w:t>
      </w:r>
      <w:r w:rsidRPr="00BD5A95">
        <w:rPr>
          <w:rFonts w:ascii="Arial Narrow" w:hAnsi="Arial Narrow" w:cs="Times New Roman"/>
        </w:rPr>
        <w:tab/>
        <w:t>MBS+PHI budget impact.xlsx, spreadsheet ‘Projected growth’.</w:t>
      </w:r>
    </w:p>
    <w:p w14:paraId="652DCDD1" w14:textId="28C1FADE" w:rsidR="005A085E" w:rsidRDefault="005A085E" w:rsidP="006508EF">
      <w:pPr>
        <w:spacing w:before="240"/>
        <w:rPr>
          <w:szCs w:val="24"/>
        </w:rPr>
      </w:pPr>
      <w:r w:rsidRPr="00E92E52">
        <w:rPr>
          <w:szCs w:val="24"/>
        </w:rPr>
        <w:fldChar w:fldCharType="begin"/>
      </w:r>
      <w:r w:rsidRPr="00E92E52">
        <w:rPr>
          <w:szCs w:val="24"/>
        </w:rPr>
        <w:instrText xml:space="preserve"> REF _Ref75448372 \h  \* MERGEFORMAT </w:instrText>
      </w:r>
      <w:r w:rsidRPr="00E92E52">
        <w:rPr>
          <w:szCs w:val="24"/>
        </w:rPr>
      </w:r>
      <w:r w:rsidRPr="00E92E52">
        <w:rPr>
          <w:szCs w:val="24"/>
        </w:rPr>
        <w:fldChar w:fldCharType="separate"/>
      </w:r>
      <w:r w:rsidRPr="00E92E52">
        <w:rPr>
          <w:szCs w:val="24"/>
        </w:rPr>
        <w:t xml:space="preserve">Table </w:t>
      </w:r>
      <w:r w:rsidR="003A43D3">
        <w:rPr>
          <w:szCs w:val="24"/>
        </w:rPr>
        <w:t>2</w:t>
      </w:r>
      <w:r w:rsidR="00E92E52">
        <w:rPr>
          <w:szCs w:val="24"/>
        </w:rPr>
        <w:t>.</w:t>
      </w:r>
      <w:r w:rsidRPr="00E92E52">
        <w:rPr>
          <w:szCs w:val="24"/>
        </w:rPr>
        <w:t>3</w:t>
      </w:r>
      <w:r w:rsidRPr="00E92E52">
        <w:rPr>
          <w:szCs w:val="24"/>
        </w:rPr>
        <w:fldChar w:fldCharType="end"/>
      </w:r>
      <w:r w:rsidRPr="00E92E52">
        <w:rPr>
          <w:szCs w:val="24"/>
        </w:rPr>
        <w:t xml:space="preserve"> </w:t>
      </w:r>
      <w:r w:rsidR="008E4ED0">
        <w:rPr>
          <w:szCs w:val="24"/>
        </w:rPr>
        <w:t>provides</w:t>
      </w:r>
      <w:r w:rsidR="008E4ED0" w:rsidRPr="00E92E52">
        <w:rPr>
          <w:szCs w:val="24"/>
        </w:rPr>
        <w:t xml:space="preserve"> </w:t>
      </w:r>
      <w:r w:rsidRPr="00E92E52">
        <w:rPr>
          <w:szCs w:val="24"/>
        </w:rPr>
        <w:t xml:space="preserve">a forward estimate of market utilisation of anti-VEGF therapy specific to </w:t>
      </w:r>
      <w:proofErr w:type="spellStart"/>
      <w:r w:rsidRPr="00E92E52">
        <w:rPr>
          <w:szCs w:val="24"/>
        </w:rPr>
        <w:t>nAMD</w:t>
      </w:r>
      <w:proofErr w:type="spellEnd"/>
      <w:r w:rsidRPr="00E92E52">
        <w:rPr>
          <w:szCs w:val="24"/>
        </w:rPr>
        <w:t>; a linear extrapolation of the preceding 5 years informed this estimate.</w:t>
      </w:r>
    </w:p>
    <w:p w14:paraId="293DBBC5" w14:textId="58A971DC" w:rsidR="005A085E" w:rsidRPr="00BD5A95" w:rsidRDefault="005A085E" w:rsidP="006508EF">
      <w:pPr>
        <w:pStyle w:val="Caption"/>
        <w:spacing w:before="240"/>
        <w:rPr>
          <w:rFonts w:cs="Times New Roman"/>
        </w:rPr>
      </w:pPr>
      <w:bookmarkStart w:id="15" w:name="_Ref75448372"/>
      <w:bookmarkStart w:id="16" w:name="_Toc86743006"/>
      <w:r w:rsidRPr="00BD5A95">
        <w:rPr>
          <w:rFonts w:cs="Times New Roman"/>
        </w:rPr>
        <w:t>Table</w:t>
      </w:r>
      <w:r w:rsidR="00E92E52" w:rsidRPr="00BD5A95">
        <w:rPr>
          <w:rFonts w:cs="Times New Roman"/>
        </w:rPr>
        <w:t xml:space="preserve"> </w:t>
      </w:r>
      <w:r w:rsidR="003A43D3" w:rsidRPr="00BD5A95">
        <w:rPr>
          <w:rFonts w:cs="Times New Roman"/>
        </w:rPr>
        <w:t>2</w:t>
      </w:r>
      <w:r w:rsidR="00E92E52" w:rsidRPr="00BD5A95">
        <w:rPr>
          <w:rFonts w:cs="Times New Roman"/>
        </w:rPr>
        <w:t>.</w:t>
      </w:r>
      <w:r w:rsidRPr="00BD5A95">
        <w:rPr>
          <w:rFonts w:cs="Times New Roman"/>
        </w:rPr>
        <w:fldChar w:fldCharType="begin"/>
      </w:r>
      <w:r w:rsidRPr="00BD5A95">
        <w:rPr>
          <w:rFonts w:cs="Times New Roman"/>
        </w:rPr>
        <w:instrText xml:space="preserve"> SEQ Table \* ARABIC \s 1 </w:instrText>
      </w:r>
      <w:r w:rsidRPr="00BD5A95">
        <w:rPr>
          <w:rFonts w:cs="Times New Roman"/>
        </w:rPr>
        <w:fldChar w:fldCharType="separate"/>
      </w:r>
      <w:r w:rsidRPr="00BD5A95">
        <w:rPr>
          <w:rFonts w:cs="Times New Roman"/>
          <w:noProof/>
        </w:rPr>
        <w:t>3</w:t>
      </w:r>
      <w:r w:rsidRPr="00BD5A95">
        <w:rPr>
          <w:rFonts w:cs="Times New Roman"/>
        </w:rPr>
        <w:fldChar w:fldCharType="end"/>
      </w:r>
      <w:bookmarkEnd w:id="15"/>
      <w:r w:rsidR="00BD5A95" w:rsidRPr="00BD5A95">
        <w:rPr>
          <w:rFonts w:cs="Times New Roman"/>
        </w:rPr>
        <w:t>:</w:t>
      </w:r>
      <w:r w:rsidR="00E92E52" w:rsidRPr="00BD5A95">
        <w:rPr>
          <w:rFonts w:cs="Times New Roman"/>
        </w:rPr>
        <w:t xml:space="preserve"> </w:t>
      </w:r>
      <w:r w:rsidRPr="00BD5A95">
        <w:rPr>
          <w:rFonts w:cs="Times New Roman"/>
        </w:rPr>
        <w:t xml:space="preserve">Forecasted </w:t>
      </w:r>
      <w:proofErr w:type="spellStart"/>
      <w:r w:rsidRPr="00BD5A95">
        <w:rPr>
          <w:rFonts w:cs="Times New Roman"/>
        </w:rPr>
        <w:t>nAMD</w:t>
      </w:r>
      <w:proofErr w:type="spellEnd"/>
      <w:r w:rsidRPr="00BD5A95">
        <w:rPr>
          <w:rFonts w:cs="Times New Roman"/>
        </w:rPr>
        <w:t xml:space="preserve"> PBS-listed therapy utilisation</w:t>
      </w:r>
      <w:bookmarkEnd w:id="16"/>
    </w:p>
    <w:tbl>
      <w:tblPr>
        <w:tblStyle w:val="TableGrid"/>
        <w:tblW w:w="5000" w:type="pct"/>
        <w:tblLook w:val="04A0" w:firstRow="1" w:lastRow="0" w:firstColumn="1" w:lastColumn="0" w:noHBand="0" w:noVBand="1"/>
        <w:tblDescription w:val="Forecasted nAMD PBS-listed therapy utilisation"/>
      </w:tblPr>
      <w:tblGrid>
        <w:gridCol w:w="2264"/>
        <w:gridCol w:w="1134"/>
        <w:gridCol w:w="1134"/>
        <w:gridCol w:w="1134"/>
        <w:gridCol w:w="1134"/>
        <w:gridCol w:w="1132"/>
        <w:gridCol w:w="1084"/>
      </w:tblGrid>
      <w:tr w:rsidR="00BD5A95" w:rsidRPr="00BD5A95" w14:paraId="1C6057A0" w14:textId="77777777" w:rsidTr="00BD5A95">
        <w:tc>
          <w:tcPr>
            <w:tcW w:w="1255" w:type="pct"/>
            <w:tcBorders>
              <w:bottom w:val="single" w:sz="4" w:space="0" w:color="auto"/>
            </w:tcBorders>
            <w:shd w:val="clear" w:color="auto" w:fill="auto"/>
          </w:tcPr>
          <w:p w14:paraId="40593D2C" w14:textId="77777777" w:rsidR="00BD5A95" w:rsidRPr="00BD5A95" w:rsidRDefault="00BD5A95" w:rsidP="002D226B">
            <w:pPr>
              <w:pStyle w:val="TableText1"/>
              <w:keepNext/>
              <w:spacing w:before="0" w:after="0"/>
              <w:rPr>
                <w:rFonts w:ascii="Arial Narrow" w:hAnsi="Arial Narrow" w:cs="Times New Roman"/>
                <w:b/>
              </w:rPr>
            </w:pPr>
          </w:p>
        </w:tc>
        <w:tc>
          <w:tcPr>
            <w:tcW w:w="629" w:type="pct"/>
            <w:tcBorders>
              <w:bottom w:val="single" w:sz="4" w:space="0" w:color="auto"/>
            </w:tcBorders>
            <w:shd w:val="clear" w:color="auto" w:fill="auto"/>
          </w:tcPr>
          <w:p w14:paraId="3A8C9B33" w14:textId="19DCD602"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2022</w:t>
            </w:r>
          </w:p>
        </w:tc>
        <w:tc>
          <w:tcPr>
            <w:tcW w:w="629" w:type="pct"/>
            <w:tcBorders>
              <w:bottom w:val="single" w:sz="4" w:space="0" w:color="auto"/>
            </w:tcBorders>
            <w:shd w:val="clear" w:color="auto" w:fill="auto"/>
          </w:tcPr>
          <w:p w14:paraId="3F2AC1AE" w14:textId="77777777"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2023</w:t>
            </w:r>
          </w:p>
        </w:tc>
        <w:tc>
          <w:tcPr>
            <w:tcW w:w="629" w:type="pct"/>
            <w:tcBorders>
              <w:bottom w:val="single" w:sz="4" w:space="0" w:color="auto"/>
            </w:tcBorders>
            <w:shd w:val="clear" w:color="auto" w:fill="auto"/>
          </w:tcPr>
          <w:p w14:paraId="6654F4FE" w14:textId="77777777"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2024</w:t>
            </w:r>
          </w:p>
        </w:tc>
        <w:tc>
          <w:tcPr>
            <w:tcW w:w="629" w:type="pct"/>
            <w:tcBorders>
              <w:bottom w:val="single" w:sz="4" w:space="0" w:color="auto"/>
            </w:tcBorders>
            <w:shd w:val="clear" w:color="auto" w:fill="auto"/>
          </w:tcPr>
          <w:p w14:paraId="6447AABC" w14:textId="77777777"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2025</w:t>
            </w:r>
          </w:p>
        </w:tc>
        <w:tc>
          <w:tcPr>
            <w:tcW w:w="628" w:type="pct"/>
            <w:tcBorders>
              <w:bottom w:val="single" w:sz="4" w:space="0" w:color="auto"/>
            </w:tcBorders>
            <w:shd w:val="clear" w:color="auto" w:fill="auto"/>
          </w:tcPr>
          <w:p w14:paraId="2C6DCECE" w14:textId="77777777"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2026</w:t>
            </w:r>
          </w:p>
        </w:tc>
        <w:tc>
          <w:tcPr>
            <w:tcW w:w="601" w:type="pct"/>
            <w:tcBorders>
              <w:bottom w:val="single" w:sz="4" w:space="0" w:color="auto"/>
            </w:tcBorders>
            <w:shd w:val="clear" w:color="auto" w:fill="auto"/>
          </w:tcPr>
          <w:p w14:paraId="0BA38CE1" w14:textId="77777777" w:rsidR="00BD5A95" w:rsidRPr="00BD5A95" w:rsidRDefault="00BD5A95" w:rsidP="00EB6884">
            <w:pPr>
              <w:pStyle w:val="TableText1"/>
              <w:spacing w:before="0" w:after="0"/>
              <w:jc w:val="center"/>
              <w:rPr>
                <w:rFonts w:ascii="Arial Narrow" w:hAnsi="Arial Narrow" w:cs="Times New Roman"/>
                <w:b/>
              </w:rPr>
            </w:pPr>
            <w:r w:rsidRPr="00BD5A95">
              <w:rPr>
                <w:rFonts w:ascii="Arial Narrow" w:hAnsi="Arial Narrow" w:cs="Times New Roman"/>
                <w:b/>
              </w:rPr>
              <w:t>2027</w:t>
            </w:r>
          </w:p>
        </w:tc>
      </w:tr>
      <w:tr w:rsidR="00BD5A95" w:rsidRPr="00BD5A95" w14:paraId="45458BBD" w14:textId="77777777" w:rsidTr="00BD5A95">
        <w:tc>
          <w:tcPr>
            <w:tcW w:w="1255" w:type="pct"/>
            <w:tcBorders>
              <w:top w:val="single" w:sz="4" w:space="0" w:color="auto"/>
              <w:left w:val="single" w:sz="4" w:space="0" w:color="auto"/>
              <w:bottom w:val="single" w:sz="4" w:space="0" w:color="auto"/>
              <w:right w:val="single" w:sz="4" w:space="0" w:color="auto"/>
            </w:tcBorders>
            <w:shd w:val="clear" w:color="auto" w:fill="auto"/>
          </w:tcPr>
          <w:p w14:paraId="370E5E55" w14:textId="77777777" w:rsidR="00BD5A95" w:rsidRPr="00966670" w:rsidRDefault="00BD5A95" w:rsidP="002D226B">
            <w:pPr>
              <w:keepNext/>
              <w:rPr>
                <w:rFonts w:ascii="Arial Narrow" w:hAnsi="Arial Narrow" w:cs="Times New Roman"/>
                <w:bCs/>
                <w:sz w:val="20"/>
              </w:rPr>
            </w:pPr>
            <w:r w:rsidRPr="00966670">
              <w:rPr>
                <w:rFonts w:ascii="Arial Narrow" w:hAnsi="Arial Narrow" w:cs="Times New Roman"/>
                <w:bCs/>
                <w:sz w:val="20"/>
              </w:rPr>
              <w:t>Total utilisation</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D45A81D" w14:textId="00A38448" w:rsidR="00BD5A95" w:rsidRPr="00966670" w:rsidRDefault="003511C3" w:rsidP="00EB6884">
            <w:pPr>
              <w:jc w:val="center"/>
              <w:rPr>
                <w:rFonts w:ascii="Arial Narrow" w:hAnsi="Arial Narrow" w:cs="Times New Roman"/>
                <w:bCs/>
                <w:sz w:val="20"/>
                <w:vertAlign w:val="superscript"/>
              </w:rPr>
            </w:pPr>
            <w:r w:rsidRPr="003511C3">
              <w:rPr>
                <w:rFonts w:ascii="Arial Narrow" w:hAnsi="Arial Narrow" w:cs="Times New Roman" w:hint="eastAsia"/>
                <w:color w:val="000000"/>
                <w:w w:val="31"/>
                <w:sz w:val="20"/>
                <w:shd w:val="solid" w:color="000000" w:fill="000000"/>
                <w:fitText w:val="140" w:id="-1490359552"/>
                <w14:textFill>
                  <w14:solidFill>
                    <w14:srgbClr w14:val="000000">
                      <w14:alpha w14:val="100000"/>
                    </w14:srgbClr>
                  </w14:solidFill>
                </w14:textFill>
              </w:rPr>
              <w:t xml:space="preserve">　</w:t>
            </w:r>
            <w:proofErr w:type="gramStart"/>
            <w:r w:rsidRPr="003511C3">
              <w:rPr>
                <w:rFonts w:ascii="Arial Narrow" w:hAnsi="Arial Narrow" w:cs="Times New Roman"/>
                <w:color w:val="000000"/>
                <w:w w:val="31"/>
                <w:sz w:val="20"/>
                <w:shd w:val="solid" w:color="000000" w:fill="000000"/>
                <w:fitText w:val="140" w:id="-1490359552"/>
                <w14:textFill>
                  <w14:solidFill>
                    <w14:srgbClr w14:val="000000">
                      <w14:alpha w14:val="100000"/>
                    </w14:srgbClr>
                  </w14:solidFill>
                </w14:textFill>
              </w:rPr>
              <w:t>|</w:t>
            </w:r>
            <w:r w:rsidRPr="003511C3">
              <w:rPr>
                <w:rFonts w:ascii="Arial Narrow" w:hAnsi="Arial Narrow" w:cs="Times New Roman" w:hint="eastAsia"/>
                <w:color w:val="000000"/>
                <w:spacing w:val="4"/>
                <w:w w:val="31"/>
                <w:sz w:val="20"/>
                <w:shd w:val="solid" w:color="000000" w:fill="000000"/>
                <w:fitText w:val="140" w:id="-1490359552"/>
                <w14:textFill>
                  <w14:solidFill>
                    <w14:srgbClr w14:val="000000">
                      <w14:alpha w14:val="100000"/>
                    </w14:srgbClr>
                  </w14:solidFill>
                </w14:textFill>
              </w:rPr>
              <w:t xml:space="preserve">　</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1</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44F3415" w14:textId="483F5C58" w:rsidR="00BD5A95" w:rsidRPr="00966670" w:rsidRDefault="003511C3" w:rsidP="00EB6884">
            <w:pPr>
              <w:jc w:val="center"/>
              <w:rPr>
                <w:rFonts w:ascii="Arial Narrow" w:hAnsi="Arial Narrow" w:cs="Times New Roman"/>
                <w:bCs/>
                <w:sz w:val="20"/>
              </w:rPr>
            </w:pPr>
            <w:r w:rsidRPr="003511C3">
              <w:rPr>
                <w:rFonts w:ascii="Arial Narrow" w:hAnsi="Arial Narrow" w:cs="Times New Roman" w:hint="eastAsia"/>
                <w:color w:val="000000"/>
                <w:w w:val="31"/>
                <w:sz w:val="20"/>
                <w:shd w:val="solid" w:color="000000" w:fill="000000"/>
                <w:fitText w:val="140" w:id="-1490359551"/>
                <w14:textFill>
                  <w14:solidFill>
                    <w14:srgbClr w14:val="000000">
                      <w14:alpha w14:val="100000"/>
                    </w14:srgbClr>
                  </w14:solidFill>
                </w14:textFill>
              </w:rPr>
              <w:t xml:space="preserve">　</w:t>
            </w:r>
            <w:proofErr w:type="gramStart"/>
            <w:r w:rsidRPr="003511C3">
              <w:rPr>
                <w:rFonts w:ascii="Arial Narrow" w:hAnsi="Arial Narrow" w:cs="Times New Roman"/>
                <w:color w:val="000000"/>
                <w:w w:val="31"/>
                <w:sz w:val="20"/>
                <w:shd w:val="solid" w:color="000000" w:fill="000000"/>
                <w:fitText w:val="140" w:id="-1490359551"/>
                <w14:textFill>
                  <w14:solidFill>
                    <w14:srgbClr w14:val="000000">
                      <w14:alpha w14:val="100000"/>
                    </w14:srgbClr>
                  </w14:solidFill>
                </w14:textFill>
              </w:rPr>
              <w:t>|</w:t>
            </w:r>
            <w:r w:rsidRPr="003511C3">
              <w:rPr>
                <w:rFonts w:ascii="Arial Narrow" w:hAnsi="Arial Narrow" w:cs="Times New Roman" w:hint="eastAsia"/>
                <w:color w:val="000000"/>
                <w:spacing w:val="4"/>
                <w:w w:val="31"/>
                <w:sz w:val="20"/>
                <w:shd w:val="solid" w:color="000000" w:fill="000000"/>
                <w:fitText w:val="140" w:id="-1490359551"/>
                <w14:textFill>
                  <w14:solidFill>
                    <w14:srgbClr w14:val="000000">
                      <w14:alpha w14:val="100000"/>
                    </w14:srgbClr>
                  </w14:solidFill>
                </w14:textFill>
              </w:rPr>
              <w:t xml:space="preserve">　</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1</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D8DD169" w14:textId="65422415" w:rsidR="00BD5A95" w:rsidRPr="00966670" w:rsidRDefault="003511C3" w:rsidP="00EB6884">
            <w:pPr>
              <w:jc w:val="center"/>
              <w:rPr>
                <w:rFonts w:ascii="Arial Narrow" w:hAnsi="Arial Narrow" w:cs="Times New Roman"/>
                <w:bCs/>
                <w:sz w:val="20"/>
              </w:rPr>
            </w:pPr>
            <w:r w:rsidRPr="003511C3">
              <w:rPr>
                <w:rFonts w:ascii="Arial Narrow" w:hAnsi="Arial Narrow" w:cs="Times New Roman" w:hint="eastAsia"/>
                <w:color w:val="000000"/>
                <w:w w:val="31"/>
                <w:sz w:val="20"/>
                <w:shd w:val="solid" w:color="000000" w:fill="000000"/>
                <w:fitText w:val="140" w:id="-1490359550"/>
                <w14:textFill>
                  <w14:solidFill>
                    <w14:srgbClr w14:val="000000">
                      <w14:alpha w14:val="100000"/>
                    </w14:srgbClr>
                  </w14:solidFill>
                </w14:textFill>
              </w:rPr>
              <w:t xml:space="preserve">　</w:t>
            </w:r>
            <w:proofErr w:type="gramStart"/>
            <w:r w:rsidRPr="003511C3">
              <w:rPr>
                <w:rFonts w:ascii="Arial Narrow" w:hAnsi="Arial Narrow" w:cs="Times New Roman"/>
                <w:color w:val="000000"/>
                <w:w w:val="31"/>
                <w:sz w:val="20"/>
                <w:shd w:val="solid" w:color="000000" w:fill="000000"/>
                <w:fitText w:val="140" w:id="-1490359550"/>
                <w14:textFill>
                  <w14:solidFill>
                    <w14:srgbClr w14:val="000000">
                      <w14:alpha w14:val="100000"/>
                    </w14:srgbClr>
                  </w14:solidFill>
                </w14:textFill>
              </w:rPr>
              <w:t>|</w:t>
            </w:r>
            <w:r w:rsidRPr="003511C3">
              <w:rPr>
                <w:rFonts w:ascii="Arial Narrow" w:hAnsi="Arial Narrow" w:cs="Times New Roman" w:hint="eastAsia"/>
                <w:color w:val="000000"/>
                <w:spacing w:val="4"/>
                <w:w w:val="31"/>
                <w:sz w:val="20"/>
                <w:shd w:val="solid" w:color="000000" w:fill="000000"/>
                <w:fitText w:val="140" w:id="-1490359550"/>
                <w14:textFill>
                  <w14:solidFill>
                    <w14:srgbClr w14:val="000000">
                      <w14:alpha w14:val="100000"/>
                    </w14:srgbClr>
                  </w14:solidFill>
                </w14:textFill>
              </w:rPr>
              <w:t xml:space="preserve">　</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2</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4A7836F" w14:textId="0AB13EE0" w:rsidR="00BD5A95" w:rsidRPr="00966670" w:rsidRDefault="003511C3" w:rsidP="00EB6884">
            <w:pPr>
              <w:jc w:val="center"/>
              <w:rPr>
                <w:rFonts w:ascii="Arial Narrow" w:hAnsi="Arial Narrow" w:cs="Times New Roman"/>
                <w:bCs/>
                <w:sz w:val="20"/>
              </w:rPr>
            </w:pPr>
            <w:r w:rsidRPr="003511C3">
              <w:rPr>
                <w:rFonts w:ascii="Arial Narrow" w:hAnsi="Arial Narrow" w:cs="Times New Roman" w:hint="eastAsia"/>
                <w:color w:val="000000"/>
                <w:w w:val="31"/>
                <w:sz w:val="20"/>
                <w:shd w:val="solid" w:color="000000" w:fill="000000"/>
                <w:fitText w:val="140" w:id="-1490359549"/>
                <w14:textFill>
                  <w14:solidFill>
                    <w14:srgbClr w14:val="000000">
                      <w14:alpha w14:val="100000"/>
                    </w14:srgbClr>
                  </w14:solidFill>
                </w14:textFill>
              </w:rPr>
              <w:t xml:space="preserve">　</w:t>
            </w:r>
            <w:proofErr w:type="gramStart"/>
            <w:r w:rsidRPr="003511C3">
              <w:rPr>
                <w:rFonts w:ascii="Arial Narrow" w:hAnsi="Arial Narrow" w:cs="Times New Roman"/>
                <w:color w:val="000000"/>
                <w:w w:val="31"/>
                <w:sz w:val="20"/>
                <w:shd w:val="solid" w:color="000000" w:fill="000000"/>
                <w:fitText w:val="140" w:id="-1490359549"/>
                <w14:textFill>
                  <w14:solidFill>
                    <w14:srgbClr w14:val="000000">
                      <w14:alpha w14:val="100000"/>
                    </w14:srgbClr>
                  </w14:solidFill>
                </w14:textFill>
              </w:rPr>
              <w:t>|</w:t>
            </w:r>
            <w:r w:rsidRPr="003511C3">
              <w:rPr>
                <w:rFonts w:ascii="Arial Narrow" w:hAnsi="Arial Narrow" w:cs="Times New Roman" w:hint="eastAsia"/>
                <w:color w:val="000000"/>
                <w:spacing w:val="4"/>
                <w:w w:val="31"/>
                <w:sz w:val="20"/>
                <w:shd w:val="solid" w:color="000000" w:fill="000000"/>
                <w:fitText w:val="140" w:id="-1490359549"/>
                <w14:textFill>
                  <w14:solidFill>
                    <w14:srgbClr w14:val="000000">
                      <w14:alpha w14:val="100000"/>
                    </w14:srgbClr>
                  </w14:solidFill>
                </w14:textFill>
              </w:rPr>
              <w:t xml:space="preserve">　</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2</w:t>
            </w:r>
            <w:proofErr w:type="gramEnd"/>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96A0E71" w14:textId="452BA085" w:rsidR="00BD5A95" w:rsidRPr="00966670" w:rsidRDefault="003511C3" w:rsidP="00EB6884">
            <w:pPr>
              <w:jc w:val="center"/>
              <w:rPr>
                <w:rFonts w:ascii="Arial Narrow" w:hAnsi="Arial Narrow" w:cs="Times New Roman"/>
                <w:bCs/>
                <w:sz w:val="20"/>
              </w:rPr>
            </w:pPr>
            <w:r w:rsidRPr="003511C3">
              <w:rPr>
                <w:rFonts w:ascii="Arial Narrow" w:hAnsi="Arial Narrow" w:cs="Times New Roman" w:hint="eastAsia"/>
                <w:color w:val="000000"/>
                <w:w w:val="29"/>
                <w:sz w:val="20"/>
                <w:shd w:val="solid" w:color="000000" w:fill="000000"/>
                <w:fitText w:val="130" w:id="-1490359548"/>
                <w14:textFill>
                  <w14:solidFill>
                    <w14:srgbClr w14:val="000000">
                      <w14:alpha w14:val="100000"/>
                    </w14:srgbClr>
                  </w14:solidFill>
                </w14:textFill>
              </w:rPr>
              <w:t xml:space="preserve">　</w:t>
            </w:r>
            <w:proofErr w:type="gramStart"/>
            <w:r w:rsidRPr="003511C3">
              <w:rPr>
                <w:rFonts w:ascii="Arial Narrow" w:hAnsi="Arial Narrow" w:cs="Times New Roman"/>
                <w:color w:val="000000"/>
                <w:w w:val="29"/>
                <w:sz w:val="20"/>
                <w:shd w:val="solid" w:color="000000" w:fill="000000"/>
                <w:fitText w:val="130" w:id="-1490359548"/>
                <w14:textFill>
                  <w14:solidFill>
                    <w14:srgbClr w14:val="000000">
                      <w14:alpha w14:val="100000"/>
                    </w14:srgbClr>
                  </w14:solidFill>
                </w14:textFill>
              </w:rPr>
              <w:t>|</w:t>
            </w:r>
            <w:r w:rsidRPr="003511C3">
              <w:rPr>
                <w:rFonts w:ascii="Arial Narrow" w:hAnsi="Arial Narrow" w:cs="Times New Roman" w:hint="eastAsia"/>
                <w:color w:val="000000"/>
                <w:spacing w:val="2"/>
                <w:w w:val="29"/>
                <w:sz w:val="20"/>
                <w:shd w:val="solid" w:color="000000" w:fill="000000"/>
                <w:fitText w:val="130" w:id="-1490359548"/>
                <w14:textFill>
                  <w14:solidFill>
                    <w14:srgbClr w14:val="000000">
                      <w14:alpha w14:val="100000"/>
                    </w14:srgbClr>
                  </w14:solidFill>
                </w14:textFill>
              </w:rPr>
              <w:t xml:space="preserve">　</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2</w:t>
            </w:r>
            <w:proofErr w:type="gramEnd"/>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4B8EC15" w14:textId="654FB924" w:rsidR="00BD5A95" w:rsidRPr="00966670" w:rsidRDefault="003511C3" w:rsidP="00EB6884">
            <w:pPr>
              <w:jc w:val="center"/>
              <w:rPr>
                <w:rFonts w:ascii="Arial Narrow" w:hAnsi="Arial Narrow" w:cs="Times New Roman"/>
                <w:bCs/>
                <w:sz w:val="20"/>
              </w:rPr>
            </w:pPr>
            <w:r w:rsidRPr="003511C3">
              <w:rPr>
                <w:rFonts w:ascii="Arial Narrow" w:hAnsi="Arial Narrow" w:cs="Times New Roman"/>
                <w:color w:val="000000"/>
                <w:spacing w:val="75"/>
                <w:sz w:val="20"/>
                <w:shd w:val="solid" w:color="000000" w:fill="000000"/>
                <w:fitText w:val="170" w:id="-1490359547"/>
                <w14:textFill>
                  <w14:solidFill>
                    <w14:srgbClr w14:val="000000">
                      <w14:alpha w14:val="100000"/>
                    </w14:srgbClr>
                  </w14:solidFill>
                </w14:textFill>
              </w:rPr>
              <w:t>|</w:t>
            </w:r>
            <w:r w:rsidRPr="003511C3">
              <w:rPr>
                <w:rFonts w:ascii="Arial Narrow" w:hAnsi="Arial Narrow" w:cs="Times New Roman"/>
                <w:color w:val="000000"/>
                <w:sz w:val="20"/>
                <w:shd w:val="solid" w:color="000000" w:fill="000000"/>
                <w:fitText w:val="170" w:id="-1490359547"/>
                <w14:textFill>
                  <w14:solidFill>
                    <w14:srgbClr w14:val="000000">
                      <w14:alpha w14:val="100000"/>
                    </w14:srgbClr>
                  </w14:solidFill>
                </w14:textFill>
              </w:rPr>
              <w:t>|</w:t>
            </w:r>
            <w:r w:rsidR="001779F5" w:rsidRPr="00966670">
              <w:rPr>
                <w:rFonts w:ascii="Arial Narrow" w:hAnsi="Arial Narrow" w:cs="Times New Roman"/>
                <w:color w:val="000000"/>
                <w:sz w:val="20"/>
              </w:rPr>
              <w:t xml:space="preserve"> </w:t>
            </w:r>
            <w:r w:rsidR="001779F5" w:rsidRPr="00966670">
              <w:rPr>
                <w:rFonts w:ascii="Arial Narrow" w:hAnsi="Arial Narrow" w:cs="Times New Roman"/>
                <w:color w:val="000000"/>
                <w:sz w:val="20"/>
                <w:vertAlign w:val="superscript"/>
              </w:rPr>
              <w:t>2</w:t>
            </w:r>
          </w:p>
        </w:tc>
      </w:tr>
    </w:tbl>
    <w:p w14:paraId="180EAEA6" w14:textId="13FD109B" w:rsidR="005A085E" w:rsidRDefault="005A085E" w:rsidP="00137BD2">
      <w:pPr>
        <w:pStyle w:val="SourceNotes"/>
        <w:keepNext/>
        <w:rPr>
          <w:rFonts w:ascii="Arial Narrow" w:hAnsi="Arial Narrow"/>
        </w:rPr>
      </w:pPr>
      <w:r w:rsidRPr="00BD5A95">
        <w:rPr>
          <w:rFonts w:ascii="Arial Narrow" w:hAnsi="Arial Narrow"/>
        </w:rPr>
        <w:t>Source:</w:t>
      </w:r>
      <w:r w:rsidRPr="00BD5A95">
        <w:rPr>
          <w:rFonts w:ascii="Arial Narrow" w:hAnsi="Arial Narrow"/>
        </w:rPr>
        <w:tab/>
        <w:t>MBS+PHI budget impact.xlsx, spreadsheet ‘Projected growth’.</w:t>
      </w:r>
    </w:p>
    <w:p w14:paraId="6E72BCBC" w14:textId="2D9836BC" w:rsidR="001779F5" w:rsidRDefault="001779F5" w:rsidP="00137BD2">
      <w:pPr>
        <w:pStyle w:val="Tablenotes1"/>
        <w:keepNext/>
      </w:pPr>
      <w:r w:rsidRPr="001779F5">
        <w:t>The redacted values correspond to the following ranges:</w:t>
      </w:r>
    </w:p>
    <w:p w14:paraId="43788BEF" w14:textId="3BFADD90" w:rsidR="00A54B83" w:rsidRDefault="00A54B83" w:rsidP="00137BD2">
      <w:pPr>
        <w:pStyle w:val="Tablenotes1"/>
        <w:keepNext/>
      </w:pPr>
      <w:r>
        <w:rPr>
          <w:vertAlign w:val="superscript"/>
        </w:rPr>
        <w:t xml:space="preserve">1 </w:t>
      </w:r>
      <w:r w:rsidRPr="00E03E99">
        <w:t>400,000 to &lt;500,000</w:t>
      </w:r>
    </w:p>
    <w:p w14:paraId="09A857E5" w14:textId="4207B015" w:rsidR="00A54B83" w:rsidRPr="00D76B47" w:rsidRDefault="00A54B83" w:rsidP="00E03E99">
      <w:pPr>
        <w:pStyle w:val="Tablenotes1"/>
      </w:pPr>
      <w:r>
        <w:rPr>
          <w:vertAlign w:val="superscript"/>
        </w:rPr>
        <w:t xml:space="preserve">2 </w:t>
      </w:r>
      <w:r w:rsidRPr="00A54B83">
        <w:t>500,000 to &lt;600,000</w:t>
      </w:r>
    </w:p>
    <w:p w14:paraId="1A0413C9" w14:textId="2D8F0956" w:rsidR="005A085E" w:rsidRDefault="005A085E" w:rsidP="006508EF">
      <w:pPr>
        <w:spacing w:before="240"/>
      </w:pPr>
      <w:r w:rsidRPr="00CD3027">
        <w:fldChar w:fldCharType="begin"/>
      </w:r>
      <w:r w:rsidRPr="00CD3027">
        <w:instrText xml:space="preserve"> REF _Ref85741771 \h </w:instrText>
      </w:r>
      <w:r>
        <w:instrText xml:space="preserve"> \* MERGEFORMAT </w:instrText>
      </w:r>
      <w:r w:rsidRPr="00CD3027">
        <w:fldChar w:fldCharType="separate"/>
      </w:r>
      <w:r w:rsidRPr="007462CB">
        <w:t xml:space="preserve">Table </w:t>
      </w:r>
      <w:r w:rsidR="003A43D3">
        <w:t>2</w:t>
      </w:r>
      <w:r w:rsidR="00E92E52">
        <w:t>.</w:t>
      </w:r>
      <w:r>
        <w:t>4</w:t>
      </w:r>
      <w:r w:rsidRPr="00CD3027">
        <w:fldChar w:fldCharType="end"/>
      </w:r>
      <w:r w:rsidRPr="00CD3027">
        <w:t xml:space="preserve"> </w:t>
      </w:r>
      <w:r>
        <w:t xml:space="preserve">estimates the number of patients on </w:t>
      </w:r>
      <w:proofErr w:type="spellStart"/>
      <w:r w:rsidRPr="00CD3027">
        <w:t>nAMD</w:t>
      </w:r>
      <w:proofErr w:type="spellEnd"/>
      <w:r>
        <w:t xml:space="preserve"> therapy</w:t>
      </w:r>
      <w:r w:rsidRPr="00CD3027">
        <w:t xml:space="preserve">; </w:t>
      </w:r>
      <w:r>
        <w:t>this was estimated by dividing the projected market utilisation by the average number of injections per patient per year (i.e</w:t>
      </w:r>
      <w:r w:rsidR="00623993">
        <w:t>.,</w:t>
      </w:r>
      <w:r>
        <w:t xml:space="preserve"> 7.09). This was informed by an average number of </w:t>
      </w:r>
      <w:r w:rsidR="004E264B">
        <w:t xml:space="preserve">IVT </w:t>
      </w:r>
      <w:r>
        <w:t xml:space="preserve">injections per year estimate reported in the Drug Utilisation Sub-Committee Report </w:t>
      </w:r>
      <w:sdt>
        <w:sdtPr>
          <w:id w:val="1765407063"/>
          <w:citation/>
        </w:sdtPr>
        <w:sdtEndPr/>
        <w:sdtContent>
          <w:r>
            <w:fldChar w:fldCharType="begin"/>
          </w:r>
          <w:r>
            <w:instrText xml:space="preserve"> CITATION DUS18 \l 3081 </w:instrText>
          </w:r>
          <w:r>
            <w:fldChar w:fldCharType="separate"/>
          </w:r>
          <w:r>
            <w:rPr>
              <w:noProof/>
            </w:rPr>
            <w:t>(DUSC, 2018)</w:t>
          </w:r>
          <w:r>
            <w:fldChar w:fldCharType="end"/>
          </w:r>
        </w:sdtContent>
      </w:sdt>
      <w:r>
        <w:t>.</w:t>
      </w:r>
      <w:r w:rsidR="00F72515">
        <w:t xml:space="preserve"> This </w:t>
      </w:r>
      <w:r w:rsidR="005F699E">
        <w:t xml:space="preserve">utilisation </w:t>
      </w:r>
      <w:r w:rsidR="00F72515">
        <w:t xml:space="preserve">analysis was updated for consideration by PBAC, </w:t>
      </w:r>
      <w:r w:rsidR="005F699E">
        <w:t xml:space="preserve">with </w:t>
      </w:r>
      <w:r w:rsidR="00F72515">
        <w:t xml:space="preserve">the average number of </w:t>
      </w:r>
      <w:r w:rsidR="004E264B">
        <w:t xml:space="preserve">IVT </w:t>
      </w:r>
      <w:r w:rsidR="00F72515">
        <w:t>injections per patient per year</w:t>
      </w:r>
      <w:r w:rsidR="005F699E">
        <w:t xml:space="preserve"> reduced to 6.31. </w:t>
      </w:r>
      <w:r w:rsidR="004E264B">
        <w:t>Given the acceptance of this updated estimate by the applicant and PBAC, the f</w:t>
      </w:r>
      <w:r w:rsidR="005F699E">
        <w:t xml:space="preserve">ollowing </w:t>
      </w:r>
      <w:r w:rsidR="004E264B">
        <w:t xml:space="preserve">calculations are indicative only and would need to be </w:t>
      </w:r>
      <w:r w:rsidR="005F699E">
        <w:t>updated</w:t>
      </w:r>
      <w:r w:rsidR="00F72515">
        <w:t>.</w:t>
      </w:r>
    </w:p>
    <w:p w14:paraId="2977BD9E" w14:textId="493DE5E6" w:rsidR="005A085E" w:rsidRPr="00BD5A95" w:rsidRDefault="005A085E" w:rsidP="006508EF">
      <w:pPr>
        <w:pStyle w:val="Caption"/>
        <w:spacing w:before="240"/>
        <w:rPr>
          <w:rFonts w:cs="Times New Roman"/>
        </w:rPr>
      </w:pPr>
      <w:bookmarkStart w:id="17" w:name="_Ref85741771"/>
      <w:bookmarkStart w:id="18" w:name="_Toc86743007"/>
      <w:r w:rsidRPr="00BD5A95">
        <w:rPr>
          <w:rFonts w:cs="Times New Roman"/>
        </w:rPr>
        <w:t xml:space="preserve">Table </w:t>
      </w:r>
      <w:r w:rsidR="003A43D3" w:rsidRPr="00BD5A95">
        <w:rPr>
          <w:rFonts w:cs="Times New Roman"/>
        </w:rPr>
        <w:t>2</w:t>
      </w:r>
      <w:r w:rsidR="00E92E52" w:rsidRPr="00BD5A95">
        <w:rPr>
          <w:rFonts w:cs="Times New Roman"/>
        </w:rPr>
        <w:t>.</w:t>
      </w:r>
      <w:r w:rsidRPr="00BD5A95">
        <w:rPr>
          <w:rFonts w:cs="Times New Roman"/>
        </w:rPr>
        <w:fldChar w:fldCharType="begin"/>
      </w:r>
      <w:r w:rsidRPr="00BD5A95">
        <w:rPr>
          <w:rFonts w:cs="Times New Roman"/>
        </w:rPr>
        <w:instrText xml:space="preserve"> SEQ Table \* ARABIC \s 1 </w:instrText>
      </w:r>
      <w:r w:rsidRPr="00BD5A95">
        <w:rPr>
          <w:rFonts w:cs="Times New Roman"/>
        </w:rPr>
        <w:fldChar w:fldCharType="separate"/>
      </w:r>
      <w:r w:rsidRPr="00BD5A95">
        <w:rPr>
          <w:rFonts w:cs="Times New Roman"/>
          <w:noProof/>
        </w:rPr>
        <w:t>4</w:t>
      </w:r>
      <w:r w:rsidRPr="00BD5A95">
        <w:rPr>
          <w:rFonts w:cs="Times New Roman"/>
        </w:rPr>
        <w:fldChar w:fldCharType="end"/>
      </w:r>
      <w:bookmarkEnd w:id="17"/>
      <w:r w:rsidR="00BD5A95" w:rsidRPr="00BD5A95">
        <w:rPr>
          <w:rFonts w:cs="Times New Roman"/>
        </w:rPr>
        <w:t>:</w:t>
      </w:r>
      <w:r w:rsidR="00E92E52" w:rsidRPr="00BD5A95">
        <w:rPr>
          <w:rFonts w:cs="Times New Roman"/>
        </w:rPr>
        <w:t xml:space="preserve"> </w:t>
      </w:r>
      <w:r w:rsidRPr="00BD5A95">
        <w:rPr>
          <w:rFonts w:cs="Times New Roman"/>
        </w:rPr>
        <w:t xml:space="preserve">Forecasted patients with </w:t>
      </w:r>
      <w:proofErr w:type="spellStart"/>
      <w:r w:rsidRPr="00BD5A95">
        <w:rPr>
          <w:rFonts w:cs="Times New Roman"/>
        </w:rPr>
        <w:t>nAMD</w:t>
      </w:r>
      <w:bookmarkEnd w:id="18"/>
      <w:proofErr w:type="spellEnd"/>
    </w:p>
    <w:tbl>
      <w:tblPr>
        <w:tblStyle w:val="TableGrid"/>
        <w:tblW w:w="5000" w:type="pct"/>
        <w:tblLook w:val="04A0" w:firstRow="1" w:lastRow="0" w:firstColumn="1" w:lastColumn="0" w:noHBand="0" w:noVBand="1"/>
        <w:tblDescription w:val="Forecasted patients with nAMD"/>
      </w:tblPr>
      <w:tblGrid>
        <w:gridCol w:w="2264"/>
        <w:gridCol w:w="1134"/>
        <w:gridCol w:w="1134"/>
        <w:gridCol w:w="1134"/>
        <w:gridCol w:w="1134"/>
        <w:gridCol w:w="1134"/>
        <w:gridCol w:w="1082"/>
      </w:tblGrid>
      <w:tr w:rsidR="00BD5A95" w:rsidRPr="00BD5A95" w14:paraId="20F5F42E" w14:textId="77777777" w:rsidTr="00BD5A95">
        <w:tc>
          <w:tcPr>
            <w:tcW w:w="1255" w:type="pct"/>
            <w:tcBorders>
              <w:bottom w:val="single" w:sz="4" w:space="0" w:color="auto"/>
            </w:tcBorders>
            <w:shd w:val="clear" w:color="auto" w:fill="auto"/>
          </w:tcPr>
          <w:p w14:paraId="71B227B1" w14:textId="77777777" w:rsidR="005A085E" w:rsidRPr="00BD5A95" w:rsidRDefault="005A085E" w:rsidP="002D226B">
            <w:pPr>
              <w:pStyle w:val="TableText1"/>
              <w:keepNext/>
              <w:spacing w:before="0" w:after="0"/>
              <w:rPr>
                <w:rFonts w:ascii="Arial Narrow" w:hAnsi="Arial Narrow" w:cs="Times New Roman"/>
                <w:b/>
              </w:rPr>
            </w:pPr>
          </w:p>
        </w:tc>
        <w:tc>
          <w:tcPr>
            <w:tcW w:w="629" w:type="pct"/>
            <w:tcBorders>
              <w:bottom w:val="single" w:sz="4" w:space="0" w:color="auto"/>
            </w:tcBorders>
            <w:shd w:val="clear" w:color="auto" w:fill="auto"/>
            <w:vAlign w:val="center"/>
          </w:tcPr>
          <w:p w14:paraId="5AA9B493"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2022</w:t>
            </w:r>
          </w:p>
        </w:tc>
        <w:tc>
          <w:tcPr>
            <w:tcW w:w="629" w:type="pct"/>
            <w:tcBorders>
              <w:bottom w:val="single" w:sz="4" w:space="0" w:color="auto"/>
            </w:tcBorders>
            <w:shd w:val="clear" w:color="auto" w:fill="auto"/>
            <w:vAlign w:val="center"/>
          </w:tcPr>
          <w:p w14:paraId="3B814E3C"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2023</w:t>
            </w:r>
          </w:p>
        </w:tc>
        <w:tc>
          <w:tcPr>
            <w:tcW w:w="629" w:type="pct"/>
            <w:tcBorders>
              <w:bottom w:val="single" w:sz="4" w:space="0" w:color="auto"/>
            </w:tcBorders>
            <w:shd w:val="clear" w:color="auto" w:fill="auto"/>
            <w:vAlign w:val="center"/>
          </w:tcPr>
          <w:p w14:paraId="6AA31DAD"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2024</w:t>
            </w:r>
          </w:p>
        </w:tc>
        <w:tc>
          <w:tcPr>
            <w:tcW w:w="629" w:type="pct"/>
            <w:tcBorders>
              <w:bottom w:val="single" w:sz="4" w:space="0" w:color="auto"/>
            </w:tcBorders>
            <w:shd w:val="clear" w:color="auto" w:fill="auto"/>
            <w:vAlign w:val="center"/>
          </w:tcPr>
          <w:p w14:paraId="0EB65370"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2025</w:t>
            </w:r>
          </w:p>
        </w:tc>
        <w:tc>
          <w:tcPr>
            <w:tcW w:w="629" w:type="pct"/>
            <w:tcBorders>
              <w:bottom w:val="single" w:sz="4" w:space="0" w:color="auto"/>
            </w:tcBorders>
            <w:shd w:val="clear" w:color="auto" w:fill="auto"/>
            <w:vAlign w:val="center"/>
          </w:tcPr>
          <w:p w14:paraId="03AB9E26"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2026</w:t>
            </w:r>
          </w:p>
        </w:tc>
        <w:tc>
          <w:tcPr>
            <w:tcW w:w="600" w:type="pct"/>
            <w:tcBorders>
              <w:bottom w:val="single" w:sz="4" w:space="0" w:color="auto"/>
            </w:tcBorders>
            <w:shd w:val="clear" w:color="auto" w:fill="auto"/>
            <w:vAlign w:val="center"/>
          </w:tcPr>
          <w:p w14:paraId="69DEBC98" w14:textId="77777777" w:rsidR="005A085E" w:rsidRPr="00BD5A95" w:rsidRDefault="005A085E" w:rsidP="00EB6884">
            <w:pPr>
              <w:pStyle w:val="TableText1"/>
              <w:spacing w:before="0" w:after="0"/>
              <w:jc w:val="center"/>
              <w:rPr>
                <w:rFonts w:ascii="Arial Narrow" w:hAnsi="Arial Narrow" w:cs="Times New Roman"/>
                <w:b/>
              </w:rPr>
            </w:pPr>
            <w:r w:rsidRPr="00BD5A95">
              <w:rPr>
                <w:rFonts w:ascii="Arial Narrow" w:hAnsi="Arial Narrow" w:cs="Times New Roman"/>
                <w:b/>
              </w:rPr>
              <w:t>2027</w:t>
            </w:r>
          </w:p>
        </w:tc>
      </w:tr>
      <w:tr w:rsidR="005A085E" w:rsidRPr="00BD5A95" w14:paraId="7874E25A" w14:textId="77777777" w:rsidTr="00BD5A95">
        <w:tc>
          <w:tcPr>
            <w:tcW w:w="1255" w:type="pct"/>
            <w:tcBorders>
              <w:top w:val="single" w:sz="4" w:space="0" w:color="auto"/>
              <w:left w:val="single" w:sz="4" w:space="0" w:color="auto"/>
              <w:bottom w:val="single" w:sz="4" w:space="0" w:color="auto"/>
              <w:right w:val="single" w:sz="4" w:space="0" w:color="auto"/>
            </w:tcBorders>
          </w:tcPr>
          <w:p w14:paraId="16A53DD7" w14:textId="77777777" w:rsidR="005A085E" w:rsidRPr="00966670" w:rsidRDefault="005A085E" w:rsidP="002D226B">
            <w:pPr>
              <w:keepNext/>
              <w:rPr>
                <w:rFonts w:ascii="Arial Narrow" w:hAnsi="Arial Narrow" w:cs="Times New Roman"/>
                <w:bCs/>
                <w:sz w:val="20"/>
              </w:rPr>
            </w:pPr>
            <w:r w:rsidRPr="00966670">
              <w:rPr>
                <w:rFonts w:ascii="Arial Narrow" w:hAnsi="Arial Narrow" w:cs="Times New Roman"/>
                <w:bCs/>
                <w:sz w:val="20"/>
              </w:rPr>
              <w:t>Prevalent patient pool</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C420C43" w14:textId="48D6BF2D" w:rsidR="005A085E"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31"/>
                <w:sz w:val="20"/>
                <w:shd w:val="solid" w:color="000000" w:fill="000000"/>
                <w:fitText w:val="140" w:id="-1490359546"/>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31"/>
                <w:sz w:val="20"/>
                <w:shd w:val="solid" w:color="000000" w:fill="000000"/>
                <w:fitText w:val="140" w:id="-1490359546"/>
                <w14:textFill>
                  <w14:solidFill>
                    <w14:srgbClr w14:val="000000">
                      <w14:alpha w14:val="100000"/>
                    </w14:srgbClr>
                  </w14:solidFill>
                </w14:textFill>
              </w:rPr>
              <w:t>|</w:t>
            </w:r>
            <w:r w:rsidRPr="003511C3">
              <w:rPr>
                <w:rFonts w:ascii="Arial Narrow" w:hAnsi="Arial Narrow" w:cs="Times New Roman" w:hint="eastAsia"/>
                <w:bCs/>
                <w:color w:val="000000"/>
                <w:w w:val="31"/>
                <w:sz w:val="20"/>
                <w:shd w:val="solid" w:color="000000" w:fill="000000"/>
                <w:fitText w:val="140" w:id="-1490359546"/>
                <w14:textFill>
                  <w14:solidFill>
                    <w14:srgbClr w14:val="000000">
                      <w14:alpha w14:val="100000"/>
                    </w14:srgbClr>
                  </w14:solidFill>
                </w14:textFill>
              </w:rPr>
              <w:t xml:space="preserve">　</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1</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6CDD5827" w14:textId="4F7A75C0" w:rsidR="005A085E"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31"/>
                <w:sz w:val="20"/>
                <w:shd w:val="solid" w:color="000000" w:fill="000000"/>
                <w:fitText w:val="140" w:id="-1490359545"/>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31"/>
                <w:sz w:val="20"/>
                <w:shd w:val="solid" w:color="000000" w:fill="000000"/>
                <w:fitText w:val="140" w:id="-1490359545"/>
                <w14:textFill>
                  <w14:solidFill>
                    <w14:srgbClr w14:val="000000">
                      <w14:alpha w14:val="100000"/>
                    </w14:srgbClr>
                  </w14:solidFill>
                </w14:textFill>
              </w:rPr>
              <w:t>|</w:t>
            </w:r>
            <w:r w:rsidRPr="003511C3">
              <w:rPr>
                <w:rFonts w:ascii="Arial Narrow" w:hAnsi="Arial Narrow" w:cs="Times New Roman" w:hint="eastAsia"/>
                <w:bCs/>
                <w:color w:val="000000"/>
                <w:w w:val="31"/>
                <w:sz w:val="20"/>
                <w:shd w:val="solid" w:color="000000" w:fill="000000"/>
                <w:fitText w:val="140" w:id="-1490359545"/>
                <w14:textFill>
                  <w14:solidFill>
                    <w14:srgbClr w14:val="000000">
                      <w14:alpha w14:val="100000"/>
                    </w14:srgbClr>
                  </w14:solidFill>
                </w14:textFill>
              </w:rPr>
              <w:t xml:space="preserve">　</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1</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28BCD01" w14:textId="3038E407" w:rsidR="005A085E"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31"/>
                <w:sz w:val="20"/>
                <w:shd w:val="solid" w:color="000000" w:fill="000000"/>
                <w:fitText w:val="140" w:id="-1490359544"/>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31"/>
                <w:sz w:val="20"/>
                <w:shd w:val="solid" w:color="000000" w:fill="000000"/>
                <w:fitText w:val="140" w:id="-1490359544"/>
                <w14:textFill>
                  <w14:solidFill>
                    <w14:srgbClr w14:val="000000">
                      <w14:alpha w14:val="100000"/>
                    </w14:srgbClr>
                  </w14:solidFill>
                </w14:textFill>
              </w:rPr>
              <w:t>|</w:t>
            </w:r>
            <w:r w:rsidRPr="003511C3">
              <w:rPr>
                <w:rFonts w:ascii="Arial Narrow" w:hAnsi="Arial Narrow" w:cs="Times New Roman" w:hint="eastAsia"/>
                <w:bCs/>
                <w:color w:val="000000"/>
                <w:w w:val="31"/>
                <w:sz w:val="20"/>
                <w:shd w:val="solid" w:color="000000" w:fill="000000"/>
                <w:fitText w:val="140" w:id="-1490359544"/>
                <w14:textFill>
                  <w14:solidFill>
                    <w14:srgbClr w14:val="000000">
                      <w14:alpha w14:val="100000"/>
                    </w14:srgbClr>
                  </w14:solidFill>
                </w14:textFill>
              </w:rPr>
              <w:t xml:space="preserve">　</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2</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8444427" w14:textId="0319ABE7" w:rsidR="005A085E"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31"/>
                <w:sz w:val="20"/>
                <w:shd w:val="solid" w:color="000000" w:fill="000000"/>
                <w:fitText w:val="140" w:id="-1490359543"/>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31"/>
                <w:sz w:val="20"/>
                <w:shd w:val="solid" w:color="000000" w:fill="000000"/>
                <w:fitText w:val="140" w:id="-1490359543"/>
                <w14:textFill>
                  <w14:solidFill>
                    <w14:srgbClr w14:val="000000">
                      <w14:alpha w14:val="100000"/>
                    </w14:srgbClr>
                  </w14:solidFill>
                </w14:textFill>
              </w:rPr>
              <w:t>|</w:t>
            </w:r>
            <w:r w:rsidRPr="003511C3">
              <w:rPr>
                <w:rFonts w:ascii="Arial Narrow" w:hAnsi="Arial Narrow" w:cs="Times New Roman" w:hint="eastAsia"/>
                <w:bCs/>
                <w:color w:val="000000"/>
                <w:w w:val="31"/>
                <w:sz w:val="20"/>
                <w:shd w:val="solid" w:color="000000" w:fill="000000"/>
                <w:fitText w:val="140" w:id="-1490359543"/>
                <w14:textFill>
                  <w14:solidFill>
                    <w14:srgbClr w14:val="000000">
                      <w14:alpha w14:val="100000"/>
                    </w14:srgbClr>
                  </w14:solidFill>
                </w14:textFill>
              </w:rPr>
              <w:t xml:space="preserve">　</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2</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DF76D20" w14:textId="1FE8B645" w:rsidR="005A085E"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31"/>
                <w:sz w:val="20"/>
                <w:shd w:val="solid" w:color="000000" w:fill="000000"/>
                <w:fitText w:val="140" w:id="-1490359542"/>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31"/>
                <w:sz w:val="20"/>
                <w:shd w:val="solid" w:color="000000" w:fill="000000"/>
                <w:fitText w:val="140" w:id="-1490359542"/>
                <w14:textFill>
                  <w14:solidFill>
                    <w14:srgbClr w14:val="000000">
                      <w14:alpha w14:val="100000"/>
                    </w14:srgbClr>
                  </w14:solidFill>
                </w14:textFill>
              </w:rPr>
              <w:t>|</w:t>
            </w:r>
            <w:r w:rsidRPr="003511C3">
              <w:rPr>
                <w:rFonts w:ascii="Arial Narrow" w:hAnsi="Arial Narrow" w:cs="Times New Roman" w:hint="eastAsia"/>
                <w:bCs/>
                <w:color w:val="000000"/>
                <w:w w:val="31"/>
                <w:sz w:val="20"/>
                <w:shd w:val="solid" w:color="000000" w:fill="000000"/>
                <w:fitText w:val="140" w:id="-1490359542"/>
                <w14:textFill>
                  <w14:solidFill>
                    <w14:srgbClr w14:val="000000">
                      <w14:alpha w14:val="100000"/>
                    </w14:srgbClr>
                  </w14:solidFill>
                </w14:textFill>
              </w:rPr>
              <w:t xml:space="preserve">　</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2</w:t>
            </w:r>
            <w:proofErr w:type="gramEnd"/>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822571E" w14:textId="112630E8" w:rsidR="005A085E"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75"/>
                <w:sz w:val="20"/>
                <w:shd w:val="solid" w:color="000000" w:fill="000000"/>
                <w:fitText w:val="170" w:id="-1490359541"/>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170" w:id="-1490359541"/>
                <w14:textFill>
                  <w14:solidFill>
                    <w14:srgbClr w14:val="000000">
                      <w14:alpha w14:val="100000"/>
                    </w14:srgbClr>
                  </w14:solidFill>
                </w14:textFill>
              </w:rPr>
              <w:t>|</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3</w:t>
            </w:r>
          </w:p>
        </w:tc>
      </w:tr>
    </w:tbl>
    <w:p w14:paraId="371C8956" w14:textId="71914807" w:rsidR="005A085E" w:rsidRDefault="005A085E" w:rsidP="00137BD2">
      <w:pPr>
        <w:pStyle w:val="SourceNotes"/>
        <w:keepNext/>
        <w:rPr>
          <w:rFonts w:ascii="Arial Narrow" w:hAnsi="Arial Narrow"/>
        </w:rPr>
      </w:pPr>
      <w:r w:rsidRPr="00BD5A95">
        <w:rPr>
          <w:rFonts w:ascii="Arial Narrow" w:hAnsi="Arial Narrow"/>
        </w:rPr>
        <w:t>Source:</w:t>
      </w:r>
      <w:r w:rsidRPr="00BD5A95">
        <w:rPr>
          <w:rFonts w:ascii="Arial Narrow" w:hAnsi="Arial Narrow"/>
        </w:rPr>
        <w:tab/>
        <w:t xml:space="preserve">MBS+PHI budget impact.xlsx, spreadsheet ‘MBS+PL </w:t>
      </w:r>
      <w:proofErr w:type="spellStart"/>
      <w:r w:rsidRPr="00BD5A95">
        <w:rPr>
          <w:rFonts w:ascii="Arial Narrow" w:hAnsi="Arial Narrow"/>
        </w:rPr>
        <w:t>Utilisation+Cost</w:t>
      </w:r>
      <w:proofErr w:type="spellEnd"/>
      <w:r w:rsidRPr="00BD5A95">
        <w:rPr>
          <w:rFonts w:ascii="Arial Narrow" w:hAnsi="Arial Narrow"/>
        </w:rPr>
        <w:t>’.</w:t>
      </w:r>
    </w:p>
    <w:p w14:paraId="287F2992" w14:textId="77777777" w:rsidR="00A54B83" w:rsidRDefault="00A54B83" w:rsidP="00137BD2">
      <w:pPr>
        <w:pStyle w:val="Tablenotes1"/>
        <w:keepNext/>
      </w:pPr>
      <w:r w:rsidRPr="001779F5">
        <w:t>The redacted values correspond to the following ranges:</w:t>
      </w:r>
    </w:p>
    <w:p w14:paraId="316A7F10" w14:textId="509F5075" w:rsidR="00A54B83" w:rsidRDefault="00A54B83" w:rsidP="00137BD2">
      <w:pPr>
        <w:pStyle w:val="Tablenotes1"/>
        <w:keepNext/>
      </w:pPr>
      <w:r>
        <w:rPr>
          <w:vertAlign w:val="superscript"/>
        </w:rPr>
        <w:t xml:space="preserve">1 </w:t>
      </w:r>
      <w:r w:rsidRPr="00A54B83">
        <w:t>60,000 to &lt;70,000</w:t>
      </w:r>
    </w:p>
    <w:p w14:paraId="5D99450E" w14:textId="4962067A" w:rsidR="00A54B83" w:rsidRDefault="00A54B83" w:rsidP="00137BD2">
      <w:pPr>
        <w:pStyle w:val="Tablenotes1"/>
        <w:keepNext/>
      </w:pPr>
      <w:r>
        <w:rPr>
          <w:vertAlign w:val="superscript"/>
        </w:rPr>
        <w:t xml:space="preserve">2 </w:t>
      </w:r>
      <w:r w:rsidRPr="00A54B83">
        <w:t>70,000 to &lt;80,000</w:t>
      </w:r>
    </w:p>
    <w:p w14:paraId="6D8528E7" w14:textId="78D2C87B" w:rsidR="00A54B83" w:rsidRPr="00D76B47" w:rsidRDefault="00A54B83" w:rsidP="00E03E99">
      <w:pPr>
        <w:pStyle w:val="Tablenotes1"/>
      </w:pPr>
      <w:r>
        <w:rPr>
          <w:vertAlign w:val="superscript"/>
        </w:rPr>
        <w:t xml:space="preserve">3 </w:t>
      </w:r>
      <w:r w:rsidRPr="00A54B83">
        <w:t>80,000 to &lt;90,000</w:t>
      </w:r>
    </w:p>
    <w:p w14:paraId="49A20AE7" w14:textId="2946D5E5" w:rsidR="00E92E52" w:rsidRDefault="00E92E52" w:rsidP="006508EF">
      <w:pPr>
        <w:spacing w:before="240"/>
      </w:pPr>
      <w:r>
        <w:fldChar w:fldCharType="begin"/>
      </w:r>
      <w:r>
        <w:instrText xml:space="preserve"> REF _Ref75877510 \h  \* MERGEFORMAT </w:instrText>
      </w:r>
      <w:r>
        <w:fldChar w:fldCharType="separate"/>
      </w:r>
      <w:r w:rsidRPr="00E643DB">
        <w:t xml:space="preserve">Table </w:t>
      </w:r>
      <w:r w:rsidR="003A43D3">
        <w:t>2</w:t>
      </w:r>
      <w:r>
        <w:t>.5</w:t>
      </w:r>
      <w:r>
        <w:fldChar w:fldCharType="end"/>
      </w:r>
      <w:r>
        <w:t xml:space="preserve"> presents the number of patients forecasted to be treated with </w:t>
      </w:r>
      <w:r w:rsidR="001F2A6B">
        <w:t xml:space="preserve">the </w:t>
      </w:r>
      <w:r>
        <w:t>PDS.</w:t>
      </w:r>
      <w:r w:rsidR="00EE6FE7">
        <w:t xml:space="preserve"> These uptake rates were not clearly </w:t>
      </w:r>
      <w:r w:rsidR="00623993">
        <w:t>justified and</w:t>
      </w:r>
      <w:r w:rsidR="00EE6FE7">
        <w:t xml:space="preserve"> are likely to be influenced by many factors.</w:t>
      </w:r>
    </w:p>
    <w:p w14:paraId="5B4046DC" w14:textId="1158A26D" w:rsidR="008B53F1" w:rsidRPr="00BD5A95" w:rsidRDefault="00E92E52" w:rsidP="006508EF">
      <w:pPr>
        <w:pStyle w:val="Caption"/>
        <w:spacing w:before="240"/>
        <w:rPr>
          <w:rFonts w:cs="Times New Roman"/>
        </w:rPr>
      </w:pPr>
      <w:bookmarkStart w:id="19" w:name="_Ref75877510"/>
      <w:bookmarkStart w:id="20" w:name="_Toc86743008"/>
      <w:r w:rsidRPr="00BD5A95">
        <w:rPr>
          <w:rFonts w:cs="Times New Roman"/>
        </w:rPr>
        <w:t xml:space="preserve">Table </w:t>
      </w:r>
      <w:r w:rsidR="003A43D3" w:rsidRPr="00BD5A95">
        <w:rPr>
          <w:rFonts w:cs="Times New Roman"/>
        </w:rPr>
        <w:t>2</w:t>
      </w:r>
      <w:r w:rsidRPr="00BD5A95">
        <w:rPr>
          <w:rFonts w:cs="Times New Roman"/>
        </w:rPr>
        <w:t>.</w:t>
      </w:r>
      <w:r w:rsidRPr="00BD5A95">
        <w:rPr>
          <w:rFonts w:cs="Times New Roman"/>
        </w:rPr>
        <w:fldChar w:fldCharType="begin"/>
      </w:r>
      <w:r w:rsidRPr="00BD5A95">
        <w:rPr>
          <w:rFonts w:cs="Times New Roman"/>
        </w:rPr>
        <w:instrText xml:space="preserve"> SEQ Table \* ARABIC \s 1 </w:instrText>
      </w:r>
      <w:r w:rsidRPr="00BD5A95">
        <w:rPr>
          <w:rFonts w:cs="Times New Roman"/>
        </w:rPr>
        <w:fldChar w:fldCharType="separate"/>
      </w:r>
      <w:r w:rsidRPr="00BD5A95">
        <w:rPr>
          <w:rFonts w:cs="Times New Roman"/>
          <w:noProof/>
        </w:rPr>
        <w:t>5</w:t>
      </w:r>
      <w:r w:rsidRPr="00BD5A95">
        <w:rPr>
          <w:rFonts w:cs="Times New Roman"/>
        </w:rPr>
        <w:fldChar w:fldCharType="end"/>
      </w:r>
      <w:bookmarkEnd w:id="19"/>
      <w:r w:rsidR="00BD5A95" w:rsidRPr="00BD5A95">
        <w:rPr>
          <w:rFonts w:cs="Times New Roman"/>
        </w:rPr>
        <w:t xml:space="preserve">: </w:t>
      </w:r>
      <w:r w:rsidRPr="00BD5A95">
        <w:rPr>
          <w:rFonts w:cs="Times New Roman"/>
        </w:rPr>
        <w:t xml:space="preserve">Patients forecasted to be treated with </w:t>
      </w:r>
      <w:r w:rsidR="001F2A6B">
        <w:rPr>
          <w:rFonts w:cs="Times New Roman"/>
        </w:rPr>
        <w:t xml:space="preserve">the </w:t>
      </w:r>
      <w:r w:rsidRPr="00BD5A95">
        <w:rPr>
          <w:rFonts w:cs="Times New Roman"/>
        </w:rPr>
        <w:t>PDS</w:t>
      </w:r>
      <w:bookmarkEnd w:id="20"/>
    </w:p>
    <w:tbl>
      <w:tblPr>
        <w:tblStyle w:val="TableGrid"/>
        <w:tblW w:w="5000" w:type="pct"/>
        <w:tblLook w:val="04A0" w:firstRow="1" w:lastRow="0" w:firstColumn="1" w:lastColumn="0" w:noHBand="0" w:noVBand="1"/>
        <w:tblDescription w:val="Patients forecasted to be treated with PDS"/>
      </w:tblPr>
      <w:tblGrid>
        <w:gridCol w:w="2828"/>
        <w:gridCol w:w="996"/>
        <w:gridCol w:w="992"/>
        <w:gridCol w:w="992"/>
        <w:gridCol w:w="992"/>
        <w:gridCol w:w="992"/>
        <w:gridCol w:w="1224"/>
      </w:tblGrid>
      <w:tr w:rsidR="00A54B83" w:rsidRPr="00BD5A95" w14:paraId="0A9C4CE2" w14:textId="77777777" w:rsidTr="00E03E99">
        <w:tc>
          <w:tcPr>
            <w:tcW w:w="1568" w:type="pct"/>
            <w:tcBorders>
              <w:bottom w:val="single" w:sz="4" w:space="0" w:color="auto"/>
            </w:tcBorders>
            <w:shd w:val="clear" w:color="auto" w:fill="auto"/>
          </w:tcPr>
          <w:p w14:paraId="4C6E6B91" w14:textId="77777777" w:rsidR="00E92E52" w:rsidRPr="00BD5A95" w:rsidRDefault="00E92E52" w:rsidP="002D226B">
            <w:pPr>
              <w:pStyle w:val="TableText1"/>
              <w:keepNext/>
              <w:spacing w:before="0" w:after="0"/>
              <w:rPr>
                <w:rFonts w:ascii="Arial Narrow" w:hAnsi="Arial Narrow" w:cs="Times New Roman"/>
                <w:b/>
              </w:rPr>
            </w:pPr>
            <w:r w:rsidRPr="00BD5A95">
              <w:rPr>
                <w:rFonts w:ascii="Arial Narrow" w:hAnsi="Arial Narrow" w:cs="Times New Roman"/>
                <w:b/>
              </w:rPr>
              <w:t>Patients</w:t>
            </w:r>
          </w:p>
        </w:tc>
        <w:tc>
          <w:tcPr>
            <w:tcW w:w="552" w:type="pct"/>
            <w:tcBorders>
              <w:bottom w:val="single" w:sz="4" w:space="0" w:color="auto"/>
            </w:tcBorders>
            <w:shd w:val="clear" w:color="auto" w:fill="auto"/>
          </w:tcPr>
          <w:p w14:paraId="43216A13"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2022</w:t>
            </w:r>
          </w:p>
        </w:tc>
        <w:tc>
          <w:tcPr>
            <w:tcW w:w="550" w:type="pct"/>
            <w:tcBorders>
              <w:bottom w:val="single" w:sz="4" w:space="0" w:color="auto"/>
            </w:tcBorders>
            <w:shd w:val="clear" w:color="auto" w:fill="auto"/>
          </w:tcPr>
          <w:p w14:paraId="73EF30EB"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2023</w:t>
            </w:r>
          </w:p>
        </w:tc>
        <w:tc>
          <w:tcPr>
            <w:tcW w:w="550" w:type="pct"/>
            <w:tcBorders>
              <w:bottom w:val="single" w:sz="4" w:space="0" w:color="auto"/>
            </w:tcBorders>
            <w:shd w:val="clear" w:color="auto" w:fill="auto"/>
          </w:tcPr>
          <w:p w14:paraId="3A34954B"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2024</w:t>
            </w:r>
          </w:p>
        </w:tc>
        <w:tc>
          <w:tcPr>
            <w:tcW w:w="550" w:type="pct"/>
            <w:tcBorders>
              <w:bottom w:val="single" w:sz="4" w:space="0" w:color="auto"/>
            </w:tcBorders>
            <w:shd w:val="clear" w:color="auto" w:fill="auto"/>
          </w:tcPr>
          <w:p w14:paraId="0E5023B5"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2025</w:t>
            </w:r>
          </w:p>
        </w:tc>
        <w:tc>
          <w:tcPr>
            <w:tcW w:w="550" w:type="pct"/>
            <w:tcBorders>
              <w:bottom w:val="single" w:sz="4" w:space="0" w:color="auto"/>
            </w:tcBorders>
            <w:shd w:val="clear" w:color="auto" w:fill="auto"/>
          </w:tcPr>
          <w:p w14:paraId="337698D7"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2026</w:t>
            </w:r>
          </w:p>
        </w:tc>
        <w:tc>
          <w:tcPr>
            <w:tcW w:w="679" w:type="pct"/>
            <w:tcBorders>
              <w:bottom w:val="single" w:sz="4" w:space="0" w:color="auto"/>
            </w:tcBorders>
            <w:shd w:val="clear" w:color="auto" w:fill="auto"/>
          </w:tcPr>
          <w:p w14:paraId="67D251E3" w14:textId="77777777" w:rsidR="00E92E52" w:rsidRPr="00BD5A95" w:rsidRDefault="00E92E52" w:rsidP="00EB6884">
            <w:pPr>
              <w:pStyle w:val="TableText1"/>
              <w:spacing w:before="0" w:after="0"/>
              <w:jc w:val="center"/>
              <w:rPr>
                <w:rFonts w:ascii="Arial Narrow" w:hAnsi="Arial Narrow" w:cs="Times New Roman"/>
                <w:b/>
              </w:rPr>
            </w:pPr>
            <w:r w:rsidRPr="00BD5A95">
              <w:rPr>
                <w:rFonts w:ascii="Arial Narrow" w:hAnsi="Arial Narrow" w:cs="Times New Roman"/>
                <w:b/>
              </w:rPr>
              <w:t>2027</w:t>
            </w:r>
          </w:p>
        </w:tc>
      </w:tr>
      <w:tr w:rsidR="00A54B83" w:rsidRPr="00966670" w14:paraId="199CCA3C" w14:textId="77777777" w:rsidTr="00E03E99">
        <w:tc>
          <w:tcPr>
            <w:tcW w:w="1568" w:type="pct"/>
            <w:tcBorders>
              <w:top w:val="single" w:sz="4" w:space="0" w:color="auto"/>
              <w:left w:val="single" w:sz="4" w:space="0" w:color="auto"/>
              <w:bottom w:val="single" w:sz="4" w:space="0" w:color="auto"/>
              <w:right w:val="single" w:sz="4" w:space="0" w:color="auto"/>
            </w:tcBorders>
          </w:tcPr>
          <w:p w14:paraId="293E1E4B" w14:textId="77777777" w:rsidR="00E92E52" w:rsidRPr="00966670" w:rsidRDefault="00E92E52" w:rsidP="002D226B">
            <w:pPr>
              <w:keepNext/>
              <w:rPr>
                <w:rFonts w:ascii="Arial Narrow" w:hAnsi="Arial Narrow" w:cs="Times New Roman"/>
                <w:bCs/>
                <w:sz w:val="20"/>
              </w:rPr>
            </w:pPr>
            <w:r w:rsidRPr="00966670">
              <w:rPr>
                <w:rFonts w:ascii="Arial Narrow" w:hAnsi="Arial Narrow" w:cs="Times New Roman"/>
                <w:bCs/>
                <w:sz w:val="20"/>
              </w:rPr>
              <w:t>Treated prevalent patient pool</w:t>
            </w:r>
          </w:p>
        </w:tc>
        <w:tc>
          <w:tcPr>
            <w:tcW w:w="552" w:type="pct"/>
            <w:tcBorders>
              <w:top w:val="single" w:sz="4" w:space="0" w:color="auto"/>
              <w:left w:val="single" w:sz="4" w:space="0" w:color="auto"/>
              <w:bottom w:val="single" w:sz="4" w:space="0" w:color="auto"/>
              <w:right w:val="single" w:sz="4" w:space="0" w:color="auto"/>
            </w:tcBorders>
            <w:shd w:val="clear" w:color="auto" w:fill="auto"/>
            <w:vAlign w:val="bottom"/>
          </w:tcPr>
          <w:p w14:paraId="4F1CF2D2" w14:textId="348F47A1"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30"/>
                <w:sz w:val="20"/>
                <w:shd w:val="solid" w:color="000000" w:fill="000000"/>
                <w:fitText w:val="210" w:id="-1490359540"/>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540"/>
                <w14:textFill>
                  <w14:solidFill>
                    <w14:srgbClr w14:val="000000">
                      <w14:alpha w14:val="100000"/>
                    </w14:srgbClr>
                  </w14:solidFill>
                </w14:textFill>
              </w:rPr>
              <w:t>|</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249C3862" w14:textId="50378241"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9"/>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9"/>
                <w14:textFill>
                  <w14:solidFill>
                    <w14:srgbClr w14:val="000000">
                      <w14:alpha w14:val="100000"/>
                    </w14:srgbClr>
                  </w14:solidFill>
                </w14:textFill>
              </w:rPr>
              <w:t>|</w:t>
            </w:r>
            <w:r w:rsidR="00A54B83" w:rsidRPr="00966670">
              <w:rPr>
                <w:rFonts w:ascii="Arial Narrow" w:hAnsi="Arial Narrow" w:cs="Times New Roman"/>
                <w:color w:val="000000"/>
                <w:sz w:val="20"/>
              </w:rPr>
              <w:t xml:space="preserve"> </w:t>
            </w:r>
            <w:r w:rsidR="00A54B83" w:rsidRPr="00966670">
              <w:rPr>
                <w:rFonts w:ascii="Arial Narrow" w:hAnsi="Arial Narrow" w:cs="Times New Roman"/>
                <w:color w:val="000000"/>
                <w:sz w:val="20"/>
                <w:vertAlign w:val="superscript"/>
              </w:rPr>
              <w:t>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182BD621" w14:textId="4D8E35F8"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8"/>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8"/>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64C27140" w14:textId="0B246185"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7"/>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7"/>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127F861C" w14:textId="242B216F"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6"/>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6"/>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14:paraId="41489C31" w14:textId="6530A9FF" w:rsidR="00E92E52"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22"/>
                <w:sz w:val="20"/>
                <w:shd w:val="solid" w:color="000000" w:fill="000000"/>
                <w:fitText w:val="100" w:id="-1490359552"/>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22"/>
                <w:sz w:val="20"/>
                <w:shd w:val="solid" w:color="000000" w:fill="000000"/>
                <w:fitText w:val="100" w:id="-1490359552"/>
                <w14:textFill>
                  <w14:solidFill>
                    <w14:srgbClr w14:val="000000">
                      <w14:alpha w14:val="100000"/>
                    </w14:srgbClr>
                  </w14:solidFill>
                </w14:textFill>
              </w:rPr>
              <w:t>|</w:t>
            </w:r>
            <w:r w:rsidRPr="003511C3">
              <w:rPr>
                <w:rFonts w:ascii="Arial Narrow" w:hAnsi="Arial Narrow" w:cs="Times New Roman" w:hint="eastAsia"/>
                <w:bCs/>
                <w:color w:val="000000"/>
                <w:spacing w:val="3"/>
                <w:w w:val="22"/>
                <w:sz w:val="20"/>
                <w:shd w:val="solid" w:color="000000" w:fill="000000"/>
                <w:fitText w:val="100" w:id="-1490359552"/>
                <w14:textFill>
                  <w14:solidFill>
                    <w14:srgbClr w14:val="000000">
                      <w14:alpha w14:val="100000"/>
                    </w14:srgbClr>
                  </w14:solidFill>
                </w14:textFill>
              </w:rPr>
              <w:t xml:space="preserve">　</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3</w:t>
            </w:r>
            <w:proofErr w:type="gramEnd"/>
          </w:p>
        </w:tc>
      </w:tr>
      <w:tr w:rsidR="00A54B83" w:rsidRPr="00966670" w14:paraId="28BC0B01" w14:textId="77777777" w:rsidTr="00E03E99">
        <w:tc>
          <w:tcPr>
            <w:tcW w:w="1568" w:type="pct"/>
            <w:tcBorders>
              <w:top w:val="single" w:sz="4" w:space="0" w:color="auto"/>
              <w:left w:val="single" w:sz="4" w:space="0" w:color="auto"/>
              <w:bottom w:val="single" w:sz="4" w:space="0" w:color="auto"/>
              <w:right w:val="single" w:sz="4" w:space="0" w:color="auto"/>
            </w:tcBorders>
          </w:tcPr>
          <w:p w14:paraId="2F072FBF" w14:textId="77777777" w:rsidR="00E92E52" w:rsidRPr="00966670" w:rsidRDefault="00E92E52" w:rsidP="002D226B">
            <w:pPr>
              <w:keepNext/>
              <w:rPr>
                <w:rFonts w:ascii="Arial Narrow" w:hAnsi="Arial Narrow" w:cs="Times New Roman"/>
                <w:bCs/>
                <w:sz w:val="20"/>
              </w:rPr>
            </w:pPr>
            <w:r w:rsidRPr="00966670">
              <w:rPr>
                <w:rFonts w:ascii="Arial Narrow" w:hAnsi="Arial Narrow" w:cs="Times New Roman"/>
                <w:bCs/>
                <w:sz w:val="20"/>
              </w:rPr>
              <w:t>Uptake</w:t>
            </w:r>
          </w:p>
        </w:tc>
        <w:tc>
          <w:tcPr>
            <w:tcW w:w="552" w:type="pct"/>
            <w:tcBorders>
              <w:top w:val="single" w:sz="4" w:space="0" w:color="auto"/>
              <w:left w:val="single" w:sz="4" w:space="0" w:color="auto"/>
              <w:bottom w:val="single" w:sz="4" w:space="0" w:color="auto"/>
              <w:right w:val="single" w:sz="4" w:space="0" w:color="auto"/>
            </w:tcBorders>
          </w:tcPr>
          <w:p w14:paraId="41BF84F5"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5%</w:t>
            </w:r>
          </w:p>
        </w:tc>
        <w:tc>
          <w:tcPr>
            <w:tcW w:w="550" w:type="pct"/>
            <w:tcBorders>
              <w:top w:val="single" w:sz="4" w:space="0" w:color="auto"/>
              <w:left w:val="single" w:sz="4" w:space="0" w:color="auto"/>
              <w:bottom w:val="single" w:sz="4" w:space="0" w:color="auto"/>
              <w:right w:val="single" w:sz="4" w:space="0" w:color="auto"/>
            </w:tcBorders>
          </w:tcPr>
          <w:p w14:paraId="6B5C8B49"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10%</w:t>
            </w:r>
          </w:p>
        </w:tc>
        <w:tc>
          <w:tcPr>
            <w:tcW w:w="550" w:type="pct"/>
            <w:tcBorders>
              <w:top w:val="single" w:sz="4" w:space="0" w:color="auto"/>
              <w:left w:val="single" w:sz="4" w:space="0" w:color="auto"/>
              <w:bottom w:val="single" w:sz="4" w:space="0" w:color="auto"/>
              <w:right w:val="single" w:sz="4" w:space="0" w:color="auto"/>
            </w:tcBorders>
          </w:tcPr>
          <w:p w14:paraId="58585904"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15%</w:t>
            </w:r>
          </w:p>
        </w:tc>
        <w:tc>
          <w:tcPr>
            <w:tcW w:w="550" w:type="pct"/>
            <w:tcBorders>
              <w:top w:val="single" w:sz="4" w:space="0" w:color="auto"/>
              <w:left w:val="single" w:sz="4" w:space="0" w:color="auto"/>
              <w:bottom w:val="single" w:sz="4" w:space="0" w:color="auto"/>
              <w:right w:val="single" w:sz="4" w:space="0" w:color="auto"/>
            </w:tcBorders>
          </w:tcPr>
          <w:p w14:paraId="505BE510"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15%</w:t>
            </w:r>
          </w:p>
        </w:tc>
        <w:tc>
          <w:tcPr>
            <w:tcW w:w="550" w:type="pct"/>
            <w:tcBorders>
              <w:top w:val="single" w:sz="4" w:space="0" w:color="auto"/>
              <w:left w:val="single" w:sz="4" w:space="0" w:color="auto"/>
              <w:bottom w:val="single" w:sz="4" w:space="0" w:color="auto"/>
              <w:right w:val="single" w:sz="4" w:space="0" w:color="auto"/>
            </w:tcBorders>
          </w:tcPr>
          <w:p w14:paraId="706F8541"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15%</w:t>
            </w:r>
          </w:p>
        </w:tc>
        <w:tc>
          <w:tcPr>
            <w:tcW w:w="679" w:type="pct"/>
            <w:tcBorders>
              <w:top w:val="single" w:sz="4" w:space="0" w:color="auto"/>
              <w:left w:val="single" w:sz="4" w:space="0" w:color="auto"/>
              <w:bottom w:val="single" w:sz="4" w:space="0" w:color="auto"/>
              <w:right w:val="single" w:sz="4" w:space="0" w:color="auto"/>
            </w:tcBorders>
          </w:tcPr>
          <w:p w14:paraId="015804C8" w14:textId="77777777" w:rsidR="00E92E52" w:rsidRPr="00966670" w:rsidRDefault="00E92E52" w:rsidP="00EB6884">
            <w:pPr>
              <w:jc w:val="center"/>
              <w:rPr>
                <w:rFonts w:ascii="Arial Narrow" w:hAnsi="Arial Narrow" w:cs="Times New Roman"/>
                <w:bCs/>
                <w:sz w:val="20"/>
              </w:rPr>
            </w:pPr>
            <w:r w:rsidRPr="00966670">
              <w:rPr>
                <w:rFonts w:ascii="Arial Narrow" w:hAnsi="Arial Narrow" w:cs="Times New Roman"/>
                <w:bCs/>
                <w:sz w:val="20"/>
              </w:rPr>
              <w:t>15%</w:t>
            </w:r>
          </w:p>
        </w:tc>
      </w:tr>
      <w:tr w:rsidR="00A54B83" w:rsidRPr="00966670" w14:paraId="2C18E022" w14:textId="77777777" w:rsidTr="00E03E99">
        <w:tc>
          <w:tcPr>
            <w:tcW w:w="1568" w:type="pct"/>
            <w:tcBorders>
              <w:top w:val="single" w:sz="4" w:space="0" w:color="auto"/>
              <w:left w:val="single" w:sz="4" w:space="0" w:color="auto"/>
              <w:bottom w:val="single" w:sz="4" w:space="0" w:color="auto"/>
              <w:right w:val="single" w:sz="4" w:space="0" w:color="auto"/>
            </w:tcBorders>
          </w:tcPr>
          <w:p w14:paraId="50FEEE7E" w14:textId="77777777" w:rsidR="00E92E52" w:rsidRPr="00966670" w:rsidRDefault="00E92E52" w:rsidP="002D226B">
            <w:pPr>
              <w:keepNext/>
              <w:rPr>
                <w:rFonts w:ascii="Arial Narrow" w:hAnsi="Arial Narrow" w:cs="Times New Roman"/>
                <w:bCs/>
                <w:sz w:val="20"/>
              </w:rPr>
            </w:pPr>
            <w:r w:rsidRPr="00966670">
              <w:rPr>
                <w:rFonts w:ascii="Arial Narrow" w:hAnsi="Arial Narrow" w:cs="Times New Roman"/>
                <w:bCs/>
                <w:sz w:val="20"/>
              </w:rPr>
              <w:t>PDS prevalent treated patients</w:t>
            </w:r>
          </w:p>
        </w:tc>
        <w:tc>
          <w:tcPr>
            <w:tcW w:w="552" w:type="pct"/>
            <w:tcBorders>
              <w:top w:val="single" w:sz="4" w:space="0" w:color="auto"/>
              <w:left w:val="single" w:sz="4" w:space="0" w:color="auto"/>
              <w:bottom w:val="single" w:sz="4" w:space="0" w:color="auto"/>
              <w:right w:val="single" w:sz="4" w:space="0" w:color="auto"/>
            </w:tcBorders>
            <w:shd w:val="clear" w:color="auto" w:fill="auto"/>
            <w:vAlign w:val="bottom"/>
          </w:tcPr>
          <w:p w14:paraId="5F1047E7" w14:textId="5BBB4264"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30"/>
                <w:sz w:val="20"/>
                <w:shd w:val="solid" w:color="000000" w:fill="000000"/>
                <w:fitText w:val="210" w:id="-1490359551"/>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551"/>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0EA34F46" w14:textId="3C7FC665"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50"/>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50"/>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2A24E88D" w14:textId="313A8C9E"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49"/>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49"/>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64FA44EF" w14:textId="51AB9516"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48"/>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48"/>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70336B40" w14:textId="2F91A90E"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47"/>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47"/>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14:paraId="7FA65BB3" w14:textId="23C0E3E5" w:rsidR="00E92E52"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22"/>
                <w:sz w:val="20"/>
                <w:shd w:val="solid" w:color="000000" w:fill="000000"/>
                <w:fitText w:val="100" w:id="-1490359546"/>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22"/>
                <w:sz w:val="20"/>
                <w:shd w:val="solid" w:color="000000" w:fill="000000"/>
                <w:fitText w:val="100" w:id="-1490359546"/>
                <w14:textFill>
                  <w14:solidFill>
                    <w14:srgbClr w14:val="000000">
                      <w14:alpha w14:val="100000"/>
                    </w14:srgbClr>
                  </w14:solidFill>
                </w14:textFill>
              </w:rPr>
              <w:t>|</w:t>
            </w:r>
            <w:r w:rsidRPr="003511C3">
              <w:rPr>
                <w:rFonts w:ascii="Arial Narrow" w:hAnsi="Arial Narrow" w:cs="Times New Roman" w:hint="eastAsia"/>
                <w:bCs/>
                <w:color w:val="000000"/>
                <w:spacing w:val="3"/>
                <w:w w:val="22"/>
                <w:sz w:val="20"/>
                <w:shd w:val="solid" w:color="000000" w:fill="000000"/>
                <w:fitText w:val="100" w:id="-1490359546"/>
                <w14:textFill>
                  <w14:solidFill>
                    <w14:srgbClr w14:val="000000">
                      <w14:alpha w14:val="100000"/>
                    </w14:srgbClr>
                  </w14:solidFill>
                </w14:textFill>
              </w:rPr>
              <w:t xml:space="preserve">　</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roofErr w:type="gramEnd"/>
          </w:p>
        </w:tc>
      </w:tr>
      <w:tr w:rsidR="00A54B83" w:rsidRPr="00966670" w14:paraId="14FC5E1E" w14:textId="77777777" w:rsidTr="00E03E99">
        <w:tc>
          <w:tcPr>
            <w:tcW w:w="1568" w:type="pct"/>
            <w:tcBorders>
              <w:top w:val="single" w:sz="4" w:space="0" w:color="auto"/>
              <w:left w:val="single" w:sz="4" w:space="0" w:color="auto"/>
              <w:bottom w:val="single" w:sz="4" w:space="0" w:color="auto"/>
              <w:right w:val="single" w:sz="4" w:space="0" w:color="auto"/>
            </w:tcBorders>
          </w:tcPr>
          <w:p w14:paraId="515B46CD" w14:textId="77777777" w:rsidR="00E92E52" w:rsidRPr="00966670" w:rsidRDefault="00E92E52" w:rsidP="002D226B">
            <w:pPr>
              <w:keepNext/>
              <w:rPr>
                <w:rFonts w:ascii="Arial Narrow" w:hAnsi="Arial Narrow" w:cs="Times New Roman"/>
                <w:bCs/>
                <w:sz w:val="20"/>
              </w:rPr>
            </w:pPr>
            <w:r w:rsidRPr="00966670">
              <w:rPr>
                <w:rFonts w:ascii="Arial Narrow" w:hAnsi="Arial Narrow" w:cs="Times New Roman"/>
                <w:bCs/>
                <w:sz w:val="20"/>
              </w:rPr>
              <w:tab/>
              <w:t>Of which, are incident</w:t>
            </w:r>
          </w:p>
        </w:tc>
        <w:tc>
          <w:tcPr>
            <w:tcW w:w="552" w:type="pct"/>
            <w:tcBorders>
              <w:top w:val="single" w:sz="4" w:space="0" w:color="auto"/>
              <w:left w:val="single" w:sz="4" w:space="0" w:color="auto"/>
              <w:bottom w:val="single" w:sz="4" w:space="0" w:color="auto"/>
              <w:right w:val="single" w:sz="4" w:space="0" w:color="auto"/>
            </w:tcBorders>
            <w:shd w:val="clear" w:color="auto" w:fill="auto"/>
            <w:vAlign w:val="bottom"/>
          </w:tcPr>
          <w:p w14:paraId="35B80722" w14:textId="3D38361F"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30"/>
                <w:sz w:val="20"/>
                <w:shd w:val="solid" w:color="000000" w:fill="000000"/>
                <w:fitText w:val="210" w:id="-1490359545"/>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545"/>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6FF662F7" w14:textId="560E3046" w:rsidR="00E92E52" w:rsidRPr="00966670" w:rsidRDefault="003511C3" w:rsidP="00EB6884">
            <w:pPr>
              <w:jc w:val="center"/>
              <w:rPr>
                <w:rFonts w:ascii="Arial Narrow" w:hAnsi="Arial Narrow" w:cs="Times New Roman"/>
                <w:bCs/>
                <w:sz w:val="20"/>
              </w:rPr>
            </w:pPr>
            <w:r w:rsidRPr="003511C3">
              <w:rPr>
                <w:rFonts w:ascii="Arial Narrow" w:hAnsi="Arial Narrow"/>
                <w:bCs/>
                <w:color w:val="000000"/>
                <w:spacing w:val="105"/>
                <w:sz w:val="20"/>
                <w:shd w:val="solid" w:color="000000" w:fill="000000"/>
                <w:fitText w:val="200" w:id="-1490359544"/>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00" w:id="-1490359544"/>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5A3F7FBC" w14:textId="43FB016B"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43"/>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43"/>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51143F9D" w14:textId="6E8D43CD"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42"/>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42"/>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10D94E98" w14:textId="47BACE0D" w:rsidR="00E92E52" w:rsidRPr="00966670" w:rsidRDefault="003511C3" w:rsidP="00EB6884">
            <w:pPr>
              <w:jc w:val="center"/>
              <w:rPr>
                <w:rFonts w:ascii="Arial Narrow" w:hAnsi="Arial Narrow" w:cs="Times New Roman"/>
                <w:bCs/>
                <w:sz w:val="20"/>
              </w:rPr>
            </w:pPr>
            <w:r w:rsidRPr="003511C3">
              <w:rPr>
                <w:rFonts w:ascii="Arial Narrow" w:hAnsi="Arial Narrow"/>
                <w:bCs/>
                <w:color w:val="000000"/>
                <w:spacing w:val="105"/>
                <w:sz w:val="20"/>
                <w:shd w:val="solid" w:color="000000" w:fill="000000"/>
                <w:fitText w:val="200" w:id="-1490359541"/>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00" w:id="-1490359541"/>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14:paraId="7BA8C78D" w14:textId="6D961EC8" w:rsidR="00E92E52" w:rsidRPr="00966670" w:rsidRDefault="003511C3" w:rsidP="00EB6884">
            <w:pPr>
              <w:jc w:val="center"/>
              <w:rPr>
                <w:rFonts w:ascii="Arial Narrow" w:hAnsi="Arial Narrow" w:cs="Times New Roman"/>
                <w:bCs/>
                <w:sz w:val="20"/>
              </w:rPr>
            </w:pPr>
            <w:r w:rsidRPr="003511C3">
              <w:rPr>
                <w:rFonts w:ascii="Arial Narrow" w:hAnsi="Arial Narrow" w:cs="Times New Roman" w:hint="eastAsia"/>
                <w:bCs/>
                <w:color w:val="000000"/>
                <w:w w:val="22"/>
                <w:sz w:val="20"/>
                <w:shd w:val="solid" w:color="000000" w:fill="000000"/>
                <w:fitText w:val="100" w:id="-1490359540"/>
                <w14:textFill>
                  <w14:solidFill>
                    <w14:srgbClr w14:val="000000">
                      <w14:alpha w14:val="100000"/>
                    </w14:srgbClr>
                  </w14:solidFill>
                </w14:textFill>
              </w:rPr>
              <w:t xml:space="preserve">　</w:t>
            </w:r>
            <w:proofErr w:type="gramStart"/>
            <w:r w:rsidRPr="003511C3">
              <w:rPr>
                <w:rFonts w:ascii="Arial Narrow" w:hAnsi="Arial Narrow" w:cs="Times New Roman"/>
                <w:bCs/>
                <w:color w:val="000000"/>
                <w:w w:val="22"/>
                <w:sz w:val="20"/>
                <w:shd w:val="solid" w:color="000000" w:fill="000000"/>
                <w:fitText w:val="100" w:id="-1490359540"/>
                <w14:textFill>
                  <w14:solidFill>
                    <w14:srgbClr w14:val="000000">
                      <w14:alpha w14:val="100000"/>
                    </w14:srgbClr>
                  </w14:solidFill>
                </w14:textFill>
              </w:rPr>
              <w:t>|</w:t>
            </w:r>
            <w:r w:rsidRPr="003511C3">
              <w:rPr>
                <w:rFonts w:ascii="Arial Narrow" w:hAnsi="Arial Narrow" w:cs="Times New Roman" w:hint="eastAsia"/>
                <w:bCs/>
                <w:color w:val="000000"/>
                <w:spacing w:val="3"/>
                <w:w w:val="22"/>
                <w:sz w:val="20"/>
                <w:shd w:val="solid" w:color="000000" w:fill="000000"/>
                <w:fitText w:val="100" w:id="-1490359540"/>
                <w14:textFill>
                  <w14:solidFill>
                    <w14:srgbClr w14:val="000000">
                      <w14:alpha w14:val="100000"/>
                    </w14:srgbClr>
                  </w14:solidFill>
                </w14:textFill>
              </w:rPr>
              <w:t xml:space="preserve">　</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roofErr w:type="gramEnd"/>
          </w:p>
        </w:tc>
      </w:tr>
      <w:tr w:rsidR="00A54B83" w:rsidRPr="00BD5A95" w14:paraId="5DC9A129" w14:textId="77777777" w:rsidTr="00E03E99">
        <w:tc>
          <w:tcPr>
            <w:tcW w:w="1568" w:type="pct"/>
            <w:tcBorders>
              <w:top w:val="single" w:sz="4" w:space="0" w:color="auto"/>
              <w:left w:val="single" w:sz="4" w:space="0" w:color="auto"/>
              <w:bottom w:val="single" w:sz="4" w:space="0" w:color="auto"/>
              <w:right w:val="single" w:sz="4" w:space="0" w:color="auto"/>
            </w:tcBorders>
          </w:tcPr>
          <w:p w14:paraId="30B35BF9" w14:textId="77777777" w:rsidR="00E92E52" w:rsidRPr="00966670" w:rsidRDefault="00E92E52" w:rsidP="002D226B">
            <w:pPr>
              <w:keepNext/>
              <w:rPr>
                <w:rFonts w:ascii="Arial Narrow" w:hAnsi="Arial Narrow" w:cs="Times New Roman"/>
                <w:bCs/>
                <w:sz w:val="20"/>
              </w:rPr>
            </w:pPr>
            <w:r w:rsidRPr="00966670">
              <w:rPr>
                <w:rFonts w:ascii="Arial Narrow" w:hAnsi="Arial Narrow" w:cs="Times New Roman"/>
                <w:bCs/>
                <w:sz w:val="20"/>
              </w:rPr>
              <w:tab/>
              <w:t>Of which, are continuing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bottom"/>
          </w:tcPr>
          <w:p w14:paraId="6BDC2656" w14:textId="7EB0B9AB"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30"/>
                <w:sz w:val="20"/>
                <w:shd w:val="solid" w:color="000000" w:fill="000000"/>
                <w:fitText w:val="210" w:id="-1490359539"/>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539"/>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77B7AAFF" w14:textId="62863591"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8"/>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8"/>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5C27FF48" w14:textId="2BC03DE5" w:rsidR="00E92E52"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537"/>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537"/>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057956BC" w14:textId="2C38E5F7" w:rsidR="00E92E52" w:rsidRPr="00966670" w:rsidRDefault="003511C3" w:rsidP="00EB6884">
            <w:pPr>
              <w:jc w:val="center"/>
              <w:rPr>
                <w:rFonts w:ascii="Arial Narrow" w:hAnsi="Arial Narrow" w:cs="Times New Roman"/>
                <w:bCs/>
                <w:sz w:val="20"/>
              </w:rPr>
            </w:pPr>
            <w:r w:rsidRPr="003511C3">
              <w:rPr>
                <w:rFonts w:ascii="Arial Narrow" w:hAnsi="Arial Narrow"/>
                <w:bCs/>
                <w:color w:val="000000"/>
                <w:spacing w:val="105"/>
                <w:sz w:val="20"/>
                <w:shd w:val="solid" w:color="000000" w:fill="000000"/>
                <w:fitText w:val="200" w:id="-1490359536"/>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00" w:id="-1490359536"/>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1B011B27" w14:textId="64F2F6E0" w:rsidR="00E92E52" w:rsidRPr="00966670" w:rsidRDefault="003511C3" w:rsidP="00EB6884">
            <w:pPr>
              <w:jc w:val="center"/>
              <w:rPr>
                <w:rFonts w:ascii="Arial Narrow" w:hAnsi="Arial Narrow" w:cs="Times New Roman"/>
                <w:bCs/>
                <w:sz w:val="20"/>
              </w:rPr>
            </w:pPr>
            <w:r w:rsidRPr="003511C3">
              <w:rPr>
                <w:rFonts w:ascii="Arial Narrow" w:hAnsi="Arial Narrow"/>
                <w:bCs/>
                <w:color w:val="000000"/>
                <w:spacing w:val="105"/>
                <w:sz w:val="20"/>
                <w:shd w:val="solid" w:color="000000" w:fill="000000"/>
                <w:fitText w:val="200" w:id="-1490359552"/>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00" w:id="-1490359552"/>
                <w14:textFill>
                  <w14:solidFill>
                    <w14:srgbClr w14:val="000000">
                      <w14:alpha w14:val="100000"/>
                    </w14:srgbClr>
                  </w14:solidFill>
                </w14:textFill>
              </w:rPr>
              <w:t>|</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14:paraId="147B6B22" w14:textId="7673D750" w:rsidR="00E92E52" w:rsidRPr="00966670" w:rsidRDefault="003511C3" w:rsidP="00EB6884">
            <w:pPr>
              <w:jc w:val="center"/>
              <w:rPr>
                <w:rFonts w:ascii="Arial Narrow" w:hAnsi="Arial Narrow" w:cs="Times New Roman"/>
                <w:bCs/>
                <w:sz w:val="20"/>
              </w:rPr>
            </w:pPr>
            <w:r w:rsidRPr="003511C3">
              <w:rPr>
                <w:rFonts w:ascii="Arial Narrow" w:hAnsi="Arial Narrow" w:hint="eastAsia"/>
                <w:bCs/>
                <w:color w:val="000000"/>
                <w:w w:val="22"/>
                <w:sz w:val="20"/>
                <w:shd w:val="solid" w:color="000000" w:fill="000000"/>
                <w:fitText w:val="100" w:id="-1490359551"/>
                <w14:textFill>
                  <w14:solidFill>
                    <w14:srgbClr w14:val="000000">
                      <w14:alpha w14:val="100000"/>
                    </w14:srgbClr>
                  </w14:solidFill>
                </w14:textFill>
              </w:rPr>
              <w:t xml:space="preserve">　</w:t>
            </w:r>
            <w:proofErr w:type="gramStart"/>
            <w:r w:rsidRPr="003511C3">
              <w:rPr>
                <w:rFonts w:ascii="Arial Narrow" w:hAnsi="Arial Narrow"/>
                <w:bCs/>
                <w:color w:val="000000"/>
                <w:w w:val="22"/>
                <w:sz w:val="20"/>
                <w:shd w:val="solid" w:color="000000" w:fill="000000"/>
                <w:fitText w:val="100" w:id="-1490359551"/>
                <w14:textFill>
                  <w14:solidFill>
                    <w14:srgbClr w14:val="000000">
                      <w14:alpha w14:val="100000"/>
                    </w14:srgbClr>
                  </w14:solidFill>
                </w14:textFill>
              </w:rPr>
              <w:t>|</w:t>
            </w:r>
            <w:r w:rsidRPr="003511C3">
              <w:rPr>
                <w:rFonts w:ascii="Arial Narrow" w:hAnsi="Arial Narrow" w:hint="eastAsia"/>
                <w:bCs/>
                <w:color w:val="000000"/>
                <w:spacing w:val="3"/>
                <w:w w:val="22"/>
                <w:sz w:val="20"/>
                <w:shd w:val="solid" w:color="000000" w:fill="000000"/>
                <w:fitText w:val="100" w:id="-1490359551"/>
                <w14:textFill>
                  <w14:solidFill>
                    <w14:srgbClr w14:val="000000">
                      <w14:alpha w14:val="100000"/>
                    </w14:srgbClr>
                  </w14:solidFill>
                </w14:textFill>
              </w:rPr>
              <w:t xml:space="preserve">　</w:t>
            </w:r>
            <w:r w:rsidR="00A163A1" w:rsidRPr="00966670">
              <w:rPr>
                <w:rFonts w:ascii="Arial Narrow" w:hAnsi="Arial Narrow" w:cs="Times New Roman"/>
                <w:color w:val="000000"/>
                <w:sz w:val="20"/>
              </w:rPr>
              <w:t xml:space="preserve"> </w:t>
            </w:r>
            <w:r w:rsidR="00A163A1" w:rsidRPr="00966670">
              <w:rPr>
                <w:rFonts w:ascii="Arial Narrow" w:hAnsi="Arial Narrow" w:cs="Times New Roman"/>
                <w:color w:val="000000"/>
                <w:sz w:val="20"/>
                <w:vertAlign w:val="superscript"/>
              </w:rPr>
              <w:t>6</w:t>
            </w:r>
            <w:proofErr w:type="gramEnd"/>
          </w:p>
        </w:tc>
      </w:tr>
    </w:tbl>
    <w:p w14:paraId="1B388960" w14:textId="464CADED" w:rsidR="00E92E52" w:rsidRDefault="00E92E52" w:rsidP="00137BD2">
      <w:pPr>
        <w:pStyle w:val="SourceNotes"/>
        <w:keepNext/>
        <w:rPr>
          <w:rFonts w:ascii="Arial Narrow" w:hAnsi="Arial Narrow" w:cs="Times New Roman"/>
        </w:rPr>
      </w:pPr>
      <w:r w:rsidRPr="00BD5A95">
        <w:rPr>
          <w:rFonts w:ascii="Arial Narrow" w:hAnsi="Arial Narrow" w:cs="Times New Roman"/>
        </w:rPr>
        <w:t>Source:</w:t>
      </w:r>
      <w:r w:rsidRPr="00BD5A95">
        <w:rPr>
          <w:rFonts w:ascii="Arial Narrow" w:hAnsi="Arial Narrow" w:cs="Times New Roman"/>
        </w:rPr>
        <w:tab/>
        <w:t xml:space="preserve">MBS+PHI budget impact.xlsx, spreadsheet ‘MBS+PL </w:t>
      </w:r>
      <w:proofErr w:type="spellStart"/>
      <w:r w:rsidRPr="00BD5A95">
        <w:rPr>
          <w:rFonts w:ascii="Arial Narrow" w:hAnsi="Arial Narrow" w:cs="Times New Roman"/>
        </w:rPr>
        <w:t>Utilisation+Cost</w:t>
      </w:r>
      <w:proofErr w:type="spellEnd"/>
      <w:r w:rsidRPr="00BD5A95">
        <w:rPr>
          <w:rFonts w:ascii="Arial Narrow" w:hAnsi="Arial Narrow" w:cs="Times New Roman"/>
        </w:rPr>
        <w:t>’.</w:t>
      </w:r>
    </w:p>
    <w:p w14:paraId="07DCC520" w14:textId="77777777" w:rsidR="00A54B83" w:rsidRDefault="00A54B83" w:rsidP="00137BD2">
      <w:pPr>
        <w:pStyle w:val="Tablenotes1"/>
        <w:keepNext/>
      </w:pPr>
      <w:r w:rsidRPr="001779F5">
        <w:t>The redacted values correspond to the following ranges:</w:t>
      </w:r>
    </w:p>
    <w:p w14:paraId="3B8314E6" w14:textId="739DBD95" w:rsidR="00A54B83" w:rsidRDefault="00A54B83" w:rsidP="00137BD2">
      <w:pPr>
        <w:pStyle w:val="Tablenotes1"/>
        <w:keepNext/>
      </w:pPr>
      <w:r>
        <w:rPr>
          <w:vertAlign w:val="superscript"/>
        </w:rPr>
        <w:t xml:space="preserve">1 </w:t>
      </w:r>
      <w:r w:rsidRPr="00A54B83">
        <w:t>60,000 to &lt;70,000</w:t>
      </w:r>
    </w:p>
    <w:p w14:paraId="2EC57ED7" w14:textId="6B13D9F7" w:rsidR="00A54B83" w:rsidRDefault="00A54B83" w:rsidP="00137BD2">
      <w:pPr>
        <w:pStyle w:val="Tablenotes1"/>
        <w:keepNext/>
      </w:pPr>
      <w:r>
        <w:rPr>
          <w:vertAlign w:val="superscript"/>
        </w:rPr>
        <w:t xml:space="preserve">2 </w:t>
      </w:r>
      <w:r w:rsidRPr="00A54B83">
        <w:t>70,000 to &lt;80,000</w:t>
      </w:r>
    </w:p>
    <w:p w14:paraId="06B92568" w14:textId="47DFAD9A" w:rsidR="00A54B83" w:rsidRDefault="00A54B83" w:rsidP="00137BD2">
      <w:pPr>
        <w:pStyle w:val="Tablenotes1"/>
        <w:keepNext/>
      </w:pPr>
      <w:r>
        <w:rPr>
          <w:vertAlign w:val="superscript"/>
        </w:rPr>
        <w:t xml:space="preserve">3 </w:t>
      </w:r>
      <w:r w:rsidRPr="00A54B83">
        <w:t>80,000 to &lt;90,000</w:t>
      </w:r>
    </w:p>
    <w:p w14:paraId="70FF4907" w14:textId="60C3855A" w:rsidR="00A163A1" w:rsidRDefault="00A163A1" w:rsidP="00137BD2">
      <w:pPr>
        <w:pStyle w:val="Tablenotes1"/>
        <w:keepNext/>
      </w:pPr>
      <w:r>
        <w:rPr>
          <w:vertAlign w:val="superscript"/>
        </w:rPr>
        <w:t>4</w:t>
      </w:r>
      <w:r>
        <w:t xml:space="preserve"> </w:t>
      </w:r>
      <w:r w:rsidRPr="00A163A1">
        <w:t>500 to &lt;5,000</w:t>
      </w:r>
    </w:p>
    <w:p w14:paraId="2E9DED05" w14:textId="062E52AB" w:rsidR="00A163A1" w:rsidRDefault="00A163A1" w:rsidP="00137BD2">
      <w:pPr>
        <w:pStyle w:val="Tablenotes1"/>
        <w:keepNext/>
      </w:pPr>
      <w:r>
        <w:rPr>
          <w:vertAlign w:val="superscript"/>
        </w:rPr>
        <w:t>5</w:t>
      </w:r>
      <w:r>
        <w:t xml:space="preserve"> </w:t>
      </w:r>
      <w:r w:rsidRPr="00A163A1">
        <w:t>5,000 to &lt;10,000</w:t>
      </w:r>
    </w:p>
    <w:p w14:paraId="3DEF129C" w14:textId="3A260CBD" w:rsidR="00A163A1" w:rsidRDefault="00A163A1" w:rsidP="00137BD2">
      <w:pPr>
        <w:pStyle w:val="Tablenotes1"/>
        <w:keepNext/>
      </w:pPr>
      <w:r>
        <w:rPr>
          <w:vertAlign w:val="superscript"/>
        </w:rPr>
        <w:t>6</w:t>
      </w:r>
      <w:r>
        <w:t xml:space="preserve"> </w:t>
      </w:r>
      <w:r w:rsidRPr="00A163A1">
        <w:t>10,000 to &lt;20,000</w:t>
      </w:r>
    </w:p>
    <w:p w14:paraId="586844E8" w14:textId="05668B96" w:rsidR="00A163A1" w:rsidRPr="00D76B47" w:rsidRDefault="00A163A1" w:rsidP="0053431B">
      <w:pPr>
        <w:pStyle w:val="Tablenotes1"/>
      </w:pPr>
      <w:r>
        <w:rPr>
          <w:vertAlign w:val="superscript"/>
        </w:rPr>
        <w:t xml:space="preserve">7 </w:t>
      </w:r>
      <w:r w:rsidRPr="0053431B">
        <w:t>&lt;500</w:t>
      </w:r>
    </w:p>
    <w:p w14:paraId="3890B6D2" w14:textId="0089629B" w:rsidR="00BE6D2A" w:rsidRDefault="00BE6D2A" w:rsidP="006508EF">
      <w:pPr>
        <w:spacing w:before="240"/>
      </w:pPr>
      <w:r w:rsidRPr="00115E02">
        <w:fldChar w:fldCharType="begin"/>
      </w:r>
      <w:r w:rsidRPr="00115E02">
        <w:instrText xml:space="preserve"> REF _Ref75877516 \h </w:instrText>
      </w:r>
      <w:r>
        <w:instrText xml:space="preserve"> \* MERGEFORMAT </w:instrText>
      </w:r>
      <w:r w:rsidRPr="00115E02">
        <w:fldChar w:fldCharType="separate"/>
      </w:r>
      <w:r>
        <w:t>T</w:t>
      </w:r>
      <w:r w:rsidRPr="00ED5D41">
        <w:t xml:space="preserve">able </w:t>
      </w:r>
      <w:r w:rsidR="003A43D3">
        <w:t>2</w:t>
      </w:r>
      <w:r>
        <w:t>.6</w:t>
      </w:r>
      <w:r w:rsidRPr="00115E02">
        <w:fldChar w:fldCharType="end"/>
      </w:r>
      <w:r>
        <w:t xml:space="preserve"> presents the estimated number of services </w:t>
      </w:r>
      <w:r w:rsidRPr="00AF1D7B">
        <w:t xml:space="preserve">for the patients forecasted to be treated with </w:t>
      </w:r>
      <w:r w:rsidR="001F2A6B">
        <w:t xml:space="preserve">the </w:t>
      </w:r>
      <w:r w:rsidRPr="00AF1D7B">
        <w:t>PDS</w:t>
      </w:r>
      <w:r>
        <w:t>.</w:t>
      </w:r>
    </w:p>
    <w:p w14:paraId="22C26830" w14:textId="719D4E58" w:rsidR="00BE6D2A" w:rsidRPr="00A046A0" w:rsidRDefault="00BE6D2A" w:rsidP="006508EF">
      <w:pPr>
        <w:pStyle w:val="Caption"/>
        <w:spacing w:before="240"/>
        <w:rPr>
          <w:rFonts w:cs="Times New Roman"/>
        </w:rPr>
      </w:pPr>
      <w:bookmarkStart w:id="21" w:name="_Ref75877516"/>
      <w:bookmarkStart w:id="22" w:name="_Toc86743009"/>
      <w:r w:rsidRPr="00A046A0">
        <w:rPr>
          <w:rFonts w:cs="Times New Roman"/>
        </w:rPr>
        <w:lastRenderedPageBreak/>
        <w:t xml:space="preserve">Table </w:t>
      </w:r>
      <w:r w:rsidR="003A43D3" w:rsidRPr="00A046A0">
        <w:rPr>
          <w:rFonts w:cs="Times New Roman"/>
        </w:rPr>
        <w:t>2</w:t>
      </w:r>
      <w:r w:rsidRPr="00A046A0">
        <w:rPr>
          <w:rFonts w:cs="Times New Roman"/>
        </w:rPr>
        <w:t>.</w:t>
      </w:r>
      <w:r w:rsidRPr="00A046A0">
        <w:rPr>
          <w:rFonts w:cs="Times New Roman"/>
        </w:rPr>
        <w:fldChar w:fldCharType="begin"/>
      </w:r>
      <w:r w:rsidRPr="00A046A0">
        <w:rPr>
          <w:rFonts w:cs="Times New Roman"/>
        </w:rPr>
        <w:instrText xml:space="preserve"> SEQ Table \* ARABIC \s 1 </w:instrText>
      </w:r>
      <w:r w:rsidRPr="00A046A0">
        <w:rPr>
          <w:rFonts w:cs="Times New Roman"/>
        </w:rPr>
        <w:fldChar w:fldCharType="separate"/>
      </w:r>
      <w:r w:rsidRPr="00A046A0">
        <w:rPr>
          <w:rFonts w:cs="Times New Roman"/>
          <w:noProof/>
        </w:rPr>
        <w:t>6</w:t>
      </w:r>
      <w:r w:rsidRPr="00A046A0">
        <w:rPr>
          <w:rFonts w:cs="Times New Roman"/>
        </w:rPr>
        <w:fldChar w:fldCharType="end"/>
      </w:r>
      <w:bookmarkEnd w:id="21"/>
      <w:r w:rsidR="00A046A0" w:rsidRPr="00A046A0">
        <w:rPr>
          <w:rFonts w:cs="Times New Roman"/>
        </w:rPr>
        <w:t>: E</w:t>
      </w:r>
      <w:r w:rsidRPr="00A046A0">
        <w:rPr>
          <w:rFonts w:cs="Times New Roman"/>
        </w:rPr>
        <w:t>stimated number of services for the PDS patients</w:t>
      </w:r>
      <w:bookmarkEnd w:id="22"/>
    </w:p>
    <w:tbl>
      <w:tblPr>
        <w:tblStyle w:val="TableGrid"/>
        <w:tblW w:w="5000" w:type="pct"/>
        <w:tblLook w:val="04A0" w:firstRow="1" w:lastRow="0" w:firstColumn="1" w:lastColumn="0" w:noHBand="0" w:noVBand="1"/>
        <w:tblDescription w:val="Estimated number of services for the PDS patients"/>
      </w:tblPr>
      <w:tblGrid>
        <w:gridCol w:w="1344"/>
        <w:gridCol w:w="2278"/>
        <w:gridCol w:w="898"/>
        <w:gridCol w:w="900"/>
        <w:gridCol w:w="900"/>
        <w:gridCol w:w="900"/>
        <w:gridCol w:w="900"/>
        <w:gridCol w:w="896"/>
      </w:tblGrid>
      <w:tr w:rsidR="00BE6D2A" w:rsidRPr="00A046A0" w14:paraId="72116C6F" w14:textId="77777777" w:rsidTr="00A046A0">
        <w:tc>
          <w:tcPr>
            <w:tcW w:w="745" w:type="pct"/>
            <w:tcBorders>
              <w:bottom w:val="single" w:sz="4" w:space="0" w:color="auto"/>
            </w:tcBorders>
            <w:shd w:val="clear" w:color="auto" w:fill="auto"/>
          </w:tcPr>
          <w:p w14:paraId="1723C15F" w14:textId="77777777" w:rsidR="00BE6D2A" w:rsidRPr="00A046A0" w:rsidRDefault="00BE6D2A" w:rsidP="002D226B">
            <w:pPr>
              <w:pStyle w:val="TableText1"/>
              <w:keepNext/>
              <w:spacing w:before="0" w:after="0"/>
              <w:rPr>
                <w:rFonts w:ascii="Arial Narrow" w:hAnsi="Arial Narrow" w:cs="Times New Roman"/>
                <w:b/>
              </w:rPr>
            </w:pPr>
            <w:r w:rsidRPr="00A046A0">
              <w:rPr>
                <w:rFonts w:ascii="Arial Narrow" w:hAnsi="Arial Narrow" w:cs="Times New Roman"/>
                <w:b/>
              </w:rPr>
              <w:t>Patients</w:t>
            </w:r>
          </w:p>
        </w:tc>
        <w:tc>
          <w:tcPr>
            <w:tcW w:w="1263" w:type="pct"/>
            <w:tcBorders>
              <w:bottom w:val="single" w:sz="4" w:space="0" w:color="auto"/>
            </w:tcBorders>
            <w:shd w:val="clear" w:color="auto" w:fill="auto"/>
          </w:tcPr>
          <w:p w14:paraId="51BE1B5F" w14:textId="77777777" w:rsidR="00BE6D2A" w:rsidRPr="00A046A0" w:rsidRDefault="00BE6D2A" w:rsidP="00EB6884">
            <w:pPr>
              <w:pStyle w:val="TableText1"/>
              <w:spacing w:before="0" w:after="0"/>
              <w:rPr>
                <w:rFonts w:ascii="Arial Narrow" w:hAnsi="Arial Narrow" w:cs="Times New Roman"/>
                <w:b/>
              </w:rPr>
            </w:pPr>
            <w:r w:rsidRPr="00A046A0">
              <w:rPr>
                <w:rFonts w:ascii="Arial Narrow" w:hAnsi="Arial Narrow" w:cs="Times New Roman"/>
                <w:b/>
              </w:rPr>
              <w:t>Service</w:t>
            </w:r>
          </w:p>
        </w:tc>
        <w:tc>
          <w:tcPr>
            <w:tcW w:w="498" w:type="pct"/>
            <w:tcBorders>
              <w:bottom w:val="single" w:sz="4" w:space="0" w:color="auto"/>
            </w:tcBorders>
            <w:shd w:val="clear" w:color="auto" w:fill="auto"/>
          </w:tcPr>
          <w:p w14:paraId="052CFEC1"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2022</w:t>
            </w:r>
          </w:p>
        </w:tc>
        <w:tc>
          <w:tcPr>
            <w:tcW w:w="499" w:type="pct"/>
            <w:tcBorders>
              <w:bottom w:val="single" w:sz="4" w:space="0" w:color="auto"/>
            </w:tcBorders>
            <w:shd w:val="clear" w:color="auto" w:fill="auto"/>
          </w:tcPr>
          <w:p w14:paraId="2A35F387"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2023</w:t>
            </w:r>
          </w:p>
        </w:tc>
        <w:tc>
          <w:tcPr>
            <w:tcW w:w="499" w:type="pct"/>
            <w:tcBorders>
              <w:bottom w:val="single" w:sz="4" w:space="0" w:color="auto"/>
            </w:tcBorders>
            <w:shd w:val="clear" w:color="auto" w:fill="auto"/>
          </w:tcPr>
          <w:p w14:paraId="72CC4B78"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2024</w:t>
            </w:r>
          </w:p>
        </w:tc>
        <w:tc>
          <w:tcPr>
            <w:tcW w:w="499" w:type="pct"/>
            <w:tcBorders>
              <w:bottom w:val="single" w:sz="4" w:space="0" w:color="auto"/>
            </w:tcBorders>
            <w:shd w:val="clear" w:color="auto" w:fill="auto"/>
          </w:tcPr>
          <w:p w14:paraId="22783B19"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2025</w:t>
            </w:r>
          </w:p>
        </w:tc>
        <w:tc>
          <w:tcPr>
            <w:tcW w:w="499" w:type="pct"/>
            <w:tcBorders>
              <w:bottom w:val="single" w:sz="4" w:space="0" w:color="auto"/>
            </w:tcBorders>
            <w:shd w:val="clear" w:color="auto" w:fill="auto"/>
          </w:tcPr>
          <w:p w14:paraId="797FF556"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2026</w:t>
            </w:r>
          </w:p>
        </w:tc>
        <w:tc>
          <w:tcPr>
            <w:tcW w:w="497" w:type="pct"/>
            <w:tcBorders>
              <w:bottom w:val="single" w:sz="4" w:space="0" w:color="auto"/>
            </w:tcBorders>
            <w:shd w:val="clear" w:color="auto" w:fill="auto"/>
          </w:tcPr>
          <w:p w14:paraId="3CF3DA7B"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2027</w:t>
            </w:r>
          </w:p>
        </w:tc>
      </w:tr>
      <w:tr w:rsidR="00BE6D2A" w:rsidRPr="00A046A0" w14:paraId="6EA45276" w14:textId="77777777" w:rsidTr="00EB6884">
        <w:tc>
          <w:tcPr>
            <w:tcW w:w="745" w:type="pct"/>
            <w:vMerge w:val="restart"/>
            <w:tcBorders>
              <w:top w:val="single" w:sz="4" w:space="0" w:color="auto"/>
              <w:left w:val="single" w:sz="4" w:space="0" w:color="auto"/>
              <w:bottom w:val="single" w:sz="4" w:space="0" w:color="auto"/>
              <w:right w:val="single" w:sz="4" w:space="0" w:color="auto"/>
            </w:tcBorders>
            <w:vAlign w:val="center"/>
          </w:tcPr>
          <w:p w14:paraId="2179D0AB" w14:textId="77777777" w:rsidR="00BE6D2A" w:rsidRPr="00A046A0" w:rsidRDefault="00BE6D2A" w:rsidP="002D226B">
            <w:pPr>
              <w:keepNext/>
              <w:rPr>
                <w:rFonts w:ascii="Arial Narrow" w:hAnsi="Arial Narrow" w:cs="Times New Roman"/>
                <w:bCs/>
                <w:sz w:val="20"/>
              </w:rPr>
            </w:pPr>
            <w:r w:rsidRPr="00A046A0">
              <w:rPr>
                <w:rFonts w:ascii="Arial Narrow" w:hAnsi="Arial Narrow" w:cs="Times New Roman"/>
                <w:bCs/>
                <w:sz w:val="20"/>
              </w:rPr>
              <w:t>Incident</w:t>
            </w:r>
          </w:p>
        </w:tc>
        <w:tc>
          <w:tcPr>
            <w:tcW w:w="1263" w:type="pct"/>
            <w:tcBorders>
              <w:top w:val="single" w:sz="4" w:space="0" w:color="auto"/>
              <w:left w:val="single" w:sz="4" w:space="0" w:color="auto"/>
              <w:bottom w:val="single" w:sz="4" w:space="0" w:color="auto"/>
              <w:right w:val="single" w:sz="4" w:space="0" w:color="auto"/>
            </w:tcBorders>
            <w:vAlign w:val="center"/>
          </w:tcPr>
          <w:p w14:paraId="5946EACA"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Initial fill and implantation</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10AA29D8" w14:textId="01ECAE73" w:rsidR="00BE6D2A" w:rsidRPr="00966670" w:rsidRDefault="003511C3" w:rsidP="00EB6884">
            <w:pPr>
              <w:jc w:val="center"/>
              <w:rPr>
                <w:rFonts w:ascii="Arial Narrow" w:hAnsi="Arial Narrow" w:cs="Times New Roman"/>
                <w:bCs/>
                <w:sz w:val="20"/>
                <w:vertAlign w:val="superscript"/>
              </w:rPr>
            </w:pPr>
            <w:r w:rsidRPr="003511C3">
              <w:rPr>
                <w:rFonts w:ascii="Arial Narrow" w:hAnsi="Arial Narrow"/>
                <w:bCs/>
                <w:color w:val="000000"/>
                <w:spacing w:val="165"/>
                <w:sz w:val="20"/>
                <w:shd w:val="solid" w:color="000000" w:fill="000000"/>
                <w:fitText w:val="260" w:id="-1490359550"/>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50"/>
                <w14:textFill>
                  <w14:solidFill>
                    <w14:srgbClr w14:val="000000">
                      <w14:alpha w14:val="100000"/>
                    </w14:srgbClr>
                  </w14:solidFill>
                </w14:textFill>
              </w:rPr>
              <w:t>|</w:t>
            </w:r>
            <w:r w:rsidR="004E77BA" w:rsidRPr="00966670">
              <w:rPr>
                <w:rFonts w:ascii="Arial Narrow" w:hAnsi="Arial Narrow"/>
                <w:bCs/>
                <w:sz w:val="20"/>
              </w:rPr>
              <w:t xml:space="preserve"> </w:t>
            </w:r>
            <w:r w:rsidR="004E77BA" w:rsidRPr="00966670">
              <w:rPr>
                <w:rFonts w:ascii="Arial Narrow" w:hAnsi="Arial Narrow"/>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B13EA81" w14:textId="2B222003"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9"/>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9"/>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7618490D" w14:textId="76741830"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8"/>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8"/>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CB77109" w14:textId="1C01EA0C"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7"/>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7"/>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4781CBE" w14:textId="2B31006D"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6"/>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6"/>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14:paraId="4EF380E3" w14:textId="2E49064B"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5"/>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5"/>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r>
      <w:tr w:rsidR="00BE6D2A" w:rsidRPr="00A046A0" w14:paraId="50907DB9" w14:textId="77777777" w:rsidTr="00EB6884">
        <w:tc>
          <w:tcPr>
            <w:tcW w:w="745" w:type="pct"/>
            <w:vMerge/>
            <w:tcBorders>
              <w:top w:val="single" w:sz="4" w:space="0" w:color="auto"/>
              <w:left w:val="single" w:sz="4" w:space="0" w:color="auto"/>
              <w:bottom w:val="single" w:sz="4" w:space="0" w:color="auto"/>
              <w:right w:val="single" w:sz="4" w:space="0" w:color="auto"/>
            </w:tcBorders>
            <w:vAlign w:val="center"/>
          </w:tcPr>
          <w:p w14:paraId="30FC7C71" w14:textId="77777777" w:rsidR="00BE6D2A" w:rsidRPr="00A046A0" w:rsidRDefault="00BE6D2A" w:rsidP="002D226B">
            <w:pPr>
              <w:keepNext/>
              <w:rPr>
                <w:rFonts w:ascii="Arial Narrow" w:hAnsi="Arial Narrow" w:cs="Times New Roman"/>
                <w:bCs/>
                <w:sz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13ED364"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Refill-exchange</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42408316" w14:textId="35D5CCDA"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4"/>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4"/>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FF1C214" w14:textId="529F7DFF"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3"/>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3"/>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8AF4000" w14:textId="2A40BE39"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2"/>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2"/>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6370576" w14:textId="57FA9AAA"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1"/>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1"/>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77D941F3" w14:textId="172B2534"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40"/>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40"/>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14:paraId="64C40F6C" w14:textId="7B2A52B5"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39"/>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39"/>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r>
      <w:tr w:rsidR="00BE6D2A" w:rsidRPr="00A046A0" w14:paraId="6F912E4D" w14:textId="77777777" w:rsidTr="00EB6884">
        <w:tc>
          <w:tcPr>
            <w:tcW w:w="745" w:type="pct"/>
            <w:tcBorders>
              <w:top w:val="single" w:sz="4" w:space="0" w:color="auto"/>
              <w:left w:val="single" w:sz="4" w:space="0" w:color="auto"/>
              <w:bottom w:val="single" w:sz="4" w:space="0" w:color="auto"/>
              <w:right w:val="single" w:sz="4" w:space="0" w:color="auto"/>
            </w:tcBorders>
            <w:vAlign w:val="center"/>
          </w:tcPr>
          <w:p w14:paraId="5233F3BA" w14:textId="35B683C1" w:rsidR="00BE6D2A" w:rsidRPr="00A046A0" w:rsidRDefault="00BE6D2A" w:rsidP="002D226B">
            <w:pPr>
              <w:keepNext/>
              <w:rPr>
                <w:rFonts w:ascii="Arial Narrow" w:hAnsi="Arial Narrow" w:cs="Times New Roman"/>
                <w:bCs/>
                <w:sz w:val="20"/>
              </w:rPr>
            </w:pPr>
            <w:r w:rsidRPr="00A046A0">
              <w:rPr>
                <w:rFonts w:ascii="Arial Narrow" w:hAnsi="Arial Narrow" w:cs="Times New Roman"/>
                <w:bCs/>
                <w:sz w:val="20"/>
              </w:rPr>
              <w:t>Continuing</w:t>
            </w:r>
          </w:p>
        </w:tc>
        <w:tc>
          <w:tcPr>
            <w:tcW w:w="1263" w:type="pct"/>
            <w:tcBorders>
              <w:top w:val="single" w:sz="4" w:space="0" w:color="auto"/>
              <w:left w:val="single" w:sz="4" w:space="0" w:color="auto"/>
              <w:bottom w:val="single" w:sz="4" w:space="0" w:color="auto"/>
              <w:right w:val="single" w:sz="4" w:space="0" w:color="auto"/>
            </w:tcBorders>
            <w:vAlign w:val="center"/>
          </w:tcPr>
          <w:p w14:paraId="2E1A1863"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Refill-exchange</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3A26646F" w14:textId="678EF65B"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38"/>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38"/>
                <w14:textFill>
                  <w14:solidFill>
                    <w14:srgbClr w14:val="000000">
                      <w14:alpha w14:val="100000"/>
                    </w14:srgbClr>
                  </w14:solidFill>
                </w14:textFill>
              </w:rPr>
              <w:t>|</w:t>
            </w:r>
            <w:r w:rsidR="00727663" w:rsidRPr="00966670">
              <w:rPr>
                <w:rFonts w:ascii="Arial Narrow" w:hAnsi="Arial Narrow"/>
                <w:bCs/>
                <w:sz w:val="20"/>
              </w:rPr>
              <w:t> </w:t>
            </w:r>
            <w:r w:rsidR="00727663" w:rsidRPr="00966670">
              <w:rPr>
                <w:rFonts w:ascii="Arial Narrow" w:hAnsi="Arial Narrow"/>
                <w:bCs/>
                <w:sz w:val="20"/>
                <w:vertAlign w:val="superscript"/>
              </w:rPr>
              <w:t>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DE7C153" w14:textId="7C7A0A7B"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37"/>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37"/>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EF08689" w14:textId="4596A242"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536"/>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536"/>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C661980" w14:textId="63A19203"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6"/>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6"/>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3ED145A" w14:textId="1640B9D7"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5"/>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5"/>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14:paraId="093273CD" w14:textId="1532FDB6"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4"/>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4"/>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r>
      <w:tr w:rsidR="00BE6D2A" w:rsidRPr="00A046A0" w14:paraId="30B9F7DB" w14:textId="77777777" w:rsidTr="00EB6884">
        <w:tc>
          <w:tcPr>
            <w:tcW w:w="745" w:type="pct"/>
            <w:vMerge w:val="restart"/>
            <w:tcBorders>
              <w:top w:val="single" w:sz="4" w:space="0" w:color="auto"/>
              <w:left w:val="single" w:sz="4" w:space="0" w:color="auto"/>
              <w:bottom w:val="single" w:sz="4" w:space="0" w:color="auto"/>
              <w:right w:val="single" w:sz="4" w:space="0" w:color="auto"/>
            </w:tcBorders>
            <w:vAlign w:val="center"/>
          </w:tcPr>
          <w:p w14:paraId="2FAA2DF8" w14:textId="77777777" w:rsidR="00BE6D2A" w:rsidRPr="00A046A0" w:rsidRDefault="00BE6D2A" w:rsidP="002D226B">
            <w:pPr>
              <w:keepNext/>
              <w:rPr>
                <w:rFonts w:ascii="Arial Narrow" w:hAnsi="Arial Narrow" w:cs="Times New Roman"/>
                <w:b/>
                <w:bCs/>
                <w:sz w:val="20"/>
              </w:rPr>
            </w:pPr>
            <w:r w:rsidRPr="00A046A0">
              <w:rPr>
                <w:rFonts w:ascii="Arial Narrow" w:hAnsi="Arial Narrow" w:cs="Times New Roman"/>
                <w:b/>
                <w:bCs/>
                <w:sz w:val="20"/>
              </w:rPr>
              <w:t>Total</w:t>
            </w:r>
          </w:p>
        </w:tc>
        <w:tc>
          <w:tcPr>
            <w:tcW w:w="1263" w:type="pct"/>
            <w:tcBorders>
              <w:top w:val="single" w:sz="4" w:space="0" w:color="auto"/>
              <w:left w:val="single" w:sz="4" w:space="0" w:color="auto"/>
              <w:bottom w:val="single" w:sz="4" w:space="0" w:color="auto"/>
              <w:right w:val="single" w:sz="4" w:space="0" w:color="auto"/>
            </w:tcBorders>
            <w:vAlign w:val="center"/>
          </w:tcPr>
          <w:p w14:paraId="2EB24F72" w14:textId="77777777" w:rsidR="00BE6D2A" w:rsidRPr="00966670" w:rsidRDefault="00BE6D2A" w:rsidP="00EB6884">
            <w:pPr>
              <w:rPr>
                <w:rFonts w:ascii="Arial Narrow" w:hAnsi="Arial Narrow" w:cs="Times New Roman"/>
                <w:b/>
                <w:bCs/>
                <w:sz w:val="20"/>
              </w:rPr>
            </w:pPr>
            <w:r w:rsidRPr="00966670">
              <w:rPr>
                <w:rFonts w:ascii="Arial Narrow" w:hAnsi="Arial Narrow" w:cs="Times New Roman"/>
                <w:b/>
                <w:bCs/>
                <w:sz w:val="20"/>
              </w:rPr>
              <w:t>Initial fill and implantation</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099EA5C7" w14:textId="099A2B4D"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93"/>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264A8335" w14:textId="44E87A91"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92"/>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3985FC6" w14:textId="3B0B8D80"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91"/>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579EE866" w14:textId="039D3F89"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90"/>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0646771C" w14:textId="07EFCB79"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9"/>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14:paraId="58542FC8" w14:textId="7BC27B99"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8"/>
                <w14:textFill>
                  <w14:solidFill>
                    <w14:srgbClr w14:val="000000">
                      <w14:alpha w14:val="100000"/>
                    </w14:srgbClr>
                  </w14:solidFill>
                </w14:textFill>
              </w:rPr>
              <w:t>|</w:t>
            </w:r>
            <w:r w:rsidRPr="003511C3">
              <w:rPr>
                <w:rFonts w:ascii="Arial Narrow" w:hAnsi="Arial Narrow"/>
                <w:b/>
                <w:bCs/>
                <w:color w:val="000000"/>
                <w:sz w:val="20"/>
                <w:shd w:val="solid" w:color="000000" w:fill="000000"/>
                <w:fitText w:val="300" w:id="-1490359288"/>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r>
      <w:tr w:rsidR="00BE6D2A" w:rsidRPr="00A046A0" w14:paraId="70A8F475" w14:textId="77777777" w:rsidTr="00EB6884">
        <w:tc>
          <w:tcPr>
            <w:tcW w:w="745" w:type="pct"/>
            <w:vMerge/>
            <w:tcBorders>
              <w:top w:val="single" w:sz="4" w:space="0" w:color="auto"/>
              <w:left w:val="single" w:sz="4" w:space="0" w:color="auto"/>
              <w:bottom w:val="single" w:sz="4" w:space="0" w:color="auto"/>
              <w:right w:val="single" w:sz="4" w:space="0" w:color="auto"/>
            </w:tcBorders>
          </w:tcPr>
          <w:p w14:paraId="69664B1F" w14:textId="77777777" w:rsidR="00BE6D2A" w:rsidRPr="00A046A0" w:rsidRDefault="00BE6D2A" w:rsidP="002D226B">
            <w:pPr>
              <w:keepNext/>
              <w:rPr>
                <w:rFonts w:ascii="Arial Narrow" w:hAnsi="Arial Narrow" w:cs="Times New Roman"/>
                <w:b/>
                <w:bCs/>
                <w:sz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45CD7CE" w14:textId="77777777" w:rsidR="00BE6D2A" w:rsidRPr="00966670" w:rsidRDefault="00BE6D2A" w:rsidP="00EB6884">
            <w:pPr>
              <w:rPr>
                <w:rFonts w:ascii="Arial Narrow" w:hAnsi="Arial Narrow" w:cs="Times New Roman"/>
                <w:b/>
                <w:bCs/>
                <w:sz w:val="20"/>
              </w:rPr>
            </w:pPr>
            <w:r w:rsidRPr="00966670">
              <w:rPr>
                <w:rFonts w:ascii="Arial Narrow" w:hAnsi="Arial Narrow" w:cs="Times New Roman"/>
                <w:b/>
                <w:bCs/>
                <w:sz w:val="20"/>
              </w:rPr>
              <w:t>Refill-exchange</w:t>
            </w:r>
          </w:p>
        </w:tc>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48CFB0C2" w14:textId="405D64B4"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7"/>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2BCE1C9" w14:textId="52CC957D"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6"/>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032EB7A9" w14:textId="2D22454A"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5"/>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248877E" w14:textId="076EDD9C"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4"/>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2382AFFD" w14:textId="0BE2B2F0"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30"/>
                <w:sz w:val="20"/>
                <w:shd w:val="solid" w:color="000000" w:fill="000000"/>
                <w:fitText w:val="310" w:id="-1490359283"/>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14:paraId="67A644C4" w14:textId="6937428E"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2"/>
                <w14:textFill>
                  <w14:solidFill>
                    <w14:srgbClr w14:val="000000">
                      <w14:alpha w14:val="100000"/>
                    </w14:srgbClr>
                  </w14:solidFill>
                </w14:textFill>
              </w:rPr>
              <w:t>|</w:t>
            </w:r>
            <w:r w:rsidRPr="003511C3">
              <w:rPr>
                <w:rFonts w:ascii="Arial Narrow" w:hAnsi="Arial Narrow"/>
                <w:b/>
                <w:bCs/>
                <w:color w:val="000000"/>
                <w:sz w:val="20"/>
                <w:shd w:val="solid" w:color="000000" w:fill="000000"/>
                <w:fitText w:val="300" w:id="-1490359282"/>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4</w:t>
            </w:r>
          </w:p>
        </w:tc>
      </w:tr>
    </w:tbl>
    <w:p w14:paraId="1CB723DE" w14:textId="34C3DC7D" w:rsidR="00BE6D2A" w:rsidRDefault="00BE6D2A" w:rsidP="007438F1">
      <w:pPr>
        <w:pStyle w:val="SourceNotes"/>
        <w:keepNext/>
        <w:rPr>
          <w:rFonts w:ascii="Arial Narrow" w:hAnsi="Arial Narrow" w:cs="Times New Roman"/>
        </w:rPr>
      </w:pPr>
      <w:r w:rsidRPr="00A046A0">
        <w:rPr>
          <w:rFonts w:ascii="Arial Narrow" w:hAnsi="Arial Narrow" w:cs="Times New Roman"/>
        </w:rPr>
        <w:t>Source:</w:t>
      </w:r>
      <w:r w:rsidRPr="00A046A0">
        <w:rPr>
          <w:rFonts w:ascii="Arial Narrow" w:hAnsi="Arial Narrow" w:cs="Times New Roman"/>
        </w:rPr>
        <w:tab/>
        <w:t xml:space="preserve">MBS+PHI budget impact.xlsx, spreadsheet ‘MBS+PL </w:t>
      </w:r>
      <w:proofErr w:type="spellStart"/>
      <w:r w:rsidRPr="00A046A0">
        <w:rPr>
          <w:rFonts w:ascii="Arial Narrow" w:hAnsi="Arial Narrow" w:cs="Times New Roman"/>
        </w:rPr>
        <w:t>Utilisation+Cost</w:t>
      </w:r>
      <w:proofErr w:type="spellEnd"/>
      <w:r w:rsidRPr="00A046A0">
        <w:rPr>
          <w:rFonts w:ascii="Arial Narrow" w:hAnsi="Arial Narrow" w:cs="Times New Roman"/>
        </w:rPr>
        <w:t>’.</w:t>
      </w:r>
    </w:p>
    <w:p w14:paraId="514BA123" w14:textId="77777777" w:rsidR="004E77BA" w:rsidRDefault="004E77BA" w:rsidP="007438F1">
      <w:pPr>
        <w:pStyle w:val="Tablenotes1"/>
        <w:keepNext/>
      </w:pPr>
      <w:r w:rsidRPr="001779F5">
        <w:t>The redacted values correspond to the following ranges:</w:t>
      </w:r>
    </w:p>
    <w:p w14:paraId="5D719614" w14:textId="0A2390B4" w:rsidR="004E77BA" w:rsidRDefault="004E77BA" w:rsidP="007438F1">
      <w:pPr>
        <w:pStyle w:val="Tablenotes1"/>
        <w:keepNext/>
      </w:pPr>
      <w:r>
        <w:rPr>
          <w:vertAlign w:val="superscript"/>
        </w:rPr>
        <w:t xml:space="preserve">1 </w:t>
      </w:r>
      <w:r w:rsidRPr="004E77BA">
        <w:t>500 to &lt;5,000</w:t>
      </w:r>
    </w:p>
    <w:p w14:paraId="6E4BB499" w14:textId="1172FF44" w:rsidR="004E77BA" w:rsidRDefault="004E77BA" w:rsidP="007438F1">
      <w:pPr>
        <w:pStyle w:val="Tablenotes1"/>
        <w:keepNext/>
      </w:pPr>
      <w:r>
        <w:rPr>
          <w:vertAlign w:val="superscript"/>
        </w:rPr>
        <w:t xml:space="preserve">2 </w:t>
      </w:r>
      <w:r w:rsidRPr="004E77BA">
        <w:t>5,000 to &lt;10,000</w:t>
      </w:r>
    </w:p>
    <w:p w14:paraId="695C48CA" w14:textId="03B79E30" w:rsidR="004E77BA" w:rsidRDefault="004E77BA" w:rsidP="007438F1">
      <w:pPr>
        <w:pStyle w:val="Tablenotes1"/>
        <w:keepNext/>
      </w:pPr>
      <w:r>
        <w:rPr>
          <w:vertAlign w:val="superscript"/>
        </w:rPr>
        <w:t>3</w:t>
      </w:r>
      <w:r>
        <w:t xml:space="preserve"> </w:t>
      </w:r>
      <w:r w:rsidRPr="004E77BA">
        <w:t>10,000 to &lt;20,000</w:t>
      </w:r>
    </w:p>
    <w:p w14:paraId="58EE8405" w14:textId="6912A215" w:rsidR="004E77BA" w:rsidRDefault="005B4A43" w:rsidP="0053431B">
      <w:pPr>
        <w:pStyle w:val="Tablenotes1"/>
      </w:pPr>
      <w:r>
        <w:rPr>
          <w:vertAlign w:val="superscript"/>
        </w:rPr>
        <w:t>4</w:t>
      </w:r>
      <w:r w:rsidR="004E77BA">
        <w:rPr>
          <w:vertAlign w:val="superscript"/>
        </w:rPr>
        <w:t xml:space="preserve"> </w:t>
      </w:r>
      <w:r w:rsidR="004E77BA" w:rsidRPr="0053431B">
        <w:t>20,000 to &lt;30,000</w:t>
      </w:r>
    </w:p>
    <w:p w14:paraId="0AE0FA4A" w14:textId="7DD0735C" w:rsidR="00727663" w:rsidRDefault="00727663" w:rsidP="000A7E0C">
      <w:pPr>
        <w:pStyle w:val="Tablenotes1"/>
        <w:keepNext/>
      </w:pPr>
      <w:r>
        <w:rPr>
          <w:vertAlign w:val="superscript"/>
        </w:rPr>
        <w:t xml:space="preserve">5 </w:t>
      </w:r>
      <w:r w:rsidRPr="00E3735A">
        <w:t>&lt;500</w:t>
      </w:r>
    </w:p>
    <w:p w14:paraId="506F00E7" w14:textId="146CDAB3" w:rsidR="00BE6D2A" w:rsidRDefault="00BE6D2A" w:rsidP="006508EF">
      <w:pPr>
        <w:spacing w:before="240"/>
      </w:pPr>
      <w:r w:rsidRPr="00CD3027">
        <w:fldChar w:fldCharType="begin"/>
      </w:r>
      <w:r w:rsidRPr="00CD3027">
        <w:instrText xml:space="preserve"> REF _Ref85743038 \h </w:instrText>
      </w:r>
      <w:r>
        <w:instrText xml:space="preserve"> \* MERGEFORMAT </w:instrText>
      </w:r>
      <w:r w:rsidRPr="00CD3027">
        <w:fldChar w:fldCharType="separate"/>
      </w:r>
      <w:r>
        <w:t>T</w:t>
      </w:r>
      <w:r w:rsidRPr="00ED5D41">
        <w:t xml:space="preserve">able </w:t>
      </w:r>
      <w:r w:rsidR="003A43D3">
        <w:t>2</w:t>
      </w:r>
      <w:r>
        <w:t>.7</w:t>
      </w:r>
      <w:r w:rsidRPr="00CD3027">
        <w:fldChar w:fldCharType="end"/>
      </w:r>
      <w:r w:rsidRPr="00CD3027">
        <w:t xml:space="preserve"> presents the estimated number of monitoring services for the patients forecasted to be treated</w:t>
      </w:r>
      <w:r w:rsidRPr="00AF1D7B">
        <w:t xml:space="preserve"> with </w:t>
      </w:r>
      <w:r w:rsidR="001F2A6B">
        <w:t xml:space="preserve">the </w:t>
      </w:r>
      <w:r w:rsidRPr="00AF1D7B">
        <w:t>PDS</w:t>
      </w:r>
      <w:r>
        <w:t>.</w:t>
      </w:r>
    </w:p>
    <w:p w14:paraId="4D827309" w14:textId="3FEB4605" w:rsidR="00BE6D2A" w:rsidRPr="00A046A0" w:rsidRDefault="00BE6D2A" w:rsidP="006508EF">
      <w:pPr>
        <w:pStyle w:val="Caption"/>
        <w:spacing w:before="240"/>
        <w:rPr>
          <w:rFonts w:cs="Times New Roman"/>
        </w:rPr>
      </w:pPr>
      <w:bookmarkStart w:id="23" w:name="_Ref85743038"/>
      <w:bookmarkStart w:id="24" w:name="_Toc86743010"/>
      <w:r w:rsidRPr="00A046A0">
        <w:rPr>
          <w:rFonts w:cs="Times New Roman"/>
        </w:rPr>
        <w:t xml:space="preserve">Table </w:t>
      </w:r>
      <w:r w:rsidR="003A43D3" w:rsidRPr="00A046A0">
        <w:rPr>
          <w:rFonts w:cs="Times New Roman"/>
        </w:rPr>
        <w:t>2</w:t>
      </w:r>
      <w:r w:rsidRPr="00A046A0">
        <w:rPr>
          <w:rFonts w:cs="Times New Roman"/>
        </w:rPr>
        <w:t>.</w:t>
      </w:r>
      <w:r w:rsidRPr="00A046A0">
        <w:rPr>
          <w:rFonts w:cs="Times New Roman"/>
        </w:rPr>
        <w:fldChar w:fldCharType="begin"/>
      </w:r>
      <w:r w:rsidRPr="00A046A0">
        <w:rPr>
          <w:rFonts w:cs="Times New Roman"/>
        </w:rPr>
        <w:instrText xml:space="preserve"> SEQ Table \* ARABIC \s 1 </w:instrText>
      </w:r>
      <w:r w:rsidRPr="00A046A0">
        <w:rPr>
          <w:rFonts w:cs="Times New Roman"/>
        </w:rPr>
        <w:fldChar w:fldCharType="separate"/>
      </w:r>
      <w:r w:rsidRPr="00A046A0">
        <w:rPr>
          <w:rFonts w:cs="Times New Roman"/>
          <w:noProof/>
        </w:rPr>
        <w:t>7</w:t>
      </w:r>
      <w:r w:rsidRPr="00A046A0">
        <w:rPr>
          <w:rFonts w:cs="Times New Roman"/>
        </w:rPr>
        <w:fldChar w:fldCharType="end"/>
      </w:r>
      <w:bookmarkEnd w:id="23"/>
      <w:r w:rsidR="00A046A0" w:rsidRPr="00A046A0">
        <w:rPr>
          <w:rFonts w:cs="Times New Roman"/>
        </w:rPr>
        <w:t xml:space="preserve">: </w:t>
      </w:r>
      <w:r w:rsidRPr="00A046A0">
        <w:rPr>
          <w:rFonts w:cs="Times New Roman"/>
        </w:rPr>
        <w:t>Estimated number of monitoring services for PDS patients</w:t>
      </w:r>
      <w:bookmarkEnd w:id="24"/>
    </w:p>
    <w:tbl>
      <w:tblPr>
        <w:tblStyle w:val="TableGrid"/>
        <w:tblW w:w="5000" w:type="pct"/>
        <w:tblLook w:val="04A0" w:firstRow="1" w:lastRow="0" w:firstColumn="1" w:lastColumn="0" w:noHBand="0" w:noVBand="1"/>
      </w:tblPr>
      <w:tblGrid>
        <w:gridCol w:w="1325"/>
        <w:gridCol w:w="2259"/>
        <w:gridCol w:w="905"/>
        <w:gridCol w:w="905"/>
        <w:gridCol w:w="905"/>
        <w:gridCol w:w="905"/>
        <w:gridCol w:w="905"/>
        <w:gridCol w:w="907"/>
      </w:tblGrid>
      <w:tr w:rsidR="00BE6D2A" w:rsidRPr="00A046A0" w14:paraId="53ACAC73" w14:textId="77777777" w:rsidTr="00A046A0">
        <w:tc>
          <w:tcPr>
            <w:tcW w:w="734" w:type="pct"/>
            <w:shd w:val="clear" w:color="auto" w:fill="auto"/>
          </w:tcPr>
          <w:p w14:paraId="2084074C" w14:textId="77777777" w:rsidR="00BE6D2A" w:rsidRPr="00A046A0" w:rsidRDefault="00BE6D2A" w:rsidP="002D226B">
            <w:pPr>
              <w:pStyle w:val="TableText1"/>
              <w:keepNext/>
              <w:spacing w:before="0" w:after="0"/>
              <w:rPr>
                <w:rFonts w:ascii="Arial Narrow" w:hAnsi="Arial Narrow" w:cs="Times New Roman"/>
                <w:b/>
              </w:rPr>
            </w:pPr>
            <w:r w:rsidRPr="00A046A0">
              <w:rPr>
                <w:rFonts w:ascii="Arial Narrow" w:hAnsi="Arial Narrow" w:cs="Times New Roman"/>
                <w:b/>
              </w:rPr>
              <w:t>Patients</w:t>
            </w:r>
          </w:p>
        </w:tc>
        <w:tc>
          <w:tcPr>
            <w:tcW w:w="1252" w:type="pct"/>
            <w:shd w:val="clear" w:color="auto" w:fill="auto"/>
          </w:tcPr>
          <w:p w14:paraId="0418BF16" w14:textId="77777777" w:rsidR="00BE6D2A" w:rsidRPr="00A046A0" w:rsidRDefault="00BE6D2A" w:rsidP="00EB6884">
            <w:pPr>
              <w:pStyle w:val="TableText1"/>
              <w:spacing w:before="0" w:after="0"/>
              <w:rPr>
                <w:rFonts w:ascii="Arial Narrow" w:hAnsi="Arial Narrow" w:cs="Times New Roman"/>
                <w:b/>
              </w:rPr>
            </w:pPr>
            <w:r w:rsidRPr="00A046A0">
              <w:rPr>
                <w:rFonts w:ascii="Arial Narrow" w:hAnsi="Arial Narrow" w:cs="Times New Roman"/>
                <w:b/>
              </w:rPr>
              <w:t>Service</w:t>
            </w:r>
          </w:p>
        </w:tc>
        <w:tc>
          <w:tcPr>
            <w:tcW w:w="502" w:type="pct"/>
            <w:shd w:val="clear" w:color="auto" w:fill="auto"/>
          </w:tcPr>
          <w:p w14:paraId="4467659D"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2022</w:t>
            </w:r>
          </w:p>
        </w:tc>
        <w:tc>
          <w:tcPr>
            <w:tcW w:w="502" w:type="pct"/>
            <w:shd w:val="clear" w:color="auto" w:fill="auto"/>
          </w:tcPr>
          <w:p w14:paraId="4DB221D5"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2023</w:t>
            </w:r>
          </w:p>
        </w:tc>
        <w:tc>
          <w:tcPr>
            <w:tcW w:w="502" w:type="pct"/>
            <w:shd w:val="clear" w:color="auto" w:fill="auto"/>
          </w:tcPr>
          <w:p w14:paraId="45C8D480"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2024</w:t>
            </w:r>
          </w:p>
        </w:tc>
        <w:tc>
          <w:tcPr>
            <w:tcW w:w="502" w:type="pct"/>
            <w:shd w:val="clear" w:color="auto" w:fill="auto"/>
          </w:tcPr>
          <w:p w14:paraId="448D1076"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2025</w:t>
            </w:r>
          </w:p>
        </w:tc>
        <w:tc>
          <w:tcPr>
            <w:tcW w:w="502" w:type="pct"/>
            <w:shd w:val="clear" w:color="auto" w:fill="auto"/>
          </w:tcPr>
          <w:p w14:paraId="72BD5029"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2026</w:t>
            </w:r>
          </w:p>
        </w:tc>
        <w:tc>
          <w:tcPr>
            <w:tcW w:w="503" w:type="pct"/>
            <w:shd w:val="clear" w:color="auto" w:fill="auto"/>
          </w:tcPr>
          <w:p w14:paraId="63B9382B"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2027</w:t>
            </w:r>
          </w:p>
        </w:tc>
      </w:tr>
      <w:tr w:rsidR="00BE6D2A" w:rsidRPr="00966670" w14:paraId="3E120E58" w14:textId="77777777" w:rsidTr="00EB6884">
        <w:tc>
          <w:tcPr>
            <w:tcW w:w="734" w:type="pct"/>
            <w:vAlign w:val="center"/>
          </w:tcPr>
          <w:p w14:paraId="2260A806" w14:textId="35E946C7" w:rsidR="00BE6D2A" w:rsidRPr="00966670" w:rsidRDefault="00BE6D2A" w:rsidP="002D226B">
            <w:pPr>
              <w:keepNext/>
              <w:rPr>
                <w:rFonts w:ascii="Arial Narrow" w:hAnsi="Arial Narrow" w:cs="Times New Roman"/>
                <w:bCs/>
                <w:sz w:val="20"/>
              </w:rPr>
            </w:pPr>
            <w:r w:rsidRPr="00966670">
              <w:rPr>
                <w:rFonts w:ascii="Arial Narrow" w:hAnsi="Arial Narrow" w:cs="Times New Roman"/>
                <w:bCs/>
                <w:sz w:val="20"/>
              </w:rPr>
              <w:t>Incident</w:t>
            </w:r>
          </w:p>
        </w:tc>
        <w:tc>
          <w:tcPr>
            <w:tcW w:w="1252" w:type="pct"/>
            <w:vAlign w:val="center"/>
          </w:tcPr>
          <w:p w14:paraId="711AA566"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Monitoring</w:t>
            </w:r>
          </w:p>
        </w:tc>
        <w:tc>
          <w:tcPr>
            <w:tcW w:w="502" w:type="pct"/>
            <w:shd w:val="clear" w:color="auto" w:fill="auto"/>
            <w:vAlign w:val="bottom"/>
          </w:tcPr>
          <w:p w14:paraId="2648353D" w14:textId="389A9514"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81"/>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81"/>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502" w:type="pct"/>
            <w:shd w:val="clear" w:color="auto" w:fill="auto"/>
            <w:vAlign w:val="bottom"/>
          </w:tcPr>
          <w:p w14:paraId="3B2F3050" w14:textId="49BC73CC"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80"/>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80"/>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502" w:type="pct"/>
            <w:shd w:val="clear" w:color="auto" w:fill="auto"/>
            <w:vAlign w:val="bottom"/>
          </w:tcPr>
          <w:p w14:paraId="1C5D4E06" w14:textId="492905C8"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6"/>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6"/>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2</w:t>
            </w:r>
          </w:p>
        </w:tc>
        <w:tc>
          <w:tcPr>
            <w:tcW w:w="502" w:type="pct"/>
            <w:shd w:val="clear" w:color="auto" w:fill="auto"/>
            <w:vAlign w:val="bottom"/>
          </w:tcPr>
          <w:p w14:paraId="4286F14E" w14:textId="719E6A28"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5"/>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5"/>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3</w:t>
            </w:r>
          </w:p>
        </w:tc>
        <w:tc>
          <w:tcPr>
            <w:tcW w:w="502" w:type="pct"/>
            <w:shd w:val="clear" w:color="auto" w:fill="auto"/>
            <w:vAlign w:val="bottom"/>
          </w:tcPr>
          <w:p w14:paraId="4DE40EDB" w14:textId="4827CACA"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4"/>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4"/>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3</w:t>
            </w:r>
          </w:p>
        </w:tc>
        <w:tc>
          <w:tcPr>
            <w:tcW w:w="503" w:type="pct"/>
            <w:shd w:val="clear" w:color="auto" w:fill="auto"/>
            <w:vAlign w:val="bottom"/>
          </w:tcPr>
          <w:p w14:paraId="411AD960" w14:textId="09C935CD"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3"/>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3"/>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3</w:t>
            </w:r>
          </w:p>
        </w:tc>
      </w:tr>
      <w:tr w:rsidR="00BE6D2A" w:rsidRPr="00966670" w14:paraId="34EFB1CA" w14:textId="77777777" w:rsidTr="00EB6884">
        <w:tc>
          <w:tcPr>
            <w:tcW w:w="734" w:type="pct"/>
            <w:vAlign w:val="center"/>
          </w:tcPr>
          <w:p w14:paraId="55BD10F9" w14:textId="514D000E" w:rsidR="00BE6D2A" w:rsidRPr="00966670" w:rsidRDefault="00BE6D2A" w:rsidP="002D226B">
            <w:pPr>
              <w:keepNext/>
              <w:rPr>
                <w:rFonts w:ascii="Arial Narrow" w:hAnsi="Arial Narrow" w:cs="Times New Roman"/>
                <w:bCs/>
                <w:sz w:val="20"/>
              </w:rPr>
            </w:pPr>
            <w:r w:rsidRPr="00966670">
              <w:rPr>
                <w:rFonts w:ascii="Arial Narrow" w:hAnsi="Arial Narrow" w:cs="Times New Roman"/>
                <w:bCs/>
                <w:sz w:val="20"/>
              </w:rPr>
              <w:t>Continuing</w:t>
            </w:r>
          </w:p>
        </w:tc>
        <w:tc>
          <w:tcPr>
            <w:tcW w:w="1252" w:type="pct"/>
            <w:vAlign w:val="center"/>
          </w:tcPr>
          <w:p w14:paraId="5140F37A"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Monitoring</w:t>
            </w:r>
          </w:p>
        </w:tc>
        <w:tc>
          <w:tcPr>
            <w:tcW w:w="502" w:type="pct"/>
            <w:shd w:val="clear" w:color="auto" w:fill="auto"/>
            <w:vAlign w:val="bottom"/>
          </w:tcPr>
          <w:p w14:paraId="43C9730D" w14:textId="1BE2C2F3" w:rsidR="00BE6D2A" w:rsidRPr="00966670" w:rsidRDefault="003511C3" w:rsidP="00EB6884">
            <w:pPr>
              <w:jc w:val="center"/>
              <w:rPr>
                <w:rFonts w:ascii="Arial Narrow" w:hAnsi="Arial Narrow" w:cs="Times New Roman"/>
                <w:bCs/>
                <w:sz w:val="20"/>
                <w:vertAlign w:val="superscript"/>
              </w:rPr>
            </w:pPr>
            <w:r w:rsidRPr="003511C3">
              <w:rPr>
                <w:rFonts w:ascii="Arial Narrow" w:hAnsi="Arial Narrow"/>
                <w:bCs/>
                <w:color w:val="000000"/>
                <w:spacing w:val="165"/>
                <w:sz w:val="20"/>
                <w:shd w:val="solid" w:color="000000" w:fill="000000"/>
                <w:fitText w:val="260" w:id="-1490359292"/>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2"/>
                <w14:textFill>
                  <w14:solidFill>
                    <w14:srgbClr w14:val="000000">
                      <w14:alpha w14:val="100000"/>
                    </w14:srgbClr>
                  </w14:solidFill>
                </w14:textFill>
              </w:rPr>
              <w:t>|</w:t>
            </w:r>
            <w:r w:rsidR="00FC7B48" w:rsidRPr="00966670">
              <w:rPr>
                <w:rFonts w:ascii="Arial Narrow" w:hAnsi="Arial Narrow"/>
                <w:bCs/>
                <w:sz w:val="20"/>
              </w:rPr>
              <w:t xml:space="preserve"> </w:t>
            </w:r>
            <w:r w:rsidR="00FC7B48" w:rsidRPr="00966670">
              <w:rPr>
                <w:rFonts w:ascii="Arial Narrow" w:hAnsi="Arial Narrow"/>
                <w:bCs/>
                <w:sz w:val="20"/>
                <w:vertAlign w:val="superscript"/>
              </w:rPr>
              <w:t>4</w:t>
            </w:r>
          </w:p>
        </w:tc>
        <w:tc>
          <w:tcPr>
            <w:tcW w:w="502" w:type="pct"/>
            <w:shd w:val="clear" w:color="auto" w:fill="auto"/>
            <w:vAlign w:val="bottom"/>
          </w:tcPr>
          <w:p w14:paraId="224F8A7F" w14:textId="60F35718"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1"/>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1"/>
                <w14:textFill>
                  <w14:solidFill>
                    <w14:srgbClr w14:val="000000">
                      <w14:alpha w14:val="100000"/>
                    </w14:srgbClr>
                  </w14:solidFill>
                </w14:textFill>
              </w:rPr>
              <w:t>|</w:t>
            </w:r>
            <w:r w:rsidR="00FC7B48" w:rsidRPr="00966670">
              <w:rPr>
                <w:rFonts w:ascii="Arial Narrow" w:hAnsi="Arial Narrow" w:cs="Times New Roman"/>
                <w:bCs/>
                <w:sz w:val="20"/>
              </w:rPr>
              <w:t xml:space="preserve"> </w:t>
            </w:r>
            <w:r w:rsidR="00FC7B48" w:rsidRPr="00966670">
              <w:rPr>
                <w:rFonts w:ascii="Arial Narrow" w:hAnsi="Arial Narrow" w:cs="Times New Roman"/>
                <w:bCs/>
                <w:sz w:val="20"/>
                <w:vertAlign w:val="superscript"/>
              </w:rPr>
              <w:t>5</w:t>
            </w:r>
          </w:p>
        </w:tc>
        <w:tc>
          <w:tcPr>
            <w:tcW w:w="502" w:type="pct"/>
            <w:shd w:val="clear" w:color="auto" w:fill="auto"/>
            <w:vAlign w:val="bottom"/>
          </w:tcPr>
          <w:p w14:paraId="6080FCA2" w14:textId="1DB8F5ED"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90"/>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90"/>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502" w:type="pct"/>
            <w:shd w:val="clear" w:color="auto" w:fill="auto"/>
            <w:vAlign w:val="bottom"/>
          </w:tcPr>
          <w:p w14:paraId="4F68AC2A" w14:textId="7CECDFD6"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89"/>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89"/>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2</w:t>
            </w:r>
          </w:p>
        </w:tc>
        <w:tc>
          <w:tcPr>
            <w:tcW w:w="502" w:type="pct"/>
            <w:shd w:val="clear" w:color="auto" w:fill="auto"/>
            <w:vAlign w:val="bottom"/>
          </w:tcPr>
          <w:p w14:paraId="7DA1B4E0" w14:textId="11EB03BE"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88"/>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88"/>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2</w:t>
            </w:r>
          </w:p>
        </w:tc>
        <w:tc>
          <w:tcPr>
            <w:tcW w:w="503" w:type="pct"/>
            <w:shd w:val="clear" w:color="auto" w:fill="auto"/>
            <w:vAlign w:val="bottom"/>
          </w:tcPr>
          <w:p w14:paraId="3FA4EB9D" w14:textId="74C933E1"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5"/>
                <w:sz w:val="20"/>
                <w:shd w:val="solid" w:color="000000" w:fill="000000"/>
                <w:fitText w:val="260" w:id="-1490359287"/>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60" w:id="-1490359287"/>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2</w:t>
            </w:r>
          </w:p>
        </w:tc>
      </w:tr>
      <w:tr w:rsidR="00BE6D2A" w:rsidRPr="00A046A0" w14:paraId="1251DBAD" w14:textId="77777777" w:rsidTr="00EB6884">
        <w:tc>
          <w:tcPr>
            <w:tcW w:w="734" w:type="pct"/>
            <w:vAlign w:val="center"/>
          </w:tcPr>
          <w:p w14:paraId="6A845E5C" w14:textId="77777777" w:rsidR="00BE6D2A" w:rsidRPr="00966670" w:rsidRDefault="00BE6D2A" w:rsidP="002D226B">
            <w:pPr>
              <w:keepNext/>
              <w:rPr>
                <w:rFonts w:ascii="Arial Narrow" w:hAnsi="Arial Narrow" w:cs="Times New Roman"/>
                <w:b/>
                <w:bCs/>
                <w:sz w:val="20"/>
              </w:rPr>
            </w:pPr>
            <w:r w:rsidRPr="00966670">
              <w:rPr>
                <w:rFonts w:ascii="Arial Narrow" w:hAnsi="Arial Narrow" w:cs="Times New Roman"/>
                <w:b/>
                <w:bCs/>
                <w:sz w:val="20"/>
              </w:rPr>
              <w:t>Total</w:t>
            </w:r>
          </w:p>
        </w:tc>
        <w:tc>
          <w:tcPr>
            <w:tcW w:w="1252" w:type="pct"/>
            <w:vAlign w:val="center"/>
          </w:tcPr>
          <w:p w14:paraId="7324D04D" w14:textId="77777777" w:rsidR="00BE6D2A" w:rsidRPr="00966670" w:rsidRDefault="00BE6D2A" w:rsidP="00EB6884">
            <w:pPr>
              <w:rPr>
                <w:rFonts w:ascii="Arial Narrow" w:hAnsi="Arial Narrow" w:cs="Times New Roman"/>
                <w:b/>
                <w:bCs/>
                <w:sz w:val="20"/>
              </w:rPr>
            </w:pPr>
            <w:r w:rsidRPr="00966670">
              <w:rPr>
                <w:rFonts w:ascii="Arial Narrow" w:hAnsi="Arial Narrow" w:cs="Times New Roman"/>
                <w:b/>
                <w:bCs/>
                <w:sz w:val="20"/>
              </w:rPr>
              <w:t>Monitoring</w:t>
            </w:r>
          </w:p>
        </w:tc>
        <w:tc>
          <w:tcPr>
            <w:tcW w:w="502" w:type="pct"/>
            <w:shd w:val="clear" w:color="auto" w:fill="auto"/>
            <w:vAlign w:val="bottom"/>
          </w:tcPr>
          <w:p w14:paraId="665814DA" w14:textId="20F35303"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6"/>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6"/>
                <w14:textFill>
                  <w14:solidFill>
                    <w14:srgbClr w14:val="000000">
                      <w14:alpha w14:val="100000"/>
                    </w14:srgbClr>
                  </w14:solidFill>
                </w14:textFill>
              </w:rPr>
              <w:t>|</w:t>
            </w:r>
            <w:r w:rsidR="004E77BA" w:rsidRPr="00966670">
              <w:rPr>
                <w:rFonts w:ascii="Arial Narrow" w:hAnsi="Arial Narrow" w:cs="Times New Roman"/>
                <w:bCs/>
                <w:sz w:val="20"/>
              </w:rPr>
              <w:t xml:space="preserve"> </w:t>
            </w:r>
            <w:r w:rsidR="004E77BA" w:rsidRPr="00966670">
              <w:rPr>
                <w:rFonts w:ascii="Arial Narrow" w:hAnsi="Arial Narrow" w:cs="Times New Roman"/>
                <w:bCs/>
                <w:sz w:val="20"/>
                <w:vertAlign w:val="superscript"/>
              </w:rPr>
              <w:t>1</w:t>
            </w:r>
          </w:p>
        </w:tc>
        <w:tc>
          <w:tcPr>
            <w:tcW w:w="502" w:type="pct"/>
            <w:shd w:val="clear" w:color="auto" w:fill="auto"/>
            <w:vAlign w:val="bottom"/>
          </w:tcPr>
          <w:p w14:paraId="5C24EB33" w14:textId="52308B98"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5"/>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5"/>
                <w14:textFill>
                  <w14:solidFill>
                    <w14:srgbClr w14:val="000000">
                      <w14:alpha w14:val="100000"/>
                    </w14:srgbClr>
                  </w14:solidFill>
                </w14:textFill>
              </w:rPr>
              <w:t>|</w:t>
            </w:r>
            <w:r w:rsidR="005B4A43" w:rsidRPr="00966670">
              <w:rPr>
                <w:rFonts w:ascii="Arial Narrow" w:hAnsi="Arial Narrow" w:cs="Times New Roman"/>
                <w:bCs/>
                <w:sz w:val="20"/>
              </w:rPr>
              <w:t xml:space="preserve"> </w:t>
            </w:r>
            <w:r w:rsidR="005B4A43" w:rsidRPr="00966670">
              <w:rPr>
                <w:rFonts w:ascii="Arial Narrow" w:hAnsi="Arial Narrow" w:cs="Times New Roman"/>
                <w:bCs/>
                <w:sz w:val="20"/>
                <w:vertAlign w:val="superscript"/>
              </w:rPr>
              <w:t>2</w:t>
            </w:r>
          </w:p>
        </w:tc>
        <w:tc>
          <w:tcPr>
            <w:tcW w:w="502" w:type="pct"/>
            <w:shd w:val="clear" w:color="auto" w:fill="auto"/>
            <w:vAlign w:val="bottom"/>
          </w:tcPr>
          <w:p w14:paraId="0F5FF4F9" w14:textId="64B4E6F3"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4"/>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4"/>
                <w14:textFill>
                  <w14:solidFill>
                    <w14:srgbClr w14:val="000000">
                      <w14:alpha w14:val="100000"/>
                    </w14:srgbClr>
                  </w14:solidFill>
                </w14:textFill>
              </w:rPr>
              <w:t>|</w:t>
            </w:r>
            <w:r w:rsidR="00FC7B48" w:rsidRPr="00966670">
              <w:rPr>
                <w:rFonts w:ascii="Arial Narrow" w:hAnsi="Arial Narrow"/>
                <w:bCs/>
                <w:sz w:val="20"/>
              </w:rPr>
              <w:t xml:space="preserve"> </w:t>
            </w:r>
            <w:r w:rsidR="00FC7B48" w:rsidRPr="00966670">
              <w:rPr>
                <w:rFonts w:ascii="Arial Narrow" w:hAnsi="Arial Narrow" w:cs="Times New Roman"/>
                <w:bCs/>
                <w:sz w:val="20"/>
                <w:vertAlign w:val="superscript"/>
              </w:rPr>
              <w:t>6</w:t>
            </w:r>
          </w:p>
        </w:tc>
        <w:tc>
          <w:tcPr>
            <w:tcW w:w="502" w:type="pct"/>
            <w:shd w:val="clear" w:color="auto" w:fill="auto"/>
            <w:vAlign w:val="bottom"/>
          </w:tcPr>
          <w:p w14:paraId="6F45A814" w14:textId="474B258A"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3"/>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3"/>
                <w14:textFill>
                  <w14:solidFill>
                    <w14:srgbClr w14:val="000000">
                      <w14:alpha w14:val="100000"/>
                    </w14:srgbClr>
                  </w14:solidFill>
                </w14:textFill>
              </w:rPr>
              <w:t>|</w:t>
            </w:r>
            <w:r w:rsidR="00FC7B48" w:rsidRPr="00966670">
              <w:rPr>
                <w:rFonts w:ascii="Arial Narrow" w:hAnsi="Arial Narrow" w:cs="Times New Roman"/>
                <w:bCs/>
                <w:sz w:val="20"/>
              </w:rPr>
              <w:t xml:space="preserve"> </w:t>
            </w:r>
            <w:r w:rsidR="00FC7B48" w:rsidRPr="00966670">
              <w:rPr>
                <w:rFonts w:ascii="Arial Narrow" w:hAnsi="Arial Narrow" w:cs="Times New Roman"/>
                <w:bCs/>
                <w:sz w:val="20"/>
                <w:vertAlign w:val="superscript"/>
              </w:rPr>
              <w:t>2</w:t>
            </w:r>
          </w:p>
        </w:tc>
        <w:tc>
          <w:tcPr>
            <w:tcW w:w="502" w:type="pct"/>
            <w:shd w:val="clear" w:color="auto" w:fill="auto"/>
            <w:vAlign w:val="bottom"/>
          </w:tcPr>
          <w:p w14:paraId="5E4E0D3C" w14:textId="0A65BF59"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2"/>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2"/>
                <w14:textFill>
                  <w14:solidFill>
                    <w14:srgbClr w14:val="000000">
                      <w14:alpha w14:val="100000"/>
                    </w14:srgbClr>
                  </w14:solidFill>
                </w14:textFill>
              </w:rPr>
              <w:t>|</w:t>
            </w:r>
            <w:r w:rsidR="00FC7B48" w:rsidRPr="00966670">
              <w:rPr>
                <w:rFonts w:ascii="Arial Narrow" w:hAnsi="Arial Narrow" w:cs="Times New Roman"/>
                <w:bCs/>
                <w:sz w:val="20"/>
              </w:rPr>
              <w:t xml:space="preserve"> </w:t>
            </w:r>
            <w:r w:rsidR="00FC7B48" w:rsidRPr="00966670">
              <w:rPr>
                <w:rFonts w:ascii="Arial Narrow" w:hAnsi="Arial Narrow" w:cs="Times New Roman"/>
                <w:bCs/>
                <w:sz w:val="20"/>
                <w:vertAlign w:val="superscript"/>
              </w:rPr>
              <w:t>2</w:t>
            </w:r>
          </w:p>
        </w:tc>
        <w:tc>
          <w:tcPr>
            <w:tcW w:w="503" w:type="pct"/>
            <w:shd w:val="clear" w:color="auto" w:fill="auto"/>
            <w:vAlign w:val="bottom"/>
          </w:tcPr>
          <w:p w14:paraId="735EAE4E" w14:textId="5FF21903" w:rsidR="00BE6D2A" w:rsidRPr="00966670" w:rsidRDefault="003511C3" w:rsidP="00EB6884">
            <w:pPr>
              <w:jc w:val="center"/>
              <w:rPr>
                <w:rFonts w:ascii="Arial Narrow" w:hAnsi="Arial Narrow" w:cs="Times New Roman"/>
                <w:b/>
                <w:bCs/>
                <w:sz w:val="20"/>
              </w:rPr>
            </w:pPr>
            <w:r w:rsidRPr="003511C3">
              <w:rPr>
                <w:rFonts w:ascii="Arial Narrow" w:hAnsi="Arial Narrow"/>
                <w:b/>
                <w:bCs/>
                <w:color w:val="000000"/>
                <w:spacing w:val="208"/>
                <w:sz w:val="20"/>
                <w:shd w:val="solid" w:color="000000" w:fill="000000"/>
                <w:fitText w:val="300" w:id="-1490359281"/>
                <w14:textFill>
                  <w14:solidFill>
                    <w14:srgbClr w14:val="000000">
                      <w14:alpha w14:val="100000"/>
                    </w14:srgbClr>
                  </w14:solidFill>
                </w14:textFill>
              </w:rPr>
              <w:t>|</w:t>
            </w:r>
            <w:r w:rsidRPr="003511C3">
              <w:rPr>
                <w:rFonts w:ascii="Arial Narrow" w:hAnsi="Arial Narrow"/>
                <w:b/>
                <w:bCs/>
                <w:color w:val="000000"/>
                <w:spacing w:val="1"/>
                <w:sz w:val="20"/>
                <w:shd w:val="solid" w:color="000000" w:fill="000000"/>
                <w:fitText w:val="300" w:id="-1490359281"/>
                <w14:textFill>
                  <w14:solidFill>
                    <w14:srgbClr w14:val="000000">
                      <w14:alpha w14:val="100000"/>
                    </w14:srgbClr>
                  </w14:solidFill>
                </w14:textFill>
              </w:rPr>
              <w:t>|</w:t>
            </w:r>
            <w:r w:rsidR="00FC7B48" w:rsidRPr="00966670">
              <w:rPr>
                <w:rFonts w:ascii="Arial Narrow" w:hAnsi="Arial Narrow" w:cs="Times New Roman"/>
                <w:bCs/>
                <w:sz w:val="20"/>
              </w:rPr>
              <w:t xml:space="preserve"> </w:t>
            </w:r>
            <w:r w:rsidR="00FC7B48" w:rsidRPr="00966670">
              <w:rPr>
                <w:rFonts w:ascii="Arial Narrow" w:hAnsi="Arial Narrow" w:cs="Times New Roman"/>
                <w:bCs/>
                <w:sz w:val="20"/>
                <w:vertAlign w:val="superscript"/>
              </w:rPr>
              <w:t>2</w:t>
            </w:r>
          </w:p>
        </w:tc>
      </w:tr>
    </w:tbl>
    <w:p w14:paraId="696540B4" w14:textId="0C0CE21D" w:rsidR="00BE6D2A" w:rsidRDefault="00BE6D2A" w:rsidP="007438F1">
      <w:pPr>
        <w:pStyle w:val="SourceNotes"/>
        <w:keepNext/>
        <w:rPr>
          <w:rFonts w:ascii="Arial Narrow" w:hAnsi="Arial Narrow" w:cs="Times New Roman"/>
        </w:rPr>
      </w:pPr>
      <w:r w:rsidRPr="00A046A0">
        <w:rPr>
          <w:rFonts w:ascii="Arial Narrow" w:hAnsi="Arial Narrow" w:cs="Times New Roman"/>
        </w:rPr>
        <w:t>Source:</w:t>
      </w:r>
      <w:r w:rsidRPr="00A046A0">
        <w:rPr>
          <w:rFonts w:ascii="Arial Narrow" w:hAnsi="Arial Narrow" w:cs="Times New Roman"/>
        </w:rPr>
        <w:tab/>
        <w:t xml:space="preserve">MBS+PHI budget impact.xlsx, spreadsheet ‘MBS+PL </w:t>
      </w:r>
      <w:proofErr w:type="spellStart"/>
      <w:r w:rsidRPr="00A046A0">
        <w:rPr>
          <w:rFonts w:ascii="Arial Narrow" w:hAnsi="Arial Narrow" w:cs="Times New Roman"/>
        </w:rPr>
        <w:t>Utilisation+Cost</w:t>
      </w:r>
      <w:proofErr w:type="spellEnd"/>
      <w:r w:rsidRPr="00A046A0">
        <w:rPr>
          <w:rFonts w:ascii="Arial Narrow" w:hAnsi="Arial Narrow" w:cs="Times New Roman"/>
        </w:rPr>
        <w:t>’.</w:t>
      </w:r>
    </w:p>
    <w:p w14:paraId="0D23C81B" w14:textId="77777777" w:rsidR="004E77BA" w:rsidRDefault="004E77BA" w:rsidP="007438F1">
      <w:pPr>
        <w:pStyle w:val="Tablenotes1"/>
        <w:keepNext/>
      </w:pPr>
      <w:r w:rsidRPr="001779F5">
        <w:t>The redacted values correspond to the following ranges:</w:t>
      </w:r>
    </w:p>
    <w:p w14:paraId="1FBAA05A" w14:textId="67D54C50" w:rsidR="004E77BA" w:rsidRDefault="004E77BA" w:rsidP="007438F1">
      <w:pPr>
        <w:pStyle w:val="Tablenotes1"/>
        <w:keepNext/>
      </w:pPr>
      <w:r>
        <w:rPr>
          <w:vertAlign w:val="superscript"/>
        </w:rPr>
        <w:t xml:space="preserve">1 </w:t>
      </w:r>
      <w:r w:rsidRPr="004E77BA">
        <w:t>10,000 to &lt;20,000</w:t>
      </w:r>
    </w:p>
    <w:p w14:paraId="411D9199" w14:textId="69A95493" w:rsidR="005B4A43" w:rsidRDefault="005B4A43" w:rsidP="007438F1">
      <w:pPr>
        <w:pStyle w:val="Tablenotes1"/>
        <w:keepNext/>
      </w:pPr>
      <w:r>
        <w:rPr>
          <w:vertAlign w:val="superscript"/>
        </w:rPr>
        <w:t xml:space="preserve">2 </w:t>
      </w:r>
      <w:r w:rsidRPr="00E3735A">
        <w:t>20,000 to &lt;30,000</w:t>
      </w:r>
    </w:p>
    <w:p w14:paraId="073F83D0" w14:textId="1F22F864" w:rsidR="005B4A43" w:rsidRDefault="005B4A43" w:rsidP="007438F1">
      <w:pPr>
        <w:pStyle w:val="Tablenotes1"/>
        <w:keepNext/>
      </w:pPr>
      <w:r>
        <w:rPr>
          <w:vertAlign w:val="superscript"/>
        </w:rPr>
        <w:t>3</w:t>
      </w:r>
      <w:r>
        <w:t xml:space="preserve"> </w:t>
      </w:r>
      <w:r w:rsidRPr="004E77BA">
        <w:t>500 to &lt;5,000</w:t>
      </w:r>
    </w:p>
    <w:p w14:paraId="73AD9439" w14:textId="6CB1B1AE" w:rsidR="005B4A43" w:rsidRPr="0053431B" w:rsidRDefault="005B4A43" w:rsidP="007438F1">
      <w:pPr>
        <w:pStyle w:val="Tablenotes1"/>
        <w:keepNext/>
      </w:pPr>
      <w:r>
        <w:rPr>
          <w:vertAlign w:val="superscript"/>
        </w:rPr>
        <w:t xml:space="preserve">4 </w:t>
      </w:r>
      <w:r w:rsidR="00FC7B48" w:rsidRPr="00E3735A">
        <w:t>&lt;500</w:t>
      </w:r>
    </w:p>
    <w:p w14:paraId="691A66C2" w14:textId="13433BFE" w:rsidR="005B4A43" w:rsidRDefault="005B4A43" w:rsidP="007438F1">
      <w:pPr>
        <w:pStyle w:val="Tablenotes1"/>
        <w:keepNext/>
      </w:pPr>
      <w:r>
        <w:rPr>
          <w:vertAlign w:val="superscript"/>
        </w:rPr>
        <w:t xml:space="preserve">5 </w:t>
      </w:r>
      <w:r w:rsidRPr="004E77BA">
        <w:t>5,000 to &lt;10,000</w:t>
      </w:r>
    </w:p>
    <w:p w14:paraId="654B19A5" w14:textId="1258C2AA" w:rsidR="004E77BA" w:rsidRPr="00D76B47" w:rsidRDefault="00FC7B48" w:rsidP="0053431B">
      <w:pPr>
        <w:pStyle w:val="Tablenotes1"/>
      </w:pPr>
      <w:r>
        <w:rPr>
          <w:vertAlign w:val="superscript"/>
        </w:rPr>
        <w:t xml:space="preserve">6 </w:t>
      </w:r>
      <w:r w:rsidRPr="00FC7B48">
        <w:t>30,000 to &lt;40,000</w:t>
      </w:r>
    </w:p>
    <w:p w14:paraId="28A4D71B" w14:textId="0B43B001" w:rsidR="00BE6D2A" w:rsidRDefault="00BE6D2A" w:rsidP="000F0B19">
      <w:pPr>
        <w:spacing w:before="240"/>
        <w:rPr>
          <w:szCs w:val="24"/>
        </w:rPr>
      </w:pPr>
      <w:r w:rsidRPr="00BE6D2A">
        <w:rPr>
          <w:szCs w:val="24"/>
        </w:rPr>
        <w:fldChar w:fldCharType="begin"/>
      </w:r>
      <w:r w:rsidRPr="00BE6D2A">
        <w:rPr>
          <w:szCs w:val="24"/>
        </w:rPr>
        <w:instrText xml:space="preserve"> REF _Ref85742933 \h  \* MERGEFORMAT </w:instrText>
      </w:r>
      <w:r w:rsidRPr="00BE6D2A">
        <w:rPr>
          <w:szCs w:val="24"/>
        </w:rPr>
      </w:r>
      <w:r w:rsidRPr="00BE6D2A">
        <w:rPr>
          <w:szCs w:val="24"/>
        </w:rPr>
        <w:fldChar w:fldCharType="separate"/>
      </w:r>
      <w:r w:rsidRPr="00BE6D2A">
        <w:rPr>
          <w:szCs w:val="24"/>
        </w:rPr>
        <w:t xml:space="preserve">Table </w:t>
      </w:r>
      <w:r w:rsidR="003A43D3">
        <w:rPr>
          <w:szCs w:val="24"/>
        </w:rPr>
        <w:t>2</w:t>
      </w:r>
      <w:r w:rsidR="00153166">
        <w:rPr>
          <w:szCs w:val="24"/>
        </w:rPr>
        <w:t>.</w:t>
      </w:r>
      <w:r w:rsidRPr="00BE6D2A">
        <w:rPr>
          <w:szCs w:val="24"/>
        </w:rPr>
        <w:t>8</w:t>
      </w:r>
      <w:r w:rsidRPr="00BE6D2A">
        <w:rPr>
          <w:szCs w:val="24"/>
        </w:rPr>
        <w:fldChar w:fldCharType="end"/>
      </w:r>
      <w:r w:rsidRPr="00BE6D2A">
        <w:rPr>
          <w:szCs w:val="24"/>
        </w:rPr>
        <w:t xml:space="preserve"> presents the estimated number of potential explantation services for the patients forecasted to be treated with </w:t>
      </w:r>
      <w:r w:rsidR="001F2A6B">
        <w:rPr>
          <w:szCs w:val="24"/>
        </w:rPr>
        <w:t xml:space="preserve">the </w:t>
      </w:r>
      <w:r w:rsidRPr="00BE6D2A">
        <w:rPr>
          <w:szCs w:val="24"/>
        </w:rPr>
        <w:t>PDS.</w:t>
      </w:r>
    </w:p>
    <w:p w14:paraId="56DCFA34" w14:textId="4C075D94" w:rsidR="00BE6D2A" w:rsidRPr="00A046A0" w:rsidRDefault="00BE6D2A" w:rsidP="000F0B19">
      <w:pPr>
        <w:pStyle w:val="Caption"/>
        <w:spacing w:before="240"/>
        <w:rPr>
          <w:rFonts w:cs="Times New Roman"/>
        </w:rPr>
      </w:pPr>
      <w:bookmarkStart w:id="25" w:name="_Ref85742933"/>
      <w:bookmarkStart w:id="26" w:name="_Toc86743011"/>
      <w:r w:rsidRPr="00A046A0">
        <w:rPr>
          <w:rFonts w:cs="Times New Roman"/>
        </w:rPr>
        <w:t xml:space="preserve">Table </w:t>
      </w:r>
      <w:r w:rsidR="003A43D3" w:rsidRPr="00A046A0">
        <w:rPr>
          <w:rFonts w:cs="Times New Roman"/>
        </w:rPr>
        <w:t>2</w:t>
      </w:r>
      <w:r w:rsidR="00153166" w:rsidRPr="00A046A0">
        <w:rPr>
          <w:rFonts w:cs="Times New Roman"/>
        </w:rPr>
        <w:t>.</w:t>
      </w:r>
      <w:r w:rsidRPr="00A046A0">
        <w:rPr>
          <w:rFonts w:cs="Times New Roman"/>
        </w:rPr>
        <w:fldChar w:fldCharType="begin"/>
      </w:r>
      <w:r w:rsidRPr="00A046A0">
        <w:rPr>
          <w:rFonts w:cs="Times New Roman"/>
        </w:rPr>
        <w:instrText xml:space="preserve"> SEQ Table \* ARABIC \s 1 </w:instrText>
      </w:r>
      <w:r w:rsidRPr="00A046A0">
        <w:rPr>
          <w:rFonts w:cs="Times New Roman"/>
        </w:rPr>
        <w:fldChar w:fldCharType="separate"/>
      </w:r>
      <w:r w:rsidRPr="00A046A0">
        <w:rPr>
          <w:rFonts w:cs="Times New Roman"/>
          <w:noProof/>
        </w:rPr>
        <w:t>8</w:t>
      </w:r>
      <w:r w:rsidRPr="00A046A0">
        <w:rPr>
          <w:rFonts w:cs="Times New Roman"/>
        </w:rPr>
        <w:fldChar w:fldCharType="end"/>
      </w:r>
      <w:bookmarkEnd w:id="25"/>
      <w:r w:rsidR="00A046A0">
        <w:rPr>
          <w:rFonts w:cs="Times New Roman"/>
        </w:rPr>
        <w:t xml:space="preserve">: </w:t>
      </w:r>
      <w:r w:rsidRPr="00A046A0">
        <w:rPr>
          <w:rFonts w:cs="Times New Roman"/>
        </w:rPr>
        <w:t>Estimated number of explantation services for PDS patients</w:t>
      </w:r>
      <w:bookmarkEnd w:id="26"/>
    </w:p>
    <w:tbl>
      <w:tblPr>
        <w:tblStyle w:val="TableGrid"/>
        <w:tblW w:w="5000" w:type="pct"/>
        <w:tblLook w:val="04A0" w:firstRow="1" w:lastRow="0" w:firstColumn="1" w:lastColumn="0" w:noHBand="0" w:noVBand="1"/>
      </w:tblPr>
      <w:tblGrid>
        <w:gridCol w:w="1305"/>
        <w:gridCol w:w="2233"/>
        <w:gridCol w:w="913"/>
        <w:gridCol w:w="913"/>
        <w:gridCol w:w="913"/>
        <w:gridCol w:w="913"/>
        <w:gridCol w:w="912"/>
        <w:gridCol w:w="914"/>
      </w:tblGrid>
      <w:tr w:rsidR="00BE6D2A" w:rsidRPr="00A046A0" w14:paraId="394A5077" w14:textId="77777777" w:rsidTr="00A046A0">
        <w:tc>
          <w:tcPr>
            <w:tcW w:w="723" w:type="pct"/>
            <w:shd w:val="clear" w:color="auto" w:fill="auto"/>
          </w:tcPr>
          <w:p w14:paraId="76777D18" w14:textId="77777777" w:rsidR="00BE6D2A" w:rsidRPr="00A046A0" w:rsidRDefault="00BE6D2A" w:rsidP="002D226B">
            <w:pPr>
              <w:pStyle w:val="TableText1"/>
              <w:keepNext/>
              <w:spacing w:before="0" w:after="0"/>
              <w:rPr>
                <w:rFonts w:ascii="Arial Narrow" w:hAnsi="Arial Narrow" w:cs="Times New Roman"/>
                <w:b/>
              </w:rPr>
            </w:pPr>
            <w:r w:rsidRPr="00A046A0">
              <w:rPr>
                <w:rFonts w:ascii="Arial Narrow" w:hAnsi="Arial Narrow" w:cs="Times New Roman"/>
                <w:b/>
              </w:rPr>
              <w:t>Patients</w:t>
            </w:r>
          </w:p>
        </w:tc>
        <w:tc>
          <w:tcPr>
            <w:tcW w:w="1238" w:type="pct"/>
            <w:tcBorders>
              <w:right w:val="single" w:sz="4" w:space="0" w:color="auto"/>
            </w:tcBorders>
            <w:shd w:val="clear" w:color="auto" w:fill="auto"/>
          </w:tcPr>
          <w:p w14:paraId="61070A9C" w14:textId="77777777" w:rsidR="00BE6D2A" w:rsidRPr="00A046A0" w:rsidRDefault="00BE6D2A" w:rsidP="00EB6884">
            <w:pPr>
              <w:pStyle w:val="TableText1"/>
              <w:spacing w:before="0" w:after="0"/>
              <w:rPr>
                <w:rFonts w:ascii="Arial Narrow" w:hAnsi="Arial Narrow" w:cs="Times New Roman"/>
                <w:b/>
              </w:rPr>
            </w:pPr>
            <w:r w:rsidRPr="00A046A0">
              <w:rPr>
                <w:rFonts w:ascii="Arial Narrow" w:hAnsi="Arial Narrow" w:cs="Times New Roman"/>
                <w:b/>
              </w:rPr>
              <w:t>Service</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62EFD7A"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2022</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3BF265C"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72F669F"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2024</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080BB61"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5A13501"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2026</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47B4D1D" w14:textId="77777777" w:rsidR="00BE6D2A" w:rsidRPr="00A046A0" w:rsidRDefault="00BE6D2A" w:rsidP="00EB6884">
            <w:pPr>
              <w:pStyle w:val="TableText1"/>
              <w:spacing w:before="0" w:after="0"/>
              <w:jc w:val="center"/>
              <w:rPr>
                <w:rFonts w:ascii="Arial Narrow" w:hAnsi="Arial Narrow" w:cs="Times New Roman"/>
                <w:b/>
              </w:rPr>
            </w:pPr>
            <w:r w:rsidRPr="00A046A0">
              <w:rPr>
                <w:rFonts w:ascii="Arial Narrow" w:hAnsi="Arial Narrow" w:cs="Times New Roman"/>
                <w:b/>
              </w:rPr>
              <w:t>2027</w:t>
            </w:r>
          </w:p>
        </w:tc>
      </w:tr>
      <w:tr w:rsidR="00BE6D2A" w:rsidRPr="00A046A0" w14:paraId="731A2DC8" w14:textId="77777777" w:rsidTr="00EB6884">
        <w:tc>
          <w:tcPr>
            <w:tcW w:w="723" w:type="pct"/>
            <w:vAlign w:val="center"/>
          </w:tcPr>
          <w:p w14:paraId="72FDB3AD" w14:textId="77777777" w:rsidR="00BE6D2A" w:rsidRPr="00966670" w:rsidRDefault="00BE6D2A" w:rsidP="002D226B">
            <w:pPr>
              <w:keepNext/>
              <w:rPr>
                <w:rFonts w:ascii="Arial Narrow" w:hAnsi="Arial Narrow" w:cs="Times New Roman"/>
                <w:bCs/>
                <w:sz w:val="20"/>
              </w:rPr>
            </w:pPr>
            <w:r w:rsidRPr="00966670">
              <w:rPr>
                <w:rFonts w:ascii="Arial Narrow" w:hAnsi="Arial Narrow" w:cs="Times New Roman"/>
                <w:bCs/>
                <w:sz w:val="20"/>
              </w:rPr>
              <w:t>Patients</w:t>
            </w:r>
          </w:p>
        </w:tc>
        <w:tc>
          <w:tcPr>
            <w:tcW w:w="1238" w:type="pct"/>
            <w:tcBorders>
              <w:right w:val="single" w:sz="4" w:space="0" w:color="auto"/>
            </w:tcBorders>
            <w:vAlign w:val="center"/>
          </w:tcPr>
          <w:p w14:paraId="09E2FADF" w14:textId="77777777" w:rsidR="00BE6D2A" w:rsidRPr="00966670" w:rsidRDefault="00BE6D2A" w:rsidP="00EB6884">
            <w:pPr>
              <w:rPr>
                <w:rFonts w:ascii="Arial Narrow" w:hAnsi="Arial Narrow" w:cs="Times New Roman"/>
                <w:bCs/>
                <w:sz w:val="20"/>
              </w:rPr>
            </w:pPr>
            <w:r w:rsidRPr="00966670">
              <w:rPr>
                <w:rFonts w:ascii="Arial Narrow" w:hAnsi="Arial Narrow" w:cs="Times New Roman"/>
                <w:bCs/>
                <w:sz w:val="20"/>
              </w:rPr>
              <w:t>Explantation</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63BEFCC6" w14:textId="7B1B36E7"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54"/>
                <w:sz w:val="20"/>
                <w:shd w:val="solid" w:color="000000" w:fill="000000"/>
                <w:fitText w:val="240" w:id="-1490359280"/>
                <w14:textFill>
                  <w14:solidFill>
                    <w14:srgbClr w14:val="000000">
                      <w14:alpha w14:val="100000"/>
                    </w14:srgbClr>
                  </w14:solidFill>
                </w14:textFill>
              </w:rPr>
              <w:t>|</w:t>
            </w:r>
            <w:r w:rsidRPr="003511C3">
              <w:rPr>
                <w:rFonts w:ascii="Arial Narrow" w:hAnsi="Arial Narrow"/>
                <w:bCs/>
                <w:color w:val="000000"/>
                <w:spacing w:val="1"/>
                <w:sz w:val="20"/>
                <w:shd w:val="solid" w:color="000000" w:fill="000000"/>
                <w:fitText w:val="240" w:id="-1490359280"/>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30F427E0" w14:textId="76E9BBA0"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54"/>
                <w:sz w:val="20"/>
                <w:shd w:val="solid" w:color="000000" w:fill="000000"/>
                <w:fitText w:val="240" w:id="-1490359296"/>
                <w14:textFill>
                  <w14:solidFill>
                    <w14:srgbClr w14:val="000000">
                      <w14:alpha w14:val="100000"/>
                    </w14:srgbClr>
                  </w14:solidFill>
                </w14:textFill>
              </w:rPr>
              <w:t>|</w:t>
            </w:r>
            <w:r w:rsidRPr="003511C3">
              <w:rPr>
                <w:rFonts w:ascii="Arial Narrow" w:hAnsi="Arial Narrow"/>
                <w:bCs/>
                <w:color w:val="000000"/>
                <w:spacing w:val="1"/>
                <w:sz w:val="20"/>
                <w:shd w:val="solid" w:color="000000" w:fill="000000"/>
                <w:fitText w:val="240" w:id="-1490359296"/>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21AA7E17" w14:textId="4375EF8C"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54"/>
                <w:sz w:val="20"/>
                <w:shd w:val="solid" w:color="000000" w:fill="000000"/>
                <w:fitText w:val="240" w:id="-1490359295"/>
                <w14:textFill>
                  <w14:solidFill>
                    <w14:srgbClr w14:val="000000">
                      <w14:alpha w14:val="100000"/>
                    </w14:srgbClr>
                  </w14:solidFill>
                </w14:textFill>
              </w:rPr>
              <w:t>|</w:t>
            </w:r>
            <w:r w:rsidRPr="003511C3">
              <w:rPr>
                <w:rFonts w:ascii="Arial Narrow" w:hAnsi="Arial Narrow"/>
                <w:bCs/>
                <w:color w:val="000000"/>
                <w:spacing w:val="1"/>
                <w:sz w:val="20"/>
                <w:shd w:val="solid" w:color="000000" w:fill="000000"/>
                <w:fitText w:val="240" w:id="-1490359295"/>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24B3F74C" w14:textId="2F71C0F9"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54"/>
                <w:sz w:val="20"/>
                <w:shd w:val="solid" w:color="000000" w:fill="000000"/>
                <w:fitText w:val="240" w:id="-1490359294"/>
                <w14:textFill>
                  <w14:solidFill>
                    <w14:srgbClr w14:val="000000">
                      <w14:alpha w14:val="100000"/>
                    </w14:srgbClr>
                  </w14:solidFill>
                </w14:textFill>
              </w:rPr>
              <w:t>|</w:t>
            </w:r>
            <w:r w:rsidRPr="003511C3">
              <w:rPr>
                <w:rFonts w:ascii="Arial Narrow" w:hAnsi="Arial Narrow"/>
                <w:bCs/>
                <w:color w:val="000000"/>
                <w:spacing w:val="1"/>
                <w:sz w:val="20"/>
                <w:shd w:val="solid" w:color="000000" w:fill="000000"/>
                <w:fitText w:val="240" w:id="-1490359294"/>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2722E844" w14:textId="613DE1CB"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54"/>
                <w:sz w:val="20"/>
                <w:shd w:val="solid" w:color="000000" w:fill="000000"/>
                <w:fitText w:val="240" w:id="-1490359293"/>
                <w14:textFill>
                  <w14:solidFill>
                    <w14:srgbClr w14:val="000000">
                      <w14:alpha w14:val="100000"/>
                    </w14:srgbClr>
                  </w14:solidFill>
                </w14:textFill>
              </w:rPr>
              <w:t>|</w:t>
            </w:r>
            <w:r w:rsidRPr="003511C3">
              <w:rPr>
                <w:rFonts w:ascii="Arial Narrow" w:hAnsi="Arial Narrow"/>
                <w:bCs/>
                <w:color w:val="000000"/>
                <w:spacing w:val="1"/>
                <w:sz w:val="20"/>
                <w:shd w:val="solid" w:color="000000" w:fill="000000"/>
                <w:fitText w:val="240" w:id="-1490359293"/>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14:paraId="01354163" w14:textId="3346D22A" w:rsidR="00BE6D2A" w:rsidRPr="00966670" w:rsidRDefault="003511C3" w:rsidP="00EB6884">
            <w:pPr>
              <w:jc w:val="center"/>
              <w:rPr>
                <w:rFonts w:ascii="Arial Narrow" w:hAnsi="Arial Narrow" w:cs="Times New Roman"/>
                <w:bCs/>
                <w:sz w:val="20"/>
              </w:rPr>
            </w:pPr>
            <w:r w:rsidRPr="003511C3">
              <w:rPr>
                <w:rFonts w:ascii="Arial Narrow" w:hAnsi="Arial Narrow"/>
                <w:bCs/>
                <w:color w:val="000000"/>
                <w:spacing w:val="164"/>
                <w:sz w:val="20"/>
                <w:shd w:val="solid" w:color="000000" w:fill="000000"/>
                <w:fitText w:val="250" w:id="-1490359292"/>
                <w14:textFill>
                  <w14:solidFill>
                    <w14:srgbClr w14:val="000000">
                      <w14:alpha w14:val="100000"/>
                    </w14:srgbClr>
                  </w14:solidFill>
                </w14:textFill>
              </w:rPr>
              <w:t>|</w:t>
            </w:r>
            <w:r w:rsidRPr="003511C3">
              <w:rPr>
                <w:rFonts w:ascii="Arial Narrow" w:hAnsi="Arial Narrow"/>
                <w:bCs/>
                <w:color w:val="000000"/>
                <w:sz w:val="20"/>
                <w:shd w:val="solid" w:color="000000" w:fill="000000"/>
                <w:fitText w:val="250" w:id="-1490359292"/>
                <w14:textFill>
                  <w14:solidFill>
                    <w14:srgbClr w14:val="000000">
                      <w14:alpha w14:val="100000"/>
                    </w14:srgbClr>
                  </w14:solidFill>
                </w14:textFill>
              </w:rPr>
              <w:t>|</w:t>
            </w:r>
            <w:r w:rsidR="009156DE" w:rsidRPr="00966670">
              <w:rPr>
                <w:rFonts w:ascii="Arial Narrow" w:hAnsi="Arial Narrow" w:cs="Times New Roman"/>
                <w:bCs/>
                <w:sz w:val="20"/>
              </w:rPr>
              <w:t xml:space="preserve"> </w:t>
            </w:r>
            <w:r w:rsidR="009156DE" w:rsidRPr="00966670">
              <w:rPr>
                <w:rFonts w:ascii="Arial Narrow" w:hAnsi="Arial Narrow" w:cs="Times New Roman"/>
                <w:bCs/>
                <w:sz w:val="20"/>
                <w:vertAlign w:val="superscript"/>
              </w:rPr>
              <w:t>1</w:t>
            </w:r>
          </w:p>
        </w:tc>
      </w:tr>
    </w:tbl>
    <w:p w14:paraId="4E5B420D" w14:textId="33B88AED" w:rsidR="00BE6D2A" w:rsidRDefault="00BE6D2A" w:rsidP="007438F1">
      <w:pPr>
        <w:pStyle w:val="SourceNotes"/>
        <w:keepNext/>
        <w:rPr>
          <w:rFonts w:ascii="Arial Narrow" w:hAnsi="Arial Narrow" w:cs="Times New Roman"/>
        </w:rPr>
      </w:pPr>
      <w:r w:rsidRPr="00A046A0">
        <w:rPr>
          <w:rFonts w:ascii="Arial Narrow" w:hAnsi="Arial Narrow" w:cs="Times New Roman"/>
        </w:rPr>
        <w:t>Source:</w:t>
      </w:r>
      <w:r w:rsidRPr="00A046A0">
        <w:rPr>
          <w:rFonts w:ascii="Arial Narrow" w:hAnsi="Arial Narrow" w:cs="Times New Roman"/>
        </w:rPr>
        <w:tab/>
        <w:t xml:space="preserve">MBS+PHI budget impact.xlsx, spreadsheet ‘MBS+PL </w:t>
      </w:r>
      <w:proofErr w:type="spellStart"/>
      <w:r w:rsidRPr="00A046A0">
        <w:rPr>
          <w:rFonts w:ascii="Arial Narrow" w:hAnsi="Arial Narrow" w:cs="Times New Roman"/>
        </w:rPr>
        <w:t>Utilisation+Cost</w:t>
      </w:r>
      <w:proofErr w:type="spellEnd"/>
      <w:r w:rsidRPr="00A046A0">
        <w:rPr>
          <w:rFonts w:ascii="Arial Narrow" w:hAnsi="Arial Narrow" w:cs="Times New Roman"/>
        </w:rPr>
        <w:t>’.</w:t>
      </w:r>
    </w:p>
    <w:p w14:paraId="76F86725" w14:textId="77777777" w:rsidR="009156DE" w:rsidRDefault="009156DE" w:rsidP="007438F1">
      <w:pPr>
        <w:pStyle w:val="Tablenotes1"/>
        <w:keepNext/>
      </w:pPr>
      <w:r w:rsidRPr="001779F5">
        <w:t>The redacted values correspond to the following ranges:</w:t>
      </w:r>
    </w:p>
    <w:p w14:paraId="49B67020" w14:textId="060EFBE9" w:rsidR="009156DE" w:rsidRDefault="009156DE" w:rsidP="009156DE">
      <w:pPr>
        <w:pStyle w:val="Tablenotes1"/>
        <w:contextualSpacing w:val="0"/>
      </w:pPr>
      <w:r>
        <w:rPr>
          <w:vertAlign w:val="superscript"/>
        </w:rPr>
        <w:t xml:space="preserve">1 </w:t>
      </w:r>
      <w:r w:rsidRPr="00E3735A">
        <w:t>&lt;500</w:t>
      </w:r>
    </w:p>
    <w:p w14:paraId="05A1BB8E" w14:textId="0115A062" w:rsidR="00BE6D2A" w:rsidRPr="00E93F5C" w:rsidRDefault="00EB6884" w:rsidP="00E93F5C">
      <w:pPr>
        <w:pStyle w:val="Tablenotes1"/>
        <w:keepNext/>
        <w:spacing w:after="0"/>
        <w:rPr>
          <w:rFonts w:ascii="Times New Roman" w:hAnsi="Times New Roman" w:cs="Times New Roman"/>
          <w:b/>
          <w:bCs/>
          <w:iCs/>
          <w:sz w:val="24"/>
          <w:szCs w:val="24"/>
        </w:rPr>
      </w:pPr>
      <w:r w:rsidRPr="00E93F5C">
        <w:rPr>
          <w:rFonts w:ascii="Times New Roman" w:hAnsi="Times New Roman" w:cs="Times New Roman"/>
          <w:b/>
          <w:bCs/>
          <w:iCs/>
          <w:sz w:val="24"/>
          <w:szCs w:val="24"/>
        </w:rPr>
        <w:t xml:space="preserve">Replaced </w:t>
      </w:r>
      <w:r w:rsidR="00A046A0" w:rsidRPr="00E93F5C">
        <w:rPr>
          <w:rFonts w:ascii="Times New Roman" w:hAnsi="Times New Roman" w:cs="Times New Roman"/>
          <w:b/>
          <w:bCs/>
          <w:iCs/>
          <w:sz w:val="24"/>
          <w:szCs w:val="24"/>
        </w:rPr>
        <w:t>u</w:t>
      </w:r>
      <w:r w:rsidRPr="00E93F5C">
        <w:rPr>
          <w:rFonts w:ascii="Times New Roman" w:hAnsi="Times New Roman" w:cs="Times New Roman"/>
          <w:b/>
          <w:bCs/>
          <w:iCs/>
          <w:sz w:val="24"/>
          <w:szCs w:val="24"/>
        </w:rPr>
        <w:t>tilisation</w:t>
      </w:r>
    </w:p>
    <w:p w14:paraId="21F4CC96" w14:textId="53545726" w:rsidR="00EB6884" w:rsidRPr="00EB6884" w:rsidRDefault="00EB6884" w:rsidP="00EB6884">
      <w:pPr>
        <w:rPr>
          <w:szCs w:val="24"/>
        </w:rPr>
      </w:pPr>
      <w:r w:rsidRPr="00EB6884">
        <w:rPr>
          <w:szCs w:val="24"/>
        </w:rPr>
        <w:t>Two patient populations were identified (and presented in the PBAC submission) from the prevalent treated population which are relevant to the calculation of replaced utilisation:</w:t>
      </w:r>
    </w:p>
    <w:p w14:paraId="4759611F" w14:textId="4A572DD3" w:rsidR="00EB6884" w:rsidRPr="00AB1A08" w:rsidRDefault="00EB6884" w:rsidP="00B60C7C">
      <w:pPr>
        <w:pStyle w:val="BulletList"/>
        <w:spacing w:after="0" w:line="240" w:lineRule="auto"/>
        <w:rPr>
          <w:rFonts w:ascii="Times New Roman" w:hAnsi="Times New Roman" w:cs="Times New Roman"/>
          <w:sz w:val="24"/>
          <w:szCs w:val="24"/>
        </w:rPr>
      </w:pPr>
      <w:r w:rsidRPr="00EB6884">
        <w:rPr>
          <w:rFonts w:ascii="Times New Roman" w:hAnsi="Times New Roman" w:cs="Times New Roman"/>
          <w:sz w:val="24"/>
          <w:szCs w:val="24"/>
        </w:rPr>
        <w:t xml:space="preserve">Patients who have the highest treatment burden; comprising patients who are responsive to treatment but are unable to treat and extend treatment beyond Q4W </w:t>
      </w:r>
      <w:r w:rsidRPr="00AB1A08">
        <w:rPr>
          <w:rFonts w:ascii="Times New Roman" w:hAnsi="Times New Roman" w:cs="Times New Roman"/>
          <w:sz w:val="24"/>
          <w:szCs w:val="24"/>
        </w:rPr>
        <w:t>(</w:t>
      </w:r>
      <w:r w:rsidR="005F699E" w:rsidRPr="00AB1A08">
        <w:rPr>
          <w:rFonts w:ascii="Times New Roman" w:hAnsi="Times New Roman" w:cs="Times New Roman"/>
          <w:sz w:val="24"/>
          <w:szCs w:val="24"/>
        </w:rPr>
        <w:t>t</w:t>
      </w:r>
      <w:r w:rsidRPr="00AB1A08">
        <w:rPr>
          <w:rFonts w:ascii="Times New Roman" w:hAnsi="Times New Roman" w:cs="Times New Roman"/>
          <w:sz w:val="24"/>
          <w:szCs w:val="24"/>
        </w:rPr>
        <w:t>he Q4W population).</w:t>
      </w:r>
    </w:p>
    <w:p w14:paraId="4AEFB8CE" w14:textId="63B6C9F1" w:rsidR="00EB6884" w:rsidRPr="00AB1A08" w:rsidRDefault="00EB6884" w:rsidP="00B60C7C">
      <w:pPr>
        <w:pStyle w:val="BulletList"/>
        <w:spacing w:after="0" w:line="240" w:lineRule="auto"/>
        <w:rPr>
          <w:rFonts w:ascii="Times New Roman" w:hAnsi="Times New Roman" w:cs="Times New Roman"/>
          <w:sz w:val="24"/>
          <w:szCs w:val="24"/>
        </w:rPr>
      </w:pPr>
      <w:r w:rsidRPr="00AB1A08">
        <w:rPr>
          <w:rFonts w:ascii="Times New Roman" w:hAnsi="Times New Roman" w:cs="Times New Roman"/>
          <w:sz w:val="24"/>
          <w:szCs w:val="24"/>
        </w:rPr>
        <w:t>Patients where the treatment burden has the greatest impact on their personal lives, that is, people who are working, or the time taken out of the day to receive treatment is significant (</w:t>
      </w:r>
      <w:r w:rsidR="005F699E" w:rsidRPr="00AB1A08">
        <w:rPr>
          <w:rFonts w:ascii="Times New Roman" w:hAnsi="Times New Roman" w:cs="Times New Roman"/>
          <w:sz w:val="24"/>
          <w:szCs w:val="24"/>
        </w:rPr>
        <w:t>t</w:t>
      </w:r>
      <w:r w:rsidRPr="00AB1A08">
        <w:rPr>
          <w:rFonts w:ascii="Times New Roman" w:hAnsi="Times New Roman" w:cs="Times New Roman"/>
          <w:sz w:val="24"/>
          <w:szCs w:val="24"/>
        </w:rPr>
        <w:t xml:space="preserve">he </w:t>
      </w:r>
      <w:r w:rsidR="00183880" w:rsidRPr="00AB1A08">
        <w:rPr>
          <w:rFonts w:ascii="Times New Roman" w:hAnsi="Times New Roman" w:cs="Times New Roman"/>
          <w:sz w:val="24"/>
          <w:szCs w:val="24"/>
        </w:rPr>
        <w:t>patient p</w:t>
      </w:r>
      <w:r w:rsidRPr="00AB1A08">
        <w:rPr>
          <w:rFonts w:ascii="Times New Roman" w:hAnsi="Times New Roman" w:cs="Times New Roman"/>
          <w:sz w:val="24"/>
          <w:szCs w:val="24"/>
        </w:rPr>
        <w:t>reference population)</w:t>
      </w:r>
      <w:r w:rsidR="005F699E" w:rsidRPr="00AB1A08">
        <w:rPr>
          <w:rFonts w:ascii="Times New Roman" w:hAnsi="Times New Roman" w:cs="Times New Roman"/>
          <w:sz w:val="24"/>
          <w:szCs w:val="24"/>
        </w:rPr>
        <w:t>.</w:t>
      </w:r>
    </w:p>
    <w:p w14:paraId="7937B047" w14:textId="4BA54A25" w:rsidR="00EB6884" w:rsidRDefault="00EB6884" w:rsidP="00966670">
      <w:pPr>
        <w:spacing w:before="240"/>
      </w:pPr>
      <w:r w:rsidRPr="00A23E41">
        <w:t xml:space="preserve">For the patients “replaced” in clinical practice with </w:t>
      </w:r>
      <w:r w:rsidR="001F2A6B">
        <w:t xml:space="preserve">the </w:t>
      </w:r>
      <w:r w:rsidRPr="00A23E41">
        <w:t>PDS, that 50% w</w:t>
      </w:r>
      <w:r w:rsidR="007703FE">
        <w:t>ould</w:t>
      </w:r>
      <w:r w:rsidRPr="00A23E41">
        <w:t xml:space="preserve"> come from the Q4W population and the Patient Preference population respectively.</w:t>
      </w:r>
    </w:p>
    <w:p w14:paraId="755C7C3B" w14:textId="26088B08" w:rsidR="00EB6884" w:rsidRDefault="00EB6884" w:rsidP="00966670">
      <w:pPr>
        <w:spacing w:before="240"/>
        <w:rPr>
          <w:szCs w:val="24"/>
        </w:rPr>
      </w:pPr>
      <w:r w:rsidRPr="00B54E2A">
        <w:rPr>
          <w:szCs w:val="24"/>
        </w:rPr>
        <w:fldChar w:fldCharType="begin"/>
      </w:r>
      <w:r w:rsidRPr="00B54E2A">
        <w:rPr>
          <w:szCs w:val="24"/>
        </w:rPr>
        <w:instrText xml:space="preserve"> REF _Ref86314767 \h  \* MERGEFORMAT </w:instrText>
      </w:r>
      <w:r w:rsidRPr="00B54E2A">
        <w:rPr>
          <w:szCs w:val="24"/>
        </w:rPr>
      </w:r>
      <w:r w:rsidRPr="00B54E2A">
        <w:rPr>
          <w:szCs w:val="24"/>
        </w:rPr>
        <w:fldChar w:fldCharType="separate"/>
      </w:r>
      <w:r w:rsidRPr="00B54E2A">
        <w:rPr>
          <w:szCs w:val="24"/>
        </w:rPr>
        <w:t xml:space="preserve">Table </w:t>
      </w:r>
      <w:r w:rsidR="002E69D8">
        <w:rPr>
          <w:noProof/>
          <w:szCs w:val="24"/>
        </w:rPr>
        <w:t>2</w:t>
      </w:r>
      <w:r w:rsidRPr="00B54E2A">
        <w:rPr>
          <w:noProof/>
          <w:szCs w:val="24"/>
        </w:rPr>
        <w:t>.9</w:t>
      </w:r>
      <w:r w:rsidRPr="00B54E2A">
        <w:rPr>
          <w:szCs w:val="24"/>
        </w:rPr>
        <w:fldChar w:fldCharType="end"/>
      </w:r>
      <w:r w:rsidRPr="00B54E2A">
        <w:rPr>
          <w:szCs w:val="24"/>
        </w:rPr>
        <w:t xml:space="preserve"> presents the number of patients forecasted to be in these two groups.</w:t>
      </w:r>
    </w:p>
    <w:p w14:paraId="7816CF67" w14:textId="4E5A11E3" w:rsidR="00EB6884" w:rsidRPr="00183880" w:rsidRDefault="00EB6884" w:rsidP="000F0B19">
      <w:pPr>
        <w:pStyle w:val="Caption"/>
        <w:spacing w:before="240"/>
        <w:rPr>
          <w:rFonts w:cs="Times New Roman"/>
        </w:rPr>
      </w:pPr>
      <w:bookmarkStart w:id="27" w:name="_Ref86314767"/>
      <w:bookmarkStart w:id="28" w:name="_Toc86743012"/>
      <w:r w:rsidRPr="00183880">
        <w:rPr>
          <w:rFonts w:cs="Times New Roman"/>
        </w:rPr>
        <w:lastRenderedPageBreak/>
        <w:t xml:space="preserve">Table </w:t>
      </w:r>
      <w:r w:rsidR="002E69D8" w:rsidRPr="00183880">
        <w:rPr>
          <w:rFonts w:cs="Times New Roman"/>
        </w:rPr>
        <w:t>2</w:t>
      </w:r>
      <w:r w:rsidRPr="00183880">
        <w:rPr>
          <w:rFonts w:cs="Times New Roman"/>
        </w:rPr>
        <w:t>.</w:t>
      </w:r>
      <w:r w:rsidRPr="00183880">
        <w:rPr>
          <w:rFonts w:cs="Times New Roman"/>
        </w:rPr>
        <w:fldChar w:fldCharType="begin"/>
      </w:r>
      <w:r w:rsidRPr="00183880">
        <w:rPr>
          <w:rFonts w:cs="Times New Roman"/>
        </w:rPr>
        <w:instrText xml:space="preserve"> SEQ Table \* ARABIC \s 1 </w:instrText>
      </w:r>
      <w:r w:rsidRPr="00183880">
        <w:rPr>
          <w:rFonts w:cs="Times New Roman"/>
        </w:rPr>
        <w:fldChar w:fldCharType="separate"/>
      </w:r>
      <w:r w:rsidRPr="00183880">
        <w:rPr>
          <w:rFonts w:cs="Times New Roman"/>
          <w:noProof/>
        </w:rPr>
        <w:t>9</w:t>
      </w:r>
      <w:r w:rsidRPr="00183880">
        <w:rPr>
          <w:rFonts w:cs="Times New Roman"/>
        </w:rPr>
        <w:fldChar w:fldCharType="end"/>
      </w:r>
      <w:bookmarkEnd w:id="27"/>
      <w:r w:rsidR="00183880" w:rsidRPr="00183880">
        <w:rPr>
          <w:rFonts w:cs="Times New Roman"/>
        </w:rPr>
        <w:t>:</w:t>
      </w:r>
      <w:r w:rsidRPr="00183880">
        <w:rPr>
          <w:rFonts w:cs="Times New Roman"/>
        </w:rPr>
        <w:t xml:space="preserve"> Replaced prevalent treated population</w:t>
      </w:r>
      <w:bookmarkEnd w:id="28"/>
    </w:p>
    <w:tbl>
      <w:tblPr>
        <w:tblStyle w:val="TableGrid"/>
        <w:tblW w:w="0" w:type="auto"/>
        <w:jc w:val="center"/>
        <w:tblLook w:val="04A0" w:firstRow="1" w:lastRow="0" w:firstColumn="1" w:lastColumn="0" w:noHBand="0" w:noVBand="1"/>
      </w:tblPr>
      <w:tblGrid>
        <w:gridCol w:w="2690"/>
        <w:gridCol w:w="1055"/>
        <w:gridCol w:w="786"/>
        <w:gridCol w:w="851"/>
        <w:gridCol w:w="850"/>
        <w:gridCol w:w="851"/>
        <w:gridCol w:w="992"/>
        <w:gridCol w:w="941"/>
      </w:tblGrid>
      <w:tr w:rsidR="00167CEC" w:rsidRPr="00183880" w14:paraId="47502DA0" w14:textId="77777777" w:rsidTr="00E93F5C">
        <w:trPr>
          <w:jc w:val="center"/>
        </w:trPr>
        <w:tc>
          <w:tcPr>
            <w:tcW w:w="2690" w:type="dxa"/>
            <w:tcBorders>
              <w:bottom w:val="single" w:sz="4" w:space="0" w:color="auto"/>
            </w:tcBorders>
            <w:shd w:val="clear" w:color="auto" w:fill="auto"/>
          </w:tcPr>
          <w:p w14:paraId="1E1F98E2" w14:textId="77777777" w:rsidR="00EB6884" w:rsidRPr="00183880" w:rsidRDefault="00EB6884" w:rsidP="002D226B">
            <w:pPr>
              <w:pStyle w:val="TableText1"/>
              <w:keepNext/>
              <w:spacing w:before="0" w:after="0"/>
              <w:rPr>
                <w:rFonts w:ascii="Arial Narrow" w:hAnsi="Arial Narrow" w:cs="Times New Roman"/>
                <w:b/>
              </w:rPr>
            </w:pPr>
            <w:r w:rsidRPr="00183880">
              <w:rPr>
                <w:rFonts w:ascii="Arial Narrow" w:hAnsi="Arial Narrow" w:cs="Times New Roman"/>
                <w:b/>
              </w:rPr>
              <w:t>Patients</w:t>
            </w:r>
          </w:p>
        </w:tc>
        <w:tc>
          <w:tcPr>
            <w:tcW w:w="1055" w:type="dxa"/>
            <w:tcBorders>
              <w:bottom w:val="single" w:sz="4" w:space="0" w:color="auto"/>
            </w:tcBorders>
            <w:shd w:val="clear" w:color="auto" w:fill="auto"/>
          </w:tcPr>
          <w:p w14:paraId="3D38D052"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Proportion</w:t>
            </w:r>
          </w:p>
        </w:tc>
        <w:tc>
          <w:tcPr>
            <w:tcW w:w="786" w:type="dxa"/>
            <w:tcBorders>
              <w:bottom w:val="single" w:sz="4" w:space="0" w:color="auto"/>
            </w:tcBorders>
            <w:shd w:val="clear" w:color="auto" w:fill="auto"/>
          </w:tcPr>
          <w:p w14:paraId="479CB8CC"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2022</w:t>
            </w:r>
          </w:p>
        </w:tc>
        <w:tc>
          <w:tcPr>
            <w:tcW w:w="851" w:type="dxa"/>
            <w:tcBorders>
              <w:bottom w:val="single" w:sz="4" w:space="0" w:color="auto"/>
            </w:tcBorders>
            <w:shd w:val="clear" w:color="auto" w:fill="auto"/>
          </w:tcPr>
          <w:p w14:paraId="626A503C"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2023</w:t>
            </w:r>
          </w:p>
        </w:tc>
        <w:tc>
          <w:tcPr>
            <w:tcW w:w="850" w:type="dxa"/>
            <w:tcBorders>
              <w:bottom w:val="single" w:sz="4" w:space="0" w:color="auto"/>
            </w:tcBorders>
            <w:shd w:val="clear" w:color="auto" w:fill="auto"/>
          </w:tcPr>
          <w:p w14:paraId="2394FDBE"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2024</w:t>
            </w:r>
          </w:p>
        </w:tc>
        <w:tc>
          <w:tcPr>
            <w:tcW w:w="851" w:type="dxa"/>
            <w:tcBorders>
              <w:bottom w:val="single" w:sz="4" w:space="0" w:color="auto"/>
            </w:tcBorders>
            <w:shd w:val="clear" w:color="auto" w:fill="auto"/>
          </w:tcPr>
          <w:p w14:paraId="25D723BD"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2025</w:t>
            </w:r>
          </w:p>
        </w:tc>
        <w:tc>
          <w:tcPr>
            <w:tcW w:w="992" w:type="dxa"/>
            <w:tcBorders>
              <w:bottom w:val="single" w:sz="4" w:space="0" w:color="auto"/>
            </w:tcBorders>
            <w:shd w:val="clear" w:color="auto" w:fill="auto"/>
          </w:tcPr>
          <w:p w14:paraId="4982C89A"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2026</w:t>
            </w:r>
          </w:p>
        </w:tc>
        <w:tc>
          <w:tcPr>
            <w:tcW w:w="941" w:type="dxa"/>
            <w:tcBorders>
              <w:bottom w:val="single" w:sz="4" w:space="0" w:color="auto"/>
            </w:tcBorders>
            <w:shd w:val="clear" w:color="auto" w:fill="auto"/>
          </w:tcPr>
          <w:p w14:paraId="3956859A" w14:textId="77777777" w:rsidR="00EB6884" w:rsidRPr="00183880" w:rsidRDefault="00EB6884" w:rsidP="00EB6884">
            <w:pPr>
              <w:pStyle w:val="TableText1"/>
              <w:spacing w:before="0" w:after="0"/>
              <w:jc w:val="center"/>
              <w:rPr>
                <w:rFonts w:ascii="Arial Narrow" w:hAnsi="Arial Narrow" w:cs="Times New Roman"/>
                <w:b/>
              </w:rPr>
            </w:pPr>
            <w:r w:rsidRPr="00183880">
              <w:rPr>
                <w:rFonts w:ascii="Arial Narrow" w:hAnsi="Arial Narrow" w:cs="Times New Roman"/>
                <w:b/>
              </w:rPr>
              <w:t>2027</w:t>
            </w:r>
          </w:p>
        </w:tc>
      </w:tr>
      <w:tr w:rsidR="00167CEC" w:rsidRPr="00966670" w14:paraId="1C596BF4" w14:textId="77777777" w:rsidTr="00E93F5C">
        <w:trPr>
          <w:jc w:val="center"/>
        </w:trPr>
        <w:tc>
          <w:tcPr>
            <w:tcW w:w="2690" w:type="dxa"/>
            <w:tcBorders>
              <w:top w:val="single" w:sz="4" w:space="0" w:color="auto"/>
              <w:left w:val="single" w:sz="4" w:space="0" w:color="auto"/>
              <w:bottom w:val="single" w:sz="4" w:space="0" w:color="auto"/>
              <w:right w:val="single" w:sz="4" w:space="0" w:color="auto"/>
            </w:tcBorders>
          </w:tcPr>
          <w:p w14:paraId="69F3344E" w14:textId="77777777" w:rsidR="00EB6884" w:rsidRPr="00966670" w:rsidRDefault="00EB6884" w:rsidP="002D226B">
            <w:pPr>
              <w:keepNext/>
              <w:rPr>
                <w:rFonts w:ascii="Arial Narrow" w:hAnsi="Arial Narrow" w:cs="Times New Roman"/>
                <w:bCs/>
                <w:sz w:val="20"/>
              </w:rPr>
            </w:pPr>
            <w:r w:rsidRPr="00966670">
              <w:rPr>
                <w:rFonts w:ascii="Arial Narrow" w:hAnsi="Arial Narrow" w:cs="Times New Roman"/>
                <w:bCs/>
                <w:sz w:val="20"/>
              </w:rPr>
              <w:t>Replaced prevalent treated population</w:t>
            </w:r>
          </w:p>
        </w:tc>
        <w:tc>
          <w:tcPr>
            <w:tcW w:w="1055" w:type="dxa"/>
            <w:tcBorders>
              <w:top w:val="single" w:sz="4" w:space="0" w:color="auto"/>
              <w:left w:val="single" w:sz="4" w:space="0" w:color="auto"/>
              <w:bottom w:val="single" w:sz="4" w:space="0" w:color="auto"/>
              <w:right w:val="single" w:sz="4" w:space="0" w:color="auto"/>
            </w:tcBorders>
            <w:vAlign w:val="center"/>
          </w:tcPr>
          <w:p w14:paraId="322A84BB" w14:textId="77777777" w:rsidR="00EB6884" w:rsidRPr="00966670" w:rsidRDefault="00EB6884" w:rsidP="00EB6884">
            <w:pPr>
              <w:jc w:val="center"/>
              <w:rPr>
                <w:rFonts w:ascii="Arial Narrow" w:hAnsi="Arial Narrow" w:cs="Times New Roman"/>
                <w:bCs/>
                <w:sz w:val="20"/>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432BF18" w14:textId="4BAD5DAB" w:rsidR="00EB6884" w:rsidRPr="00966670" w:rsidRDefault="003511C3" w:rsidP="00EB6884">
            <w:pPr>
              <w:jc w:val="center"/>
              <w:rPr>
                <w:rFonts w:ascii="Arial Narrow" w:hAnsi="Arial Narrow" w:cs="Times New Roman"/>
                <w:bCs/>
                <w:sz w:val="20"/>
                <w:vertAlign w:val="superscript"/>
              </w:rPr>
            </w:pPr>
            <w:r w:rsidRPr="003511C3">
              <w:rPr>
                <w:rFonts w:ascii="Arial Narrow" w:hAnsi="Arial Narrow" w:cs="Times New Roman"/>
                <w:bCs/>
                <w:color w:val="000000"/>
                <w:spacing w:val="49"/>
                <w:sz w:val="20"/>
                <w:shd w:val="solid" w:color="000000" w:fill="000000"/>
                <w:fitText w:val="320" w:id="-1490359291"/>
                <w14:textFill>
                  <w14:solidFill>
                    <w14:srgbClr w14:val="000000">
                      <w14:alpha w14:val="100000"/>
                    </w14:srgbClr>
                  </w14:solidFill>
                </w14:textFill>
              </w:rPr>
              <w:t>|||</w:t>
            </w:r>
            <w:r w:rsidRPr="003511C3">
              <w:rPr>
                <w:rFonts w:ascii="Arial Narrow" w:hAnsi="Arial Narrow" w:cs="Times New Roman"/>
                <w:bCs/>
                <w:color w:val="000000"/>
                <w:spacing w:val="3"/>
                <w:sz w:val="20"/>
                <w:shd w:val="solid" w:color="000000" w:fill="000000"/>
                <w:fitText w:val="320" w:id="-1490359291"/>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D9C84C" w14:textId="050F32E9"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90"/>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90"/>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E5D783" w14:textId="79473191"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9"/>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9"/>
                <w14:textFill>
                  <w14:solidFill>
                    <w14:srgbClr w14:val="000000">
                      <w14:alpha w14:val="100000"/>
                    </w14:srgbClr>
                  </w14:solidFill>
                </w14:textFill>
              </w:rPr>
              <w:t>|</w:t>
            </w:r>
            <w:r w:rsidR="0059434D" w:rsidRPr="00966670">
              <w:rPr>
                <w:rFonts w:ascii="Arial Narrow" w:hAnsi="Arial Narrow" w:cs="Times New Roman"/>
                <w:bCs/>
                <w:sz w:val="20"/>
              </w:rPr>
              <w:t xml:space="preserve"> </w:t>
            </w:r>
            <w:r w:rsidR="0059434D" w:rsidRPr="00966670">
              <w:rPr>
                <w:rFonts w:ascii="Arial Narrow" w:hAnsi="Arial Narrow" w:cs="Times New Roman"/>
                <w:bCs/>
                <w:sz w:val="20"/>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99682" w14:textId="031C883A"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8"/>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8"/>
                <w14:textFill>
                  <w14:solidFill>
                    <w14:srgbClr w14:val="000000">
                      <w14:alpha w14:val="100000"/>
                    </w14:srgbClr>
                  </w14:solidFill>
                </w14:textFill>
              </w:rPr>
              <w:t>|</w:t>
            </w:r>
            <w:r w:rsidR="0059434D" w:rsidRPr="00966670">
              <w:rPr>
                <w:rFonts w:ascii="Arial Narrow" w:hAnsi="Arial Narrow" w:cs="Times New Roman"/>
                <w:bCs/>
                <w:sz w:val="20"/>
              </w:rPr>
              <w:t xml:space="preserve"> </w:t>
            </w:r>
            <w:r w:rsidR="0059434D" w:rsidRPr="00966670">
              <w:rPr>
                <w:rFonts w:ascii="Arial Narrow" w:hAnsi="Arial Narrow" w:cs="Times New Roman"/>
                <w:bCs/>
                <w:sz w:val="20"/>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FAB80" w14:textId="38B2E4EB"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287"/>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287"/>
                <w14:textFill>
                  <w14:solidFill>
                    <w14:srgbClr w14:val="000000">
                      <w14:alpha w14:val="100000"/>
                    </w14:srgbClr>
                  </w14:solidFill>
                </w14:textFill>
              </w:rPr>
              <w:t>|</w:t>
            </w:r>
            <w:r w:rsidR="0059434D" w:rsidRPr="00966670">
              <w:rPr>
                <w:rFonts w:ascii="Arial Narrow" w:hAnsi="Arial Narrow" w:cs="Times New Roman"/>
                <w:bCs/>
                <w:sz w:val="20"/>
              </w:rPr>
              <w:t xml:space="preserve"> </w:t>
            </w:r>
            <w:r w:rsidR="0059434D" w:rsidRPr="00966670">
              <w:rPr>
                <w:rFonts w:ascii="Arial Narrow" w:hAnsi="Arial Narrow" w:cs="Times New Roman"/>
                <w:bCs/>
                <w:sz w:val="20"/>
                <w:vertAlign w:val="superscript"/>
              </w:rPr>
              <w:t>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5C434921" w14:textId="4A9F6766"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54"/>
                <w:sz w:val="20"/>
                <w:shd w:val="solid" w:color="000000" w:fill="000000"/>
                <w:fitText w:val="240" w:id="-1490359286"/>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40" w:id="-1490359286"/>
                <w14:textFill>
                  <w14:solidFill>
                    <w14:srgbClr w14:val="000000">
                      <w14:alpha w14:val="100000"/>
                    </w14:srgbClr>
                  </w14:solidFill>
                </w14:textFill>
              </w:rPr>
              <w:t>|</w:t>
            </w:r>
            <w:r w:rsidR="0059434D" w:rsidRPr="00966670">
              <w:rPr>
                <w:rFonts w:ascii="Arial Narrow" w:hAnsi="Arial Narrow" w:cs="Times New Roman"/>
                <w:bCs/>
                <w:sz w:val="20"/>
              </w:rPr>
              <w:t xml:space="preserve"> </w:t>
            </w:r>
            <w:r w:rsidR="0059434D" w:rsidRPr="00966670">
              <w:rPr>
                <w:rFonts w:ascii="Arial Narrow" w:hAnsi="Arial Narrow" w:cs="Times New Roman"/>
                <w:bCs/>
                <w:sz w:val="20"/>
                <w:vertAlign w:val="superscript"/>
              </w:rPr>
              <w:t>3</w:t>
            </w:r>
          </w:p>
        </w:tc>
      </w:tr>
      <w:tr w:rsidR="00167CEC" w:rsidRPr="00966670" w14:paraId="0EA99009" w14:textId="77777777" w:rsidTr="00E93F5C">
        <w:trPr>
          <w:jc w:val="center"/>
        </w:trPr>
        <w:tc>
          <w:tcPr>
            <w:tcW w:w="2690" w:type="dxa"/>
            <w:tcBorders>
              <w:top w:val="single" w:sz="4" w:space="0" w:color="auto"/>
              <w:left w:val="single" w:sz="4" w:space="0" w:color="auto"/>
              <w:bottom w:val="single" w:sz="4" w:space="0" w:color="auto"/>
              <w:right w:val="single" w:sz="4" w:space="0" w:color="auto"/>
            </w:tcBorders>
          </w:tcPr>
          <w:p w14:paraId="2D8F37DF" w14:textId="79912670" w:rsidR="00EB6884" w:rsidRPr="00966670" w:rsidRDefault="00EB6884" w:rsidP="002D226B">
            <w:pPr>
              <w:keepNext/>
              <w:ind w:left="175"/>
              <w:rPr>
                <w:rFonts w:ascii="Arial Narrow" w:hAnsi="Arial Narrow" w:cs="Times New Roman"/>
                <w:bCs/>
                <w:sz w:val="20"/>
              </w:rPr>
            </w:pPr>
            <w:r w:rsidRPr="00966670">
              <w:rPr>
                <w:rFonts w:ascii="Arial Narrow" w:hAnsi="Arial Narrow" w:cs="Times New Roman"/>
                <w:bCs/>
                <w:sz w:val="20"/>
              </w:rPr>
              <w:t>Q4W population</w:t>
            </w:r>
          </w:p>
        </w:tc>
        <w:tc>
          <w:tcPr>
            <w:tcW w:w="1055" w:type="dxa"/>
            <w:tcBorders>
              <w:top w:val="single" w:sz="4" w:space="0" w:color="auto"/>
              <w:left w:val="single" w:sz="4" w:space="0" w:color="auto"/>
              <w:bottom w:val="single" w:sz="4" w:space="0" w:color="auto"/>
              <w:right w:val="single" w:sz="4" w:space="0" w:color="auto"/>
            </w:tcBorders>
            <w:vAlign w:val="center"/>
          </w:tcPr>
          <w:p w14:paraId="6A5F43BF" w14:textId="77777777" w:rsidR="00EB6884" w:rsidRPr="00966670" w:rsidRDefault="00EB6884" w:rsidP="00EB6884">
            <w:pPr>
              <w:jc w:val="center"/>
              <w:rPr>
                <w:rFonts w:ascii="Arial Narrow" w:hAnsi="Arial Narrow" w:cs="Times New Roman"/>
                <w:bCs/>
                <w:sz w:val="20"/>
              </w:rPr>
            </w:pPr>
            <w:r w:rsidRPr="00966670">
              <w:rPr>
                <w:rFonts w:ascii="Arial Narrow" w:hAnsi="Arial Narrow" w:cs="Times New Roman"/>
                <w:bCs/>
                <w:sz w:val="20"/>
              </w:rPr>
              <w:t>50%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3B6D924" w14:textId="1C33CF6D"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49"/>
                <w:sz w:val="20"/>
                <w:shd w:val="solid" w:color="000000" w:fill="000000"/>
                <w:fitText w:val="320" w:id="-1490359285"/>
                <w14:textFill>
                  <w14:solidFill>
                    <w14:srgbClr w14:val="000000">
                      <w14:alpha w14:val="100000"/>
                    </w14:srgbClr>
                  </w14:solidFill>
                </w14:textFill>
              </w:rPr>
              <w:t>|||</w:t>
            </w:r>
            <w:r w:rsidRPr="003511C3">
              <w:rPr>
                <w:rFonts w:ascii="Arial Narrow" w:hAnsi="Arial Narrow" w:cs="Times New Roman"/>
                <w:bCs/>
                <w:color w:val="000000"/>
                <w:spacing w:val="3"/>
                <w:sz w:val="20"/>
                <w:shd w:val="solid" w:color="000000" w:fill="000000"/>
                <w:fitText w:val="320" w:id="-1490359285"/>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B52359" w14:textId="14DFD25B"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4"/>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4"/>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1A1567" w14:textId="505B438A"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3"/>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3"/>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B3E4DC" w14:textId="0BC0FA28"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2"/>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2"/>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FC0F6" w14:textId="07BF22CC"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281"/>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281"/>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577A6CB7" w14:textId="6FA05271"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54"/>
                <w:sz w:val="20"/>
                <w:shd w:val="solid" w:color="000000" w:fill="000000"/>
                <w:fitText w:val="240" w:id="-1490359280"/>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40" w:id="-1490359280"/>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r>
      <w:tr w:rsidR="00167CEC" w:rsidRPr="00966670" w14:paraId="3768D1B7" w14:textId="77777777" w:rsidTr="00E93F5C">
        <w:trPr>
          <w:jc w:val="center"/>
        </w:trPr>
        <w:tc>
          <w:tcPr>
            <w:tcW w:w="2690" w:type="dxa"/>
            <w:tcBorders>
              <w:top w:val="single" w:sz="4" w:space="0" w:color="auto"/>
              <w:left w:val="single" w:sz="4" w:space="0" w:color="auto"/>
              <w:bottom w:val="single" w:sz="4" w:space="0" w:color="auto"/>
              <w:right w:val="single" w:sz="4" w:space="0" w:color="auto"/>
            </w:tcBorders>
          </w:tcPr>
          <w:p w14:paraId="1A075DCC" w14:textId="507C801C" w:rsidR="00EB6884" w:rsidRPr="00966670" w:rsidRDefault="00183880" w:rsidP="002D226B">
            <w:pPr>
              <w:keepNext/>
              <w:ind w:left="175"/>
              <w:rPr>
                <w:rFonts w:ascii="Arial Narrow" w:hAnsi="Arial Narrow" w:cs="Times New Roman"/>
                <w:bCs/>
                <w:sz w:val="20"/>
              </w:rPr>
            </w:pPr>
            <w:r w:rsidRPr="00966670">
              <w:rPr>
                <w:rFonts w:ascii="Arial Narrow" w:hAnsi="Arial Narrow" w:cs="Times New Roman"/>
                <w:bCs/>
                <w:sz w:val="20"/>
              </w:rPr>
              <w:t>patient preference p</w:t>
            </w:r>
            <w:r w:rsidR="00EB6884" w:rsidRPr="00966670">
              <w:rPr>
                <w:rFonts w:ascii="Arial Narrow" w:hAnsi="Arial Narrow" w:cs="Times New Roman"/>
                <w:bCs/>
                <w:sz w:val="20"/>
              </w:rPr>
              <w:t>opulation</w:t>
            </w:r>
          </w:p>
        </w:tc>
        <w:tc>
          <w:tcPr>
            <w:tcW w:w="1055" w:type="dxa"/>
            <w:tcBorders>
              <w:top w:val="single" w:sz="4" w:space="0" w:color="auto"/>
              <w:left w:val="single" w:sz="4" w:space="0" w:color="auto"/>
              <w:bottom w:val="single" w:sz="4" w:space="0" w:color="auto"/>
              <w:right w:val="single" w:sz="4" w:space="0" w:color="auto"/>
            </w:tcBorders>
            <w:vAlign w:val="center"/>
          </w:tcPr>
          <w:p w14:paraId="27A61B40" w14:textId="77777777" w:rsidR="00EB6884" w:rsidRPr="00966670" w:rsidRDefault="00EB6884" w:rsidP="00EB6884">
            <w:pPr>
              <w:jc w:val="center"/>
              <w:rPr>
                <w:rFonts w:ascii="Arial Narrow" w:hAnsi="Arial Narrow" w:cs="Times New Roman"/>
                <w:bCs/>
                <w:sz w:val="20"/>
              </w:rPr>
            </w:pPr>
            <w:r w:rsidRPr="00966670">
              <w:rPr>
                <w:rFonts w:ascii="Arial Narrow" w:hAnsi="Arial Narrow" w:cs="Times New Roman"/>
                <w:bCs/>
                <w:sz w:val="20"/>
              </w:rPr>
              <w:t>50%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702C4F" w14:textId="4C40EBA8"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49"/>
                <w:sz w:val="20"/>
                <w:shd w:val="solid" w:color="000000" w:fill="000000"/>
                <w:fitText w:val="320" w:id="-1490359296"/>
                <w14:textFill>
                  <w14:solidFill>
                    <w14:srgbClr w14:val="000000">
                      <w14:alpha w14:val="100000"/>
                    </w14:srgbClr>
                  </w14:solidFill>
                </w14:textFill>
              </w:rPr>
              <w:t>|||</w:t>
            </w:r>
            <w:r w:rsidRPr="003511C3">
              <w:rPr>
                <w:rFonts w:ascii="Arial Narrow" w:hAnsi="Arial Narrow" w:cs="Times New Roman"/>
                <w:bCs/>
                <w:color w:val="000000"/>
                <w:spacing w:val="3"/>
                <w:sz w:val="20"/>
                <w:shd w:val="solid" w:color="000000" w:fill="000000"/>
                <w:fitText w:val="320" w:id="-1490359296"/>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0A62C" w14:textId="4363024B"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95"/>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95"/>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3A6CD" w14:textId="1E734CFF"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94"/>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94"/>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B2BE85" w14:textId="6CA31DB3"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93"/>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93"/>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3C90F" w14:textId="42476368"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05"/>
                <w:sz w:val="20"/>
                <w:shd w:val="solid" w:color="000000" w:fill="000000"/>
                <w:fitText w:val="200" w:id="-1490359292"/>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00" w:id="-1490359292"/>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53852EFF" w14:textId="6019B71F" w:rsidR="00EB6884" w:rsidRPr="00966670" w:rsidRDefault="003511C3" w:rsidP="00EB6884">
            <w:pPr>
              <w:jc w:val="center"/>
              <w:rPr>
                <w:rFonts w:ascii="Arial Narrow" w:hAnsi="Arial Narrow" w:cs="Times New Roman"/>
                <w:bCs/>
                <w:sz w:val="20"/>
              </w:rPr>
            </w:pPr>
            <w:r w:rsidRPr="003511C3">
              <w:rPr>
                <w:rFonts w:ascii="Arial Narrow" w:hAnsi="Arial Narrow" w:cs="Times New Roman"/>
                <w:bCs/>
                <w:color w:val="000000"/>
                <w:spacing w:val="154"/>
                <w:sz w:val="20"/>
                <w:shd w:val="solid" w:color="000000" w:fill="000000"/>
                <w:fitText w:val="240" w:id="-1490359291"/>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40" w:id="-1490359291"/>
                <w14:textFill>
                  <w14:solidFill>
                    <w14:srgbClr w14:val="000000">
                      <w14:alpha w14:val="100000"/>
                    </w14:srgbClr>
                  </w14:solidFill>
                </w14:textFill>
              </w:rPr>
              <w:t>|</w:t>
            </w:r>
            <w:r w:rsidR="00167CEC" w:rsidRPr="00966670">
              <w:rPr>
                <w:rFonts w:ascii="Arial Narrow" w:hAnsi="Arial Narrow" w:cs="Times New Roman"/>
                <w:bCs/>
                <w:sz w:val="20"/>
              </w:rPr>
              <w:t xml:space="preserve"> </w:t>
            </w:r>
            <w:r w:rsidR="00167CEC" w:rsidRPr="00966670">
              <w:rPr>
                <w:rFonts w:ascii="Arial Narrow" w:hAnsi="Arial Narrow" w:cs="Times New Roman"/>
                <w:bCs/>
                <w:sz w:val="20"/>
                <w:vertAlign w:val="superscript"/>
              </w:rPr>
              <w:t>2</w:t>
            </w:r>
          </w:p>
        </w:tc>
      </w:tr>
    </w:tbl>
    <w:p w14:paraId="4B423498" w14:textId="3A133DC1" w:rsidR="00EB6884" w:rsidRPr="00966670" w:rsidRDefault="00EB6884" w:rsidP="007438F1">
      <w:pPr>
        <w:pStyle w:val="SourceNotes"/>
        <w:keepNext/>
        <w:rPr>
          <w:rFonts w:ascii="Arial Narrow" w:hAnsi="Arial Narrow" w:cs="Times New Roman"/>
        </w:rPr>
      </w:pPr>
      <w:r w:rsidRPr="00966670">
        <w:rPr>
          <w:rFonts w:ascii="Arial Narrow" w:hAnsi="Arial Narrow" w:cs="Times New Roman"/>
        </w:rPr>
        <w:t>Source:</w:t>
      </w:r>
      <w:r w:rsidRPr="00966670">
        <w:rPr>
          <w:rFonts w:ascii="Arial Narrow" w:hAnsi="Arial Narrow" w:cs="Times New Roman"/>
        </w:rPr>
        <w:tab/>
        <w:t xml:space="preserve">MBS+PHI budget impact.xlsx, spreadsheet ‘MBS+PL </w:t>
      </w:r>
      <w:proofErr w:type="spellStart"/>
      <w:r w:rsidRPr="00966670">
        <w:rPr>
          <w:rFonts w:ascii="Arial Narrow" w:hAnsi="Arial Narrow" w:cs="Times New Roman"/>
        </w:rPr>
        <w:t>Utilisation+Cost</w:t>
      </w:r>
      <w:proofErr w:type="spellEnd"/>
      <w:r w:rsidRPr="00966670">
        <w:rPr>
          <w:rFonts w:ascii="Arial Narrow" w:hAnsi="Arial Narrow" w:cs="Times New Roman"/>
        </w:rPr>
        <w:t>’.</w:t>
      </w:r>
    </w:p>
    <w:p w14:paraId="7BD19107" w14:textId="77777777" w:rsidR="00167CEC" w:rsidRPr="00966670" w:rsidRDefault="00167CEC" w:rsidP="007438F1">
      <w:pPr>
        <w:pStyle w:val="Tablenotes1"/>
        <w:keepNext/>
      </w:pPr>
      <w:r w:rsidRPr="00966670">
        <w:t>The redacted values correspond to the following ranges:</w:t>
      </w:r>
    </w:p>
    <w:p w14:paraId="0D57399A" w14:textId="01934567" w:rsidR="00167CEC" w:rsidRPr="00966670" w:rsidRDefault="00167CEC" w:rsidP="007438F1">
      <w:pPr>
        <w:pStyle w:val="Tablenotes1"/>
        <w:keepNext/>
      </w:pPr>
      <w:r w:rsidRPr="00966670">
        <w:rPr>
          <w:vertAlign w:val="superscript"/>
        </w:rPr>
        <w:t xml:space="preserve">1 </w:t>
      </w:r>
      <w:r w:rsidRPr="00966670">
        <w:t>500 to &lt;5,000</w:t>
      </w:r>
    </w:p>
    <w:p w14:paraId="5F8FA4AC" w14:textId="35FC5470" w:rsidR="00167CEC" w:rsidRPr="00966670" w:rsidRDefault="00167CEC" w:rsidP="007438F1">
      <w:pPr>
        <w:pStyle w:val="Tablenotes1"/>
        <w:keepNext/>
      </w:pPr>
      <w:r w:rsidRPr="00966670">
        <w:rPr>
          <w:vertAlign w:val="superscript"/>
        </w:rPr>
        <w:t xml:space="preserve">2 </w:t>
      </w:r>
      <w:r w:rsidRPr="00966670">
        <w:t>5,000 to &lt;10,000</w:t>
      </w:r>
    </w:p>
    <w:p w14:paraId="691810B0" w14:textId="2E0564FF" w:rsidR="00BA1F8B" w:rsidRPr="00966670" w:rsidRDefault="0059434D" w:rsidP="00E03E99">
      <w:pPr>
        <w:pStyle w:val="Tablenotes1"/>
      </w:pPr>
      <w:r w:rsidRPr="00966670">
        <w:rPr>
          <w:vertAlign w:val="superscript"/>
        </w:rPr>
        <w:t>3</w:t>
      </w:r>
      <w:r w:rsidRPr="00966670">
        <w:t xml:space="preserve"> 10,000 to &lt;20,000</w:t>
      </w:r>
    </w:p>
    <w:p w14:paraId="1BDD835C" w14:textId="605955FC" w:rsidR="00400F34" w:rsidRPr="00966670" w:rsidRDefault="00400F34" w:rsidP="000F0B19">
      <w:pPr>
        <w:spacing w:before="240"/>
      </w:pPr>
      <w:r w:rsidRPr="00966670">
        <w:fldChar w:fldCharType="begin"/>
      </w:r>
      <w:r w:rsidRPr="00966670">
        <w:instrText xml:space="preserve"> REF _Ref86315647 \h  \* MERGEFORMAT </w:instrText>
      </w:r>
      <w:r w:rsidRPr="00966670">
        <w:fldChar w:fldCharType="separate"/>
      </w:r>
      <w:r w:rsidRPr="00966670">
        <w:t xml:space="preserve">Table </w:t>
      </w:r>
      <w:r w:rsidR="002E69D8" w:rsidRPr="00966670">
        <w:rPr>
          <w:noProof/>
        </w:rPr>
        <w:t>2</w:t>
      </w:r>
      <w:r w:rsidRPr="00966670">
        <w:rPr>
          <w:noProof/>
        </w:rPr>
        <w:t>.10</w:t>
      </w:r>
      <w:r w:rsidRPr="00966670">
        <w:fldChar w:fldCharType="end"/>
      </w:r>
      <w:r w:rsidRPr="00966670">
        <w:t xml:space="preserve"> presents the estimated number of paracentesis services for the replaced prevalent treated population.</w:t>
      </w:r>
    </w:p>
    <w:p w14:paraId="1C051506" w14:textId="6BFEDE58" w:rsidR="00400F34" w:rsidRPr="00966670" w:rsidRDefault="00400F34" w:rsidP="000F0B19">
      <w:pPr>
        <w:pStyle w:val="Caption"/>
        <w:spacing w:before="240"/>
        <w:rPr>
          <w:rFonts w:cs="Times New Roman"/>
        </w:rPr>
      </w:pPr>
      <w:bookmarkStart w:id="29" w:name="_Ref86315647"/>
      <w:bookmarkStart w:id="30" w:name="_Toc86743013"/>
      <w:r w:rsidRPr="00966670">
        <w:rPr>
          <w:rFonts w:cs="Times New Roman"/>
        </w:rPr>
        <w:t xml:space="preserve">Table </w:t>
      </w:r>
      <w:r w:rsidR="002E69D8" w:rsidRPr="00966670">
        <w:rPr>
          <w:rFonts w:cs="Times New Roman"/>
        </w:rPr>
        <w:t>2</w:t>
      </w:r>
      <w:r w:rsidRPr="00966670">
        <w:rPr>
          <w:rFonts w:cs="Times New Roman"/>
        </w:rPr>
        <w:t>.</w:t>
      </w:r>
      <w:r w:rsidRPr="00966670">
        <w:rPr>
          <w:rFonts w:cs="Times New Roman"/>
        </w:rPr>
        <w:fldChar w:fldCharType="begin"/>
      </w:r>
      <w:r w:rsidRPr="00966670">
        <w:rPr>
          <w:rFonts w:cs="Times New Roman"/>
        </w:rPr>
        <w:instrText xml:space="preserve"> SEQ Table \* ARABIC \s 1 </w:instrText>
      </w:r>
      <w:r w:rsidRPr="00966670">
        <w:rPr>
          <w:rFonts w:cs="Times New Roman"/>
        </w:rPr>
        <w:fldChar w:fldCharType="separate"/>
      </w:r>
      <w:r w:rsidRPr="00966670">
        <w:rPr>
          <w:rFonts w:cs="Times New Roman"/>
          <w:noProof/>
        </w:rPr>
        <w:t>10</w:t>
      </w:r>
      <w:r w:rsidRPr="00966670">
        <w:rPr>
          <w:rFonts w:cs="Times New Roman"/>
        </w:rPr>
        <w:fldChar w:fldCharType="end"/>
      </w:r>
      <w:bookmarkEnd w:id="29"/>
      <w:r w:rsidR="00183880" w:rsidRPr="00966670">
        <w:rPr>
          <w:rFonts w:cs="Times New Roman"/>
        </w:rPr>
        <w:t xml:space="preserve">: </w:t>
      </w:r>
      <w:r w:rsidRPr="00966670">
        <w:rPr>
          <w:rFonts w:cs="Times New Roman"/>
        </w:rPr>
        <w:t>Estimated number of paracentesis services for the replaced prevalent treated population</w:t>
      </w:r>
      <w:bookmarkEnd w:id="30"/>
    </w:p>
    <w:tbl>
      <w:tblPr>
        <w:tblStyle w:val="TableGrid"/>
        <w:tblW w:w="5000" w:type="pct"/>
        <w:tblLayout w:type="fixed"/>
        <w:tblLook w:val="04A0" w:firstRow="1" w:lastRow="0" w:firstColumn="1" w:lastColumn="0" w:noHBand="0" w:noVBand="1"/>
      </w:tblPr>
      <w:tblGrid>
        <w:gridCol w:w="2123"/>
        <w:gridCol w:w="1275"/>
        <w:gridCol w:w="851"/>
        <w:gridCol w:w="849"/>
        <w:gridCol w:w="995"/>
        <w:gridCol w:w="959"/>
        <w:gridCol w:w="952"/>
        <w:gridCol w:w="1012"/>
      </w:tblGrid>
      <w:tr w:rsidR="00E93F5C" w:rsidRPr="00966670" w14:paraId="7AF8E750" w14:textId="77777777" w:rsidTr="00E93F5C">
        <w:tc>
          <w:tcPr>
            <w:tcW w:w="1177" w:type="pct"/>
            <w:tcBorders>
              <w:bottom w:val="single" w:sz="4" w:space="0" w:color="auto"/>
            </w:tcBorders>
            <w:shd w:val="clear" w:color="auto" w:fill="auto"/>
          </w:tcPr>
          <w:p w14:paraId="0A044E4A" w14:textId="77777777" w:rsidR="00400F34" w:rsidRPr="00966670" w:rsidRDefault="00400F34" w:rsidP="002D226B">
            <w:pPr>
              <w:pStyle w:val="TableText1"/>
              <w:keepNext/>
              <w:spacing w:before="0" w:after="0"/>
              <w:rPr>
                <w:rFonts w:ascii="Arial Narrow" w:hAnsi="Arial Narrow" w:cs="Times New Roman"/>
                <w:b/>
              </w:rPr>
            </w:pPr>
            <w:r w:rsidRPr="00966670">
              <w:rPr>
                <w:rFonts w:ascii="Arial Narrow" w:hAnsi="Arial Narrow" w:cs="Times New Roman"/>
                <w:b/>
              </w:rPr>
              <w:t>Patients</w:t>
            </w:r>
          </w:p>
        </w:tc>
        <w:tc>
          <w:tcPr>
            <w:tcW w:w="707" w:type="pct"/>
            <w:tcBorders>
              <w:bottom w:val="single" w:sz="4" w:space="0" w:color="auto"/>
            </w:tcBorders>
            <w:shd w:val="clear" w:color="auto" w:fill="auto"/>
          </w:tcPr>
          <w:p w14:paraId="623C2ED1" w14:textId="77777777" w:rsidR="00400F34" w:rsidRPr="00966670" w:rsidRDefault="00400F34" w:rsidP="0080028F">
            <w:pPr>
              <w:pStyle w:val="TableText1"/>
              <w:spacing w:before="0" w:after="0"/>
              <w:rPr>
                <w:rFonts w:ascii="Arial Narrow" w:hAnsi="Arial Narrow" w:cs="Times New Roman"/>
                <w:b/>
              </w:rPr>
            </w:pPr>
            <w:r w:rsidRPr="00966670">
              <w:rPr>
                <w:rFonts w:ascii="Arial Narrow" w:hAnsi="Arial Narrow" w:cs="Times New Roman"/>
                <w:b/>
              </w:rPr>
              <w:t>Service</w:t>
            </w:r>
          </w:p>
        </w:tc>
        <w:tc>
          <w:tcPr>
            <w:tcW w:w="472" w:type="pct"/>
            <w:tcBorders>
              <w:bottom w:val="single" w:sz="4" w:space="0" w:color="auto"/>
            </w:tcBorders>
            <w:shd w:val="clear" w:color="auto" w:fill="auto"/>
          </w:tcPr>
          <w:p w14:paraId="39DD0222"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2022</w:t>
            </w:r>
          </w:p>
        </w:tc>
        <w:tc>
          <w:tcPr>
            <w:tcW w:w="471" w:type="pct"/>
            <w:tcBorders>
              <w:bottom w:val="single" w:sz="4" w:space="0" w:color="auto"/>
            </w:tcBorders>
            <w:shd w:val="clear" w:color="auto" w:fill="auto"/>
          </w:tcPr>
          <w:p w14:paraId="6EA7B601"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2023</w:t>
            </w:r>
          </w:p>
        </w:tc>
        <w:tc>
          <w:tcPr>
            <w:tcW w:w="552" w:type="pct"/>
            <w:tcBorders>
              <w:bottom w:val="single" w:sz="4" w:space="0" w:color="auto"/>
            </w:tcBorders>
            <w:shd w:val="clear" w:color="auto" w:fill="auto"/>
          </w:tcPr>
          <w:p w14:paraId="32FE3488"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2024</w:t>
            </w:r>
          </w:p>
        </w:tc>
        <w:tc>
          <w:tcPr>
            <w:tcW w:w="532" w:type="pct"/>
            <w:tcBorders>
              <w:bottom w:val="single" w:sz="4" w:space="0" w:color="auto"/>
            </w:tcBorders>
            <w:shd w:val="clear" w:color="auto" w:fill="auto"/>
          </w:tcPr>
          <w:p w14:paraId="5D321C19"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2025</w:t>
            </w:r>
          </w:p>
        </w:tc>
        <w:tc>
          <w:tcPr>
            <w:tcW w:w="528" w:type="pct"/>
            <w:tcBorders>
              <w:bottom w:val="single" w:sz="4" w:space="0" w:color="auto"/>
            </w:tcBorders>
            <w:shd w:val="clear" w:color="auto" w:fill="auto"/>
          </w:tcPr>
          <w:p w14:paraId="666CCAFD"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2026</w:t>
            </w:r>
          </w:p>
        </w:tc>
        <w:tc>
          <w:tcPr>
            <w:tcW w:w="561" w:type="pct"/>
            <w:tcBorders>
              <w:bottom w:val="single" w:sz="4" w:space="0" w:color="auto"/>
            </w:tcBorders>
            <w:shd w:val="clear" w:color="auto" w:fill="auto"/>
          </w:tcPr>
          <w:p w14:paraId="76B438EE" w14:textId="77777777" w:rsidR="00400F34" w:rsidRPr="00966670" w:rsidRDefault="00400F34" w:rsidP="0080028F">
            <w:pPr>
              <w:pStyle w:val="TableText1"/>
              <w:spacing w:before="0" w:after="0"/>
              <w:jc w:val="center"/>
              <w:rPr>
                <w:rFonts w:ascii="Arial Narrow" w:hAnsi="Arial Narrow" w:cs="Times New Roman"/>
                <w:b/>
              </w:rPr>
            </w:pPr>
            <w:r w:rsidRPr="00966670">
              <w:rPr>
                <w:rFonts w:ascii="Arial Narrow" w:hAnsi="Arial Narrow" w:cs="Times New Roman"/>
                <w:b/>
              </w:rPr>
              <w:t>2027</w:t>
            </w:r>
          </w:p>
        </w:tc>
      </w:tr>
      <w:tr w:rsidR="00E93F5C" w:rsidRPr="00966670" w14:paraId="6584406B" w14:textId="77777777" w:rsidTr="00E93F5C">
        <w:tc>
          <w:tcPr>
            <w:tcW w:w="1177" w:type="pct"/>
            <w:tcBorders>
              <w:top w:val="single" w:sz="4" w:space="0" w:color="auto"/>
              <w:left w:val="single" w:sz="4" w:space="0" w:color="auto"/>
              <w:bottom w:val="single" w:sz="4" w:space="0" w:color="auto"/>
              <w:right w:val="single" w:sz="4" w:space="0" w:color="auto"/>
            </w:tcBorders>
            <w:vAlign w:val="center"/>
          </w:tcPr>
          <w:p w14:paraId="39CED4C9" w14:textId="178E7B00" w:rsidR="00400F34" w:rsidRPr="00966670" w:rsidRDefault="00400F34" w:rsidP="002D226B">
            <w:pPr>
              <w:keepNext/>
              <w:rPr>
                <w:rFonts w:ascii="Arial Narrow" w:hAnsi="Arial Narrow" w:cs="Times New Roman"/>
                <w:bCs/>
                <w:sz w:val="20"/>
              </w:rPr>
            </w:pPr>
            <w:r w:rsidRPr="00966670">
              <w:rPr>
                <w:rFonts w:ascii="Arial Narrow" w:hAnsi="Arial Narrow" w:cs="Times New Roman"/>
                <w:bCs/>
                <w:sz w:val="20"/>
              </w:rPr>
              <w:t>Q4W population</w:t>
            </w:r>
          </w:p>
        </w:tc>
        <w:tc>
          <w:tcPr>
            <w:tcW w:w="707" w:type="pct"/>
            <w:tcBorders>
              <w:top w:val="single" w:sz="4" w:space="0" w:color="auto"/>
              <w:left w:val="single" w:sz="4" w:space="0" w:color="auto"/>
              <w:bottom w:val="single" w:sz="4" w:space="0" w:color="auto"/>
              <w:right w:val="single" w:sz="4" w:space="0" w:color="auto"/>
            </w:tcBorders>
            <w:vAlign w:val="center"/>
          </w:tcPr>
          <w:p w14:paraId="4EC5EC13" w14:textId="77777777" w:rsidR="00400F34" w:rsidRPr="00966670" w:rsidRDefault="00400F34" w:rsidP="0080028F">
            <w:pPr>
              <w:rPr>
                <w:rFonts w:ascii="Arial Narrow" w:hAnsi="Arial Narrow" w:cs="Times New Roman"/>
                <w:bCs/>
                <w:sz w:val="20"/>
              </w:rPr>
            </w:pPr>
            <w:r w:rsidRPr="00966670">
              <w:rPr>
                <w:rFonts w:ascii="Arial Narrow" w:hAnsi="Arial Narrow" w:cs="Times New Roman"/>
                <w:bCs/>
                <w:sz w:val="20"/>
              </w:rPr>
              <w:t>Paracentesis</w:t>
            </w:r>
          </w:p>
        </w:tc>
        <w:tc>
          <w:tcPr>
            <w:tcW w:w="472" w:type="pct"/>
            <w:tcBorders>
              <w:top w:val="single" w:sz="4" w:space="0" w:color="auto"/>
              <w:left w:val="nil"/>
              <w:bottom w:val="single" w:sz="4" w:space="0" w:color="auto"/>
              <w:right w:val="single" w:sz="4" w:space="0" w:color="auto"/>
            </w:tcBorders>
            <w:shd w:val="clear" w:color="auto" w:fill="auto"/>
            <w:vAlign w:val="center"/>
          </w:tcPr>
          <w:p w14:paraId="19FE7291" w14:textId="5EE14AD3" w:rsidR="00400F34" w:rsidRPr="00966670" w:rsidRDefault="003511C3" w:rsidP="0080028F">
            <w:pPr>
              <w:jc w:val="center"/>
              <w:rPr>
                <w:rFonts w:ascii="Arial Narrow" w:hAnsi="Arial Narrow" w:cs="Times New Roman"/>
                <w:bCs/>
                <w:sz w:val="20"/>
                <w:vertAlign w:val="superscript"/>
              </w:rPr>
            </w:pPr>
            <w:r w:rsidRPr="003511C3">
              <w:rPr>
                <w:rFonts w:ascii="Arial Narrow" w:hAnsi="Arial Narrow" w:cs="Times New Roman"/>
                <w:bCs/>
                <w:color w:val="000000"/>
                <w:spacing w:val="184"/>
                <w:sz w:val="20"/>
                <w:shd w:val="solid" w:color="000000" w:fill="000000"/>
                <w:fitText w:val="270" w:id="-1490359290"/>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90"/>
                <w14:textFill>
                  <w14:solidFill>
                    <w14:srgbClr w14:val="000000">
                      <w14:alpha w14:val="100000"/>
                    </w14:srgbClr>
                  </w14:solidFill>
                </w14:textFill>
              </w:rPr>
              <w:t>|</w:t>
            </w:r>
            <w:r w:rsidR="002D316A" w:rsidRPr="00966670">
              <w:rPr>
                <w:rFonts w:ascii="Arial Narrow" w:hAnsi="Arial Narrow" w:cs="Times New Roman"/>
                <w:bCs/>
                <w:sz w:val="20"/>
              </w:rPr>
              <w:t xml:space="preserve"> </w:t>
            </w:r>
            <w:r w:rsidR="002D316A" w:rsidRPr="00966670">
              <w:rPr>
                <w:rFonts w:ascii="Arial Narrow" w:hAnsi="Arial Narrow" w:cs="Times New Roman"/>
                <w:bCs/>
                <w:sz w:val="20"/>
                <w:vertAlign w:val="superscript"/>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17DDA19" w14:textId="062DD518"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194"/>
                <w:sz w:val="20"/>
                <w:shd w:val="solid" w:color="000000" w:fill="000000"/>
                <w:fitText w:val="280" w:id="-1490359289"/>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80" w:id="-1490359289"/>
                <w14:textFill>
                  <w14:solidFill>
                    <w14:srgbClr w14:val="000000">
                      <w14:alpha w14:val="100000"/>
                    </w14:srgbClr>
                  </w14:solidFill>
                </w14:textFill>
              </w:rPr>
              <w:t>|</w:t>
            </w:r>
            <w:r w:rsidR="0077261A" w:rsidRPr="00966670">
              <w:rPr>
                <w:rFonts w:ascii="Arial Narrow" w:hAnsi="Arial Narrow" w:cs="Times New Roman"/>
                <w:bCs/>
                <w:sz w:val="20"/>
              </w:rPr>
              <w:t xml:space="preserve"> </w:t>
            </w:r>
            <w:r w:rsidR="0077261A" w:rsidRPr="00966670">
              <w:rPr>
                <w:rFonts w:ascii="Arial Narrow" w:hAnsi="Arial Narrow" w:cs="Times New Roman"/>
                <w:bCs/>
                <w:sz w:val="20"/>
                <w:vertAlign w:val="superscript"/>
              </w:rPr>
              <w:t>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424DE7A" w14:textId="4FAB335B"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30"/>
                <w:sz w:val="20"/>
                <w:shd w:val="solid" w:color="000000" w:fill="000000"/>
                <w:fitText w:val="210" w:id="-1490359288"/>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288"/>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6</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7577CFA6" w14:textId="245B28FE"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51"/>
                <w:sz w:val="20"/>
                <w:shd w:val="solid" w:color="000000" w:fill="000000"/>
                <w:fitText w:val="230" w:id="-1490359287"/>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30" w:id="-1490359287"/>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06611A3" w14:textId="13FF1A85"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45"/>
                <w:sz w:val="20"/>
                <w:shd w:val="solid" w:color="000000" w:fill="000000"/>
                <w:fitText w:val="220" w:id="-1490359286"/>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20" w:id="-1490359286"/>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36BF5748" w14:textId="0DA0F260"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104"/>
                <w:sz w:val="20"/>
                <w:shd w:val="solid" w:color="000000" w:fill="000000"/>
                <w:fitText w:val="190" w:id="-1490359285"/>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190" w:id="-1490359285"/>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7</w:t>
            </w:r>
          </w:p>
        </w:tc>
      </w:tr>
      <w:tr w:rsidR="00E93F5C" w:rsidRPr="00966670" w14:paraId="2CE9FC6D" w14:textId="77777777" w:rsidTr="00E93F5C">
        <w:trPr>
          <w:trHeight w:val="54"/>
        </w:trPr>
        <w:tc>
          <w:tcPr>
            <w:tcW w:w="1177" w:type="pct"/>
            <w:tcBorders>
              <w:top w:val="single" w:sz="4" w:space="0" w:color="auto"/>
              <w:left w:val="single" w:sz="4" w:space="0" w:color="auto"/>
              <w:bottom w:val="single" w:sz="4" w:space="0" w:color="auto"/>
              <w:right w:val="single" w:sz="4" w:space="0" w:color="auto"/>
            </w:tcBorders>
            <w:vAlign w:val="center"/>
          </w:tcPr>
          <w:p w14:paraId="1DA82BDB" w14:textId="498DCADE" w:rsidR="00400F34" w:rsidRPr="00966670" w:rsidRDefault="00E93F5C" w:rsidP="002D226B">
            <w:pPr>
              <w:keepNext/>
              <w:rPr>
                <w:rFonts w:ascii="Arial Narrow" w:hAnsi="Arial Narrow" w:cs="Times New Roman"/>
                <w:bCs/>
                <w:sz w:val="20"/>
              </w:rPr>
            </w:pPr>
            <w:r w:rsidRPr="00966670">
              <w:rPr>
                <w:rFonts w:ascii="Arial Narrow" w:hAnsi="Arial Narrow" w:cs="Times New Roman"/>
                <w:bCs/>
                <w:sz w:val="20"/>
              </w:rPr>
              <w:t>P</w:t>
            </w:r>
            <w:r w:rsidR="00183880" w:rsidRPr="00966670">
              <w:rPr>
                <w:rFonts w:ascii="Arial Narrow" w:hAnsi="Arial Narrow" w:cs="Times New Roman"/>
                <w:bCs/>
                <w:sz w:val="20"/>
              </w:rPr>
              <w:t>atient preference population</w:t>
            </w:r>
          </w:p>
        </w:tc>
        <w:tc>
          <w:tcPr>
            <w:tcW w:w="707" w:type="pct"/>
            <w:tcBorders>
              <w:top w:val="single" w:sz="4" w:space="0" w:color="auto"/>
              <w:left w:val="single" w:sz="4" w:space="0" w:color="auto"/>
              <w:bottom w:val="single" w:sz="4" w:space="0" w:color="auto"/>
              <w:right w:val="single" w:sz="4" w:space="0" w:color="auto"/>
            </w:tcBorders>
            <w:vAlign w:val="center"/>
          </w:tcPr>
          <w:p w14:paraId="57A72203" w14:textId="77777777" w:rsidR="00400F34" w:rsidRPr="00966670" w:rsidRDefault="00400F34" w:rsidP="0080028F">
            <w:pPr>
              <w:rPr>
                <w:rFonts w:ascii="Arial Narrow" w:hAnsi="Arial Narrow" w:cs="Times New Roman"/>
                <w:bCs/>
                <w:sz w:val="20"/>
              </w:rPr>
            </w:pPr>
            <w:r w:rsidRPr="00966670">
              <w:rPr>
                <w:rFonts w:ascii="Arial Narrow" w:hAnsi="Arial Narrow" w:cs="Times New Roman"/>
                <w:bCs/>
                <w:sz w:val="20"/>
              </w:rPr>
              <w:t>Paracentesis</w:t>
            </w:r>
          </w:p>
        </w:tc>
        <w:tc>
          <w:tcPr>
            <w:tcW w:w="472" w:type="pct"/>
            <w:tcBorders>
              <w:top w:val="single" w:sz="4" w:space="0" w:color="auto"/>
              <w:left w:val="nil"/>
              <w:bottom w:val="single" w:sz="4" w:space="0" w:color="auto"/>
              <w:right w:val="single" w:sz="4" w:space="0" w:color="auto"/>
            </w:tcBorders>
            <w:shd w:val="clear" w:color="auto" w:fill="auto"/>
            <w:vAlign w:val="center"/>
          </w:tcPr>
          <w:p w14:paraId="41D0A26F" w14:textId="05CB70F4"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184"/>
                <w:sz w:val="20"/>
                <w:shd w:val="solid" w:color="000000" w:fill="000000"/>
                <w:fitText w:val="270" w:id="-1490359284"/>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70" w:id="-1490359284"/>
                <w14:textFill>
                  <w14:solidFill>
                    <w14:srgbClr w14:val="000000">
                      <w14:alpha w14:val="100000"/>
                    </w14:srgbClr>
                  </w14:solidFill>
                </w14:textFill>
              </w:rPr>
              <w:t>|</w:t>
            </w:r>
            <w:r w:rsidR="002D316A" w:rsidRPr="00966670">
              <w:rPr>
                <w:rFonts w:ascii="Arial Narrow" w:hAnsi="Arial Narrow" w:cs="Times New Roman"/>
                <w:bCs/>
                <w:sz w:val="20"/>
              </w:rPr>
              <w:t xml:space="preserve"> </w:t>
            </w:r>
            <w:r w:rsidR="002D316A" w:rsidRPr="00966670">
              <w:rPr>
                <w:rFonts w:ascii="Arial Narrow" w:hAnsi="Arial Narrow" w:cs="Times New Roman"/>
                <w:bCs/>
                <w:sz w:val="20"/>
                <w:vertAlign w:val="superscript"/>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BF451E4" w14:textId="0B2F2BFC"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194"/>
                <w:sz w:val="20"/>
                <w:shd w:val="solid" w:color="000000" w:fill="000000"/>
                <w:fitText w:val="280" w:id="-1490359283"/>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280" w:id="-1490359283"/>
                <w14:textFill>
                  <w14:solidFill>
                    <w14:srgbClr w14:val="000000">
                      <w14:alpha w14:val="100000"/>
                    </w14:srgbClr>
                  </w14:solidFill>
                </w14:textFill>
              </w:rPr>
              <w:t>|</w:t>
            </w:r>
            <w:r w:rsidR="002D316A" w:rsidRPr="00966670">
              <w:rPr>
                <w:rFonts w:ascii="Arial Narrow" w:hAnsi="Arial Narrow" w:cs="Times New Roman"/>
                <w:bCs/>
                <w:sz w:val="20"/>
              </w:rPr>
              <w:t xml:space="preserve"> </w:t>
            </w:r>
            <w:r w:rsidR="002D316A" w:rsidRPr="00966670">
              <w:rPr>
                <w:rFonts w:ascii="Arial Narrow" w:hAnsi="Arial Narrow" w:cs="Times New Roman"/>
                <w:bCs/>
                <w:sz w:val="20"/>
                <w:vertAlign w:val="superscript"/>
              </w:rPr>
              <w:t>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6F6824D" w14:textId="00B96237" w:rsidR="00400F34" w:rsidRPr="00966670" w:rsidRDefault="003511C3" w:rsidP="0080028F">
            <w:pPr>
              <w:jc w:val="center"/>
              <w:rPr>
                <w:rFonts w:ascii="Arial Narrow" w:hAnsi="Arial Narrow" w:cs="Times New Roman"/>
                <w:bCs/>
                <w:sz w:val="20"/>
                <w:vertAlign w:val="superscript"/>
              </w:rPr>
            </w:pPr>
            <w:r w:rsidRPr="003511C3">
              <w:rPr>
                <w:rFonts w:ascii="Arial Narrow" w:hAnsi="Arial Narrow" w:cs="Times New Roman"/>
                <w:bCs/>
                <w:color w:val="000000"/>
                <w:spacing w:val="30"/>
                <w:sz w:val="20"/>
                <w:shd w:val="solid" w:color="000000" w:fill="000000"/>
                <w:fitText w:val="210" w:id="-1490359282"/>
                <w14:textFill>
                  <w14:solidFill>
                    <w14:srgbClr w14:val="000000">
                      <w14:alpha w14:val="100000"/>
                    </w14:srgbClr>
                  </w14:solidFill>
                </w14:textFill>
              </w:rPr>
              <w:t>||</w:t>
            </w:r>
            <w:r w:rsidRPr="003511C3">
              <w:rPr>
                <w:rFonts w:ascii="Arial Narrow" w:hAnsi="Arial Narrow" w:cs="Times New Roman"/>
                <w:bCs/>
                <w:color w:val="000000"/>
                <w:spacing w:val="15"/>
                <w:sz w:val="20"/>
                <w:shd w:val="solid" w:color="000000" w:fill="000000"/>
                <w:fitText w:val="210" w:id="-1490359282"/>
                <w14:textFill>
                  <w14:solidFill>
                    <w14:srgbClr w14:val="000000">
                      <w14:alpha w14:val="100000"/>
                    </w14:srgbClr>
                  </w14:solidFill>
                </w14:textFill>
              </w:rPr>
              <w:t>|</w:t>
            </w:r>
            <w:r w:rsidR="002340EF" w:rsidRPr="00966670">
              <w:rPr>
                <w:rFonts w:ascii="Arial Narrow" w:hAnsi="Arial Narrow" w:cs="Times New Roman"/>
                <w:bCs/>
                <w:sz w:val="20"/>
              </w:rPr>
              <w:t xml:space="preserve"> </w:t>
            </w:r>
            <w:r w:rsidR="0077261A" w:rsidRPr="00966670">
              <w:rPr>
                <w:rFonts w:ascii="Arial Narrow" w:hAnsi="Arial Narrow" w:cs="Times New Roman"/>
                <w:bCs/>
                <w:sz w:val="20"/>
                <w:vertAlign w:val="superscript"/>
              </w:rPr>
              <w:t>3</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19F1A229" w14:textId="07A09D48"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51"/>
                <w:sz w:val="20"/>
                <w:shd w:val="solid" w:color="000000" w:fill="000000"/>
                <w:fitText w:val="230" w:id="-1490359281"/>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30" w:id="-1490359281"/>
                <w14:textFill>
                  <w14:solidFill>
                    <w14:srgbClr w14:val="000000">
                      <w14:alpha w14:val="100000"/>
                    </w14:srgbClr>
                  </w14:solidFill>
                </w14:textFill>
              </w:rPr>
              <w:t>|</w:t>
            </w:r>
            <w:r w:rsidR="0077261A" w:rsidRPr="00966670">
              <w:rPr>
                <w:rFonts w:ascii="Arial Narrow" w:hAnsi="Arial Narrow" w:cs="Times New Roman"/>
                <w:bCs/>
                <w:sz w:val="20"/>
              </w:rPr>
              <w:t xml:space="preserve"> </w:t>
            </w:r>
            <w:r w:rsidR="0077261A" w:rsidRPr="00966670">
              <w:rPr>
                <w:rFonts w:ascii="Arial Narrow" w:hAnsi="Arial Narrow" w:cs="Times New Roman"/>
                <w:bCs/>
                <w:sz w:val="20"/>
                <w:vertAlign w:val="superscript"/>
              </w:rPr>
              <w:t>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5E6BEBB" w14:textId="153DD093"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45"/>
                <w:sz w:val="20"/>
                <w:shd w:val="solid" w:color="000000" w:fill="000000"/>
                <w:fitText w:val="220" w:id="-1490359280"/>
                <w14:textFill>
                  <w14:solidFill>
                    <w14:srgbClr w14:val="000000">
                      <w14:alpha w14:val="100000"/>
                    </w14:srgbClr>
                  </w14:solidFill>
                </w14:textFill>
              </w:rPr>
              <w:t>||</w:t>
            </w:r>
            <w:r w:rsidRPr="003511C3">
              <w:rPr>
                <w:rFonts w:ascii="Arial Narrow" w:hAnsi="Arial Narrow" w:cs="Times New Roman"/>
                <w:bCs/>
                <w:color w:val="000000"/>
                <w:spacing w:val="1"/>
                <w:sz w:val="20"/>
                <w:shd w:val="solid" w:color="000000" w:fill="000000"/>
                <w:fitText w:val="220" w:id="-1490359280"/>
                <w14:textFill>
                  <w14:solidFill>
                    <w14:srgbClr w14:val="000000">
                      <w14:alpha w14:val="100000"/>
                    </w14:srgbClr>
                  </w14:solidFill>
                </w14:textFill>
              </w:rPr>
              <w:t>|</w:t>
            </w:r>
            <w:r w:rsidR="0077261A" w:rsidRPr="00966670">
              <w:rPr>
                <w:rFonts w:ascii="Arial Narrow" w:hAnsi="Arial Narrow" w:cs="Times New Roman"/>
                <w:bCs/>
                <w:sz w:val="20"/>
              </w:rPr>
              <w:t xml:space="preserve"> </w:t>
            </w:r>
            <w:r w:rsidR="0077261A" w:rsidRPr="00966670">
              <w:rPr>
                <w:rFonts w:ascii="Arial Narrow" w:hAnsi="Arial Narrow" w:cs="Times New Roman"/>
                <w:bCs/>
                <w:sz w:val="20"/>
                <w:vertAlign w:val="superscript"/>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603002D8" w14:textId="561E3A1B" w:rsidR="00400F34" w:rsidRPr="00966670" w:rsidRDefault="003511C3" w:rsidP="0080028F">
            <w:pPr>
              <w:jc w:val="center"/>
              <w:rPr>
                <w:rFonts w:ascii="Arial Narrow" w:hAnsi="Arial Narrow" w:cs="Times New Roman"/>
                <w:bCs/>
                <w:sz w:val="20"/>
              </w:rPr>
            </w:pPr>
            <w:r w:rsidRPr="003511C3">
              <w:rPr>
                <w:rFonts w:ascii="Arial Narrow" w:hAnsi="Arial Narrow" w:cs="Times New Roman"/>
                <w:bCs/>
                <w:color w:val="000000"/>
                <w:spacing w:val="104"/>
                <w:sz w:val="20"/>
                <w:shd w:val="solid" w:color="000000" w:fill="000000"/>
                <w:fitText w:val="190" w:id="-1490359296"/>
                <w14:textFill>
                  <w14:solidFill>
                    <w14:srgbClr w14:val="000000">
                      <w14:alpha w14:val="100000"/>
                    </w14:srgbClr>
                  </w14:solidFill>
                </w14:textFill>
              </w:rPr>
              <w:t>|</w:t>
            </w:r>
            <w:r w:rsidRPr="003511C3">
              <w:rPr>
                <w:rFonts w:ascii="Arial Narrow" w:hAnsi="Arial Narrow" w:cs="Times New Roman"/>
                <w:bCs/>
                <w:color w:val="000000"/>
                <w:sz w:val="20"/>
                <w:shd w:val="solid" w:color="000000" w:fill="000000"/>
                <w:fitText w:val="190" w:id="-1490359296"/>
                <w14:textFill>
                  <w14:solidFill>
                    <w14:srgbClr w14:val="000000">
                      <w14:alpha w14:val="100000"/>
                    </w14:srgbClr>
                  </w14:solidFill>
                </w14:textFill>
              </w:rPr>
              <w:t>|</w:t>
            </w:r>
            <w:r w:rsidR="0077261A" w:rsidRPr="00966670">
              <w:rPr>
                <w:rFonts w:ascii="Arial Narrow" w:hAnsi="Arial Narrow" w:cs="Times New Roman"/>
                <w:bCs/>
                <w:sz w:val="20"/>
              </w:rPr>
              <w:t xml:space="preserve"> </w:t>
            </w:r>
            <w:r w:rsidR="0077261A" w:rsidRPr="00966670">
              <w:rPr>
                <w:rFonts w:ascii="Arial Narrow" w:hAnsi="Arial Narrow" w:cs="Times New Roman"/>
                <w:bCs/>
                <w:sz w:val="20"/>
                <w:vertAlign w:val="superscript"/>
              </w:rPr>
              <w:t>4</w:t>
            </w:r>
          </w:p>
        </w:tc>
      </w:tr>
      <w:tr w:rsidR="00E93F5C" w:rsidRPr="00966670" w14:paraId="28C6616F" w14:textId="77777777" w:rsidTr="00E93F5C">
        <w:trPr>
          <w:trHeight w:val="54"/>
        </w:trPr>
        <w:tc>
          <w:tcPr>
            <w:tcW w:w="1177" w:type="pct"/>
            <w:tcBorders>
              <w:top w:val="single" w:sz="4" w:space="0" w:color="auto"/>
              <w:left w:val="single" w:sz="4" w:space="0" w:color="auto"/>
              <w:bottom w:val="single" w:sz="4" w:space="0" w:color="auto"/>
              <w:right w:val="single" w:sz="4" w:space="0" w:color="auto"/>
            </w:tcBorders>
            <w:vAlign w:val="center"/>
          </w:tcPr>
          <w:p w14:paraId="2785A0EA" w14:textId="77777777" w:rsidR="00400F34" w:rsidRPr="00966670" w:rsidRDefault="00400F34" w:rsidP="002D226B">
            <w:pPr>
              <w:keepNext/>
              <w:rPr>
                <w:rFonts w:ascii="Arial Narrow" w:hAnsi="Arial Narrow" w:cs="Times New Roman"/>
                <w:b/>
                <w:bCs/>
                <w:sz w:val="20"/>
              </w:rPr>
            </w:pPr>
            <w:r w:rsidRPr="00966670">
              <w:rPr>
                <w:rFonts w:ascii="Arial Narrow" w:hAnsi="Arial Narrow" w:cs="Times New Roman"/>
                <w:b/>
                <w:bCs/>
                <w:sz w:val="20"/>
              </w:rPr>
              <w:t>Total</w:t>
            </w:r>
          </w:p>
        </w:tc>
        <w:tc>
          <w:tcPr>
            <w:tcW w:w="707" w:type="pct"/>
            <w:tcBorders>
              <w:top w:val="single" w:sz="4" w:space="0" w:color="auto"/>
              <w:left w:val="single" w:sz="4" w:space="0" w:color="auto"/>
              <w:bottom w:val="single" w:sz="4" w:space="0" w:color="auto"/>
              <w:right w:val="single" w:sz="4" w:space="0" w:color="auto"/>
            </w:tcBorders>
            <w:vAlign w:val="center"/>
          </w:tcPr>
          <w:p w14:paraId="4C7AF724" w14:textId="77777777" w:rsidR="00400F34" w:rsidRPr="00966670" w:rsidRDefault="00400F34" w:rsidP="0080028F">
            <w:pPr>
              <w:rPr>
                <w:rFonts w:ascii="Arial Narrow" w:hAnsi="Arial Narrow" w:cs="Times New Roman"/>
                <w:b/>
                <w:bCs/>
                <w:sz w:val="20"/>
              </w:rPr>
            </w:pPr>
            <w:r w:rsidRPr="00966670">
              <w:rPr>
                <w:rFonts w:ascii="Arial Narrow" w:hAnsi="Arial Narrow" w:cs="Times New Roman"/>
                <w:b/>
                <w:bCs/>
                <w:sz w:val="20"/>
              </w:rPr>
              <w:t>Paracentesis</w:t>
            </w:r>
          </w:p>
        </w:tc>
        <w:tc>
          <w:tcPr>
            <w:tcW w:w="472" w:type="pct"/>
            <w:tcBorders>
              <w:top w:val="single" w:sz="4" w:space="0" w:color="auto"/>
              <w:left w:val="nil"/>
              <w:bottom w:val="single" w:sz="4" w:space="0" w:color="auto"/>
              <w:right w:val="single" w:sz="4" w:space="0" w:color="auto"/>
            </w:tcBorders>
            <w:shd w:val="clear" w:color="auto" w:fill="auto"/>
            <w:vAlign w:val="center"/>
          </w:tcPr>
          <w:p w14:paraId="2467FA85" w14:textId="626BFC31" w:rsidR="00400F34" w:rsidRPr="00966670" w:rsidRDefault="003511C3" w:rsidP="0080028F">
            <w:pPr>
              <w:jc w:val="center"/>
              <w:rPr>
                <w:rFonts w:ascii="Arial Narrow" w:hAnsi="Arial Narrow" w:cs="Times New Roman"/>
                <w:b/>
                <w:sz w:val="20"/>
                <w:vertAlign w:val="superscript"/>
              </w:rPr>
            </w:pPr>
            <w:r w:rsidRPr="003511C3">
              <w:rPr>
                <w:rFonts w:ascii="Arial Narrow" w:hAnsi="Arial Narrow" w:cs="Times New Roman"/>
                <w:b/>
                <w:color w:val="000000"/>
                <w:spacing w:val="45"/>
                <w:sz w:val="20"/>
                <w:shd w:val="solid" w:color="000000" w:fill="000000"/>
                <w:fitText w:val="320" w:id="-1490359295"/>
                <w14:textFill>
                  <w14:solidFill>
                    <w14:srgbClr w14:val="000000">
                      <w14:alpha w14:val="100000"/>
                    </w14:srgbClr>
                  </w14:solidFill>
                </w14:textFill>
              </w:rPr>
              <w:t>|||</w:t>
            </w:r>
            <w:r w:rsidRPr="003511C3">
              <w:rPr>
                <w:rFonts w:ascii="Arial Narrow" w:hAnsi="Arial Narrow" w:cs="Times New Roman"/>
                <w:b/>
                <w:color w:val="000000"/>
                <w:spacing w:val="1"/>
                <w:sz w:val="20"/>
                <w:shd w:val="solid" w:color="000000" w:fill="000000"/>
                <w:fitText w:val="320" w:id="-1490359295"/>
                <w14:textFill>
                  <w14:solidFill>
                    <w14:srgbClr w14:val="000000">
                      <w14:alpha w14:val="100000"/>
                    </w14:srgbClr>
                  </w14:solidFill>
                </w14:textFill>
              </w:rPr>
              <w:t>|</w:t>
            </w:r>
            <w:r w:rsidR="002D316A" w:rsidRPr="00966670">
              <w:rPr>
                <w:rFonts w:ascii="Arial Narrow" w:hAnsi="Arial Narrow" w:cs="Times New Roman"/>
                <w:b/>
                <w:sz w:val="20"/>
              </w:rPr>
              <w:t xml:space="preserve"> </w:t>
            </w:r>
            <w:r w:rsidR="002D316A" w:rsidRPr="00966670">
              <w:rPr>
                <w:rFonts w:ascii="Arial Narrow" w:hAnsi="Arial Narrow" w:cs="Times New Roman"/>
                <w:bCs/>
                <w:sz w:val="20"/>
                <w:vertAlign w:val="superscript"/>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4027D02" w14:textId="26A29E31" w:rsidR="00400F34" w:rsidRPr="00966670" w:rsidRDefault="003511C3" w:rsidP="0080028F">
            <w:pPr>
              <w:jc w:val="center"/>
              <w:rPr>
                <w:rFonts w:ascii="Arial Narrow" w:hAnsi="Arial Narrow" w:cs="Times New Roman"/>
                <w:b/>
                <w:sz w:val="20"/>
                <w:vertAlign w:val="superscript"/>
              </w:rPr>
            </w:pPr>
            <w:r w:rsidRPr="003511C3">
              <w:rPr>
                <w:rFonts w:ascii="Arial Narrow" w:hAnsi="Arial Narrow" w:cs="Times New Roman"/>
                <w:b/>
                <w:color w:val="000000"/>
                <w:spacing w:val="45"/>
                <w:sz w:val="20"/>
                <w:shd w:val="solid" w:color="000000" w:fill="000000"/>
                <w:fitText w:val="320" w:id="-1490359294"/>
                <w14:textFill>
                  <w14:solidFill>
                    <w14:srgbClr w14:val="000000">
                      <w14:alpha w14:val="100000"/>
                    </w14:srgbClr>
                  </w14:solidFill>
                </w14:textFill>
              </w:rPr>
              <w:t>|||</w:t>
            </w:r>
            <w:r w:rsidRPr="003511C3">
              <w:rPr>
                <w:rFonts w:ascii="Arial Narrow" w:hAnsi="Arial Narrow" w:cs="Times New Roman"/>
                <w:b/>
                <w:color w:val="000000"/>
                <w:spacing w:val="1"/>
                <w:sz w:val="20"/>
                <w:shd w:val="solid" w:color="000000" w:fill="000000"/>
                <w:fitText w:val="320" w:id="-1490359294"/>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E829483" w14:textId="0EF77CDA" w:rsidR="00400F34" w:rsidRPr="00966670" w:rsidRDefault="003511C3" w:rsidP="0080028F">
            <w:pPr>
              <w:jc w:val="center"/>
              <w:rPr>
                <w:rFonts w:ascii="Arial Narrow" w:hAnsi="Arial Narrow" w:cs="Times New Roman"/>
                <w:b/>
                <w:sz w:val="20"/>
              </w:rPr>
            </w:pPr>
            <w:r w:rsidRPr="003511C3">
              <w:rPr>
                <w:rFonts w:ascii="Arial Narrow" w:hAnsi="Arial Narrow" w:cs="Times New Roman"/>
                <w:b/>
                <w:color w:val="000000"/>
                <w:spacing w:val="150"/>
                <w:sz w:val="20"/>
                <w:shd w:val="solid" w:color="000000" w:fill="000000"/>
                <w:fitText w:val="250" w:id="-1490359293"/>
                <w14:textFill>
                  <w14:solidFill>
                    <w14:srgbClr w14:val="000000">
                      <w14:alpha w14:val="100000"/>
                    </w14:srgbClr>
                  </w14:solidFill>
                </w14:textFill>
              </w:rPr>
              <w:t>|</w:t>
            </w:r>
            <w:r w:rsidRPr="003511C3">
              <w:rPr>
                <w:rFonts w:ascii="Arial Narrow" w:hAnsi="Arial Narrow" w:cs="Times New Roman"/>
                <w:b/>
                <w:color w:val="000000"/>
                <w:sz w:val="20"/>
                <w:shd w:val="solid" w:color="000000" w:fill="000000"/>
                <w:fitText w:val="250" w:id="-1490359293"/>
                <w14:textFill>
                  <w14:solidFill>
                    <w14:srgbClr w14:val="000000">
                      <w14:alpha w14:val="100000"/>
                    </w14:srgbClr>
                  </w14:solidFill>
                </w14:textFill>
              </w:rPr>
              <w:t>|</w:t>
            </w:r>
            <w:r w:rsidR="00985C40" w:rsidRPr="00966670">
              <w:rPr>
                <w:rFonts w:ascii="Arial Narrow" w:hAnsi="Arial Narrow" w:cs="Times New Roman"/>
                <w:bCs/>
                <w:sz w:val="20"/>
              </w:rPr>
              <w:t xml:space="preserve"> </w:t>
            </w:r>
            <w:r w:rsidR="00985C40" w:rsidRPr="00966670">
              <w:rPr>
                <w:rFonts w:ascii="Arial Narrow" w:hAnsi="Arial Narrow" w:cs="Times New Roman"/>
                <w:bCs/>
                <w:sz w:val="20"/>
                <w:vertAlign w:val="superscript"/>
              </w:rPr>
              <w:t>8</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28836CF" w14:textId="36DD0602" w:rsidR="00400F34" w:rsidRPr="00966670" w:rsidRDefault="003511C3" w:rsidP="0080028F">
            <w:pPr>
              <w:jc w:val="center"/>
              <w:rPr>
                <w:rFonts w:ascii="Arial Narrow" w:hAnsi="Arial Narrow" w:cs="Times New Roman"/>
                <w:b/>
                <w:sz w:val="20"/>
              </w:rPr>
            </w:pPr>
            <w:r w:rsidRPr="003511C3">
              <w:rPr>
                <w:rFonts w:ascii="Arial Narrow" w:hAnsi="Arial Narrow" w:cs="Times New Roman"/>
                <w:b/>
                <w:color w:val="000000"/>
                <w:spacing w:val="180"/>
                <w:sz w:val="20"/>
                <w:shd w:val="solid" w:color="000000" w:fill="000000"/>
                <w:fitText w:val="280" w:id="-1490359292"/>
                <w14:textFill>
                  <w14:solidFill>
                    <w14:srgbClr w14:val="000000">
                      <w14:alpha w14:val="100000"/>
                    </w14:srgbClr>
                  </w14:solidFill>
                </w14:textFill>
              </w:rPr>
              <w:t>|</w:t>
            </w:r>
            <w:r w:rsidRPr="003511C3">
              <w:rPr>
                <w:rFonts w:ascii="Arial Narrow" w:hAnsi="Arial Narrow" w:cs="Times New Roman"/>
                <w:b/>
                <w:color w:val="000000"/>
                <w:sz w:val="20"/>
                <w:shd w:val="solid" w:color="000000" w:fill="000000"/>
                <w:fitText w:val="280" w:id="-1490359292"/>
                <w14:textFill>
                  <w14:solidFill>
                    <w14:srgbClr w14:val="000000">
                      <w14:alpha w14:val="100000"/>
                    </w14:srgbClr>
                  </w14:solidFill>
                </w14:textFill>
              </w:rPr>
              <w:t>|</w:t>
            </w:r>
            <w:r w:rsidR="00985C40" w:rsidRPr="00966670">
              <w:rPr>
                <w:rFonts w:ascii="Arial Narrow" w:hAnsi="Arial Narrow" w:cs="Times New Roman"/>
                <w:b/>
                <w:sz w:val="20"/>
              </w:rPr>
              <w:t xml:space="preserve"> </w:t>
            </w:r>
            <w:r w:rsidR="00985C40" w:rsidRPr="00966670">
              <w:rPr>
                <w:rFonts w:ascii="Arial Narrow" w:hAnsi="Arial Narrow" w:cs="Times New Roman"/>
                <w:bCs/>
                <w:sz w:val="20"/>
                <w:vertAlign w:val="superscript"/>
              </w:rPr>
              <w:t>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EAB9F82" w14:textId="6CA2F5DE" w:rsidR="00400F34" w:rsidRPr="00966670" w:rsidRDefault="003511C3" w:rsidP="0080028F">
            <w:pPr>
              <w:jc w:val="center"/>
              <w:rPr>
                <w:rFonts w:ascii="Arial Narrow" w:hAnsi="Arial Narrow" w:cs="Times New Roman"/>
                <w:b/>
                <w:sz w:val="20"/>
              </w:rPr>
            </w:pPr>
            <w:r w:rsidRPr="003511C3">
              <w:rPr>
                <w:rFonts w:ascii="Arial Narrow" w:hAnsi="Arial Narrow" w:cs="Times New Roman"/>
                <w:b/>
                <w:color w:val="000000"/>
                <w:spacing w:val="178"/>
                <w:sz w:val="20"/>
                <w:shd w:val="solid" w:color="000000" w:fill="000000"/>
                <w:fitText w:val="270" w:id="-1490359291"/>
                <w14:textFill>
                  <w14:solidFill>
                    <w14:srgbClr w14:val="000000">
                      <w14:alpha w14:val="100000"/>
                    </w14:srgbClr>
                  </w14:solidFill>
                </w14:textFill>
              </w:rPr>
              <w:t>|</w:t>
            </w:r>
            <w:r w:rsidRPr="003511C3">
              <w:rPr>
                <w:rFonts w:ascii="Arial Narrow" w:hAnsi="Arial Narrow" w:cs="Times New Roman"/>
                <w:b/>
                <w:color w:val="000000"/>
                <w:spacing w:val="1"/>
                <w:sz w:val="20"/>
                <w:shd w:val="solid" w:color="000000" w:fill="000000"/>
                <w:fitText w:val="270" w:id="-1490359291"/>
                <w14:textFill>
                  <w14:solidFill>
                    <w14:srgbClr w14:val="000000">
                      <w14:alpha w14:val="100000"/>
                    </w14:srgbClr>
                  </w14:solidFill>
                </w14:textFill>
              </w:rPr>
              <w:t>|</w:t>
            </w:r>
            <w:r w:rsidR="00985C40" w:rsidRPr="00966670">
              <w:rPr>
                <w:rFonts w:ascii="Arial Narrow" w:hAnsi="Arial Narrow" w:cs="Times New Roman"/>
                <w:b/>
                <w:sz w:val="20"/>
              </w:rPr>
              <w:t xml:space="preserve"> </w:t>
            </w:r>
            <w:r w:rsidR="00985C40" w:rsidRPr="00966670">
              <w:rPr>
                <w:rFonts w:ascii="Arial Narrow" w:hAnsi="Arial Narrow" w:cs="Times New Roman"/>
                <w:bCs/>
                <w:sz w:val="20"/>
                <w:vertAlign w:val="superscript"/>
              </w:rPr>
              <w:t>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3912FED1" w14:textId="375677F1" w:rsidR="00400F34" w:rsidRPr="00966670" w:rsidRDefault="003511C3" w:rsidP="0080028F">
            <w:pPr>
              <w:jc w:val="center"/>
              <w:rPr>
                <w:rFonts w:ascii="Arial Narrow" w:hAnsi="Arial Narrow" w:cs="Times New Roman"/>
                <w:b/>
                <w:sz w:val="20"/>
              </w:rPr>
            </w:pPr>
            <w:r w:rsidRPr="003511C3">
              <w:rPr>
                <w:rFonts w:ascii="Arial Narrow" w:hAnsi="Arial Narrow" w:cs="Times New Roman"/>
                <w:b/>
                <w:color w:val="000000"/>
                <w:spacing w:val="148"/>
                <w:sz w:val="20"/>
                <w:shd w:val="solid" w:color="000000" w:fill="000000"/>
                <w:fitText w:val="240" w:id="-1490359290"/>
                <w14:textFill>
                  <w14:solidFill>
                    <w14:srgbClr w14:val="000000">
                      <w14:alpha w14:val="100000"/>
                    </w14:srgbClr>
                  </w14:solidFill>
                </w14:textFill>
              </w:rPr>
              <w:t>|</w:t>
            </w:r>
            <w:r w:rsidRPr="003511C3">
              <w:rPr>
                <w:rFonts w:ascii="Arial Narrow" w:hAnsi="Arial Narrow" w:cs="Times New Roman"/>
                <w:b/>
                <w:color w:val="000000"/>
                <w:spacing w:val="1"/>
                <w:sz w:val="20"/>
                <w:shd w:val="solid" w:color="000000" w:fill="000000"/>
                <w:fitText w:val="240" w:id="-1490359290"/>
                <w14:textFill>
                  <w14:solidFill>
                    <w14:srgbClr w14:val="000000">
                      <w14:alpha w14:val="100000"/>
                    </w14:srgbClr>
                  </w14:solidFill>
                </w14:textFill>
              </w:rPr>
              <w:t>|</w:t>
            </w:r>
            <w:r w:rsidR="00985C40" w:rsidRPr="00966670">
              <w:rPr>
                <w:rFonts w:ascii="Arial Narrow" w:hAnsi="Arial Narrow" w:cs="Times New Roman"/>
                <w:b/>
                <w:sz w:val="20"/>
              </w:rPr>
              <w:t xml:space="preserve"> </w:t>
            </w:r>
            <w:r w:rsidR="00985C40" w:rsidRPr="00966670">
              <w:rPr>
                <w:rFonts w:ascii="Arial Narrow" w:hAnsi="Arial Narrow" w:cs="Times New Roman"/>
                <w:bCs/>
                <w:sz w:val="20"/>
                <w:vertAlign w:val="superscript"/>
              </w:rPr>
              <w:t>8</w:t>
            </w:r>
          </w:p>
        </w:tc>
      </w:tr>
    </w:tbl>
    <w:p w14:paraId="5D949A11" w14:textId="369B3109" w:rsidR="00400F34" w:rsidRDefault="00400F34" w:rsidP="007438F1">
      <w:pPr>
        <w:pStyle w:val="SourceNotes"/>
        <w:keepNext/>
        <w:rPr>
          <w:rFonts w:ascii="Arial Narrow" w:hAnsi="Arial Narrow"/>
        </w:rPr>
      </w:pPr>
      <w:r w:rsidRPr="00966670">
        <w:rPr>
          <w:rFonts w:ascii="Arial Narrow" w:hAnsi="Arial Narrow" w:cs="Times New Roman"/>
        </w:rPr>
        <w:t>Source:</w:t>
      </w:r>
      <w:r w:rsidRPr="00966670">
        <w:rPr>
          <w:rFonts w:ascii="Arial Narrow" w:hAnsi="Arial Narrow" w:cs="Times New Roman"/>
        </w:rPr>
        <w:tab/>
        <w:t xml:space="preserve">MBS+PHI budget impact.xlsx, spreadsheet ‘MBS+PL </w:t>
      </w:r>
      <w:proofErr w:type="spellStart"/>
      <w:r w:rsidRPr="00966670">
        <w:rPr>
          <w:rFonts w:ascii="Arial Narrow" w:hAnsi="Arial Narrow" w:cs="Times New Roman"/>
        </w:rPr>
        <w:t>Utilisation+Cost</w:t>
      </w:r>
      <w:proofErr w:type="spellEnd"/>
      <w:r w:rsidRPr="00966670">
        <w:rPr>
          <w:rFonts w:ascii="Arial Narrow" w:hAnsi="Arial Narrow" w:cs="Times New Roman"/>
        </w:rPr>
        <w:t>’</w:t>
      </w:r>
      <w:r w:rsidRPr="00966670">
        <w:rPr>
          <w:rFonts w:ascii="Arial Narrow" w:hAnsi="Arial Narrow"/>
        </w:rPr>
        <w:t>.</w:t>
      </w:r>
    </w:p>
    <w:p w14:paraId="3F3D2D79" w14:textId="2973AD9C" w:rsidR="00BA1F8B" w:rsidRDefault="00BA1F8B" w:rsidP="007438F1">
      <w:pPr>
        <w:pStyle w:val="Tablenotes1"/>
        <w:keepNext/>
      </w:pPr>
      <w:r w:rsidRPr="001779F5">
        <w:t>The redacted values correspond to the following ranges:</w:t>
      </w:r>
    </w:p>
    <w:p w14:paraId="55D8032D" w14:textId="6F953A68" w:rsidR="00BA1F8B" w:rsidRDefault="00BA1F8B" w:rsidP="007438F1">
      <w:pPr>
        <w:pStyle w:val="Tablenotes1"/>
        <w:keepNext/>
      </w:pPr>
      <w:proofErr w:type="gramStart"/>
      <w:r>
        <w:rPr>
          <w:vertAlign w:val="superscript"/>
        </w:rPr>
        <w:t xml:space="preserve">1 </w:t>
      </w:r>
      <w:r>
        <w:t xml:space="preserve"> </w:t>
      </w:r>
      <w:r w:rsidRPr="00E3735A">
        <w:t>20,000</w:t>
      </w:r>
      <w:proofErr w:type="gramEnd"/>
      <w:r w:rsidRPr="00E3735A">
        <w:t xml:space="preserve"> to &lt;30,000</w:t>
      </w:r>
    </w:p>
    <w:p w14:paraId="4A3D610C" w14:textId="562F90B2" w:rsidR="00BA1F8B" w:rsidRDefault="00BA1F8B" w:rsidP="007438F1">
      <w:pPr>
        <w:pStyle w:val="Tablenotes1"/>
        <w:keepNext/>
      </w:pPr>
      <w:r>
        <w:rPr>
          <w:vertAlign w:val="superscript"/>
        </w:rPr>
        <w:t>2</w:t>
      </w:r>
      <w:r>
        <w:t xml:space="preserve"> </w:t>
      </w:r>
      <w:r w:rsidRPr="004E77BA">
        <w:t>10,000 to &lt;20,000</w:t>
      </w:r>
    </w:p>
    <w:p w14:paraId="7AB4ED4C" w14:textId="4FC939CC" w:rsidR="00BA1F8B" w:rsidRDefault="00BA1F8B" w:rsidP="007438F1">
      <w:pPr>
        <w:pStyle w:val="Tablenotes1"/>
        <w:keepNext/>
      </w:pPr>
      <w:r>
        <w:rPr>
          <w:vertAlign w:val="superscript"/>
        </w:rPr>
        <w:t xml:space="preserve">3 </w:t>
      </w:r>
      <w:r w:rsidRPr="00FC7B48">
        <w:t>30,000 to &lt;40,000</w:t>
      </w:r>
    </w:p>
    <w:p w14:paraId="74B162FB" w14:textId="7B9CF7BB" w:rsidR="002340EF" w:rsidRDefault="002340EF" w:rsidP="007438F1">
      <w:pPr>
        <w:pStyle w:val="Tablenotes1"/>
        <w:keepNext/>
      </w:pPr>
      <w:r>
        <w:rPr>
          <w:vertAlign w:val="superscript"/>
        </w:rPr>
        <w:t xml:space="preserve">4 </w:t>
      </w:r>
      <w:r w:rsidRPr="002340EF">
        <w:t>40,000 to &lt;50,000</w:t>
      </w:r>
    </w:p>
    <w:p w14:paraId="0FC5A4AC" w14:textId="64D856D1" w:rsidR="00F8605F" w:rsidRDefault="00F8605F" w:rsidP="007438F1">
      <w:pPr>
        <w:pStyle w:val="Tablenotes1"/>
        <w:keepNext/>
      </w:pPr>
      <w:r>
        <w:rPr>
          <w:vertAlign w:val="superscript"/>
        </w:rPr>
        <w:t xml:space="preserve">5 </w:t>
      </w:r>
      <w:r>
        <w:t>60,000 to &lt;70,000</w:t>
      </w:r>
    </w:p>
    <w:p w14:paraId="2C4B2710" w14:textId="6922DE0E" w:rsidR="00F8605F" w:rsidRDefault="00F8605F" w:rsidP="007438F1">
      <w:pPr>
        <w:pStyle w:val="Tablenotes1"/>
        <w:keepNext/>
      </w:pPr>
      <w:r>
        <w:rPr>
          <w:vertAlign w:val="superscript"/>
        </w:rPr>
        <w:t xml:space="preserve">6 </w:t>
      </w:r>
      <w:r>
        <w:t>70,000 to &lt;80,000</w:t>
      </w:r>
    </w:p>
    <w:p w14:paraId="4260AC31" w14:textId="7B23D1A3" w:rsidR="00F8605F" w:rsidRDefault="00F8605F" w:rsidP="007438F1">
      <w:pPr>
        <w:pStyle w:val="Tablenotes1"/>
        <w:keepNext/>
      </w:pPr>
      <w:r>
        <w:rPr>
          <w:vertAlign w:val="superscript"/>
        </w:rPr>
        <w:t xml:space="preserve">7 </w:t>
      </w:r>
      <w:r>
        <w:t>80,000 to &lt;90,000</w:t>
      </w:r>
    </w:p>
    <w:p w14:paraId="2B79D3D2" w14:textId="680EF8B4" w:rsidR="00F8605F" w:rsidRPr="00F8605F" w:rsidRDefault="00F8605F" w:rsidP="00E03E99">
      <w:pPr>
        <w:pStyle w:val="Tablenotes1"/>
      </w:pPr>
      <w:r>
        <w:rPr>
          <w:vertAlign w:val="superscript"/>
        </w:rPr>
        <w:t>8</w:t>
      </w:r>
      <w:r>
        <w:t xml:space="preserve"> </w:t>
      </w:r>
      <w:r w:rsidRPr="00F8605F">
        <w:t>100,000 to &lt;200,000</w:t>
      </w:r>
    </w:p>
    <w:p w14:paraId="161072CC" w14:textId="58CA0F90" w:rsidR="0034373D" w:rsidRPr="0034373D" w:rsidRDefault="0034373D" w:rsidP="000F0B19">
      <w:pPr>
        <w:keepNext/>
        <w:spacing w:before="240"/>
        <w:rPr>
          <w:b/>
          <w:bCs/>
          <w:lang w:eastAsia="en-US"/>
        </w:rPr>
      </w:pPr>
      <w:r w:rsidRPr="0034373D">
        <w:rPr>
          <w:b/>
          <w:bCs/>
          <w:lang w:eastAsia="en-US"/>
        </w:rPr>
        <w:t xml:space="preserve">Net </w:t>
      </w:r>
      <w:r w:rsidR="004E264B">
        <w:rPr>
          <w:b/>
          <w:bCs/>
          <w:lang w:eastAsia="en-US"/>
        </w:rPr>
        <w:t xml:space="preserve">financial implications </w:t>
      </w:r>
      <w:r w:rsidRPr="0034373D">
        <w:rPr>
          <w:b/>
          <w:bCs/>
          <w:lang w:eastAsia="en-US"/>
        </w:rPr>
        <w:t xml:space="preserve">to </w:t>
      </w:r>
      <w:r w:rsidR="004E264B">
        <w:rPr>
          <w:b/>
          <w:bCs/>
          <w:lang w:eastAsia="en-US"/>
        </w:rPr>
        <w:t xml:space="preserve">the </w:t>
      </w:r>
      <w:r w:rsidRPr="0034373D">
        <w:rPr>
          <w:b/>
          <w:bCs/>
          <w:lang w:eastAsia="en-US"/>
        </w:rPr>
        <w:t>MBS</w:t>
      </w:r>
    </w:p>
    <w:p w14:paraId="166DE69C" w14:textId="3D2C6710" w:rsidR="0034373D" w:rsidRDefault="0034373D" w:rsidP="0034373D">
      <w:r w:rsidRPr="00842AF3">
        <w:t xml:space="preserve">A summary of the net impact to the MBS is shown in </w:t>
      </w:r>
      <w:r w:rsidR="00EC3E2F">
        <w:t xml:space="preserve">Table </w:t>
      </w:r>
      <w:r w:rsidR="002E69D8">
        <w:t>2</w:t>
      </w:r>
      <w:r w:rsidR="005D165F">
        <w:t>.11</w:t>
      </w:r>
      <w:r>
        <w:t xml:space="preserve">. </w:t>
      </w:r>
      <w:r w:rsidRPr="00842AF3">
        <w:t xml:space="preserve">The analysis </w:t>
      </w:r>
      <w:r w:rsidR="00EC3E2F">
        <w:t xml:space="preserve">provided </w:t>
      </w:r>
      <w:r w:rsidRPr="00842AF3">
        <w:t>show</w:t>
      </w:r>
      <w:r w:rsidR="00EC3E2F">
        <w:t>ed</w:t>
      </w:r>
      <w:r w:rsidRPr="00842AF3">
        <w:t xml:space="preserve"> that savings to the MBS </w:t>
      </w:r>
      <w:r w:rsidR="00EC3E2F">
        <w:t xml:space="preserve">would be </w:t>
      </w:r>
      <w:r w:rsidRPr="00842AF3">
        <w:t xml:space="preserve">expected ranging from approximately </w:t>
      </w:r>
      <w:r w:rsidR="000B7718" w:rsidRPr="000B7718">
        <w:t xml:space="preserve">$10 million to &lt;$20 </w:t>
      </w:r>
      <w:r w:rsidR="000B7718" w:rsidRPr="00966670">
        <w:t xml:space="preserve">million </w:t>
      </w:r>
      <w:r w:rsidRPr="00966670">
        <w:t xml:space="preserve">in 2022 to </w:t>
      </w:r>
      <w:r w:rsidR="000B7718" w:rsidRPr="00966670">
        <w:t xml:space="preserve">$20 million to &lt;$30 million </w:t>
      </w:r>
      <w:r w:rsidRPr="00842AF3">
        <w:t>in 2027 (at 100% MBS fee).</w:t>
      </w:r>
      <w:r w:rsidR="00EC3E2F">
        <w:t xml:space="preserve"> However, given the acceptance by the applicant and PBAC</w:t>
      </w:r>
      <w:r w:rsidR="00EC3E2F" w:rsidRPr="00842AF3">
        <w:t xml:space="preserve"> </w:t>
      </w:r>
      <w:r w:rsidR="00EC3E2F">
        <w:t>of the updated estimate of the average number of IVT injections per patient per year being reduced to 6.31, the estimated financial implications to the MBS require re-calculation.</w:t>
      </w:r>
    </w:p>
    <w:p w14:paraId="67281C6C" w14:textId="659E9095" w:rsidR="0034373D" w:rsidRPr="00183880" w:rsidRDefault="0034373D" w:rsidP="000F0B19">
      <w:pPr>
        <w:pStyle w:val="Caption"/>
        <w:spacing w:before="240"/>
        <w:rPr>
          <w:rFonts w:cs="Times New Roman"/>
        </w:rPr>
      </w:pPr>
      <w:bookmarkStart w:id="31" w:name="_Ref86316378"/>
      <w:bookmarkStart w:id="32" w:name="_Toc86743014"/>
      <w:r w:rsidRPr="00183880">
        <w:rPr>
          <w:rFonts w:cs="Times New Roman"/>
        </w:rPr>
        <w:t xml:space="preserve">Table </w:t>
      </w:r>
      <w:bookmarkEnd w:id="31"/>
      <w:r w:rsidR="002E69D8" w:rsidRPr="00183880">
        <w:rPr>
          <w:rFonts w:cs="Times New Roman"/>
        </w:rPr>
        <w:t>2</w:t>
      </w:r>
      <w:r w:rsidR="005D165F" w:rsidRPr="00183880">
        <w:rPr>
          <w:rFonts w:cs="Times New Roman"/>
        </w:rPr>
        <w:t>.11</w:t>
      </w:r>
      <w:r w:rsidR="00183880" w:rsidRPr="00183880">
        <w:rPr>
          <w:rFonts w:cs="Times New Roman"/>
        </w:rPr>
        <w:t>:</w:t>
      </w:r>
      <w:r w:rsidRPr="00183880">
        <w:rPr>
          <w:rFonts w:cs="Times New Roman"/>
        </w:rPr>
        <w:t xml:space="preserve"> Net impact to the MBS</w:t>
      </w:r>
      <w:bookmarkEnd w:id="32"/>
    </w:p>
    <w:tbl>
      <w:tblPr>
        <w:tblStyle w:val="TableGrid"/>
        <w:tblW w:w="5000" w:type="pct"/>
        <w:jc w:val="center"/>
        <w:tblLook w:val="04A0" w:firstRow="1" w:lastRow="0" w:firstColumn="1" w:lastColumn="0" w:noHBand="0" w:noVBand="1"/>
      </w:tblPr>
      <w:tblGrid>
        <w:gridCol w:w="1594"/>
        <w:gridCol w:w="1237"/>
        <w:gridCol w:w="1237"/>
        <w:gridCol w:w="1237"/>
        <w:gridCol w:w="1237"/>
        <w:gridCol w:w="1237"/>
        <w:gridCol w:w="1237"/>
      </w:tblGrid>
      <w:tr w:rsidR="0034373D" w:rsidRPr="00183880" w14:paraId="0254580D" w14:textId="732160BC" w:rsidTr="00183880">
        <w:trPr>
          <w:jc w:val="center"/>
        </w:trPr>
        <w:tc>
          <w:tcPr>
            <w:tcW w:w="884" w:type="pct"/>
            <w:shd w:val="clear" w:color="auto" w:fill="auto"/>
          </w:tcPr>
          <w:p w14:paraId="08D7487C" w14:textId="7DF9F0C6" w:rsidR="0034373D" w:rsidRPr="00183880" w:rsidRDefault="0034373D" w:rsidP="002D226B">
            <w:pPr>
              <w:pStyle w:val="TableText1"/>
              <w:keepNext/>
              <w:spacing w:before="0" w:after="0"/>
              <w:rPr>
                <w:rFonts w:ascii="Arial Narrow" w:hAnsi="Arial Narrow" w:cs="Times New Roman"/>
                <w:b/>
              </w:rPr>
            </w:pPr>
            <w:r w:rsidRPr="00183880">
              <w:rPr>
                <w:rFonts w:ascii="Arial Narrow" w:hAnsi="Arial Narrow" w:cs="Times New Roman"/>
                <w:b/>
              </w:rPr>
              <w:t>MBS service</w:t>
            </w:r>
          </w:p>
        </w:tc>
        <w:tc>
          <w:tcPr>
            <w:tcW w:w="686" w:type="pct"/>
            <w:shd w:val="clear" w:color="auto" w:fill="auto"/>
          </w:tcPr>
          <w:p w14:paraId="46046A14" w14:textId="4D686308" w:rsidR="0034373D" w:rsidRPr="00183880" w:rsidRDefault="0034373D" w:rsidP="0080028F">
            <w:pPr>
              <w:pStyle w:val="TableText1"/>
              <w:spacing w:before="0" w:after="0"/>
              <w:jc w:val="center"/>
              <w:rPr>
                <w:rFonts w:ascii="Arial Narrow" w:hAnsi="Arial Narrow" w:cs="Times New Roman"/>
                <w:b/>
              </w:rPr>
            </w:pPr>
            <w:r w:rsidRPr="00183880">
              <w:rPr>
                <w:rFonts w:ascii="Arial Narrow" w:hAnsi="Arial Narrow" w:cs="Times New Roman"/>
                <w:b/>
              </w:rPr>
              <w:t>2022</w:t>
            </w:r>
          </w:p>
        </w:tc>
        <w:tc>
          <w:tcPr>
            <w:tcW w:w="686" w:type="pct"/>
            <w:shd w:val="clear" w:color="auto" w:fill="auto"/>
          </w:tcPr>
          <w:p w14:paraId="3266617A" w14:textId="399A0DC0" w:rsidR="0034373D" w:rsidRPr="00183880" w:rsidRDefault="0034373D" w:rsidP="00137BD2">
            <w:pPr>
              <w:pStyle w:val="TableText1"/>
              <w:spacing w:before="0" w:after="0"/>
              <w:ind w:left="-104" w:right="-151"/>
              <w:jc w:val="center"/>
              <w:rPr>
                <w:rFonts w:ascii="Arial Narrow" w:hAnsi="Arial Narrow" w:cs="Times New Roman"/>
                <w:b/>
              </w:rPr>
            </w:pPr>
            <w:r w:rsidRPr="00183880">
              <w:rPr>
                <w:rFonts w:ascii="Arial Narrow" w:hAnsi="Arial Narrow" w:cs="Times New Roman"/>
                <w:b/>
              </w:rPr>
              <w:t>2023</w:t>
            </w:r>
          </w:p>
        </w:tc>
        <w:tc>
          <w:tcPr>
            <w:tcW w:w="686" w:type="pct"/>
            <w:shd w:val="clear" w:color="auto" w:fill="auto"/>
          </w:tcPr>
          <w:p w14:paraId="1CB6417D" w14:textId="36003266" w:rsidR="0034373D" w:rsidRPr="00183880" w:rsidRDefault="0034373D" w:rsidP="00137BD2">
            <w:pPr>
              <w:pStyle w:val="TableText1"/>
              <w:spacing w:before="0" w:after="0"/>
              <w:ind w:left="-73" w:right="-40"/>
              <w:jc w:val="center"/>
              <w:rPr>
                <w:rFonts w:ascii="Arial Narrow" w:hAnsi="Arial Narrow" w:cs="Times New Roman"/>
                <w:b/>
              </w:rPr>
            </w:pPr>
            <w:r w:rsidRPr="00183880">
              <w:rPr>
                <w:rFonts w:ascii="Arial Narrow" w:hAnsi="Arial Narrow" w:cs="Times New Roman"/>
                <w:b/>
              </w:rPr>
              <w:t>2024</w:t>
            </w:r>
          </w:p>
        </w:tc>
        <w:tc>
          <w:tcPr>
            <w:tcW w:w="686" w:type="pct"/>
            <w:shd w:val="clear" w:color="auto" w:fill="auto"/>
          </w:tcPr>
          <w:p w14:paraId="16FB2CC8" w14:textId="76548F19" w:rsidR="0034373D" w:rsidRPr="00183880" w:rsidRDefault="0034373D" w:rsidP="00137BD2">
            <w:pPr>
              <w:pStyle w:val="TableText1"/>
              <w:spacing w:before="0" w:after="0"/>
              <w:ind w:left="-169" w:right="-86"/>
              <w:jc w:val="center"/>
              <w:rPr>
                <w:rFonts w:ascii="Arial Narrow" w:hAnsi="Arial Narrow" w:cs="Times New Roman"/>
                <w:b/>
              </w:rPr>
            </w:pPr>
            <w:r w:rsidRPr="00183880">
              <w:rPr>
                <w:rFonts w:ascii="Arial Narrow" w:hAnsi="Arial Narrow" w:cs="Times New Roman"/>
                <w:b/>
              </w:rPr>
              <w:t>2025</w:t>
            </w:r>
          </w:p>
        </w:tc>
        <w:tc>
          <w:tcPr>
            <w:tcW w:w="686" w:type="pct"/>
            <w:shd w:val="clear" w:color="auto" w:fill="auto"/>
          </w:tcPr>
          <w:p w14:paraId="3CF1BC5D" w14:textId="73D1C870" w:rsidR="0034373D" w:rsidRPr="00183880" w:rsidRDefault="0034373D" w:rsidP="00137BD2">
            <w:pPr>
              <w:pStyle w:val="TableText1"/>
              <w:spacing w:before="0" w:after="0"/>
              <w:ind w:left="-138" w:right="-117"/>
              <w:jc w:val="center"/>
              <w:rPr>
                <w:rFonts w:ascii="Arial Narrow" w:hAnsi="Arial Narrow" w:cs="Times New Roman"/>
                <w:b/>
              </w:rPr>
            </w:pPr>
            <w:r w:rsidRPr="00183880">
              <w:rPr>
                <w:rFonts w:ascii="Arial Narrow" w:hAnsi="Arial Narrow" w:cs="Times New Roman"/>
                <w:b/>
              </w:rPr>
              <w:t>2026</w:t>
            </w:r>
          </w:p>
        </w:tc>
        <w:tc>
          <w:tcPr>
            <w:tcW w:w="686" w:type="pct"/>
            <w:shd w:val="clear" w:color="auto" w:fill="auto"/>
          </w:tcPr>
          <w:p w14:paraId="20D40F1C" w14:textId="6853D50E" w:rsidR="0034373D" w:rsidRPr="00183880" w:rsidRDefault="0034373D" w:rsidP="00137BD2">
            <w:pPr>
              <w:pStyle w:val="TableText1"/>
              <w:spacing w:before="0" w:after="0"/>
              <w:ind w:left="-92" w:right="-20"/>
              <w:jc w:val="center"/>
              <w:rPr>
                <w:rFonts w:ascii="Arial Narrow" w:hAnsi="Arial Narrow" w:cs="Times New Roman"/>
                <w:b/>
              </w:rPr>
            </w:pPr>
            <w:r w:rsidRPr="00183880">
              <w:rPr>
                <w:rFonts w:ascii="Arial Narrow" w:hAnsi="Arial Narrow" w:cs="Times New Roman"/>
                <w:b/>
              </w:rPr>
              <w:t>2027</w:t>
            </w:r>
          </w:p>
        </w:tc>
      </w:tr>
      <w:tr w:rsidR="0034373D" w:rsidRPr="00183880" w14:paraId="5F276616" w14:textId="1BB879C6" w:rsidTr="00183880">
        <w:trPr>
          <w:jc w:val="center"/>
        </w:trPr>
        <w:tc>
          <w:tcPr>
            <w:tcW w:w="5000" w:type="pct"/>
            <w:gridSpan w:val="7"/>
            <w:shd w:val="clear" w:color="auto" w:fill="auto"/>
          </w:tcPr>
          <w:p w14:paraId="78C2AB02" w14:textId="3DD12656" w:rsidR="0034373D" w:rsidRPr="00183880" w:rsidRDefault="0034373D" w:rsidP="00137BD2">
            <w:pPr>
              <w:keepNext/>
              <w:ind w:left="-104" w:right="-151"/>
              <w:rPr>
                <w:rFonts w:ascii="Arial Narrow" w:hAnsi="Arial Narrow" w:cs="Times New Roman"/>
                <w:b/>
                <w:bCs/>
                <w:sz w:val="20"/>
              </w:rPr>
            </w:pPr>
            <w:r w:rsidRPr="00183880">
              <w:rPr>
                <w:rFonts w:ascii="Arial Narrow" w:hAnsi="Arial Narrow" w:cs="Times New Roman"/>
                <w:b/>
                <w:bCs/>
                <w:sz w:val="20"/>
              </w:rPr>
              <w:t>Proposed costs</w:t>
            </w:r>
          </w:p>
        </w:tc>
      </w:tr>
      <w:tr w:rsidR="0034373D" w:rsidRPr="00183880" w14:paraId="7822D043" w14:textId="0304AAFE" w:rsidTr="00183880">
        <w:trPr>
          <w:jc w:val="center"/>
        </w:trPr>
        <w:tc>
          <w:tcPr>
            <w:tcW w:w="884" w:type="pct"/>
            <w:shd w:val="clear" w:color="auto" w:fill="auto"/>
            <w:vAlign w:val="center"/>
          </w:tcPr>
          <w:p w14:paraId="05843C3A" w14:textId="0489B49F" w:rsidR="0034373D" w:rsidRPr="00183880" w:rsidRDefault="0034373D" w:rsidP="002D226B">
            <w:pPr>
              <w:keepNext/>
              <w:rPr>
                <w:rFonts w:ascii="Arial Narrow" w:hAnsi="Arial Narrow" w:cs="Times New Roman"/>
                <w:bCs/>
                <w:sz w:val="20"/>
              </w:rPr>
            </w:pPr>
            <w:r w:rsidRPr="00183880">
              <w:rPr>
                <w:rFonts w:ascii="Arial Narrow" w:hAnsi="Arial Narrow" w:cs="Times New Roman"/>
                <w:bCs/>
                <w:sz w:val="20"/>
              </w:rPr>
              <w:t>Initial fill and implantation</w:t>
            </w:r>
          </w:p>
        </w:tc>
        <w:tc>
          <w:tcPr>
            <w:tcW w:w="686" w:type="pct"/>
            <w:shd w:val="clear" w:color="auto" w:fill="auto"/>
            <w:vAlign w:val="center"/>
          </w:tcPr>
          <w:p w14:paraId="3D073591" w14:textId="3C2A5576" w:rsidR="0034373D" w:rsidRPr="003E4AF8" w:rsidRDefault="0034373D" w:rsidP="0080028F">
            <w:pPr>
              <w:jc w:val="center"/>
              <w:rPr>
                <w:rFonts w:ascii="Arial Narrow" w:hAnsi="Arial Narrow" w:cs="Times New Roman"/>
                <w:bCs/>
                <w:sz w:val="20"/>
                <w:vertAlign w:val="superscript"/>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1"/>
                <w:sz w:val="20"/>
                <w:shd w:val="solid" w:color="000000" w:fill="000000"/>
                <w:fitText w:val="140" w:id="-1490359289"/>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1"/>
                <w:sz w:val="20"/>
                <w:shd w:val="solid" w:color="000000" w:fill="000000"/>
                <w:fitText w:val="140" w:id="-1490359289"/>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1"/>
                <w:sz w:val="20"/>
                <w:shd w:val="solid" w:color="000000" w:fill="000000"/>
                <w:fitText w:val="140" w:id="-1490359289"/>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589ED3DD" w14:textId="1A0BF6A4" w:rsidR="0034373D" w:rsidRPr="00183880" w:rsidRDefault="0034373D" w:rsidP="00137BD2">
            <w:pPr>
              <w:ind w:left="-104" w:right="-151"/>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24"/>
                <w:sz w:val="20"/>
                <w:shd w:val="solid" w:color="000000" w:fill="000000"/>
                <w:fitText w:val="110" w:id="-1490359288"/>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24"/>
                <w:sz w:val="20"/>
                <w:shd w:val="solid" w:color="000000" w:fill="000000"/>
                <w:fitText w:val="110" w:id="-1490359288"/>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24"/>
                <w:sz w:val="20"/>
                <w:shd w:val="solid" w:color="000000" w:fill="000000"/>
                <w:fitText w:val="110" w:id="-1490359288"/>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6032BD78" w14:textId="26B10CC2" w:rsidR="0034373D" w:rsidRPr="00183880" w:rsidRDefault="0034373D" w:rsidP="00137BD2">
            <w:pPr>
              <w:ind w:left="-73" w:right="-4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7"/>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7"/>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7"/>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159B8BEC" w14:textId="3D57339A" w:rsidR="0034373D" w:rsidRPr="00183880" w:rsidRDefault="0034373D" w:rsidP="00137BD2">
            <w:pPr>
              <w:ind w:left="-169" w:right="-86"/>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94"/>
                <w:sz w:val="20"/>
                <w:shd w:val="solid" w:color="000000" w:fill="000000"/>
                <w:fitText w:val="180" w:id="-1490359286"/>
                <w14:textFill>
                  <w14:solidFill>
                    <w14:srgbClr w14:val="000000">
                      <w14:alpha w14:val="100000"/>
                    </w14:srgbClr>
                  </w14:solidFill>
                </w14:textFill>
              </w:rPr>
              <w:t>|</w:t>
            </w:r>
            <w:r w:rsidR="003511C3" w:rsidRPr="003511C3">
              <w:rPr>
                <w:rFonts w:ascii="Arial Narrow" w:hAnsi="Arial Narrow" w:cs="Times New Roman"/>
                <w:bCs/>
                <w:color w:val="000000"/>
                <w:spacing w:val="1"/>
                <w:sz w:val="20"/>
                <w:shd w:val="solid" w:color="000000" w:fill="000000"/>
                <w:fitText w:val="180" w:id="-1490359286"/>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0B53A2B9" w14:textId="3634F534" w:rsidR="0034373D" w:rsidRPr="00183880" w:rsidRDefault="0034373D" w:rsidP="00137BD2">
            <w:pPr>
              <w:ind w:left="-138" w:right="-117"/>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5"/>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5"/>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5"/>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22963959" w14:textId="010DF373" w:rsidR="0034373D" w:rsidRPr="00183880" w:rsidRDefault="0034373D" w:rsidP="00137BD2">
            <w:pPr>
              <w:ind w:left="-92" w:right="-2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75"/>
                <w:sz w:val="20"/>
                <w:shd w:val="solid" w:color="000000" w:fill="000000"/>
                <w:fitText w:val="170" w:id="-1490359284"/>
                <w14:textFill>
                  <w14:solidFill>
                    <w14:srgbClr w14:val="000000">
                      <w14:alpha w14:val="100000"/>
                    </w14:srgbClr>
                  </w14:solidFill>
                </w14:textFill>
              </w:rPr>
              <w:t>|</w:t>
            </w:r>
            <w:r w:rsidR="003511C3" w:rsidRPr="003511C3">
              <w:rPr>
                <w:rFonts w:ascii="Arial Narrow" w:hAnsi="Arial Narrow" w:cs="Times New Roman"/>
                <w:bCs/>
                <w:color w:val="000000"/>
                <w:sz w:val="20"/>
                <w:shd w:val="solid" w:color="000000" w:fill="000000"/>
                <w:fitText w:val="170" w:id="-1490359284"/>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r>
      <w:tr w:rsidR="0034373D" w:rsidRPr="00183880" w14:paraId="5B7C53A8" w14:textId="548B5389" w:rsidTr="00183880">
        <w:trPr>
          <w:jc w:val="center"/>
        </w:trPr>
        <w:tc>
          <w:tcPr>
            <w:tcW w:w="884" w:type="pct"/>
            <w:shd w:val="clear" w:color="auto" w:fill="auto"/>
            <w:vAlign w:val="center"/>
          </w:tcPr>
          <w:p w14:paraId="6A9C9EBC" w14:textId="2CA39DD2" w:rsidR="0034373D" w:rsidRPr="00183880" w:rsidRDefault="0034373D" w:rsidP="002D226B">
            <w:pPr>
              <w:keepNext/>
              <w:rPr>
                <w:rFonts w:ascii="Arial Narrow" w:hAnsi="Arial Narrow" w:cs="Times New Roman"/>
                <w:bCs/>
                <w:sz w:val="20"/>
              </w:rPr>
            </w:pPr>
            <w:r w:rsidRPr="00183880">
              <w:rPr>
                <w:rFonts w:ascii="Arial Narrow" w:hAnsi="Arial Narrow" w:cs="Times New Roman"/>
                <w:bCs/>
                <w:sz w:val="20"/>
              </w:rPr>
              <w:t>Refill-exchange</w:t>
            </w:r>
          </w:p>
        </w:tc>
        <w:tc>
          <w:tcPr>
            <w:tcW w:w="686" w:type="pct"/>
            <w:shd w:val="clear" w:color="auto" w:fill="auto"/>
            <w:vAlign w:val="center"/>
          </w:tcPr>
          <w:p w14:paraId="15829101" w14:textId="61931059" w:rsidR="0034373D" w:rsidRPr="00183880" w:rsidRDefault="0034373D" w:rsidP="0080028F">
            <w:pPr>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1"/>
                <w:sz w:val="20"/>
                <w:shd w:val="solid" w:color="000000" w:fill="000000"/>
                <w:fitText w:val="140" w:id="-1490359283"/>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1"/>
                <w:sz w:val="20"/>
                <w:shd w:val="solid" w:color="000000" w:fill="000000"/>
                <w:fitText w:val="140" w:id="-1490359283"/>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1"/>
                <w:sz w:val="20"/>
                <w:shd w:val="solid" w:color="000000" w:fill="000000"/>
                <w:fitText w:val="140" w:id="-1490359283"/>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4D018CC2" w14:textId="56EF8239" w:rsidR="0034373D" w:rsidRPr="00183880" w:rsidRDefault="0034373D" w:rsidP="00137BD2">
            <w:pPr>
              <w:ind w:left="-104" w:right="-151"/>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24"/>
                <w:sz w:val="20"/>
                <w:shd w:val="solid" w:color="000000" w:fill="000000"/>
                <w:fitText w:val="110" w:id="-1490359282"/>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24"/>
                <w:sz w:val="20"/>
                <w:shd w:val="solid" w:color="000000" w:fill="000000"/>
                <w:fitText w:val="110" w:id="-1490359282"/>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24"/>
                <w:sz w:val="20"/>
                <w:shd w:val="solid" w:color="000000" w:fill="000000"/>
                <w:fitText w:val="110" w:id="-1490359282"/>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4F81CD8F" w14:textId="69142A47" w:rsidR="0034373D" w:rsidRPr="00183880" w:rsidRDefault="0034373D" w:rsidP="00137BD2">
            <w:pPr>
              <w:ind w:left="-73" w:right="-4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1"/>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1"/>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1"/>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41B7D40C" w14:textId="6DD803E6" w:rsidR="0034373D" w:rsidRPr="00183880" w:rsidRDefault="0034373D" w:rsidP="00137BD2">
            <w:pPr>
              <w:ind w:left="-169" w:right="-86"/>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94"/>
                <w:sz w:val="20"/>
                <w:shd w:val="solid" w:color="000000" w:fill="000000"/>
                <w:fitText w:val="180" w:id="-1490359280"/>
                <w14:textFill>
                  <w14:solidFill>
                    <w14:srgbClr w14:val="000000">
                      <w14:alpha w14:val="100000"/>
                    </w14:srgbClr>
                  </w14:solidFill>
                </w14:textFill>
              </w:rPr>
              <w:t>|</w:t>
            </w:r>
            <w:r w:rsidR="003511C3" w:rsidRPr="003511C3">
              <w:rPr>
                <w:rFonts w:ascii="Arial Narrow" w:hAnsi="Arial Narrow" w:cs="Times New Roman"/>
                <w:bCs/>
                <w:color w:val="000000"/>
                <w:spacing w:val="1"/>
                <w:sz w:val="20"/>
                <w:shd w:val="solid" w:color="000000" w:fill="000000"/>
                <w:fitText w:val="180" w:id="-1490359280"/>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444E95D1" w14:textId="10140EF5" w:rsidR="0034373D" w:rsidRPr="00183880" w:rsidRDefault="0034373D" w:rsidP="00137BD2">
            <w:pPr>
              <w:ind w:left="-138" w:right="-117"/>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96"/>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96"/>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96"/>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15D65B61" w14:textId="02A4C1E6" w:rsidR="0034373D" w:rsidRPr="00183880" w:rsidRDefault="0034373D" w:rsidP="00137BD2">
            <w:pPr>
              <w:ind w:left="-92" w:right="-2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75"/>
                <w:sz w:val="20"/>
                <w:shd w:val="solid" w:color="000000" w:fill="000000"/>
                <w:fitText w:val="170" w:id="-1490359295"/>
                <w14:textFill>
                  <w14:solidFill>
                    <w14:srgbClr w14:val="000000">
                      <w14:alpha w14:val="100000"/>
                    </w14:srgbClr>
                  </w14:solidFill>
                </w14:textFill>
              </w:rPr>
              <w:t>|</w:t>
            </w:r>
            <w:r w:rsidR="003511C3" w:rsidRPr="003511C3">
              <w:rPr>
                <w:rFonts w:ascii="Arial Narrow" w:hAnsi="Arial Narrow" w:cs="Times New Roman"/>
                <w:bCs/>
                <w:color w:val="000000"/>
                <w:sz w:val="20"/>
                <w:shd w:val="solid" w:color="000000" w:fill="000000"/>
                <w:fitText w:val="170" w:id="-1490359295"/>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r>
      <w:tr w:rsidR="0034373D" w:rsidRPr="00183880" w14:paraId="692EF115" w14:textId="2C38144B" w:rsidTr="00183880">
        <w:trPr>
          <w:jc w:val="center"/>
        </w:trPr>
        <w:tc>
          <w:tcPr>
            <w:tcW w:w="884" w:type="pct"/>
            <w:shd w:val="clear" w:color="auto" w:fill="auto"/>
            <w:vAlign w:val="center"/>
          </w:tcPr>
          <w:p w14:paraId="4BA22F72" w14:textId="17554354" w:rsidR="0034373D" w:rsidRPr="00183880" w:rsidRDefault="0034373D" w:rsidP="002D226B">
            <w:pPr>
              <w:keepNext/>
              <w:rPr>
                <w:rFonts w:ascii="Arial Narrow" w:hAnsi="Arial Narrow" w:cs="Times New Roman"/>
                <w:bCs/>
                <w:sz w:val="20"/>
              </w:rPr>
            </w:pPr>
            <w:r w:rsidRPr="00183880">
              <w:rPr>
                <w:rFonts w:ascii="Arial Narrow" w:hAnsi="Arial Narrow" w:cs="Times New Roman"/>
                <w:bCs/>
                <w:sz w:val="20"/>
              </w:rPr>
              <w:t>Monitoring</w:t>
            </w:r>
          </w:p>
        </w:tc>
        <w:tc>
          <w:tcPr>
            <w:tcW w:w="686" w:type="pct"/>
            <w:shd w:val="clear" w:color="auto" w:fill="auto"/>
            <w:vAlign w:val="center"/>
          </w:tcPr>
          <w:p w14:paraId="2802F2F8" w14:textId="4E27DB25" w:rsidR="0034373D" w:rsidRPr="00183880" w:rsidRDefault="0034373D" w:rsidP="0080028F">
            <w:pPr>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1"/>
                <w:sz w:val="20"/>
                <w:shd w:val="solid" w:color="000000" w:fill="000000"/>
                <w:fitText w:val="140" w:id="-1490359294"/>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1"/>
                <w:sz w:val="20"/>
                <w:shd w:val="solid" w:color="000000" w:fill="000000"/>
                <w:fitText w:val="140" w:id="-1490359294"/>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1"/>
                <w:sz w:val="20"/>
                <w:shd w:val="solid" w:color="000000" w:fill="000000"/>
                <w:fitText w:val="140" w:id="-1490359294"/>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142FE3AC" w14:textId="41E5B08D" w:rsidR="0034373D" w:rsidRPr="00183880" w:rsidRDefault="0034373D" w:rsidP="00137BD2">
            <w:pPr>
              <w:ind w:left="-104" w:right="-151"/>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24"/>
                <w:sz w:val="20"/>
                <w:shd w:val="solid" w:color="000000" w:fill="000000"/>
                <w:fitText w:val="110" w:id="-1490359293"/>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24"/>
                <w:sz w:val="20"/>
                <w:shd w:val="solid" w:color="000000" w:fill="000000"/>
                <w:fitText w:val="110" w:id="-1490359293"/>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24"/>
                <w:sz w:val="20"/>
                <w:shd w:val="solid" w:color="000000" w:fill="000000"/>
                <w:fitText w:val="110" w:id="-1490359293"/>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0C3DED38" w14:textId="17028EF3" w:rsidR="0034373D" w:rsidRPr="00183880" w:rsidRDefault="0034373D" w:rsidP="00137BD2">
            <w:pPr>
              <w:ind w:left="-73" w:right="-4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92"/>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92"/>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92"/>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3EC22581" w14:textId="1CDD8351" w:rsidR="0034373D" w:rsidRPr="00183880" w:rsidRDefault="0034373D" w:rsidP="00137BD2">
            <w:pPr>
              <w:ind w:left="-169" w:right="-86"/>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94"/>
                <w:sz w:val="20"/>
                <w:shd w:val="solid" w:color="000000" w:fill="000000"/>
                <w:fitText w:val="180" w:id="-1490359291"/>
                <w14:textFill>
                  <w14:solidFill>
                    <w14:srgbClr w14:val="000000">
                      <w14:alpha w14:val="100000"/>
                    </w14:srgbClr>
                  </w14:solidFill>
                </w14:textFill>
              </w:rPr>
              <w:t>|</w:t>
            </w:r>
            <w:r w:rsidR="003511C3" w:rsidRPr="003511C3">
              <w:rPr>
                <w:rFonts w:ascii="Arial Narrow" w:hAnsi="Arial Narrow" w:cs="Times New Roman"/>
                <w:bCs/>
                <w:color w:val="000000"/>
                <w:spacing w:val="1"/>
                <w:sz w:val="20"/>
                <w:shd w:val="solid" w:color="000000" w:fill="000000"/>
                <w:fitText w:val="180" w:id="-1490359291"/>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3925AD7D" w14:textId="0364D712" w:rsidR="0034373D" w:rsidRPr="00183880" w:rsidRDefault="0034373D" w:rsidP="00137BD2">
            <w:pPr>
              <w:ind w:left="-138" w:right="-117"/>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90"/>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90"/>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90"/>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757D7643" w14:textId="22B5F81D" w:rsidR="0034373D" w:rsidRPr="00183880" w:rsidRDefault="0034373D" w:rsidP="00137BD2">
            <w:pPr>
              <w:ind w:left="-92" w:right="-2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75"/>
                <w:sz w:val="20"/>
                <w:shd w:val="solid" w:color="000000" w:fill="000000"/>
                <w:fitText w:val="170" w:id="-1490359289"/>
                <w14:textFill>
                  <w14:solidFill>
                    <w14:srgbClr w14:val="000000">
                      <w14:alpha w14:val="100000"/>
                    </w14:srgbClr>
                  </w14:solidFill>
                </w14:textFill>
              </w:rPr>
              <w:t>|</w:t>
            </w:r>
            <w:r w:rsidR="003511C3" w:rsidRPr="003511C3">
              <w:rPr>
                <w:rFonts w:ascii="Arial Narrow" w:hAnsi="Arial Narrow" w:cs="Times New Roman"/>
                <w:bCs/>
                <w:color w:val="000000"/>
                <w:sz w:val="20"/>
                <w:shd w:val="solid" w:color="000000" w:fill="000000"/>
                <w:fitText w:val="170" w:id="-1490359289"/>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r>
      <w:tr w:rsidR="0034373D" w:rsidRPr="00183880" w14:paraId="7A814DB7" w14:textId="7D174ABA" w:rsidTr="00183880">
        <w:trPr>
          <w:jc w:val="center"/>
        </w:trPr>
        <w:tc>
          <w:tcPr>
            <w:tcW w:w="884" w:type="pct"/>
            <w:shd w:val="clear" w:color="auto" w:fill="auto"/>
            <w:vAlign w:val="center"/>
          </w:tcPr>
          <w:p w14:paraId="48E39F80" w14:textId="0C49233E" w:rsidR="0034373D" w:rsidRPr="00183880" w:rsidRDefault="0034373D" w:rsidP="002D226B">
            <w:pPr>
              <w:keepNext/>
              <w:rPr>
                <w:rFonts w:ascii="Arial Narrow" w:hAnsi="Arial Narrow" w:cs="Times New Roman"/>
                <w:bCs/>
                <w:sz w:val="20"/>
              </w:rPr>
            </w:pPr>
            <w:r w:rsidRPr="00183880">
              <w:rPr>
                <w:rFonts w:ascii="Arial Narrow" w:hAnsi="Arial Narrow" w:cs="Times New Roman"/>
                <w:bCs/>
                <w:sz w:val="20"/>
              </w:rPr>
              <w:t>Explantation</w:t>
            </w:r>
          </w:p>
        </w:tc>
        <w:tc>
          <w:tcPr>
            <w:tcW w:w="686" w:type="pct"/>
            <w:shd w:val="clear" w:color="auto" w:fill="auto"/>
            <w:vAlign w:val="center"/>
          </w:tcPr>
          <w:p w14:paraId="5F6AC86A" w14:textId="388EE643" w:rsidR="0034373D" w:rsidRPr="00183880" w:rsidRDefault="0034373D" w:rsidP="0080028F">
            <w:pPr>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1"/>
                <w:sz w:val="20"/>
                <w:shd w:val="solid" w:color="000000" w:fill="000000"/>
                <w:fitText w:val="140" w:id="-1490359288"/>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1"/>
                <w:sz w:val="20"/>
                <w:shd w:val="solid" w:color="000000" w:fill="000000"/>
                <w:fitText w:val="140" w:id="-1490359288"/>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1"/>
                <w:sz w:val="20"/>
                <w:shd w:val="solid" w:color="000000" w:fill="000000"/>
                <w:fitText w:val="140" w:id="-1490359288"/>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1E977F53" w14:textId="012EEE6A" w:rsidR="0034373D" w:rsidRPr="00183880" w:rsidRDefault="0034373D" w:rsidP="00137BD2">
            <w:pPr>
              <w:ind w:left="-104" w:right="-151"/>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24"/>
                <w:sz w:val="20"/>
                <w:shd w:val="solid" w:color="000000" w:fill="000000"/>
                <w:fitText w:val="110" w:id="-1490359287"/>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24"/>
                <w:sz w:val="20"/>
                <w:shd w:val="solid" w:color="000000" w:fill="000000"/>
                <w:fitText w:val="110" w:id="-1490359287"/>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24"/>
                <w:sz w:val="20"/>
                <w:shd w:val="solid" w:color="000000" w:fill="000000"/>
                <w:fitText w:val="110" w:id="-1490359287"/>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34FC4D73" w14:textId="323B8E28" w:rsidR="0034373D" w:rsidRPr="00183880" w:rsidRDefault="0034373D" w:rsidP="00137BD2">
            <w:pPr>
              <w:ind w:left="-73" w:right="-4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6"/>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6"/>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6"/>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4E33F464" w14:textId="12B64419" w:rsidR="0034373D" w:rsidRPr="00183880" w:rsidRDefault="0034373D" w:rsidP="00137BD2">
            <w:pPr>
              <w:ind w:left="-169" w:right="-86"/>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94"/>
                <w:sz w:val="20"/>
                <w:shd w:val="solid" w:color="000000" w:fill="000000"/>
                <w:fitText w:val="180" w:id="-1490359285"/>
                <w14:textFill>
                  <w14:solidFill>
                    <w14:srgbClr w14:val="000000">
                      <w14:alpha w14:val="100000"/>
                    </w14:srgbClr>
                  </w14:solidFill>
                </w14:textFill>
              </w:rPr>
              <w:t>|</w:t>
            </w:r>
            <w:r w:rsidR="003511C3" w:rsidRPr="003511C3">
              <w:rPr>
                <w:rFonts w:ascii="Arial Narrow" w:hAnsi="Arial Narrow" w:cs="Times New Roman"/>
                <w:bCs/>
                <w:color w:val="000000"/>
                <w:spacing w:val="1"/>
                <w:sz w:val="20"/>
                <w:shd w:val="solid" w:color="000000" w:fill="000000"/>
                <w:fitText w:val="180" w:id="-1490359285"/>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3A338256" w14:textId="44D188A4" w:rsidR="0034373D" w:rsidRPr="00183880" w:rsidRDefault="0034373D" w:rsidP="00137BD2">
            <w:pPr>
              <w:ind w:left="-138" w:right="-117"/>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4"/>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4"/>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4"/>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651BE732" w14:textId="0AC42561" w:rsidR="0034373D" w:rsidRPr="00183880" w:rsidRDefault="0034373D" w:rsidP="00137BD2">
            <w:pPr>
              <w:ind w:left="-92" w:right="-2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75"/>
                <w:sz w:val="20"/>
                <w:shd w:val="solid" w:color="000000" w:fill="000000"/>
                <w:fitText w:val="170" w:id="-1490359283"/>
                <w14:textFill>
                  <w14:solidFill>
                    <w14:srgbClr w14:val="000000">
                      <w14:alpha w14:val="100000"/>
                    </w14:srgbClr>
                  </w14:solidFill>
                </w14:textFill>
              </w:rPr>
              <w:t>|</w:t>
            </w:r>
            <w:r w:rsidR="003511C3" w:rsidRPr="003511C3">
              <w:rPr>
                <w:rFonts w:ascii="Arial Narrow" w:hAnsi="Arial Narrow" w:cs="Times New Roman"/>
                <w:bCs/>
                <w:color w:val="000000"/>
                <w:sz w:val="20"/>
                <w:shd w:val="solid" w:color="000000" w:fill="000000"/>
                <w:fitText w:val="170" w:id="-1490359283"/>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r>
      <w:tr w:rsidR="0034373D" w:rsidRPr="00183880" w14:paraId="0B33BD2C" w14:textId="61C0B6EE" w:rsidTr="00183880">
        <w:trPr>
          <w:jc w:val="center"/>
        </w:trPr>
        <w:tc>
          <w:tcPr>
            <w:tcW w:w="884" w:type="pct"/>
            <w:shd w:val="clear" w:color="auto" w:fill="auto"/>
            <w:vAlign w:val="center"/>
          </w:tcPr>
          <w:p w14:paraId="4D8F5C8B" w14:textId="277BFA2A" w:rsidR="0034373D" w:rsidRPr="00183880" w:rsidRDefault="0034373D" w:rsidP="002D226B">
            <w:pPr>
              <w:keepNext/>
              <w:rPr>
                <w:rFonts w:ascii="Arial Narrow" w:hAnsi="Arial Narrow" w:cs="Times New Roman"/>
                <w:b/>
                <w:bCs/>
                <w:sz w:val="20"/>
              </w:rPr>
            </w:pPr>
            <w:r w:rsidRPr="00183880">
              <w:rPr>
                <w:rFonts w:ascii="Arial Narrow" w:hAnsi="Arial Narrow" w:cs="Times New Roman"/>
                <w:b/>
                <w:bCs/>
                <w:sz w:val="20"/>
              </w:rPr>
              <w:t>Total</w:t>
            </w:r>
          </w:p>
        </w:tc>
        <w:tc>
          <w:tcPr>
            <w:tcW w:w="686" w:type="pct"/>
            <w:shd w:val="clear" w:color="auto" w:fill="auto"/>
            <w:vAlign w:val="center"/>
          </w:tcPr>
          <w:p w14:paraId="0FDE0C1A" w14:textId="0F010BA1" w:rsidR="0034373D" w:rsidRPr="00183880" w:rsidRDefault="0034373D" w:rsidP="0080028F">
            <w:pPr>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78"/>
                <w:sz w:val="20"/>
                <w:shd w:val="solid" w:color="000000" w:fill="000000"/>
                <w:fitText w:val="170" w:id="-1490359282"/>
                <w14:textFill>
                  <w14:solidFill>
                    <w14:srgbClr w14:val="000000">
                      <w14:alpha w14:val="100000"/>
                    </w14:srgbClr>
                  </w14:solidFill>
                </w14:textFill>
              </w:rPr>
              <w:t>|</w:t>
            </w:r>
            <w:r w:rsidR="003511C3" w:rsidRPr="003511C3">
              <w:rPr>
                <w:rFonts w:ascii="Arial Narrow" w:hAnsi="Arial Narrow" w:cs="Times New Roman"/>
                <w:b/>
                <w:bCs/>
                <w:color w:val="000000"/>
                <w:spacing w:val="1"/>
                <w:sz w:val="20"/>
                <w:shd w:val="solid" w:color="000000" w:fill="000000"/>
                <w:fitText w:val="170" w:id="-1490359282"/>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5482FF7C" w14:textId="0B27F5E9" w:rsidR="0034373D" w:rsidRPr="00183880" w:rsidRDefault="0034373D" w:rsidP="00137BD2">
            <w:pPr>
              <w:ind w:left="-104" w:right="-151"/>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hint="eastAsia"/>
                <w:b/>
                <w:bCs/>
                <w:color w:val="000000"/>
                <w:w w:val="33"/>
                <w:sz w:val="20"/>
                <w:shd w:val="solid" w:color="000000" w:fill="000000"/>
                <w:fitText w:val="150" w:id="-1490359281"/>
                <w14:textFill>
                  <w14:solidFill>
                    <w14:srgbClr w14:val="000000">
                      <w14:alpha w14:val="100000"/>
                    </w14:srgbClr>
                  </w14:solidFill>
                </w14:textFill>
              </w:rPr>
              <w:t xml:space="preserve">　</w:t>
            </w:r>
            <w:proofErr w:type="gramStart"/>
            <w:r w:rsidR="003511C3" w:rsidRPr="003511C3">
              <w:rPr>
                <w:rFonts w:ascii="Arial Narrow" w:hAnsi="Arial Narrow" w:cs="Times New Roman"/>
                <w:b/>
                <w:bCs/>
                <w:color w:val="000000"/>
                <w:w w:val="33"/>
                <w:sz w:val="20"/>
                <w:shd w:val="solid" w:color="000000" w:fill="000000"/>
                <w:fitText w:val="150" w:id="-1490359281"/>
                <w14:textFill>
                  <w14:solidFill>
                    <w14:srgbClr w14:val="000000">
                      <w14:alpha w14:val="100000"/>
                    </w14:srgbClr>
                  </w14:solidFill>
                </w14:textFill>
              </w:rPr>
              <w:t>|</w:t>
            </w:r>
            <w:r w:rsidR="003511C3" w:rsidRPr="003511C3">
              <w:rPr>
                <w:rFonts w:ascii="Arial Narrow" w:hAnsi="Arial Narrow" w:cs="Times New Roman" w:hint="eastAsia"/>
                <w:b/>
                <w:bCs/>
                <w:color w:val="000000"/>
                <w:spacing w:val="3"/>
                <w:w w:val="33"/>
                <w:sz w:val="20"/>
                <w:shd w:val="solid" w:color="000000" w:fill="000000"/>
                <w:fitText w:val="150" w:id="-1490359281"/>
                <w14:textFill>
                  <w14:solidFill>
                    <w14:srgbClr w14:val="000000">
                      <w14:alpha w14:val="100000"/>
                    </w14:srgbClr>
                  </w14:solidFill>
                </w14:textFill>
              </w:rPr>
              <w:t xml:space="preserve">　</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roofErr w:type="gramEnd"/>
          </w:p>
        </w:tc>
        <w:tc>
          <w:tcPr>
            <w:tcW w:w="686" w:type="pct"/>
            <w:shd w:val="clear" w:color="auto" w:fill="auto"/>
            <w:vAlign w:val="center"/>
          </w:tcPr>
          <w:p w14:paraId="4090212C" w14:textId="36AB679A" w:rsidR="0034373D" w:rsidRPr="00183880" w:rsidRDefault="0034373D" w:rsidP="00137BD2">
            <w:pPr>
              <w:ind w:left="-73" w:right="-40"/>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90"/>
                <w:sz w:val="20"/>
                <w:shd w:val="solid" w:color="000000" w:fill="000000"/>
                <w:fitText w:val="190" w:id="-1490359280"/>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190" w:id="-1490359280"/>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745568C0" w14:textId="5AFD5A90" w:rsidR="0034373D" w:rsidRPr="00183880" w:rsidRDefault="0034373D" w:rsidP="00137BD2">
            <w:pPr>
              <w:ind w:left="-169" w:right="-86"/>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46"/>
                <w:sz w:val="20"/>
                <w:shd w:val="solid" w:color="000000" w:fill="000000"/>
                <w:fitText w:val="230" w:id="-1490359296"/>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230" w:id="-1490359296"/>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0BA090CE" w14:textId="24E53D3C" w:rsidR="0034373D" w:rsidRPr="00183880" w:rsidRDefault="0034373D" w:rsidP="00137BD2">
            <w:pPr>
              <w:ind w:left="-138" w:right="-117"/>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90"/>
                <w:sz w:val="20"/>
                <w:shd w:val="solid" w:color="000000" w:fill="000000"/>
                <w:fitText w:val="190" w:id="-1490359295"/>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190" w:id="-1490359295"/>
                <w14:textFill>
                  <w14:solidFill>
                    <w14:srgbClr w14:val="000000">
                      <w14:alpha w14:val="100000"/>
                    </w14:srgbClr>
                  </w14:solidFill>
                </w14:textFill>
              </w:rPr>
              <w:t>|</w:t>
            </w:r>
            <w:r w:rsidR="003E4AF8">
              <w:rPr>
                <w:rFonts w:ascii="Arial Narrow" w:hAnsi="Arial Narrow" w:cs="Times New Roman"/>
                <w:bCs/>
                <w:sz w:val="20"/>
              </w:rPr>
              <w:t xml:space="preserve"> </w:t>
            </w:r>
            <w:r w:rsidR="003E4AF8">
              <w:rPr>
                <w:rFonts w:ascii="Arial Narrow" w:hAnsi="Arial Narrow" w:cs="Times New Roman"/>
                <w:bCs/>
                <w:sz w:val="20"/>
                <w:vertAlign w:val="superscript"/>
              </w:rPr>
              <w:t>1</w:t>
            </w:r>
          </w:p>
        </w:tc>
        <w:tc>
          <w:tcPr>
            <w:tcW w:w="686" w:type="pct"/>
            <w:shd w:val="clear" w:color="auto" w:fill="auto"/>
            <w:vAlign w:val="center"/>
          </w:tcPr>
          <w:p w14:paraId="29DFD67A" w14:textId="5854ACC9" w:rsidR="0034373D" w:rsidRPr="00183880" w:rsidRDefault="0034373D" w:rsidP="00137BD2">
            <w:pPr>
              <w:ind w:left="-92" w:right="-20"/>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30"/>
                <w:sz w:val="20"/>
                <w:shd w:val="solid" w:color="000000" w:fill="000000"/>
                <w:fitText w:val="210" w:id="-1490359294"/>
                <w14:textFill>
                  <w14:solidFill>
                    <w14:srgbClr w14:val="000000">
                      <w14:alpha w14:val="100000"/>
                    </w14:srgbClr>
                  </w14:solidFill>
                </w14:textFill>
              </w:rPr>
              <w:t>||</w:t>
            </w:r>
            <w:r w:rsidR="003511C3" w:rsidRPr="003511C3">
              <w:rPr>
                <w:rFonts w:ascii="Arial Narrow" w:hAnsi="Arial Narrow" w:cs="Times New Roman"/>
                <w:b/>
                <w:bCs/>
                <w:color w:val="000000"/>
                <w:spacing w:val="15"/>
                <w:sz w:val="20"/>
                <w:shd w:val="solid" w:color="000000" w:fill="000000"/>
                <w:fitText w:val="210" w:id="-1490359294"/>
                <w14:textFill>
                  <w14:solidFill>
                    <w14:srgbClr w14:val="000000">
                      <w14:alpha w14:val="100000"/>
                    </w14:srgbClr>
                  </w14:solidFill>
                </w14:textFill>
              </w:rPr>
              <w:t>|</w:t>
            </w:r>
            <w:r w:rsidR="003E4AF8">
              <w:rPr>
                <w:rFonts w:ascii="Arial Narrow" w:hAnsi="Arial Narrow" w:cs="Times New Roman"/>
                <w:bCs/>
                <w:sz w:val="20"/>
              </w:rPr>
              <w:t xml:space="preserve"> </w:t>
            </w:r>
            <w:r w:rsidR="00217594">
              <w:rPr>
                <w:rFonts w:ascii="Arial Narrow" w:hAnsi="Arial Narrow" w:cs="Times New Roman"/>
                <w:bCs/>
                <w:sz w:val="20"/>
                <w:vertAlign w:val="superscript"/>
              </w:rPr>
              <w:t>2</w:t>
            </w:r>
          </w:p>
        </w:tc>
      </w:tr>
      <w:tr w:rsidR="0034373D" w:rsidRPr="00183880" w14:paraId="4F31A720" w14:textId="1260716A" w:rsidTr="00183880">
        <w:trPr>
          <w:jc w:val="center"/>
        </w:trPr>
        <w:tc>
          <w:tcPr>
            <w:tcW w:w="5000" w:type="pct"/>
            <w:gridSpan w:val="7"/>
            <w:shd w:val="clear" w:color="auto" w:fill="auto"/>
          </w:tcPr>
          <w:p w14:paraId="5AECF2F6" w14:textId="007E8FD4" w:rsidR="0034373D" w:rsidRPr="00183880" w:rsidRDefault="0034373D" w:rsidP="00137BD2">
            <w:pPr>
              <w:keepNext/>
              <w:ind w:left="-104" w:right="-151"/>
              <w:rPr>
                <w:rFonts w:ascii="Arial Narrow" w:hAnsi="Arial Narrow" w:cs="Times New Roman"/>
                <w:b/>
                <w:bCs/>
                <w:sz w:val="20"/>
              </w:rPr>
            </w:pPr>
            <w:r w:rsidRPr="00183880">
              <w:rPr>
                <w:rFonts w:ascii="Arial Narrow" w:hAnsi="Arial Narrow" w:cs="Times New Roman"/>
                <w:b/>
                <w:bCs/>
                <w:sz w:val="20"/>
              </w:rPr>
              <w:t>Replaced costs</w:t>
            </w:r>
          </w:p>
        </w:tc>
      </w:tr>
      <w:tr w:rsidR="0034373D" w:rsidRPr="00183880" w14:paraId="1E018007" w14:textId="118CDD4F" w:rsidTr="00183880">
        <w:trPr>
          <w:jc w:val="center"/>
        </w:trPr>
        <w:tc>
          <w:tcPr>
            <w:tcW w:w="884" w:type="pct"/>
            <w:shd w:val="clear" w:color="auto" w:fill="auto"/>
            <w:vAlign w:val="center"/>
          </w:tcPr>
          <w:p w14:paraId="3EE555B6" w14:textId="23A1B1AB" w:rsidR="0034373D" w:rsidRPr="00183880" w:rsidRDefault="0034373D" w:rsidP="002D226B">
            <w:pPr>
              <w:keepNext/>
              <w:rPr>
                <w:rFonts w:ascii="Arial Narrow" w:hAnsi="Arial Narrow" w:cs="Times New Roman"/>
                <w:bCs/>
                <w:sz w:val="20"/>
              </w:rPr>
            </w:pPr>
            <w:r w:rsidRPr="00183880">
              <w:rPr>
                <w:rFonts w:ascii="Arial Narrow" w:hAnsi="Arial Narrow" w:cs="Times New Roman"/>
                <w:bCs/>
                <w:sz w:val="20"/>
              </w:rPr>
              <w:t>Paracentesis</w:t>
            </w:r>
          </w:p>
        </w:tc>
        <w:tc>
          <w:tcPr>
            <w:tcW w:w="686" w:type="pct"/>
            <w:shd w:val="clear" w:color="auto" w:fill="auto"/>
            <w:vAlign w:val="center"/>
          </w:tcPr>
          <w:p w14:paraId="7F15EDD9" w14:textId="52CFE981" w:rsidR="0034373D" w:rsidRPr="00183880" w:rsidRDefault="0034373D" w:rsidP="0080028F">
            <w:pPr>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1"/>
                <w:sz w:val="20"/>
                <w:shd w:val="solid" w:color="000000" w:fill="000000"/>
                <w:fitText w:val="140" w:id="-1490359293"/>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1"/>
                <w:sz w:val="20"/>
                <w:shd w:val="solid" w:color="000000" w:fill="000000"/>
                <w:fitText w:val="140" w:id="-1490359293"/>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1"/>
                <w:sz w:val="20"/>
                <w:shd w:val="solid" w:color="000000" w:fill="000000"/>
                <w:fitText w:val="140" w:id="-1490359293"/>
                <w14:textFill>
                  <w14:solidFill>
                    <w14:srgbClr w14:val="000000">
                      <w14:alpha w14:val="100000"/>
                    </w14:srgbClr>
                  </w14:solidFill>
                </w14:textFill>
              </w:rPr>
              <w:t xml:space="preserve">　</w:t>
            </w:r>
            <w:r w:rsidR="00217594">
              <w:rPr>
                <w:rFonts w:ascii="Arial Narrow" w:hAnsi="Arial Narrow" w:cs="Times New Roman"/>
                <w:bCs/>
                <w:sz w:val="20"/>
              </w:rPr>
              <w:t xml:space="preserve"> </w:t>
            </w:r>
            <w:r w:rsidR="00217594">
              <w:rPr>
                <w:rFonts w:ascii="Arial Narrow" w:hAnsi="Arial Narrow" w:cs="Times New Roman"/>
                <w:bCs/>
                <w:sz w:val="20"/>
                <w:vertAlign w:val="superscript"/>
              </w:rPr>
              <w:t>1</w:t>
            </w:r>
            <w:proofErr w:type="gramEnd"/>
          </w:p>
        </w:tc>
        <w:tc>
          <w:tcPr>
            <w:tcW w:w="686" w:type="pct"/>
            <w:shd w:val="clear" w:color="auto" w:fill="auto"/>
            <w:vAlign w:val="center"/>
          </w:tcPr>
          <w:p w14:paraId="075289A8" w14:textId="5AFBF387" w:rsidR="0034373D" w:rsidRPr="00217594" w:rsidRDefault="0034373D" w:rsidP="00137BD2">
            <w:pPr>
              <w:ind w:left="-104" w:right="-151"/>
              <w:jc w:val="center"/>
              <w:rPr>
                <w:rFonts w:ascii="Arial Narrow" w:hAnsi="Arial Narrow" w:cs="Times New Roman"/>
                <w:bCs/>
                <w:sz w:val="20"/>
                <w:vertAlign w:val="superscript"/>
              </w:rPr>
            </w:pPr>
            <w:r w:rsidRPr="00183880">
              <w:rPr>
                <w:rFonts w:ascii="Arial Narrow" w:hAnsi="Arial Narrow" w:cs="Times New Roman"/>
                <w:bCs/>
                <w:sz w:val="20"/>
              </w:rPr>
              <w:t>$</w:t>
            </w:r>
            <w:r w:rsidR="003511C3" w:rsidRPr="003511C3">
              <w:rPr>
                <w:rFonts w:ascii="Arial Narrow" w:hAnsi="Arial Narrow" w:cs="Times New Roman" w:hint="eastAsia"/>
                <w:bCs/>
                <w:color w:val="000000"/>
                <w:w w:val="24"/>
                <w:sz w:val="20"/>
                <w:shd w:val="solid" w:color="000000" w:fill="000000"/>
                <w:fitText w:val="110" w:id="-1490359292"/>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24"/>
                <w:sz w:val="20"/>
                <w:shd w:val="solid" w:color="000000" w:fill="000000"/>
                <w:fitText w:val="110" w:id="-1490359292"/>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24"/>
                <w:sz w:val="20"/>
                <w:shd w:val="solid" w:color="000000" w:fill="000000"/>
                <w:fitText w:val="110" w:id="-1490359292"/>
                <w14:textFill>
                  <w14:solidFill>
                    <w14:srgbClr w14:val="000000">
                      <w14:alpha w14:val="100000"/>
                    </w14:srgbClr>
                  </w14:solidFill>
                </w14:textFill>
              </w:rPr>
              <w:t xml:space="preserve">　</w:t>
            </w:r>
            <w:r w:rsidR="00217594">
              <w:rPr>
                <w:rFonts w:ascii="Arial Narrow" w:hAnsi="Arial Narrow" w:cs="Times New Roman"/>
                <w:bCs/>
                <w:sz w:val="20"/>
              </w:rPr>
              <w:t xml:space="preserve"> </w:t>
            </w:r>
            <w:r w:rsidR="00217594">
              <w:rPr>
                <w:rFonts w:ascii="Arial Narrow" w:hAnsi="Arial Narrow" w:cs="Times New Roman"/>
                <w:bCs/>
                <w:sz w:val="20"/>
                <w:vertAlign w:val="superscript"/>
              </w:rPr>
              <w:t>3</w:t>
            </w:r>
            <w:proofErr w:type="gramEnd"/>
          </w:p>
        </w:tc>
        <w:tc>
          <w:tcPr>
            <w:tcW w:w="686" w:type="pct"/>
            <w:shd w:val="clear" w:color="auto" w:fill="auto"/>
            <w:vAlign w:val="center"/>
          </w:tcPr>
          <w:p w14:paraId="0477B432" w14:textId="3EBEAF6A" w:rsidR="0034373D" w:rsidRPr="00183880" w:rsidRDefault="0034373D" w:rsidP="00137BD2">
            <w:pPr>
              <w:ind w:left="-73" w:right="-4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91"/>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91"/>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91"/>
                <w14:textFill>
                  <w14:solidFill>
                    <w14:srgbClr w14:val="000000">
                      <w14:alpha w14:val="100000"/>
                    </w14:srgbClr>
                  </w14:solidFill>
                </w14:textFill>
              </w:rPr>
              <w:t xml:space="preserve">　</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roofErr w:type="gramEnd"/>
          </w:p>
        </w:tc>
        <w:tc>
          <w:tcPr>
            <w:tcW w:w="686" w:type="pct"/>
            <w:shd w:val="clear" w:color="auto" w:fill="auto"/>
            <w:vAlign w:val="center"/>
          </w:tcPr>
          <w:p w14:paraId="7F48A48C" w14:textId="79EB9B71" w:rsidR="0034373D" w:rsidRPr="00183880" w:rsidRDefault="0034373D" w:rsidP="00137BD2">
            <w:pPr>
              <w:ind w:left="-169" w:right="-86"/>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94"/>
                <w:sz w:val="20"/>
                <w:shd w:val="solid" w:color="000000" w:fill="000000"/>
                <w:fitText w:val="180" w:id="-1490359290"/>
                <w14:textFill>
                  <w14:solidFill>
                    <w14:srgbClr w14:val="000000">
                      <w14:alpha w14:val="100000"/>
                    </w14:srgbClr>
                  </w14:solidFill>
                </w14:textFill>
              </w:rPr>
              <w:t>|</w:t>
            </w:r>
            <w:r w:rsidR="003511C3" w:rsidRPr="003511C3">
              <w:rPr>
                <w:rFonts w:ascii="Arial Narrow" w:hAnsi="Arial Narrow" w:cs="Times New Roman"/>
                <w:bCs/>
                <w:color w:val="000000"/>
                <w:spacing w:val="1"/>
                <w:sz w:val="20"/>
                <w:shd w:val="solid" w:color="000000" w:fill="000000"/>
                <w:fitText w:val="180" w:id="-1490359290"/>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c>
          <w:tcPr>
            <w:tcW w:w="686" w:type="pct"/>
            <w:shd w:val="clear" w:color="auto" w:fill="auto"/>
            <w:vAlign w:val="center"/>
          </w:tcPr>
          <w:p w14:paraId="20DD8C84" w14:textId="603B071E" w:rsidR="0034373D" w:rsidRPr="00183880" w:rsidRDefault="0034373D" w:rsidP="00137BD2">
            <w:pPr>
              <w:ind w:left="-138" w:right="-117"/>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hint="eastAsia"/>
                <w:bCs/>
                <w:color w:val="000000"/>
                <w:w w:val="33"/>
                <w:sz w:val="20"/>
                <w:shd w:val="solid" w:color="000000" w:fill="000000"/>
                <w:fitText w:val="150" w:id="-1490359289"/>
                <w14:textFill>
                  <w14:solidFill>
                    <w14:srgbClr w14:val="000000">
                      <w14:alpha w14:val="100000"/>
                    </w14:srgbClr>
                  </w14:solidFill>
                </w14:textFill>
              </w:rPr>
              <w:t xml:space="preserve">　</w:t>
            </w:r>
            <w:proofErr w:type="gramStart"/>
            <w:r w:rsidR="003511C3" w:rsidRPr="003511C3">
              <w:rPr>
                <w:rFonts w:ascii="Arial Narrow" w:hAnsi="Arial Narrow" w:cs="Times New Roman"/>
                <w:bCs/>
                <w:color w:val="000000"/>
                <w:w w:val="33"/>
                <w:sz w:val="20"/>
                <w:shd w:val="solid" w:color="000000" w:fill="000000"/>
                <w:fitText w:val="150" w:id="-1490359289"/>
                <w14:textFill>
                  <w14:solidFill>
                    <w14:srgbClr w14:val="000000">
                      <w14:alpha w14:val="100000"/>
                    </w14:srgbClr>
                  </w14:solidFill>
                </w14:textFill>
              </w:rPr>
              <w:t>|</w:t>
            </w:r>
            <w:r w:rsidR="003511C3" w:rsidRPr="003511C3">
              <w:rPr>
                <w:rFonts w:ascii="Arial Narrow" w:hAnsi="Arial Narrow" w:cs="Times New Roman" w:hint="eastAsia"/>
                <w:bCs/>
                <w:color w:val="000000"/>
                <w:spacing w:val="4"/>
                <w:w w:val="33"/>
                <w:sz w:val="20"/>
                <w:shd w:val="solid" w:color="000000" w:fill="000000"/>
                <w:fitText w:val="150" w:id="-1490359289"/>
                <w14:textFill>
                  <w14:solidFill>
                    <w14:srgbClr w14:val="000000">
                      <w14:alpha w14:val="100000"/>
                    </w14:srgbClr>
                  </w14:solidFill>
                </w14:textFill>
              </w:rPr>
              <w:t xml:space="preserve">　</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roofErr w:type="gramEnd"/>
          </w:p>
        </w:tc>
        <w:tc>
          <w:tcPr>
            <w:tcW w:w="686" w:type="pct"/>
            <w:shd w:val="clear" w:color="auto" w:fill="auto"/>
            <w:vAlign w:val="center"/>
          </w:tcPr>
          <w:p w14:paraId="6E646EF4" w14:textId="2F7C39A4" w:rsidR="0034373D" w:rsidRPr="00183880" w:rsidRDefault="0034373D" w:rsidP="00137BD2">
            <w:pPr>
              <w:ind w:left="-92" w:right="-20"/>
              <w:jc w:val="center"/>
              <w:rPr>
                <w:rFonts w:ascii="Arial Narrow" w:hAnsi="Arial Narrow" w:cs="Times New Roman"/>
                <w:bCs/>
                <w:sz w:val="20"/>
              </w:rPr>
            </w:pPr>
            <w:r w:rsidRPr="00183880">
              <w:rPr>
                <w:rFonts w:ascii="Arial Narrow" w:hAnsi="Arial Narrow" w:cs="Times New Roman"/>
                <w:bCs/>
                <w:sz w:val="20"/>
              </w:rPr>
              <w:t>$</w:t>
            </w:r>
            <w:r w:rsidR="003511C3" w:rsidRPr="003511C3">
              <w:rPr>
                <w:rFonts w:ascii="Arial Narrow" w:hAnsi="Arial Narrow" w:cs="Times New Roman"/>
                <w:bCs/>
                <w:color w:val="000000"/>
                <w:spacing w:val="75"/>
                <w:sz w:val="20"/>
                <w:shd w:val="solid" w:color="000000" w:fill="000000"/>
                <w:fitText w:val="170" w:id="-1490359288"/>
                <w14:textFill>
                  <w14:solidFill>
                    <w14:srgbClr w14:val="000000">
                      <w14:alpha w14:val="100000"/>
                    </w14:srgbClr>
                  </w14:solidFill>
                </w14:textFill>
              </w:rPr>
              <w:t>|</w:t>
            </w:r>
            <w:r w:rsidR="003511C3" w:rsidRPr="003511C3">
              <w:rPr>
                <w:rFonts w:ascii="Arial Narrow" w:hAnsi="Arial Narrow" w:cs="Times New Roman"/>
                <w:bCs/>
                <w:color w:val="000000"/>
                <w:sz w:val="20"/>
                <w:shd w:val="solid" w:color="000000" w:fill="000000"/>
                <w:fitText w:val="170" w:id="-1490359288"/>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r>
      <w:tr w:rsidR="0034373D" w:rsidRPr="00183880" w14:paraId="76D922AA" w14:textId="5CBBE7CE" w:rsidTr="00183880">
        <w:trPr>
          <w:jc w:val="center"/>
        </w:trPr>
        <w:tc>
          <w:tcPr>
            <w:tcW w:w="884" w:type="pct"/>
            <w:shd w:val="clear" w:color="auto" w:fill="auto"/>
            <w:vAlign w:val="center"/>
          </w:tcPr>
          <w:p w14:paraId="3A9949E9" w14:textId="41CBF08E" w:rsidR="0034373D" w:rsidRPr="00183880" w:rsidRDefault="0034373D" w:rsidP="002D226B">
            <w:pPr>
              <w:keepNext/>
              <w:rPr>
                <w:rFonts w:ascii="Arial Narrow" w:hAnsi="Arial Narrow" w:cs="Times New Roman"/>
                <w:b/>
                <w:bCs/>
                <w:sz w:val="20"/>
              </w:rPr>
            </w:pPr>
            <w:r w:rsidRPr="00183880">
              <w:rPr>
                <w:rFonts w:ascii="Arial Narrow" w:hAnsi="Arial Narrow" w:cs="Times New Roman"/>
                <w:b/>
                <w:bCs/>
                <w:sz w:val="20"/>
              </w:rPr>
              <w:t>Total</w:t>
            </w:r>
          </w:p>
        </w:tc>
        <w:tc>
          <w:tcPr>
            <w:tcW w:w="686" w:type="pct"/>
            <w:shd w:val="clear" w:color="auto" w:fill="auto"/>
            <w:vAlign w:val="center"/>
          </w:tcPr>
          <w:p w14:paraId="25B5406B" w14:textId="7EEF2CDD" w:rsidR="0034373D" w:rsidRPr="00183880" w:rsidRDefault="0034373D" w:rsidP="0080028F">
            <w:pPr>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78"/>
                <w:sz w:val="20"/>
                <w:shd w:val="solid" w:color="000000" w:fill="000000"/>
                <w:fitText w:val="170" w:id="-1490359287"/>
                <w14:textFill>
                  <w14:solidFill>
                    <w14:srgbClr w14:val="000000">
                      <w14:alpha w14:val="100000"/>
                    </w14:srgbClr>
                  </w14:solidFill>
                </w14:textFill>
              </w:rPr>
              <w:t>|</w:t>
            </w:r>
            <w:r w:rsidR="003511C3" w:rsidRPr="003511C3">
              <w:rPr>
                <w:rFonts w:ascii="Arial Narrow" w:hAnsi="Arial Narrow" w:cs="Times New Roman"/>
                <w:b/>
                <w:bCs/>
                <w:color w:val="000000"/>
                <w:spacing w:val="1"/>
                <w:sz w:val="20"/>
                <w:shd w:val="solid" w:color="000000" w:fill="000000"/>
                <w:fitText w:val="170" w:id="-1490359287"/>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1</w:t>
            </w:r>
          </w:p>
        </w:tc>
        <w:tc>
          <w:tcPr>
            <w:tcW w:w="686" w:type="pct"/>
            <w:shd w:val="clear" w:color="auto" w:fill="auto"/>
            <w:vAlign w:val="center"/>
          </w:tcPr>
          <w:p w14:paraId="35751B5E" w14:textId="6AE04DEA" w:rsidR="0034373D" w:rsidRPr="00183880" w:rsidRDefault="0034373D" w:rsidP="00137BD2">
            <w:pPr>
              <w:ind w:left="-104" w:right="-151"/>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hint="eastAsia"/>
                <w:b/>
                <w:bCs/>
                <w:color w:val="000000"/>
                <w:w w:val="33"/>
                <w:sz w:val="20"/>
                <w:shd w:val="solid" w:color="000000" w:fill="000000"/>
                <w:fitText w:val="150" w:id="-1490359286"/>
                <w14:textFill>
                  <w14:solidFill>
                    <w14:srgbClr w14:val="000000">
                      <w14:alpha w14:val="100000"/>
                    </w14:srgbClr>
                  </w14:solidFill>
                </w14:textFill>
              </w:rPr>
              <w:t xml:space="preserve">　</w:t>
            </w:r>
            <w:proofErr w:type="gramStart"/>
            <w:r w:rsidR="003511C3" w:rsidRPr="003511C3">
              <w:rPr>
                <w:rFonts w:ascii="Arial Narrow" w:hAnsi="Arial Narrow" w:cs="Times New Roman"/>
                <w:b/>
                <w:bCs/>
                <w:color w:val="000000"/>
                <w:w w:val="33"/>
                <w:sz w:val="20"/>
                <w:shd w:val="solid" w:color="000000" w:fill="000000"/>
                <w:fitText w:val="150" w:id="-1490359286"/>
                <w14:textFill>
                  <w14:solidFill>
                    <w14:srgbClr w14:val="000000">
                      <w14:alpha w14:val="100000"/>
                    </w14:srgbClr>
                  </w14:solidFill>
                </w14:textFill>
              </w:rPr>
              <w:t>|</w:t>
            </w:r>
            <w:r w:rsidR="003511C3" w:rsidRPr="003511C3">
              <w:rPr>
                <w:rFonts w:ascii="Arial Narrow" w:hAnsi="Arial Narrow" w:cs="Times New Roman" w:hint="eastAsia"/>
                <w:b/>
                <w:bCs/>
                <w:color w:val="000000"/>
                <w:spacing w:val="3"/>
                <w:w w:val="33"/>
                <w:sz w:val="20"/>
                <w:shd w:val="solid" w:color="000000" w:fill="000000"/>
                <w:fitText w:val="150" w:id="-1490359286"/>
                <w14:textFill>
                  <w14:solidFill>
                    <w14:srgbClr w14:val="000000">
                      <w14:alpha w14:val="100000"/>
                    </w14:srgbClr>
                  </w14:solidFill>
                </w14:textFill>
              </w:rPr>
              <w:t xml:space="preserve">　</w:t>
            </w:r>
            <w:r w:rsidR="00217594">
              <w:rPr>
                <w:rFonts w:ascii="Arial Narrow" w:hAnsi="Arial Narrow" w:cs="Times New Roman"/>
                <w:bCs/>
                <w:sz w:val="20"/>
              </w:rPr>
              <w:t xml:space="preserve"> </w:t>
            </w:r>
            <w:r w:rsidR="00217594">
              <w:rPr>
                <w:rFonts w:ascii="Arial Narrow" w:hAnsi="Arial Narrow" w:cs="Times New Roman"/>
                <w:bCs/>
                <w:sz w:val="20"/>
                <w:vertAlign w:val="superscript"/>
              </w:rPr>
              <w:t>3</w:t>
            </w:r>
            <w:proofErr w:type="gramEnd"/>
          </w:p>
        </w:tc>
        <w:tc>
          <w:tcPr>
            <w:tcW w:w="686" w:type="pct"/>
            <w:shd w:val="clear" w:color="auto" w:fill="auto"/>
            <w:vAlign w:val="center"/>
          </w:tcPr>
          <w:p w14:paraId="68A7BE76" w14:textId="07A4D1D1" w:rsidR="0034373D" w:rsidRPr="00183880" w:rsidRDefault="0034373D" w:rsidP="00137BD2">
            <w:pPr>
              <w:ind w:left="-73" w:right="-40"/>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90"/>
                <w:sz w:val="20"/>
                <w:shd w:val="solid" w:color="000000" w:fill="000000"/>
                <w:fitText w:val="190" w:id="-1490359285"/>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190" w:id="-1490359285"/>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c>
          <w:tcPr>
            <w:tcW w:w="686" w:type="pct"/>
            <w:shd w:val="clear" w:color="auto" w:fill="auto"/>
            <w:vAlign w:val="center"/>
          </w:tcPr>
          <w:p w14:paraId="0642A27E" w14:textId="151824C6" w:rsidR="0034373D" w:rsidRPr="00183880" w:rsidRDefault="0034373D" w:rsidP="00137BD2">
            <w:pPr>
              <w:ind w:left="-169" w:right="-86"/>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46"/>
                <w:sz w:val="20"/>
                <w:shd w:val="solid" w:color="000000" w:fill="000000"/>
                <w:fitText w:val="230" w:id="-1490359284"/>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230" w:id="-1490359284"/>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c>
          <w:tcPr>
            <w:tcW w:w="686" w:type="pct"/>
            <w:shd w:val="clear" w:color="auto" w:fill="auto"/>
            <w:vAlign w:val="center"/>
          </w:tcPr>
          <w:p w14:paraId="45606549" w14:textId="5D3EC8E2" w:rsidR="0034373D" w:rsidRPr="00183880" w:rsidRDefault="0034373D" w:rsidP="00137BD2">
            <w:pPr>
              <w:ind w:left="-138" w:right="-117"/>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90"/>
                <w:sz w:val="20"/>
                <w:shd w:val="solid" w:color="000000" w:fill="000000"/>
                <w:fitText w:val="190" w:id="-1490359283"/>
                <w14:textFill>
                  <w14:solidFill>
                    <w14:srgbClr w14:val="000000">
                      <w14:alpha w14:val="100000"/>
                    </w14:srgbClr>
                  </w14:solidFill>
                </w14:textFill>
              </w:rPr>
              <w:t>|</w:t>
            </w:r>
            <w:r w:rsidR="003511C3" w:rsidRPr="003511C3">
              <w:rPr>
                <w:rFonts w:ascii="Arial Narrow" w:hAnsi="Arial Narrow" w:cs="Times New Roman"/>
                <w:b/>
                <w:bCs/>
                <w:color w:val="000000"/>
                <w:sz w:val="20"/>
                <w:shd w:val="solid" w:color="000000" w:fill="000000"/>
                <w:fitText w:val="190" w:id="-1490359283"/>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c>
          <w:tcPr>
            <w:tcW w:w="686" w:type="pct"/>
            <w:shd w:val="clear" w:color="auto" w:fill="auto"/>
            <w:vAlign w:val="center"/>
          </w:tcPr>
          <w:p w14:paraId="1E1A6D20" w14:textId="09744E66" w:rsidR="0034373D" w:rsidRPr="00183880" w:rsidRDefault="0034373D" w:rsidP="00137BD2">
            <w:pPr>
              <w:ind w:left="-92" w:right="-20"/>
              <w:jc w:val="center"/>
              <w:rPr>
                <w:rFonts w:ascii="Arial Narrow" w:hAnsi="Arial Narrow" w:cs="Times New Roman"/>
                <w:b/>
                <w:bCs/>
                <w:sz w:val="20"/>
              </w:rPr>
            </w:pPr>
            <w:r w:rsidRPr="00183880">
              <w:rPr>
                <w:rFonts w:ascii="Arial Narrow" w:hAnsi="Arial Narrow" w:cs="Times New Roman"/>
                <w:b/>
                <w:bCs/>
                <w:sz w:val="20"/>
              </w:rPr>
              <w:t>$</w:t>
            </w:r>
            <w:r w:rsidR="003511C3" w:rsidRPr="003511C3">
              <w:rPr>
                <w:rFonts w:ascii="Arial Narrow" w:hAnsi="Arial Narrow" w:cs="Times New Roman"/>
                <w:b/>
                <w:bCs/>
                <w:color w:val="000000"/>
                <w:spacing w:val="30"/>
                <w:sz w:val="20"/>
                <w:shd w:val="solid" w:color="000000" w:fill="000000"/>
                <w:fitText w:val="210" w:id="-1490359282"/>
                <w14:textFill>
                  <w14:solidFill>
                    <w14:srgbClr w14:val="000000">
                      <w14:alpha w14:val="100000"/>
                    </w14:srgbClr>
                  </w14:solidFill>
                </w14:textFill>
              </w:rPr>
              <w:t>||</w:t>
            </w:r>
            <w:r w:rsidR="003511C3" w:rsidRPr="003511C3">
              <w:rPr>
                <w:rFonts w:ascii="Arial Narrow" w:hAnsi="Arial Narrow" w:cs="Times New Roman"/>
                <w:b/>
                <w:bCs/>
                <w:color w:val="000000"/>
                <w:spacing w:val="15"/>
                <w:sz w:val="20"/>
                <w:shd w:val="solid" w:color="000000" w:fill="000000"/>
                <w:fitText w:val="210" w:id="-1490359282"/>
                <w14:textFill>
                  <w14:solidFill>
                    <w14:srgbClr w14:val="000000">
                      <w14:alpha w14:val="100000"/>
                    </w14:srgbClr>
                  </w14:solidFill>
                </w14:textFill>
              </w:rPr>
              <w:t>|</w:t>
            </w:r>
            <w:r w:rsidR="00217594">
              <w:rPr>
                <w:rFonts w:ascii="Arial Narrow" w:hAnsi="Arial Narrow" w:cs="Times New Roman"/>
                <w:bCs/>
                <w:sz w:val="20"/>
              </w:rPr>
              <w:t xml:space="preserve"> </w:t>
            </w:r>
            <w:r w:rsidR="00217594">
              <w:rPr>
                <w:rFonts w:ascii="Arial Narrow" w:hAnsi="Arial Narrow" w:cs="Times New Roman"/>
                <w:bCs/>
                <w:sz w:val="20"/>
                <w:vertAlign w:val="superscript"/>
              </w:rPr>
              <w:t>4</w:t>
            </w:r>
          </w:p>
        </w:tc>
      </w:tr>
      <w:tr w:rsidR="0034373D" w:rsidRPr="00183880" w14:paraId="2741FDF3" w14:textId="54CA6F19" w:rsidTr="00183880">
        <w:trPr>
          <w:jc w:val="center"/>
        </w:trPr>
        <w:tc>
          <w:tcPr>
            <w:tcW w:w="5000" w:type="pct"/>
            <w:gridSpan w:val="7"/>
            <w:shd w:val="clear" w:color="auto" w:fill="auto"/>
          </w:tcPr>
          <w:p w14:paraId="0313BCE3" w14:textId="59CAD140" w:rsidR="0034373D" w:rsidRPr="00183880" w:rsidRDefault="0034373D" w:rsidP="00137BD2">
            <w:pPr>
              <w:keepNext/>
              <w:ind w:left="-104" w:right="-151"/>
              <w:rPr>
                <w:rFonts w:ascii="Arial Narrow" w:hAnsi="Arial Narrow" w:cs="Times New Roman"/>
                <w:b/>
                <w:bCs/>
                <w:sz w:val="20"/>
              </w:rPr>
            </w:pPr>
            <w:r w:rsidRPr="00183880">
              <w:rPr>
                <w:rFonts w:ascii="Arial Narrow" w:hAnsi="Arial Narrow" w:cs="Times New Roman"/>
                <w:b/>
                <w:bCs/>
                <w:sz w:val="20"/>
              </w:rPr>
              <w:t>Overall net cost to the MBS (proposed cost – replaced cost)</w:t>
            </w:r>
          </w:p>
        </w:tc>
      </w:tr>
      <w:tr w:rsidR="0034373D" w:rsidRPr="00183880" w14:paraId="4ACCA079" w14:textId="7B7CC97F" w:rsidTr="00183880">
        <w:trPr>
          <w:jc w:val="center"/>
        </w:trPr>
        <w:tc>
          <w:tcPr>
            <w:tcW w:w="884" w:type="pct"/>
            <w:shd w:val="clear" w:color="auto" w:fill="auto"/>
          </w:tcPr>
          <w:p w14:paraId="29B81093" w14:textId="3EC84D1D" w:rsidR="0034373D" w:rsidRPr="00B57052" w:rsidRDefault="0034373D" w:rsidP="002D226B">
            <w:pPr>
              <w:keepNext/>
              <w:rPr>
                <w:rFonts w:ascii="Arial Narrow" w:hAnsi="Arial Narrow" w:cs="Times New Roman"/>
                <w:b/>
                <w:bCs/>
                <w:sz w:val="20"/>
              </w:rPr>
            </w:pPr>
            <w:r w:rsidRPr="00B57052">
              <w:rPr>
                <w:rFonts w:ascii="Arial Narrow" w:hAnsi="Arial Narrow" w:cs="Times New Roman"/>
                <w:b/>
                <w:bCs/>
                <w:sz w:val="20"/>
              </w:rPr>
              <w:t>Net cost to MBS</w:t>
            </w:r>
          </w:p>
        </w:tc>
        <w:tc>
          <w:tcPr>
            <w:tcW w:w="686" w:type="pct"/>
            <w:shd w:val="clear" w:color="auto" w:fill="auto"/>
            <w:vAlign w:val="bottom"/>
          </w:tcPr>
          <w:p w14:paraId="156091D9" w14:textId="2DF67713" w:rsidR="0034373D" w:rsidRPr="00217594" w:rsidRDefault="0034373D" w:rsidP="0080028F">
            <w:pPr>
              <w:jc w:val="center"/>
              <w:rPr>
                <w:rFonts w:ascii="Arial Narrow" w:hAnsi="Arial Narrow" w:cs="Times New Roman"/>
                <w:b/>
                <w:bCs/>
                <w:sz w:val="20"/>
                <w:vertAlign w:val="superscript"/>
              </w:rPr>
            </w:pPr>
            <w:r w:rsidRPr="00B57052">
              <w:rPr>
                <w:rFonts w:ascii="Arial Narrow" w:hAnsi="Arial Narrow" w:cs="Times New Roman"/>
                <w:b/>
                <w:sz w:val="20"/>
              </w:rPr>
              <w:t>$</w:t>
            </w:r>
            <w:r w:rsidR="003511C3" w:rsidRPr="003511C3">
              <w:rPr>
                <w:rFonts w:ascii="Arial Narrow" w:hAnsi="Arial Narrow" w:cs="Times New Roman"/>
                <w:b/>
                <w:color w:val="000000"/>
                <w:spacing w:val="78"/>
                <w:sz w:val="20"/>
                <w:shd w:val="solid" w:color="000000" w:fill="000000"/>
                <w:fitText w:val="170" w:id="-1490359281"/>
                <w14:textFill>
                  <w14:solidFill>
                    <w14:srgbClr w14:val="000000">
                      <w14:alpha w14:val="100000"/>
                    </w14:srgbClr>
                  </w14:solidFill>
                </w14:textFill>
              </w:rPr>
              <w:t>|</w:t>
            </w:r>
            <w:r w:rsidR="003511C3" w:rsidRPr="003511C3">
              <w:rPr>
                <w:rFonts w:ascii="Arial Narrow" w:hAnsi="Arial Narrow" w:cs="Times New Roman"/>
                <w:b/>
                <w:color w:val="000000"/>
                <w:spacing w:val="1"/>
                <w:sz w:val="20"/>
                <w:shd w:val="solid" w:color="000000" w:fill="000000"/>
                <w:fitText w:val="170" w:id="-1490359281"/>
                <w14:textFill>
                  <w14:solidFill>
                    <w14:srgbClr w14:val="000000">
                      <w14:alpha w14:val="100000"/>
                    </w14:srgbClr>
                  </w14:solidFill>
                </w14:textFill>
              </w:rPr>
              <w:t>|</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
        </w:tc>
        <w:tc>
          <w:tcPr>
            <w:tcW w:w="686" w:type="pct"/>
            <w:shd w:val="clear" w:color="auto" w:fill="auto"/>
            <w:vAlign w:val="bottom"/>
          </w:tcPr>
          <w:p w14:paraId="34C7FF62" w14:textId="1D91689B" w:rsidR="0034373D" w:rsidRPr="00B57052" w:rsidRDefault="0034373D" w:rsidP="00137BD2">
            <w:pPr>
              <w:ind w:left="-104" w:right="-151"/>
              <w:jc w:val="center"/>
              <w:rPr>
                <w:rFonts w:ascii="Arial Narrow" w:hAnsi="Arial Narrow" w:cs="Times New Roman"/>
                <w:b/>
                <w:bCs/>
                <w:sz w:val="20"/>
              </w:rPr>
            </w:pPr>
            <w:r w:rsidRPr="00B57052">
              <w:rPr>
                <w:rFonts w:ascii="Arial Narrow" w:hAnsi="Arial Narrow" w:cs="Times New Roman"/>
                <w:b/>
                <w:sz w:val="20"/>
              </w:rPr>
              <w:t>$</w:t>
            </w:r>
            <w:r w:rsidR="003511C3" w:rsidRPr="003511C3">
              <w:rPr>
                <w:rFonts w:ascii="Arial Narrow" w:hAnsi="Arial Narrow" w:cs="Times New Roman" w:hint="eastAsia"/>
                <w:b/>
                <w:color w:val="000000"/>
                <w:w w:val="33"/>
                <w:sz w:val="20"/>
                <w:shd w:val="solid" w:color="000000" w:fill="000000"/>
                <w:fitText w:val="150" w:id="-1490359280"/>
                <w14:textFill>
                  <w14:solidFill>
                    <w14:srgbClr w14:val="000000">
                      <w14:alpha w14:val="100000"/>
                    </w14:srgbClr>
                  </w14:solidFill>
                </w14:textFill>
              </w:rPr>
              <w:t xml:space="preserve">　</w:t>
            </w:r>
            <w:proofErr w:type="gramStart"/>
            <w:r w:rsidR="003511C3" w:rsidRPr="003511C3">
              <w:rPr>
                <w:rFonts w:ascii="Arial Narrow" w:hAnsi="Arial Narrow" w:cs="Times New Roman"/>
                <w:b/>
                <w:color w:val="000000"/>
                <w:w w:val="33"/>
                <w:sz w:val="20"/>
                <w:shd w:val="solid" w:color="000000" w:fill="000000"/>
                <w:fitText w:val="150" w:id="-1490359280"/>
                <w14:textFill>
                  <w14:solidFill>
                    <w14:srgbClr w14:val="000000">
                      <w14:alpha w14:val="100000"/>
                    </w14:srgbClr>
                  </w14:solidFill>
                </w14:textFill>
              </w:rPr>
              <w:t>|</w:t>
            </w:r>
            <w:r w:rsidR="003511C3" w:rsidRPr="003511C3">
              <w:rPr>
                <w:rFonts w:ascii="Arial Narrow" w:hAnsi="Arial Narrow" w:cs="Times New Roman" w:hint="eastAsia"/>
                <w:b/>
                <w:color w:val="000000"/>
                <w:spacing w:val="3"/>
                <w:w w:val="33"/>
                <w:sz w:val="20"/>
                <w:shd w:val="solid" w:color="000000" w:fill="000000"/>
                <w:fitText w:val="150" w:id="-1490359280"/>
                <w14:textFill>
                  <w14:solidFill>
                    <w14:srgbClr w14:val="000000">
                      <w14:alpha w14:val="100000"/>
                    </w14:srgbClr>
                  </w14:solidFill>
                </w14:textFill>
              </w:rPr>
              <w:t xml:space="preserve">　</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roofErr w:type="gramEnd"/>
          </w:p>
        </w:tc>
        <w:tc>
          <w:tcPr>
            <w:tcW w:w="686" w:type="pct"/>
            <w:shd w:val="clear" w:color="auto" w:fill="auto"/>
            <w:vAlign w:val="bottom"/>
          </w:tcPr>
          <w:p w14:paraId="779D2C5D" w14:textId="060ACEE3" w:rsidR="0034373D" w:rsidRPr="00B57052" w:rsidRDefault="0034373D" w:rsidP="00137BD2">
            <w:pPr>
              <w:ind w:left="-73" w:right="-40"/>
              <w:jc w:val="center"/>
              <w:rPr>
                <w:rFonts w:ascii="Arial Narrow" w:hAnsi="Arial Narrow" w:cs="Times New Roman"/>
                <w:b/>
                <w:bCs/>
                <w:sz w:val="20"/>
              </w:rPr>
            </w:pPr>
            <w:r w:rsidRPr="00B57052">
              <w:rPr>
                <w:rFonts w:ascii="Arial Narrow" w:hAnsi="Arial Narrow" w:cs="Times New Roman"/>
                <w:b/>
                <w:sz w:val="20"/>
              </w:rPr>
              <w:t>$</w:t>
            </w:r>
            <w:r w:rsidR="003511C3" w:rsidRPr="003511C3">
              <w:rPr>
                <w:rFonts w:ascii="Arial Narrow" w:hAnsi="Arial Narrow" w:cs="Times New Roman"/>
                <w:b/>
                <w:color w:val="000000"/>
                <w:spacing w:val="90"/>
                <w:sz w:val="20"/>
                <w:shd w:val="solid" w:color="000000" w:fill="000000"/>
                <w:fitText w:val="190" w:id="-1490359296"/>
                <w14:textFill>
                  <w14:solidFill>
                    <w14:srgbClr w14:val="000000">
                      <w14:alpha w14:val="100000"/>
                    </w14:srgbClr>
                  </w14:solidFill>
                </w14:textFill>
              </w:rPr>
              <w:t>|</w:t>
            </w:r>
            <w:r w:rsidR="003511C3" w:rsidRPr="003511C3">
              <w:rPr>
                <w:rFonts w:ascii="Arial Narrow" w:hAnsi="Arial Narrow" w:cs="Times New Roman"/>
                <w:b/>
                <w:color w:val="000000"/>
                <w:sz w:val="20"/>
                <w:shd w:val="solid" w:color="000000" w:fill="000000"/>
                <w:fitText w:val="190" w:id="-1490359296"/>
                <w14:textFill>
                  <w14:solidFill>
                    <w14:srgbClr w14:val="000000">
                      <w14:alpha w14:val="100000"/>
                    </w14:srgbClr>
                  </w14:solidFill>
                </w14:textFill>
              </w:rPr>
              <w:t>|</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
        </w:tc>
        <w:tc>
          <w:tcPr>
            <w:tcW w:w="686" w:type="pct"/>
            <w:shd w:val="clear" w:color="auto" w:fill="auto"/>
            <w:vAlign w:val="bottom"/>
          </w:tcPr>
          <w:p w14:paraId="63BBDCDA" w14:textId="50544D7E" w:rsidR="0034373D" w:rsidRPr="00B57052" w:rsidRDefault="0034373D" w:rsidP="00137BD2">
            <w:pPr>
              <w:ind w:left="-169" w:right="-86"/>
              <w:jc w:val="center"/>
              <w:rPr>
                <w:rFonts w:ascii="Arial Narrow" w:hAnsi="Arial Narrow" w:cs="Times New Roman"/>
                <w:b/>
                <w:bCs/>
                <w:sz w:val="20"/>
              </w:rPr>
            </w:pPr>
            <w:r w:rsidRPr="00B57052">
              <w:rPr>
                <w:rFonts w:ascii="Arial Narrow" w:hAnsi="Arial Narrow" w:cs="Times New Roman"/>
                <w:b/>
                <w:sz w:val="20"/>
              </w:rPr>
              <w:t>$</w:t>
            </w:r>
            <w:r w:rsidR="003511C3" w:rsidRPr="003511C3">
              <w:rPr>
                <w:rFonts w:ascii="Arial Narrow" w:hAnsi="Arial Narrow" w:cs="Times New Roman"/>
                <w:b/>
                <w:color w:val="000000"/>
                <w:spacing w:val="46"/>
                <w:sz w:val="20"/>
                <w:shd w:val="solid" w:color="000000" w:fill="000000"/>
                <w:fitText w:val="230" w:id="-1490359295"/>
                <w14:textFill>
                  <w14:solidFill>
                    <w14:srgbClr w14:val="000000">
                      <w14:alpha w14:val="100000"/>
                    </w14:srgbClr>
                  </w14:solidFill>
                </w14:textFill>
              </w:rPr>
              <w:t>||</w:t>
            </w:r>
            <w:r w:rsidR="003511C3" w:rsidRPr="003511C3">
              <w:rPr>
                <w:rFonts w:ascii="Arial Narrow" w:hAnsi="Arial Narrow" w:cs="Times New Roman"/>
                <w:b/>
                <w:color w:val="000000"/>
                <w:sz w:val="20"/>
                <w:shd w:val="solid" w:color="000000" w:fill="000000"/>
                <w:fitText w:val="230" w:id="-1490359295"/>
                <w14:textFill>
                  <w14:solidFill>
                    <w14:srgbClr w14:val="000000">
                      <w14:alpha w14:val="100000"/>
                    </w14:srgbClr>
                  </w14:solidFill>
                </w14:textFill>
              </w:rPr>
              <w:t>|</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
        </w:tc>
        <w:tc>
          <w:tcPr>
            <w:tcW w:w="686" w:type="pct"/>
            <w:shd w:val="clear" w:color="auto" w:fill="auto"/>
            <w:vAlign w:val="bottom"/>
          </w:tcPr>
          <w:p w14:paraId="391474C8" w14:textId="3CE64ECE" w:rsidR="0034373D" w:rsidRPr="00B57052" w:rsidRDefault="0034373D" w:rsidP="00137BD2">
            <w:pPr>
              <w:ind w:left="-138" w:right="-117"/>
              <w:jc w:val="center"/>
              <w:rPr>
                <w:rFonts w:ascii="Arial Narrow" w:hAnsi="Arial Narrow" w:cs="Times New Roman"/>
                <w:b/>
                <w:bCs/>
                <w:sz w:val="20"/>
              </w:rPr>
            </w:pPr>
            <w:r w:rsidRPr="00B57052">
              <w:rPr>
                <w:rFonts w:ascii="Arial Narrow" w:hAnsi="Arial Narrow" w:cs="Times New Roman"/>
                <w:b/>
                <w:sz w:val="20"/>
              </w:rPr>
              <w:t>$</w:t>
            </w:r>
            <w:r w:rsidR="003511C3" w:rsidRPr="003511C3">
              <w:rPr>
                <w:rFonts w:ascii="Arial Narrow" w:hAnsi="Arial Narrow" w:cs="Times New Roman"/>
                <w:b/>
                <w:color w:val="000000"/>
                <w:spacing w:val="90"/>
                <w:sz w:val="20"/>
                <w:shd w:val="solid" w:color="000000" w:fill="000000"/>
                <w:fitText w:val="190" w:id="-1490359294"/>
                <w14:textFill>
                  <w14:solidFill>
                    <w14:srgbClr w14:val="000000">
                      <w14:alpha w14:val="100000"/>
                    </w14:srgbClr>
                  </w14:solidFill>
                </w14:textFill>
              </w:rPr>
              <w:t>|</w:t>
            </w:r>
            <w:r w:rsidR="003511C3" w:rsidRPr="003511C3">
              <w:rPr>
                <w:rFonts w:ascii="Arial Narrow" w:hAnsi="Arial Narrow" w:cs="Times New Roman"/>
                <w:b/>
                <w:color w:val="000000"/>
                <w:sz w:val="20"/>
                <w:shd w:val="solid" w:color="000000" w:fill="000000"/>
                <w:fitText w:val="190" w:id="-1490359294"/>
                <w14:textFill>
                  <w14:solidFill>
                    <w14:srgbClr w14:val="000000">
                      <w14:alpha w14:val="100000"/>
                    </w14:srgbClr>
                  </w14:solidFill>
                </w14:textFill>
              </w:rPr>
              <w:t>|</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
        </w:tc>
        <w:tc>
          <w:tcPr>
            <w:tcW w:w="686" w:type="pct"/>
            <w:shd w:val="clear" w:color="auto" w:fill="auto"/>
            <w:vAlign w:val="bottom"/>
          </w:tcPr>
          <w:p w14:paraId="60D0F179" w14:textId="08AA31EE" w:rsidR="0034373D" w:rsidRPr="00B57052" w:rsidRDefault="0034373D" w:rsidP="00137BD2">
            <w:pPr>
              <w:ind w:left="-92" w:right="-20"/>
              <w:jc w:val="center"/>
              <w:rPr>
                <w:rFonts w:ascii="Arial Narrow" w:hAnsi="Arial Narrow" w:cs="Times New Roman"/>
                <w:b/>
                <w:bCs/>
                <w:sz w:val="20"/>
              </w:rPr>
            </w:pPr>
            <w:r w:rsidRPr="00B57052">
              <w:rPr>
                <w:rFonts w:ascii="Arial Narrow" w:hAnsi="Arial Narrow" w:cs="Times New Roman"/>
                <w:b/>
                <w:sz w:val="20"/>
              </w:rPr>
              <w:t>$</w:t>
            </w:r>
            <w:r w:rsidR="003511C3" w:rsidRPr="003511C3">
              <w:rPr>
                <w:rFonts w:ascii="Arial Narrow" w:hAnsi="Arial Narrow" w:cs="Times New Roman"/>
                <w:b/>
                <w:color w:val="000000"/>
                <w:spacing w:val="30"/>
                <w:sz w:val="20"/>
                <w:shd w:val="solid" w:color="000000" w:fill="000000"/>
                <w:fitText w:val="210" w:id="-1490359293"/>
                <w14:textFill>
                  <w14:solidFill>
                    <w14:srgbClr w14:val="000000">
                      <w14:alpha w14:val="100000"/>
                    </w14:srgbClr>
                  </w14:solidFill>
                </w14:textFill>
              </w:rPr>
              <w:t>||</w:t>
            </w:r>
            <w:r w:rsidR="003511C3" w:rsidRPr="003511C3">
              <w:rPr>
                <w:rFonts w:ascii="Arial Narrow" w:hAnsi="Arial Narrow" w:cs="Times New Roman"/>
                <w:b/>
                <w:color w:val="000000"/>
                <w:spacing w:val="15"/>
                <w:sz w:val="20"/>
                <w:shd w:val="solid" w:color="000000" w:fill="000000"/>
                <w:fitText w:val="210" w:id="-1490359293"/>
                <w14:textFill>
                  <w14:solidFill>
                    <w14:srgbClr w14:val="000000">
                      <w14:alpha w14:val="100000"/>
                    </w14:srgbClr>
                  </w14:solidFill>
                </w14:textFill>
              </w:rPr>
              <w:t>|</w:t>
            </w:r>
            <w:r w:rsidR="00217594" w:rsidRPr="00217594">
              <w:rPr>
                <w:rFonts w:ascii="Arial Narrow" w:hAnsi="Arial Narrow" w:cs="Times New Roman"/>
                <w:bCs/>
                <w:sz w:val="20"/>
              </w:rPr>
              <w:t xml:space="preserve"> </w:t>
            </w:r>
            <w:r w:rsidR="00217594" w:rsidRPr="00217594">
              <w:rPr>
                <w:rFonts w:ascii="Arial Narrow" w:hAnsi="Arial Narrow" w:cs="Times New Roman"/>
                <w:bCs/>
                <w:sz w:val="20"/>
                <w:vertAlign w:val="superscript"/>
              </w:rPr>
              <w:t>5</w:t>
            </w:r>
          </w:p>
        </w:tc>
      </w:tr>
    </w:tbl>
    <w:p w14:paraId="273522EB" w14:textId="46A5AEEF" w:rsidR="0034373D" w:rsidRDefault="0034373D" w:rsidP="007438F1">
      <w:pPr>
        <w:pStyle w:val="SourceNotes"/>
        <w:keepNext/>
        <w:rPr>
          <w:rFonts w:ascii="Arial Narrow" w:hAnsi="Arial Narrow" w:cs="Times New Roman"/>
        </w:rPr>
      </w:pPr>
      <w:r w:rsidRPr="00183880">
        <w:rPr>
          <w:rFonts w:ascii="Arial Narrow" w:hAnsi="Arial Narrow" w:cs="Times New Roman"/>
        </w:rPr>
        <w:t>Source:</w:t>
      </w:r>
      <w:r w:rsidRPr="00183880">
        <w:rPr>
          <w:rFonts w:ascii="Arial Narrow" w:hAnsi="Arial Narrow" w:cs="Times New Roman"/>
        </w:rPr>
        <w:tab/>
        <w:t xml:space="preserve">MBS+PHI budget impact.xlsx, spreadsheet ‘MBS+PL </w:t>
      </w:r>
      <w:proofErr w:type="spellStart"/>
      <w:r w:rsidRPr="00183880">
        <w:rPr>
          <w:rFonts w:ascii="Arial Narrow" w:hAnsi="Arial Narrow" w:cs="Times New Roman"/>
        </w:rPr>
        <w:t>Utilisation+Cost</w:t>
      </w:r>
      <w:proofErr w:type="spellEnd"/>
      <w:r w:rsidRPr="00183880">
        <w:rPr>
          <w:rFonts w:ascii="Arial Narrow" w:hAnsi="Arial Narrow" w:cs="Times New Roman"/>
        </w:rPr>
        <w:t>’.</w:t>
      </w:r>
    </w:p>
    <w:p w14:paraId="526A769B" w14:textId="2052548F" w:rsidR="003E4AF8" w:rsidRDefault="003E4AF8" w:rsidP="007438F1">
      <w:pPr>
        <w:pStyle w:val="Tablenotes1"/>
        <w:keepNext/>
      </w:pPr>
      <w:r w:rsidRPr="001779F5">
        <w:t>The redacted values correspond to the following ranges:</w:t>
      </w:r>
    </w:p>
    <w:p w14:paraId="5F16557B" w14:textId="6A076200" w:rsidR="003E4AF8" w:rsidRDefault="003E4AF8" w:rsidP="007438F1">
      <w:pPr>
        <w:pStyle w:val="Tablenotes1"/>
        <w:keepNext/>
      </w:pPr>
      <w:proofErr w:type="gramStart"/>
      <w:r>
        <w:rPr>
          <w:vertAlign w:val="superscript"/>
        </w:rPr>
        <w:t xml:space="preserve">1 </w:t>
      </w:r>
      <w:r>
        <w:t xml:space="preserve"> </w:t>
      </w:r>
      <w:r w:rsidRPr="003E4AF8">
        <w:t>$</w:t>
      </w:r>
      <w:proofErr w:type="gramEnd"/>
      <w:r w:rsidRPr="003E4AF8">
        <w:t>0 to &lt;$10 million</w:t>
      </w:r>
    </w:p>
    <w:p w14:paraId="76DA2D0B" w14:textId="1258C073" w:rsidR="003E4AF8" w:rsidRDefault="003E4AF8" w:rsidP="007438F1">
      <w:pPr>
        <w:pStyle w:val="Tablenotes1"/>
        <w:keepNext/>
      </w:pPr>
      <w:r>
        <w:rPr>
          <w:vertAlign w:val="superscript"/>
        </w:rPr>
        <w:t>2</w:t>
      </w:r>
      <w:r>
        <w:t xml:space="preserve"> </w:t>
      </w:r>
      <w:r w:rsidR="00217594" w:rsidRPr="00217594">
        <w:t>$10 million to &lt;$20 million</w:t>
      </w:r>
    </w:p>
    <w:p w14:paraId="2AFEE546" w14:textId="5752DDF8" w:rsidR="003E4AF8" w:rsidRDefault="003E4AF8" w:rsidP="007438F1">
      <w:pPr>
        <w:pStyle w:val="Tablenotes1"/>
        <w:keepNext/>
      </w:pPr>
      <w:r>
        <w:rPr>
          <w:vertAlign w:val="superscript"/>
        </w:rPr>
        <w:t xml:space="preserve">3 </w:t>
      </w:r>
      <w:r w:rsidR="00217594" w:rsidRPr="00217594">
        <w:t>$20 million to &lt;$30 million</w:t>
      </w:r>
    </w:p>
    <w:p w14:paraId="7D0CAEE9" w14:textId="0862D92C" w:rsidR="002744B8" w:rsidRDefault="003E4AF8" w:rsidP="007438F1">
      <w:pPr>
        <w:pStyle w:val="Tablenotes1"/>
        <w:keepNext/>
      </w:pPr>
      <w:r>
        <w:rPr>
          <w:vertAlign w:val="superscript"/>
        </w:rPr>
        <w:t xml:space="preserve">4 </w:t>
      </w:r>
      <w:r w:rsidR="00217594" w:rsidRPr="00217594">
        <w:t>$30 million to &lt;$40 million</w:t>
      </w:r>
    </w:p>
    <w:p w14:paraId="5D34ECBA" w14:textId="4CF3633F" w:rsidR="003E4AF8" w:rsidRPr="007438F1" w:rsidRDefault="003E4AF8" w:rsidP="000B7718">
      <w:pPr>
        <w:pStyle w:val="Tablenotes1"/>
      </w:pPr>
      <w:r>
        <w:rPr>
          <w:vertAlign w:val="superscript"/>
        </w:rPr>
        <w:t xml:space="preserve">5 </w:t>
      </w:r>
      <w:r w:rsidR="00217594">
        <w:t>Net cost saving</w:t>
      </w:r>
    </w:p>
    <w:p w14:paraId="08F54735" w14:textId="77777777" w:rsidR="00C2788B" w:rsidRPr="002A5B9C" w:rsidRDefault="00C2788B" w:rsidP="00E93F5C">
      <w:pPr>
        <w:keepNext/>
        <w:spacing w:before="240"/>
        <w:rPr>
          <w:b/>
          <w:bCs/>
          <w:iCs/>
          <w:szCs w:val="24"/>
        </w:rPr>
      </w:pPr>
      <w:bookmarkStart w:id="33" w:name="_Toc86742982"/>
      <w:r w:rsidRPr="00E93F5C">
        <w:rPr>
          <w:b/>
          <w:bCs/>
          <w:iCs/>
          <w:szCs w:val="24"/>
        </w:rPr>
        <w:lastRenderedPageBreak/>
        <w:t>Net change to private health insurance via the Prostheses List</w:t>
      </w:r>
      <w:bookmarkEnd w:id="33"/>
    </w:p>
    <w:p w14:paraId="4ECEFC13" w14:textId="7C310EF1" w:rsidR="00C2788B" w:rsidRDefault="00C2788B" w:rsidP="00C2788B">
      <w:pPr>
        <w:rPr>
          <w:i/>
          <w:iCs/>
        </w:rPr>
      </w:pPr>
      <w:r w:rsidRPr="00E75888">
        <w:t xml:space="preserve">The </w:t>
      </w:r>
      <w:r w:rsidR="005A6C88">
        <w:t xml:space="preserve">requested benefit for the </w:t>
      </w:r>
      <w:r>
        <w:t xml:space="preserve">PDS </w:t>
      </w:r>
      <w:r w:rsidRPr="00E75888">
        <w:t>ocular implant on the Prostheses List</w:t>
      </w:r>
      <w:r w:rsidR="005A6C88">
        <w:t xml:space="preserve"> wa</w:t>
      </w:r>
      <w:r w:rsidR="005A6C88" w:rsidRPr="00E75888">
        <w:t>s $400</w:t>
      </w:r>
      <w:r w:rsidRPr="00E75888">
        <w:t xml:space="preserve">. The annual </w:t>
      </w:r>
      <w:r w:rsidR="005A6C88">
        <w:t xml:space="preserve">expenditure by </w:t>
      </w:r>
      <w:r w:rsidRPr="00E75888">
        <w:t>private health insurers</w:t>
      </w:r>
      <w:r w:rsidR="007703FE">
        <w:t xml:space="preserve"> </w:t>
      </w:r>
      <w:r w:rsidR="005A6C88" w:rsidRPr="00E75888">
        <w:t xml:space="preserve">cost for the ocular implant </w:t>
      </w:r>
      <w:r w:rsidR="007703FE">
        <w:t>wa</w:t>
      </w:r>
      <w:r w:rsidRPr="00E75888">
        <w:t xml:space="preserve">s estimated to range from approximately </w:t>
      </w:r>
      <w:r w:rsidR="000B7718" w:rsidRPr="000B7718">
        <w:t xml:space="preserve">$0 to &lt;$10 million </w:t>
      </w:r>
      <w:r w:rsidRPr="00E75888">
        <w:t xml:space="preserve">to </w:t>
      </w:r>
      <w:r w:rsidR="000B7718" w:rsidRPr="000B7718">
        <w:t xml:space="preserve">$0 to &lt;$10 million </w:t>
      </w:r>
      <w:proofErr w:type="spellStart"/>
      <w:r w:rsidRPr="00E75888">
        <w:t>million</w:t>
      </w:r>
      <w:proofErr w:type="spellEnd"/>
      <w:r w:rsidRPr="00E75888">
        <w:t xml:space="preserve"> per year</w:t>
      </w:r>
      <w:r>
        <w:t xml:space="preserve"> (</w:t>
      </w:r>
      <w:r w:rsidRPr="00CD0DCE">
        <w:fldChar w:fldCharType="begin"/>
      </w:r>
      <w:r w:rsidRPr="00CD0DCE">
        <w:instrText xml:space="preserve"> REF _Ref86317817 \h  \* MERGEFORMAT </w:instrText>
      </w:r>
      <w:r w:rsidRPr="00CD0DCE">
        <w:fldChar w:fldCharType="separate"/>
      </w:r>
      <w:r w:rsidRPr="00CD0DCE">
        <w:t>Table</w:t>
      </w:r>
      <w:r w:rsidR="00484EFB">
        <w:t> </w:t>
      </w:r>
      <w:r w:rsidR="002E69D8">
        <w:rPr>
          <w:noProof/>
        </w:rPr>
        <w:t>2</w:t>
      </w:r>
      <w:r w:rsidR="005D165F">
        <w:rPr>
          <w:noProof/>
        </w:rPr>
        <w:t>.12</w:t>
      </w:r>
      <w:r w:rsidRPr="00CD0DCE">
        <w:fldChar w:fldCharType="end"/>
      </w:r>
      <w:r>
        <w:t>).</w:t>
      </w:r>
      <w:r w:rsidR="00EC3E2F">
        <w:t xml:space="preserve"> However, given the acceptance by the applicant and PBAC</w:t>
      </w:r>
      <w:r w:rsidR="00EC3E2F" w:rsidRPr="00842AF3">
        <w:t xml:space="preserve"> </w:t>
      </w:r>
      <w:r w:rsidR="00EC3E2F">
        <w:t>of the updated estimate of the average number of IVT injections per patient per year being reduced to 6.31, these estimates also require re-calculation.</w:t>
      </w:r>
    </w:p>
    <w:p w14:paraId="4AFB48CB" w14:textId="153789B7" w:rsidR="00C2788B" w:rsidRPr="0039787F" w:rsidRDefault="00C2788B" w:rsidP="000F0B19">
      <w:pPr>
        <w:pStyle w:val="Caption"/>
        <w:spacing w:before="240"/>
        <w:rPr>
          <w:rFonts w:cs="Times New Roman"/>
        </w:rPr>
      </w:pPr>
      <w:bookmarkStart w:id="34" w:name="_Ref86317817"/>
      <w:bookmarkStart w:id="35" w:name="_Toc86181265"/>
      <w:bookmarkStart w:id="36" w:name="_Toc86743015"/>
      <w:r w:rsidRPr="0039787F">
        <w:rPr>
          <w:rFonts w:cs="Times New Roman"/>
        </w:rPr>
        <w:t xml:space="preserve">Table </w:t>
      </w:r>
      <w:bookmarkEnd w:id="34"/>
      <w:r w:rsidR="002E69D8" w:rsidRPr="0039787F">
        <w:rPr>
          <w:rFonts w:cs="Times New Roman"/>
        </w:rPr>
        <w:t>2</w:t>
      </w:r>
      <w:r w:rsidR="005D165F" w:rsidRPr="0039787F">
        <w:rPr>
          <w:rFonts w:cs="Times New Roman"/>
        </w:rPr>
        <w:t>.12</w:t>
      </w:r>
      <w:r w:rsidR="0039787F" w:rsidRPr="0039787F">
        <w:rPr>
          <w:rFonts w:cs="Times New Roman"/>
        </w:rPr>
        <w:t>:</w:t>
      </w:r>
      <w:r w:rsidR="002550F6" w:rsidRPr="0039787F">
        <w:rPr>
          <w:rFonts w:cs="Times New Roman"/>
        </w:rPr>
        <w:t xml:space="preserve"> </w:t>
      </w:r>
      <w:r w:rsidRPr="0039787F">
        <w:rPr>
          <w:rFonts w:cs="Times New Roman"/>
        </w:rPr>
        <w:t xml:space="preserve">Net impact to private health insurance via the Prostheses List due to the cost of the </w:t>
      </w:r>
      <w:r w:rsidR="00DB46D0">
        <w:rPr>
          <w:rFonts w:cs="Times New Roman"/>
        </w:rPr>
        <w:t xml:space="preserve">PDS </w:t>
      </w:r>
      <w:r w:rsidRPr="0039787F">
        <w:rPr>
          <w:rFonts w:cs="Times New Roman"/>
        </w:rPr>
        <w:t>ocular implant</w:t>
      </w:r>
      <w:bookmarkEnd w:id="35"/>
      <w:bookmarkEnd w:id="36"/>
    </w:p>
    <w:tbl>
      <w:tblPr>
        <w:tblStyle w:val="TableGrid"/>
        <w:tblW w:w="0" w:type="auto"/>
        <w:tblLayout w:type="fixed"/>
        <w:tblLook w:val="04A0" w:firstRow="1" w:lastRow="0" w:firstColumn="1" w:lastColumn="0" w:noHBand="0" w:noVBand="1"/>
      </w:tblPr>
      <w:tblGrid>
        <w:gridCol w:w="2547"/>
        <w:gridCol w:w="1134"/>
        <w:gridCol w:w="1134"/>
        <w:gridCol w:w="1134"/>
        <w:gridCol w:w="992"/>
        <w:gridCol w:w="992"/>
        <w:gridCol w:w="993"/>
      </w:tblGrid>
      <w:tr w:rsidR="00C2788B" w:rsidRPr="0039787F" w14:paraId="2731DE91" w14:textId="77777777" w:rsidTr="007438F1">
        <w:trPr>
          <w:tblHeader/>
        </w:trPr>
        <w:tc>
          <w:tcPr>
            <w:tcW w:w="2547" w:type="dxa"/>
            <w:shd w:val="clear" w:color="auto" w:fill="auto"/>
          </w:tcPr>
          <w:p w14:paraId="25247F45" w14:textId="77777777" w:rsidR="00C2788B" w:rsidRPr="0039787F" w:rsidRDefault="00C2788B" w:rsidP="002D226B">
            <w:pPr>
              <w:pStyle w:val="TableHeadingRow"/>
              <w:jc w:val="left"/>
              <w:rPr>
                <w:rFonts w:ascii="Arial Narrow" w:hAnsi="Arial Narrow" w:cs="Times New Roman"/>
              </w:rPr>
            </w:pPr>
          </w:p>
        </w:tc>
        <w:tc>
          <w:tcPr>
            <w:tcW w:w="1134" w:type="dxa"/>
            <w:shd w:val="clear" w:color="auto" w:fill="auto"/>
            <w:vAlign w:val="center"/>
          </w:tcPr>
          <w:p w14:paraId="043346A6" w14:textId="77777777" w:rsidR="00C2788B" w:rsidRPr="0039787F" w:rsidRDefault="00C2788B" w:rsidP="007438F1">
            <w:pPr>
              <w:pStyle w:val="TableHeadingRow"/>
              <w:ind w:left="-102" w:right="-101"/>
              <w:rPr>
                <w:rFonts w:ascii="Arial Narrow" w:hAnsi="Arial Narrow" w:cs="Times New Roman"/>
              </w:rPr>
            </w:pPr>
            <w:r w:rsidRPr="0039787F">
              <w:rPr>
                <w:rFonts w:ascii="Arial Narrow" w:hAnsi="Arial Narrow" w:cs="Times New Roman"/>
              </w:rPr>
              <w:t>2022</w:t>
            </w:r>
          </w:p>
        </w:tc>
        <w:tc>
          <w:tcPr>
            <w:tcW w:w="1134" w:type="dxa"/>
            <w:shd w:val="clear" w:color="auto" w:fill="auto"/>
            <w:vAlign w:val="center"/>
          </w:tcPr>
          <w:p w14:paraId="3E29F3D8" w14:textId="77777777" w:rsidR="00C2788B" w:rsidRPr="0039787F" w:rsidRDefault="00C2788B" w:rsidP="007438F1">
            <w:pPr>
              <w:pStyle w:val="TableHeadingRow"/>
              <w:ind w:left="-108" w:right="-110"/>
              <w:rPr>
                <w:rFonts w:ascii="Arial Narrow" w:hAnsi="Arial Narrow" w:cs="Times New Roman"/>
              </w:rPr>
            </w:pPr>
            <w:r w:rsidRPr="0039787F">
              <w:rPr>
                <w:rFonts w:ascii="Arial Narrow" w:hAnsi="Arial Narrow" w:cs="Times New Roman"/>
              </w:rPr>
              <w:t>2023</w:t>
            </w:r>
          </w:p>
        </w:tc>
        <w:tc>
          <w:tcPr>
            <w:tcW w:w="1134" w:type="dxa"/>
            <w:shd w:val="clear" w:color="auto" w:fill="auto"/>
            <w:vAlign w:val="center"/>
          </w:tcPr>
          <w:p w14:paraId="6A7C7F61" w14:textId="77777777" w:rsidR="00C2788B" w:rsidRPr="0039787F" w:rsidRDefault="00C2788B" w:rsidP="007438F1">
            <w:pPr>
              <w:pStyle w:val="TableHeadingRow"/>
              <w:ind w:left="-114" w:right="-104"/>
              <w:rPr>
                <w:rFonts w:ascii="Arial Narrow" w:hAnsi="Arial Narrow" w:cs="Times New Roman"/>
              </w:rPr>
            </w:pPr>
            <w:r w:rsidRPr="0039787F">
              <w:rPr>
                <w:rFonts w:ascii="Arial Narrow" w:hAnsi="Arial Narrow" w:cs="Times New Roman"/>
              </w:rPr>
              <w:t>2024</w:t>
            </w:r>
          </w:p>
        </w:tc>
        <w:tc>
          <w:tcPr>
            <w:tcW w:w="992" w:type="dxa"/>
            <w:shd w:val="clear" w:color="auto" w:fill="auto"/>
            <w:vAlign w:val="center"/>
          </w:tcPr>
          <w:p w14:paraId="452FAB3E" w14:textId="77777777" w:rsidR="00C2788B" w:rsidRPr="0039787F" w:rsidRDefault="00C2788B" w:rsidP="007438F1">
            <w:pPr>
              <w:pStyle w:val="TableHeadingRow"/>
              <w:ind w:left="-105" w:right="-106"/>
              <w:rPr>
                <w:rFonts w:ascii="Arial Narrow" w:hAnsi="Arial Narrow" w:cs="Times New Roman"/>
              </w:rPr>
            </w:pPr>
            <w:r w:rsidRPr="0039787F">
              <w:rPr>
                <w:rFonts w:ascii="Arial Narrow" w:hAnsi="Arial Narrow" w:cs="Times New Roman"/>
              </w:rPr>
              <w:t>2025</w:t>
            </w:r>
          </w:p>
        </w:tc>
        <w:tc>
          <w:tcPr>
            <w:tcW w:w="992" w:type="dxa"/>
            <w:shd w:val="clear" w:color="auto" w:fill="auto"/>
            <w:vAlign w:val="center"/>
          </w:tcPr>
          <w:p w14:paraId="50C93ECB" w14:textId="77777777" w:rsidR="00C2788B" w:rsidRPr="0039787F" w:rsidRDefault="00C2788B" w:rsidP="007438F1">
            <w:pPr>
              <w:pStyle w:val="TableHeadingRow"/>
              <w:ind w:left="-103" w:right="-108"/>
              <w:rPr>
                <w:rFonts w:ascii="Arial Narrow" w:hAnsi="Arial Narrow" w:cs="Times New Roman"/>
              </w:rPr>
            </w:pPr>
            <w:r w:rsidRPr="0039787F">
              <w:rPr>
                <w:rFonts w:ascii="Arial Narrow" w:hAnsi="Arial Narrow" w:cs="Times New Roman"/>
              </w:rPr>
              <w:t>2026</w:t>
            </w:r>
          </w:p>
        </w:tc>
        <w:tc>
          <w:tcPr>
            <w:tcW w:w="993" w:type="dxa"/>
            <w:shd w:val="clear" w:color="auto" w:fill="auto"/>
            <w:vAlign w:val="center"/>
          </w:tcPr>
          <w:p w14:paraId="537AC058" w14:textId="77777777" w:rsidR="00C2788B" w:rsidRPr="0039787F" w:rsidRDefault="00C2788B" w:rsidP="007438F1">
            <w:pPr>
              <w:pStyle w:val="TableHeadingRow"/>
              <w:ind w:left="-101" w:right="-110"/>
              <w:rPr>
                <w:rFonts w:ascii="Arial Narrow" w:hAnsi="Arial Narrow" w:cs="Times New Roman"/>
              </w:rPr>
            </w:pPr>
            <w:r w:rsidRPr="0039787F">
              <w:rPr>
                <w:rFonts w:ascii="Arial Narrow" w:hAnsi="Arial Narrow" w:cs="Times New Roman"/>
              </w:rPr>
              <w:t>2027</w:t>
            </w:r>
          </w:p>
        </w:tc>
      </w:tr>
      <w:tr w:rsidR="00C2788B" w:rsidRPr="0039787F" w14:paraId="2D1CFDAF" w14:textId="77777777" w:rsidTr="007438F1">
        <w:tc>
          <w:tcPr>
            <w:tcW w:w="2547" w:type="dxa"/>
            <w:vAlign w:val="center"/>
          </w:tcPr>
          <w:p w14:paraId="3F34180C" w14:textId="77777777" w:rsidR="00C2788B" w:rsidRPr="00484EFB" w:rsidRDefault="00C2788B" w:rsidP="002D226B">
            <w:pPr>
              <w:pStyle w:val="TableText1"/>
              <w:keepNext/>
              <w:rPr>
                <w:rFonts w:ascii="Arial Narrow" w:hAnsi="Arial Narrow" w:cs="Times New Roman"/>
              </w:rPr>
            </w:pPr>
            <w:r w:rsidRPr="00484EFB">
              <w:rPr>
                <w:rFonts w:ascii="Arial Narrow" w:hAnsi="Arial Narrow" w:cs="Times New Roman"/>
              </w:rPr>
              <w:t>Estimated incident patients</w:t>
            </w:r>
          </w:p>
        </w:tc>
        <w:tc>
          <w:tcPr>
            <w:tcW w:w="1134" w:type="dxa"/>
            <w:vAlign w:val="center"/>
          </w:tcPr>
          <w:p w14:paraId="4C8B671D" w14:textId="6784A93F" w:rsidR="00C2788B" w:rsidRPr="00484EFB" w:rsidRDefault="003511C3" w:rsidP="007438F1">
            <w:pPr>
              <w:pStyle w:val="TableText1"/>
              <w:ind w:left="-102" w:right="-101"/>
              <w:jc w:val="center"/>
              <w:rPr>
                <w:rFonts w:ascii="Arial Narrow" w:hAnsi="Arial Narrow" w:cs="Times New Roman"/>
                <w:vertAlign w:val="superscript"/>
              </w:rPr>
            </w:pPr>
            <w:r w:rsidRPr="00C61090">
              <w:rPr>
                <w:rFonts w:ascii="Arial Narrow" w:hAnsi="Arial Narrow" w:cs="Times New Roman" w:hint="eastAsia"/>
                <w:color w:val="000000"/>
                <w:w w:val="29"/>
                <w:shd w:val="solid" w:color="000000" w:fill="000000"/>
                <w:fitText w:val="130" w:id="-1490359292"/>
                <w14:textFill>
                  <w14:solidFill>
                    <w14:srgbClr w14:val="000000">
                      <w14:alpha w14:val="100000"/>
                    </w14:srgbClr>
                  </w14:solidFill>
                </w14:textFill>
              </w:rPr>
              <w:t xml:space="preserve">　</w:t>
            </w:r>
            <w:proofErr w:type="gramStart"/>
            <w:r w:rsidRPr="00C61090">
              <w:rPr>
                <w:rFonts w:ascii="Arial Narrow" w:hAnsi="Arial Narrow" w:cs="Times New Roman"/>
                <w:color w:val="000000"/>
                <w:w w:val="29"/>
                <w:shd w:val="solid" w:color="000000" w:fill="000000"/>
                <w:fitText w:val="130" w:id="-1490359292"/>
                <w14:textFill>
                  <w14:solidFill>
                    <w14:srgbClr w14:val="000000">
                      <w14:alpha w14:val="100000"/>
                    </w14:srgbClr>
                  </w14:solidFill>
                </w14:textFill>
              </w:rPr>
              <w:t>|</w:t>
            </w:r>
            <w:r w:rsidRPr="00C61090">
              <w:rPr>
                <w:rFonts w:ascii="Arial Narrow" w:hAnsi="Arial Narrow" w:cs="Times New Roman" w:hint="eastAsia"/>
                <w:color w:val="000000"/>
                <w:spacing w:val="2"/>
                <w:w w:val="29"/>
                <w:shd w:val="solid" w:color="000000" w:fill="000000"/>
                <w:fitText w:val="130" w:id="-1490359292"/>
                <w14:textFill>
                  <w14:solidFill>
                    <w14:srgbClr w14:val="000000">
                      <w14:alpha w14:val="100000"/>
                    </w14:srgbClr>
                  </w14:solidFill>
                </w14:textFill>
              </w:rPr>
              <w:t xml:space="preserve">　</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1</w:t>
            </w:r>
            <w:proofErr w:type="gramEnd"/>
          </w:p>
        </w:tc>
        <w:tc>
          <w:tcPr>
            <w:tcW w:w="1134" w:type="dxa"/>
            <w:vAlign w:val="center"/>
          </w:tcPr>
          <w:p w14:paraId="1AFFACD0" w14:textId="417F716A" w:rsidR="00C2788B" w:rsidRPr="00484EFB" w:rsidRDefault="003511C3" w:rsidP="007438F1">
            <w:pPr>
              <w:pStyle w:val="TableText1"/>
              <w:ind w:left="-108" w:right="-110"/>
              <w:jc w:val="center"/>
              <w:rPr>
                <w:rFonts w:ascii="Arial Narrow" w:hAnsi="Arial Narrow" w:cs="Times New Roman"/>
              </w:rPr>
            </w:pPr>
            <w:r w:rsidRPr="003511C3">
              <w:rPr>
                <w:rFonts w:ascii="Arial Narrow" w:hAnsi="Arial Narrow" w:cs="Times New Roman" w:hint="eastAsia"/>
                <w:color w:val="000000"/>
                <w:w w:val="31"/>
                <w:shd w:val="solid" w:color="000000" w:fill="000000"/>
                <w:fitText w:val="140" w:id="-1490359291"/>
                <w14:textFill>
                  <w14:solidFill>
                    <w14:srgbClr w14:val="000000">
                      <w14:alpha w14:val="100000"/>
                    </w14:srgbClr>
                  </w14:solidFill>
                </w14:textFill>
              </w:rPr>
              <w:t xml:space="preserve">　</w:t>
            </w:r>
            <w:proofErr w:type="gramStart"/>
            <w:r w:rsidRPr="003511C3">
              <w:rPr>
                <w:rFonts w:ascii="Arial Narrow" w:hAnsi="Arial Narrow" w:cs="Times New Roman"/>
                <w:color w:val="000000"/>
                <w:w w:val="31"/>
                <w:shd w:val="solid" w:color="000000" w:fill="000000"/>
                <w:fitText w:val="140" w:id="-1490359291"/>
                <w14:textFill>
                  <w14:solidFill>
                    <w14:srgbClr w14:val="000000">
                      <w14:alpha w14:val="100000"/>
                    </w14:srgbClr>
                  </w14:solidFill>
                </w14:textFill>
              </w:rPr>
              <w:t>|</w:t>
            </w:r>
            <w:r w:rsidRPr="003511C3">
              <w:rPr>
                <w:rFonts w:ascii="Arial Narrow" w:hAnsi="Arial Narrow" w:cs="Times New Roman" w:hint="eastAsia"/>
                <w:color w:val="000000"/>
                <w:spacing w:val="4"/>
                <w:w w:val="31"/>
                <w:shd w:val="solid" w:color="000000" w:fill="000000"/>
                <w:fitText w:val="140" w:id="-1490359291"/>
                <w14:textFill>
                  <w14:solidFill>
                    <w14:srgbClr w14:val="000000">
                      <w14:alpha w14:val="100000"/>
                    </w14:srgbClr>
                  </w14:solidFill>
                </w14:textFill>
              </w:rPr>
              <w:t xml:space="preserve">　</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1</w:t>
            </w:r>
            <w:proofErr w:type="gramEnd"/>
          </w:p>
        </w:tc>
        <w:tc>
          <w:tcPr>
            <w:tcW w:w="1134" w:type="dxa"/>
            <w:vAlign w:val="center"/>
          </w:tcPr>
          <w:p w14:paraId="5D9562E7" w14:textId="3B4EE6DC" w:rsidR="00C2788B" w:rsidRPr="00484EFB" w:rsidRDefault="003511C3" w:rsidP="007438F1">
            <w:pPr>
              <w:pStyle w:val="TableText1"/>
              <w:ind w:left="-114" w:right="-104"/>
              <w:jc w:val="center"/>
              <w:rPr>
                <w:rFonts w:ascii="Arial Narrow" w:hAnsi="Arial Narrow" w:cs="Times New Roman"/>
              </w:rPr>
            </w:pPr>
            <w:r w:rsidRPr="00C61090">
              <w:rPr>
                <w:rFonts w:ascii="Arial Narrow" w:hAnsi="Arial Narrow" w:cs="Times New Roman" w:hint="eastAsia"/>
                <w:color w:val="000000"/>
                <w:w w:val="33"/>
                <w:shd w:val="solid" w:color="000000" w:fill="000000"/>
                <w:fitText w:val="150" w:id="-1490359290"/>
                <w14:textFill>
                  <w14:solidFill>
                    <w14:srgbClr w14:val="000000">
                      <w14:alpha w14:val="100000"/>
                    </w14:srgbClr>
                  </w14:solidFill>
                </w14:textFill>
              </w:rPr>
              <w:t xml:space="preserve">　</w:t>
            </w:r>
            <w:proofErr w:type="gramStart"/>
            <w:r w:rsidRPr="00C61090">
              <w:rPr>
                <w:rFonts w:ascii="Arial Narrow" w:hAnsi="Arial Narrow" w:cs="Times New Roman"/>
                <w:color w:val="000000"/>
                <w:w w:val="33"/>
                <w:shd w:val="solid" w:color="000000" w:fill="000000"/>
                <w:fitText w:val="150" w:id="-1490359290"/>
                <w14:textFill>
                  <w14:solidFill>
                    <w14:srgbClr w14:val="000000">
                      <w14:alpha w14:val="100000"/>
                    </w14:srgbClr>
                  </w14:solidFill>
                </w14:textFill>
              </w:rPr>
              <w:t>|</w:t>
            </w:r>
            <w:r w:rsidRPr="00C61090">
              <w:rPr>
                <w:rFonts w:ascii="Arial Narrow" w:hAnsi="Arial Narrow" w:cs="Times New Roman" w:hint="eastAsia"/>
                <w:color w:val="000000"/>
                <w:spacing w:val="4"/>
                <w:w w:val="33"/>
                <w:shd w:val="solid" w:color="000000" w:fill="000000"/>
                <w:fitText w:val="150" w:id="-1490359290"/>
                <w14:textFill>
                  <w14:solidFill>
                    <w14:srgbClr w14:val="000000">
                      <w14:alpha w14:val="100000"/>
                    </w14:srgbClr>
                  </w14:solidFill>
                </w14:textFill>
              </w:rPr>
              <w:t xml:space="preserve">　</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1</w:t>
            </w:r>
            <w:proofErr w:type="gramEnd"/>
          </w:p>
        </w:tc>
        <w:tc>
          <w:tcPr>
            <w:tcW w:w="992" w:type="dxa"/>
            <w:vAlign w:val="center"/>
          </w:tcPr>
          <w:p w14:paraId="470032BA" w14:textId="31FD4B07" w:rsidR="00C2788B" w:rsidRPr="00484EFB" w:rsidRDefault="003511C3" w:rsidP="007438F1">
            <w:pPr>
              <w:pStyle w:val="TableText1"/>
              <w:ind w:left="-105" w:right="-106"/>
              <w:jc w:val="center"/>
              <w:rPr>
                <w:rFonts w:ascii="Arial Narrow" w:hAnsi="Arial Narrow" w:cs="Times New Roman"/>
              </w:rPr>
            </w:pPr>
            <w:r w:rsidRPr="003511C3">
              <w:rPr>
                <w:rFonts w:ascii="Arial Narrow" w:hAnsi="Arial Narrow" w:cs="Times New Roman"/>
                <w:color w:val="000000"/>
                <w:spacing w:val="105"/>
                <w:shd w:val="solid" w:color="000000" w:fill="000000"/>
                <w:fitText w:val="200" w:id="-1490359289"/>
                <w14:textFill>
                  <w14:solidFill>
                    <w14:srgbClr w14:val="000000">
                      <w14:alpha w14:val="100000"/>
                    </w14:srgbClr>
                  </w14:solidFill>
                </w14:textFill>
              </w:rPr>
              <w:t>|</w:t>
            </w:r>
            <w:r w:rsidRPr="003511C3">
              <w:rPr>
                <w:rFonts w:ascii="Arial Narrow" w:hAnsi="Arial Narrow" w:cs="Times New Roman"/>
                <w:color w:val="000000"/>
                <w:shd w:val="solid" w:color="000000" w:fill="000000"/>
                <w:fitText w:val="200" w:id="-1490359289"/>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2</w:t>
            </w:r>
          </w:p>
        </w:tc>
        <w:tc>
          <w:tcPr>
            <w:tcW w:w="992" w:type="dxa"/>
            <w:vAlign w:val="center"/>
          </w:tcPr>
          <w:p w14:paraId="6DA6D83E" w14:textId="471AE00A" w:rsidR="00C2788B" w:rsidRPr="00484EFB" w:rsidRDefault="003511C3" w:rsidP="007438F1">
            <w:pPr>
              <w:pStyle w:val="TableText1"/>
              <w:ind w:left="-103" w:right="-108"/>
              <w:jc w:val="center"/>
              <w:rPr>
                <w:rFonts w:ascii="Arial Narrow" w:hAnsi="Arial Narrow" w:cs="Times New Roman"/>
              </w:rPr>
            </w:pPr>
            <w:r w:rsidRPr="003511C3">
              <w:rPr>
                <w:rFonts w:ascii="Arial Narrow" w:hAnsi="Arial Narrow" w:cs="Times New Roman"/>
                <w:color w:val="000000"/>
                <w:spacing w:val="30"/>
                <w:shd w:val="solid" w:color="000000" w:fill="000000"/>
                <w:fitText w:val="210" w:id="-1490359288"/>
                <w14:textFill>
                  <w14:solidFill>
                    <w14:srgbClr w14:val="000000">
                      <w14:alpha w14:val="100000"/>
                    </w14:srgbClr>
                  </w14:solidFill>
                </w14:textFill>
              </w:rPr>
              <w:t>||</w:t>
            </w:r>
            <w:r w:rsidRPr="003511C3">
              <w:rPr>
                <w:rFonts w:ascii="Arial Narrow" w:hAnsi="Arial Narrow" w:cs="Times New Roman"/>
                <w:color w:val="000000"/>
                <w:spacing w:val="15"/>
                <w:shd w:val="solid" w:color="000000" w:fill="000000"/>
                <w:fitText w:val="210" w:id="-1490359288"/>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2</w:t>
            </w:r>
          </w:p>
        </w:tc>
        <w:tc>
          <w:tcPr>
            <w:tcW w:w="993" w:type="dxa"/>
            <w:vAlign w:val="center"/>
          </w:tcPr>
          <w:p w14:paraId="34C2B816" w14:textId="11130E7B" w:rsidR="00C2788B" w:rsidRPr="00484EFB" w:rsidRDefault="003511C3" w:rsidP="007438F1">
            <w:pPr>
              <w:pStyle w:val="TableText1"/>
              <w:ind w:left="-101" w:right="-110"/>
              <w:jc w:val="center"/>
              <w:rPr>
                <w:rFonts w:ascii="Arial Narrow" w:hAnsi="Arial Narrow" w:cs="Times New Roman"/>
              </w:rPr>
            </w:pPr>
            <w:r w:rsidRPr="003511C3">
              <w:rPr>
                <w:rFonts w:ascii="Arial Narrow" w:hAnsi="Arial Narrow" w:cs="Times New Roman"/>
                <w:color w:val="000000"/>
                <w:spacing w:val="30"/>
                <w:shd w:val="solid" w:color="000000" w:fill="000000"/>
                <w:fitText w:val="210" w:id="-1490359287"/>
                <w14:textFill>
                  <w14:solidFill>
                    <w14:srgbClr w14:val="000000">
                      <w14:alpha w14:val="100000"/>
                    </w14:srgbClr>
                  </w14:solidFill>
                </w14:textFill>
              </w:rPr>
              <w:t>||</w:t>
            </w:r>
            <w:r w:rsidRPr="003511C3">
              <w:rPr>
                <w:rFonts w:ascii="Arial Narrow" w:hAnsi="Arial Narrow" w:cs="Times New Roman"/>
                <w:color w:val="000000"/>
                <w:spacing w:val="15"/>
                <w:shd w:val="solid" w:color="000000" w:fill="000000"/>
                <w:fitText w:val="210" w:id="-1490359287"/>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2</w:t>
            </w:r>
          </w:p>
        </w:tc>
      </w:tr>
      <w:tr w:rsidR="00C2788B" w:rsidRPr="0039787F" w14:paraId="1CC833A9" w14:textId="77777777" w:rsidTr="007438F1">
        <w:tc>
          <w:tcPr>
            <w:tcW w:w="2547" w:type="dxa"/>
            <w:vAlign w:val="center"/>
          </w:tcPr>
          <w:p w14:paraId="4C3CE64F" w14:textId="67AB722A" w:rsidR="00C2788B" w:rsidRPr="00484EFB" w:rsidRDefault="00C2788B" w:rsidP="002D226B">
            <w:pPr>
              <w:pStyle w:val="TableText1"/>
              <w:keepNext/>
              <w:rPr>
                <w:rFonts w:ascii="Arial Narrow" w:hAnsi="Arial Narrow" w:cs="Times New Roman"/>
              </w:rPr>
            </w:pPr>
            <w:r w:rsidRPr="00484EFB">
              <w:rPr>
                <w:rFonts w:ascii="Arial Narrow" w:hAnsi="Arial Narrow" w:cs="Times New Roman"/>
              </w:rPr>
              <w:t xml:space="preserve">Proposed cost of the </w:t>
            </w:r>
            <w:r w:rsidR="00DB00AA" w:rsidRPr="00484EFB">
              <w:rPr>
                <w:rFonts w:ascii="Arial Narrow" w:hAnsi="Arial Narrow" w:cs="Times New Roman"/>
              </w:rPr>
              <w:t xml:space="preserve">PDS </w:t>
            </w:r>
            <w:r w:rsidRPr="00484EFB">
              <w:rPr>
                <w:rFonts w:ascii="Arial Narrow" w:hAnsi="Arial Narrow" w:cs="Times New Roman"/>
              </w:rPr>
              <w:t>ocular implant</w:t>
            </w:r>
          </w:p>
        </w:tc>
        <w:tc>
          <w:tcPr>
            <w:tcW w:w="1134" w:type="dxa"/>
            <w:vAlign w:val="center"/>
          </w:tcPr>
          <w:p w14:paraId="575C4654" w14:textId="4D174F41" w:rsidR="00C2788B" w:rsidRPr="00484EFB" w:rsidRDefault="00C2788B" w:rsidP="007438F1">
            <w:pPr>
              <w:pStyle w:val="TableText1"/>
              <w:ind w:left="-102" w:right="-101"/>
              <w:jc w:val="center"/>
              <w:rPr>
                <w:rFonts w:ascii="Arial Narrow" w:hAnsi="Arial Narrow" w:cs="Times New Roman"/>
              </w:rPr>
            </w:pPr>
            <w:r w:rsidRPr="00484EFB">
              <w:rPr>
                <w:rFonts w:ascii="Arial Narrow" w:hAnsi="Arial Narrow" w:cs="Times New Roman"/>
              </w:rPr>
              <w:t>$</w:t>
            </w:r>
            <w:r w:rsidR="003511C3" w:rsidRPr="00C61090">
              <w:rPr>
                <w:rFonts w:ascii="Arial Narrow" w:hAnsi="Arial Narrow" w:cs="Times New Roman"/>
                <w:color w:val="000000"/>
                <w:spacing w:val="104"/>
                <w:shd w:val="solid" w:color="000000" w:fill="000000"/>
                <w:fitText w:val="190" w:id="-1490359286"/>
                <w14:textFill>
                  <w14:solidFill>
                    <w14:srgbClr w14:val="000000">
                      <w14:alpha w14:val="100000"/>
                    </w14:srgbClr>
                  </w14:solidFill>
                </w14:textFill>
              </w:rPr>
              <w:t>|</w:t>
            </w:r>
            <w:r w:rsidR="003511C3" w:rsidRPr="00C61090">
              <w:rPr>
                <w:rFonts w:ascii="Arial Narrow" w:hAnsi="Arial Narrow" w:cs="Times New Roman"/>
                <w:color w:val="000000"/>
                <w:spacing w:val="1"/>
                <w:shd w:val="solid" w:color="000000" w:fill="000000"/>
                <w:fitText w:val="190" w:id="-1490359286"/>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3</w:t>
            </w:r>
          </w:p>
        </w:tc>
        <w:tc>
          <w:tcPr>
            <w:tcW w:w="1134" w:type="dxa"/>
            <w:vAlign w:val="center"/>
          </w:tcPr>
          <w:p w14:paraId="0A02F85C" w14:textId="315736C4" w:rsidR="00C2788B" w:rsidRPr="00484EFB" w:rsidRDefault="00C2788B" w:rsidP="007438F1">
            <w:pPr>
              <w:pStyle w:val="TableText1"/>
              <w:ind w:left="-108" w:right="-110"/>
              <w:jc w:val="center"/>
              <w:rPr>
                <w:rFonts w:ascii="Arial Narrow" w:hAnsi="Arial Narrow" w:cs="Times New Roman"/>
              </w:rPr>
            </w:pPr>
            <w:r w:rsidRPr="00484EFB">
              <w:rPr>
                <w:rFonts w:ascii="Arial Narrow" w:hAnsi="Arial Narrow" w:cs="Times New Roman"/>
              </w:rPr>
              <w:t>$</w:t>
            </w:r>
            <w:r w:rsidR="003511C3" w:rsidRPr="00C61090">
              <w:rPr>
                <w:rFonts w:ascii="Arial Narrow" w:hAnsi="Arial Narrow" w:cs="Times New Roman"/>
                <w:color w:val="000000"/>
                <w:spacing w:val="104"/>
                <w:shd w:val="solid" w:color="000000" w:fill="000000"/>
                <w:fitText w:val="190" w:id="-1490359040"/>
                <w14:textFill>
                  <w14:solidFill>
                    <w14:srgbClr w14:val="000000">
                      <w14:alpha w14:val="100000"/>
                    </w14:srgbClr>
                  </w14:solidFill>
                </w14:textFill>
              </w:rPr>
              <w:t>|</w:t>
            </w:r>
            <w:r w:rsidR="003511C3" w:rsidRPr="00C61090">
              <w:rPr>
                <w:rFonts w:ascii="Arial Narrow" w:hAnsi="Arial Narrow" w:cs="Times New Roman"/>
                <w:color w:val="000000"/>
                <w:spacing w:val="1"/>
                <w:shd w:val="solid" w:color="000000" w:fill="000000"/>
                <w:fitText w:val="190" w:id="-1490359040"/>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3</w:t>
            </w:r>
          </w:p>
        </w:tc>
        <w:tc>
          <w:tcPr>
            <w:tcW w:w="1134" w:type="dxa"/>
            <w:vAlign w:val="center"/>
          </w:tcPr>
          <w:p w14:paraId="2EFE8DDB" w14:textId="742E9494" w:rsidR="00C2788B" w:rsidRPr="00484EFB" w:rsidRDefault="00C2788B" w:rsidP="007438F1">
            <w:pPr>
              <w:pStyle w:val="TableText1"/>
              <w:ind w:left="-114" w:right="-104"/>
              <w:jc w:val="center"/>
              <w:rPr>
                <w:rFonts w:ascii="Arial Narrow" w:hAnsi="Arial Narrow" w:cs="Times New Roman"/>
              </w:rPr>
            </w:pPr>
            <w:r w:rsidRPr="00484EFB">
              <w:rPr>
                <w:rFonts w:ascii="Arial Narrow" w:hAnsi="Arial Narrow" w:cs="Times New Roman"/>
              </w:rPr>
              <w:t>$</w:t>
            </w:r>
            <w:r w:rsidR="003511C3" w:rsidRPr="00C61090">
              <w:rPr>
                <w:rFonts w:ascii="Arial Narrow" w:hAnsi="Arial Narrow" w:cs="Times New Roman"/>
                <w:color w:val="000000"/>
                <w:spacing w:val="104"/>
                <w:shd w:val="solid" w:color="000000" w:fill="000000"/>
                <w:fitText w:val="190" w:id="-1490359039"/>
                <w14:textFill>
                  <w14:solidFill>
                    <w14:srgbClr w14:val="000000">
                      <w14:alpha w14:val="100000"/>
                    </w14:srgbClr>
                  </w14:solidFill>
                </w14:textFill>
              </w:rPr>
              <w:t>|</w:t>
            </w:r>
            <w:r w:rsidR="003511C3" w:rsidRPr="00C61090">
              <w:rPr>
                <w:rFonts w:ascii="Arial Narrow" w:hAnsi="Arial Narrow" w:cs="Times New Roman"/>
                <w:color w:val="000000"/>
                <w:spacing w:val="1"/>
                <w:shd w:val="solid" w:color="000000" w:fill="000000"/>
                <w:fitText w:val="190" w:id="-1490359039"/>
                <w14:textFill>
                  <w14:solidFill>
                    <w14:srgbClr w14:val="000000">
                      <w14:alpha w14:val="100000"/>
                    </w14:srgbClr>
                  </w14:solidFill>
                </w14:textFill>
              </w:rPr>
              <w:t>|</w:t>
            </w:r>
            <w:r w:rsidR="00D2634E" w:rsidRPr="00484EFB">
              <w:rPr>
                <w:rFonts w:ascii="Arial Narrow" w:hAnsi="Arial Narrow" w:cs="Times New Roman"/>
              </w:rPr>
              <w:t xml:space="preserve"> </w:t>
            </w:r>
            <w:r w:rsidR="00D2634E" w:rsidRPr="00484EFB">
              <w:rPr>
                <w:rFonts w:ascii="Arial Narrow" w:hAnsi="Arial Narrow" w:cs="Times New Roman"/>
                <w:vertAlign w:val="superscript"/>
              </w:rPr>
              <w:t>3</w:t>
            </w:r>
          </w:p>
        </w:tc>
        <w:tc>
          <w:tcPr>
            <w:tcW w:w="992" w:type="dxa"/>
            <w:vAlign w:val="center"/>
          </w:tcPr>
          <w:p w14:paraId="7694D961" w14:textId="1F04A30D" w:rsidR="00C2788B" w:rsidRPr="00484EFB" w:rsidRDefault="00C2788B" w:rsidP="007438F1">
            <w:pPr>
              <w:pStyle w:val="TableText1"/>
              <w:ind w:left="-105" w:right="-106"/>
              <w:jc w:val="center"/>
              <w:rPr>
                <w:rFonts w:ascii="Arial Narrow" w:hAnsi="Arial Narrow" w:cs="Times New Roman"/>
              </w:rPr>
            </w:pPr>
            <w:r w:rsidRPr="00484EFB">
              <w:rPr>
                <w:rFonts w:ascii="Arial Narrow" w:hAnsi="Arial Narrow" w:cs="Times New Roman"/>
              </w:rPr>
              <w:t>$</w:t>
            </w:r>
            <w:r w:rsidR="003511C3" w:rsidRPr="003511C3">
              <w:rPr>
                <w:rFonts w:ascii="Arial Narrow" w:hAnsi="Arial Narrow" w:cs="Times New Roman"/>
                <w:color w:val="000000"/>
                <w:spacing w:val="165"/>
                <w:shd w:val="solid" w:color="000000" w:fill="000000"/>
                <w:fitText w:val="260" w:id="-1490359038"/>
                <w14:textFill>
                  <w14:solidFill>
                    <w14:srgbClr w14:val="000000">
                      <w14:alpha w14:val="100000"/>
                    </w14:srgbClr>
                  </w14:solidFill>
                </w14:textFill>
              </w:rPr>
              <w:t>|</w:t>
            </w:r>
            <w:r w:rsidR="003511C3" w:rsidRPr="003511C3">
              <w:rPr>
                <w:rFonts w:ascii="Arial Narrow" w:hAnsi="Arial Narrow" w:cs="Times New Roman"/>
                <w:color w:val="000000"/>
                <w:shd w:val="solid" w:color="000000" w:fill="000000"/>
                <w:fitText w:val="260" w:id="-1490359038"/>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992" w:type="dxa"/>
            <w:vAlign w:val="center"/>
          </w:tcPr>
          <w:p w14:paraId="476461BD" w14:textId="20B338D5" w:rsidR="00C2788B" w:rsidRPr="00484EFB" w:rsidRDefault="00C2788B" w:rsidP="007438F1">
            <w:pPr>
              <w:pStyle w:val="TableText1"/>
              <w:ind w:left="-103" w:right="-108"/>
              <w:jc w:val="center"/>
              <w:rPr>
                <w:rFonts w:ascii="Arial Narrow" w:hAnsi="Arial Narrow" w:cs="Times New Roman"/>
              </w:rPr>
            </w:pPr>
            <w:r w:rsidRPr="00484EFB">
              <w:rPr>
                <w:rFonts w:ascii="Arial Narrow" w:hAnsi="Arial Narrow" w:cs="Times New Roman"/>
              </w:rPr>
              <w:t>$</w:t>
            </w:r>
            <w:r w:rsidR="003511C3" w:rsidRPr="003511C3">
              <w:rPr>
                <w:rFonts w:ascii="Arial Narrow" w:hAnsi="Arial Narrow" w:cs="Times New Roman"/>
                <w:color w:val="000000"/>
                <w:spacing w:val="165"/>
                <w:shd w:val="solid" w:color="000000" w:fill="000000"/>
                <w:fitText w:val="260" w:id="-1490359037"/>
                <w14:textFill>
                  <w14:solidFill>
                    <w14:srgbClr w14:val="000000">
                      <w14:alpha w14:val="100000"/>
                    </w14:srgbClr>
                  </w14:solidFill>
                </w14:textFill>
              </w:rPr>
              <w:t>|</w:t>
            </w:r>
            <w:r w:rsidR="003511C3" w:rsidRPr="003511C3">
              <w:rPr>
                <w:rFonts w:ascii="Arial Narrow" w:hAnsi="Arial Narrow" w:cs="Times New Roman"/>
                <w:color w:val="000000"/>
                <w:shd w:val="solid" w:color="000000" w:fill="000000"/>
                <w:fitText w:val="260" w:id="-1490359037"/>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993" w:type="dxa"/>
            <w:vAlign w:val="center"/>
          </w:tcPr>
          <w:p w14:paraId="7106611B" w14:textId="74963F29" w:rsidR="00C2788B" w:rsidRPr="00484EFB" w:rsidRDefault="00C2788B" w:rsidP="007438F1">
            <w:pPr>
              <w:pStyle w:val="TableText1"/>
              <w:ind w:left="-101" w:right="-110"/>
              <w:jc w:val="center"/>
              <w:rPr>
                <w:rFonts w:ascii="Arial Narrow" w:hAnsi="Arial Narrow" w:cs="Times New Roman"/>
              </w:rPr>
            </w:pPr>
            <w:r w:rsidRPr="00484EFB">
              <w:rPr>
                <w:rFonts w:ascii="Arial Narrow" w:hAnsi="Arial Narrow" w:cs="Times New Roman"/>
              </w:rPr>
              <w:t>$</w:t>
            </w:r>
            <w:r w:rsidR="003511C3" w:rsidRPr="003511C3">
              <w:rPr>
                <w:rFonts w:ascii="Arial Narrow" w:hAnsi="Arial Narrow" w:cs="Times New Roman"/>
                <w:color w:val="000000"/>
                <w:spacing w:val="154"/>
                <w:shd w:val="solid" w:color="000000" w:fill="000000"/>
                <w:fitText w:val="240" w:id="-1490359036"/>
                <w14:textFill>
                  <w14:solidFill>
                    <w14:srgbClr w14:val="000000">
                      <w14:alpha w14:val="100000"/>
                    </w14:srgbClr>
                  </w14:solidFill>
                </w14:textFill>
              </w:rPr>
              <w:t>|</w:t>
            </w:r>
            <w:r w:rsidR="003511C3" w:rsidRPr="003511C3">
              <w:rPr>
                <w:rFonts w:ascii="Arial Narrow" w:hAnsi="Arial Narrow" w:cs="Times New Roman"/>
                <w:color w:val="000000"/>
                <w:spacing w:val="1"/>
                <w:shd w:val="solid" w:color="000000" w:fill="000000"/>
                <w:fitText w:val="240" w:id="-1490359036"/>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r>
      <w:tr w:rsidR="00C2788B" w:rsidRPr="0039787F" w14:paraId="3B5F7C85" w14:textId="77777777" w:rsidTr="007438F1">
        <w:tc>
          <w:tcPr>
            <w:tcW w:w="2547" w:type="dxa"/>
            <w:vAlign w:val="center"/>
          </w:tcPr>
          <w:p w14:paraId="47728EC5" w14:textId="4C1C1AE9" w:rsidR="00C2788B" w:rsidRPr="00484EFB" w:rsidRDefault="00C2788B" w:rsidP="002D226B">
            <w:pPr>
              <w:pStyle w:val="TableText1"/>
              <w:keepNext/>
              <w:rPr>
                <w:rFonts w:ascii="Arial Narrow" w:hAnsi="Arial Narrow" w:cs="Times New Roman"/>
                <w:b/>
              </w:rPr>
            </w:pPr>
            <w:r w:rsidRPr="00484EFB">
              <w:rPr>
                <w:rFonts w:ascii="Arial Narrow" w:hAnsi="Arial Narrow" w:cs="Times New Roman"/>
                <w:b/>
              </w:rPr>
              <w:t>Total cost for listing on the Prostheses List</w:t>
            </w:r>
          </w:p>
        </w:tc>
        <w:tc>
          <w:tcPr>
            <w:tcW w:w="1134" w:type="dxa"/>
            <w:vAlign w:val="center"/>
          </w:tcPr>
          <w:p w14:paraId="10DBF423" w14:textId="3F52B98A" w:rsidR="00C2788B" w:rsidRPr="00484EFB" w:rsidRDefault="00C2788B" w:rsidP="007438F1">
            <w:pPr>
              <w:pStyle w:val="TableText1"/>
              <w:ind w:left="-102" w:right="-101"/>
              <w:jc w:val="center"/>
              <w:rPr>
                <w:rFonts w:ascii="Arial Narrow" w:hAnsi="Arial Narrow" w:cs="Times New Roman"/>
                <w:b/>
              </w:rPr>
            </w:pPr>
            <w:r w:rsidRPr="00484EFB">
              <w:rPr>
                <w:rFonts w:ascii="Arial Narrow" w:hAnsi="Arial Narrow" w:cs="Times New Roman"/>
                <w:b/>
              </w:rPr>
              <w:t>$</w:t>
            </w:r>
            <w:r w:rsidR="003511C3" w:rsidRPr="003511C3">
              <w:rPr>
                <w:rFonts w:ascii="Arial Narrow" w:hAnsi="Arial Narrow" w:cs="Times New Roman"/>
                <w:b/>
                <w:color w:val="000000"/>
                <w:spacing w:val="148"/>
                <w:shd w:val="solid" w:color="000000" w:fill="000000"/>
                <w:fitText w:val="240" w:id="-1490359035"/>
                <w14:textFill>
                  <w14:solidFill>
                    <w14:srgbClr w14:val="000000">
                      <w14:alpha w14:val="100000"/>
                    </w14:srgbClr>
                  </w14:solidFill>
                </w14:textFill>
              </w:rPr>
              <w:t>|</w:t>
            </w:r>
            <w:r w:rsidR="003511C3" w:rsidRPr="003511C3">
              <w:rPr>
                <w:rFonts w:ascii="Arial Narrow" w:hAnsi="Arial Narrow" w:cs="Times New Roman"/>
                <w:b/>
                <w:color w:val="000000"/>
                <w:spacing w:val="1"/>
                <w:shd w:val="solid" w:color="000000" w:fill="000000"/>
                <w:fitText w:val="240" w:id="-1490359035"/>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1134" w:type="dxa"/>
            <w:vAlign w:val="center"/>
          </w:tcPr>
          <w:p w14:paraId="61318AA6" w14:textId="523C2913" w:rsidR="00C2788B" w:rsidRPr="00484EFB" w:rsidRDefault="00C2788B" w:rsidP="007438F1">
            <w:pPr>
              <w:pStyle w:val="TableText1"/>
              <w:ind w:left="-108" w:right="-110"/>
              <w:jc w:val="center"/>
              <w:rPr>
                <w:rFonts w:ascii="Arial Narrow" w:hAnsi="Arial Narrow" w:cs="Times New Roman"/>
                <w:b/>
              </w:rPr>
            </w:pPr>
            <w:r w:rsidRPr="00484EFB">
              <w:rPr>
                <w:rFonts w:ascii="Arial Narrow" w:hAnsi="Arial Narrow" w:cs="Times New Roman"/>
                <w:b/>
              </w:rPr>
              <w:t>$</w:t>
            </w:r>
            <w:r w:rsidR="003511C3" w:rsidRPr="00C61090">
              <w:rPr>
                <w:rFonts w:ascii="Arial Narrow" w:hAnsi="Arial Narrow" w:cs="Times New Roman"/>
                <w:b/>
                <w:color w:val="000000"/>
                <w:spacing w:val="46"/>
                <w:shd w:val="solid" w:color="000000" w:fill="000000"/>
                <w:fitText w:val="230" w:id="-1490359034"/>
                <w14:textFill>
                  <w14:solidFill>
                    <w14:srgbClr w14:val="000000">
                      <w14:alpha w14:val="100000"/>
                    </w14:srgbClr>
                  </w14:solidFill>
                </w14:textFill>
              </w:rPr>
              <w:t>||</w:t>
            </w:r>
            <w:r w:rsidR="003511C3" w:rsidRPr="00C61090">
              <w:rPr>
                <w:rFonts w:ascii="Arial Narrow" w:hAnsi="Arial Narrow" w:cs="Times New Roman"/>
                <w:b/>
                <w:color w:val="000000"/>
                <w:spacing w:val="1"/>
                <w:shd w:val="solid" w:color="000000" w:fill="000000"/>
                <w:fitText w:val="230" w:id="-1490359034"/>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1134" w:type="dxa"/>
            <w:vAlign w:val="center"/>
          </w:tcPr>
          <w:p w14:paraId="44A0FB64" w14:textId="130D6363" w:rsidR="00C2788B" w:rsidRPr="00484EFB" w:rsidRDefault="00C2788B" w:rsidP="007438F1">
            <w:pPr>
              <w:pStyle w:val="TableText1"/>
              <w:ind w:left="-114" w:right="-104"/>
              <w:jc w:val="center"/>
              <w:rPr>
                <w:rFonts w:ascii="Arial Narrow" w:hAnsi="Arial Narrow" w:cs="Times New Roman"/>
                <w:b/>
              </w:rPr>
            </w:pPr>
            <w:r w:rsidRPr="00484EFB">
              <w:rPr>
                <w:rFonts w:ascii="Arial Narrow" w:hAnsi="Arial Narrow" w:cs="Times New Roman"/>
                <w:b/>
              </w:rPr>
              <w:t>$</w:t>
            </w:r>
            <w:r w:rsidR="003511C3" w:rsidRPr="00C61090">
              <w:rPr>
                <w:rFonts w:ascii="Arial Narrow" w:hAnsi="Arial Narrow" w:cs="Times New Roman"/>
                <w:b/>
                <w:color w:val="000000"/>
                <w:spacing w:val="46"/>
                <w:shd w:val="solid" w:color="000000" w:fill="000000"/>
                <w:fitText w:val="230" w:id="-1490359033"/>
                <w14:textFill>
                  <w14:solidFill>
                    <w14:srgbClr w14:val="000000">
                      <w14:alpha w14:val="100000"/>
                    </w14:srgbClr>
                  </w14:solidFill>
                </w14:textFill>
              </w:rPr>
              <w:t>||</w:t>
            </w:r>
            <w:r w:rsidR="003511C3" w:rsidRPr="00C61090">
              <w:rPr>
                <w:rFonts w:ascii="Arial Narrow" w:hAnsi="Arial Narrow" w:cs="Times New Roman"/>
                <w:b/>
                <w:color w:val="000000"/>
                <w:spacing w:val="1"/>
                <w:shd w:val="solid" w:color="000000" w:fill="000000"/>
                <w:fitText w:val="230" w:id="-1490359033"/>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992" w:type="dxa"/>
            <w:vAlign w:val="center"/>
          </w:tcPr>
          <w:p w14:paraId="6ED8F32F" w14:textId="4B847988" w:rsidR="00C2788B" w:rsidRPr="00484EFB" w:rsidRDefault="00C2788B" w:rsidP="007438F1">
            <w:pPr>
              <w:pStyle w:val="TableText1"/>
              <w:ind w:left="-105" w:right="-106"/>
              <w:jc w:val="center"/>
              <w:rPr>
                <w:rFonts w:ascii="Arial Narrow" w:hAnsi="Arial Narrow" w:cs="Times New Roman"/>
                <w:b/>
              </w:rPr>
            </w:pPr>
            <w:r w:rsidRPr="00484EFB">
              <w:rPr>
                <w:rFonts w:ascii="Arial Narrow" w:hAnsi="Arial Narrow" w:cs="Times New Roman"/>
                <w:b/>
              </w:rPr>
              <w:t>$</w:t>
            </w:r>
            <w:r w:rsidR="003511C3" w:rsidRPr="003511C3">
              <w:rPr>
                <w:rFonts w:ascii="Arial Narrow" w:hAnsi="Arial Narrow" w:cs="Times New Roman"/>
                <w:b/>
                <w:color w:val="000000"/>
                <w:spacing w:val="30"/>
                <w:shd w:val="solid" w:color="000000" w:fill="000000"/>
                <w:fitText w:val="310" w:id="-1490359032"/>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992" w:type="dxa"/>
            <w:vAlign w:val="center"/>
          </w:tcPr>
          <w:p w14:paraId="13F63356" w14:textId="1C28C087" w:rsidR="00C2788B" w:rsidRPr="00484EFB" w:rsidRDefault="00C2788B" w:rsidP="007438F1">
            <w:pPr>
              <w:pStyle w:val="TableText1"/>
              <w:ind w:left="-103" w:right="-108"/>
              <w:jc w:val="center"/>
              <w:rPr>
                <w:rFonts w:ascii="Arial Narrow" w:hAnsi="Arial Narrow" w:cs="Times New Roman"/>
                <w:b/>
              </w:rPr>
            </w:pPr>
            <w:r w:rsidRPr="00484EFB">
              <w:rPr>
                <w:rFonts w:ascii="Arial Narrow" w:hAnsi="Arial Narrow" w:cs="Times New Roman"/>
                <w:b/>
              </w:rPr>
              <w:t>$</w:t>
            </w:r>
            <w:r w:rsidR="003511C3" w:rsidRPr="003511C3">
              <w:rPr>
                <w:rFonts w:ascii="Arial Narrow" w:hAnsi="Arial Narrow" w:cs="Times New Roman"/>
                <w:b/>
                <w:color w:val="000000"/>
                <w:spacing w:val="198"/>
                <w:shd w:val="solid" w:color="000000" w:fill="000000"/>
                <w:fitText w:val="290" w:id="-1490359031"/>
                <w14:textFill>
                  <w14:solidFill>
                    <w14:srgbClr w14:val="000000">
                      <w14:alpha w14:val="100000"/>
                    </w14:srgbClr>
                  </w14:solidFill>
                </w14:textFill>
              </w:rPr>
              <w:t>|</w:t>
            </w:r>
            <w:r w:rsidR="003511C3" w:rsidRPr="003511C3">
              <w:rPr>
                <w:rFonts w:ascii="Arial Narrow" w:hAnsi="Arial Narrow" w:cs="Times New Roman"/>
                <w:b/>
                <w:color w:val="000000"/>
                <w:spacing w:val="1"/>
                <w:shd w:val="solid" w:color="000000" w:fill="000000"/>
                <w:fitText w:val="290" w:id="-1490359031"/>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c>
          <w:tcPr>
            <w:tcW w:w="993" w:type="dxa"/>
            <w:vAlign w:val="center"/>
          </w:tcPr>
          <w:p w14:paraId="671C1506" w14:textId="2C375818" w:rsidR="00C2788B" w:rsidRPr="00484EFB" w:rsidRDefault="00C2788B" w:rsidP="007438F1">
            <w:pPr>
              <w:pStyle w:val="TableText1"/>
              <w:ind w:left="-101" w:right="-110"/>
              <w:jc w:val="center"/>
              <w:rPr>
                <w:rFonts w:ascii="Arial Narrow" w:hAnsi="Arial Narrow" w:cs="Times New Roman"/>
                <w:b/>
              </w:rPr>
            </w:pPr>
            <w:r w:rsidRPr="00484EFB">
              <w:rPr>
                <w:rFonts w:ascii="Arial Narrow" w:hAnsi="Arial Narrow" w:cs="Times New Roman"/>
                <w:b/>
              </w:rPr>
              <w:t>$</w:t>
            </w:r>
            <w:r w:rsidR="003511C3" w:rsidRPr="003511C3">
              <w:rPr>
                <w:rFonts w:ascii="Arial Narrow" w:hAnsi="Arial Narrow" w:cs="Times New Roman"/>
                <w:b/>
                <w:color w:val="000000"/>
                <w:spacing w:val="198"/>
                <w:shd w:val="solid" w:color="000000" w:fill="000000"/>
                <w:fitText w:val="290" w:id="-1490359030"/>
                <w14:textFill>
                  <w14:solidFill>
                    <w14:srgbClr w14:val="000000">
                      <w14:alpha w14:val="100000"/>
                    </w14:srgbClr>
                  </w14:solidFill>
                </w14:textFill>
              </w:rPr>
              <w:t>|</w:t>
            </w:r>
            <w:r w:rsidR="003511C3" w:rsidRPr="003511C3">
              <w:rPr>
                <w:rFonts w:ascii="Arial Narrow" w:hAnsi="Arial Narrow" w:cs="Times New Roman"/>
                <w:b/>
                <w:color w:val="000000"/>
                <w:spacing w:val="1"/>
                <w:shd w:val="solid" w:color="000000" w:fill="000000"/>
                <w:fitText w:val="290" w:id="-1490359030"/>
                <w14:textFill>
                  <w14:solidFill>
                    <w14:srgbClr w14:val="000000">
                      <w14:alpha w14:val="100000"/>
                    </w14:srgbClr>
                  </w14:solidFill>
                </w14:textFill>
              </w:rPr>
              <w:t>|</w:t>
            </w:r>
            <w:r w:rsidR="00D2634E" w:rsidRPr="00484EFB">
              <w:rPr>
                <w:rFonts w:ascii="Arial Narrow" w:hAnsi="Arial Narrow" w:cs="Times New Roman"/>
              </w:rPr>
              <w:t> </w:t>
            </w:r>
            <w:r w:rsidR="00D2634E" w:rsidRPr="00484EFB">
              <w:rPr>
                <w:rFonts w:ascii="Arial Narrow" w:hAnsi="Arial Narrow" w:cs="Times New Roman"/>
                <w:vertAlign w:val="superscript"/>
              </w:rPr>
              <w:t>3</w:t>
            </w:r>
          </w:p>
        </w:tc>
      </w:tr>
    </w:tbl>
    <w:p w14:paraId="5938BF06" w14:textId="5777486D" w:rsidR="00C2788B" w:rsidRDefault="00C2788B" w:rsidP="007438F1">
      <w:pPr>
        <w:pStyle w:val="SourceNotes"/>
        <w:keepNext/>
        <w:rPr>
          <w:rFonts w:ascii="Arial Narrow" w:hAnsi="Arial Narrow" w:cs="Times New Roman"/>
        </w:rPr>
      </w:pPr>
      <w:r w:rsidRPr="0039787F">
        <w:rPr>
          <w:rFonts w:ascii="Arial Narrow" w:hAnsi="Arial Narrow" w:cs="Times New Roman"/>
        </w:rPr>
        <w:t>Source:</w:t>
      </w:r>
      <w:r w:rsidRPr="0039787F">
        <w:rPr>
          <w:rFonts w:ascii="Arial Narrow" w:hAnsi="Arial Narrow" w:cs="Times New Roman"/>
        </w:rPr>
        <w:tab/>
        <w:t xml:space="preserve">MBS+PHI budget impact.xlsx, spreadsheet ‘MBS+PL </w:t>
      </w:r>
      <w:proofErr w:type="spellStart"/>
      <w:r w:rsidRPr="0039787F">
        <w:rPr>
          <w:rFonts w:ascii="Arial Narrow" w:hAnsi="Arial Narrow" w:cs="Times New Roman"/>
        </w:rPr>
        <w:t>Utilisation+Cost</w:t>
      </w:r>
      <w:proofErr w:type="spellEnd"/>
      <w:r w:rsidRPr="0039787F">
        <w:rPr>
          <w:rFonts w:ascii="Arial Narrow" w:hAnsi="Arial Narrow" w:cs="Times New Roman"/>
        </w:rPr>
        <w:t>’.</w:t>
      </w:r>
    </w:p>
    <w:p w14:paraId="41C98496" w14:textId="77777777" w:rsidR="00D2634E" w:rsidRDefault="00D2634E" w:rsidP="007438F1">
      <w:pPr>
        <w:pStyle w:val="Tablenotes1"/>
        <w:keepNext/>
      </w:pPr>
      <w:r w:rsidRPr="001779F5">
        <w:t>The redacted values correspond to the following ranges:</w:t>
      </w:r>
    </w:p>
    <w:p w14:paraId="6AF05405" w14:textId="69FE03E0" w:rsidR="00D2634E" w:rsidRDefault="00D2634E" w:rsidP="007438F1">
      <w:pPr>
        <w:pStyle w:val="Tablenotes1"/>
        <w:keepNext/>
      </w:pPr>
      <w:r>
        <w:rPr>
          <w:vertAlign w:val="superscript"/>
        </w:rPr>
        <w:t xml:space="preserve">1 </w:t>
      </w:r>
      <w:r w:rsidRPr="004E77BA">
        <w:t>5,000 to &lt; 10,000</w:t>
      </w:r>
    </w:p>
    <w:p w14:paraId="20D42261" w14:textId="4BA09196" w:rsidR="00D2634E" w:rsidRDefault="00D2634E" w:rsidP="007438F1">
      <w:pPr>
        <w:pStyle w:val="Tablenotes1"/>
        <w:keepNext/>
      </w:pPr>
      <w:r>
        <w:rPr>
          <w:vertAlign w:val="superscript"/>
        </w:rPr>
        <w:t xml:space="preserve">2 </w:t>
      </w:r>
      <w:r w:rsidRPr="004E77BA">
        <w:t>500 to &lt; 5,000</w:t>
      </w:r>
    </w:p>
    <w:p w14:paraId="162251D2" w14:textId="3EAE646E" w:rsidR="00D2634E" w:rsidRPr="00D2634E" w:rsidRDefault="00D2634E" w:rsidP="007438F1">
      <w:pPr>
        <w:pStyle w:val="Tablenotes1"/>
      </w:pPr>
      <w:r>
        <w:rPr>
          <w:vertAlign w:val="superscript"/>
        </w:rPr>
        <w:t>3</w:t>
      </w:r>
      <w:r>
        <w:t xml:space="preserve"> </w:t>
      </w:r>
      <w:r w:rsidRPr="00D2634E">
        <w:t>$0 to &lt; $10 million</w:t>
      </w:r>
    </w:p>
    <w:p w14:paraId="53182A9A" w14:textId="77777777" w:rsidR="00EC3E2F" w:rsidRPr="00EC3E2F" w:rsidRDefault="00EC3E2F" w:rsidP="006E2D29">
      <w:pPr>
        <w:spacing w:before="240"/>
      </w:pPr>
      <w:r w:rsidRPr="00EC3E2F">
        <w:t>These costs to private health insurers were understated as they only included the cost of the PDS ocular implant. There would be other payments made by insurers for the in-hospital services including the contracted payment for the admission and the gap payment to the surgeon.</w:t>
      </w:r>
    </w:p>
    <w:p w14:paraId="7556A353" w14:textId="396782F8" w:rsidR="006E2D29" w:rsidRPr="00EC3E2F" w:rsidRDefault="006E2D29" w:rsidP="006E2D29">
      <w:pPr>
        <w:spacing w:before="240"/>
      </w:pPr>
      <w:r w:rsidRPr="00EC3E2F">
        <w:t>The overall impact on health care expenditure of a patient switching to the proposed ranibizumab delivery system w</w:t>
      </w:r>
      <w:r w:rsidR="005B0C22" w:rsidRPr="00EC3E2F">
        <w:t>ould</w:t>
      </w:r>
      <w:r w:rsidRPr="00EC3E2F">
        <w:t xml:space="preserve"> affect the MBS, the PBS, private health insurance and patient out-of-pocket payments. It would reduce the frequency of procedures by ophthalmologists and retinal specialists</w:t>
      </w:r>
      <w:r w:rsidR="005B0C22" w:rsidRPr="00EC3E2F">
        <w:t>,</w:t>
      </w:r>
      <w:r w:rsidRPr="00EC3E2F">
        <w:t xml:space="preserve"> which is a</w:t>
      </w:r>
      <w:r w:rsidR="005B0C22" w:rsidRPr="00EC3E2F">
        <w:t xml:space="preserve"> significant</w:t>
      </w:r>
      <w:r w:rsidRPr="00EC3E2F">
        <w:t xml:space="preserve"> </w:t>
      </w:r>
      <w:r w:rsidR="005B0C22" w:rsidRPr="00EC3E2F">
        <w:t xml:space="preserve">MBS </w:t>
      </w:r>
      <w:r w:rsidRPr="00EC3E2F">
        <w:t>contribution to the costs of patient management. However, it would also represent a cost shift from the MBS to private health insurance which has been underestimated.</w:t>
      </w:r>
    </w:p>
    <w:p w14:paraId="742AD19D" w14:textId="70398CEF" w:rsidR="009952BA" w:rsidRDefault="009952BA" w:rsidP="00386C21">
      <w:pPr>
        <w:pStyle w:val="Heading1"/>
        <w:ind w:left="709" w:hanging="709"/>
      </w:pPr>
      <w:r>
        <w:t xml:space="preserve">Summary of </w:t>
      </w:r>
      <w:r w:rsidR="005B1703">
        <w:t>a</w:t>
      </w:r>
      <w:r>
        <w:t xml:space="preserve">pplication – </w:t>
      </w:r>
      <w:r w:rsidR="005B1703">
        <w:t>k</w:t>
      </w:r>
      <w:r>
        <w:t>ey issues for MSAC</w:t>
      </w:r>
      <w:r w:rsidR="00CB4234">
        <w:t xml:space="preserve"> consideration</w:t>
      </w:r>
    </w:p>
    <w:p w14:paraId="1FEC2C67" w14:textId="4969E183" w:rsidR="009952BA" w:rsidRDefault="009952BA" w:rsidP="005B0C22">
      <w:pPr>
        <w:keepNext/>
        <w:rPr>
          <w:b/>
          <w:bCs/>
        </w:rPr>
      </w:pPr>
      <w:r w:rsidRPr="009952BA">
        <w:rPr>
          <w:b/>
          <w:bCs/>
        </w:rPr>
        <w:t xml:space="preserve">MBS </w:t>
      </w:r>
      <w:r w:rsidR="005B1703">
        <w:rPr>
          <w:b/>
          <w:bCs/>
        </w:rPr>
        <w:t>item d</w:t>
      </w:r>
      <w:r w:rsidRPr="009952BA">
        <w:rPr>
          <w:b/>
          <w:bCs/>
        </w:rPr>
        <w:t>escriptors</w:t>
      </w:r>
    </w:p>
    <w:p w14:paraId="38876F40" w14:textId="54525A1C" w:rsidR="005D165F" w:rsidRDefault="005D165F" w:rsidP="009952BA">
      <w:r>
        <w:t xml:space="preserve">The Department noted that the MBS </w:t>
      </w:r>
      <w:r w:rsidR="005F699E">
        <w:t xml:space="preserve">item </w:t>
      </w:r>
      <w:r>
        <w:t xml:space="preserve">descriptors </w:t>
      </w:r>
      <w:r w:rsidR="002A5B9C">
        <w:t xml:space="preserve">initially </w:t>
      </w:r>
      <w:r>
        <w:t xml:space="preserve">proposed by the applicant </w:t>
      </w:r>
      <w:r w:rsidR="007C3F13">
        <w:t>contain</w:t>
      </w:r>
      <w:r w:rsidR="008C0B8A">
        <w:t>ed</w:t>
      </w:r>
      <w:r w:rsidR="007C3F13">
        <w:t xml:space="preserve"> specification of registered trademark components. </w:t>
      </w:r>
      <w:r w:rsidR="002A5B9C">
        <w:t>However</w:t>
      </w:r>
      <w:r w:rsidR="0000630E">
        <w:t>, t</w:t>
      </w:r>
      <w:r w:rsidR="007C3F13">
        <w:t xml:space="preserve">he applicant </w:t>
      </w:r>
      <w:r w:rsidR="0000630E">
        <w:t xml:space="preserve">indicated that </w:t>
      </w:r>
      <w:r w:rsidR="00744ECA">
        <w:t xml:space="preserve">it </w:t>
      </w:r>
      <w:r w:rsidR="00B57052">
        <w:t xml:space="preserve">is </w:t>
      </w:r>
      <w:r w:rsidR="007C3F13">
        <w:t xml:space="preserve">open to amendments to the MBS </w:t>
      </w:r>
      <w:r w:rsidR="00B57052">
        <w:t xml:space="preserve">item </w:t>
      </w:r>
      <w:r w:rsidR="007C3F13">
        <w:t>descriptors without specification of registered trademark components.</w:t>
      </w:r>
      <w:r w:rsidR="007E0356">
        <w:t xml:space="preserve"> The Department also noted that the wording of the proposed MBS descriptors </w:t>
      </w:r>
      <w:r w:rsidR="005F699E">
        <w:t>should</w:t>
      </w:r>
      <w:r w:rsidR="007E0356">
        <w:t xml:space="preserve"> restrict access to PBS eligible patients</w:t>
      </w:r>
      <w:r w:rsidR="005F699E">
        <w:t>,</w:t>
      </w:r>
      <w:r w:rsidR="005F699E" w:rsidRPr="005F699E">
        <w:t xml:space="preserve"> </w:t>
      </w:r>
      <w:r w:rsidR="005F699E">
        <w:t>including any continuation criteria,</w:t>
      </w:r>
      <w:r w:rsidR="007E0356">
        <w:t xml:space="preserve"> and </w:t>
      </w:r>
      <w:r w:rsidR="005F699E">
        <w:t>thus</w:t>
      </w:r>
      <w:r w:rsidR="007E0356">
        <w:t xml:space="preserve"> not allow broader access than the population proposed for the corresponding PBS listing. </w:t>
      </w:r>
      <w:r w:rsidR="00EB7AAF">
        <w:t xml:space="preserve">Suggested amendments to the proposed MBS item descriptors by the Department are shown in ‘strikethrough’ and </w:t>
      </w:r>
      <w:r w:rsidR="002B4C69">
        <w:t>b</w:t>
      </w:r>
      <w:r w:rsidR="008C0B8A">
        <w:t>o</w:t>
      </w:r>
      <w:r w:rsidR="002B4C69">
        <w:t>l</w:t>
      </w:r>
      <w:r w:rsidR="008C0B8A">
        <w:t>d</w:t>
      </w:r>
      <w:r w:rsidR="002B4C69">
        <w:t xml:space="preserve"> </w:t>
      </w:r>
      <w:r w:rsidR="00EB7AAF">
        <w:t xml:space="preserve">italics </w:t>
      </w:r>
      <w:r w:rsidR="00207D34">
        <w:t xml:space="preserve">below </w:t>
      </w:r>
      <w:r w:rsidR="00EB7AAF">
        <w:t xml:space="preserve">(refer to </w:t>
      </w:r>
      <w:r w:rsidR="005F699E">
        <w:t>T</w:t>
      </w:r>
      <w:r w:rsidR="00EB7AAF">
        <w:t>ables 3.1-3.3).</w:t>
      </w:r>
    </w:p>
    <w:p w14:paraId="387D29D8" w14:textId="08CCB447" w:rsidR="007C3F13" w:rsidRDefault="00B54611" w:rsidP="000F0B19">
      <w:pPr>
        <w:spacing w:before="240"/>
        <w:rPr>
          <w:lang w:eastAsia="en-US"/>
        </w:rPr>
      </w:pPr>
      <w:r>
        <w:t xml:space="preserve">The Department queried whether there </w:t>
      </w:r>
      <w:r w:rsidR="005B0C22">
        <w:t>wa</w:t>
      </w:r>
      <w:r>
        <w:t xml:space="preserve">s a need for an MBS item for the purpose of refilling the PDS </w:t>
      </w:r>
      <w:r w:rsidR="005A6C88">
        <w:t xml:space="preserve">ocular </w:t>
      </w:r>
      <w:r>
        <w:t>implant</w:t>
      </w:r>
      <w:r w:rsidR="004E47A2">
        <w:t xml:space="preserve"> (see Table </w:t>
      </w:r>
      <w:r w:rsidR="00207D34">
        <w:t>3.2</w:t>
      </w:r>
      <w:r w:rsidR="004E47A2">
        <w:t>)</w:t>
      </w:r>
      <w:r>
        <w:t xml:space="preserve">. The Department </w:t>
      </w:r>
      <w:r w:rsidR="005B0C22">
        <w:t xml:space="preserve">considered </w:t>
      </w:r>
      <w:r>
        <w:t>that</w:t>
      </w:r>
      <w:r w:rsidR="00C92643">
        <w:t>,</w:t>
      </w:r>
      <w:r>
        <w:t xml:space="preserve"> if the refilling process of the implant is a relatively straightforward non-invasive procedure compared to an eye injection, the proposed MBS schedule fee should be less </w:t>
      </w:r>
      <w:r w:rsidR="00B54E2A">
        <w:t xml:space="preserve">compared to </w:t>
      </w:r>
      <w:r>
        <w:t xml:space="preserve">MBS item 42738, or alternately be absorbed into a standard specialist/consultation physician item. However, the Department </w:t>
      </w:r>
      <w:r w:rsidR="00B54E2A">
        <w:t xml:space="preserve">also </w:t>
      </w:r>
      <w:r>
        <w:t xml:space="preserve">noted this approach may reduce the incentive </w:t>
      </w:r>
      <w:r w:rsidR="00B54E2A">
        <w:t>for</w:t>
      </w:r>
      <w:r>
        <w:t xml:space="preserve"> the ophthalmologist (through reduced income) to offer </w:t>
      </w:r>
      <w:r w:rsidRPr="00B54611">
        <w:t>this</w:t>
      </w:r>
      <w:r>
        <w:t xml:space="preserve"> novel</w:t>
      </w:r>
      <w:r w:rsidRPr="00B54611">
        <w:t xml:space="preserve"> ranibizumab delivery option</w:t>
      </w:r>
      <w:r>
        <w:t xml:space="preserve">. As a result, the Department is requesting </w:t>
      </w:r>
      <w:r w:rsidR="001F5107" w:rsidRPr="00B54611">
        <w:rPr>
          <w:lang w:eastAsia="en-US"/>
        </w:rPr>
        <w:t xml:space="preserve">public consultation </w:t>
      </w:r>
      <w:r w:rsidRPr="00B54611">
        <w:rPr>
          <w:lang w:eastAsia="en-US"/>
        </w:rPr>
        <w:t>and</w:t>
      </w:r>
      <w:r w:rsidR="001F5107" w:rsidRPr="00B54611">
        <w:rPr>
          <w:lang w:eastAsia="en-US"/>
        </w:rPr>
        <w:t xml:space="preserve"> policy advice on whether there </w:t>
      </w:r>
      <w:r w:rsidR="00B54E2A">
        <w:rPr>
          <w:lang w:eastAsia="en-US"/>
        </w:rPr>
        <w:t>is a</w:t>
      </w:r>
      <w:r w:rsidR="001F5107" w:rsidRPr="00B54611">
        <w:rPr>
          <w:lang w:eastAsia="en-US"/>
        </w:rPr>
        <w:t xml:space="preserve"> need </w:t>
      </w:r>
      <w:r w:rsidR="004E47A2">
        <w:rPr>
          <w:lang w:eastAsia="en-US"/>
        </w:rPr>
        <w:t xml:space="preserve">for </w:t>
      </w:r>
      <w:r w:rsidR="001F5107" w:rsidRPr="00B54611">
        <w:rPr>
          <w:lang w:eastAsia="en-US"/>
        </w:rPr>
        <w:t>an MBS item for the purpose of refilling the implant.</w:t>
      </w:r>
    </w:p>
    <w:p w14:paraId="4E688D60" w14:textId="414A374B" w:rsidR="00B62FFB" w:rsidRDefault="00B62FFB" w:rsidP="000F0B19">
      <w:pPr>
        <w:spacing w:before="240"/>
      </w:pPr>
      <w:r>
        <w:lastRenderedPageBreak/>
        <w:t>The application d</w:t>
      </w:r>
      <w:r w:rsidR="005B0C22">
        <w:t>id</w:t>
      </w:r>
      <w:r>
        <w:t xml:space="preserve"> not state whether there </w:t>
      </w:r>
      <w:r w:rsidR="005B0C22">
        <w:t xml:space="preserve">would be a </w:t>
      </w:r>
      <w:r>
        <w:t xml:space="preserve">maximum number of implantation and explantation services that a patient should undergo within their lifetime, nor whether there </w:t>
      </w:r>
      <w:r w:rsidR="005B0C22">
        <w:t xml:space="preserve">would be </w:t>
      </w:r>
      <w:r>
        <w:t xml:space="preserve">an appropriate timeframe for </w:t>
      </w:r>
      <w:r w:rsidR="00C92643">
        <w:t xml:space="preserve">any </w:t>
      </w:r>
      <w:r>
        <w:t xml:space="preserve">reimplantation following </w:t>
      </w:r>
      <w:r w:rsidR="00C92643">
        <w:t xml:space="preserve">an </w:t>
      </w:r>
      <w:r>
        <w:t>explantation. MBS items often have restrictions on the number of times a procedure can be undertaken within a given timeframe</w:t>
      </w:r>
      <w:r w:rsidR="00A4196A">
        <w:t>, especially if there is a safety concern</w:t>
      </w:r>
      <w:r>
        <w:t xml:space="preserve">. </w:t>
      </w:r>
      <w:r w:rsidR="00A4196A">
        <w:t xml:space="preserve">If </w:t>
      </w:r>
      <w:r w:rsidR="005B0C22">
        <w:t xml:space="preserve">MSAC considers that </w:t>
      </w:r>
      <w:r w:rsidR="00A4196A">
        <w:t xml:space="preserve">there is such a </w:t>
      </w:r>
      <w:r w:rsidR="005B0C22">
        <w:t xml:space="preserve">safety </w:t>
      </w:r>
      <w:r w:rsidR="00A4196A">
        <w:t>concern, t</w:t>
      </w:r>
      <w:r>
        <w:t xml:space="preserve">he Department notes it may be appropriate for </w:t>
      </w:r>
      <w:r w:rsidR="00C92643">
        <w:t>the item</w:t>
      </w:r>
      <w:r>
        <w:t xml:space="preserve"> descriptors to contain such restrict</w:t>
      </w:r>
      <w:r w:rsidR="00A4196A">
        <w:t>i</w:t>
      </w:r>
      <w:r>
        <w:t>o</w:t>
      </w:r>
      <w:r w:rsidR="00A4196A">
        <w:t>n</w:t>
      </w:r>
      <w:r>
        <w:t>s.</w:t>
      </w:r>
    </w:p>
    <w:p w14:paraId="51CC66DF" w14:textId="16743C05" w:rsidR="006F5CF8" w:rsidRPr="00C96C78" w:rsidRDefault="006F5CF8" w:rsidP="006F5CF8">
      <w:pPr>
        <w:pStyle w:val="Caption"/>
        <w:tabs>
          <w:tab w:val="left" w:pos="1134"/>
        </w:tabs>
        <w:spacing w:before="240"/>
        <w:ind w:left="1134" w:hanging="1134"/>
        <w:rPr>
          <w:rFonts w:cs="Times New Roman"/>
        </w:rPr>
      </w:pPr>
      <w:r w:rsidRPr="00C96C78">
        <w:rPr>
          <w:rFonts w:cs="Times New Roman"/>
        </w:rPr>
        <w:t xml:space="preserve">Table </w:t>
      </w:r>
      <w:r w:rsidR="00207D34">
        <w:rPr>
          <w:rFonts w:cs="Times New Roman"/>
        </w:rPr>
        <w:t>3</w:t>
      </w:r>
      <w:r w:rsidRPr="00C96C78">
        <w:rPr>
          <w:rFonts w:cs="Times New Roman"/>
        </w:rPr>
        <w:t>.</w:t>
      </w:r>
      <w:r w:rsidR="00207D34">
        <w:rPr>
          <w:rFonts w:cs="Times New Roman"/>
        </w:rPr>
        <w:t>1</w:t>
      </w:r>
      <w:r>
        <w:rPr>
          <w:rFonts w:cs="Times New Roman"/>
        </w:rPr>
        <w:t>:</w:t>
      </w:r>
      <w:r w:rsidRPr="00C96C78">
        <w:rPr>
          <w:rFonts w:cs="Times New Roman"/>
        </w:rPr>
        <w:t xml:space="preserve"> MBS descriptor for </w:t>
      </w:r>
      <w:r w:rsidRPr="00C96C78">
        <w:rPr>
          <w:rFonts w:cs="Times New Roman"/>
          <w:u w:val="single"/>
        </w:rPr>
        <w:t>initial fill and implantation</w:t>
      </w:r>
    </w:p>
    <w:p w14:paraId="29934750" w14:textId="647AD36E" w:rsidR="006F5CF8" w:rsidRPr="00AE1188" w:rsidRDefault="006F5CF8" w:rsidP="006F5C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pPr>
      <w:r>
        <w:t xml:space="preserve">Category </w:t>
      </w:r>
      <w:r w:rsidRPr="00E20952">
        <w:t>3 - THERAPEUTIC PROCEDURES</w:t>
      </w:r>
    </w:p>
    <w:p w14:paraId="12239AC9" w14:textId="77777777" w:rsidR="006F5CF8" w:rsidRPr="00E20952"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Group</w:t>
      </w:r>
      <w:r>
        <w:tab/>
      </w:r>
      <w:r>
        <w:tab/>
      </w:r>
      <w:r w:rsidRPr="00E20952">
        <w:t>T8 - Surgical Operations</w:t>
      </w:r>
    </w:p>
    <w:p w14:paraId="7AF5D8DF" w14:textId="77777777" w:rsidR="006F5CF8" w:rsidRPr="00AE1188"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Subgroup</w:t>
      </w:r>
      <w:r>
        <w:tab/>
      </w:r>
      <w:r w:rsidRPr="00E20952">
        <w:t>9 - Ophthalmology</w:t>
      </w:r>
    </w:p>
    <w:p w14:paraId="448DEAA2" w14:textId="0FCFAD26" w:rsidR="006F5CF8" w:rsidRDefault="006F5CF8" w:rsidP="006F5CF8">
      <w:pPr>
        <w:keepNext/>
        <w:pBdr>
          <w:top w:val="single" w:sz="4" w:space="1" w:color="auto"/>
          <w:left w:val="single" w:sz="4" w:space="4" w:color="auto"/>
          <w:bottom w:val="single" w:sz="4" w:space="1" w:color="auto"/>
          <w:right w:val="single" w:sz="4" w:space="4" w:color="auto"/>
        </w:pBdr>
      </w:pPr>
      <w:r w:rsidRPr="002B4C69">
        <w:rPr>
          <w:strike/>
        </w:rPr>
        <w:t xml:space="preserve">Neovascular age-related macular </w:t>
      </w:r>
      <w:proofErr w:type="spellStart"/>
      <w:proofErr w:type="gramStart"/>
      <w:r w:rsidRPr="002B4C69">
        <w:rPr>
          <w:strike/>
        </w:rPr>
        <w:t>degeneration,</w:t>
      </w:r>
      <w:r w:rsidR="00095E9E" w:rsidRPr="008C0B8A">
        <w:rPr>
          <w:b/>
          <w:bCs/>
          <w:i/>
          <w:iCs/>
        </w:rPr>
        <w:t>Implantation</w:t>
      </w:r>
      <w:proofErr w:type="spellEnd"/>
      <w:proofErr w:type="gramEnd"/>
      <w:r w:rsidR="00095E9E" w:rsidRPr="008C0B8A">
        <w:rPr>
          <w:b/>
          <w:bCs/>
          <w:i/>
          <w:iCs/>
        </w:rPr>
        <w:t xml:space="preserve"> and</w:t>
      </w:r>
      <w:r w:rsidR="00095E9E" w:rsidRPr="002B4C69">
        <w:t xml:space="preserve"> </w:t>
      </w:r>
      <w:r>
        <w:t xml:space="preserve">initial fill </w:t>
      </w:r>
      <w:r w:rsidRPr="002B4C69">
        <w:rPr>
          <w:strike/>
        </w:rPr>
        <w:t>and implantation</w:t>
      </w:r>
      <w:r>
        <w:t xml:space="preserve"> of an ocular implant for </w:t>
      </w:r>
      <w:proofErr w:type="spellStart"/>
      <w:r w:rsidRPr="00CB4851">
        <w:rPr>
          <w:strike/>
        </w:rPr>
        <w:t>Susvimo</w:t>
      </w:r>
      <w:proofErr w:type="spellEnd"/>
      <w:r w:rsidRPr="00CB4851">
        <w:rPr>
          <w:strike/>
          <w:vertAlign w:val="superscript"/>
        </w:rPr>
        <w:t>®</w:t>
      </w:r>
      <w:r w:rsidRPr="00CB4851">
        <w:rPr>
          <w:strike/>
        </w:rPr>
        <w:t xml:space="preserve"> (</w:t>
      </w:r>
      <w:r w:rsidR="002472A5" w:rsidRPr="008C0B8A">
        <w:rPr>
          <w:b/>
          <w:bCs/>
          <w:i/>
          <w:iCs/>
        </w:rPr>
        <w:t>PBS-subsidised</w:t>
      </w:r>
      <w:r w:rsidR="002472A5" w:rsidRPr="008C0B8A">
        <w:t xml:space="preserve"> </w:t>
      </w:r>
      <w:r>
        <w:t>ranibizumab</w:t>
      </w:r>
      <w:r w:rsidR="00242A2F">
        <w:t xml:space="preserve"> </w:t>
      </w:r>
      <w:r w:rsidR="00242A2F" w:rsidRPr="008C0B8A">
        <w:rPr>
          <w:b/>
          <w:bCs/>
          <w:i/>
          <w:iCs/>
        </w:rPr>
        <w:t>100 mg/mL</w:t>
      </w:r>
      <w:r w:rsidR="00095E9E" w:rsidRPr="008C0B8A">
        <w:rPr>
          <w:b/>
          <w:bCs/>
          <w:i/>
          <w:iCs/>
        </w:rPr>
        <w:t xml:space="preserve"> for the treatment of neovascular age-related macular degeneration</w:t>
      </w:r>
      <w:r w:rsidRPr="00CB4851">
        <w:rPr>
          <w:strike/>
        </w:rPr>
        <w:t>)</w:t>
      </w:r>
    </w:p>
    <w:p w14:paraId="136F1A00" w14:textId="77777777" w:rsidR="006F5CF8" w:rsidRPr="00AE1188" w:rsidRDefault="006F5CF8" w:rsidP="006F5CF8">
      <w:pPr>
        <w:pBdr>
          <w:top w:val="single" w:sz="4" w:space="1" w:color="auto"/>
          <w:left w:val="single" w:sz="4" w:space="4" w:color="auto"/>
          <w:bottom w:val="single" w:sz="4" w:space="1" w:color="auto"/>
          <w:right w:val="single" w:sz="4" w:space="4" w:color="auto"/>
        </w:pBdr>
      </w:pPr>
      <w:r w:rsidRPr="00AE1188">
        <w:t>Fee</w:t>
      </w:r>
      <w:r w:rsidRPr="004514E6">
        <w:t>:  $1193.18</w:t>
      </w:r>
    </w:p>
    <w:p w14:paraId="284540FA" w14:textId="13F0B0D1" w:rsidR="006F5CF8" w:rsidRPr="002D226B" w:rsidRDefault="006F5CF8" w:rsidP="006F5CF8">
      <w:pPr>
        <w:pStyle w:val="Caption"/>
        <w:tabs>
          <w:tab w:val="left" w:pos="1134"/>
        </w:tabs>
        <w:spacing w:before="240"/>
        <w:ind w:left="1134" w:hanging="1134"/>
        <w:rPr>
          <w:u w:val="single"/>
        </w:rPr>
      </w:pPr>
      <w:r w:rsidRPr="002D226B">
        <w:t xml:space="preserve">Table </w:t>
      </w:r>
      <w:r w:rsidR="00207D34">
        <w:t>3.2</w:t>
      </w:r>
      <w:r w:rsidRPr="002D226B">
        <w:t xml:space="preserve">: MBS descriptor for </w:t>
      </w:r>
      <w:r w:rsidRPr="002D226B">
        <w:rPr>
          <w:u w:val="single"/>
        </w:rPr>
        <w:t>refill-exchange</w:t>
      </w:r>
    </w:p>
    <w:p w14:paraId="03DA7B89" w14:textId="570E21AA" w:rsidR="006F5CF8" w:rsidRPr="00AE1188" w:rsidRDefault="006F5CF8" w:rsidP="006F5C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pPr>
      <w:r>
        <w:t xml:space="preserve">Category </w:t>
      </w:r>
      <w:r w:rsidRPr="00E20952">
        <w:t>3 - THERAPEUTIC PROCEDURES</w:t>
      </w:r>
    </w:p>
    <w:p w14:paraId="6FC1D989" w14:textId="77777777" w:rsidR="006F5CF8" w:rsidRPr="00E20952"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Group</w:t>
      </w:r>
      <w:r>
        <w:tab/>
      </w:r>
      <w:r>
        <w:tab/>
      </w:r>
      <w:r w:rsidRPr="00E20952">
        <w:t>T8 - Surgical Operations</w:t>
      </w:r>
    </w:p>
    <w:p w14:paraId="7AC34165" w14:textId="77777777" w:rsidR="006F5CF8" w:rsidRPr="00AE1188"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Subgroup</w:t>
      </w:r>
      <w:r>
        <w:tab/>
      </w:r>
      <w:r w:rsidRPr="00E20952">
        <w:t>9 - Ophthalmology</w:t>
      </w:r>
    </w:p>
    <w:p w14:paraId="2FB0BDCC" w14:textId="61754497" w:rsidR="006F5CF8" w:rsidRDefault="006F5CF8" w:rsidP="006F5CF8">
      <w:pPr>
        <w:keepNext/>
        <w:pBdr>
          <w:top w:val="single" w:sz="4" w:space="1" w:color="auto"/>
          <w:left w:val="single" w:sz="4" w:space="4" w:color="auto"/>
          <w:bottom w:val="single" w:sz="4" w:space="1" w:color="auto"/>
          <w:right w:val="single" w:sz="4" w:space="4" w:color="auto"/>
        </w:pBdr>
      </w:pPr>
      <w:r w:rsidRPr="00AC60CA">
        <w:rPr>
          <w:strike/>
        </w:rPr>
        <w:t xml:space="preserve">Neovascular age-related macular degeneration, </w:t>
      </w:r>
      <w:proofErr w:type="spellStart"/>
      <w:r w:rsidRPr="00AC60CA">
        <w:rPr>
          <w:strike/>
        </w:rPr>
        <w:t>r</w:t>
      </w:r>
      <w:r w:rsidR="00AC60CA" w:rsidRPr="008C0B8A">
        <w:rPr>
          <w:b/>
          <w:bCs/>
          <w:i/>
          <w:iCs/>
        </w:rPr>
        <w:t>R</w:t>
      </w:r>
      <w:r>
        <w:t>efill</w:t>
      </w:r>
      <w:proofErr w:type="spellEnd"/>
      <w:r>
        <w:t xml:space="preserve">-exchange of an ocular implant for </w:t>
      </w:r>
      <w:proofErr w:type="spellStart"/>
      <w:r w:rsidRPr="00CB4851">
        <w:rPr>
          <w:strike/>
        </w:rPr>
        <w:t>Susvimo</w:t>
      </w:r>
      <w:proofErr w:type="spellEnd"/>
      <w:r w:rsidRPr="00CB4851">
        <w:rPr>
          <w:strike/>
          <w:vertAlign w:val="superscript"/>
        </w:rPr>
        <w:t>®</w:t>
      </w:r>
      <w:r w:rsidRPr="00CB4851">
        <w:rPr>
          <w:strike/>
        </w:rPr>
        <w:t xml:space="preserve"> (</w:t>
      </w:r>
      <w:r w:rsidR="002472A5" w:rsidRPr="008C0B8A">
        <w:rPr>
          <w:b/>
          <w:bCs/>
          <w:i/>
          <w:iCs/>
        </w:rPr>
        <w:t>PBS-subsidised</w:t>
      </w:r>
      <w:r w:rsidR="002472A5" w:rsidRPr="008C0B8A">
        <w:t xml:space="preserve"> </w:t>
      </w:r>
      <w:r>
        <w:t>ranibizumab</w:t>
      </w:r>
      <w:r w:rsidR="00242A2F">
        <w:t xml:space="preserve"> </w:t>
      </w:r>
      <w:r w:rsidR="00242A2F" w:rsidRPr="008C0B8A">
        <w:rPr>
          <w:b/>
          <w:bCs/>
          <w:i/>
          <w:iCs/>
        </w:rPr>
        <w:t>100 mg/mL</w:t>
      </w:r>
      <w:r w:rsidR="00095E9E" w:rsidRPr="008C0B8A">
        <w:rPr>
          <w:b/>
          <w:bCs/>
          <w:i/>
          <w:iCs/>
        </w:rPr>
        <w:t xml:space="preserve"> for the treatment of neovascular age-related macular degeneration</w:t>
      </w:r>
      <w:r w:rsidRPr="00CB4851">
        <w:rPr>
          <w:strike/>
        </w:rPr>
        <w:t>)</w:t>
      </w:r>
    </w:p>
    <w:p w14:paraId="2A6E0990" w14:textId="77777777" w:rsidR="006F5CF8" w:rsidRPr="00AE1188" w:rsidRDefault="006F5CF8" w:rsidP="006F5CF8">
      <w:pPr>
        <w:pBdr>
          <w:top w:val="single" w:sz="4" w:space="1" w:color="auto"/>
          <w:left w:val="single" w:sz="4" w:space="4" w:color="auto"/>
          <w:bottom w:val="single" w:sz="4" w:space="1" w:color="auto"/>
          <w:right w:val="single" w:sz="4" w:space="4" w:color="auto"/>
        </w:pBdr>
      </w:pPr>
      <w:r w:rsidRPr="00AE1188">
        <w:t xml:space="preserve">Fee:  </w:t>
      </w:r>
      <w:r w:rsidRPr="005C0091">
        <w:t>$312.95</w:t>
      </w:r>
    </w:p>
    <w:p w14:paraId="5A71939B" w14:textId="44AD7BDE" w:rsidR="006F5CF8" w:rsidRPr="002D226B" w:rsidRDefault="006F5CF8" w:rsidP="006F5CF8">
      <w:pPr>
        <w:pStyle w:val="Caption"/>
        <w:tabs>
          <w:tab w:val="left" w:pos="1134"/>
        </w:tabs>
        <w:spacing w:before="240"/>
        <w:ind w:left="1134" w:hanging="1134"/>
        <w:rPr>
          <w:u w:val="single"/>
        </w:rPr>
      </w:pPr>
      <w:r w:rsidRPr="002D226B">
        <w:t xml:space="preserve">Table </w:t>
      </w:r>
      <w:r w:rsidR="00207D34">
        <w:t>3.3</w:t>
      </w:r>
      <w:r w:rsidRPr="002D226B">
        <w:t xml:space="preserve">: MBS descriptor for </w:t>
      </w:r>
      <w:r w:rsidRPr="002D226B">
        <w:rPr>
          <w:u w:val="single"/>
        </w:rPr>
        <w:t>explantation</w:t>
      </w:r>
    </w:p>
    <w:p w14:paraId="52388749" w14:textId="542E5684" w:rsidR="006F5CF8" w:rsidRPr="00AE1188" w:rsidRDefault="006F5CF8" w:rsidP="006F5C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pPr>
      <w:r>
        <w:t xml:space="preserve">Category </w:t>
      </w:r>
      <w:r w:rsidRPr="00E20952">
        <w:t>3 - THERAPEUTIC PROCEDURES</w:t>
      </w:r>
    </w:p>
    <w:p w14:paraId="5DAADD86" w14:textId="77777777" w:rsidR="006F5CF8" w:rsidRPr="00E20952"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Group</w:t>
      </w:r>
      <w:r>
        <w:tab/>
      </w:r>
      <w:r>
        <w:tab/>
      </w:r>
      <w:r w:rsidRPr="00E20952">
        <w:t>T8 - Surgical Operations</w:t>
      </w:r>
    </w:p>
    <w:p w14:paraId="7F014DFE" w14:textId="77777777" w:rsidR="006F5CF8" w:rsidRPr="00AE1188" w:rsidRDefault="006F5CF8" w:rsidP="006F5CF8">
      <w:pPr>
        <w:keepNext/>
        <w:pBdr>
          <w:top w:val="single" w:sz="4" w:space="1" w:color="auto"/>
          <w:left w:val="single" w:sz="4" w:space="4" w:color="auto"/>
          <w:bottom w:val="single" w:sz="4" w:space="1" w:color="auto"/>
          <w:right w:val="single" w:sz="4" w:space="4" w:color="auto"/>
        </w:pBdr>
      </w:pPr>
      <w:r>
        <w:tab/>
      </w:r>
      <w:r>
        <w:tab/>
      </w:r>
      <w:r>
        <w:tab/>
      </w:r>
      <w:r>
        <w:tab/>
      </w:r>
      <w:r>
        <w:tab/>
      </w:r>
      <w:r>
        <w:tab/>
      </w:r>
      <w:r>
        <w:tab/>
      </w:r>
      <w:r w:rsidRPr="00E20952">
        <w:t>Subgroup</w:t>
      </w:r>
      <w:r>
        <w:tab/>
      </w:r>
      <w:r w:rsidRPr="00E20952">
        <w:t>9 - Ophthalmology</w:t>
      </w:r>
    </w:p>
    <w:p w14:paraId="701A1430" w14:textId="20E67074" w:rsidR="006F5CF8" w:rsidRPr="004473BA" w:rsidRDefault="006F5CF8" w:rsidP="006F5CF8">
      <w:pPr>
        <w:keepNext/>
        <w:pBdr>
          <w:top w:val="single" w:sz="4" w:space="1" w:color="auto"/>
          <w:left w:val="single" w:sz="4" w:space="4" w:color="auto"/>
          <w:bottom w:val="single" w:sz="4" w:space="1" w:color="auto"/>
          <w:right w:val="single" w:sz="4" w:space="4" w:color="auto"/>
        </w:pBdr>
      </w:pPr>
      <w:r w:rsidRPr="00D16710">
        <w:rPr>
          <w:strike/>
        </w:rPr>
        <w:t xml:space="preserve">Neovascular age-related macular degeneration, </w:t>
      </w:r>
      <w:proofErr w:type="spellStart"/>
      <w:r w:rsidRPr="00D16710">
        <w:rPr>
          <w:strike/>
        </w:rPr>
        <w:t>e</w:t>
      </w:r>
      <w:r w:rsidR="00D16710" w:rsidRPr="008C0B8A">
        <w:rPr>
          <w:b/>
          <w:bCs/>
          <w:i/>
          <w:iCs/>
        </w:rPr>
        <w:t>E</w:t>
      </w:r>
      <w:r>
        <w:t>xplant</w:t>
      </w:r>
      <w:r w:rsidRPr="00D16710">
        <w:rPr>
          <w:strike/>
        </w:rPr>
        <w:t>ation</w:t>
      </w:r>
      <w:proofErr w:type="spellEnd"/>
      <w:r>
        <w:t xml:space="preserve"> of an ocular implant</w:t>
      </w:r>
      <w:r w:rsidR="00D16710">
        <w:t xml:space="preserve"> </w:t>
      </w:r>
      <w:r w:rsidRPr="00D16710">
        <w:rPr>
          <w:strike/>
        </w:rPr>
        <w:t>for</w:t>
      </w:r>
      <w:r w:rsidR="00386C21">
        <w:rPr>
          <w:strike/>
        </w:rPr>
        <w:t xml:space="preserve"> </w:t>
      </w:r>
      <w:proofErr w:type="spellStart"/>
      <w:r w:rsidRPr="00D16710">
        <w:rPr>
          <w:strike/>
        </w:rPr>
        <w:t>Susvimo</w:t>
      </w:r>
      <w:proofErr w:type="spellEnd"/>
      <w:r w:rsidRPr="00D16710">
        <w:rPr>
          <w:strike/>
          <w:vertAlign w:val="superscript"/>
        </w:rPr>
        <w:t>®</w:t>
      </w:r>
      <w:r w:rsidRPr="00D16710">
        <w:rPr>
          <w:strike/>
        </w:rPr>
        <w:t xml:space="preserve"> (ranibizumab)</w:t>
      </w:r>
      <w:r w:rsidR="008C0B8A" w:rsidRPr="008C0B8A">
        <w:rPr>
          <w:i/>
          <w:iCs/>
        </w:rPr>
        <w:t xml:space="preserve"> </w:t>
      </w:r>
      <w:r w:rsidR="008C0B8A" w:rsidRPr="008C0B8A">
        <w:rPr>
          <w:b/>
          <w:bCs/>
          <w:i/>
          <w:iCs/>
        </w:rPr>
        <w:t>used for PBS-subsidised ranibizumab 100 mg/mL for the treatment of neovascular age-related macular degeneration</w:t>
      </w:r>
    </w:p>
    <w:p w14:paraId="33856CA6" w14:textId="77777777" w:rsidR="006F5CF8" w:rsidRPr="00AE1188" w:rsidRDefault="006F5CF8" w:rsidP="006F5CF8">
      <w:pPr>
        <w:pBdr>
          <w:top w:val="single" w:sz="4" w:space="1" w:color="auto"/>
          <w:left w:val="single" w:sz="4" w:space="4" w:color="auto"/>
          <w:bottom w:val="single" w:sz="4" w:space="1" w:color="auto"/>
          <w:right w:val="single" w:sz="4" w:space="4" w:color="auto"/>
        </w:pBdr>
      </w:pPr>
      <w:r w:rsidRPr="00AE1188">
        <w:t xml:space="preserve">Fee:  </w:t>
      </w:r>
      <w:r w:rsidRPr="005C0091">
        <w:t>$</w:t>
      </w:r>
      <w:r>
        <w:t>400.00</w:t>
      </w:r>
    </w:p>
    <w:p w14:paraId="6156BF12" w14:textId="77777777" w:rsidR="00041AE3" w:rsidRDefault="00041AE3" w:rsidP="000F0B19">
      <w:pPr>
        <w:keepNext/>
        <w:spacing w:before="240"/>
        <w:rPr>
          <w:b/>
          <w:bCs/>
        </w:rPr>
      </w:pPr>
      <w:r>
        <w:rPr>
          <w:b/>
          <w:bCs/>
        </w:rPr>
        <w:t>R</w:t>
      </w:r>
      <w:r w:rsidRPr="001D6C4F">
        <w:rPr>
          <w:b/>
          <w:bCs/>
        </w:rPr>
        <w:t>educed equity of access to Australians who do not have private health insurance</w:t>
      </w:r>
    </w:p>
    <w:p w14:paraId="57ED1178" w14:textId="024187BE" w:rsidR="00041AE3" w:rsidRDefault="00041AE3" w:rsidP="00041AE3">
      <w:r>
        <w:t xml:space="preserve">The Department </w:t>
      </w:r>
      <w:r w:rsidR="008C0B8A">
        <w:t xml:space="preserve">has </w:t>
      </w:r>
      <w:r w:rsidR="00095E9E">
        <w:t>advised the applicant that its streamlined codependent</w:t>
      </w:r>
      <w:r>
        <w:t xml:space="preserve"> submission made to PBAC and MSAC should </w:t>
      </w:r>
      <w:r w:rsidRPr="001D6C4F">
        <w:t xml:space="preserve">provide a rationale for the reduced equity of access to the </w:t>
      </w:r>
      <w:r w:rsidR="00095E9E">
        <w:t xml:space="preserve">prerequisite implant for </w:t>
      </w:r>
      <w:r w:rsidRPr="001D6C4F">
        <w:t>Australians who do not have private health insurance.</w:t>
      </w:r>
      <w:r w:rsidRPr="00803819">
        <w:t xml:space="preserve"> </w:t>
      </w:r>
      <w:r>
        <w:t xml:space="preserve">However, this does not appear to be addressed in the application </w:t>
      </w:r>
      <w:r w:rsidR="00095E9E">
        <w:t xml:space="preserve">to MSAC </w:t>
      </w:r>
      <w:r>
        <w:t>submitted by the applicant.</w:t>
      </w:r>
    </w:p>
    <w:p w14:paraId="28420785" w14:textId="7AB9FF75" w:rsidR="005A6C88" w:rsidRDefault="005A6C88" w:rsidP="000F0B19">
      <w:pPr>
        <w:spacing w:before="240"/>
        <w:rPr>
          <w:rFonts w:eastAsia="Calibri"/>
          <w:szCs w:val="24"/>
        </w:rPr>
      </w:pPr>
      <w:r>
        <w:t>Questions have been raised whether this type of drug delivery implant will continue be eligible for listing on the Prostheses List when the definitions and criteria for listing are clarified as one of the Prostheses List Reforms measures. According to the proposed changes</w:t>
      </w:r>
      <w:r>
        <w:rPr>
          <w:rStyle w:val="FootnoteReference"/>
        </w:rPr>
        <w:footnoteReference w:id="1"/>
      </w:r>
      <w:r>
        <w:t>, it is expected that this type of implant will continue to be eligible for listing on the Prostheses List.</w:t>
      </w:r>
    </w:p>
    <w:p w14:paraId="034BD039" w14:textId="5F63F100" w:rsidR="00DB00AA" w:rsidRPr="00AB1A08" w:rsidRDefault="00DB00AA" w:rsidP="00DB00AA">
      <w:pPr>
        <w:spacing w:before="240"/>
      </w:pPr>
      <w:r w:rsidRPr="00AB1A08">
        <w:t xml:space="preserve">Access to the MBS insertion service would be limited to patients with the appropriate private health insurance unless the MBS item includes an 85% benefit. If surgeons would be prepared to insert the device in a licensed day surgery, an 85% benefit would enable them to </w:t>
      </w:r>
      <w:r w:rsidRPr="00AB1A08">
        <w:lastRenderedPageBreak/>
        <w:t xml:space="preserve">bill the MBS (plus any additional charges to the patient). The Department seeks MSAC’s advice on the reasonableness of this option in terms of patient </w:t>
      </w:r>
      <w:r w:rsidR="00623993" w:rsidRPr="00AB1A08">
        <w:t>safety and</w:t>
      </w:r>
      <w:r w:rsidRPr="00AB1A08">
        <w:t xml:space="preserve"> would also seek the views of the Royal Australian and New Zealand College of Ophthalmologists (RANZCO) about this option. In this way, insured and uninsured patients could get the same procedural service. However, private health insurers would not be required to cover the cost of the PDS ocular implant for appropriately insured patients not having the procedure as an inpatient.</w:t>
      </w:r>
    </w:p>
    <w:p w14:paraId="0E7FC352" w14:textId="2B7FDDFA" w:rsidR="00DB00AA" w:rsidRPr="00AB1A08" w:rsidRDefault="00DB00AA" w:rsidP="00DB00AA">
      <w:pPr>
        <w:spacing w:before="240"/>
      </w:pPr>
      <w:r w:rsidRPr="00AB1A08">
        <w:t>Public hospitals may also choose to provide the insertion procedure service if they perceive a benefit for them due to a reduction in the frequency of subsequent injections</w:t>
      </w:r>
      <w:r w:rsidR="00AB1A08">
        <w:t xml:space="preserve"> in the context of these </w:t>
      </w:r>
      <w:r w:rsidR="00AB1A08" w:rsidRPr="00AB1A08">
        <w:t>eye injections tak</w:t>
      </w:r>
      <w:r w:rsidR="00AB1A08">
        <w:t>ing</w:t>
      </w:r>
      <w:r w:rsidR="00AB1A08" w:rsidRPr="00AB1A08">
        <w:t xml:space="preserve"> up </w:t>
      </w:r>
      <w:r w:rsidR="00AB1A08">
        <w:t xml:space="preserve">a substantial proportion </w:t>
      </w:r>
      <w:r w:rsidR="00AB1A08" w:rsidRPr="00AB1A08">
        <w:t>of public ophthalmology waiting lists</w:t>
      </w:r>
      <w:r w:rsidRPr="00AB1A08">
        <w:t>.</w:t>
      </w:r>
    </w:p>
    <w:p w14:paraId="33D3B29D" w14:textId="61645C63" w:rsidR="0000630E" w:rsidRPr="0000630E" w:rsidRDefault="00A6522E" w:rsidP="000F0B19">
      <w:pPr>
        <w:keepNext/>
        <w:spacing w:before="240"/>
        <w:rPr>
          <w:b/>
          <w:bCs/>
        </w:rPr>
      </w:pPr>
      <w:r>
        <w:rPr>
          <w:b/>
          <w:bCs/>
        </w:rPr>
        <w:t>C</w:t>
      </w:r>
      <w:r w:rsidR="00B54E2A" w:rsidRPr="00B54E2A">
        <w:rPr>
          <w:b/>
          <w:bCs/>
        </w:rPr>
        <w:t>oordination of PLAC-PBAC-MSAC codependen</w:t>
      </w:r>
      <w:r>
        <w:rPr>
          <w:b/>
          <w:bCs/>
        </w:rPr>
        <w:t>t consideration</w:t>
      </w:r>
    </w:p>
    <w:p w14:paraId="003CED96" w14:textId="2F7E22A6" w:rsidR="00A56FFB" w:rsidRDefault="00A6522E" w:rsidP="009952BA">
      <w:r>
        <w:t>A</w:t>
      </w:r>
      <w:r w:rsidR="0000630E">
        <w:t xml:space="preserve">pplication 1695 </w:t>
      </w:r>
      <w:r>
        <w:t xml:space="preserve">is being managed as </w:t>
      </w:r>
      <w:r w:rsidR="0000630E">
        <w:t>a</w:t>
      </w:r>
      <w:r w:rsidR="0000630E" w:rsidRPr="0000630E">
        <w:t xml:space="preserve"> streamlined codependent </w:t>
      </w:r>
      <w:r w:rsidR="00095E9E">
        <w:t>submission,</w:t>
      </w:r>
      <w:r w:rsidR="0000630E">
        <w:t xml:space="preserve"> </w:t>
      </w:r>
      <w:r w:rsidR="00A56FFB">
        <w:t xml:space="preserve">for MSAC purposes </w:t>
      </w:r>
      <w:r w:rsidR="00095E9E">
        <w:t xml:space="preserve">being </w:t>
      </w:r>
      <w:r>
        <w:t xml:space="preserve">coordinated </w:t>
      </w:r>
      <w:r w:rsidR="00A56FFB">
        <w:t>with:</w:t>
      </w:r>
    </w:p>
    <w:p w14:paraId="0A608585" w14:textId="1503F44D" w:rsidR="00A56FFB" w:rsidRDefault="00A56FFB" w:rsidP="00A56FFB">
      <w:pPr>
        <w:pStyle w:val="ListParagraph"/>
        <w:numPr>
          <w:ilvl w:val="0"/>
          <w:numId w:val="13"/>
        </w:numPr>
      </w:pPr>
      <w:r>
        <w:t>a PBAC consideration of the new formulation of ranibizumab in March 2022</w:t>
      </w:r>
    </w:p>
    <w:p w14:paraId="42E25149" w14:textId="50665577" w:rsidR="001D6C4F" w:rsidRDefault="00A56FFB" w:rsidP="00A56FFB">
      <w:pPr>
        <w:pStyle w:val="ListParagraph"/>
        <w:numPr>
          <w:ilvl w:val="0"/>
          <w:numId w:val="13"/>
        </w:numPr>
      </w:pPr>
      <w:r>
        <w:t xml:space="preserve">a consideration of the implant sponsored by B Braun </w:t>
      </w:r>
      <w:r w:rsidR="005A6C88">
        <w:t xml:space="preserve">for the next Prostheses List update in November </w:t>
      </w:r>
      <w:r>
        <w:t>2022</w:t>
      </w:r>
      <w:r w:rsidR="001D6C4F">
        <w:t>.</w:t>
      </w:r>
    </w:p>
    <w:p w14:paraId="0A9317D9" w14:textId="77BE1DD2" w:rsidR="00D90A38" w:rsidRDefault="00BC1364" w:rsidP="00386C21">
      <w:pPr>
        <w:pStyle w:val="Heading1"/>
        <w:ind w:left="709" w:hanging="709"/>
      </w:pPr>
      <w:r w:rsidRPr="00F715D1">
        <w:t xml:space="preserve">Other </w:t>
      </w:r>
      <w:r w:rsidR="00CB4234">
        <w:t xml:space="preserve">policy </w:t>
      </w:r>
      <w:r w:rsidR="004273E3">
        <w:t>and implementation issues</w:t>
      </w:r>
    </w:p>
    <w:p w14:paraId="0E247450" w14:textId="26DFE717" w:rsidR="00267737" w:rsidRPr="00373DBF" w:rsidRDefault="00A0678D" w:rsidP="00437535">
      <w:pPr>
        <w:keepNext/>
        <w:rPr>
          <w:b/>
          <w:bCs/>
        </w:rPr>
      </w:pPr>
      <w:r>
        <w:rPr>
          <w:b/>
          <w:bCs/>
        </w:rPr>
        <w:t>Uncertainties about estimated patient uptake of services</w:t>
      </w:r>
    </w:p>
    <w:p w14:paraId="1A251E9E" w14:textId="0489A006" w:rsidR="00E95ED9" w:rsidRDefault="00FD1ABB">
      <w:r>
        <w:t>Some patient populations have difficulty accessing the current treatments available for</w:t>
      </w:r>
      <w:r w:rsidR="005A779A">
        <w:t xml:space="preserve"> </w:t>
      </w:r>
      <w:proofErr w:type="spellStart"/>
      <w:r w:rsidR="005A779A">
        <w:t>nAMD</w:t>
      </w:r>
      <w:proofErr w:type="spellEnd"/>
      <w:r>
        <w:t xml:space="preserve">. This occurs for </w:t>
      </w:r>
      <w:r w:rsidR="00373DBF">
        <w:t xml:space="preserve">various </w:t>
      </w:r>
      <w:r>
        <w:t>reasons including op</w:t>
      </w:r>
      <w:r w:rsidR="00595655">
        <w:t>h</w:t>
      </w:r>
      <w:r>
        <w:t>th</w:t>
      </w:r>
      <w:r w:rsidR="00E95ED9">
        <w:t>a</w:t>
      </w:r>
      <w:r>
        <w:t xml:space="preserve">lmology workforce </w:t>
      </w:r>
      <w:r w:rsidR="00AB1A08">
        <w:t xml:space="preserve">availability and </w:t>
      </w:r>
      <w:r>
        <w:t>distribution, availab</w:t>
      </w:r>
      <w:r w:rsidR="00373DBF">
        <w:t>ility</w:t>
      </w:r>
      <w:r>
        <w:t xml:space="preserve"> of treatments within </w:t>
      </w:r>
      <w:r w:rsidR="00373DBF">
        <w:t xml:space="preserve">the </w:t>
      </w:r>
      <w:r>
        <w:t xml:space="preserve">public </w:t>
      </w:r>
      <w:r w:rsidR="00373DBF">
        <w:t xml:space="preserve">hospital </w:t>
      </w:r>
      <w:r>
        <w:t>system</w:t>
      </w:r>
      <w:r w:rsidR="00AB1A08">
        <w:t>,</w:t>
      </w:r>
      <w:r>
        <w:t xml:space="preserve"> and costs associated with treatment</w:t>
      </w:r>
      <w:r w:rsidR="005A779A">
        <w:t xml:space="preserve">. </w:t>
      </w:r>
      <w:r w:rsidR="00AB1A08">
        <w:t>D</w:t>
      </w:r>
      <w:r>
        <w:t xml:space="preserve">ue to the need for patients to demonstrate responsiveness to previous intravitreal injection treatment, </w:t>
      </w:r>
      <w:r w:rsidR="00AB1A08">
        <w:t xml:space="preserve">the proposed services </w:t>
      </w:r>
      <w:r w:rsidR="00F86769">
        <w:t>would</w:t>
      </w:r>
      <w:r>
        <w:t xml:space="preserve"> have limited ability to address the unmet needs of </w:t>
      </w:r>
      <w:r w:rsidR="00F86769">
        <w:t>those</w:t>
      </w:r>
      <w:r w:rsidR="00373DBF">
        <w:t xml:space="preserve"> </w:t>
      </w:r>
      <w:r>
        <w:t xml:space="preserve">patients who are not </w:t>
      </w:r>
      <w:r w:rsidR="009A30C9">
        <w:t xml:space="preserve">currently </w:t>
      </w:r>
      <w:r>
        <w:t xml:space="preserve">receiving treatment for macular disease. This </w:t>
      </w:r>
      <w:r w:rsidR="00F86769">
        <w:t xml:space="preserve">also </w:t>
      </w:r>
      <w:r>
        <w:t xml:space="preserve">creates uncertainty </w:t>
      </w:r>
      <w:r w:rsidR="00AB1A08">
        <w:t>about</w:t>
      </w:r>
      <w:r>
        <w:t xml:space="preserve"> the overall uptake of this service.</w:t>
      </w:r>
    </w:p>
    <w:p w14:paraId="191BC168" w14:textId="1F0BF75B" w:rsidR="00FD1ABB" w:rsidRDefault="00E95ED9" w:rsidP="000F0B19">
      <w:pPr>
        <w:spacing w:before="240"/>
      </w:pPr>
      <w:r>
        <w:t>There may also be uncertainties relating to the definition of the requirement that the condition must have previously responded to anti-VEGF treatment. This may have implications for the MBS item criteria.</w:t>
      </w:r>
    </w:p>
    <w:p w14:paraId="613CD1D1" w14:textId="75BAD385" w:rsidR="00DA4921" w:rsidRDefault="00E93725" w:rsidP="000F0B19">
      <w:pPr>
        <w:spacing w:before="240"/>
      </w:pPr>
      <w:r>
        <w:t>There are existing uncertainties</w:t>
      </w:r>
      <w:r w:rsidR="00A0678D">
        <w:t xml:space="preserve"> around patient out-of-pocket cost</w:t>
      </w:r>
      <w:r w:rsidR="008C2A38">
        <w:t>s</w:t>
      </w:r>
      <w:r w:rsidR="00A0678D">
        <w:t>,</w:t>
      </w:r>
      <w:r w:rsidR="007F47CE">
        <w:t xml:space="preserve"> primarily around the cost of the </w:t>
      </w:r>
      <w:r w:rsidR="00BE57FF">
        <w:t xml:space="preserve">PDS ocular </w:t>
      </w:r>
      <w:r w:rsidR="007F47CE">
        <w:t>implant</w:t>
      </w:r>
      <w:r>
        <w:t>.</w:t>
      </w:r>
      <w:r w:rsidR="007F47CE">
        <w:t xml:space="preserve"> I</w:t>
      </w:r>
      <w:r w:rsidR="008C2A38">
        <w:t xml:space="preserve">f </w:t>
      </w:r>
      <w:r w:rsidR="00BE57FF">
        <w:t xml:space="preserve">this is </w:t>
      </w:r>
      <w:r w:rsidR="008C2A38">
        <w:t>listed</w:t>
      </w:r>
      <w:r w:rsidR="00BE57FF">
        <w:t xml:space="preserve"> on the Prostheses List</w:t>
      </w:r>
      <w:r w:rsidR="008C2A38">
        <w:t>, i</w:t>
      </w:r>
      <w:r w:rsidR="007F47CE">
        <w:t xml:space="preserve">t is unknown whether a patient’s access to private health insurance may affect the uptake of </w:t>
      </w:r>
      <w:r w:rsidR="00373DBF">
        <w:t>the codependent procedures</w:t>
      </w:r>
      <w:r w:rsidR="007F47CE">
        <w:t xml:space="preserve">. If </w:t>
      </w:r>
      <w:r w:rsidR="00BE57FF">
        <w:t xml:space="preserve">it is </w:t>
      </w:r>
      <w:r w:rsidR="008C2A38">
        <w:t>not listed</w:t>
      </w:r>
      <w:r w:rsidR="00BE57FF">
        <w:t xml:space="preserve"> on the Prostheses List</w:t>
      </w:r>
      <w:r w:rsidR="007F47CE">
        <w:t xml:space="preserve">, </w:t>
      </w:r>
      <w:r w:rsidR="00BE57FF">
        <w:t xml:space="preserve">cost barriers for all patients </w:t>
      </w:r>
      <w:r w:rsidR="007F47CE">
        <w:t xml:space="preserve">may </w:t>
      </w:r>
      <w:r w:rsidR="008C2A38">
        <w:t xml:space="preserve">further </w:t>
      </w:r>
      <w:r w:rsidR="007F47CE">
        <w:t>reduce the anticipated patient uptake of the</w:t>
      </w:r>
      <w:r w:rsidR="00373DBF">
        <w:t>se</w:t>
      </w:r>
      <w:r w:rsidR="007F47CE">
        <w:t xml:space="preserve"> service</w:t>
      </w:r>
      <w:r w:rsidR="00373DBF">
        <w:t>s</w:t>
      </w:r>
      <w:r w:rsidR="007F47CE">
        <w:t>.</w:t>
      </w:r>
    </w:p>
    <w:p w14:paraId="7BE7B0B9" w14:textId="4F61DA45" w:rsidR="007F47CE" w:rsidRDefault="00A4196A" w:rsidP="000F0B19">
      <w:pPr>
        <w:spacing w:before="240"/>
      </w:pPr>
      <w:r w:rsidRPr="006E2D29">
        <w:t>Overall</w:t>
      </w:r>
      <w:r w:rsidR="008C0B8A">
        <w:t>,</w:t>
      </w:r>
      <w:r w:rsidRPr="006E2D29">
        <w:t xml:space="preserve"> th</w:t>
      </w:r>
      <w:r w:rsidR="008C0B8A">
        <w:t>e</w:t>
      </w:r>
      <w:r w:rsidRPr="006E2D29">
        <w:t xml:space="preserve"> </w:t>
      </w:r>
      <w:r w:rsidR="008C0B8A">
        <w:t xml:space="preserve">application </w:t>
      </w:r>
      <w:r w:rsidR="00AB1A08">
        <w:t>claimed</w:t>
      </w:r>
      <w:r w:rsidR="008C0B8A">
        <w:t xml:space="preserve"> a </w:t>
      </w:r>
      <w:r w:rsidRPr="006E2D29">
        <w:t>large cost save to the MBS</w:t>
      </w:r>
      <w:r w:rsidR="008C0B8A">
        <w:t>,</w:t>
      </w:r>
      <w:r w:rsidRPr="006E2D29">
        <w:t xml:space="preserve"> </w:t>
      </w:r>
      <w:r w:rsidR="008C0B8A">
        <w:t xml:space="preserve">with </w:t>
      </w:r>
      <w:r w:rsidRPr="006E2D29">
        <w:t xml:space="preserve">the magnitude of the save driven by the uptake of the PDS. </w:t>
      </w:r>
      <w:r w:rsidR="00437535">
        <w:t>R</w:t>
      </w:r>
      <w:r w:rsidRPr="006E2D29">
        <w:t>ural patients who currently find it difficult to access services that require monthly visits to urban</w:t>
      </w:r>
      <w:r w:rsidR="00437535">
        <w:t>-</w:t>
      </w:r>
      <w:r w:rsidRPr="006E2D29">
        <w:t xml:space="preserve">based specialists </w:t>
      </w:r>
      <w:r w:rsidR="00437535">
        <w:t>might</w:t>
      </w:r>
      <w:r w:rsidRPr="006E2D29">
        <w:t xml:space="preserve"> </w:t>
      </w:r>
      <w:r w:rsidR="00437535">
        <w:t>particularly seek this treatment option</w:t>
      </w:r>
      <w:r w:rsidR="00F86769">
        <w:t>, despite the possible need for supplemental ranibizumab</w:t>
      </w:r>
      <w:r w:rsidRPr="006E2D29">
        <w:t>.</w:t>
      </w:r>
    </w:p>
    <w:p w14:paraId="2437752B" w14:textId="2733285E" w:rsidR="009F6890" w:rsidRPr="00373DBF" w:rsidRDefault="009F6890" w:rsidP="000F0B19">
      <w:pPr>
        <w:keepNext/>
        <w:spacing w:before="240"/>
        <w:rPr>
          <w:b/>
          <w:bCs/>
        </w:rPr>
      </w:pPr>
      <w:r w:rsidRPr="00373DBF">
        <w:rPr>
          <w:b/>
          <w:bCs/>
        </w:rPr>
        <w:t>Percentage of patients requiring additional treatment</w:t>
      </w:r>
    </w:p>
    <w:p w14:paraId="70A05571" w14:textId="238D546C" w:rsidR="009F6890" w:rsidRDefault="00437535" w:rsidP="00C77AAC">
      <w:r>
        <w:t xml:space="preserve">The application estimated that 5.2% </w:t>
      </w:r>
      <w:r w:rsidR="009F6890">
        <w:t>of patients w</w:t>
      </w:r>
      <w:r>
        <w:t>ould</w:t>
      </w:r>
      <w:r w:rsidR="009F6890">
        <w:t xml:space="preserve"> require</w:t>
      </w:r>
      <w:r w:rsidR="00064F40">
        <w:t xml:space="preserve"> </w:t>
      </w:r>
      <w:r w:rsidR="009F6890">
        <w:t xml:space="preserve">intravitreal injections </w:t>
      </w:r>
      <w:r w:rsidR="004903F7">
        <w:t xml:space="preserve">(or possibly additional refill exchange procedures beyond the standard 2 per year) </w:t>
      </w:r>
      <w:r w:rsidR="00C77AAC">
        <w:t xml:space="preserve">as a “top up” treatment in addition to the </w:t>
      </w:r>
      <w:r w:rsidR="00373DBF">
        <w:t xml:space="preserve">regular </w:t>
      </w:r>
      <w:r w:rsidR="00C77AAC">
        <w:t xml:space="preserve">delivery of the drug provided by the </w:t>
      </w:r>
      <w:r w:rsidR="009F6890">
        <w:t>implanted device</w:t>
      </w:r>
      <w:r w:rsidR="000A2051">
        <w:t>.</w:t>
      </w:r>
      <w:r w:rsidR="00C77AAC">
        <w:t xml:space="preserve"> </w:t>
      </w:r>
      <w:r w:rsidR="004903F7">
        <w:t>Any variation from the estimates regarding t</w:t>
      </w:r>
      <w:r w:rsidR="00064F40">
        <w:t xml:space="preserve">hese additional treatments </w:t>
      </w:r>
      <w:r w:rsidR="00F71BF8">
        <w:t xml:space="preserve">would have implications for </w:t>
      </w:r>
      <w:r w:rsidR="00064F40">
        <w:t>overall MBS expenditure.</w:t>
      </w:r>
    </w:p>
    <w:p w14:paraId="302AF45B" w14:textId="7FEC6C2D" w:rsidR="00E95ED9" w:rsidRDefault="00E95ED9" w:rsidP="00EC3E2F">
      <w:pPr>
        <w:spacing w:before="240" w:after="240"/>
      </w:pPr>
      <w:r>
        <w:t xml:space="preserve">Additionally, if patients require additional attendances with </w:t>
      </w:r>
      <w:r w:rsidR="000A2051">
        <w:t>treating clinicians</w:t>
      </w:r>
      <w:r>
        <w:t xml:space="preserve"> to monitor the </w:t>
      </w:r>
      <w:r w:rsidR="008C2A38">
        <w:t>patient’s tolerance</w:t>
      </w:r>
      <w:r w:rsidR="000A2051">
        <w:t xml:space="preserve"> of the implant (including </w:t>
      </w:r>
      <w:r w:rsidR="008C2A38">
        <w:t xml:space="preserve">any </w:t>
      </w:r>
      <w:r w:rsidR="000A2051">
        <w:t xml:space="preserve">aftercare and follow up visits), this </w:t>
      </w:r>
      <w:proofErr w:type="gramStart"/>
      <w:r w:rsidR="000A2051">
        <w:t>would</w:t>
      </w:r>
      <w:proofErr w:type="gramEnd"/>
      <w:r w:rsidR="000A2051">
        <w:t xml:space="preserve"> </w:t>
      </w:r>
      <w:r w:rsidR="000A2051">
        <w:lastRenderedPageBreak/>
        <w:t xml:space="preserve">have implications for overall MBS </w:t>
      </w:r>
      <w:r w:rsidR="002146D7">
        <w:t>expenditure. The number of follow up visits required may need to be reflected in the MBS item and reflect evidence provided in trials</w:t>
      </w:r>
      <w:r w:rsidR="000A2051">
        <w:t>. Higher rates of adverse events and ocular adverse events in patients with the implanted device may add further uncertainty to estimations of overall MBS expenditure.</w:t>
      </w:r>
    </w:p>
    <w:p w14:paraId="18CFBE9F" w14:textId="144C91D9" w:rsidR="00DA4921" w:rsidRPr="00A57E08" w:rsidRDefault="00DA4921" w:rsidP="00437535">
      <w:pPr>
        <w:keepNext/>
        <w:rPr>
          <w:b/>
          <w:bCs/>
        </w:rPr>
      </w:pPr>
      <w:r w:rsidRPr="00A57E08">
        <w:rPr>
          <w:b/>
          <w:bCs/>
        </w:rPr>
        <w:t>Unclear number of patients who may require explantation and their continued treatment</w:t>
      </w:r>
    </w:p>
    <w:p w14:paraId="7FB360BA" w14:textId="2BFEFC5A" w:rsidR="009A30C9" w:rsidRDefault="009A30C9" w:rsidP="002055E4">
      <w:r>
        <w:t xml:space="preserve">Given the challenges mentioned above in accessing current intravitreal injection services, there is uncertainty about the number of patients in an Australian health care setting who may require explantation of their device and return to subsequent intravitreal injections versus completely disengaging from treatment. This will have impacts upon the overall MBS costs. </w:t>
      </w:r>
      <w:r w:rsidR="00A57E08">
        <w:t>T</w:t>
      </w:r>
      <w:r>
        <w:t>he economic modelling</w:t>
      </w:r>
      <w:r w:rsidR="00A57E08">
        <w:t xml:space="preserve"> includes an estimate of the proportion of patients requiring an explant procedure, but this estimate would likely increase over time</w:t>
      </w:r>
      <w:r>
        <w:t>.</w:t>
      </w:r>
    </w:p>
    <w:p w14:paraId="1AE8F5EF" w14:textId="0634A3E7" w:rsidR="00DC4005" w:rsidRPr="00890B6B" w:rsidRDefault="00F86769" w:rsidP="000F0B19">
      <w:pPr>
        <w:keepNext/>
        <w:spacing w:before="240"/>
        <w:rPr>
          <w:b/>
          <w:bCs/>
        </w:rPr>
      </w:pPr>
      <w:r>
        <w:rPr>
          <w:b/>
          <w:bCs/>
        </w:rPr>
        <w:t>Change in p</w:t>
      </w:r>
      <w:r w:rsidR="00E028C6" w:rsidRPr="00890B6B">
        <w:rPr>
          <w:b/>
          <w:bCs/>
        </w:rPr>
        <w:t>atient out-of-pocket costs</w:t>
      </w:r>
      <w:r>
        <w:rPr>
          <w:b/>
          <w:bCs/>
        </w:rPr>
        <w:t xml:space="preserve"> for monitoring</w:t>
      </w:r>
    </w:p>
    <w:p w14:paraId="39C358A0" w14:textId="13B4D387" w:rsidR="00981B9B" w:rsidRDefault="00FB35C0" w:rsidP="00C77AAC">
      <w:r>
        <w:t xml:space="preserve">A key concern for patients undergoing treatment for </w:t>
      </w:r>
      <w:proofErr w:type="spellStart"/>
      <w:r w:rsidR="00437535">
        <w:t>nAMD</w:t>
      </w:r>
      <w:proofErr w:type="spellEnd"/>
      <w:r>
        <w:t xml:space="preserve"> is </w:t>
      </w:r>
      <w:r w:rsidR="00134048">
        <w:t xml:space="preserve">high </w:t>
      </w:r>
      <w:r>
        <w:t>out</w:t>
      </w:r>
      <w:r w:rsidR="00134048">
        <w:t>-</w:t>
      </w:r>
      <w:r>
        <w:t>of</w:t>
      </w:r>
      <w:r w:rsidR="00134048">
        <w:t>-</w:t>
      </w:r>
      <w:r>
        <w:t xml:space="preserve">pocket costs. </w:t>
      </w:r>
      <w:r w:rsidR="00437535">
        <w:t xml:space="preserve">Several </w:t>
      </w:r>
      <w:r w:rsidR="00134048">
        <w:t>factors contribute to patient out-of-pocket costs.</w:t>
      </w:r>
      <w:r w:rsidR="00D72782">
        <w:t xml:space="preserve"> </w:t>
      </w:r>
      <w:r w:rsidR="00437535">
        <w:t>The</w:t>
      </w:r>
      <w:r w:rsidR="00134048">
        <w:t xml:space="preserve"> application note</w:t>
      </w:r>
      <w:r w:rsidR="00437535">
        <w:t>d</w:t>
      </w:r>
      <w:r w:rsidR="00134048">
        <w:t xml:space="preserve"> that response to treatment is detected using </w:t>
      </w:r>
      <w:r w:rsidR="00437535">
        <w:t>optical coherence tomo</w:t>
      </w:r>
      <w:r w:rsidR="00134048">
        <w:t xml:space="preserve">graphy (OCT); and that </w:t>
      </w:r>
      <w:r w:rsidR="00437535">
        <w:t xml:space="preserve">current </w:t>
      </w:r>
      <w:r w:rsidR="00134048">
        <w:t xml:space="preserve">dosing intervals are determined </w:t>
      </w:r>
      <w:r w:rsidR="004B45F5">
        <w:t xml:space="preserve">using OCT. There is a current MBS item (11219) for the diagnosis of an ocular condition, claimable once in a </w:t>
      </w:r>
      <w:r w:rsidR="00AB1A08">
        <w:t>12</w:t>
      </w:r>
      <w:r w:rsidR="004B45F5">
        <w:t xml:space="preserve">-month period. </w:t>
      </w:r>
      <w:r w:rsidR="00437535">
        <w:t>However, t</w:t>
      </w:r>
      <w:r w:rsidR="004B45F5">
        <w:t>his item cannot be used for post-diagnosis monitoring as outlined in th</w:t>
      </w:r>
      <w:r w:rsidR="00437535">
        <w:t>e</w:t>
      </w:r>
      <w:r w:rsidR="004B45F5">
        <w:t xml:space="preserve"> application. The application does not address the impact for patients</w:t>
      </w:r>
      <w:r w:rsidR="00D72782">
        <w:t xml:space="preserve"> of the use of OCT to monitor effectiveness and progress of treatment</w:t>
      </w:r>
      <w:r w:rsidR="004B45F5">
        <w:t>.</w:t>
      </w:r>
      <w:r w:rsidR="00D72782">
        <w:t xml:space="preserve"> Patients are therefore likely to face out-of-pocket costs </w:t>
      </w:r>
      <w:r w:rsidR="00437535">
        <w:t>during</w:t>
      </w:r>
      <w:r w:rsidR="00D72782">
        <w:t xml:space="preserve"> their treatment.</w:t>
      </w:r>
    </w:p>
    <w:p w14:paraId="26C6781D" w14:textId="6F33B7BB" w:rsidR="00005EB4" w:rsidRPr="00A57E08" w:rsidRDefault="00005EB4" w:rsidP="000F0B19">
      <w:pPr>
        <w:keepNext/>
        <w:spacing w:before="240"/>
        <w:rPr>
          <w:b/>
          <w:bCs/>
        </w:rPr>
      </w:pPr>
      <w:r w:rsidRPr="00A57E08">
        <w:rPr>
          <w:b/>
          <w:bCs/>
        </w:rPr>
        <w:t>Private health insurance</w:t>
      </w:r>
    </w:p>
    <w:p w14:paraId="0168DC36" w14:textId="1FEABDA1" w:rsidR="00005EB4" w:rsidRPr="00A85374" w:rsidRDefault="00890455" w:rsidP="00437535">
      <w:pPr>
        <w:tabs>
          <w:tab w:val="left" w:pos="720"/>
        </w:tabs>
        <w:spacing w:after="120"/>
      </w:pPr>
      <w:r>
        <w:t>As</w:t>
      </w:r>
      <w:r w:rsidR="00005EB4" w:rsidRPr="00A85374">
        <w:t xml:space="preserve"> the item</w:t>
      </w:r>
      <w:r w:rsidR="00F86769">
        <w:t>s</w:t>
      </w:r>
      <w:r w:rsidR="00005EB4" w:rsidRPr="00A85374">
        <w:t xml:space="preserve"> relate to amendments to Schedules 1 and 3 of the Benefit Requirement Rules, MSAC advice is sought on the types of procedure the service</w:t>
      </w:r>
      <w:r>
        <w:t>s</w:t>
      </w:r>
      <w:r w:rsidR="00005EB4" w:rsidRPr="00A85374">
        <w:t xml:space="preserve"> should be categorized under:</w:t>
      </w:r>
    </w:p>
    <w:p w14:paraId="2ED4AE54" w14:textId="77777777" w:rsidR="00005EB4" w:rsidRPr="00A85374" w:rsidRDefault="00005EB4" w:rsidP="00005EB4">
      <w:pPr>
        <w:pStyle w:val="ListParagraph"/>
        <w:numPr>
          <w:ilvl w:val="0"/>
          <w:numId w:val="14"/>
        </w:numPr>
      </w:pPr>
      <w:r w:rsidRPr="00A85374">
        <w:t>Type A procedures are overnight procedures.</w:t>
      </w:r>
    </w:p>
    <w:p w14:paraId="30309486" w14:textId="77777777" w:rsidR="00005EB4" w:rsidRPr="00A85374" w:rsidRDefault="00005EB4" w:rsidP="00005EB4">
      <w:pPr>
        <w:pStyle w:val="ListParagraph"/>
        <w:numPr>
          <w:ilvl w:val="0"/>
          <w:numId w:val="14"/>
        </w:numPr>
      </w:pPr>
      <w:r w:rsidRPr="00A85374">
        <w:t xml:space="preserve">Type B procedures are same-day hospital procedures where the patient leaves the hospital on the same </w:t>
      </w:r>
      <w:proofErr w:type="gramStart"/>
      <w:r w:rsidRPr="00A85374">
        <w:t>day</w:t>
      </w:r>
      <w:proofErr w:type="gramEnd"/>
      <w:r w:rsidRPr="00A85374">
        <w:t xml:space="preserve"> they have surgery.</w:t>
      </w:r>
    </w:p>
    <w:p w14:paraId="52BEAD03" w14:textId="77777777" w:rsidR="00005EB4" w:rsidRPr="00A85374" w:rsidRDefault="00005EB4" w:rsidP="00005EB4">
      <w:pPr>
        <w:pStyle w:val="ListParagraph"/>
        <w:numPr>
          <w:ilvl w:val="0"/>
          <w:numId w:val="14"/>
        </w:numPr>
      </w:pPr>
      <w:r w:rsidRPr="00A85374">
        <w:t>Type C procedures are often out-of-hospital procedures which do not normally require hospital accommodation/admission.</w:t>
      </w:r>
    </w:p>
    <w:p w14:paraId="390BFA3B" w14:textId="085CF00B" w:rsidR="00FA303D" w:rsidRDefault="00005EB4" w:rsidP="000F0B19">
      <w:pPr>
        <w:spacing w:before="240"/>
      </w:pPr>
      <w:r>
        <w:t xml:space="preserve">Current intravitreal injection services are classified as Type B procedures. There has been an ongoing discussion around the reclassification of intravitreal injections as Type C procedures. There is some opposition from the </w:t>
      </w:r>
      <w:r w:rsidR="002C19C9">
        <w:t xml:space="preserve">profession regarding the classification of intravitreal injections as </w:t>
      </w:r>
      <w:r w:rsidR="009767F3">
        <w:t xml:space="preserve">Type C procedures. Similar discussions may apply to the proposed refill-exchange service. </w:t>
      </w:r>
      <w:r w:rsidR="00890455">
        <w:t>However, i</w:t>
      </w:r>
      <w:r w:rsidR="009767F3">
        <w:t>t appears appropriate that the implantation and explantation procedures are likely to be Type B procedures.</w:t>
      </w:r>
    </w:p>
    <w:p w14:paraId="4E074063" w14:textId="77777777" w:rsidR="000F0B19" w:rsidRPr="000F0B19" w:rsidRDefault="000F0B19" w:rsidP="000F0B19">
      <w:pPr>
        <w:pStyle w:val="Heading1"/>
        <w:ind w:left="709" w:hanging="709"/>
      </w:pPr>
      <w:r w:rsidRPr="000F0B19">
        <w:t>Applicant comments on MSAC’s Public Summary Document</w:t>
      </w:r>
    </w:p>
    <w:p w14:paraId="73611206" w14:textId="57A43756" w:rsidR="007346C4" w:rsidRPr="007438F1" w:rsidRDefault="007346C4" w:rsidP="007438F1">
      <w:r w:rsidRPr="00923522">
        <w:t xml:space="preserve">The </w:t>
      </w:r>
      <w:r w:rsidR="007438F1">
        <w:t>applicant</w:t>
      </w:r>
      <w:r w:rsidRPr="00923522">
        <w:t xml:space="preserve"> had no comment.</w:t>
      </w:r>
    </w:p>
    <w:p w14:paraId="70A96689" w14:textId="77777777" w:rsidR="000F0B19" w:rsidRPr="000F0B19" w:rsidRDefault="000F0B19" w:rsidP="000F0B19">
      <w:pPr>
        <w:pStyle w:val="Heading1"/>
        <w:ind w:left="709" w:hanging="709"/>
      </w:pPr>
      <w:r w:rsidRPr="000F0B19">
        <w:t>Further information on MSAC</w:t>
      </w:r>
    </w:p>
    <w:p w14:paraId="707184F9" w14:textId="239C5784" w:rsidR="000F0B19" w:rsidRPr="000F0B19" w:rsidRDefault="000F0B19" w:rsidP="000F0B19">
      <w:pPr>
        <w:spacing w:before="120" w:after="160" w:line="259" w:lineRule="auto"/>
        <w:rPr>
          <w:rFonts w:eastAsia="Calibri"/>
          <w:szCs w:val="24"/>
          <w:lang w:eastAsia="en-US"/>
        </w:rPr>
      </w:pPr>
      <w:r w:rsidRPr="000F0B19">
        <w:rPr>
          <w:rFonts w:eastAsia="Calibri"/>
          <w:szCs w:val="24"/>
          <w:lang w:eastAsia="en-US"/>
        </w:rPr>
        <w:t xml:space="preserve">MSAC Terms of Reference and other information are available on the MSAC Website: </w:t>
      </w:r>
      <w:hyperlink r:id="rId16" w:tooltip="Link to the MSAC website" w:history="1">
        <w:r w:rsidRPr="000F0B19">
          <w:rPr>
            <w:rFonts w:eastAsia="Calibri"/>
            <w:color w:val="0070C0"/>
            <w:szCs w:val="24"/>
            <w:u w:val="single"/>
            <w:lang w:eastAsia="en-US"/>
          </w:rPr>
          <w:t>visit the MSAC website</w:t>
        </w:r>
      </w:hyperlink>
    </w:p>
    <w:sectPr w:rsidR="000F0B19" w:rsidRPr="000F0B19" w:rsidSect="00271F18">
      <w:footerReference w:type="defaul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3F076" w14:textId="77777777" w:rsidR="00966670" w:rsidRDefault="00966670" w:rsidP="00065623">
      <w:r>
        <w:separator/>
      </w:r>
    </w:p>
  </w:endnote>
  <w:endnote w:type="continuationSeparator" w:id="0">
    <w:p w14:paraId="76D16100" w14:textId="77777777" w:rsidR="00966670" w:rsidRDefault="009666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64304758" w14:textId="61D2FF5F" w:rsidR="00966670" w:rsidRDefault="00966670">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B2DDB1A" w14:textId="77777777" w:rsidR="00966670" w:rsidRDefault="00966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E4B8E" w14:textId="77777777" w:rsidR="00966670" w:rsidRDefault="00966670" w:rsidP="00065623">
      <w:r>
        <w:separator/>
      </w:r>
    </w:p>
  </w:footnote>
  <w:footnote w:type="continuationSeparator" w:id="0">
    <w:p w14:paraId="794265D9" w14:textId="77777777" w:rsidR="00966670" w:rsidRDefault="00966670" w:rsidP="00065623">
      <w:r>
        <w:continuationSeparator/>
      </w:r>
    </w:p>
  </w:footnote>
  <w:footnote w:id="1">
    <w:p w14:paraId="08274FCA" w14:textId="77777777" w:rsidR="00966670" w:rsidRDefault="00966670" w:rsidP="005A6C88">
      <w:pPr>
        <w:pStyle w:val="FootnoteText"/>
      </w:pPr>
      <w:r>
        <w:rPr>
          <w:rStyle w:val="FootnoteReference"/>
        </w:rPr>
        <w:footnoteRef/>
      </w:r>
      <w:r>
        <w:t xml:space="preserve"> Prostheses List Reforms Consultation Paper 1: Prostheses List Purpose, Definitions and Scope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438"/>
    <w:multiLevelType w:val="hybridMultilevel"/>
    <w:tmpl w:val="F59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3B3FC6"/>
    <w:multiLevelType w:val="hybridMultilevel"/>
    <w:tmpl w:val="AAA86A42"/>
    <w:lvl w:ilvl="0" w:tplc="EC8C657C">
      <w:start w:val="1"/>
      <w:numFmt w:val="bullet"/>
      <w:pStyle w:val="BulletList"/>
      <w:lvlText w:val=""/>
      <w:lvlJc w:val="left"/>
      <w:pPr>
        <w:tabs>
          <w:tab w:val="num" w:pos="360"/>
        </w:tabs>
        <w:ind w:left="360" w:hanging="360"/>
      </w:pPr>
      <w:rPr>
        <w:rFonts w:ascii="Symbol" w:hAnsi="Symbol" w:hint="default"/>
      </w:rPr>
    </w:lvl>
    <w:lvl w:ilvl="1" w:tplc="5950AD9E">
      <w:numFmt w:val="bullet"/>
      <w:lvlText w:val="–"/>
      <w:lvlJc w:val="left"/>
      <w:pPr>
        <w:ind w:left="1440" w:hanging="360"/>
      </w:pPr>
      <w:rPr>
        <w:rFonts w:ascii="Arial" w:eastAsia="MS UI Gothic" w:hAnsi="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1330"/>
    <w:multiLevelType w:val="hybridMultilevel"/>
    <w:tmpl w:val="83C2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3588D"/>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8E1A19"/>
    <w:multiLevelType w:val="hybridMultilevel"/>
    <w:tmpl w:val="E28CC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816DBA"/>
    <w:multiLevelType w:val="hybridMultilevel"/>
    <w:tmpl w:val="7432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5097D"/>
    <w:multiLevelType w:val="hybridMultilevel"/>
    <w:tmpl w:val="3EB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74B6A"/>
    <w:multiLevelType w:val="hybridMultilevel"/>
    <w:tmpl w:val="ACA4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11B67"/>
    <w:multiLevelType w:val="hybridMultilevel"/>
    <w:tmpl w:val="7EEC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271E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B13974"/>
    <w:multiLevelType w:val="multilevel"/>
    <w:tmpl w:val="92C6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A21A7"/>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7A4F41"/>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3E4084"/>
    <w:multiLevelType w:val="hybridMultilevel"/>
    <w:tmpl w:val="B280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1F49C8"/>
    <w:multiLevelType w:val="hybridMultilevel"/>
    <w:tmpl w:val="76286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831F4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7"/>
  </w:num>
  <w:num w:numId="6">
    <w:abstractNumId w:val="10"/>
  </w:num>
  <w:num w:numId="7">
    <w:abstractNumId w:val="13"/>
  </w:num>
  <w:num w:numId="8">
    <w:abstractNumId w:val="12"/>
  </w:num>
  <w:num w:numId="9">
    <w:abstractNumId w:val="17"/>
  </w:num>
  <w:num w:numId="10">
    <w:abstractNumId w:val="4"/>
  </w:num>
  <w:num w:numId="11">
    <w:abstractNumId w:val="2"/>
  </w:num>
  <w:num w:numId="12">
    <w:abstractNumId w:val="16"/>
  </w:num>
  <w:num w:numId="13">
    <w:abstractNumId w:val="15"/>
  </w:num>
  <w:num w:numId="14">
    <w:abstractNumId w:val="6"/>
  </w:num>
  <w:num w:numId="15">
    <w:abstractNumId w:val="5"/>
  </w:num>
  <w:num w:numId="16">
    <w:abstractNumId w:val="11"/>
  </w:num>
  <w:num w:numId="17">
    <w:abstractNumId w:val="1"/>
  </w:num>
  <w:num w:numId="18">
    <w:abstractNumId w:val="1"/>
  </w:num>
  <w:num w:numId="19">
    <w:abstractNumId w:val="14"/>
  </w:num>
  <w:num w:numId="20">
    <w:abstractNumId w:val="1"/>
  </w:num>
  <w:num w:numId="21">
    <w:abstractNumId w:val="3"/>
  </w:num>
  <w:num w:numId="22">
    <w:abstractNumId w:val="1"/>
  </w:num>
  <w:num w:numId="23">
    <w:abstractNumId w:val="1"/>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5B78"/>
    <w:rsid w:val="00005EB4"/>
    <w:rsid w:val="0000630E"/>
    <w:rsid w:val="00006ABF"/>
    <w:rsid w:val="00006C2F"/>
    <w:rsid w:val="00007312"/>
    <w:rsid w:val="00007793"/>
    <w:rsid w:val="00011A36"/>
    <w:rsid w:val="00012527"/>
    <w:rsid w:val="000132FD"/>
    <w:rsid w:val="0002000A"/>
    <w:rsid w:val="00020ECE"/>
    <w:rsid w:val="000317F2"/>
    <w:rsid w:val="00041AE3"/>
    <w:rsid w:val="00047606"/>
    <w:rsid w:val="00051065"/>
    <w:rsid w:val="000521F2"/>
    <w:rsid w:val="00055F87"/>
    <w:rsid w:val="0005692D"/>
    <w:rsid w:val="00064F40"/>
    <w:rsid w:val="0006556E"/>
    <w:rsid w:val="00065623"/>
    <w:rsid w:val="000756B9"/>
    <w:rsid w:val="00092A7D"/>
    <w:rsid w:val="00095E9E"/>
    <w:rsid w:val="00096B67"/>
    <w:rsid w:val="00096DAF"/>
    <w:rsid w:val="000971CE"/>
    <w:rsid w:val="00097A2E"/>
    <w:rsid w:val="00097AC2"/>
    <w:rsid w:val="00097F9D"/>
    <w:rsid w:val="000A2051"/>
    <w:rsid w:val="000A7E0C"/>
    <w:rsid w:val="000B7718"/>
    <w:rsid w:val="000C0500"/>
    <w:rsid w:val="000C1F88"/>
    <w:rsid w:val="000C2F47"/>
    <w:rsid w:val="000C3EF2"/>
    <w:rsid w:val="000C6C3E"/>
    <w:rsid w:val="000D01B7"/>
    <w:rsid w:val="000D1597"/>
    <w:rsid w:val="000D2B9A"/>
    <w:rsid w:val="000D5CF3"/>
    <w:rsid w:val="000D6C00"/>
    <w:rsid w:val="000E4E04"/>
    <w:rsid w:val="000F0B19"/>
    <w:rsid w:val="000F14B4"/>
    <w:rsid w:val="000F2179"/>
    <w:rsid w:val="000F75DF"/>
    <w:rsid w:val="00100F89"/>
    <w:rsid w:val="0010118A"/>
    <w:rsid w:val="001023DC"/>
    <w:rsid w:val="001039F4"/>
    <w:rsid w:val="00103E2E"/>
    <w:rsid w:val="0010548D"/>
    <w:rsid w:val="001154FC"/>
    <w:rsid w:val="00116104"/>
    <w:rsid w:val="00117695"/>
    <w:rsid w:val="00117924"/>
    <w:rsid w:val="00124A34"/>
    <w:rsid w:val="0012513D"/>
    <w:rsid w:val="001328FA"/>
    <w:rsid w:val="00134048"/>
    <w:rsid w:val="00137BD2"/>
    <w:rsid w:val="00147AAF"/>
    <w:rsid w:val="001501DC"/>
    <w:rsid w:val="00153166"/>
    <w:rsid w:val="0015435A"/>
    <w:rsid w:val="001552C0"/>
    <w:rsid w:val="0015794E"/>
    <w:rsid w:val="00162DE3"/>
    <w:rsid w:val="001640B1"/>
    <w:rsid w:val="001672E2"/>
    <w:rsid w:val="00167CEC"/>
    <w:rsid w:val="00176E9F"/>
    <w:rsid w:val="001779F5"/>
    <w:rsid w:val="00180A90"/>
    <w:rsid w:val="00183141"/>
    <w:rsid w:val="00183880"/>
    <w:rsid w:val="0018435E"/>
    <w:rsid w:val="00184806"/>
    <w:rsid w:val="00186674"/>
    <w:rsid w:val="0019269D"/>
    <w:rsid w:val="001A07CF"/>
    <w:rsid w:val="001A1C21"/>
    <w:rsid w:val="001B06D1"/>
    <w:rsid w:val="001B4E4D"/>
    <w:rsid w:val="001C6A40"/>
    <w:rsid w:val="001C726B"/>
    <w:rsid w:val="001D40B0"/>
    <w:rsid w:val="001D6C4F"/>
    <w:rsid w:val="001E32AA"/>
    <w:rsid w:val="001E7239"/>
    <w:rsid w:val="001F2A6B"/>
    <w:rsid w:val="001F5107"/>
    <w:rsid w:val="001F739C"/>
    <w:rsid w:val="00201DB6"/>
    <w:rsid w:val="002041A1"/>
    <w:rsid w:val="002054F0"/>
    <w:rsid w:val="002055E4"/>
    <w:rsid w:val="00207479"/>
    <w:rsid w:val="00207D34"/>
    <w:rsid w:val="00213CBB"/>
    <w:rsid w:val="002146D7"/>
    <w:rsid w:val="00217594"/>
    <w:rsid w:val="00221AF6"/>
    <w:rsid w:val="00230D6B"/>
    <w:rsid w:val="00232068"/>
    <w:rsid w:val="002330F2"/>
    <w:rsid w:val="002340EF"/>
    <w:rsid w:val="002347FB"/>
    <w:rsid w:val="002357A3"/>
    <w:rsid w:val="00236A92"/>
    <w:rsid w:val="002415B8"/>
    <w:rsid w:val="00242A2F"/>
    <w:rsid w:val="00243CC1"/>
    <w:rsid w:val="00243D9E"/>
    <w:rsid w:val="002472A5"/>
    <w:rsid w:val="00253B66"/>
    <w:rsid w:val="00254739"/>
    <w:rsid w:val="002547B1"/>
    <w:rsid w:val="002550F6"/>
    <w:rsid w:val="00261DF1"/>
    <w:rsid w:val="00264DB9"/>
    <w:rsid w:val="00267737"/>
    <w:rsid w:val="00271F18"/>
    <w:rsid w:val="00271F1F"/>
    <w:rsid w:val="002744B8"/>
    <w:rsid w:val="00275081"/>
    <w:rsid w:val="0028067C"/>
    <w:rsid w:val="00282779"/>
    <w:rsid w:val="0028334D"/>
    <w:rsid w:val="00292A65"/>
    <w:rsid w:val="00294622"/>
    <w:rsid w:val="0029710A"/>
    <w:rsid w:val="0029763A"/>
    <w:rsid w:val="002A3F60"/>
    <w:rsid w:val="002A5B9C"/>
    <w:rsid w:val="002B4C69"/>
    <w:rsid w:val="002B5F66"/>
    <w:rsid w:val="002B746B"/>
    <w:rsid w:val="002B77DF"/>
    <w:rsid w:val="002B7FFA"/>
    <w:rsid w:val="002C19C9"/>
    <w:rsid w:val="002C2BCF"/>
    <w:rsid w:val="002D226B"/>
    <w:rsid w:val="002D316A"/>
    <w:rsid w:val="002D3BD3"/>
    <w:rsid w:val="002E18FB"/>
    <w:rsid w:val="002E5DD5"/>
    <w:rsid w:val="002E69D8"/>
    <w:rsid w:val="002F099A"/>
    <w:rsid w:val="002F279D"/>
    <w:rsid w:val="002F2E1B"/>
    <w:rsid w:val="002F43B8"/>
    <w:rsid w:val="002F60E6"/>
    <w:rsid w:val="00300795"/>
    <w:rsid w:val="00307F54"/>
    <w:rsid w:val="00317BA9"/>
    <w:rsid w:val="0032136A"/>
    <w:rsid w:val="00322DA5"/>
    <w:rsid w:val="0033545D"/>
    <w:rsid w:val="003357F6"/>
    <w:rsid w:val="00336856"/>
    <w:rsid w:val="0034373D"/>
    <w:rsid w:val="0034554D"/>
    <w:rsid w:val="003511C3"/>
    <w:rsid w:val="00352224"/>
    <w:rsid w:val="003533B8"/>
    <w:rsid w:val="003671E6"/>
    <w:rsid w:val="00372795"/>
    <w:rsid w:val="00373DBF"/>
    <w:rsid w:val="0037581B"/>
    <w:rsid w:val="00377FE7"/>
    <w:rsid w:val="003834C8"/>
    <w:rsid w:val="00383846"/>
    <w:rsid w:val="00384272"/>
    <w:rsid w:val="00385D6A"/>
    <w:rsid w:val="00386C21"/>
    <w:rsid w:val="00386D67"/>
    <w:rsid w:val="00387E17"/>
    <w:rsid w:val="00391A47"/>
    <w:rsid w:val="00392803"/>
    <w:rsid w:val="00393FA0"/>
    <w:rsid w:val="003945B8"/>
    <w:rsid w:val="003974BA"/>
    <w:rsid w:val="0039787F"/>
    <w:rsid w:val="003A43D3"/>
    <w:rsid w:val="003A48F7"/>
    <w:rsid w:val="003A607B"/>
    <w:rsid w:val="003B325D"/>
    <w:rsid w:val="003B6057"/>
    <w:rsid w:val="003C2D3B"/>
    <w:rsid w:val="003D7F29"/>
    <w:rsid w:val="003E048E"/>
    <w:rsid w:val="003E1C61"/>
    <w:rsid w:val="003E444D"/>
    <w:rsid w:val="003E4AF8"/>
    <w:rsid w:val="003F1004"/>
    <w:rsid w:val="004008F6"/>
    <w:rsid w:val="00400DB5"/>
    <w:rsid w:val="00400F34"/>
    <w:rsid w:val="0040407C"/>
    <w:rsid w:val="00404464"/>
    <w:rsid w:val="0040447A"/>
    <w:rsid w:val="0040471E"/>
    <w:rsid w:val="00405A6B"/>
    <w:rsid w:val="00407B1F"/>
    <w:rsid w:val="0041184F"/>
    <w:rsid w:val="00413F91"/>
    <w:rsid w:val="004142C8"/>
    <w:rsid w:val="00414C57"/>
    <w:rsid w:val="00417278"/>
    <w:rsid w:val="0041758C"/>
    <w:rsid w:val="00421220"/>
    <w:rsid w:val="00422C8A"/>
    <w:rsid w:val="00422F18"/>
    <w:rsid w:val="004273E3"/>
    <w:rsid w:val="00430F28"/>
    <w:rsid w:val="00432143"/>
    <w:rsid w:val="00437535"/>
    <w:rsid w:val="00446939"/>
    <w:rsid w:val="004473BA"/>
    <w:rsid w:val="00450230"/>
    <w:rsid w:val="004539DE"/>
    <w:rsid w:val="00454639"/>
    <w:rsid w:val="00465B95"/>
    <w:rsid w:val="004716C9"/>
    <w:rsid w:val="00475B09"/>
    <w:rsid w:val="00476700"/>
    <w:rsid w:val="00482A03"/>
    <w:rsid w:val="004838AF"/>
    <w:rsid w:val="00484D29"/>
    <w:rsid w:val="00484EFB"/>
    <w:rsid w:val="004903F7"/>
    <w:rsid w:val="00493ECC"/>
    <w:rsid w:val="00496A61"/>
    <w:rsid w:val="004A0653"/>
    <w:rsid w:val="004A2CF1"/>
    <w:rsid w:val="004A7906"/>
    <w:rsid w:val="004B1F54"/>
    <w:rsid w:val="004B45F5"/>
    <w:rsid w:val="004B7544"/>
    <w:rsid w:val="004C3035"/>
    <w:rsid w:val="004C307F"/>
    <w:rsid w:val="004C69C0"/>
    <w:rsid w:val="004D0079"/>
    <w:rsid w:val="004D1199"/>
    <w:rsid w:val="004D138E"/>
    <w:rsid w:val="004D35A1"/>
    <w:rsid w:val="004D4FA5"/>
    <w:rsid w:val="004E264B"/>
    <w:rsid w:val="004E3603"/>
    <w:rsid w:val="004E47A2"/>
    <w:rsid w:val="004E4BA8"/>
    <w:rsid w:val="004E77BA"/>
    <w:rsid w:val="004F340F"/>
    <w:rsid w:val="004F7B7C"/>
    <w:rsid w:val="005002FC"/>
    <w:rsid w:val="005062C3"/>
    <w:rsid w:val="00507F88"/>
    <w:rsid w:val="00507FD3"/>
    <w:rsid w:val="00512716"/>
    <w:rsid w:val="00513690"/>
    <w:rsid w:val="0052243D"/>
    <w:rsid w:val="00532435"/>
    <w:rsid w:val="0053431B"/>
    <w:rsid w:val="00537B6C"/>
    <w:rsid w:val="005424DD"/>
    <w:rsid w:val="00544503"/>
    <w:rsid w:val="00546766"/>
    <w:rsid w:val="00550354"/>
    <w:rsid w:val="005550DC"/>
    <w:rsid w:val="00556F71"/>
    <w:rsid w:val="00561FB5"/>
    <w:rsid w:val="00565913"/>
    <w:rsid w:val="005663FB"/>
    <w:rsid w:val="00571236"/>
    <w:rsid w:val="00582355"/>
    <w:rsid w:val="00583904"/>
    <w:rsid w:val="005912B0"/>
    <w:rsid w:val="0059434D"/>
    <w:rsid w:val="0059454C"/>
    <w:rsid w:val="005953A1"/>
    <w:rsid w:val="00595655"/>
    <w:rsid w:val="005A085E"/>
    <w:rsid w:val="005A4362"/>
    <w:rsid w:val="005A6C88"/>
    <w:rsid w:val="005A779A"/>
    <w:rsid w:val="005B0C22"/>
    <w:rsid w:val="005B1703"/>
    <w:rsid w:val="005B4A43"/>
    <w:rsid w:val="005B5434"/>
    <w:rsid w:val="005C4768"/>
    <w:rsid w:val="005C65A3"/>
    <w:rsid w:val="005D0332"/>
    <w:rsid w:val="005D0BE8"/>
    <w:rsid w:val="005D0D8C"/>
    <w:rsid w:val="005D165F"/>
    <w:rsid w:val="005D1AC3"/>
    <w:rsid w:val="005D2084"/>
    <w:rsid w:val="005D3105"/>
    <w:rsid w:val="005E3412"/>
    <w:rsid w:val="005E7294"/>
    <w:rsid w:val="005E7A9F"/>
    <w:rsid w:val="005E7EA4"/>
    <w:rsid w:val="005F28A0"/>
    <w:rsid w:val="005F2FD5"/>
    <w:rsid w:val="005F3887"/>
    <w:rsid w:val="005F4BDB"/>
    <w:rsid w:val="005F699E"/>
    <w:rsid w:val="005F6E5C"/>
    <w:rsid w:val="00606541"/>
    <w:rsid w:val="00606BE1"/>
    <w:rsid w:val="006119D9"/>
    <w:rsid w:val="00615A58"/>
    <w:rsid w:val="00616338"/>
    <w:rsid w:val="006237E5"/>
    <w:rsid w:val="00623993"/>
    <w:rsid w:val="0063201A"/>
    <w:rsid w:val="006371EB"/>
    <w:rsid w:val="0064596E"/>
    <w:rsid w:val="006460EF"/>
    <w:rsid w:val="00646B1A"/>
    <w:rsid w:val="006508EF"/>
    <w:rsid w:val="006528B8"/>
    <w:rsid w:val="0067590F"/>
    <w:rsid w:val="006776AE"/>
    <w:rsid w:val="00693AD0"/>
    <w:rsid w:val="006A0D97"/>
    <w:rsid w:val="006A379B"/>
    <w:rsid w:val="006B1F86"/>
    <w:rsid w:val="006B2798"/>
    <w:rsid w:val="006B4D73"/>
    <w:rsid w:val="006C0A91"/>
    <w:rsid w:val="006C1876"/>
    <w:rsid w:val="006C2952"/>
    <w:rsid w:val="006C44D7"/>
    <w:rsid w:val="006C5F47"/>
    <w:rsid w:val="006D0DB6"/>
    <w:rsid w:val="006D1DFC"/>
    <w:rsid w:val="006D3F9C"/>
    <w:rsid w:val="006D631F"/>
    <w:rsid w:val="006E03BD"/>
    <w:rsid w:val="006E1202"/>
    <w:rsid w:val="006E2D29"/>
    <w:rsid w:val="006E4098"/>
    <w:rsid w:val="006E4365"/>
    <w:rsid w:val="006F0530"/>
    <w:rsid w:val="006F5CF8"/>
    <w:rsid w:val="007041C8"/>
    <w:rsid w:val="007054BB"/>
    <w:rsid w:val="00705E04"/>
    <w:rsid w:val="00707064"/>
    <w:rsid w:val="00727663"/>
    <w:rsid w:val="00730683"/>
    <w:rsid w:val="007346C4"/>
    <w:rsid w:val="007406FD"/>
    <w:rsid w:val="007426AA"/>
    <w:rsid w:val="007438F1"/>
    <w:rsid w:val="00744112"/>
    <w:rsid w:val="00744ECA"/>
    <w:rsid w:val="0075261F"/>
    <w:rsid w:val="00753728"/>
    <w:rsid w:val="0075468E"/>
    <w:rsid w:val="0076327A"/>
    <w:rsid w:val="007665D8"/>
    <w:rsid w:val="00766E36"/>
    <w:rsid w:val="007703FE"/>
    <w:rsid w:val="0077261A"/>
    <w:rsid w:val="007765F4"/>
    <w:rsid w:val="00776633"/>
    <w:rsid w:val="0078054E"/>
    <w:rsid w:val="00784D53"/>
    <w:rsid w:val="00787B32"/>
    <w:rsid w:val="00794E0C"/>
    <w:rsid w:val="00797797"/>
    <w:rsid w:val="007A63C9"/>
    <w:rsid w:val="007B317D"/>
    <w:rsid w:val="007B32D1"/>
    <w:rsid w:val="007B7095"/>
    <w:rsid w:val="007C02F0"/>
    <w:rsid w:val="007C247F"/>
    <w:rsid w:val="007C3F13"/>
    <w:rsid w:val="007C4E44"/>
    <w:rsid w:val="007D24E1"/>
    <w:rsid w:val="007D2883"/>
    <w:rsid w:val="007D53A9"/>
    <w:rsid w:val="007D6288"/>
    <w:rsid w:val="007E0356"/>
    <w:rsid w:val="007E0F94"/>
    <w:rsid w:val="007E6071"/>
    <w:rsid w:val="007F17F4"/>
    <w:rsid w:val="007F1D28"/>
    <w:rsid w:val="007F41EB"/>
    <w:rsid w:val="007F47CE"/>
    <w:rsid w:val="007F4CE9"/>
    <w:rsid w:val="007F4E20"/>
    <w:rsid w:val="0080028F"/>
    <w:rsid w:val="00803819"/>
    <w:rsid w:val="00820E2D"/>
    <w:rsid w:val="00822C7E"/>
    <w:rsid w:val="00833684"/>
    <w:rsid w:val="00833FB9"/>
    <w:rsid w:val="00833FBF"/>
    <w:rsid w:val="00835112"/>
    <w:rsid w:val="00844B4E"/>
    <w:rsid w:val="00847060"/>
    <w:rsid w:val="00847A36"/>
    <w:rsid w:val="00854AA3"/>
    <w:rsid w:val="00856467"/>
    <w:rsid w:val="00856A33"/>
    <w:rsid w:val="00865C51"/>
    <w:rsid w:val="008706A9"/>
    <w:rsid w:val="00875A15"/>
    <w:rsid w:val="00881EC1"/>
    <w:rsid w:val="00890455"/>
    <w:rsid w:val="00890B6B"/>
    <w:rsid w:val="008917E1"/>
    <w:rsid w:val="00892284"/>
    <w:rsid w:val="00892620"/>
    <w:rsid w:val="008978F4"/>
    <w:rsid w:val="008A1BB9"/>
    <w:rsid w:val="008B1160"/>
    <w:rsid w:val="008B15BB"/>
    <w:rsid w:val="008B53F1"/>
    <w:rsid w:val="008B7D17"/>
    <w:rsid w:val="008C0B8A"/>
    <w:rsid w:val="008C2A38"/>
    <w:rsid w:val="008C7D37"/>
    <w:rsid w:val="008D2B87"/>
    <w:rsid w:val="008D3CC0"/>
    <w:rsid w:val="008D5885"/>
    <w:rsid w:val="008D77B2"/>
    <w:rsid w:val="008E029C"/>
    <w:rsid w:val="008E2096"/>
    <w:rsid w:val="008E4ED0"/>
    <w:rsid w:val="008E70BD"/>
    <w:rsid w:val="00911EE6"/>
    <w:rsid w:val="00913E4B"/>
    <w:rsid w:val="009156DE"/>
    <w:rsid w:val="00917173"/>
    <w:rsid w:val="00923522"/>
    <w:rsid w:val="00923FA2"/>
    <w:rsid w:val="00933124"/>
    <w:rsid w:val="009370D6"/>
    <w:rsid w:val="0094043A"/>
    <w:rsid w:val="009411A2"/>
    <w:rsid w:val="009529FF"/>
    <w:rsid w:val="00953EFA"/>
    <w:rsid w:val="0096060D"/>
    <w:rsid w:val="00960C53"/>
    <w:rsid w:val="00966670"/>
    <w:rsid w:val="009701A9"/>
    <w:rsid w:val="009735F5"/>
    <w:rsid w:val="00974A50"/>
    <w:rsid w:val="0097585A"/>
    <w:rsid w:val="009767F3"/>
    <w:rsid w:val="00977135"/>
    <w:rsid w:val="00980B52"/>
    <w:rsid w:val="00980C7D"/>
    <w:rsid w:val="00981B9B"/>
    <w:rsid w:val="00984BAE"/>
    <w:rsid w:val="00985C40"/>
    <w:rsid w:val="009873CD"/>
    <w:rsid w:val="00987A2B"/>
    <w:rsid w:val="009924B0"/>
    <w:rsid w:val="009941BA"/>
    <w:rsid w:val="009942C9"/>
    <w:rsid w:val="009952BA"/>
    <w:rsid w:val="009A30C9"/>
    <w:rsid w:val="009A59AE"/>
    <w:rsid w:val="009B13BF"/>
    <w:rsid w:val="009B35C4"/>
    <w:rsid w:val="009B6815"/>
    <w:rsid w:val="009C123C"/>
    <w:rsid w:val="009C630A"/>
    <w:rsid w:val="009D00E2"/>
    <w:rsid w:val="009D5CAF"/>
    <w:rsid w:val="009E0D98"/>
    <w:rsid w:val="009F17BF"/>
    <w:rsid w:val="009F6890"/>
    <w:rsid w:val="009F74B9"/>
    <w:rsid w:val="00A046A0"/>
    <w:rsid w:val="00A0678D"/>
    <w:rsid w:val="00A068A1"/>
    <w:rsid w:val="00A1207D"/>
    <w:rsid w:val="00A12FD8"/>
    <w:rsid w:val="00A15042"/>
    <w:rsid w:val="00A163A1"/>
    <w:rsid w:val="00A175CE"/>
    <w:rsid w:val="00A213A2"/>
    <w:rsid w:val="00A34692"/>
    <w:rsid w:val="00A346FC"/>
    <w:rsid w:val="00A40911"/>
    <w:rsid w:val="00A4196A"/>
    <w:rsid w:val="00A435A5"/>
    <w:rsid w:val="00A457B2"/>
    <w:rsid w:val="00A46D77"/>
    <w:rsid w:val="00A54B83"/>
    <w:rsid w:val="00A56FFB"/>
    <w:rsid w:val="00A57E08"/>
    <w:rsid w:val="00A602D2"/>
    <w:rsid w:val="00A610BD"/>
    <w:rsid w:val="00A6522E"/>
    <w:rsid w:val="00A734D5"/>
    <w:rsid w:val="00A846F2"/>
    <w:rsid w:val="00A84F93"/>
    <w:rsid w:val="00A8567D"/>
    <w:rsid w:val="00A876EA"/>
    <w:rsid w:val="00A87F34"/>
    <w:rsid w:val="00A91B86"/>
    <w:rsid w:val="00A9381B"/>
    <w:rsid w:val="00AB1A08"/>
    <w:rsid w:val="00AB1AC5"/>
    <w:rsid w:val="00AB3BFC"/>
    <w:rsid w:val="00AB4A93"/>
    <w:rsid w:val="00AB7C0C"/>
    <w:rsid w:val="00AC02B2"/>
    <w:rsid w:val="00AC4F2E"/>
    <w:rsid w:val="00AC60CA"/>
    <w:rsid w:val="00AC6A65"/>
    <w:rsid w:val="00AD0C37"/>
    <w:rsid w:val="00AD2A24"/>
    <w:rsid w:val="00AD385F"/>
    <w:rsid w:val="00AD404A"/>
    <w:rsid w:val="00AE01EE"/>
    <w:rsid w:val="00AE03EF"/>
    <w:rsid w:val="00AE6E2A"/>
    <w:rsid w:val="00B03EAB"/>
    <w:rsid w:val="00B05248"/>
    <w:rsid w:val="00B10A6E"/>
    <w:rsid w:val="00B145CD"/>
    <w:rsid w:val="00B15559"/>
    <w:rsid w:val="00B15869"/>
    <w:rsid w:val="00B31E9C"/>
    <w:rsid w:val="00B32801"/>
    <w:rsid w:val="00B35438"/>
    <w:rsid w:val="00B35595"/>
    <w:rsid w:val="00B4173E"/>
    <w:rsid w:val="00B51C6D"/>
    <w:rsid w:val="00B54611"/>
    <w:rsid w:val="00B54E2A"/>
    <w:rsid w:val="00B57052"/>
    <w:rsid w:val="00B60C7C"/>
    <w:rsid w:val="00B62FFB"/>
    <w:rsid w:val="00B659AB"/>
    <w:rsid w:val="00B67497"/>
    <w:rsid w:val="00B702FF"/>
    <w:rsid w:val="00B83DD2"/>
    <w:rsid w:val="00B85F28"/>
    <w:rsid w:val="00B86D64"/>
    <w:rsid w:val="00B95398"/>
    <w:rsid w:val="00BA1C38"/>
    <w:rsid w:val="00BA1F8B"/>
    <w:rsid w:val="00BA4AC5"/>
    <w:rsid w:val="00BA52B9"/>
    <w:rsid w:val="00BB1E28"/>
    <w:rsid w:val="00BB2E7A"/>
    <w:rsid w:val="00BB52E4"/>
    <w:rsid w:val="00BB66AB"/>
    <w:rsid w:val="00BC0E09"/>
    <w:rsid w:val="00BC1364"/>
    <w:rsid w:val="00BC151D"/>
    <w:rsid w:val="00BC2667"/>
    <w:rsid w:val="00BC2F31"/>
    <w:rsid w:val="00BC37AC"/>
    <w:rsid w:val="00BC47F5"/>
    <w:rsid w:val="00BC7DE9"/>
    <w:rsid w:val="00BD5A95"/>
    <w:rsid w:val="00BD61C0"/>
    <w:rsid w:val="00BE2BF4"/>
    <w:rsid w:val="00BE57FF"/>
    <w:rsid w:val="00BE6D2A"/>
    <w:rsid w:val="00BF0C9B"/>
    <w:rsid w:val="00BF469F"/>
    <w:rsid w:val="00BF479B"/>
    <w:rsid w:val="00BF61AF"/>
    <w:rsid w:val="00BF7105"/>
    <w:rsid w:val="00C02577"/>
    <w:rsid w:val="00C05BED"/>
    <w:rsid w:val="00C05E93"/>
    <w:rsid w:val="00C17C82"/>
    <w:rsid w:val="00C204FB"/>
    <w:rsid w:val="00C20BEE"/>
    <w:rsid w:val="00C2158D"/>
    <w:rsid w:val="00C23BA3"/>
    <w:rsid w:val="00C277A9"/>
    <w:rsid w:val="00C2788B"/>
    <w:rsid w:val="00C36B74"/>
    <w:rsid w:val="00C40564"/>
    <w:rsid w:val="00C44EE0"/>
    <w:rsid w:val="00C54B39"/>
    <w:rsid w:val="00C57102"/>
    <w:rsid w:val="00C61090"/>
    <w:rsid w:val="00C65C26"/>
    <w:rsid w:val="00C67DD2"/>
    <w:rsid w:val="00C725CB"/>
    <w:rsid w:val="00C72FC3"/>
    <w:rsid w:val="00C76F5C"/>
    <w:rsid w:val="00C77AAC"/>
    <w:rsid w:val="00C86CE4"/>
    <w:rsid w:val="00C92643"/>
    <w:rsid w:val="00C930EB"/>
    <w:rsid w:val="00C94A82"/>
    <w:rsid w:val="00C96BAD"/>
    <w:rsid w:val="00C96C78"/>
    <w:rsid w:val="00CA36C9"/>
    <w:rsid w:val="00CA6944"/>
    <w:rsid w:val="00CB0073"/>
    <w:rsid w:val="00CB0F8E"/>
    <w:rsid w:val="00CB1871"/>
    <w:rsid w:val="00CB4234"/>
    <w:rsid w:val="00CB4851"/>
    <w:rsid w:val="00CB7E7D"/>
    <w:rsid w:val="00CC21B1"/>
    <w:rsid w:val="00CC2911"/>
    <w:rsid w:val="00CD13D2"/>
    <w:rsid w:val="00CE385B"/>
    <w:rsid w:val="00CE521F"/>
    <w:rsid w:val="00CE72D6"/>
    <w:rsid w:val="00CF0A12"/>
    <w:rsid w:val="00CF0C6D"/>
    <w:rsid w:val="00CF0F58"/>
    <w:rsid w:val="00CF1CA1"/>
    <w:rsid w:val="00CF5387"/>
    <w:rsid w:val="00CF7307"/>
    <w:rsid w:val="00CF7C68"/>
    <w:rsid w:val="00D124FA"/>
    <w:rsid w:val="00D14DD9"/>
    <w:rsid w:val="00D16710"/>
    <w:rsid w:val="00D2236A"/>
    <w:rsid w:val="00D2634E"/>
    <w:rsid w:val="00D26F5E"/>
    <w:rsid w:val="00D279C5"/>
    <w:rsid w:val="00D340DE"/>
    <w:rsid w:val="00D408FD"/>
    <w:rsid w:val="00D43819"/>
    <w:rsid w:val="00D44A66"/>
    <w:rsid w:val="00D50678"/>
    <w:rsid w:val="00D547CB"/>
    <w:rsid w:val="00D55723"/>
    <w:rsid w:val="00D62FAD"/>
    <w:rsid w:val="00D64355"/>
    <w:rsid w:val="00D70450"/>
    <w:rsid w:val="00D72782"/>
    <w:rsid w:val="00D73E0F"/>
    <w:rsid w:val="00D75F2D"/>
    <w:rsid w:val="00D76B47"/>
    <w:rsid w:val="00D821D1"/>
    <w:rsid w:val="00D82E52"/>
    <w:rsid w:val="00D83BFD"/>
    <w:rsid w:val="00D877E1"/>
    <w:rsid w:val="00D90A38"/>
    <w:rsid w:val="00D932EC"/>
    <w:rsid w:val="00DA0515"/>
    <w:rsid w:val="00DA171E"/>
    <w:rsid w:val="00DA4921"/>
    <w:rsid w:val="00DA56AA"/>
    <w:rsid w:val="00DB00AA"/>
    <w:rsid w:val="00DB0EFD"/>
    <w:rsid w:val="00DB46D0"/>
    <w:rsid w:val="00DB5671"/>
    <w:rsid w:val="00DB5833"/>
    <w:rsid w:val="00DB74FE"/>
    <w:rsid w:val="00DC3816"/>
    <w:rsid w:val="00DC4005"/>
    <w:rsid w:val="00DC770C"/>
    <w:rsid w:val="00DD2858"/>
    <w:rsid w:val="00DD323B"/>
    <w:rsid w:val="00E01AD6"/>
    <w:rsid w:val="00E028C6"/>
    <w:rsid w:val="00E03E33"/>
    <w:rsid w:val="00E03E99"/>
    <w:rsid w:val="00E059E0"/>
    <w:rsid w:val="00E105B7"/>
    <w:rsid w:val="00E10797"/>
    <w:rsid w:val="00E206C6"/>
    <w:rsid w:val="00E20760"/>
    <w:rsid w:val="00E21559"/>
    <w:rsid w:val="00E23399"/>
    <w:rsid w:val="00E24052"/>
    <w:rsid w:val="00E25A63"/>
    <w:rsid w:val="00E350CC"/>
    <w:rsid w:val="00E35489"/>
    <w:rsid w:val="00E35535"/>
    <w:rsid w:val="00E3642A"/>
    <w:rsid w:val="00E415C4"/>
    <w:rsid w:val="00E43922"/>
    <w:rsid w:val="00E50016"/>
    <w:rsid w:val="00E50EAA"/>
    <w:rsid w:val="00E5224A"/>
    <w:rsid w:val="00E56519"/>
    <w:rsid w:val="00E56FB5"/>
    <w:rsid w:val="00E656D6"/>
    <w:rsid w:val="00E66787"/>
    <w:rsid w:val="00E92E52"/>
    <w:rsid w:val="00E93725"/>
    <w:rsid w:val="00E93F5C"/>
    <w:rsid w:val="00E944F8"/>
    <w:rsid w:val="00E9595B"/>
    <w:rsid w:val="00E95ED9"/>
    <w:rsid w:val="00E977EE"/>
    <w:rsid w:val="00EA2F24"/>
    <w:rsid w:val="00EA454B"/>
    <w:rsid w:val="00EA67A2"/>
    <w:rsid w:val="00EB0B7C"/>
    <w:rsid w:val="00EB630F"/>
    <w:rsid w:val="00EB6884"/>
    <w:rsid w:val="00EB6B6F"/>
    <w:rsid w:val="00EB711E"/>
    <w:rsid w:val="00EB7AAF"/>
    <w:rsid w:val="00EB7CA3"/>
    <w:rsid w:val="00EC3E2F"/>
    <w:rsid w:val="00EC4F98"/>
    <w:rsid w:val="00EC5C6F"/>
    <w:rsid w:val="00EC6553"/>
    <w:rsid w:val="00EC7BEA"/>
    <w:rsid w:val="00ED0EF5"/>
    <w:rsid w:val="00ED7934"/>
    <w:rsid w:val="00EE6FE7"/>
    <w:rsid w:val="00EE7C14"/>
    <w:rsid w:val="00EF328E"/>
    <w:rsid w:val="00F00A7B"/>
    <w:rsid w:val="00F12F02"/>
    <w:rsid w:val="00F14303"/>
    <w:rsid w:val="00F23D65"/>
    <w:rsid w:val="00F30C00"/>
    <w:rsid w:val="00F32E0D"/>
    <w:rsid w:val="00F34E6F"/>
    <w:rsid w:val="00F35134"/>
    <w:rsid w:val="00F37B9C"/>
    <w:rsid w:val="00F41812"/>
    <w:rsid w:val="00F4448C"/>
    <w:rsid w:val="00F63C17"/>
    <w:rsid w:val="00F715D1"/>
    <w:rsid w:val="00F71BF8"/>
    <w:rsid w:val="00F72515"/>
    <w:rsid w:val="00F72715"/>
    <w:rsid w:val="00F73333"/>
    <w:rsid w:val="00F74E5E"/>
    <w:rsid w:val="00F753CD"/>
    <w:rsid w:val="00F7669F"/>
    <w:rsid w:val="00F8605F"/>
    <w:rsid w:val="00F86769"/>
    <w:rsid w:val="00F92232"/>
    <w:rsid w:val="00F95D8F"/>
    <w:rsid w:val="00FA11AB"/>
    <w:rsid w:val="00FA303D"/>
    <w:rsid w:val="00FB2479"/>
    <w:rsid w:val="00FB350A"/>
    <w:rsid w:val="00FB35C0"/>
    <w:rsid w:val="00FB4C5D"/>
    <w:rsid w:val="00FB7735"/>
    <w:rsid w:val="00FC760D"/>
    <w:rsid w:val="00FC7B48"/>
    <w:rsid w:val="00FD1ABB"/>
    <w:rsid w:val="00FD2CD4"/>
    <w:rsid w:val="00FD3D70"/>
    <w:rsid w:val="00FD71FA"/>
    <w:rsid w:val="00FE1C3F"/>
    <w:rsid w:val="00FE2B6C"/>
    <w:rsid w:val="00FE731D"/>
    <w:rsid w:val="00FF056E"/>
    <w:rsid w:val="00FF5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68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1"/>
      </w:numPr>
      <w:spacing w:before="240"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E35489"/>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AD404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rsid w:val="00974A50"/>
    <w:rPr>
      <w:rFonts w:cs="Times New Roman"/>
      <w:sz w:val="16"/>
      <w:szCs w:val="16"/>
    </w:rPr>
  </w:style>
  <w:style w:type="paragraph" w:styleId="CommentText">
    <w:name w:val="annotation text"/>
    <w:aliases w:val="Comment Text Char Char Char Char Char Char1 Ch,Comment Text Char Char1,Comment Text Char Char1 Char Char,Comment Text Char1 Char Char Char Char1 Char,Comment Text Char2,Comment Text Char2 Char Char"/>
    <w:basedOn w:val="Normal"/>
    <w:link w:val="CommentTextChar"/>
    <w:uiPriority w:val="99"/>
    <w:qFormat/>
    <w:rsid w:val="00974A50"/>
    <w:rPr>
      <w:sz w:val="20"/>
    </w:rPr>
  </w:style>
  <w:style w:type="character" w:customStyle="1" w:styleId="CommentTextChar">
    <w:name w:val="Comment Text Char"/>
    <w:aliases w:val="Comment Text Char Char Char Char Char Char1 Ch Char,Comment Text Char Char1 Char,Comment Text Char Char1 Char Char Char,Comment Text Char1 Char Char Char Char1 Char Char,Comment Text Char2 Char,Comment Text Char2 Char Char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E35489"/>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ASD Table,new style,PBAC table,RTI AMCP Table,HTAtableplain"/>
    <w:basedOn w:val="TableNormal"/>
    <w:locked/>
    <w:rsid w:val="00E3548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E35489"/>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Table caption,Caption Char1,IB Caption1"/>
    <w:basedOn w:val="Normal"/>
    <w:next w:val="Normal"/>
    <w:link w:val="CaptionChar"/>
    <w:uiPriority w:val="2"/>
    <w:unhideWhenUsed/>
    <w:qFormat/>
    <w:locked/>
    <w:rsid w:val="00E3548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Table caption Char"/>
    <w:basedOn w:val="DefaultParagraphFont"/>
    <w:link w:val="Caption"/>
    <w:uiPriority w:val="35"/>
    <w:rsid w:val="00E35489"/>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E35489"/>
    <w:pPr>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E35489"/>
    <w:rPr>
      <w:rFonts w:ascii="Arial Narrow" w:eastAsia="Times New Roman" w:hAnsi="Arial Narrow" w:cs="Tahoma"/>
      <w:sz w:val="20"/>
      <w:lang w:eastAsia="en-US"/>
    </w:rPr>
  </w:style>
  <w:style w:type="paragraph" w:customStyle="1" w:styleId="Tablenotes">
    <w:name w:val="Tablenotes"/>
    <w:basedOn w:val="Normal"/>
    <w:link w:val="TablenotesChar"/>
    <w:autoRedefine/>
    <w:qFormat/>
    <w:rsid w:val="00AD404A"/>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D404A"/>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semiHidden/>
    <w:rsid w:val="00AD404A"/>
    <w:rPr>
      <w:rFonts w:asciiTheme="majorHAnsi" w:eastAsiaTheme="majorEastAsia" w:hAnsiTheme="majorHAnsi" w:cstheme="majorBidi"/>
      <w:color w:val="243F60" w:themeColor="accent1" w:themeShade="7F"/>
      <w:sz w:val="24"/>
      <w:szCs w:val="24"/>
    </w:rPr>
  </w:style>
  <w:style w:type="paragraph" w:customStyle="1" w:styleId="TableHeading">
    <w:name w:val="TableHeading"/>
    <w:basedOn w:val="Normal"/>
    <w:link w:val="TableHeadingChar"/>
    <w:qFormat/>
    <w:rsid w:val="00AD404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D404A"/>
    <w:rPr>
      <w:rFonts w:ascii="Arial Narrow" w:eastAsia="Times New Roman" w:hAnsi="Arial Narrow" w:cs="Tahoma"/>
      <w:b/>
      <w:noProof/>
      <w:sz w:val="20"/>
      <w:szCs w:val="20"/>
    </w:rPr>
  </w:style>
  <w:style w:type="table" w:customStyle="1" w:styleId="TableGrid1">
    <w:name w:val="Table Grid1"/>
    <w:basedOn w:val="TableNormal"/>
    <w:next w:val="TableGrid"/>
    <w:rsid w:val="00DC381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1">
    <w:name w:val="Tablenotes 1"/>
    <w:basedOn w:val="Normal"/>
    <w:link w:val="Tablenotes1Char"/>
    <w:qFormat/>
    <w:rsid w:val="00CE521F"/>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CE521F"/>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qFormat/>
    <w:rsid w:val="003B6057"/>
    <w:pPr>
      <w:keepLines/>
      <w:spacing w:before="40" w:after="40"/>
    </w:pPr>
    <w:rPr>
      <w:rFonts w:ascii="Arial Narrow" w:hAnsi="Arial Narrow" w:cs="Tahoma"/>
      <w:sz w:val="20"/>
    </w:rPr>
  </w:style>
  <w:style w:type="character" w:customStyle="1" w:styleId="TabletextChar0">
    <w:name w:val="Table text Char"/>
    <w:link w:val="Tabletext0"/>
    <w:rsid w:val="003B6057"/>
    <w:rPr>
      <w:rFonts w:ascii="Arial Narrow" w:eastAsia="Times New Roman" w:hAnsi="Arial Narrow" w:cs="Tahoma"/>
      <w:sz w:val="20"/>
      <w:szCs w:val="20"/>
    </w:rPr>
  </w:style>
  <w:style w:type="table" w:customStyle="1" w:styleId="TableGrid2">
    <w:name w:val="Table Grid2"/>
    <w:basedOn w:val="TableNormal"/>
    <w:next w:val="TableGrid"/>
    <w:uiPriority w:val="39"/>
    <w:rsid w:val="003B6057"/>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26F5E"/>
    <w:rPr>
      <w:rFonts w:ascii="Arial" w:hAnsi="Arial" w:cs="Arial"/>
      <w:sz w:val="22"/>
      <w:szCs w:val="22"/>
      <w:lang w:eastAsia="en-US"/>
    </w:rPr>
  </w:style>
  <w:style w:type="paragraph" w:customStyle="1" w:styleId="TableHeadingRow">
    <w:name w:val="TableHeadingRow"/>
    <w:basedOn w:val="TableText1"/>
    <w:uiPriority w:val="3"/>
    <w:qFormat/>
    <w:rsid w:val="00705E04"/>
    <w:pPr>
      <w:keepNext/>
      <w:spacing w:before="40" w:after="40"/>
      <w:jc w:val="center"/>
    </w:pPr>
    <w:rPr>
      <w:b/>
      <w:bCs w:val="0"/>
    </w:rPr>
  </w:style>
  <w:style w:type="paragraph" w:customStyle="1" w:styleId="TableText1">
    <w:name w:val="TableText"/>
    <w:basedOn w:val="Normal"/>
    <w:link w:val="TableTextChar1"/>
    <w:uiPriority w:val="3"/>
    <w:qFormat/>
    <w:rsid w:val="00705E04"/>
    <w:pPr>
      <w:spacing w:before="20" w:after="20"/>
    </w:pPr>
    <w:rPr>
      <w:rFonts w:ascii="Calibri" w:hAnsi="Calibri" w:cs="Calibri"/>
      <w:bCs/>
      <w:sz w:val="20"/>
      <w:lang w:eastAsia="zh-CN"/>
    </w:rPr>
  </w:style>
  <w:style w:type="character" w:customStyle="1" w:styleId="TableTextChar1">
    <w:name w:val="TableText Char"/>
    <w:basedOn w:val="DefaultParagraphFont"/>
    <w:link w:val="TableText1"/>
    <w:uiPriority w:val="3"/>
    <w:rsid w:val="00705E04"/>
    <w:rPr>
      <w:rFonts w:ascii="Calibri" w:eastAsia="Times New Roman" w:hAnsi="Calibri" w:cs="Calibri"/>
      <w:bCs/>
      <w:sz w:val="20"/>
      <w:szCs w:val="20"/>
      <w:lang w:eastAsia="zh-CN"/>
    </w:rPr>
  </w:style>
  <w:style w:type="character" w:customStyle="1" w:styleId="UnresolvedMention1">
    <w:name w:val="Unresolved Mention1"/>
    <w:basedOn w:val="DefaultParagraphFont"/>
    <w:uiPriority w:val="99"/>
    <w:semiHidden/>
    <w:unhideWhenUsed/>
    <w:rsid w:val="00097AC2"/>
    <w:rPr>
      <w:color w:val="605E5C"/>
      <w:shd w:val="clear" w:color="auto" w:fill="E1DFDD"/>
    </w:rPr>
  </w:style>
  <w:style w:type="paragraph" w:customStyle="1" w:styleId="BulletList">
    <w:name w:val="Bullet List"/>
    <w:basedOn w:val="Normal"/>
    <w:link w:val="BulletListChar"/>
    <w:uiPriority w:val="2"/>
    <w:qFormat/>
    <w:rsid w:val="00C72FC3"/>
    <w:pPr>
      <w:numPr>
        <w:numId w:val="11"/>
      </w:numPr>
      <w:tabs>
        <w:tab w:val="clear" w:pos="360"/>
        <w:tab w:val="left" w:pos="426"/>
      </w:tabs>
      <w:spacing w:after="200" w:line="264" w:lineRule="auto"/>
      <w:ind w:left="425" w:hanging="425"/>
      <w:contextualSpacing/>
      <w:jc w:val="both"/>
    </w:pPr>
    <w:rPr>
      <w:rFonts w:ascii="Calibri" w:eastAsiaTheme="minorEastAsia" w:hAnsi="Calibri" w:cstheme="minorBidi"/>
      <w:sz w:val="22"/>
      <w:szCs w:val="22"/>
      <w:lang w:val="en-US" w:eastAsia="zh-CN"/>
    </w:rPr>
  </w:style>
  <w:style w:type="paragraph" w:customStyle="1" w:styleId="SourceNotes">
    <w:name w:val="SourceNotes"/>
    <w:basedOn w:val="Normal"/>
    <w:next w:val="Normal"/>
    <w:link w:val="SourceNotesChar"/>
    <w:uiPriority w:val="3"/>
    <w:qFormat/>
    <w:rsid w:val="005A085E"/>
    <w:pPr>
      <w:tabs>
        <w:tab w:val="left" w:pos="1100"/>
      </w:tabs>
      <w:ind w:left="1100" w:hanging="1100"/>
    </w:pPr>
    <w:rPr>
      <w:rFonts w:ascii="Calibri" w:eastAsiaTheme="minorEastAsia" w:hAnsi="Calibri" w:cstheme="minorBidi"/>
      <w:sz w:val="18"/>
      <w:szCs w:val="18"/>
      <w:lang w:eastAsia="en-US"/>
    </w:rPr>
  </w:style>
  <w:style w:type="character" w:customStyle="1" w:styleId="SourceNotesChar">
    <w:name w:val="SourceNotes Char"/>
    <w:basedOn w:val="TablenotesChar"/>
    <w:link w:val="SourceNotes"/>
    <w:uiPriority w:val="3"/>
    <w:rsid w:val="005A085E"/>
    <w:rPr>
      <w:rFonts w:ascii="Calibri" w:eastAsiaTheme="minorEastAsia" w:hAnsi="Calibri" w:cstheme="minorBidi"/>
      <w:snapToGrid/>
      <w:sz w:val="18"/>
      <w:szCs w:val="18"/>
      <w:lang w:eastAsia="en-US"/>
    </w:rPr>
  </w:style>
  <w:style w:type="character" w:customStyle="1" w:styleId="BulletListChar">
    <w:name w:val="Bullet List Char"/>
    <w:basedOn w:val="DefaultParagraphFont"/>
    <w:link w:val="BulletList"/>
    <w:uiPriority w:val="2"/>
    <w:rsid w:val="00EB6884"/>
    <w:rPr>
      <w:rFonts w:ascii="Calibri" w:eastAsiaTheme="minorEastAsia" w:hAnsi="Calibri" w:cstheme="minorBidi"/>
      <w:lang w:val="en-US" w:eastAsia="zh-CN"/>
    </w:rPr>
  </w:style>
  <w:style w:type="paragraph" w:styleId="NormalWeb">
    <w:name w:val="Normal (Web)"/>
    <w:basedOn w:val="Normal"/>
    <w:uiPriority w:val="99"/>
    <w:semiHidden/>
    <w:unhideWhenUsed/>
    <w:rsid w:val="007C3F13"/>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2472A5"/>
    <w:rPr>
      <w:rFonts w:eastAsia="Times New Roman"/>
      <w:sz w:val="24"/>
      <w:szCs w:val="20"/>
    </w:rPr>
  </w:style>
  <w:style w:type="paragraph" w:customStyle="1" w:styleId="Tableheading0">
    <w:name w:val="Table heading"/>
    <w:basedOn w:val="Normal"/>
    <w:qFormat/>
    <w:rsid w:val="00A213A2"/>
    <w:pPr>
      <w:autoSpaceDE w:val="0"/>
      <w:autoSpaceDN w:val="0"/>
      <w:adjustRightInd w:val="0"/>
      <w:spacing w:before="60" w:after="60"/>
      <w:jc w:val="center"/>
    </w:pPr>
    <w:rPr>
      <w:rFonts w:asciiTheme="minorHAnsi" w:eastAsiaTheme="minorEastAsia" w:hAnsiTheme="minorHAnsi" w:cs="Calibri"/>
      <w:b/>
      <w:szCs w:val="24"/>
    </w:rPr>
  </w:style>
  <w:style w:type="paragraph" w:customStyle="1" w:styleId="5Bodytext">
    <w:name w:val="5. Body text"/>
    <w:basedOn w:val="ListParagraph"/>
    <w:link w:val="5BodytextChar"/>
    <w:qFormat/>
    <w:rsid w:val="002E18FB"/>
    <w:pPr>
      <w:autoSpaceDE w:val="0"/>
      <w:autoSpaceDN w:val="0"/>
      <w:adjustRightInd w:val="0"/>
      <w:spacing w:after="240"/>
      <w:ind w:left="0"/>
      <w:contextualSpacing w:val="0"/>
    </w:pPr>
    <w:rPr>
      <w:rFonts w:ascii="Tms Rmn" w:hAnsi="Tms Rmn"/>
      <w:szCs w:val="24"/>
    </w:rPr>
  </w:style>
  <w:style w:type="character" w:customStyle="1" w:styleId="5BodytextChar">
    <w:name w:val="5. Body text Char"/>
    <w:basedOn w:val="DefaultParagraphFont"/>
    <w:link w:val="5Bodytext"/>
    <w:rsid w:val="002E18FB"/>
    <w:rPr>
      <w:rFonts w:ascii="Tms Rmn" w:eastAsia="Times New Roman" w:hAnsi="Tms Rm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76991">
      <w:bodyDiv w:val="1"/>
      <w:marLeft w:val="0"/>
      <w:marRight w:val="0"/>
      <w:marTop w:val="0"/>
      <w:marBottom w:val="0"/>
      <w:divBdr>
        <w:top w:val="none" w:sz="0" w:space="0" w:color="auto"/>
        <w:left w:val="none" w:sz="0" w:space="0" w:color="auto"/>
        <w:bottom w:val="none" w:sz="0" w:space="0" w:color="auto"/>
        <w:right w:val="none" w:sz="0" w:space="0" w:color="auto"/>
      </w:divBdr>
    </w:div>
    <w:div w:id="391003507">
      <w:bodyDiv w:val="1"/>
      <w:marLeft w:val="0"/>
      <w:marRight w:val="0"/>
      <w:marTop w:val="0"/>
      <w:marBottom w:val="0"/>
      <w:divBdr>
        <w:top w:val="none" w:sz="0" w:space="0" w:color="auto"/>
        <w:left w:val="none" w:sz="0" w:space="0" w:color="auto"/>
        <w:bottom w:val="none" w:sz="0" w:space="0" w:color="auto"/>
        <w:right w:val="none" w:sz="0" w:space="0" w:color="auto"/>
      </w:divBdr>
    </w:div>
    <w:div w:id="456875472">
      <w:bodyDiv w:val="1"/>
      <w:marLeft w:val="0"/>
      <w:marRight w:val="0"/>
      <w:marTop w:val="0"/>
      <w:marBottom w:val="0"/>
      <w:divBdr>
        <w:top w:val="none" w:sz="0" w:space="0" w:color="auto"/>
        <w:left w:val="none" w:sz="0" w:space="0" w:color="auto"/>
        <w:bottom w:val="none" w:sz="0" w:space="0" w:color="auto"/>
        <w:right w:val="none" w:sz="0" w:space="0" w:color="auto"/>
      </w:divBdr>
    </w:div>
    <w:div w:id="542865374">
      <w:bodyDiv w:val="1"/>
      <w:marLeft w:val="0"/>
      <w:marRight w:val="0"/>
      <w:marTop w:val="0"/>
      <w:marBottom w:val="0"/>
      <w:divBdr>
        <w:top w:val="none" w:sz="0" w:space="0" w:color="auto"/>
        <w:left w:val="none" w:sz="0" w:space="0" w:color="auto"/>
        <w:bottom w:val="none" w:sz="0" w:space="0" w:color="auto"/>
        <w:right w:val="none" w:sz="0" w:space="0" w:color="auto"/>
      </w:divBdr>
    </w:div>
    <w:div w:id="1256868537">
      <w:bodyDiv w:val="1"/>
      <w:marLeft w:val="0"/>
      <w:marRight w:val="0"/>
      <w:marTop w:val="0"/>
      <w:marBottom w:val="0"/>
      <w:divBdr>
        <w:top w:val="none" w:sz="0" w:space="0" w:color="auto"/>
        <w:left w:val="none" w:sz="0" w:space="0" w:color="auto"/>
        <w:bottom w:val="none" w:sz="0" w:space="0" w:color="auto"/>
        <w:right w:val="none" w:sz="0" w:space="0" w:color="auto"/>
      </w:divBdr>
    </w:div>
    <w:div w:id="1333725719">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722246140">
      <w:bodyDiv w:val="1"/>
      <w:marLeft w:val="0"/>
      <w:marRight w:val="0"/>
      <w:marTop w:val="0"/>
      <w:marBottom w:val="0"/>
      <w:divBdr>
        <w:top w:val="none" w:sz="0" w:space="0" w:color="auto"/>
        <w:left w:val="none" w:sz="0" w:space="0" w:color="auto"/>
        <w:bottom w:val="none" w:sz="0" w:space="0" w:color="auto"/>
        <w:right w:val="none" w:sz="0" w:space="0" w:color="auto"/>
      </w:divBdr>
    </w:div>
    <w:div w:id="1724059698">
      <w:bodyDiv w:val="1"/>
      <w:marLeft w:val="0"/>
      <w:marRight w:val="0"/>
      <w:marTop w:val="0"/>
      <w:marBottom w:val="0"/>
      <w:divBdr>
        <w:top w:val="none" w:sz="0" w:space="0" w:color="auto"/>
        <w:left w:val="none" w:sz="0" w:space="0" w:color="auto"/>
        <w:bottom w:val="none" w:sz="0" w:space="0" w:color="auto"/>
        <w:right w:val="none" w:sz="0" w:space="0" w:color="auto"/>
      </w:divBdr>
    </w:div>
    <w:div w:id="1737780791">
      <w:bodyDiv w:val="1"/>
      <w:marLeft w:val="0"/>
      <w:marRight w:val="0"/>
      <w:marTop w:val="0"/>
      <w:marBottom w:val="0"/>
      <w:divBdr>
        <w:top w:val="none" w:sz="0" w:space="0" w:color="auto"/>
        <w:left w:val="none" w:sz="0" w:space="0" w:color="auto"/>
        <w:bottom w:val="none" w:sz="0" w:space="0" w:color="auto"/>
        <w:right w:val="none" w:sz="0" w:space="0" w:color="auto"/>
      </w:divBdr>
    </w:div>
    <w:div w:id="1745058101">
      <w:bodyDiv w:val="1"/>
      <w:marLeft w:val="0"/>
      <w:marRight w:val="0"/>
      <w:marTop w:val="0"/>
      <w:marBottom w:val="0"/>
      <w:divBdr>
        <w:top w:val="none" w:sz="0" w:space="0" w:color="auto"/>
        <w:left w:val="none" w:sz="0" w:space="0" w:color="auto"/>
        <w:bottom w:val="none" w:sz="0" w:space="0" w:color="auto"/>
        <w:right w:val="none" w:sz="0" w:space="0" w:color="auto"/>
      </w:divBdr>
    </w:div>
    <w:div w:id="1812094965">
      <w:bodyDiv w:val="1"/>
      <w:marLeft w:val="0"/>
      <w:marRight w:val="0"/>
      <w:marTop w:val="0"/>
      <w:marBottom w:val="0"/>
      <w:divBdr>
        <w:top w:val="none" w:sz="0" w:space="0" w:color="auto"/>
        <w:left w:val="none" w:sz="0" w:space="0" w:color="auto"/>
        <w:bottom w:val="none" w:sz="0" w:space="0" w:color="auto"/>
        <w:right w:val="none" w:sz="0" w:space="0" w:color="auto"/>
      </w:divBdr>
    </w:div>
    <w:div w:id="18974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DoH21</b:Tag>
    <b:SourceType>InternetSite</b:SourceType>
    <b:Guid>{DB6E3D23-D056-4AE8-93EF-1BA4FD137AA3}</b:Guid>
    <b:Title>MBS item #42738</b:Title>
    <b:Year>2021</b:Year>
    <b:Author>
      <b:Author>
        <b:Corporate>DoH</b:Corporate>
      </b:Author>
    </b:Author>
    <b:InternetSiteTitle>Medical Costs Finder</b:InternetSiteTitle>
    <b:Month>July</b:Month>
    <b:Day>1</b:Day>
    <b:URL>https://www.health.gov.au/resources/apps-and-tools/medical-costs-finder/medical-costs-finder#/oh-result/42738</b:URL>
    <b:RefOrder>9</b:RefOrder>
  </b:Source>
  <b:Source>
    <b:Tag>DUS18</b:Tag>
    <b:SourceType>Report</b:SourceType>
    <b:Guid>{2574F8C2-0ECA-4536-AAD9-54ECBE0E8C7B}</b:Guid>
    <b:Author>
      <b:Author>
        <b:Corporate>DUSC</b:Corporate>
      </b:Author>
    </b:Author>
    <b:Title>Ranibizumab and aflibercept: analysis of use for AMD, DMO, BRVO and CRVO</b:Title>
    <b:Year>2018</b:Year>
    <b:Publisher>Department of Health</b:Publisher>
    <b:RefOrder>7</b:RefOrder>
  </b:Source>
</b:Sources>
</file>

<file path=customXml/itemProps1.xml><?xml version="1.0" encoding="utf-8"?>
<ds:datastoreItem xmlns:ds="http://schemas.openxmlformats.org/officeDocument/2006/customXml" ds:itemID="{052440D2-9B9E-4A53-98B1-4AF5A8EA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7484</Words>
  <Characters>41912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2022-06-17T06:59:00Z</dcterms:created>
  <dcterms:modified xsi:type="dcterms:W3CDTF">2022-07-05T02:03:00Z</dcterms:modified>
</cp:coreProperties>
</file>