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5DC3D" w14:textId="77777777" w:rsidR="00E44B80" w:rsidRPr="00F637B3" w:rsidRDefault="00E44B80" w:rsidP="00E44B80">
      <w:pPr>
        <w:jc w:val="center"/>
        <w:rPr>
          <w:b/>
          <w:szCs w:val="20"/>
        </w:rPr>
      </w:pPr>
      <w:r w:rsidRPr="00F637B3">
        <w:rPr>
          <w:b/>
          <w:noProof/>
          <w:szCs w:val="20"/>
          <w:lang w:eastAsia="en-AU"/>
        </w:rPr>
        <w:drawing>
          <wp:inline distT="0" distB="0" distL="0" distR="0" wp14:anchorId="13FE6F9E" wp14:editId="230CBF31">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2BFEEB3D" w14:textId="10A46F76" w:rsidR="008B2610" w:rsidRDefault="00120204" w:rsidP="00F971CC">
      <w:pPr>
        <w:pStyle w:val="Title"/>
        <w:spacing w:before="2600"/>
      </w:pPr>
      <w:r>
        <w:t xml:space="preserve">MSAC </w:t>
      </w:r>
      <w:r w:rsidR="008B2610" w:rsidRPr="001906CD">
        <w:t xml:space="preserve">Application </w:t>
      </w:r>
      <w:r>
        <w:t>1695</w:t>
      </w:r>
    </w:p>
    <w:p w14:paraId="45461A12" w14:textId="36F9B768" w:rsidR="0056015F" w:rsidRPr="0056015F" w:rsidRDefault="008726CE" w:rsidP="0056015F">
      <w:pPr>
        <w:pStyle w:val="TitleBlue"/>
      </w:pPr>
      <w:r w:rsidRPr="008726CE">
        <w:t>Procedures for the implantation and refill-exchange of the Port Delivery System</w:t>
      </w:r>
      <w:r>
        <w:t xml:space="preserve"> </w:t>
      </w:r>
      <w:r w:rsidR="00D54F0A">
        <w:t xml:space="preserve">with ranibizumab </w:t>
      </w:r>
      <w:r>
        <w:t>to treat n</w:t>
      </w:r>
      <w:r w:rsidRPr="008726CE">
        <w:t>eovascular age-related macular degeneration</w:t>
      </w:r>
    </w:p>
    <w:p w14:paraId="58546CE5"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39E27052"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3EFBDF8B"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5FBBA498" w14:textId="77777777" w:rsidR="009F5758" w:rsidRPr="00154B00" w:rsidRDefault="009F5758" w:rsidP="003F7CB9">
      <w:pPr>
        <w:spacing w:before="0" w:after="0"/>
      </w:pPr>
    </w:p>
    <w:p w14:paraId="3CA657E6" w14:textId="77777777" w:rsidR="009F5758" w:rsidRPr="00DC3301" w:rsidRDefault="009F5758" w:rsidP="003F7CB9">
      <w:pPr>
        <w:spacing w:before="0" w:after="0"/>
        <w:rPr>
          <w:lang w:val="fr-FR"/>
        </w:rPr>
      </w:pPr>
      <w:r w:rsidRPr="00DC3301">
        <w:rPr>
          <w:lang w:val="fr-FR"/>
        </w:rPr>
        <w:t xml:space="preserve">Email:  </w:t>
      </w:r>
      <w:hyperlink r:id="rId9" w:tooltip="click here to email the Department of Health HTA Team" w:history="1">
        <w:r w:rsidRPr="00DC3301">
          <w:rPr>
            <w:rStyle w:val="Hyperlink"/>
            <w:szCs w:val="20"/>
            <w:lang w:val="fr-FR"/>
          </w:rPr>
          <w:t>hta@health.gov.au</w:t>
        </w:r>
      </w:hyperlink>
    </w:p>
    <w:p w14:paraId="5486F5FC" w14:textId="77777777" w:rsidR="009F5758" w:rsidRPr="00DC3301" w:rsidRDefault="009F5758" w:rsidP="003F7CB9">
      <w:pPr>
        <w:spacing w:before="0" w:after="0"/>
        <w:rPr>
          <w:lang w:val="fr-FR"/>
        </w:rPr>
      </w:pPr>
      <w:proofErr w:type="spellStart"/>
      <w:r w:rsidRPr="00DC3301">
        <w:rPr>
          <w:lang w:val="fr-FR"/>
        </w:rPr>
        <w:t>Website</w:t>
      </w:r>
      <w:proofErr w:type="spellEnd"/>
      <w:r w:rsidRPr="00DC3301">
        <w:rPr>
          <w:lang w:val="fr-FR"/>
        </w:rPr>
        <w:t xml:space="preserve">:  </w:t>
      </w:r>
      <w:hyperlink r:id="rId10" w:tooltip="click here to visit the Medical Services Advisory Committee website" w:history="1">
        <w:r w:rsidR="008E6227" w:rsidRPr="00DC3301">
          <w:rPr>
            <w:rStyle w:val="Hyperlink"/>
            <w:lang w:val="fr-FR"/>
          </w:rPr>
          <w:t>www.msac.gov.au</w:t>
        </w:r>
      </w:hyperlink>
      <w:r w:rsidR="008E6227" w:rsidRPr="00DC3301">
        <w:rPr>
          <w:lang w:val="fr-FR"/>
        </w:rPr>
        <w:t xml:space="preserve"> </w:t>
      </w:r>
      <w:r w:rsidR="001A02E3" w:rsidRPr="00DC3301">
        <w:rPr>
          <w:lang w:val="fr-FR"/>
        </w:rPr>
        <w:t xml:space="preserve"> </w:t>
      </w:r>
    </w:p>
    <w:p w14:paraId="58979FCF" w14:textId="77777777" w:rsidR="00E04FB3" w:rsidRPr="00C776B1" w:rsidRDefault="00D73646" w:rsidP="0056015F">
      <w:pPr>
        <w:pStyle w:val="Heading1"/>
      </w:pPr>
      <w:bookmarkStart w:id="0" w:name="_Toc443555803"/>
      <w:r w:rsidRPr="00DC3301">
        <w:rPr>
          <w:rStyle w:val="IntenseReference"/>
          <w:lang w:val="fr-FR"/>
        </w:rPr>
        <w:br w:type="page"/>
      </w:r>
      <w:bookmarkEnd w:id="0"/>
      <w:r w:rsidR="00494011">
        <w:lastRenderedPageBreak/>
        <w:t>PART 1</w:t>
      </w:r>
      <w:r w:rsidR="00F93784">
        <w:t xml:space="preserve"> – </w:t>
      </w:r>
      <w:r w:rsidR="00E04FB3" w:rsidRPr="00C776B1">
        <w:t>APPLICANT DETAILS</w:t>
      </w:r>
    </w:p>
    <w:p w14:paraId="4BDAAB2E"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1EE5DB87"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00592B">
        <w:t>Roche Products Pty Ltd</w:t>
      </w:r>
    </w:p>
    <w:p w14:paraId="73239F62"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00592B">
        <w:t>Roche Products Pty Ltd</w:t>
      </w:r>
    </w:p>
    <w:p w14:paraId="38A66E89" w14:textId="02840288"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BC7006" w:rsidRPr="00BC7006">
        <w:t>70 000 132 865</w:t>
      </w:r>
    </w:p>
    <w:p w14:paraId="63EB4207"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00592B">
        <w:t>Roche Products Pty Ltd</w:t>
      </w:r>
    </w:p>
    <w:p w14:paraId="5350F297" w14:textId="77777777" w:rsidR="00C171FB" w:rsidRPr="00C171FB" w:rsidRDefault="00C171FB" w:rsidP="00C171FB"/>
    <w:p w14:paraId="637761D8" w14:textId="18E23855" w:rsidR="00C171FB" w:rsidRPr="00C171FB" w:rsidRDefault="00C171FB" w:rsidP="00C171FB">
      <w:pPr>
        <w:rPr>
          <w:b/>
        </w:rPr>
      </w:pPr>
      <w:r>
        <w:rPr>
          <w:b/>
        </w:rPr>
        <w:t xml:space="preserve">Primary contact name: </w:t>
      </w:r>
      <w:r w:rsidR="00120204" w:rsidRPr="00120204">
        <w:rPr>
          <w:b/>
          <w:bCs/>
          <w:sz w:val="22"/>
          <w:szCs w:val="24"/>
        </w:rPr>
        <w:t>REDACTED</w:t>
      </w:r>
    </w:p>
    <w:p w14:paraId="75F1973F"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50444EC9" w14:textId="55D22293"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120204" w:rsidRPr="00120204">
        <w:rPr>
          <w:b/>
          <w:bCs/>
          <w:sz w:val="22"/>
          <w:szCs w:val="24"/>
        </w:rPr>
        <w:t>REDACTED</w:t>
      </w:r>
    </w:p>
    <w:p w14:paraId="4AAAEE83" w14:textId="77777777" w:rsidR="00120204" w:rsidRDefault="00C171FB" w:rsidP="00C171FB">
      <w:pPr>
        <w:pBdr>
          <w:top w:val="single" w:sz="4" w:space="1" w:color="auto"/>
          <w:left w:val="single" w:sz="4" w:space="4" w:color="auto"/>
          <w:bottom w:val="single" w:sz="4" w:space="1" w:color="auto"/>
          <w:right w:val="single" w:sz="4" w:space="4" w:color="auto"/>
        </w:pBdr>
        <w:rPr>
          <w:lang w:val="fr-FR"/>
        </w:rPr>
      </w:pPr>
      <w:proofErr w:type="gramStart"/>
      <w:r w:rsidRPr="00DC3301">
        <w:rPr>
          <w:lang w:val="fr-FR"/>
        </w:rPr>
        <w:t>Mobile:</w:t>
      </w:r>
      <w:proofErr w:type="gramEnd"/>
      <w:r w:rsidRPr="00DC3301">
        <w:rPr>
          <w:lang w:val="fr-FR"/>
        </w:rPr>
        <w:tab/>
      </w:r>
      <w:r w:rsidR="00120204" w:rsidRPr="00120204">
        <w:rPr>
          <w:b/>
          <w:bCs/>
          <w:sz w:val="22"/>
          <w:szCs w:val="24"/>
        </w:rPr>
        <w:t>REDACTED</w:t>
      </w:r>
      <w:r w:rsidR="00120204" w:rsidRPr="00DC3301">
        <w:rPr>
          <w:lang w:val="fr-FR"/>
        </w:rPr>
        <w:t xml:space="preserve"> </w:t>
      </w:r>
    </w:p>
    <w:p w14:paraId="01B409DF" w14:textId="2B5C030A" w:rsidR="00C171FB" w:rsidRPr="00DC3301" w:rsidRDefault="00C171FB" w:rsidP="00C171FB">
      <w:pPr>
        <w:pBdr>
          <w:top w:val="single" w:sz="4" w:space="1" w:color="auto"/>
          <w:left w:val="single" w:sz="4" w:space="4" w:color="auto"/>
          <w:bottom w:val="single" w:sz="4" w:space="1" w:color="auto"/>
          <w:right w:val="single" w:sz="4" w:space="4" w:color="auto"/>
        </w:pBdr>
        <w:rPr>
          <w:lang w:val="fr-FR"/>
        </w:rPr>
      </w:pPr>
      <w:proofErr w:type="gramStart"/>
      <w:r w:rsidRPr="00DC3301">
        <w:rPr>
          <w:lang w:val="fr-FR"/>
        </w:rPr>
        <w:t>Email:</w:t>
      </w:r>
      <w:proofErr w:type="gramEnd"/>
      <w:r w:rsidRPr="00DC3301">
        <w:rPr>
          <w:lang w:val="fr-FR"/>
        </w:rPr>
        <w:t xml:space="preserve"> </w:t>
      </w:r>
      <w:r w:rsidR="00120204" w:rsidRPr="00120204">
        <w:rPr>
          <w:b/>
          <w:bCs/>
          <w:sz w:val="22"/>
          <w:szCs w:val="24"/>
        </w:rPr>
        <w:t>REDACTED</w:t>
      </w:r>
    </w:p>
    <w:p w14:paraId="72EB613D" w14:textId="77777777" w:rsidR="00C171FB" w:rsidRPr="00DC3301" w:rsidRDefault="00C171FB" w:rsidP="00C171FB">
      <w:pPr>
        <w:rPr>
          <w:b/>
          <w:lang w:val="fr-FR"/>
        </w:rPr>
      </w:pPr>
    </w:p>
    <w:p w14:paraId="4AFE47F7" w14:textId="46D58592" w:rsidR="00C171FB" w:rsidRPr="00C171FB" w:rsidRDefault="00C171FB" w:rsidP="00C171FB">
      <w:pPr>
        <w:rPr>
          <w:b/>
        </w:rPr>
      </w:pPr>
      <w:r>
        <w:rPr>
          <w:b/>
        </w:rPr>
        <w:t xml:space="preserve">Alternative contact name: </w:t>
      </w:r>
      <w:r w:rsidR="00120204" w:rsidRPr="00120204">
        <w:rPr>
          <w:b/>
          <w:bCs/>
          <w:sz w:val="22"/>
          <w:szCs w:val="24"/>
        </w:rPr>
        <w:t>REDACTED</w:t>
      </w:r>
    </w:p>
    <w:p w14:paraId="181BA161"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0825AFA4" w14:textId="1DA131F3" w:rsidR="00BC7006" w:rsidRDefault="00BC7006" w:rsidP="00BC7006">
      <w:pPr>
        <w:pBdr>
          <w:top w:val="single" w:sz="4" w:space="1" w:color="auto"/>
          <w:left w:val="single" w:sz="4" w:space="4" w:color="auto"/>
          <w:bottom w:val="single" w:sz="4" w:space="1" w:color="auto"/>
          <w:right w:val="single" w:sz="4" w:space="4" w:color="auto"/>
        </w:pBdr>
      </w:pPr>
      <w:r>
        <w:t xml:space="preserve">Business: </w:t>
      </w:r>
      <w:r w:rsidR="00120204" w:rsidRPr="00120204">
        <w:rPr>
          <w:b/>
          <w:bCs/>
          <w:sz w:val="22"/>
          <w:szCs w:val="24"/>
        </w:rPr>
        <w:t>REDACTED</w:t>
      </w:r>
    </w:p>
    <w:p w14:paraId="7385FC00" w14:textId="1E0B11BF" w:rsidR="00C171FB" w:rsidRPr="00DC3301" w:rsidRDefault="00C171FB" w:rsidP="00C171FB">
      <w:pPr>
        <w:pBdr>
          <w:top w:val="single" w:sz="4" w:space="1" w:color="auto"/>
          <w:left w:val="single" w:sz="4" w:space="4" w:color="auto"/>
          <w:bottom w:val="single" w:sz="4" w:space="1" w:color="auto"/>
          <w:right w:val="single" w:sz="4" w:space="4" w:color="auto"/>
        </w:pBdr>
        <w:rPr>
          <w:lang w:val="fr-FR"/>
        </w:rPr>
      </w:pPr>
      <w:proofErr w:type="gramStart"/>
      <w:r w:rsidRPr="00DC3301">
        <w:rPr>
          <w:lang w:val="fr-FR"/>
        </w:rPr>
        <w:t>Mobile:</w:t>
      </w:r>
      <w:proofErr w:type="gramEnd"/>
      <w:r w:rsidRPr="00DC3301">
        <w:rPr>
          <w:lang w:val="fr-FR"/>
        </w:rPr>
        <w:t xml:space="preserve"> </w:t>
      </w:r>
      <w:r w:rsidR="00120204" w:rsidRPr="00120204">
        <w:rPr>
          <w:b/>
          <w:bCs/>
          <w:sz w:val="22"/>
          <w:szCs w:val="24"/>
        </w:rPr>
        <w:t>REDACTED</w:t>
      </w:r>
    </w:p>
    <w:p w14:paraId="7621830F" w14:textId="10E4218F" w:rsidR="00C171FB" w:rsidRPr="00DC3301" w:rsidRDefault="00C171FB" w:rsidP="00C171FB">
      <w:pPr>
        <w:pBdr>
          <w:top w:val="single" w:sz="4" w:space="1" w:color="auto"/>
          <w:left w:val="single" w:sz="4" w:space="4" w:color="auto"/>
          <w:bottom w:val="single" w:sz="4" w:space="1" w:color="auto"/>
          <w:right w:val="single" w:sz="4" w:space="4" w:color="auto"/>
        </w:pBdr>
        <w:rPr>
          <w:lang w:val="fr-FR"/>
        </w:rPr>
      </w:pPr>
      <w:proofErr w:type="gramStart"/>
      <w:r w:rsidRPr="00DC3301">
        <w:rPr>
          <w:lang w:val="fr-FR"/>
        </w:rPr>
        <w:t>Email:</w:t>
      </w:r>
      <w:proofErr w:type="gramEnd"/>
      <w:r w:rsidRPr="00DC3301">
        <w:rPr>
          <w:lang w:val="fr-FR"/>
        </w:rPr>
        <w:t xml:space="preserve"> </w:t>
      </w:r>
      <w:r w:rsidR="00120204" w:rsidRPr="00120204">
        <w:rPr>
          <w:b/>
          <w:bCs/>
          <w:sz w:val="22"/>
          <w:szCs w:val="24"/>
        </w:rPr>
        <w:t>REDACTED</w:t>
      </w:r>
    </w:p>
    <w:p w14:paraId="7EADC869" w14:textId="77777777" w:rsidR="00C171FB" w:rsidRPr="00DC3301" w:rsidRDefault="00C171FB" w:rsidP="00C171FB">
      <w:pPr>
        <w:rPr>
          <w:lang w:val="fr-FR"/>
        </w:rPr>
      </w:pPr>
    </w:p>
    <w:p w14:paraId="6BEE6EFC" w14:textId="77777777" w:rsidR="00534C5F" w:rsidRPr="00154B00" w:rsidRDefault="00494011" w:rsidP="004A0BF4">
      <w:pPr>
        <w:pStyle w:val="Heading2"/>
      </w:pPr>
      <w:r>
        <w:t xml:space="preserve">(a) </w:t>
      </w:r>
      <w:r w:rsidR="00534C5F">
        <w:t>Are you a lobbyist acting on behalf of an Applicant?</w:t>
      </w:r>
    </w:p>
    <w:p w14:paraId="3524A9B7"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120204">
        <w:rPr>
          <w:szCs w:val="20"/>
        </w:rPr>
      </w:r>
      <w:r w:rsidR="00120204">
        <w:rPr>
          <w:szCs w:val="20"/>
        </w:rPr>
        <w:fldChar w:fldCharType="separate"/>
      </w:r>
      <w:r w:rsidRPr="00753C44">
        <w:rPr>
          <w:szCs w:val="20"/>
        </w:rPr>
        <w:fldChar w:fldCharType="end"/>
      </w:r>
      <w:r>
        <w:rPr>
          <w:szCs w:val="20"/>
        </w:rPr>
        <w:t xml:space="preserve"> Yes</w:t>
      </w:r>
    </w:p>
    <w:p w14:paraId="5A8FA82C" w14:textId="77777777" w:rsidR="00A6491A" w:rsidRPr="00753C44" w:rsidRDefault="0000592B" w:rsidP="00A6491A">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120204">
        <w:rPr>
          <w:szCs w:val="20"/>
        </w:rPr>
      </w:r>
      <w:r w:rsidR="00120204">
        <w:rPr>
          <w:szCs w:val="20"/>
        </w:rPr>
        <w:fldChar w:fldCharType="separate"/>
      </w:r>
      <w:r>
        <w:rPr>
          <w:szCs w:val="20"/>
        </w:rPr>
        <w:fldChar w:fldCharType="end"/>
      </w:r>
      <w:bookmarkEnd w:id="1"/>
      <w:r w:rsidR="00A6491A">
        <w:rPr>
          <w:szCs w:val="20"/>
        </w:rPr>
        <w:t xml:space="preserve"> No</w:t>
      </w:r>
      <w:r w:rsidR="00A6491A" w:rsidRPr="00753C44">
        <w:rPr>
          <w:szCs w:val="20"/>
        </w:rPr>
        <w:t xml:space="preserve">  </w:t>
      </w:r>
    </w:p>
    <w:p w14:paraId="54337FE4"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56BE3AD9"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120204">
        <w:rPr>
          <w:szCs w:val="20"/>
        </w:rPr>
      </w:r>
      <w:r w:rsidR="00120204">
        <w:rPr>
          <w:szCs w:val="20"/>
        </w:rPr>
        <w:fldChar w:fldCharType="separate"/>
      </w:r>
      <w:r w:rsidRPr="00753C44">
        <w:rPr>
          <w:szCs w:val="20"/>
        </w:rPr>
        <w:fldChar w:fldCharType="end"/>
      </w:r>
      <w:r>
        <w:rPr>
          <w:szCs w:val="20"/>
        </w:rPr>
        <w:t xml:space="preserve"> Yes</w:t>
      </w:r>
    </w:p>
    <w:p w14:paraId="5AE47BAF"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120204">
        <w:rPr>
          <w:szCs w:val="20"/>
        </w:rPr>
      </w:r>
      <w:r w:rsidR="00120204">
        <w:rPr>
          <w:szCs w:val="20"/>
        </w:rPr>
        <w:fldChar w:fldCharType="separate"/>
      </w:r>
      <w:r w:rsidRPr="00753C44">
        <w:rPr>
          <w:szCs w:val="20"/>
        </w:rPr>
        <w:fldChar w:fldCharType="end"/>
      </w:r>
      <w:r>
        <w:rPr>
          <w:szCs w:val="20"/>
        </w:rPr>
        <w:t xml:space="preserve"> No</w:t>
      </w:r>
      <w:r w:rsidRPr="00753C44">
        <w:rPr>
          <w:szCs w:val="20"/>
        </w:rPr>
        <w:t xml:space="preserve">  </w:t>
      </w:r>
    </w:p>
    <w:p w14:paraId="0A69D526" w14:textId="77777777" w:rsidR="00E04FB3" w:rsidRDefault="00E04FB3" w:rsidP="005C333E">
      <w:pPr>
        <w:spacing w:before="0" w:after="0"/>
        <w:ind w:left="426"/>
        <w:rPr>
          <w:b/>
          <w:szCs w:val="20"/>
        </w:rPr>
      </w:pPr>
      <w:r w:rsidRPr="00154B00">
        <w:rPr>
          <w:b/>
          <w:szCs w:val="20"/>
        </w:rPr>
        <w:br w:type="page"/>
      </w:r>
    </w:p>
    <w:p w14:paraId="1922CDDA"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673FDCC4" w14:textId="77777777" w:rsidR="000B3CD0" w:rsidRDefault="000B3CD0" w:rsidP="00730C04">
      <w:pPr>
        <w:pStyle w:val="Heading2"/>
      </w:pPr>
      <w:r w:rsidRPr="00154B00">
        <w:t>Application title</w:t>
      </w:r>
      <w:r w:rsidR="00A8732C">
        <w:t xml:space="preserve"> </w:t>
      </w:r>
    </w:p>
    <w:p w14:paraId="18052A5D" w14:textId="15F2F067" w:rsidR="009056C5" w:rsidRPr="009056C5" w:rsidRDefault="008726CE" w:rsidP="00120204">
      <w:pPr>
        <w:ind w:left="360"/>
      </w:pPr>
      <w:r w:rsidRPr="008726CE">
        <w:t xml:space="preserve">Procedures for the implantation and refill-exchange of the Port Delivery System </w:t>
      </w:r>
      <w:r w:rsidR="00D54F0A">
        <w:t xml:space="preserve">with ranibizumab </w:t>
      </w:r>
      <w:r w:rsidRPr="008726CE">
        <w:t>to treat neovascular age-related macular degeneration</w:t>
      </w:r>
    </w:p>
    <w:p w14:paraId="1936FF7D"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61EB5915" w14:textId="2A307FD8" w:rsidR="00D7659D" w:rsidRDefault="009C068B" w:rsidP="00120204">
      <w:pPr>
        <w:ind w:left="360"/>
      </w:pPr>
      <w:r>
        <w:t xml:space="preserve">Age related macular degeneration (AMD) is a chronic eye disease characterised by progressive degenerative abnormalities in the central retina (macula) and is the leading cause of severe vision loss and legal blindness in people over the age of 65 years.  Neovascular (wet) AMD </w:t>
      </w:r>
      <w:r w:rsidR="00E02B36">
        <w:t>(</w:t>
      </w:r>
      <w:proofErr w:type="spellStart"/>
      <w:r w:rsidR="00E02B36">
        <w:t>nAMD</w:t>
      </w:r>
      <w:proofErr w:type="spellEnd"/>
      <w:r w:rsidR="00E02B36">
        <w:t xml:space="preserve">) </w:t>
      </w:r>
      <w:r>
        <w:t xml:space="preserve">occurs in around 10-15% of overall AMD cases and is characterised by choroidal neovascularisation (CNV), a process in which new blood vessels grow beneath the retina and macula. </w:t>
      </w:r>
      <w:r w:rsidR="00B2514B">
        <w:t xml:space="preserve">In wet AMD, the protein vascular endothelial growth factor (VEGF) is predominantly responsible for the abnormal growth of blood vessels and fluid leakage under the retina. Anti-VEGF medication can block the activity of this VEGF protein, thereby stopping the growth of abnormal blood vessels </w:t>
      </w:r>
      <w:r w:rsidR="00B2514B" w:rsidRPr="00B2514B">
        <w:t>and fluid leakage</w:t>
      </w:r>
      <w:r w:rsidR="00B2514B" w:rsidRPr="00B2514B">
        <w:rPr>
          <w:i/>
        </w:rPr>
        <w:t>.</w:t>
      </w:r>
    </w:p>
    <w:p w14:paraId="159334DF" w14:textId="1C9205D5" w:rsidR="009C068B" w:rsidRDefault="00D7659D" w:rsidP="00120204">
      <w:pPr>
        <w:ind w:left="360"/>
      </w:pPr>
      <w:r>
        <w:t xml:space="preserve">The current standard of care are </w:t>
      </w:r>
      <w:r w:rsidR="009C068B">
        <w:t xml:space="preserve">the </w:t>
      </w:r>
      <w:r w:rsidR="00385607">
        <w:t xml:space="preserve">Pharmaceutical Benefits Scheme (PBS) listed </w:t>
      </w:r>
      <w:r w:rsidR="009C068B">
        <w:t>anti-VEGF intravitreal injections, Lucentis® (ranibizumab) and Eylea® (aflibercept).</w:t>
      </w:r>
    </w:p>
    <w:p w14:paraId="2D4BF533" w14:textId="727C6BD9" w:rsidR="009C068B" w:rsidRDefault="009C068B" w:rsidP="00120204">
      <w:pPr>
        <w:ind w:left="360"/>
      </w:pPr>
      <w:r w:rsidRPr="00386627">
        <w:t xml:space="preserve">Real-world data suggest that this burden of frequent intravitreal injections and office visits </w:t>
      </w:r>
      <w:r>
        <w:t xml:space="preserve">(and associated out of pocket costs) </w:t>
      </w:r>
      <w:r w:rsidR="00FD7FCB">
        <w:t xml:space="preserve">with current standard of care </w:t>
      </w:r>
      <w:r w:rsidRPr="00386627">
        <w:t>contributes to many patients not achieving or maintaining vision outcomes comparable with those observed in controlled clinical trials</w:t>
      </w:r>
      <w:r>
        <w:t xml:space="preserve">. Further, access to ophthalmological care in rural and remote </w:t>
      </w:r>
      <w:r w:rsidR="00F373D1">
        <w:t xml:space="preserve">areas </w:t>
      </w:r>
      <w:r>
        <w:t>is d</w:t>
      </w:r>
      <w:r w:rsidR="00F373D1">
        <w:t>isparate to metropolitan areas in Australia.</w:t>
      </w:r>
    </w:p>
    <w:p w14:paraId="136B9D68" w14:textId="3255EE24" w:rsidR="009C068B" w:rsidRDefault="009C068B" w:rsidP="00120204">
      <w:pPr>
        <w:ind w:left="360"/>
      </w:pPr>
      <w:r>
        <w:t xml:space="preserve">Therefore, </w:t>
      </w:r>
      <w:r w:rsidR="00EE7F6A">
        <w:t xml:space="preserve">there is </w:t>
      </w:r>
      <w:r>
        <w:t>a need for novel interventions that reduce treatment burden</w:t>
      </w:r>
      <w:r w:rsidR="00BC7006">
        <w:t xml:space="preserve">, subsequently </w:t>
      </w:r>
      <w:r w:rsidR="00831B9D">
        <w:t xml:space="preserve">reducing </w:t>
      </w:r>
      <w:r w:rsidR="00BC7006">
        <w:t>patient clinic visits for treatment administration</w:t>
      </w:r>
      <w:r w:rsidR="00BD1096">
        <w:t>, an expense to the MBS</w:t>
      </w:r>
      <w:r w:rsidR="00BC7006">
        <w:t xml:space="preserve">.  The Port Delivery System </w:t>
      </w:r>
      <w:r w:rsidR="00726CCB">
        <w:t xml:space="preserve">with ranibizumab </w:t>
      </w:r>
      <w:r>
        <w:t>(</w:t>
      </w:r>
      <w:r w:rsidRPr="009C068B">
        <w:t>PDS</w:t>
      </w:r>
      <w:r>
        <w:t>)</w:t>
      </w:r>
      <w:r w:rsidRPr="009C068B">
        <w:t xml:space="preserve"> </w:t>
      </w:r>
      <w:r w:rsidR="00BC7006">
        <w:t xml:space="preserve">is </w:t>
      </w:r>
      <w:r w:rsidRPr="009C068B">
        <w:t xml:space="preserve">a permanent refillable </w:t>
      </w:r>
      <w:r w:rsidR="002E18E9">
        <w:t>ocular</w:t>
      </w:r>
      <w:r w:rsidRPr="009C068B">
        <w:t xml:space="preserve"> implant that continuously delivers a customised formulation of ranibizumab over a period of months, reducing the treatment burden </w:t>
      </w:r>
      <w:r w:rsidR="00BD1096">
        <w:t xml:space="preserve">and </w:t>
      </w:r>
      <w:r w:rsidRPr="009C068B">
        <w:t xml:space="preserve">associated </w:t>
      </w:r>
      <w:r w:rsidR="00CC71D6">
        <w:t xml:space="preserve">MBS costs </w:t>
      </w:r>
      <w:r w:rsidRPr="009C068B">
        <w:t>with frequent eye injections.</w:t>
      </w:r>
    </w:p>
    <w:p w14:paraId="4972CB36"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69652F16" w14:textId="16835239" w:rsidR="002E1B61" w:rsidRDefault="005C034C" w:rsidP="00120204">
      <w:pPr>
        <w:ind w:left="360"/>
      </w:pPr>
      <w:r>
        <w:t xml:space="preserve">The proposed services seek appropriate </w:t>
      </w:r>
      <w:r w:rsidR="009C068B">
        <w:t xml:space="preserve">Medical Benefits Scheme </w:t>
      </w:r>
      <w:r w:rsidR="00726CCB">
        <w:t xml:space="preserve">(MBS) </w:t>
      </w:r>
      <w:r>
        <w:t xml:space="preserve">reimbursement </w:t>
      </w:r>
      <w:r w:rsidR="00F373D1">
        <w:t xml:space="preserve">to allow </w:t>
      </w:r>
      <w:r w:rsidR="00AB5DC2">
        <w:t xml:space="preserve">the initial fill and </w:t>
      </w:r>
      <w:r w:rsidR="009C068B">
        <w:t>implantation</w:t>
      </w:r>
      <w:r w:rsidR="00726CCB">
        <w:t xml:space="preserve"> and</w:t>
      </w:r>
      <w:r w:rsidR="009C068B">
        <w:t xml:space="preserve"> refill-exchange of the </w:t>
      </w:r>
      <w:r>
        <w:t>Port Delivery System</w:t>
      </w:r>
      <w:r w:rsidR="00BC7006">
        <w:t>’s ocular implant</w:t>
      </w:r>
      <w:r w:rsidR="008726CE">
        <w:t xml:space="preserve"> </w:t>
      </w:r>
      <w:r w:rsidR="00726CCB">
        <w:t xml:space="preserve">with ranibizumab </w:t>
      </w:r>
      <w:r w:rsidR="008726CE">
        <w:t>for the treatment of neovascular age-related macular degeneration.</w:t>
      </w:r>
      <w:r w:rsidR="00726CCB">
        <w:t xml:space="preserve"> </w:t>
      </w:r>
      <w:r w:rsidR="00C0268A">
        <w:t xml:space="preserve">The proposed services represent </w:t>
      </w:r>
      <w:r w:rsidR="00EC0F32">
        <w:t>new (or change to existing) co-dependent MBS item</w:t>
      </w:r>
      <w:r w:rsidR="00C0268A">
        <w:t>s</w:t>
      </w:r>
      <w:r w:rsidR="00EC0F32">
        <w:t xml:space="preserve"> to cover the administration of </w:t>
      </w:r>
      <w:r w:rsidR="00726CCB">
        <w:t>a drug, ranibizumab.</w:t>
      </w:r>
      <w:r w:rsidR="00C172C7">
        <w:t xml:space="preserve">  Proposed fees are </w:t>
      </w:r>
      <w:r w:rsidR="00724588">
        <w:t>informed by</w:t>
      </w:r>
      <w:r w:rsidR="00C172C7">
        <w:t xml:space="preserve"> ocular procedures reimbursed on the MBS that are similar in terms of complexity and time, as </w:t>
      </w:r>
      <w:r w:rsidR="00724588">
        <w:t>suggested</w:t>
      </w:r>
      <w:r w:rsidR="00C172C7">
        <w:t xml:space="preserve"> by consulted medical experts.</w:t>
      </w:r>
    </w:p>
    <w:p w14:paraId="2E67398E" w14:textId="36D3CE2D" w:rsidR="00726CCB" w:rsidRDefault="00726CCB" w:rsidP="00120204">
      <w:pPr>
        <w:ind w:left="360"/>
      </w:pPr>
      <w:r>
        <w:t>MBS reimbursement is also sought for the explantation of the ocular implant, if required.</w:t>
      </w:r>
    </w:p>
    <w:p w14:paraId="7699662B" w14:textId="55BB506B" w:rsidR="00D54F0A" w:rsidRDefault="00D54F0A" w:rsidP="00120204">
      <w:pPr>
        <w:ind w:left="360"/>
      </w:pPr>
      <w:r>
        <w:t xml:space="preserve">The applicant notes than an </w:t>
      </w:r>
      <w:r w:rsidR="00C172C7">
        <w:t>e</w:t>
      </w:r>
      <w:r>
        <w:t xml:space="preserve">xpedited MSAC pathway is appropriate given a clear PICO for the technology.  Furthermore, MSAC Process frameworks acknowledge that </w:t>
      </w:r>
      <w:r w:rsidRPr="00D54F0A">
        <w:t>professional service</w:t>
      </w:r>
      <w:r>
        <w:t>s</w:t>
      </w:r>
      <w:r w:rsidRPr="00D54F0A">
        <w:t xml:space="preserve"> for the administration of the drug </w:t>
      </w:r>
      <w:r w:rsidR="00C172C7">
        <w:t xml:space="preserve">do </w:t>
      </w:r>
      <w:r w:rsidRPr="00D54F0A">
        <w:t>not require a separate HTA to be conducted by MSAC to inform the MBS listing</w:t>
      </w:r>
      <w:r w:rsidR="00C172C7">
        <w:t xml:space="preserve"> when </w:t>
      </w:r>
      <w:r w:rsidRPr="00D54F0A">
        <w:t xml:space="preserve">the HTA </w:t>
      </w:r>
      <w:r w:rsidR="00C172C7">
        <w:t xml:space="preserve">is being </w:t>
      </w:r>
      <w:r>
        <w:t xml:space="preserve">conducted by </w:t>
      </w:r>
      <w:r w:rsidR="00C172C7">
        <w:t xml:space="preserve">the </w:t>
      </w:r>
      <w:r>
        <w:t>PBAC for the drug (p.30, MSAC Final Process Framework)</w:t>
      </w:r>
      <w:r w:rsidR="00C172C7">
        <w:t>.</w:t>
      </w:r>
    </w:p>
    <w:p w14:paraId="5EC2CB3A" w14:textId="416FA2A8" w:rsidR="00D11EB1" w:rsidRPr="0011036E" w:rsidRDefault="009C068B"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 </w:t>
      </w:r>
      <w:r w:rsidR="00730C04">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71FB5598" w14:textId="77777777" w:rsidR="00753C44" w:rsidRDefault="005C034C" w:rsidP="00120204">
      <w:pPr>
        <w:spacing w:before="0" w:after="0"/>
        <w:ind w:left="360"/>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120204">
        <w:rPr>
          <w:szCs w:val="20"/>
        </w:rPr>
      </w:r>
      <w:r w:rsidR="00120204">
        <w:rPr>
          <w:szCs w:val="20"/>
        </w:rPr>
        <w:fldChar w:fldCharType="separate"/>
      </w:r>
      <w:r>
        <w:rPr>
          <w:szCs w:val="20"/>
        </w:rPr>
        <w:fldChar w:fldCharType="end"/>
      </w:r>
      <w:bookmarkEnd w:id="2"/>
      <w:r w:rsidR="006B6390">
        <w:rPr>
          <w:szCs w:val="20"/>
        </w:rPr>
        <w:t xml:space="preserve"> Yes</w:t>
      </w:r>
    </w:p>
    <w:p w14:paraId="520FAD24" w14:textId="77777777" w:rsidR="00753C44" w:rsidRPr="00753C44" w:rsidRDefault="006B6390" w:rsidP="00120204">
      <w:pPr>
        <w:spacing w:before="0" w:after="0"/>
        <w:ind w:left="36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120204">
        <w:rPr>
          <w:szCs w:val="20"/>
        </w:rPr>
      </w:r>
      <w:r w:rsidR="00120204">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3E7220E9"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3B655486" w14:textId="77777777" w:rsidR="00753C44" w:rsidRDefault="006B6390" w:rsidP="00120204">
      <w:pPr>
        <w:spacing w:before="0" w:after="0"/>
        <w:ind w:left="36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120204">
        <w:rPr>
          <w:szCs w:val="20"/>
        </w:rPr>
      </w:r>
      <w:r w:rsidR="00120204">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39687644" w14:textId="77777777" w:rsidR="00753C44" w:rsidRPr="00753C44" w:rsidRDefault="005C034C" w:rsidP="00120204">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20204">
        <w:rPr>
          <w:szCs w:val="20"/>
        </w:rPr>
      </w:r>
      <w:r w:rsidR="00120204">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778DE385"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lastRenderedPageBreak/>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195E56D6" w14:textId="08B5136A" w:rsidR="003D795C" w:rsidRPr="00CB12EC" w:rsidRDefault="00EE7F6A" w:rsidP="00120204">
      <w:pPr>
        <w:ind w:left="284" w:firstLine="436"/>
      </w:pPr>
      <w:r>
        <w:t>N/A</w:t>
      </w:r>
    </w:p>
    <w:p w14:paraId="53360A69"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675A2565" w14:textId="5951B985" w:rsidR="002A270B" w:rsidRPr="00CB12EC" w:rsidRDefault="00EE7F6A" w:rsidP="00120204">
      <w:pPr>
        <w:ind w:left="284" w:firstLine="436"/>
      </w:pPr>
      <w:r>
        <w:t>N/A</w:t>
      </w:r>
    </w:p>
    <w:p w14:paraId="085970E8"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6A4D2642" w14:textId="77777777" w:rsidR="006B6390" w:rsidRPr="00AA2CFE" w:rsidRDefault="005C034C"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120204">
        <w:rPr>
          <w:b/>
          <w:szCs w:val="20"/>
        </w:rPr>
      </w:r>
      <w:r w:rsidR="00120204">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which also seeks to allow access to the MBS for a specific health practitioner group</w:t>
      </w:r>
    </w:p>
    <w:p w14:paraId="2CC191BD" w14:textId="74899477" w:rsidR="006B6390" w:rsidRPr="00AA2CFE" w:rsidRDefault="0011054B"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120204">
        <w:rPr>
          <w:b/>
          <w:szCs w:val="20"/>
        </w:rPr>
      </w:r>
      <w:r w:rsidR="00120204">
        <w:rPr>
          <w:b/>
          <w:szCs w:val="20"/>
        </w:rPr>
        <w:fldChar w:fldCharType="separate"/>
      </w:r>
      <w:r>
        <w:rPr>
          <w:b/>
          <w:szCs w:val="20"/>
        </w:rPr>
        <w:fldChar w:fldCharType="end"/>
      </w:r>
      <w:r w:rsidR="006B6390" w:rsidRPr="00AA2CFE">
        <w:rPr>
          <w:b/>
          <w:szCs w:val="20"/>
        </w:rPr>
        <w:t xml:space="preserve"> </w:t>
      </w:r>
      <w:r w:rsidR="006B6390" w:rsidRPr="00AA2CFE">
        <w:rPr>
          <w:rStyle w:val="Strong"/>
          <w:b w:val="0"/>
        </w:rPr>
        <w:t xml:space="preserve">A new item that is proposing a way of clinically delivering a service that is new to the MBS (in terms of </w:t>
      </w:r>
      <w:r w:rsidR="006B6390" w:rsidRPr="00831B9D">
        <w:rPr>
          <w:rStyle w:val="Strong"/>
          <w:b w:val="0"/>
          <w:u w:val="single"/>
        </w:rPr>
        <w:t>new technology</w:t>
      </w:r>
      <w:r w:rsidR="006B6390" w:rsidRPr="00AA2CFE">
        <w:rPr>
          <w:rStyle w:val="Strong"/>
          <w:b w:val="0"/>
        </w:rPr>
        <w:t xml:space="preserve"> and / or population)</w:t>
      </w:r>
    </w:p>
    <w:p w14:paraId="1900B862"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120204">
        <w:rPr>
          <w:b/>
          <w:szCs w:val="20"/>
        </w:rPr>
      </w:r>
      <w:r w:rsidR="00120204">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4BAE4E55"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120204">
        <w:rPr>
          <w:b/>
          <w:szCs w:val="20"/>
        </w:rPr>
      </w:r>
      <w:r w:rsidR="00120204">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78FFFEB3"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0FDB017B" w14:textId="12EAB92B" w:rsidR="000A5B32" w:rsidRDefault="0011054B" w:rsidP="00120204">
      <w:pPr>
        <w:spacing w:before="0" w:after="0"/>
        <w:ind w:left="36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120204">
        <w:rPr>
          <w:szCs w:val="20"/>
        </w:rPr>
      </w:r>
      <w:r w:rsidR="00120204">
        <w:rPr>
          <w:szCs w:val="20"/>
        </w:rPr>
        <w:fldChar w:fldCharType="separate"/>
      </w:r>
      <w:r>
        <w:rPr>
          <w:szCs w:val="20"/>
        </w:rPr>
        <w:fldChar w:fldCharType="end"/>
      </w:r>
      <w:r w:rsidR="000A5B32" w:rsidRPr="000A5B32">
        <w:rPr>
          <w:szCs w:val="20"/>
        </w:rPr>
        <w:t xml:space="preserve"> Yes</w:t>
      </w:r>
    </w:p>
    <w:p w14:paraId="5FD48740" w14:textId="3F2A07AE" w:rsidR="00626365" w:rsidRDefault="0011054B" w:rsidP="00120204">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20204">
        <w:rPr>
          <w:szCs w:val="20"/>
        </w:rPr>
      </w:r>
      <w:r w:rsidR="00120204">
        <w:rPr>
          <w:szCs w:val="20"/>
        </w:rPr>
        <w:fldChar w:fldCharType="separate"/>
      </w:r>
      <w:r>
        <w:rPr>
          <w:szCs w:val="20"/>
        </w:rPr>
        <w:fldChar w:fldCharType="end"/>
      </w:r>
      <w:r w:rsidR="000A5B32" w:rsidRPr="000A5B32">
        <w:rPr>
          <w:szCs w:val="20"/>
        </w:rPr>
        <w:t xml:space="preserve"> No</w:t>
      </w:r>
    </w:p>
    <w:p w14:paraId="27D95542" w14:textId="4044C846" w:rsidR="00626365" w:rsidRDefault="00626365" w:rsidP="00626365">
      <w:pPr>
        <w:spacing w:before="0" w:after="0"/>
        <w:ind w:left="284"/>
        <w:rPr>
          <w:rStyle w:val="Strong"/>
          <w:rFonts w:asciiTheme="minorHAnsi" w:eastAsiaTheme="minorHAnsi" w:hAnsiTheme="minorHAnsi" w:cstheme="minorBidi"/>
          <w:b w:val="0"/>
          <w:szCs w:val="20"/>
        </w:rPr>
      </w:pPr>
    </w:p>
    <w:p w14:paraId="471F7F9C" w14:textId="0E459421" w:rsidR="00C42017" w:rsidRDefault="0011054B" w:rsidP="00C42017">
      <w:pPr>
        <w:spacing w:before="0" w:after="0"/>
        <w:ind w:left="360"/>
        <w:jc w:val="both"/>
        <w:rPr>
          <w:rStyle w:val="Strong"/>
          <w:rFonts w:asciiTheme="minorHAnsi" w:eastAsiaTheme="minorHAnsi" w:hAnsiTheme="minorHAnsi" w:cstheme="minorBidi"/>
          <w:b w:val="0"/>
          <w:szCs w:val="20"/>
        </w:rPr>
      </w:pPr>
      <w:r>
        <w:rPr>
          <w:rStyle w:val="Strong"/>
          <w:rFonts w:asciiTheme="minorHAnsi" w:eastAsiaTheme="minorHAnsi" w:hAnsiTheme="minorHAnsi" w:cstheme="minorBidi"/>
          <w:b w:val="0"/>
          <w:szCs w:val="20"/>
        </w:rPr>
        <w:t>No other source of funding for the procedures other than the MBS is sought</w:t>
      </w:r>
      <w:r w:rsidR="00C42017">
        <w:rPr>
          <w:rStyle w:val="Strong"/>
          <w:rFonts w:asciiTheme="minorHAnsi" w:eastAsiaTheme="minorHAnsi" w:hAnsiTheme="minorHAnsi" w:cstheme="minorBidi"/>
          <w:b w:val="0"/>
          <w:szCs w:val="20"/>
        </w:rPr>
        <w:t>.</w:t>
      </w:r>
      <w:r>
        <w:rPr>
          <w:rStyle w:val="Strong"/>
          <w:rFonts w:asciiTheme="minorHAnsi" w:eastAsiaTheme="minorHAnsi" w:hAnsiTheme="minorHAnsi" w:cstheme="minorBidi"/>
          <w:b w:val="0"/>
          <w:szCs w:val="20"/>
        </w:rPr>
        <w:t xml:space="preserve"> </w:t>
      </w:r>
    </w:p>
    <w:p w14:paraId="1D700FCD" w14:textId="04452D84" w:rsidR="00EC1537" w:rsidRDefault="00EC1537" w:rsidP="00EC1537">
      <w:pPr>
        <w:spacing w:before="0" w:after="0"/>
        <w:ind w:left="360"/>
        <w:jc w:val="both"/>
        <w:rPr>
          <w:rStyle w:val="Strong"/>
          <w:rFonts w:asciiTheme="minorHAnsi" w:eastAsiaTheme="minorHAnsi" w:hAnsiTheme="minorHAnsi" w:cstheme="minorBidi"/>
          <w:b w:val="0"/>
          <w:szCs w:val="20"/>
        </w:rPr>
      </w:pPr>
      <w:r>
        <w:rPr>
          <w:rStyle w:val="Strong"/>
          <w:rFonts w:asciiTheme="minorHAnsi" w:eastAsiaTheme="minorHAnsi" w:hAnsiTheme="minorHAnsi" w:cstheme="minorBidi"/>
          <w:b w:val="0"/>
          <w:szCs w:val="20"/>
        </w:rPr>
        <w:t xml:space="preserve">It is foreshadowed that public funding will be sought for </w:t>
      </w:r>
      <w:proofErr w:type="spellStart"/>
      <w:r>
        <w:rPr>
          <w:rStyle w:val="Strong"/>
          <w:rFonts w:asciiTheme="minorHAnsi" w:eastAsiaTheme="minorHAnsi" w:hAnsiTheme="minorHAnsi" w:cstheme="minorBidi"/>
          <w:b w:val="0"/>
          <w:szCs w:val="20"/>
        </w:rPr>
        <w:t>Susvimo</w:t>
      </w:r>
      <w:proofErr w:type="spellEnd"/>
      <w:r>
        <w:rPr>
          <w:rStyle w:val="Strong"/>
          <w:rFonts w:asciiTheme="minorHAnsi" w:eastAsiaTheme="minorHAnsi" w:hAnsiTheme="minorHAnsi" w:cstheme="minorBidi"/>
          <w:b w:val="0"/>
          <w:szCs w:val="20"/>
        </w:rPr>
        <w:t>®, a customised version of ranibizumab for use in the ocular implant on the PBS.</w:t>
      </w:r>
    </w:p>
    <w:p w14:paraId="57A89560"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797759E4" w14:textId="50BC57CF" w:rsidR="000A5B32" w:rsidRPr="00855944" w:rsidRDefault="00120204" w:rsidP="00120204">
      <w:pPr>
        <w:ind w:left="284" w:firstLine="76"/>
        <w:rPr>
          <w:rStyle w:val="Strong"/>
        </w:rPr>
      </w:pPr>
      <w:r>
        <w:t>N/A</w:t>
      </w:r>
    </w:p>
    <w:p w14:paraId="72C06DBF" w14:textId="77777777" w:rsidR="000B3CD0" w:rsidRDefault="000B3CD0" w:rsidP="00730C04">
      <w:pPr>
        <w:pStyle w:val="Heading2"/>
      </w:pPr>
      <w:r w:rsidRPr="00154B00">
        <w:t xml:space="preserve">What is the type of </w:t>
      </w:r>
      <w:proofErr w:type="gramStart"/>
      <w:r w:rsidRPr="00154B00">
        <w:t>service:</w:t>
      </w:r>
      <w:proofErr w:type="gramEnd"/>
    </w:p>
    <w:p w14:paraId="5B3F2435" w14:textId="5F7D8030" w:rsidR="00A6594E" w:rsidRDefault="0011054B" w:rsidP="00120204">
      <w:pPr>
        <w:spacing w:before="0" w:after="0"/>
        <w:ind w:left="360"/>
      </w:pPr>
      <w:r>
        <w:rPr>
          <w:b/>
          <w:szCs w:val="20"/>
        </w:rPr>
        <w:fldChar w:fldCharType="begin">
          <w:ffData>
            <w:name w:val=""/>
            <w:enabled/>
            <w:calcOnExit w:val="0"/>
            <w:checkBox>
              <w:sizeAuto/>
              <w:default w:val="0"/>
            </w:checkBox>
          </w:ffData>
        </w:fldChar>
      </w:r>
      <w:r>
        <w:rPr>
          <w:b/>
          <w:szCs w:val="20"/>
        </w:rPr>
        <w:instrText xml:space="preserve"> FORMCHECKBOX </w:instrText>
      </w:r>
      <w:r w:rsidR="00120204">
        <w:rPr>
          <w:b/>
          <w:szCs w:val="20"/>
        </w:rPr>
      </w:r>
      <w:r w:rsidR="00120204">
        <w:rPr>
          <w:b/>
          <w:szCs w:val="20"/>
        </w:rPr>
        <w:fldChar w:fldCharType="separate"/>
      </w:r>
      <w:r>
        <w:rPr>
          <w:b/>
          <w:szCs w:val="20"/>
        </w:rPr>
        <w:fldChar w:fldCharType="end"/>
      </w:r>
      <w:r w:rsidR="00A6594E" w:rsidRPr="0027105F">
        <w:rPr>
          <w:b/>
          <w:szCs w:val="20"/>
        </w:rPr>
        <w:t xml:space="preserve"> </w:t>
      </w:r>
      <w:r w:rsidR="00A6594E">
        <w:t>Therapeutic medical service</w:t>
      </w:r>
    </w:p>
    <w:p w14:paraId="205CEDC8" w14:textId="77777777" w:rsidR="00A6594E" w:rsidRDefault="00A6594E" w:rsidP="00120204">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20204">
        <w:rPr>
          <w:b/>
          <w:szCs w:val="20"/>
        </w:rPr>
      </w:r>
      <w:r w:rsidR="00120204">
        <w:rPr>
          <w:b/>
          <w:szCs w:val="20"/>
        </w:rPr>
        <w:fldChar w:fldCharType="separate"/>
      </w:r>
      <w:r w:rsidRPr="0027105F">
        <w:rPr>
          <w:b/>
          <w:szCs w:val="20"/>
        </w:rPr>
        <w:fldChar w:fldCharType="end"/>
      </w:r>
      <w:r w:rsidRPr="0027105F">
        <w:rPr>
          <w:b/>
          <w:szCs w:val="20"/>
        </w:rPr>
        <w:t xml:space="preserve"> </w:t>
      </w:r>
      <w:r>
        <w:t>Investigative medical service</w:t>
      </w:r>
    </w:p>
    <w:p w14:paraId="281AD40B" w14:textId="77777777" w:rsidR="00A6594E" w:rsidRDefault="00A6594E" w:rsidP="00120204">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20204">
        <w:rPr>
          <w:b/>
          <w:szCs w:val="20"/>
        </w:rPr>
      </w:r>
      <w:r w:rsidR="00120204">
        <w:rPr>
          <w:b/>
          <w:szCs w:val="20"/>
        </w:rPr>
        <w:fldChar w:fldCharType="separate"/>
      </w:r>
      <w:r w:rsidRPr="0027105F">
        <w:rPr>
          <w:b/>
          <w:szCs w:val="20"/>
        </w:rPr>
        <w:fldChar w:fldCharType="end"/>
      </w:r>
      <w:r w:rsidRPr="0027105F">
        <w:rPr>
          <w:b/>
          <w:szCs w:val="20"/>
        </w:rPr>
        <w:t xml:space="preserve"> </w:t>
      </w:r>
      <w:r>
        <w:t>Single consultation medical service</w:t>
      </w:r>
    </w:p>
    <w:p w14:paraId="2845814A" w14:textId="77777777" w:rsidR="00A6594E" w:rsidRDefault="00A6594E" w:rsidP="00120204">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20204">
        <w:rPr>
          <w:b/>
          <w:szCs w:val="20"/>
        </w:rPr>
      </w:r>
      <w:r w:rsidR="00120204">
        <w:rPr>
          <w:b/>
          <w:szCs w:val="20"/>
        </w:rPr>
        <w:fldChar w:fldCharType="separate"/>
      </w:r>
      <w:r w:rsidRPr="0027105F">
        <w:rPr>
          <w:b/>
          <w:szCs w:val="20"/>
        </w:rPr>
        <w:fldChar w:fldCharType="end"/>
      </w:r>
      <w:r w:rsidRPr="0027105F">
        <w:rPr>
          <w:b/>
          <w:szCs w:val="20"/>
        </w:rPr>
        <w:t xml:space="preserve"> </w:t>
      </w:r>
      <w:r>
        <w:t>Global consultation medical service</w:t>
      </w:r>
    </w:p>
    <w:p w14:paraId="0D7DBED1" w14:textId="77777777" w:rsidR="00A6594E" w:rsidRDefault="00A6594E" w:rsidP="00120204">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20204">
        <w:rPr>
          <w:b/>
          <w:szCs w:val="20"/>
        </w:rPr>
      </w:r>
      <w:r w:rsidR="00120204">
        <w:rPr>
          <w:b/>
          <w:szCs w:val="20"/>
        </w:rPr>
        <w:fldChar w:fldCharType="separate"/>
      </w:r>
      <w:r w:rsidRPr="0027105F">
        <w:rPr>
          <w:b/>
          <w:szCs w:val="20"/>
        </w:rPr>
        <w:fldChar w:fldCharType="end"/>
      </w:r>
      <w:r w:rsidRPr="0027105F">
        <w:rPr>
          <w:b/>
          <w:szCs w:val="20"/>
        </w:rPr>
        <w:t xml:space="preserve"> </w:t>
      </w:r>
      <w:r>
        <w:t>Allied health service</w:t>
      </w:r>
    </w:p>
    <w:p w14:paraId="2C0DFD9E" w14:textId="77777777" w:rsidR="00A6594E" w:rsidRDefault="00094275" w:rsidP="00120204">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120204">
        <w:rPr>
          <w:b/>
          <w:szCs w:val="20"/>
        </w:rPr>
      </w:r>
      <w:r w:rsidR="00120204">
        <w:rPr>
          <w:b/>
          <w:szCs w:val="20"/>
        </w:rPr>
        <w:fldChar w:fldCharType="separate"/>
      </w:r>
      <w:r>
        <w:rPr>
          <w:b/>
          <w:szCs w:val="20"/>
        </w:rPr>
        <w:fldChar w:fldCharType="end"/>
      </w:r>
      <w:r w:rsidR="00A6594E" w:rsidRPr="0027105F">
        <w:rPr>
          <w:b/>
          <w:szCs w:val="20"/>
        </w:rPr>
        <w:t xml:space="preserve"> </w:t>
      </w:r>
      <w:r w:rsidR="00A6594E">
        <w:t>Co-dependent technology</w:t>
      </w:r>
    </w:p>
    <w:p w14:paraId="2FC757E3" w14:textId="77777777" w:rsidR="00A6594E" w:rsidRPr="00A6594E" w:rsidRDefault="00A6594E" w:rsidP="00120204">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20204">
        <w:rPr>
          <w:b/>
          <w:szCs w:val="20"/>
        </w:rPr>
      </w:r>
      <w:r w:rsidR="00120204">
        <w:rPr>
          <w:b/>
          <w:szCs w:val="20"/>
        </w:rPr>
        <w:fldChar w:fldCharType="separate"/>
      </w:r>
      <w:r w:rsidRPr="0027105F">
        <w:rPr>
          <w:b/>
          <w:szCs w:val="20"/>
        </w:rPr>
        <w:fldChar w:fldCharType="end"/>
      </w:r>
      <w:r w:rsidRPr="0027105F">
        <w:rPr>
          <w:b/>
          <w:szCs w:val="20"/>
        </w:rPr>
        <w:t xml:space="preserve"> </w:t>
      </w:r>
      <w:r>
        <w:t>Hybrid health technology</w:t>
      </w:r>
    </w:p>
    <w:p w14:paraId="0D836FDE"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0667474F"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120204">
        <w:rPr>
          <w:b/>
          <w:szCs w:val="20"/>
        </w:rPr>
      </w:r>
      <w:r w:rsidR="00120204">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432742E5"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120204">
        <w:rPr>
          <w:b/>
          <w:szCs w:val="20"/>
        </w:rPr>
      </w:r>
      <w:r w:rsidR="00120204">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543E1093"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120204">
        <w:rPr>
          <w:b/>
          <w:szCs w:val="20"/>
        </w:rPr>
      </w:r>
      <w:r w:rsidR="00120204">
        <w:rPr>
          <w:b/>
          <w:szCs w:val="20"/>
        </w:rPr>
        <w:fldChar w:fldCharType="separate"/>
      </w:r>
      <w:r w:rsidRPr="00AF4466">
        <w:rPr>
          <w:b/>
          <w:szCs w:val="20"/>
        </w:rPr>
        <w:fldChar w:fldCharType="end"/>
      </w:r>
      <w:r w:rsidRPr="00AF4466">
        <w:rPr>
          <w:b/>
          <w:szCs w:val="20"/>
        </w:rPr>
        <w:t xml:space="preserve"> </w:t>
      </w:r>
      <w:r>
        <w:t>Provides information about prognosis</w:t>
      </w:r>
    </w:p>
    <w:p w14:paraId="6C0EB8E2"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120204">
        <w:rPr>
          <w:b/>
          <w:szCs w:val="20"/>
        </w:rPr>
      </w:r>
      <w:r w:rsidR="00120204">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14:paraId="0BD79C02" w14:textId="77777777" w:rsidR="00A6594E" w:rsidRP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120204">
        <w:rPr>
          <w:b/>
          <w:szCs w:val="20"/>
        </w:rPr>
      </w:r>
      <w:r w:rsidR="00120204">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6988AD66"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3B71167E" w14:textId="77777777" w:rsidR="00FE16C1" w:rsidRDefault="00094275" w:rsidP="00120204">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120204">
        <w:rPr>
          <w:b/>
          <w:szCs w:val="20"/>
        </w:rPr>
      </w:r>
      <w:r w:rsidR="00120204">
        <w:rPr>
          <w:b/>
          <w:szCs w:val="20"/>
        </w:rPr>
        <w:fldChar w:fldCharType="separate"/>
      </w:r>
      <w:r>
        <w:rPr>
          <w:b/>
          <w:szCs w:val="20"/>
        </w:rPr>
        <w:fldChar w:fldCharType="end"/>
      </w:r>
      <w:r w:rsidR="00FE16C1" w:rsidRPr="0027105F">
        <w:rPr>
          <w:b/>
          <w:szCs w:val="20"/>
        </w:rPr>
        <w:t xml:space="preserve"> </w:t>
      </w:r>
      <w:r w:rsidR="00FE16C1">
        <w:t>Pharmaceutical / Biological</w:t>
      </w:r>
    </w:p>
    <w:p w14:paraId="7C78C3F3" w14:textId="77777777" w:rsidR="00FE16C1" w:rsidRDefault="00094275" w:rsidP="00120204">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120204">
        <w:rPr>
          <w:b/>
          <w:szCs w:val="20"/>
        </w:rPr>
      </w:r>
      <w:r w:rsidR="00120204">
        <w:rPr>
          <w:b/>
          <w:szCs w:val="20"/>
        </w:rPr>
        <w:fldChar w:fldCharType="separate"/>
      </w:r>
      <w:r>
        <w:rPr>
          <w:b/>
          <w:szCs w:val="20"/>
        </w:rPr>
        <w:fldChar w:fldCharType="end"/>
      </w:r>
      <w:r w:rsidR="00FE16C1" w:rsidRPr="0027105F">
        <w:rPr>
          <w:b/>
          <w:szCs w:val="20"/>
        </w:rPr>
        <w:t xml:space="preserve"> </w:t>
      </w:r>
      <w:r w:rsidR="00FE16C1">
        <w:t>Prosthesis or device</w:t>
      </w:r>
    </w:p>
    <w:p w14:paraId="40023BDC" w14:textId="28137CDC" w:rsidR="00FE16C1" w:rsidRDefault="00FE16C1" w:rsidP="00120204">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20204">
        <w:rPr>
          <w:b/>
          <w:szCs w:val="20"/>
        </w:rPr>
      </w:r>
      <w:r w:rsidR="00120204">
        <w:rPr>
          <w:b/>
          <w:szCs w:val="20"/>
        </w:rPr>
        <w:fldChar w:fldCharType="separate"/>
      </w:r>
      <w:r w:rsidRPr="0027105F">
        <w:rPr>
          <w:b/>
          <w:szCs w:val="20"/>
        </w:rPr>
        <w:fldChar w:fldCharType="end"/>
      </w:r>
      <w:r w:rsidRPr="0027105F">
        <w:rPr>
          <w:b/>
          <w:szCs w:val="20"/>
        </w:rPr>
        <w:t xml:space="preserve"> </w:t>
      </w:r>
      <w:r>
        <w:t>No</w:t>
      </w:r>
    </w:p>
    <w:p w14:paraId="0EA9C723" w14:textId="370FC1C5" w:rsidR="00EC1537" w:rsidRDefault="00EC1537" w:rsidP="00A6491A">
      <w:pPr>
        <w:spacing w:before="0" w:after="0"/>
        <w:ind w:left="284"/>
      </w:pPr>
    </w:p>
    <w:p w14:paraId="7D15B719" w14:textId="6269D77D" w:rsidR="00D54F0A" w:rsidRPr="00CC71D6" w:rsidRDefault="00EC1537" w:rsidP="00120204">
      <w:pPr>
        <w:spacing w:before="0"/>
        <w:ind w:left="360"/>
      </w:pPr>
      <w:r w:rsidRPr="00CC71D6">
        <w:t xml:space="preserve">It is foreshadowed that funding will be sought for </w:t>
      </w:r>
      <w:proofErr w:type="spellStart"/>
      <w:r w:rsidRPr="00CC71D6">
        <w:t>Susvimo</w:t>
      </w:r>
      <w:proofErr w:type="spellEnd"/>
      <w:r w:rsidRPr="00CC71D6">
        <w:t xml:space="preserve">®, a customised </w:t>
      </w:r>
      <w:r w:rsidR="00C0268A" w:rsidRPr="00CC71D6">
        <w:t xml:space="preserve">concentrated </w:t>
      </w:r>
      <w:r w:rsidRPr="00CC71D6">
        <w:t xml:space="preserve">version of </w:t>
      </w:r>
      <w:r w:rsidR="00CC71D6">
        <w:t>r</w:t>
      </w:r>
      <w:r w:rsidRPr="00CC71D6">
        <w:t>anibizumab, for use in the ocular implant on the PBS.</w:t>
      </w:r>
    </w:p>
    <w:p w14:paraId="6E8DFBC5" w14:textId="38974D0C" w:rsidR="00EE7F6A" w:rsidRPr="00CC71D6" w:rsidRDefault="00EE7F6A" w:rsidP="00120204">
      <w:pPr>
        <w:spacing w:before="0"/>
        <w:ind w:left="360"/>
      </w:pPr>
      <w:r w:rsidRPr="00CC71D6">
        <w:t>It is foreshadowed that funding will be sought for the ocular implant on the Prostheses List.</w:t>
      </w:r>
    </w:p>
    <w:p w14:paraId="30BF470E"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3515BFA6" w14:textId="77777777" w:rsidR="00FE16C1" w:rsidRDefault="00FE16C1" w:rsidP="00120204">
      <w:pPr>
        <w:spacing w:before="0" w:after="0"/>
        <w:ind w:left="360"/>
        <w:rPr>
          <w:szCs w:val="20"/>
        </w:rPr>
      </w:pPr>
      <w:r w:rsidRPr="000A5B32">
        <w:rPr>
          <w:szCs w:val="20"/>
        </w:rPr>
        <w:lastRenderedPageBreak/>
        <w:fldChar w:fldCharType="begin">
          <w:ffData>
            <w:name w:val="Check1"/>
            <w:enabled/>
            <w:calcOnExit w:val="0"/>
            <w:checkBox>
              <w:sizeAuto/>
              <w:default w:val="0"/>
            </w:checkBox>
          </w:ffData>
        </w:fldChar>
      </w:r>
      <w:r w:rsidRPr="000A5B32">
        <w:rPr>
          <w:szCs w:val="20"/>
        </w:rPr>
        <w:instrText xml:space="preserve"> FORMCHECKBOX </w:instrText>
      </w:r>
      <w:r w:rsidR="00120204">
        <w:rPr>
          <w:szCs w:val="20"/>
        </w:rPr>
      </w:r>
      <w:r w:rsidR="00120204">
        <w:rPr>
          <w:szCs w:val="20"/>
        </w:rPr>
        <w:fldChar w:fldCharType="separate"/>
      </w:r>
      <w:r w:rsidRPr="000A5B32">
        <w:rPr>
          <w:szCs w:val="20"/>
        </w:rPr>
        <w:fldChar w:fldCharType="end"/>
      </w:r>
      <w:r w:rsidRPr="000A5B32">
        <w:rPr>
          <w:szCs w:val="20"/>
        </w:rPr>
        <w:t xml:space="preserve"> Yes</w:t>
      </w:r>
    </w:p>
    <w:p w14:paraId="1E661BCC" w14:textId="77777777" w:rsidR="00FE16C1" w:rsidRPr="00FE16C1" w:rsidRDefault="00094275" w:rsidP="00120204">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20204">
        <w:rPr>
          <w:szCs w:val="20"/>
        </w:rPr>
      </w:r>
      <w:r w:rsidR="00120204">
        <w:rPr>
          <w:szCs w:val="20"/>
        </w:rPr>
        <w:fldChar w:fldCharType="separate"/>
      </w:r>
      <w:r>
        <w:rPr>
          <w:szCs w:val="20"/>
        </w:rPr>
        <w:fldChar w:fldCharType="end"/>
      </w:r>
      <w:r w:rsidR="00FE16C1">
        <w:rPr>
          <w:szCs w:val="20"/>
        </w:rPr>
        <w:t xml:space="preserve"> No  </w:t>
      </w:r>
    </w:p>
    <w:p w14:paraId="4E452871"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2369E742" w14:textId="17623710" w:rsidR="00385607" w:rsidRPr="007E39E4" w:rsidRDefault="00385607" w:rsidP="00120204">
      <w:pPr>
        <w:ind w:left="360"/>
        <w:rPr>
          <w:b/>
          <w:szCs w:val="20"/>
        </w:rPr>
      </w:pPr>
      <w:r>
        <w:t xml:space="preserve">It should be noted that, whilst </w:t>
      </w:r>
      <w:proofErr w:type="spellStart"/>
      <w:r>
        <w:t>Susvimo</w:t>
      </w:r>
      <w:proofErr w:type="spellEnd"/>
      <w:r>
        <w:t>® (ranibizumab) contains the same active ingredient as PBS</w:t>
      </w:r>
      <w:r w:rsidR="00F373D1">
        <w:t>-listed Lucentis® (ranibizumab),</w:t>
      </w:r>
      <w:r>
        <w:t xml:space="preserve"> </w:t>
      </w:r>
      <w:r w:rsidR="00F373D1">
        <w:t xml:space="preserve">it </w:t>
      </w:r>
      <w:r>
        <w:t xml:space="preserve">is a customised </w:t>
      </w:r>
      <w:r w:rsidR="00AE73ED">
        <w:t xml:space="preserve">concentrated </w:t>
      </w:r>
      <w:r>
        <w:t xml:space="preserve">formulation and is not interchangeable with Lucentis® (ranibizumab).  </w:t>
      </w:r>
      <w:r w:rsidR="00C42017">
        <w:t>Similarly</w:t>
      </w:r>
      <w:r>
        <w:t xml:space="preserve">, the refill-exchange procedure must be performed with </w:t>
      </w:r>
      <w:proofErr w:type="spellStart"/>
      <w:r w:rsidR="00F414BD">
        <w:t>Susvimo</w:t>
      </w:r>
      <w:proofErr w:type="spellEnd"/>
      <w:r w:rsidR="00F414BD">
        <w:t xml:space="preserve">® and </w:t>
      </w:r>
      <w:r>
        <w:t>the provided, proprietary refill needle</w:t>
      </w:r>
      <w:r w:rsidR="00F373D1">
        <w:t>; this needle allows the</w:t>
      </w:r>
      <w:r>
        <w:t xml:space="preserve"> </w:t>
      </w:r>
      <w:r w:rsidR="00F373D1">
        <w:t xml:space="preserve">content of the implant </w:t>
      </w:r>
      <w:r>
        <w:t>to be extracted simultaneously as the implant is filled with replacement ranibizumab.</w:t>
      </w:r>
    </w:p>
    <w:p w14:paraId="3B1211AC"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3F3CD843" w14:textId="77777777" w:rsidR="007E39E4" w:rsidRDefault="007E39E4" w:rsidP="00120204">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20204">
        <w:rPr>
          <w:szCs w:val="20"/>
        </w:rPr>
      </w:r>
      <w:r w:rsidR="00120204">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1C4167F2" w14:textId="77777777" w:rsidR="001E6919" w:rsidRDefault="00094275" w:rsidP="00120204">
      <w:pPr>
        <w:spacing w:before="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20204">
        <w:rPr>
          <w:szCs w:val="20"/>
        </w:rPr>
      </w:r>
      <w:r w:rsidR="00120204">
        <w:rPr>
          <w:szCs w:val="20"/>
        </w:rPr>
        <w:fldChar w:fldCharType="separate"/>
      </w:r>
      <w:r>
        <w:rPr>
          <w:szCs w:val="20"/>
        </w:rPr>
        <w:fldChar w:fldCharType="end"/>
      </w:r>
      <w:r w:rsidR="001E6919">
        <w:rPr>
          <w:szCs w:val="20"/>
        </w:rPr>
        <w:t xml:space="preserve"> No</w:t>
      </w:r>
    </w:p>
    <w:p w14:paraId="143D6E15" w14:textId="5A847225" w:rsidR="001E6919" w:rsidRPr="007E39E4" w:rsidRDefault="0011054B" w:rsidP="00120204">
      <w:pPr>
        <w:spacing w:before="0" w:after="0"/>
        <w:ind w:left="360"/>
        <w:rPr>
          <w:szCs w:val="20"/>
        </w:rPr>
      </w:pPr>
      <w:r w:rsidRPr="0011054B">
        <w:t xml:space="preserve">An application seeking PBS listing </w:t>
      </w:r>
      <w:r>
        <w:t xml:space="preserve">for a customised </w:t>
      </w:r>
      <w:r w:rsidR="00831B9D">
        <w:t>formulation</w:t>
      </w:r>
      <w:r>
        <w:t xml:space="preserve"> of ranibizumab for the treatment of patients with </w:t>
      </w:r>
      <w:proofErr w:type="spellStart"/>
      <w:r>
        <w:t>nAMD</w:t>
      </w:r>
      <w:proofErr w:type="spellEnd"/>
      <w:r>
        <w:t xml:space="preserve"> is foreshadowed </w:t>
      </w:r>
      <w:r w:rsidRPr="0011054B">
        <w:t xml:space="preserve">to be lodged for </w:t>
      </w:r>
      <w:r w:rsidR="00F7770E">
        <w:t xml:space="preserve">PBAC’s </w:t>
      </w:r>
      <w:r w:rsidRPr="0011054B">
        <w:t>consideration.</w:t>
      </w:r>
      <w:r>
        <w:t xml:space="preserve">  It is anticipated that that PBS funding criteria sought would be consistent with current PBS listed treatments Lucentis® (ranibizumab) and Eylea® (aflibercept)</w:t>
      </w:r>
      <w:r w:rsidR="00385607">
        <w:t>.</w:t>
      </w:r>
    </w:p>
    <w:p w14:paraId="13B4D3D4"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1B2F2856" w14:textId="77777777" w:rsidR="001E6958" w:rsidRDefault="001E6958" w:rsidP="00120204">
      <w:pPr>
        <w:spacing w:before="0" w:after="0"/>
        <w:ind w:left="360"/>
      </w:pPr>
      <w:r>
        <w:t xml:space="preserve">Trade name: </w:t>
      </w:r>
      <w:proofErr w:type="spellStart"/>
      <w:r w:rsidR="00094275">
        <w:t>Susvimo</w:t>
      </w:r>
      <w:proofErr w:type="spellEnd"/>
      <w:r w:rsidR="00094275">
        <w:t>®</w:t>
      </w:r>
    </w:p>
    <w:p w14:paraId="7B2B272E" w14:textId="77777777" w:rsidR="001E6958" w:rsidRPr="001E6958" w:rsidRDefault="001E6958" w:rsidP="00120204">
      <w:pPr>
        <w:spacing w:before="0" w:after="0"/>
        <w:ind w:left="360"/>
      </w:pPr>
      <w:r>
        <w:t xml:space="preserve">Generic name: </w:t>
      </w:r>
      <w:r w:rsidR="00094275">
        <w:t>ranibizumab</w:t>
      </w:r>
    </w:p>
    <w:p w14:paraId="418B1BE7"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10BA4111" w14:textId="77777777" w:rsidR="001E6958" w:rsidRDefault="001E6958" w:rsidP="00120204">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20204">
        <w:rPr>
          <w:szCs w:val="20"/>
        </w:rPr>
      </w:r>
      <w:r w:rsidR="00120204">
        <w:rPr>
          <w:szCs w:val="20"/>
        </w:rPr>
        <w:fldChar w:fldCharType="separate"/>
      </w:r>
      <w:r w:rsidRPr="000A5B32">
        <w:rPr>
          <w:szCs w:val="20"/>
        </w:rPr>
        <w:fldChar w:fldCharType="end"/>
      </w:r>
      <w:r w:rsidRPr="000A5B32">
        <w:rPr>
          <w:szCs w:val="20"/>
        </w:rPr>
        <w:t xml:space="preserve"> Yes</w:t>
      </w:r>
    </w:p>
    <w:p w14:paraId="545EDBFA" w14:textId="77777777" w:rsidR="001E6958" w:rsidRDefault="00094275" w:rsidP="00120204">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20204">
        <w:rPr>
          <w:szCs w:val="20"/>
        </w:rPr>
      </w:r>
      <w:r w:rsidR="00120204">
        <w:rPr>
          <w:szCs w:val="20"/>
        </w:rPr>
        <w:fldChar w:fldCharType="separate"/>
      </w:r>
      <w:r>
        <w:rPr>
          <w:szCs w:val="20"/>
        </w:rPr>
        <w:fldChar w:fldCharType="end"/>
      </w:r>
      <w:r w:rsidR="001E6958">
        <w:rPr>
          <w:szCs w:val="20"/>
        </w:rPr>
        <w:t xml:space="preserve"> No  </w:t>
      </w:r>
    </w:p>
    <w:p w14:paraId="2C60310A"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7AC2C755" w14:textId="2717C667" w:rsidR="001E6958" w:rsidRPr="001E6958" w:rsidRDefault="00120204" w:rsidP="00120204">
      <w:pPr>
        <w:spacing w:before="0" w:after="0"/>
        <w:ind w:left="284" w:firstLine="76"/>
      </w:pPr>
      <w:r>
        <w:t>N/A</w:t>
      </w:r>
    </w:p>
    <w:p w14:paraId="6E81BD1A"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02406E82" w14:textId="77777777" w:rsidR="009939DC" w:rsidRDefault="009939DC" w:rsidP="00120204">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20204">
        <w:rPr>
          <w:szCs w:val="20"/>
        </w:rPr>
      </w:r>
      <w:r w:rsidR="00120204">
        <w:rPr>
          <w:szCs w:val="20"/>
        </w:rPr>
        <w:fldChar w:fldCharType="separate"/>
      </w:r>
      <w:r w:rsidRPr="000A5B32">
        <w:rPr>
          <w:szCs w:val="20"/>
        </w:rPr>
        <w:fldChar w:fldCharType="end"/>
      </w:r>
      <w:r w:rsidRPr="000A5B32">
        <w:rPr>
          <w:szCs w:val="20"/>
        </w:rPr>
        <w:t xml:space="preserve"> Yes</w:t>
      </w:r>
    </w:p>
    <w:p w14:paraId="7CDC1F9B" w14:textId="0F5E4B77" w:rsidR="001E6958" w:rsidRDefault="00094275" w:rsidP="00120204">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20204">
        <w:rPr>
          <w:szCs w:val="20"/>
        </w:rPr>
      </w:r>
      <w:r w:rsidR="00120204">
        <w:rPr>
          <w:szCs w:val="20"/>
        </w:rPr>
        <w:fldChar w:fldCharType="separate"/>
      </w:r>
      <w:r>
        <w:rPr>
          <w:szCs w:val="20"/>
        </w:rPr>
        <w:fldChar w:fldCharType="end"/>
      </w:r>
      <w:r w:rsidR="009939DC">
        <w:rPr>
          <w:szCs w:val="20"/>
        </w:rPr>
        <w:t xml:space="preserve"> No  </w:t>
      </w:r>
    </w:p>
    <w:p w14:paraId="281A8E42" w14:textId="6D64DCD4" w:rsidR="0011054B" w:rsidRDefault="00C42017" w:rsidP="00120204">
      <w:pPr>
        <w:spacing w:before="0" w:after="0"/>
        <w:ind w:left="360"/>
      </w:pPr>
      <w:r w:rsidRPr="0011054B">
        <w:t xml:space="preserve">An application seeking </w:t>
      </w:r>
      <w:r>
        <w:t xml:space="preserve">a </w:t>
      </w:r>
      <w:r w:rsidR="00EC1537">
        <w:t>Prostheses List</w:t>
      </w:r>
      <w:r w:rsidR="00F373D1">
        <w:t xml:space="preserve"> </w:t>
      </w:r>
      <w:r>
        <w:t>billing code</w:t>
      </w:r>
      <w:r w:rsidRPr="0011054B">
        <w:t xml:space="preserve"> </w:t>
      </w:r>
      <w:r>
        <w:t xml:space="preserve">for the ocular implant </w:t>
      </w:r>
      <w:r w:rsidR="00EC1537">
        <w:t>(</w:t>
      </w:r>
      <w:r>
        <w:t xml:space="preserve">for the treatment of patients with </w:t>
      </w:r>
      <w:proofErr w:type="spellStart"/>
      <w:r>
        <w:t>nAMD</w:t>
      </w:r>
      <w:proofErr w:type="spellEnd"/>
      <w:r w:rsidR="00EC1537">
        <w:t>)</w:t>
      </w:r>
      <w:r>
        <w:t xml:space="preserve"> is foreshadowed </w:t>
      </w:r>
      <w:r w:rsidRPr="0011054B">
        <w:t xml:space="preserve">to be lodged for </w:t>
      </w:r>
      <w:r w:rsidR="00F7770E">
        <w:t xml:space="preserve">PLAC’s </w:t>
      </w:r>
      <w:r w:rsidRPr="0011054B">
        <w:t>consideration.</w:t>
      </w:r>
    </w:p>
    <w:p w14:paraId="23B567DC"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015E38B8" w14:textId="77777777" w:rsidR="009939DC" w:rsidRDefault="009939DC" w:rsidP="00120204">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20204">
        <w:rPr>
          <w:szCs w:val="20"/>
        </w:rPr>
      </w:r>
      <w:r w:rsidR="00120204">
        <w:rPr>
          <w:szCs w:val="20"/>
        </w:rPr>
        <w:fldChar w:fldCharType="separate"/>
      </w:r>
      <w:r w:rsidRPr="000A5B32">
        <w:rPr>
          <w:szCs w:val="20"/>
        </w:rPr>
        <w:fldChar w:fldCharType="end"/>
      </w:r>
      <w:r w:rsidRPr="000A5B32">
        <w:rPr>
          <w:szCs w:val="20"/>
        </w:rPr>
        <w:t xml:space="preserve"> Yes</w:t>
      </w:r>
    </w:p>
    <w:p w14:paraId="16B29D80" w14:textId="77777777" w:rsidR="009939DC" w:rsidRPr="001E6958" w:rsidRDefault="00094275" w:rsidP="00120204">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20204">
        <w:rPr>
          <w:szCs w:val="20"/>
        </w:rPr>
      </w:r>
      <w:r w:rsidR="00120204">
        <w:rPr>
          <w:szCs w:val="20"/>
        </w:rPr>
        <w:fldChar w:fldCharType="separate"/>
      </w:r>
      <w:r>
        <w:rPr>
          <w:szCs w:val="20"/>
        </w:rPr>
        <w:fldChar w:fldCharType="end"/>
      </w:r>
      <w:r w:rsidR="009939DC">
        <w:rPr>
          <w:szCs w:val="20"/>
        </w:rPr>
        <w:t xml:space="preserve"> No  </w:t>
      </w:r>
    </w:p>
    <w:p w14:paraId="5D50E2E2"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031CE3F7" w14:textId="2150F7DD" w:rsidR="00016B6E" w:rsidRPr="009939DC" w:rsidRDefault="00120204" w:rsidP="00120204">
      <w:pPr>
        <w:ind w:left="284" w:firstLine="76"/>
      </w:pPr>
      <w:r>
        <w:t>N/A</w:t>
      </w:r>
    </w:p>
    <w:p w14:paraId="06622D16"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0A269D51" w14:textId="44ADDF8F" w:rsidR="00120204" w:rsidRDefault="009939DC" w:rsidP="00120204">
      <w:pPr>
        <w:spacing w:before="0" w:after="0"/>
        <w:ind w:left="360"/>
      </w:pPr>
      <w:r>
        <w:t xml:space="preserve">Single use consumables: </w:t>
      </w:r>
      <w:r w:rsidR="00955269">
        <w:t xml:space="preserve">A tabulation of the ancillary devices (as well as the implant) used to support the procedures and the drug component used within each procedure is </w:t>
      </w:r>
      <w:r w:rsidR="006B1E1C">
        <w:t>noted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413"/>
        <w:gridCol w:w="1801"/>
        <w:gridCol w:w="5570"/>
      </w:tblGrid>
      <w:tr w:rsidR="00120204" w:rsidRPr="00C42017" w14:paraId="00F88FE9" w14:textId="77777777" w:rsidTr="00120204">
        <w:trPr>
          <w:trHeight w:val="20"/>
        </w:trPr>
        <w:tc>
          <w:tcPr>
            <w:tcW w:w="1413" w:type="dxa"/>
            <w:tcBorders>
              <w:right w:val="single" w:sz="4" w:space="0" w:color="auto"/>
            </w:tcBorders>
          </w:tcPr>
          <w:p w14:paraId="066DEA8C" w14:textId="77777777" w:rsidR="00120204" w:rsidRPr="00120204" w:rsidRDefault="00120204" w:rsidP="00120204">
            <w:pPr>
              <w:keepNext/>
              <w:keepLines/>
              <w:pBdr>
                <w:top w:val="nil"/>
                <w:left w:val="nil"/>
                <w:bottom w:val="nil"/>
                <w:right w:val="nil"/>
                <w:between w:val="nil"/>
              </w:pBdr>
              <w:spacing w:before="0" w:after="0"/>
              <w:rPr>
                <w:rFonts w:eastAsia="Arial" w:cs="Arial"/>
                <w:b/>
                <w:color w:val="000000"/>
                <w:sz w:val="16"/>
                <w:szCs w:val="18"/>
              </w:rPr>
            </w:pPr>
            <w:r w:rsidRPr="00120204">
              <w:rPr>
                <w:rFonts w:eastAsia="Arial" w:cs="Arial"/>
                <w:b/>
                <w:color w:val="000000"/>
                <w:sz w:val="16"/>
                <w:szCs w:val="18"/>
              </w:rPr>
              <w:lastRenderedPageBreak/>
              <w:t>Procedure</w:t>
            </w:r>
          </w:p>
        </w:tc>
        <w:tc>
          <w:tcPr>
            <w:tcW w:w="1801" w:type="dxa"/>
            <w:tcBorders>
              <w:right w:val="single" w:sz="4" w:space="0" w:color="auto"/>
            </w:tcBorders>
            <w:vAlign w:val="center"/>
          </w:tcPr>
          <w:p w14:paraId="41CBA03A" w14:textId="77777777" w:rsidR="00120204" w:rsidRPr="00120204" w:rsidRDefault="00120204" w:rsidP="00120204">
            <w:pPr>
              <w:keepNext/>
              <w:keepLines/>
              <w:pBdr>
                <w:top w:val="nil"/>
                <w:left w:val="nil"/>
                <w:bottom w:val="nil"/>
                <w:right w:val="nil"/>
                <w:between w:val="nil"/>
              </w:pBdr>
              <w:spacing w:before="0" w:after="0"/>
              <w:jc w:val="center"/>
              <w:rPr>
                <w:rFonts w:eastAsia="Arial" w:cs="Arial"/>
                <w:b/>
                <w:color w:val="000000"/>
                <w:sz w:val="16"/>
                <w:szCs w:val="18"/>
              </w:rPr>
            </w:pPr>
            <w:r w:rsidRPr="00120204">
              <w:rPr>
                <w:rFonts w:eastAsia="Arial" w:cs="Arial"/>
                <w:b/>
                <w:color w:val="000000"/>
                <w:sz w:val="16"/>
                <w:szCs w:val="18"/>
              </w:rPr>
              <w:t>Component</w:t>
            </w:r>
          </w:p>
        </w:tc>
        <w:tc>
          <w:tcPr>
            <w:tcW w:w="0" w:type="auto"/>
            <w:tcBorders>
              <w:right w:val="single" w:sz="4" w:space="0" w:color="auto"/>
            </w:tcBorders>
          </w:tcPr>
          <w:p w14:paraId="3BCEA0B8" w14:textId="77777777" w:rsidR="00120204" w:rsidRPr="00120204" w:rsidRDefault="00120204" w:rsidP="00120204">
            <w:pPr>
              <w:keepNext/>
              <w:keepLines/>
              <w:pBdr>
                <w:top w:val="nil"/>
                <w:left w:val="nil"/>
                <w:bottom w:val="nil"/>
                <w:right w:val="nil"/>
                <w:between w:val="nil"/>
              </w:pBdr>
              <w:spacing w:before="0" w:after="0"/>
              <w:rPr>
                <w:rFonts w:eastAsia="Arial" w:cs="Arial"/>
                <w:b/>
                <w:color w:val="000000"/>
                <w:sz w:val="16"/>
                <w:szCs w:val="18"/>
              </w:rPr>
            </w:pPr>
            <w:r w:rsidRPr="00120204">
              <w:rPr>
                <w:rFonts w:eastAsia="Arial" w:cs="Arial"/>
                <w:b/>
                <w:color w:val="000000"/>
                <w:sz w:val="16"/>
                <w:szCs w:val="18"/>
              </w:rPr>
              <w:t>Purpose</w:t>
            </w:r>
          </w:p>
        </w:tc>
      </w:tr>
      <w:tr w:rsidR="00120204" w:rsidRPr="00C42017" w14:paraId="5FF58BA6" w14:textId="77777777" w:rsidTr="00120204">
        <w:trPr>
          <w:trHeight w:val="20"/>
        </w:trPr>
        <w:tc>
          <w:tcPr>
            <w:tcW w:w="1413" w:type="dxa"/>
            <w:vMerge w:val="restart"/>
          </w:tcPr>
          <w:p w14:paraId="5AB581AF" w14:textId="77777777" w:rsidR="00120204" w:rsidRPr="00120204" w:rsidRDefault="00120204" w:rsidP="00120204">
            <w:pPr>
              <w:keepNext/>
              <w:keepLines/>
              <w:pBdr>
                <w:top w:val="nil"/>
                <w:left w:val="nil"/>
                <w:bottom w:val="nil"/>
                <w:right w:val="nil"/>
                <w:between w:val="nil"/>
              </w:pBdr>
              <w:spacing w:before="0" w:after="0"/>
              <w:rPr>
                <w:rFonts w:eastAsia="Arial" w:cs="Arial"/>
                <w:color w:val="000000"/>
                <w:sz w:val="16"/>
                <w:szCs w:val="18"/>
              </w:rPr>
            </w:pPr>
            <w:r w:rsidRPr="00120204">
              <w:rPr>
                <w:rFonts w:eastAsia="Arial" w:cs="Arial"/>
                <w:color w:val="000000"/>
                <w:sz w:val="16"/>
                <w:szCs w:val="18"/>
              </w:rPr>
              <w:t>Initial fill and implantation</w:t>
            </w:r>
          </w:p>
        </w:tc>
        <w:tc>
          <w:tcPr>
            <w:tcW w:w="1801" w:type="dxa"/>
            <w:vAlign w:val="center"/>
          </w:tcPr>
          <w:p w14:paraId="003CFE94" w14:textId="77777777" w:rsidR="00120204" w:rsidRPr="00120204" w:rsidRDefault="00120204" w:rsidP="00120204">
            <w:pPr>
              <w:keepNext/>
              <w:keepLines/>
              <w:pBdr>
                <w:top w:val="nil"/>
                <w:left w:val="nil"/>
                <w:bottom w:val="nil"/>
                <w:right w:val="nil"/>
                <w:between w:val="nil"/>
              </w:pBdr>
              <w:spacing w:before="0" w:after="0"/>
              <w:jc w:val="center"/>
              <w:rPr>
                <w:rFonts w:eastAsia="Arial" w:cs="Arial"/>
                <w:color w:val="000000"/>
                <w:sz w:val="16"/>
                <w:szCs w:val="18"/>
              </w:rPr>
            </w:pPr>
            <w:r w:rsidRPr="00120204">
              <w:rPr>
                <w:rFonts w:eastAsia="Arial" w:cs="Arial"/>
                <w:color w:val="000000"/>
                <w:sz w:val="16"/>
                <w:szCs w:val="18"/>
              </w:rPr>
              <w:t>Ocular implant</w:t>
            </w:r>
          </w:p>
        </w:tc>
        <w:tc>
          <w:tcPr>
            <w:tcW w:w="0" w:type="auto"/>
          </w:tcPr>
          <w:p w14:paraId="3EFF3734" w14:textId="77777777" w:rsidR="00120204" w:rsidRPr="00120204" w:rsidRDefault="00120204" w:rsidP="00120204">
            <w:pPr>
              <w:keepNext/>
              <w:keepLines/>
              <w:pBdr>
                <w:top w:val="nil"/>
                <w:left w:val="nil"/>
                <w:bottom w:val="nil"/>
                <w:right w:val="nil"/>
                <w:between w:val="nil"/>
              </w:pBdr>
              <w:spacing w:before="0" w:after="0"/>
              <w:rPr>
                <w:rFonts w:eastAsia="Arial" w:cs="Arial"/>
                <w:color w:val="000000"/>
                <w:sz w:val="16"/>
                <w:szCs w:val="18"/>
              </w:rPr>
            </w:pPr>
            <w:r w:rsidRPr="00120204">
              <w:rPr>
                <w:rFonts w:eastAsia="Arial" w:cs="Arial"/>
                <w:color w:val="000000"/>
                <w:sz w:val="16"/>
                <w:szCs w:val="18"/>
              </w:rPr>
              <w:t>Continuous release of ranibizumab 100 mg/mL in the eye</w:t>
            </w:r>
          </w:p>
        </w:tc>
      </w:tr>
      <w:tr w:rsidR="00120204" w:rsidRPr="00C42017" w14:paraId="30DAA368" w14:textId="77777777" w:rsidTr="00120204">
        <w:trPr>
          <w:trHeight w:val="20"/>
        </w:trPr>
        <w:tc>
          <w:tcPr>
            <w:tcW w:w="1413" w:type="dxa"/>
            <w:vMerge/>
          </w:tcPr>
          <w:p w14:paraId="69FB4BA6" w14:textId="77777777" w:rsidR="00120204" w:rsidRPr="00120204" w:rsidRDefault="00120204" w:rsidP="00120204">
            <w:pPr>
              <w:keepNext/>
              <w:keepLines/>
              <w:pBdr>
                <w:top w:val="nil"/>
                <w:left w:val="nil"/>
                <w:bottom w:val="nil"/>
                <w:right w:val="nil"/>
                <w:between w:val="nil"/>
              </w:pBdr>
              <w:spacing w:before="0" w:after="0"/>
              <w:rPr>
                <w:rFonts w:eastAsia="Arial" w:cs="Arial"/>
                <w:color w:val="000000"/>
                <w:sz w:val="16"/>
                <w:szCs w:val="18"/>
              </w:rPr>
            </w:pPr>
          </w:p>
        </w:tc>
        <w:tc>
          <w:tcPr>
            <w:tcW w:w="1801" w:type="dxa"/>
            <w:vAlign w:val="center"/>
          </w:tcPr>
          <w:p w14:paraId="6892122B" w14:textId="77777777" w:rsidR="00120204" w:rsidRPr="00120204" w:rsidRDefault="00120204" w:rsidP="00120204">
            <w:pPr>
              <w:keepNext/>
              <w:keepLines/>
              <w:pBdr>
                <w:top w:val="nil"/>
                <w:left w:val="nil"/>
                <w:bottom w:val="nil"/>
                <w:right w:val="nil"/>
                <w:between w:val="nil"/>
              </w:pBdr>
              <w:spacing w:before="0" w:after="0"/>
              <w:jc w:val="center"/>
              <w:rPr>
                <w:rFonts w:eastAsia="Arial" w:cs="Arial"/>
                <w:color w:val="000000"/>
                <w:sz w:val="16"/>
                <w:szCs w:val="18"/>
              </w:rPr>
            </w:pPr>
            <w:r w:rsidRPr="00120204">
              <w:rPr>
                <w:rFonts w:eastAsia="Arial" w:cs="Arial"/>
                <w:color w:val="000000"/>
                <w:sz w:val="16"/>
                <w:szCs w:val="18"/>
              </w:rPr>
              <w:t>Initial Fill Needle</w:t>
            </w:r>
          </w:p>
        </w:tc>
        <w:tc>
          <w:tcPr>
            <w:tcW w:w="0" w:type="auto"/>
          </w:tcPr>
          <w:p w14:paraId="46CFE6EB" w14:textId="77777777" w:rsidR="00120204" w:rsidRPr="00120204" w:rsidRDefault="00120204" w:rsidP="00120204">
            <w:pPr>
              <w:keepNext/>
              <w:keepLines/>
              <w:pBdr>
                <w:top w:val="nil"/>
                <w:left w:val="nil"/>
                <w:bottom w:val="nil"/>
                <w:right w:val="nil"/>
                <w:between w:val="nil"/>
              </w:pBdr>
              <w:spacing w:before="0" w:after="0"/>
              <w:rPr>
                <w:rFonts w:eastAsia="Arial" w:cs="Arial"/>
                <w:color w:val="000000"/>
                <w:sz w:val="16"/>
                <w:szCs w:val="18"/>
              </w:rPr>
            </w:pPr>
            <w:r w:rsidRPr="00120204">
              <w:rPr>
                <w:rFonts w:eastAsia="Arial" w:cs="Arial"/>
                <w:color w:val="000000"/>
                <w:sz w:val="16"/>
                <w:szCs w:val="18"/>
              </w:rPr>
              <w:t>Fill the ocular implant with ranibizumab 100 mg/mL prior to implantation</w:t>
            </w:r>
          </w:p>
        </w:tc>
      </w:tr>
      <w:tr w:rsidR="00120204" w:rsidRPr="00C42017" w14:paraId="7DCE2072" w14:textId="77777777" w:rsidTr="00120204">
        <w:trPr>
          <w:trHeight w:val="20"/>
        </w:trPr>
        <w:tc>
          <w:tcPr>
            <w:tcW w:w="1413" w:type="dxa"/>
            <w:vMerge/>
          </w:tcPr>
          <w:p w14:paraId="4EBBA50C" w14:textId="77777777" w:rsidR="00120204" w:rsidRPr="00120204" w:rsidRDefault="00120204" w:rsidP="00120204">
            <w:pPr>
              <w:keepNext/>
              <w:keepLines/>
              <w:pBdr>
                <w:top w:val="nil"/>
                <w:left w:val="nil"/>
                <w:bottom w:val="nil"/>
                <w:right w:val="nil"/>
                <w:between w:val="nil"/>
              </w:pBdr>
              <w:spacing w:before="0" w:after="0"/>
              <w:rPr>
                <w:rFonts w:eastAsia="Arial" w:cs="Arial"/>
                <w:color w:val="000000"/>
                <w:sz w:val="16"/>
                <w:szCs w:val="18"/>
              </w:rPr>
            </w:pPr>
          </w:p>
        </w:tc>
        <w:tc>
          <w:tcPr>
            <w:tcW w:w="1801" w:type="dxa"/>
            <w:vAlign w:val="center"/>
          </w:tcPr>
          <w:p w14:paraId="0FB79627" w14:textId="77777777" w:rsidR="00120204" w:rsidRPr="00120204" w:rsidRDefault="00120204" w:rsidP="00120204">
            <w:pPr>
              <w:keepNext/>
              <w:keepLines/>
              <w:pBdr>
                <w:top w:val="nil"/>
                <w:left w:val="nil"/>
                <w:bottom w:val="nil"/>
                <w:right w:val="nil"/>
                <w:between w:val="nil"/>
              </w:pBdr>
              <w:spacing w:before="0" w:after="0"/>
              <w:jc w:val="center"/>
              <w:rPr>
                <w:rFonts w:eastAsia="Arial" w:cs="Arial"/>
                <w:color w:val="000000"/>
                <w:sz w:val="16"/>
                <w:szCs w:val="18"/>
              </w:rPr>
            </w:pPr>
            <w:proofErr w:type="spellStart"/>
            <w:r w:rsidRPr="00120204">
              <w:rPr>
                <w:rFonts w:eastAsia="Arial" w:cs="Arial"/>
                <w:color w:val="000000"/>
                <w:sz w:val="16"/>
                <w:szCs w:val="18"/>
              </w:rPr>
              <w:t>Susvimo</w:t>
            </w:r>
            <w:proofErr w:type="spellEnd"/>
            <w:r w:rsidRPr="00120204">
              <w:rPr>
                <w:rFonts w:eastAsia="Arial" w:cs="Arial"/>
                <w:color w:val="000000"/>
                <w:sz w:val="16"/>
                <w:szCs w:val="18"/>
              </w:rPr>
              <w:t>® vial</w:t>
            </w:r>
          </w:p>
        </w:tc>
        <w:tc>
          <w:tcPr>
            <w:tcW w:w="0" w:type="auto"/>
          </w:tcPr>
          <w:p w14:paraId="11081303" w14:textId="77777777" w:rsidR="00120204" w:rsidRPr="00120204" w:rsidRDefault="00120204" w:rsidP="00120204">
            <w:pPr>
              <w:keepNext/>
              <w:keepLines/>
              <w:pBdr>
                <w:top w:val="nil"/>
                <w:left w:val="nil"/>
                <w:bottom w:val="nil"/>
                <w:right w:val="nil"/>
                <w:between w:val="nil"/>
              </w:pBdr>
              <w:spacing w:before="0" w:after="0"/>
              <w:rPr>
                <w:rFonts w:eastAsia="Arial" w:cs="Arial"/>
                <w:color w:val="000000"/>
                <w:sz w:val="16"/>
                <w:szCs w:val="18"/>
              </w:rPr>
            </w:pPr>
            <w:r w:rsidRPr="00120204">
              <w:rPr>
                <w:rFonts w:eastAsia="Arial" w:cs="Arial"/>
                <w:color w:val="000000"/>
                <w:sz w:val="16"/>
                <w:szCs w:val="18"/>
              </w:rPr>
              <w:t>ranibizumab 100 mg/mL</w:t>
            </w:r>
          </w:p>
        </w:tc>
      </w:tr>
      <w:tr w:rsidR="00120204" w:rsidRPr="00C42017" w14:paraId="32838DD9" w14:textId="77777777" w:rsidTr="00120204">
        <w:trPr>
          <w:trHeight w:val="20"/>
        </w:trPr>
        <w:tc>
          <w:tcPr>
            <w:tcW w:w="1413" w:type="dxa"/>
            <w:vMerge/>
          </w:tcPr>
          <w:p w14:paraId="67BFA4C1" w14:textId="77777777" w:rsidR="00120204" w:rsidRPr="00120204" w:rsidRDefault="00120204" w:rsidP="00120204">
            <w:pPr>
              <w:keepNext/>
              <w:keepLines/>
              <w:pBdr>
                <w:top w:val="nil"/>
                <w:left w:val="nil"/>
                <w:bottom w:val="nil"/>
                <w:right w:val="nil"/>
                <w:between w:val="nil"/>
              </w:pBdr>
              <w:spacing w:before="0" w:after="0"/>
              <w:rPr>
                <w:rFonts w:eastAsia="Arial" w:cs="Arial"/>
                <w:color w:val="000000"/>
                <w:sz w:val="16"/>
                <w:szCs w:val="18"/>
              </w:rPr>
            </w:pPr>
          </w:p>
        </w:tc>
        <w:tc>
          <w:tcPr>
            <w:tcW w:w="1801" w:type="dxa"/>
            <w:vAlign w:val="center"/>
          </w:tcPr>
          <w:p w14:paraId="3E207D52" w14:textId="77777777" w:rsidR="00120204" w:rsidRPr="00120204" w:rsidRDefault="00120204" w:rsidP="00120204">
            <w:pPr>
              <w:keepNext/>
              <w:keepLines/>
              <w:pBdr>
                <w:top w:val="nil"/>
                <w:left w:val="nil"/>
                <w:bottom w:val="nil"/>
                <w:right w:val="nil"/>
                <w:between w:val="nil"/>
              </w:pBdr>
              <w:spacing w:before="0" w:after="0"/>
              <w:jc w:val="center"/>
              <w:rPr>
                <w:rFonts w:eastAsia="Arial" w:cs="Arial"/>
                <w:color w:val="000000"/>
                <w:sz w:val="16"/>
                <w:szCs w:val="18"/>
              </w:rPr>
            </w:pPr>
            <w:r w:rsidRPr="00120204">
              <w:rPr>
                <w:rFonts w:eastAsia="Arial" w:cs="Arial"/>
                <w:color w:val="000000"/>
                <w:sz w:val="16"/>
                <w:szCs w:val="18"/>
              </w:rPr>
              <w:t>Insertion Tool Assembly</w:t>
            </w:r>
          </w:p>
        </w:tc>
        <w:tc>
          <w:tcPr>
            <w:tcW w:w="0" w:type="auto"/>
          </w:tcPr>
          <w:p w14:paraId="7F747A44" w14:textId="77777777" w:rsidR="00120204" w:rsidRPr="00120204" w:rsidRDefault="00120204" w:rsidP="00120204">
            <w:pPr>
              <w:keepNext/>
              <w:keepLines/>
              <w:pBdr>
                <w:top w:val="nil"/>
                <w:left w:val="nil"/>
                <w:bottom w:val="nil"/>
                <w:right w:val="nil"/>
                <w:between w:val="nil"/>
              </w:pBdr>
              <w:spacing w:before="0" w:after="0"/>
              <w:rPr>
                <w:rFonts w:eastAsia="Arial" w:cs="Arial"/>
                <w:color w:val="000000"/>
                <w:sz w:val="16"/>
                <w:szCs w:val="18"/>
              </w:rPr>
            </w:pPr>
            <w:r w:rsidRPr="00120204">
              <w:rPr>
                <w:rFonts w:eastAsia="Arial" w:cs="Arial"/>
                <w:color w:val="000000"/>
                <w:sz w:val="16"/>
                <w:szCs w:val="18"/>
              </w:rPr>
              <w:t>Hold the implant and to place the implant in the eye during the implant procedure</w:t>
            </w:r>
          </w:p>
        </w:tc>
      </w:tr>
      <w:tr w:rsidR="00120204" w:rsidRPr="00C42017" w14:paraId="2364AA2F" w14:textId="77777777" w:rsidTr="00120204">
        <w:trPr>
          <w:trHeight w:val="20"/>
        </w:trPr>
        <w:tc>
          <w:tcPr>
            <w:tcW w:w="1413" w:type="dxa"/>
            <w:vMerge w:val="restart"/>
          </w:tcPr>
          <w:p w14:paraId="7BE57D25" w14:textId="77777777" w:rsidR="00120204" w:rsidRPr="00120204" w:rsidRDefault="00120204" w:rsidP="00120204">
            <w:pPr>
              <w:keepNext/>
              <w:keepLines/>
              <w:pBdr>
                <w:top w:val="nil"/>
                <w:left w:val="nil"/>
                <w:bottom w:val="nil"/>
                <w:right w:val="nil"/>
                <w:between w:val="nil"/>
              </w:pBdr>
              <w:spacing w:before="0" w:after="0"/>
              <w:rPr>
                <w:rFonts w:eastAsia="Arial" w:cs="Arial"/>
                <w:color w:val="000000"/>
                <w:sz w:val="16"/>
                <w:szCs w:val="18"/>
              </w:rPr>
            </w:pPr>
            <w:r w:rsidRPr="00120204">
              <w:rPr>
                <w:rFonts w:eastAsia="Arial" w:cs="Arial"/>
                <w:color w:val="000000"/>
                <w:sz w:val="16"/>
                <w:szCs w:val="18"/>
              </w:rPr>
              <w:t>Refill-exchange</w:t>
            </w:r>
          </w:p>
        </w:tc>
        <w:tc>
          <w:tcPr>
            <w:tcW w:w="1801" w:type="dxa"/>
            <w:vAlign w:val="center"/>
          </w:tcPr>
          <w:p w14:paraId="2DFEE0F0" w14:textId="77777777" w:rsidR="00120204" w:rsidRPr="00120204" w:rsidRDefault="00120204" w:rsidP="00120204">
            <w:pPr>
              <w:keepNext/>
              <w:keepLines/>
              <w:pBdr>
                <w:top w:val="nil"/>
                <w:left w:val="nil"/>
                <w:bottom w:val="nil"/>
                <w:right w:val="nil"/>
                <w:between w:val="nil"/>
              </w:pBdr>
              <w:spacing w:before="0" w:after="0"/>
              <w:jc w:val="center"/>
              <w:rPr>
                <w:rFonts w:eastAsia="Arial" w:cs="Arial"/>
                <w:color w:val="000000"/>
                <w:sz w:val="16"/>
                <w:szCs w:val="18"/>
              </w:rPr>
            </w:pPr>
            <w:r w:rsidRPr="00120204">
              <w:rPr>
                <w:rFonts w:eastAsia="Arial" w:cs="Arial"/>
                <w:color w:val="000000"/>
                <w:sz w:val="16"/>
                <w:szCs w:val="18"/>
              </w:rPr>
              <w:t>Refill Needle</w:t>
            </w:r>
          </w:p>
        </w:tc>
        <w:tc>
          <w:tcPr>
            <w:tcW w:w="0" w:type="auto"/>
          </w:tcPr>
          <w:p w14:paraId="260831A1" w14:textId="77777777" w:rsidR="00120204" w:rsidRPr="00120204" w:rsidRDefault="00120204" w:rsidP="00120204">
            <w:pPr>
              <w:keepNext/>
              <w:keepLines/>
              <w:pBdr>
                <w:top w:val="nil"/>
                <w:left w:val="nil"/>
                <w:bottom w:val="nil"/>
                <w:right w:val="nil"/>
                <w:between w:val="nil"/>
              </w:pBdr>
              <w:spacing w:before="0" w:after="0"/>
              <w:rPr>
                <w:rFonts w:eastAsia="Arial" w:cs="Arial"/>
                <w:color w:val="000000"/>
                <w:sz w:val="16"/>
                <w:szCs w:val="18"/>
              </w:rPr>
            </w:pPr>
            <w:r w:rsidRPr="00120204">
              <w:rPr>
                <w:rFonts w:eastAsia="Arial" w:cs="Arial"/>
                <w:color w:val="000000"/>
                <w:sz w:val="16"/>
                <w:szCs w:val="18"/>
              </w:rPr>
              <w:t>Refill the implant with ranibizumab 100 mg/mL in-situ</w:t>
            </w:r>
          </w:p>
        </w:tc>
      </w:tr>
      <w:tr w:rsidR="00120204" w:rsidRPr="00C42017" w14:paraId="73E693BC" w14:textId="77777777" w:rsidTr="00120204">
        <w:trPr>
          <w:trHeight w:val="20"/>
        </w:trPr>
        <w:tc>
          <w:tcPr>
            <w:tcW w:w="1413" w:type="dxa"/>
            <w:vMerge/>
          </w:tcPr>
          <w:p w14:paraId="67E1857E" w14:textId="77777777" w:rsidR="00120204" w:rsidRPr="00120204" w:rsidRDefault="00120204" w:rsidP="00120204">
            <w:pPr>
              <w:keepNext/>
              <w:keepLines/>
              <w:pBdr>
                <w:top w:val="nil"/>
                <w:left w:val="nil"/>
                <w:bottom w:val="nil"/>
                <w:right w:val="nil"/>
                <w:between w:val="nil"/>
              </w:pBdr>
              <w:spacing w:before="0" w:after="0"/>
              <w:rPr>
                <w:rFonts w:eastAsia="Arial" w:cs="Arial"/>
                <w:color w:val="000000"/>
                <w:sz w:val="16"/>
                <w:szCs w:val="18"/>
              </w:rPr>
            </w:pPr>
          </w:p>
        </w:tc>
        <w:tc>
          <w:tcPr>
            <w:tcW w:w="1801" w:type="dxa"/>
            <w:vAlign w:val="center"/>
          </w:tcPr>
          <w:p w14:paraId="51CB2A5C" w14:textId="77777777" w:rsidR="00120204" w:rsidRPr="00120204" w:rsidRDefault="00120204" w:rsidP="00120204">
            <w:pPr>
              <w:keepNext/>
              <w:keepLines/>
              <w:pBdr>
                <w:top w:val="nil"/>
                <w:left w:val="nil"/>
                <w:bottom w:val="nil"/>
                <w:right w:val="nil"/>
                <w:between w:val="nil"/>
              </w:pBdr>
              <w:spacing w:before="0" w:after="0"/>
              <w:jc w:val="center"/>
              <w:rPr>
                <w:rFonts w:eastAsia="Arial" w:cs="Arial"/>
                <w:color w:val="000000"/>
                <w:sz w:val="16"/>
                <w:szCs w:val="18"/>
              </w:rPr>
            </w:pPr>
            <w:proofErr w:type="spellStart"/>
            <w:r w:rsidRPr="00120204">
              <w:rPr>
                <w:rFonts w:eastAsia="Arial" w:cs="Arial"/>
                <w:color w:val="000000"/>
                <w:sz w:val="16"/>
                <w:szCs w:val="18"/>
              </w:rPr>
              <w:t>Susvimo</w:t>
            </w:r>
            <w:proofErr w:type="spellEnd"/>
            <w:r w:rsidRPr="00120204">
              <w:rPr>
                <w:rFonts w:eastAsia="Arial" w:cs="Arial"/>
                <w:color w:val="000000"/>
                <w:sz w:val="16"/>
                <w:szCs w:val="18"/>
              </w:rPr>
              <w:t>® vial</w:t>
            </w:r>
          </w:p>
        </w:tc>
        <w:tc>
          <w:tcPr>
            <w:tcW w:w="0" w:type="auto"/>
          </w:tcPr>
          <w:p w14:paraId="7A24E15D" w14:textId="77777777" w:rsidR="00120204" w:rsidRPr="00120204" w:rsidRDefault="00120204" w:rsidP="00120204">
            <w:pPr>
              <w:keepNext/>
              <w:keepLines/>
              <w:pBdr>
                <w:top w:val="nil"/>
                <w:left w:val="nil"/>
                <w:bottom w:val="nil"/>
                <w:right w:val="nil"/>
                <w:between w:val="nil"/>
              </w:pBdr>
              <w:spacing w:before="0" w:after="0"/>
              <w:rPr>
                <w:rFonts w:eastAsia="Arial" w:cs="Arial"/>
                <w:color w:val="000000"/>
                <w:sz w:val="16"/>
                <w:szCs w:val="18"/>
              </w:rPr>
            </w:pPr>
            <w:r w:rsidRPr="00120204">
              <w:rPr>
                <w:rFonts w:eastAsia="Arial" w:cs="Arial"/>
                <w:color w:val="000000"/>
                <w:sz w:val="16"/>
                <w:szCs w:val="18"/>
              </w:rPr>
              <w:t>ranibizumab 100 mg/mL</w:t>
            </w:r>
          </w:p>
        </w:tc>
      </w:tr>
      <w:tr w:rsidR="00120204" w:rsidRPr="00C42017" w14:paraId="2087BB24" w14:textId="77777777" w:rsidTr="00120204">
        <w:trPr>
          <w:trHeight w:val="20"/>
        </w:trPr>
        <w:tc>
          <w:tcPr>
            <w:tcW w:w="1413" w:type="dxa"/>
            <w:tcBorders>
              <w:bottom w:val="single" w:sz="4" w:space="0" w:color="auto"/>
            </w:tcBorders>
          </w:tcPr>
          <w:p w14:paraId="6FBE8350" w14:textId="77777777" w:rsidR="00120204" w:rsidRPr="00120204" w:rsidRDefault="00120204" w:rsidP="00120204">
            <w:pPr>
              <w:keepNext/>
              <w:keepLines/>
              <w:pBdr>
                <w:top w:val="nil"/>
                <w:left w:val="nil"/>
                <w:bottom w:val="nil"/>
                <w:right w:val="nil"/>
                <w:between w:val="nil"/>
              </w:pBdr>
              <w:spacing w:before="0" w:after="0"/>
              <w:rPr>
                <w:rFonts w:eastAsia="Arial" w:cs="Arial"/>
                <w:color w:val="000000"/>
                <w:sz w:val="16"/>
                <w:szCs w:val="18"/>
              </w:rPr>
            </w:pPr>
            <w:proofErr w:type="spellStart"/>
            <w:r w:rsidRPr="00120204">
              <w:rPr>
                <w:rFonts w:eastAsia="Arial" w:cs="Arial"/>
                <w:color w:val="000000"/>
                <w:sz w:val="16"/>
                <w:szCs w:val="18"/>
              </w:rPr>
              <w:t>Explantation</w:t>
            </w:r>
            <w:proofErr w:type="spellEnd"/>
          </w:p>
        </w:tc>
        <w:tc>
          <w:tcPr>
            <w:tcW w:w="1801" w:type="dxa"/>
            <w:tcBorders>
              <w:bottom w:val="single" w:sz="4" w:space="0" w:color="auto"/>
            </w:tcBorders>
            <w:vAlign w:val="center"/>
          </w:tcPr>
          <w:p w14:paraId="7AC0832E" w14:textId="77777777" w:rsidR="00120204" w:rsidRPr="00120204" w:rsidRDefault="00120204" w:rsidP="00120204">
            <w:pPr>
              <w:keepNext/>
              <w:keepLines/>
              <w:pBdr>
                <w:top w:val="nil"/>
                <w:left w:val="nil"/>
                <w:bottom w:val="nil"/>
                <w:right w:val="nil"/>
                <w:between w:val="nil"/>
              </w:pBdr>
              <w:spacing w:before="0" w:after="0"/>
              <w:jc w:val="center"/>
              <w:rPr>
                <w:rFonts w:eastAsia="Arial" w:cs="Arial"/>
                <w:color w:val="000000"/>
                <w:sz w:val="16"/>
                <w:szCs w:val="18"/>
              </w:rPr>
            </w:pPr>
            <w:r w:rsidRPr="00120204">
              <w:rPr>
                <w:rFonts w:eastAsia="Arial" w:cs="Arial"/>
                <w:color w:val="000000"/>
                <w:sz w:val="16"/>
                <w:szCs w:val="18"/>
              </w:rPr>
              <w:t>Explant Tool</w:t>
            </w:r>
          </w:p>
        </w:tc>
        <w:tc>
          <w:tcPr>
            <w:tcW w:w="0" w:type="auto"/>
            <w:tcBorders>
              <w:bottom w:val="single" w:sz="4" w:space="0" w:color="auto"/>
            </w:tcBorders>
          </w:tcPr>
          <w:p w14:paraId="467563F0" w14:textId="77777777" w:rsidR="00120204" w:rsidRPr="00120204" w:rsidRDefault="00120204" w:rsidP="00120204">
            <w:pPr>
              <w:keepNext/>
              <w:keepLines/>
              <w:pBdr>
                <w:top w:val="nil"/>
                <w:left w:val="nil"/>
                <w:bottom w:val="nil"/>
                <w:right w:val="nil"/>
                <w:between w:val="nil"/>
              </w:pBdr>
              <w:spacing w:before="0" w:after="0"/>
              <w:rPr>
                <w:rFonts w:eastAsia="Arial" w:cs="Arial"/>
                <w:color w:val="000000"/>
                <w:sz w:val="16"/>
                <w:szCs w:val="18"/>
              </w:rPr>
            </w:pPr>
            <w:r w:rsidRPr="00120204">
              <w:rPr>
                <w:rFonts w:eastAsia="Arial" w:cs="Arial"/>
                <w:color w:val="000000"/>
                <w:sz w:val="16"/>
                <w:szCs w:val="18"/>
              </w:rPr>
              <w:t>Remove the implant, if needed. </w:t>
            </w:r>
          </w:p>
        </w:tc>
      </w:tr>
    </w:tbl>
    <w:p w14:paraId="5C8A114B" w14:textId="77777777" w:rsidR="00120204" w:rsidRDefault="00120204" w:rsidP="00A6491A">
      <w:pPr>
        <w:spacing w:before="0" w:after="0"/>
        <w:ind w:left="284"/>
      </w:pPr>
    </w:p>
    <w:p w14:paraId="6172D81E" w14:textId="37C65612" w:rsidR="00F301F1" w:rsidRPr="00855944" w:rsidRDefault="009939DC" w:rsidP="00120204">
      <w:pPr>
        <w:spacing w:before="0" w:after="0"/>
        <w:ind w:left="284"/>
      </w:pPr>
      <w:r>
        <w:t>Multi-use consumables:</w:t>
      </w:r>
      <w:r w:rsidRPr="009939DC">
        <w:t xml:space="preserve"> </w:t>
      </w:r>
      <w:r w:rsidR="00FD7FCB">
        <w:t>N</w:t>
      </w:r>
      <w:r w:rsidR="00FD7FCB" w:rsidRPr="00FD7FCB">
        <w:t>o multi-use consumables expected to be delivered as part of the service</w:t>
      </w:r>
      <w:r w:rsidR="00FD7FCB">
        <w:t>.</w:t>
      </w:r>
      <w:r w:rsidR="00FD7FCB" w:rsidRPr="00FD7FCB">
        <w:t xml:space="preserve"> </w:t>
      </w:r>
      <w:r w:rsidR="00F301F1" w:rsidRPr="00855944">
        <w:br w:type="page"/>
      </w:r>
    </w:p>
    <w:p w14:paraId="0DD9F3F5"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7D70B78C"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1F3316C4" w14:textId="6FAA72D1" w:rsidR="00193620" w:rsidRPr="006B40AA" w:rsidRDefault="002E1B61" w:rsidP="00A6491A">
      <w:pPr>
        <w:spacing w:before="0" w:after="0"/>
        <w:ind w:left="284"/>
        <w:rPr>
          <w:szCs w:val="20"/>
          <w:u w:val="single"/>
        </w:rPr>
      </w:pPr>
      <w:r>
        <w:rPr>
          <w:szCs w:val="20"/>
          <w:u w:val="single"/>
        </w:rPr>
        <w:t>Initial fill and i</w:t>
      </w:r>
      <w:r w:rsidR="00193620" w:rsidRPr="006B40AA">
        <w:rPr>
          <w:szCs w:val="20"/>
          <w:u w:val="single"/>
        </w:rPr>
        <w:t>mplantation</w:t>
      </w:r>
    </w:p>
    <w:p w14:paraId="683E62E1" w14:textId="70B06624"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193620">
        <w:rPr>
          <w:szCs w:val="20"/>
        </w:rPr>
        <w:t xml:space="preserve">Medical device, </w:t>
      </w:r>
      <w:r w:rsidR="002E18E9">
        <w:rPr>
          <w:szCs w:val="20"/>
        </w:rPr>
        <w:t>Ocular i</w:t>
      </w:r>
      <w:r w:rsidR="00ED5110">
        <w:t>mplant</w:t>
      </w:r>
    </w:p>
    <w:p w14:paraId="3C6436AB" w14:textId="7F6275A6" w:rsidR="00A26343" w:rsidRPr="00A26343" w:rsidRDefault="00A26343" w:rsidP="00A6491A">
      <w:pPr>
        <w:spacing w:before="0" w:after="0"/>
        <w:ind w:left="284"/>
        <w:rPr>
          <w:szCs w:val="20"/>
        </w:rPr>
      </w:pPr>
      <w:r w:rsidRPr="00A26343">
        <w:rPr>
          <w:szCs w:val="20"/>
        </w:rPr>
        <w:t>Manufacturer’s name</w:t>
      </w:r>
      <w:r>
        <w:rPr>
          <w:szCs w:val="20"/>
        </w:rPr>
        <w:t xml:space="preserve">: </w:t>
      </w:r>
      <w:r w:rsidR="00730891">
        <w:t>B. Braun Pty Ltd</w:t>
      </w:r>
    </w:p>
    <w:p w14:paraId="6B920B4B" w14:textId="140A5C1E" w:rsidR="00A26343" w:rsidRDefault="00A26343" w:rsidP="00A6491A">
      <w:pPr>
        <w:spacing w:before="0" w:after="0"/>
        <w:ind w:left="284"/>
      </w:pPr>
      <w:r w:rsidRPr="00A26343">
        <w:rPr>
          <w:szCs w:val="20"/>
        </w:rPr>
        <w:t>Sponsor’s name</w:t>
      </w:r>
      <w:r>
        <w:rPr>
          <w:szCs w:val="20"/>
        </w:rPr>
        <w:t xml:space="preserve">: </w:t>
      </w:r>
      <w:r w:rsidR="00094275">
        <w:t>B.</w:t>
      </w:r>
      <w:r w:rsidR="005E7510">
        <w:t xml:space="preserve"> </w:t>
      </w:r>
      <w:r w:rsidR="00094275">
        <w:t>Braun Pty Ltd</w:t>
      </w:r>
    </w:p>
    <w:p w14:paraId="6C7C9EAC" w14:textId="096AB377" w:rsidR="002E1B61" w:rsidRDefault="002E1B61" w:rsidP="00A6491A">
      <w:pPr>
        <w:spacing w:before="0" w:after="0"/>
        <w:ind w:left="284"/>
      </w:pPr>
    </w:p>
    <w:p w14:paraId="5F206D74" w14:textId="77777777" w:rsidR="002E1B61" w:rsidRPr="00A26343" w:rsidRDefault="002E1B61" w:rsidP="002E1B61">
      <w:pPr>
        <w:spacing w:before="0" w:after="0"/>
        <w:ind w:left="284"/>
        <w:rPr>
          <w:szCs w:val="20"/>
        </w:rPr>
      </w:pPr>
      <w:r w:rsidRPr="00A26343">
        <w:rPr>
          <w:szCs w:val="20"/>
        </w:rPr>
        <w:t>Type of therapeutic good</w:t>
      </w:r>
      <w:r>
        <w:rPr>
          <w:szCs w:val="20"/>
        </w:rPr>
        <w:t xml:space="preserve">: Drug, ranibizumab, </w:t>
      </w:r>
      <w:proofErr w:type="spellStart"/>
      <w:r>
        <w:rPr>
          <w:szCs w:val="20"/>
        </w:rPr>
        <w:t>Susvimo</w:t>
      </w:r>
      <w:proofErr w:type="spellEnd"/>
      <w:r>
        <w:rPr>
          <w:szCs w:val="20"/>
        </w:rPr>
        <w:t xml:space="preserve">® </w:t>
      </w:r>
    </w:p>
    <w:p w14:paraId="7A13E9F5" w14:textId="77777777" w:rsidR="002E1B61" w:rsidRPr="00A26343" w:rsidRDefault="002E1B61" w:rsidP="002E1B61">
      <w:pPr>
        <w:spacing w:before="0" w:after="0"/>
        <w:ind w:left="284"/>
        <w:rPr>
          <w:szCs w:val="20"/>
        </w:rPr>
      </w:pPr>
      <w:r w:rsidRPr="00A26343">
        <w:rPr>
          <w:szCs w:val="20"/>
        </w:rPr>
        <w:t>Manufacturer’s name</w:t>
      </w:r>
      <w:r>
        <w:rPr>
          <w:szCs w:val="20"/>
        </w:rPr>
        <w:t>: Roche Products Pty Ltd</w:t>
      </w:r>
    </w:p>
    <w:p w14:paraId="45141227" w14:textId="2581B845" w:rsidR="002E1B61" w:rsidRPr="002E1B61" w:rsidRDefault="002E1B61" w:rsidP="002E1B61">
      <w:pPr>
        <w:spacing w:before="0" w:after="0"/>
        <w:ind w:left="284"/>
        <w:rPr>
          <w:szCs w:val="20"/>
        </w:rPr>
      </w:pPr>
      <w:r w:rsidRPr="00A26343">
        <w:rPr>
          <w:szCs w:val="20"/>
        </w:rPr>
        <w:t>Sponsor’s name</w:t>
      </w:r>
      <w:r>
        <w:rPr>
          <w:szCs w:val="20"/>
        </w:rPr>
        <w:t>: Roche Products Pty Ltd</w:t>
      </w:r>
    </w:p>
    <w:p w14:paraId="1ECB5325" w14:textId="53C10A3F" w:rsidR="00193620" w:rsidRDefault="00193620" w:rsidP="00A6491A">
      <w:pPr>
        <w:spacing w:before="0" w:after="0"/>
        <w:ind w:left="284"/>
      </w:pPr>
    </w:p>
    <w:p w14:paraId="44CC9E77" w14:textId="2AFC1EEA" w:rsidR="00193620" w:rsidRPr="006B40AA" w:rsidRDefault="00193620" w:rsidP="00193620">
      <w:pPr>
        <w:spacing w:before="0" w:after="0"/>
        <w:ind w:left="284"/>
        <w:rPr>
          <w:szCs w:val="20"/>
          <w:u w:val="single"/>
        </w:rPr>
      </w:pPr>
      <w:r w:rsidRPr="006B40AA">
        <w:rPr>
          <w:szCs w:val="20"/>
          <w:u w:val="single"/>
        </w:rPr>
        <w:t>Refill-exchange</w:t>
      </w:r>
    </w:p>
    <w:p w14:paraId="0D06E269" w14:textId="0175FFBD" w:rsidR="00193620" w:rsidRPr="00A26343" w:rsidRDefault="00193620" w:rsidP="00345D79">
      <w:pPr>
        <w:spacing w:before="0" w:after="0"/>
        <w:ind w:left="284"/>
        <w:rPr>
          <w:szCs w:val="20"/>
        </w:rPr>
      </w:pPr>
      <w:r w:rsidRPr="00A26343">
        <w:rPr>
          <w:szCs w:val="20"/>
        </w:rPr>
        <w:t>Type of therapeutic good</w:t>
      </w:r>
      <w:r>
        <w:rPr>
          <w:szCs w:val="20"/>
        </w:rPr>
        <w:t xml:space="preserve">: Drug, ranibizumab, </w:t>
      </w:r>
      <w:proofErr w:type="spellStart"/>
      <w:r>
        <w:rPr>
          <w:szCs w:val="20"/>
        </w:rPr>
        <w:t>Susvimo</w:t>
      </w:r>
      <w:proofErr w:type="spellEnd"/>
      <w:r>
        <w:rPr>
          <w:szCs w:val="20"/>
        </w:rPr>
        <w:t xml:space="preserve">® </w:t>
      </w:r>
    </w:p>
    <w:p w14:paraId="5C289563" w14:textId="77777777" w:rsidR="00193620" w:rsidRPr="00A26343" w:rsidRDefault="00193620" w:rsidP="00345D79">
      <w:pPr>
        <w:spacing w:before="0" w:after="0"/>
        <w:ind w:left="284"/>
        <w:rPr>
          <w:szCs w:val="20"/>
        </w:rPr>
      </w:pPr>
      <w:r w:rsidRPr="00A26343">
        <w:rPr>
          <w:szCs w:val="20"/>
        </w:rPr>
        <w:t>Manufacturer’s name</w:t>
      </w:r>
      <w:r>
        <w:rPr>
          <w:szCs w:val="20"/>
        </w:rPr>
        <w:t>: Roche Products Pty Ltd</w:t>
      </w:r>
    </w:p>
    <w:p w14:paraId="1BF7CD20" w14:textId="77777777" w:rsidR="00193620" w:rsidRPr="00345D79" w:rsidRDefault="00193620" w:rsidP="00345D79">
      <w:pPr>
        <w:spacing w:before="0" w:after="0"/>
        <w:ind w:left="284"/>
        <w:rPr>
          <w:szCs w:val="20"/>
        </w:rPr>
      </w:pPr>
      <w:r w:rsidRPr="00A26343">
        <w:rPr>
          <w:szCs w:val="20"/>
        </w:rPr>
        <w:t>Sponsor’s name</w:t>
      </w:r>
      <w:r>
        <w:rPr>
          <w:szCs w:val="20"/>
        </w:rPr>
        <w:t>: Roche Products Pty Ltd</w:t>
      </w:r>
    </w:p>
    <w:p w14:paraId="66C21D6A" w14:textId="08B998B5" w:rsidR="00193620" w:rsidRDefault="00193620" w:rsidP="00A6491A">
      <w:pPr>
        <w:spacing w:before="0" w:after="0"/>
        <w:ind w:left="284"/>
        <w:rPr>
          <w:szCs w:val="20"/>
        </w:rPr>
      </w:pPr>
    </w:p>
    <w:p w14:paraId="5E869737" w14:textId="414773B0" w:rsidR="00193620" w:rsidRPr="006B40AA" w:rsidRDefault="00193620" w:rsidP="00193620">
      <w:pPr>
        <w:spacing w:before="0" w:after="0"/>
        <w:ind w:left="284"/>
        <w:rPr>
          <w:szCs w:val="20"/>
          <w:u w:val="single"/>
        </w:rPr>
      </w:pPr>
      <w:r w:rsidRPr="006B40AA">
        <w:rPr>
          <w:szCs w:val="20"/>
          <w:u w:val="single"/>
        </w:rPr>
        <w:t>Explantation (if needed)</w:t>
      </w:r>
    </w:p>
    <w:p w14:paraId="07A7E42B" w14:textId="1BA24E4C" w:rsidR="00193620" w:rsidRPr="00A26343" w:rsidRDefault="00193620" w:rsidP="00193620">
      <w:pPr>
        <w:spacing w:before="0" w:after="0"/>
        <w:ind w:left="284"/>
        <w:rPr>
          <w:szCs w:val="20"/>
        </w:rPr>
      </w:pPr>
      <w:r w:rsidRPr="00A26343">
        <w:rPr>
          <w:szCs w:val="20"/>
        </w:rPr>
        <w:t>Type of therapeutic good</w:t>
      </w:r>
      <w:r>
        <w:rPr>
          <w:szCs w:val="20"/>
        </w:rPr>
        <w:t xml:space="preserve">: </w:t>
      </w:r>
      <w:r>
        <w:t>Explant tool</w:t>
      </w:r>
    </w:p>
    <w:p w14:paraId="4EE906A9" w14:textId="2723CE08" w:rsidR="00193620" w:rsidRPr="00A26343" w:rsidRDefault="00193620" w:rsidP="00193620">
      <w:pPr>
        <w:spacing w:before="0" w:after="0"/>
        <w:ind w:left="284"/>
        <w:rPr>
          <w:szCs w:val="20"/>
        </w:rPr>
      </w:pPr>
      <w:r w:rsidRPr="00A26343">
        <w:rPr>
          <w:szCs w:val="20"/>
        </w:rPr>
        <w:t>Manufacturer’s name</w:t>
      </w:r>
      <w:r>
        <w:rPr>
          <w:szCs w:val="20"/>
        </w:rPr>
        <w:t xml:space="preserve">: </w:t>
      </w:r>
      <w:r w:rsidR="00730891">
        <w:t>B. Braun Pty Ltd</w:t>
      </w:r>
    </w:p>
    <w:p w14:paraId="5CB14E58" w14:textId="349DDFAB" w:rsidR="00193620" w:rsidRDefault="00193620" w:rsidP="00193620">
      <w:pPr>
        <w:spacing w:before="0" w:after="0"/>
        <w:ind w:left="284"/>
      </w:pPr>
      <w:r w:rsidRPr="00A26343">
        <w:rPr>
          <w:szCs w:val="20"/>
        </w:rPr>
        <w:t>Sponsor’s name</w:t>
      </w:r>
      <w:r>
        <w:rPr>
          <w:szCs w:val="20"/>
        </w:rPr>
        <w:t xml:space="preserve">: </w:t>
      </w:r>
      <w:r>
        <w:t>B.</w:t>
      </w:r>
      <w:r w:rsidR="005E7510">
        <w:t xml:space="preserve"> </w:t>
      </w:r>
      <w:r>
        <w:t>Braun Pty Ltd</w:t>
      </w:r>
    </w:p>
    <w:p w14:paraId="30BD81E3" w14:textId="17545FEA" w:rsidR="00193620" w:rsidRPr="00A26343" w:rsidRDefault="00193620" w:rsidP="00193620">
      <w:pPr>
        <w:spacing w:before="0" w:after="0"/>
        <w:rPr>
          <w:szCs w:val="20"/>
        </w:rPr>
      </w:pPr>
    </w:p>
    <w:p w14:paraId="5CC83FE5"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09481394" w14:textId="700FE2B3" w:rsidR="00615F42" w:rsidRPr="00615F42" w:rsidRDefault="00094275" w:rsidP="00120204">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20204">
        <w:rPr>
          <w:szCs w:val="20"/>
        </w:rPr>
      </w:r>
      <w:r w:rsidR="00120204">
        <w:rPr>
          <w:szCs w:val="20"/>
        </w:rPr>
        <w:fldChar w:fldCharType="separate"/>
      </w:r>
      <w:r>
        <w:rPr>
          <w:szCs w:val="20"/>
        </w:rPr>
        <w:fldChar w:fldCharType="end"/>
      </w:r>
      <w:r w:rsidR="00615F42" w:rsidRPr="000A5B32">
        <w:rPr>
          <w:szCs w:val="20"/>
        </w:rPr>
        <w:t xml:space="preserve"> </w:t>
      </w:r>
      <w:r w:rsidR="00615F42" w:rsidRPr="00615F42">
        <w:rPr>
          <w:szCs w:val="20"/>
        </w:rPr>
        <w:t>Class III</w:t>
      </w:r>
      <w:r w:rsidR="00345D79">
        <w:rPr>
          <w:szCs w:val="20"/>
        </w:rPr>
        <w:t xml:space="preserve"> – Ocular implant</w:t>
      </w:r>
    </w:p>
    <w:p w14:paraId="2D23D102" w14:textId="77777777" w:rsidR="00615F42" w:rsidRPr="00615F42" w:rsidRDefault="00615F42" w:rsidP="00120204">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20204">
        <w:rPr>
          <w:szCs w:val="20"/>
        </w:rPr>
      </w:r>
      <w:r w:rsidR="00120204">
        <w:rPr>
          <w:szCs w:val="20"/>
        </w:rPr>
        <w:fldChar w:fldCharType="separate"/>
      </w:r>
      <w:r w:rsidRPr="000A5B32">
        <w:rPr>
          <w:szCs w:val="20"/>
        </w:rPr>
        <w:fldChar w:fldCharType="end"/>
      </w:r>
      <w:r w:rsidRPr="000A5B32">
        <w:rPr>
          <w:szCs w:val="20"/>
        </w:rPr>
        <w:t xml:space="preserve"> </w:t>
      </w:r>
      <w:r w:rsidRPr="00615F42">
        <w:rPr>
          <w:szCs w:val="20"/>
        </w:rPr>
        <w:t>AIMD</w:t>
      </w:r>
    </w:p>
    <w:p w14:paraId="52161510" w14:textId="77777777" w:rsidR="005E2CE3" w:rsidRPr="00154B00" w:rsidRDefault="00615F42" w:rsidP="00120204">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20204">
        <w:rPr>
          <w:szCs w:val="20"/>
        </w:rPr>
      </w:r>
      <w:r w:rsidR="00120204">
        <w:rPr>
          <w:szCs w:val="20"/>
        </w:rPr>
        <w:fldChar w:fldCharType="separate"/>
      </w:r>
      <w:r w:rsidRPr="000A5B32">
        <w:rPr>
          <w:szCs w:val="20"/>
        </w:rPr>
        <w:fldChar w:fldCharType="end"/>
      </w:r>
      <w:r w:rsidRPr="000A5B32">
        <w:rPr>
          <w:szCs w:val="20"/>
        </w:rPr>
        <w:t xml:space="preserve"> </w:t>
      </w:r>
      <w:r w:rsidRPr="00615F42">
        <w:rPr>
          <w:szCs w:val="20"/>
        </w:rPr>
        <w:t>N/A</w:t>
      </w:r>
    </w:p>
    <w:p w14:paraId="3432F0C3"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214B3C89" w14:textId="77777777" w:rsidR="00615F42" w:rsidRDefault="00615F42" w:rsidP="00120204">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20204">
        <w:rPr>
          <w:szCs w:val="20"/>
        </w:rPr>
      </w:r>
      <w:r w:rsidR="00120204">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5E5E297C" w14:textId="761243C5" w:rsidR="003421AE" w:rsidRPr="00615F42" w:rsidRDefault="00193620" w:rsidP="00120204">
      <w:pPr>
        <w:spacing w:before="0" w:after="0"/>
        <w:ind w:left="360"/>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20204">
        <w:rPr>
          <w:szCs w:val="20"/>
        </w:rPr>
      </w:r>
      <w:r w:rsidR="00120204">
        <w:rPr>
          <w:szCs w:val="20"/>
        </w:rPr>
        <w:fldChar w:fldCharType="separate"/>
      </w:r>
      <w:r>
        <w:rPr>
          <w:szCs w:val="20"/>
        </w:rPr>
        <w:fldChar w:fldCharType="end"/>
      </w:r>
      <w:r w:rsidR="00615F42">
        <w:rPr>
          <w:szCs w:val="20"/>
        </w:rPr>
        <w:t xml:space="preserve"> No</w:t>
      </w:r>
    </w:p>
    <w:p w14:paraId="5D6A7275" w14:textId="03649351"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57B5C85F" w14:textId="77777777" w:rsidR="0043654D" w:rsidRDefault="0043654D" w:rsidP="00120204">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20204">
        <w:rPr>
          <w:szCs w:val="20"/>
        </w:rPr>
      </w:r>
      <w:r w:rsidR="00120204">
        <w:rPr>
          <w:szCs w:val="20"/>
        </w:rPr>
        <w:fldChar w:fldCharType="separate"/>
      </w:r>
      <w:r w:rsidRPr="000A5B32">
        <w:rPr>
          <w:szCs w:val="20"/>
        </w:rPr>
        <w:fldChar w:fldCharType="end"/>
      </w:r>
      <w:r>
        <w:rPr>
          <w:szCs w:val="20"/>
        </w:rPr>
        <w:t xml:space="preserve"> Yes (if yes, please provide details below)</w:t>
      </w:r>
    </w:p>
    <w:p w14:paraId="73D4C47E" w14:textId="4FAF345C" w:rsidR="0043654D" w:rsidRDefault="00193620" w:rsidP="00120204">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20204">
        <w:rPr>
          <w:szCs w:val="20"/>
        </w:rPr>
      </w:r>
      <w:r w:rsidR="00120204">
        <w:rPr>
          <w:szCs w:val="20"/>
        </w:rPr>
        <w:fldChar w:fldCharType="separate"/>
      </w:r>
      <w:r>
        <w:rPr>
          <w:szCs w:val="20"/>
        </w:rPr>
        <w:fldChar w:fldCharType="end"/>
      </w:r>
      <w:r w:rsidR="0043654D">
        <w:rPr>
          <w:szCs w:val="20"/>
        </w:rPr>
        <w:t xml:space="preserve"> No</w:t>
      </w:r>
    </w:p>
    <w:p w14:paraId="448309C3" w14:textId="77777777" w:rsidR="0043654D" w:rsidRPr="00615F42" w:rsidRDefault="0043654D" w:rsidP="0043654D">
      <w:pPr>
        <w:spacing w:before="0" w:after="0"/>
        <w:ind w:left="284"/>
        <w:rPr>
          <w:b/>
          <w:szCs w:val="20"/>
        </w:rPr>
      </w:pPr>
    </w:p>
    <w:p w14:paraId="410D7478" w14:textId="333F2827" w:rsidR="00C0796F" w:rsidRDefault="00C0796F" w:rsidP="00530204">
      <w:pPr>
        <w:pStyle w:val="Heading2"/>
      </w:pPr>
      <w:r w:rsidRPr="0043654D">
        <w:t xml:space="preserve">If the therapeutic good has not been listed, </w:t>
      </w:r>
      <w:proofErr w:type="gramStart"/>
      <w:r w:rsidRPr="0043654D">
        <w:t>registered</w:t>
      </w:r>
      <w:proofErr w:type="gramEnd"/>
      <w:r w:rsidRPr="0043654D">
        <w:t xml:space="preserve"> or included in the ARTG, is the therapeutic good in the process of being considered for inclusion by the TGA?</w:t>
      </w:r>
    </w:p>
    <w:p w14:paraId="122D69F9" w14:textId="77777777" w:rsidR="00193620" w:rsidRPr="006B40AA" w:rsidRDefault="00193620" w:rsidP="00120204">
      <w:pPr>
        <w:ind w:firstLine="284"/>
        <w:rPr>
          <w:u w:val="single"/>
        </w:rPr>
      </w:pPr>
      <w:r w:rsidRPr="006B40AA">
        <w:rPr>
          <w:szCs w:val="20"/>
          <w:u w:val="single"/>
        </w:rPr>
        <w:t xml:space="preserve">Therapeutic good: Drug, ranibizumab, </w:t>
      </w:r>
      <w:proofErr w:type="spellStart"/>
      <w:r w:rsidRPr="006B40AA">
        <w:rPr>
          <w:szCs w:val="20"/>
          <w:u w:val="single"/>
        </w:rPr>
        <w:t>Susvimo</w:t>
      </w:r>
      <w:proofErr w:type="spellEnd"/>
      <w:r w:rsidRPr="006B40AA">
        <w:rPr>
          <w:szCs w:val="20"/>
          <w:u w:val="single"/>
        </w:rPr>
        <w:t>®</w:t>
      </w:r>
    </w:p>
    <w:p w14:paraId="3C39FF5A" w14:textId="4C8E12EA" w:rsidR="0047581D" w:rsidRDefault="00193620" w:rsidP="0047581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20204">
        <w:rPr>
          <w:szCs w:val="20"/>
        </w:rPr>
      </w:r>
      <w:r w:rsidR="00120204">
        <w:rPr>
          <w:szCs w:val="20"/>
        </w:rPr>
        <w:fldChar w:fldCharType="separate"/>
      </w:r>
      <w:r>
        <w:rPr>
          <w:szCs w:val="20"/>
        </w:rPr>
        <w:fldChar w:fldCharType="end"/>
      </w:r>
      <w:r w:rsidR="0047581D">
        <w:rPr>
          <w:szCs w:val="20"/>
        </w:rPr>
        <w:t xml:space="preserve"> Yes (please provide details below)</w:t>
      </w:r>
    </w:p>
    <w:p w14:paraId="1805FEC8"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20204">
        <w:rPr>
          <w:szCs w:val="20"/>
        </w:rPr>
      </w:r>
      <w:r w:rsidR="00120204">
        <w:rPr>
          <w:szCs w:val="20"/>
        </w:rPr>
        <w:fldChar w:fldCharType="separate"/>
      </w:r>
      <w:r w:rsidRPr="000A5B32">
        <w:rPr>
          <w:szCs w:val="20"/>
        </w:rPr>
        <w:fldChar w:fldCharType="end"/>
      </w:r>
      <w:r>
        <w:rPr>
          <w:szCs w:val="20"/>
        </w:rPr>
        <w:t xml:space="preserve"> No</w:t>
      </w:r>
    </w:p>
    <w:p w14:paraId="1BF9EC98" w14:textId="77777777" w:rsidR="005C0091" w:rsidRDefault="005C0091" w:rsidP="0047581D">
      <w:pPr>
        <w:spacing w:before="0" w:after="0"/>
        <w:rPr>
          <w:szCs w:val="20"/>
        </w:rPr>
      </w:pPr>
    </w:p>
    <w:p w14:paraId="1D3792CA" w14:textId="5FC4CD04" w:rsidR="0047581D" w:rsidRPr="0047581D" w:rsidRDefault="0047581D" w:rsidP="00120204">
      <w:pPr>
        <w:spacing w:before="0" w:after="0"/>
        <w:ind w:left="284"/>
        <w:rPr>
          <w:szCs w:val="20"/>
        </w:rPr>
      </w:pPr>
      <w:r w:rsidRPr="0047581D">
        <w:rPr>
          <w:szCs w:val="20"/>
        </w:rPr>
        <w:t xml:space="preserve">Date of submission to TGA:  </w:t>
      </w:r>
      <w:r w:rsidR="00193620">
        <w:t>30</w:t>
      </w:r>
      <w:r w:rsidR="00193620" w:rsidRPr="00193620">
        <w:rPr>
          <w:vertAlign w:val="superscript"/>
        </w:rPr>
        <w:t>th</w:t>
      </w:r>
      <w:r w:rsidR="00193620">
        <w:t xml:space="preserve"> May 2021</w:t>
      </w:r>
    </w:p>
    <w:p w14:paraId="78071177" w14:textId="49E1C1B0" w:rsidR="0047581D" w:rsidRPr="0047581D" w:rsidRDefault="0047581D" w:rsidP="00120204">
      <w:pPr>
        <w:spacing w:before="0" w:after="0"/>
        <w:ind w:left="284"/>
        <w:rPr>
          <w:szCs w:val="20"/>
        </w:rPr>
      </w:pPr>
      <w:r w:rsidRPr="0047581D">
        <w:rPr>
          <w:szCs w:val="20"/>
        </w:rPr>
        <w:t>Estimated date by which TGA approval can be expected</w:t>
      </w:r>
      <w:r>
        <w:rPr>
          <w:szCs w:val="20"/>
        </w:rPr>
        <w:t xml:space="preserve">:  </w:t>
      </w:r>
      <w:r w:rsidR="00F15237">
        <w:t>July 2022</w:t>
      </w:r>
    </w:p>
    <w:p w14:paraId="42360A60" w14:textId="45AA3577" w:rsidR="0047581D" w:rsidRPr="0047581D" w:rsidRDefault="0047581D" w:rsidP="00120204">
      <w:pPr>
        <w:spacing w:before="0" w:after="0"/>
        <w:ind w:left="284"/>
        <w:rPr>
          <w:szCs w:val="20"/>
        </w:rPr>
      </w:pPr>
      <w:r w:rsidRPr="0047581D">
        <w:rPr>
          <w:szCs w:val="20"/>
        </w:rPr>
        <w:t>TGA Application ID</w:t>
      </w:r>
      <w:r>
        <w:rPr>
          <w:szCs w:val="20"/>
        </w:rPr>
        <w:t xml:space="preserve">:  </w:t>
      </w:r>
      <w:r w:rsidR="00F15237" w:rsidRPr="00F15237">
        <w:t>PM-2021-02235-1</w:t>
      </w:r>
    </w:p>
    <w:p w14:paraId="2E38E05D" w14:textId="0EDF8C8A" w:rsidR="0047581D" w:rsidRPr="0047581D" w:rsidRDefault="0047581D" w:rsidP="00120204">
      <w:pPr>
        <w:spacing w:before="0" w:after="0"/>
        <w:ind w:left="284"/>
        <w:rPr>
          <w:szCs w:val="20"/>
        </w:rPr>
      </w:pPr>
      <w:r w:rsidRPr="0047581D">
        <w:rPr>
          <w:szCs w:val="20"/>
        </w:rPr>
        <w:lastRenderedPageBreak/>
        <w:t>TGA approved indication(s), if applicable</w:t>
      </w:r>
      <w:r>
        <w:rPr>
          <w:szCs w:val="20"/>
        </w:rPr>
        <w:t xml:space="preserve">:  </w:t>
      </w:r>
      <w:r w:rsidR="00193620">
        <w:t>Treatment of adult patients with neovascular (wet) age-related macular degeneration</w:t>
      </w:r>
    </w:p>
    <w:p w14:paraId="547E9F27" w14:textId="5D1109B0" w:rsidR="00C0796F"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11FA9FEA" w14:textId="26889B76" w:rsidR="00193620" w:rsidRPr="006B40AA" w:rsidRDefault="00193620" w:rsidP="00120204">
      <w:pPr>
        <w:ind w:firstLine="284"/>
        <w:rPr>
          <w:szCs w:val="20"/>
          <w:u w:val="single"/>
        </w:rPr>
      </w:pPr>
      <w:r w:rsidRPr="006B40AA">
        <w:rPr>
          <w:szCs w:val="20"/>
          <w:u w:val="single"/>
        </w:rPr>
        <w:t xml:space="preserve">Therapeutic good: Medical device, </w:t>
      </w:r>
      <w:r w:rsidR="002E18E9" w:rsidRPr="006B40AA">
        <w:rPr>
          <w:szCs w:val="20"/>
          <w:u w:val="single"/>
        </w:rPr>
        <w:t>Ocular i</w:t>
      </w:r>
      <w:r w:rsidRPr="006B40AA">
        <w:rPr>
          <w:szCs w:val="20"/>
          <w:u w:val="single"/>
        </w:rPr>
        <w:t>mplant</w:t>
      </w:r>
      <w:r w:rsidR="00720C9E">
        <w:rPr>
          <w:szCs w:val="20"/>
          <w:u w:val="single"/>
        </w:rPr>
        <w:t xml:space="preserve"> (and associated insertion tool assembly)</w:t>
      </w:r>
    </w:p>
    <w:p w14:paraId="18AC71A3" w14:textId="6DDBBC21" w:rsidR="000A110D" w:rsidRDefault="00193620" w:rsidP="000A110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20204">
        <w:rPr>
          <w:szCs w:val="20"/>
        </w:rPr>
      </w:r>
      <w:r w:rsidR="00120204">
        <w:rPr>
          <w:szCs w:val="20"/>
        </w:rPr>
        <w:fldChar w:fldCharType="separate"/>
      </w:r>
      <w:r>
        <w:rPr>
          <w:szCs w:val="20"/>
        </w:rPr>
        <w:fldChar w:fldCharType="end"/>
      </w:r>
      <w:r w:rsidR="000A110D">
        <w:rPr>
          <w:szCs w:val="20"/>
        </w:rPr>
        <w:t xml:space="preserve"> Yes (please provide details below)</w:t>
      </w:r>
    </w:p>
    <w:p w14:paraId="2A904538"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20204">
        <w:rPr>
          <w:szCs w:val="20"/>
        </w:rPr>
      </w:r>
      <w:r w:rsidR="00120204">
        <w:rPr>
          <w:szCs w:val="20"/>
        </w:rPr>
        <w:fldChar w:fldCharType="separate"/>
      </w:r>
      <w:r w:rsidRPr="000A5B32">
        <w:rPr>
          <w:szCs w:val="20"/>
        </w:rPr>
        <w:fldChar w:fldCharType="end"/>
      </w:r>
      <w:r>
        <w:rPr>
          <w:szCs w:val="20"/>
        </w:rPr>
        <w:t xml:space="preserve"> No</w:t>
      </w:r>
    </w:p>
    <w:p w14:paraId="7BBC485C" w14:textId="77777777" w:rsidR="000A110D" w:rsidRDefault="000A110D" w:rsidP="00971EDB">
      <w:pPr>
        <w:spacing w:before="0" w:after="0"/>
        <w:rPr>
          <w:szCs w:val="20"/>
        </w:rPr>
      </w:pPr>
    </w:p>
    <w:p w14:paraId="0130FB85" w14:textId="1BD0F37E" w:rsidR="00971EDB" w:rsidRPr="00971EDB" w:rsidRDefault="00971EDB" w:rsidP="00120204">
      <w:pPr>
        <w:spacing w:before="0" w:after="0"/>
        <w:ind w:left="284"/>
        <w:rPr>
          <w:szCs w:val="20"/>
        </w:rPr>
      </w:pPr>
      <w:r w:rsidRPr="00971EDB">
        <w:rPr>
          <w:szCs w:val="20"/>
        </w:rPr>
        <w:t>Estimated date of submission to TGA</w:t>
      </w:r>
      <w:r>
        <w:rPr>
          <w:szCs w:val="20"/>
        </w:rPr>
        <w:t xml:space="preserve">:  </w:t>
      </w:r>
      <w:r w:rsidR="002E18E9">
        <w:t>Q3 2021</w:t>
      </w:r>
    </w:p>
    <w:p w14:paraId="6166C3D8" w14:textId="6BC8CE8D" w:rsidR="00F83A9D" w:rsidRDefault="00971EDB" w:rsidP="00120204">
      <w:pPr>
        <w:spacing w:before="0" w:after="0"/>
        <w:ind w:left="284"/>
      </w:pPr>
      <w:r w:rsidRPr="00971EDB">
        <w:rPr>
          <w:szCs w:val="20"/>
        </w:rPr>
        <w:t>Proposed indication(s), if applicable</w:t>
      </w:r>
      <w:r>
        <w:rPr>
          <w:szCs w:val="20"/>
        </w:rPr>
        <w:t xml:space="preserve">:  </w:t>
      </w:r>
      <w:r w:rsidR="00F15237">
        <w:rPr>
          <w:szCs w:val="20"/>
        </w:rPr>
        <w:t>F</w:t>
      </w:r>
      <w:r w:rsidR="00F15237">
        <w:t xml:space="preserve">or use with </w:t>
      </w:r>
      <w:proofErr w:type="spellStart"/>
      <w:r w:rsidR="00F15237">
        <w:t>Susvimo</w:t>
      </w:r>
      <w:proofErr w:type="spellEnd"/>
      <w:r w:rsidR="00F15237">
        <w:t>® (ranibizumab 100 mg/mL) only for treatment of adult patients with neovascular (wet) age-rela</w:t>
      </w:r>
      <w:r w:rsidR="001B3422">
        <w:t>ted macular degeneration (</w:t>
      </w:r>
      <w:proofErr w:type="spellStart"/>
      <w:r w:rsidR="001B3422">
        <w:t>nAMD</w:t>
      </w:r>
      <w:proofErr w:type="spellEnd"/>
      <w:r w:rsidR="001B3422">
        <w:t>)</w:t>
      </w:r>
    </w:p>
    <w:p w14:paraId="11A8EFDC" w14:textId="77777777" w:rsidR="001B3422" w:rsidRPr="001B3422" w:rsidRDefault="001B3422" w:rsidP="001B3422">
      <w:pPr>
        <w:spacing w:before="0" w:after="0"/>
      </w:pPr>
    </w:p>
    <w:p w14:paraId="7D02A3F6" w14:textId="6FFBE630" w:rsidR="00720C9E" w:rsidRPr="006B40AA" w:rsidRDefault="00720C9E" w:rsidP="00120204">
      <w:pPr>
        <w:ind w:firstLine="284"/>
        <w:rPr>
          <w:szCs w:val="20"/>
          <w:u w:val="single"/>
        </w:rPr>
      </w:pPr>
      <w:r w:rsidRPr="006B40AA">
        <w:rPr>
          <w:szCs w:val="20"/>
          <w:u w:val="single"/>
        </w:rPr>
        <w:t xml:space="preserve">Therapeutic good: Medical device, </w:t>
      </w:r>
      <w:r>
        <w:rPr>
          <w:szCs w:val="20"/>
          <w:u w:val="single"/>
        </w:rPr>
        <w:t>Explant tool for ocular implant</w:t>
      </w:r>
    </w:p>
    <w:p w14:paraId="6959025C" w14:textId="77777777" w:rsidR="00720C9E" w:rsidRDefault="00720C9E" w:rsidP="00720C9E">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20204">
        <w:rPr>
          <w:szCs w:val="20"/>
        </w:rPr>
      </w:r>
      <w:r w:rsidR="00120204">
        <w:rPr>
          <w:szCs w:val="20"/>
        </w:rPr>
        <w:fldChar w:fldCharType="separate"/>
      </w:r>
      <w:r>
        <w:rPr>
          <w:szCs w:val="20"/>
        </w:rPr>
        <w:fldChar w:fldCharType="end"/>
      </w:r>
      <w:r>
        <w:rPr>
          <w:szCs w:val="20"/>
        </w:rPr>
        <w:t xml:space="preserve"> Yes (please provide details below)</w:t>
      </w:r>
    </w:p>
    <w:p w14:paraId="16BC7624" w14:textId="77777777" w:rsidR="00720C9E" w:rsidRDefault="00720C9E" w:rsidP="00720C9E">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20204">
        <w:rPr>
          <w:szCs w:val="20"/>
        </w:rPr>
      </w:r>
      <w:r w:rsidR="00120204">
        <w:rPr>
          <w:szCs w:val="20"/>
        </w:rPr>
        <w:fldChar w:fldCharType="separate"/>
      </w:r>
      <w:r w:rsidRPr="000A5B32">
        <w:rPr>
          <w:szCs w:val="20"/>
        </w:rPr>
        <w:fldChar w:fldCharType="end"/>
      </w:r>
      <w:r>
        <w:rPr>
          <w:szCs w:val="20"/>
        </w:rPr>
        <w:t xml:space="preserve"> No</w:t>
      </w:r>
    </w:p>
    <w:p w14:paraId="570CFA13" w14:textId="77777777" w:rsidR="00720C9E" w:rsidRDefault="00720C9E" w:rsidP="00720C9E">
      <w:pPr>
        <w:spacing w:before="0" w:after="0"/>
        <w:rPr>
          <w:szCs w:val="20"/>
        </w:rPr>
      </w:pPr>
    </w:p>
    <w:p w14:paraId="27E2912E" w14:textId="77777777" w:rsidR="00720C9E" w:rsidRPr="00971EDB" w:rsidRDefault="00720C9E" w:rsidP="00120204">
      <w:pPr>
        <w:spacing w:before="0" w:after="0"/>
        <w:ind w:left="284"/>
        <w:rPr>
          <w:szCs w:val="20"/>
        </w:rPr>
      </w:pPr>
      <w:r w:rsidRPr="00971EDB">
        <w:rPr>
          <w:szCs w:val="20"/>
        </w:rPr>
        <w:t>Estimated date of submission to TGA</w:t>
      </w:r>
      <w:r>
        <w:rPr>
          <w:szCs w:val="20"/>
        </w:rPr>
        <w:t xml:space="preserve">:  </w:t>
      </w:r>
      <w:r>
        <w:t>Q3 2021</w:t>
      </w:r>
    </w:p>
    <w:p w14:paraId="048E666A" w14:textId="65632B4E" w:rsidR="00F15237" w:rsidRDefault="00720C9E" w:rsidP="00120204">
      <w:pPr>
        <w:spacing w:before="0" w:after="0"/>
        <w:ind w:left="284"/>
      </w:pPr>
      <w:r w:rsidRPr="00971EDB">
        <w:rPr>
          <w:szCs w:val="20"/>
        </w:rPr>
        <w:t>Proposed indication(s), if applicable</w:t>
      </w:r>
      <w:r>
        <w:rPr>
          <w:szCs w:val="20"/>
        </w:rPr>
        <w:t xml:space="preserve">:  </w:t>
      </w:r>
      <w:r w:rsidR="00F15237">
        <w:rPr>
          <w:szCs w:val="20"/>
        </w:rPr>
        <w:t>F</w:t>
      </w:r>
      <w:r w:rsidR="00F15237">
        <w:t xml:space="preserve">or use for the removal of the implant for </w:t>
      </w:r>
      <w:proofErr w:type="spellStart"/>
      <w:r w:rsidR="00F15237">
        <w:t>Susvimo</w:t>
      </w:r>
      <w:proofErr w:type="spellEnd"/>
      <w:r w:rsidR="00F15237">
        <w:t>®</w:t>
      </w:r>
    </w:p>
    <w:p w14:paraId="2419B5E8" w14:textId="64B15E02" w:rsidR="00720C9E" w:rsidRPr="00971EDB" w:rsidRDefault="00720C9E" w:rsidP="00F15237">
      <w:pPr>
        <w:spacing w:before="0" w:after="0"/>
        <w:rPr>
          <w:szCs w:val="20"/>
        </w:rPr>
      </w:pPr>
    </w:p>
    <w:p w14:paraId="3E741B72" w14:textId="77777777" w:rsidR="00DD308E" w:rsidRDefault="00DD308E">
      <w:pPr>
        <w:rPr>
          <w:b/>
          <w:sz w:val="32"/>
          <w:szCs w:val="32"/>
        </w:rPr>
        <w:sectPr w:rsidR="00DD308E" w:rsidSect="00120204">
          <w:footerReference w:type="default" r:id="rId11"/>
          <w:pgSz w:w="11906" w:h="16838"/>
          <w:pgMar w:top="1440" w:right="1440" w:bottom="1418" w:left="1440" w:header="708" w:footer="708" w:gutter="0"/>
          <w:pgNumType w:start="0"/>
          <w:cols w:space="708"/>
          <w:titlePg/>
          <w:docGrid w:linePitch="360"/>
        </w:sectPr>
      </w:pPr>
    </w:p>
    <w:p w14:paraId="074DC66D"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4DC1E730"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ook w:val="04A0" w:firstRow="1" w:lastRow="0" w:firstColumn="1" w:lastColumn="0" w:noHBand="0" w:noVBand="1"/>
        <w:tblCaption w:val="Summary of Evidence - Published"/>
      </w:tblPr>
      <w:tblGrid>
        <w:gridCol w:w="421"/>
        <w:gridCol w:w="1986"/>
        <w:gridCol w:w="2692"/>
        <w:gridCol w:w="5532"/>
        <w:gridCol w:w="1699"/>
        <w:gridCol w:w="1618"/>
      </w:tblGrid>
      <w:tr w:rsidR="00DD308E" w14:paraId="019D1B45" w14:textId="77777777" w:rsidTr="00E20952">
        <w:trPr>
          <w:cantSplit/>
          <w:tblHeader/>
        </w:trPr>
        <w:tc>
          <w:tcPr>
            <w:tcW w:w="151" w:type="pct"/>
          </w:tcPr>
          <w:p w14:paraId="22CF00FE" w14:textId="77777777" w:rsidR="00DD308E" w:rsidRDefault="00DD308E" w:rsidP="00E01112">
            <w:pPr>
              <w:pStyle w:val="TableHEADER"/>
              <w:spacing w:before="0" w:after="0"/>
            </w:pPr>
          </w:p>
        </w:tc>
        <w:tc>
          <w:tcPr>
            <w:tcW w:w="712" w:type="pct"/>
          </w:tcPr>
          <w:p w14:paraId="7A65E0F8" w14:textId="77777777" w:rsidR="00DD308E" w:rsidRDefault="00DD308E" w:rsidP="00E01112">
            <w:pPr>
              <w:pStyle w:val="TableHEADER"/>
              <w:spacing w:before="0" w:after="0"/>
            </w:pPr>
            <w:r>
              <w:t>Type of study design*</w:t>
            </w:r>
          </w:p>
        </w:tc>
        <w:tc>
          <w:tcPr>
            <w:tcW w:w="965" w:type="pct"/>
          </w:tcPr>
          <w:p w14:paraId="31747BFC" w14:textId="77777777" w:rsidR="00DD308E" w:rsidRDefault="00DD308E" w:rsidP="00E01112">
            <w:pPr>
              <w:pStyle w:val="TableHEADER"/>
              <w:spacing w:before="0" w:after="0"/>
            </w:pPr>
            <w:r>
              <w:t>Title of journal article  or research project (including any trial identifier or study lead if relevant)</w:t>
            </w:r>
          </w:p>
        </w:tc>
        <w:tc>
          <w:tcPr>
            <w:tcW w:w="1983" w:type="pct"/>
          </w:tcPr>
          <w:p w14:paraId="5CC54FFB" w14:textId="77777777" w:rsidR="00DD308E" w:rsidRDefault="00DD308E" w:rsidP="00E01112">
            <w:pPr>
              <w:pStyle w:val="TableHEADER"/>
              <w:spacing w:before="0" w:after="0"/>
            </w:pPr>
            <w:r>
              <w:t>Short description of research  (max 50 words)**</w:t>
            </w:r>
          </w:p>
        </w:tc>
        <w:tc>
          <w:tcPr>
            <w:tcW w:w="609" w:type="pct"/>
          </w:tcPr>
          <w:p w14:paraId="189A3D6F" w14:textId="77777777" w:rsidR="00DD308E" w:rsidRDefault="00DD308E" w:rsidP="00E01112">
            <w:pPr>
              <w:pStyle w:val="TableHEADER"/>
              <w:spacing w:before="0" w:after="0"/>
            </w:pPr>
            <w:r w:rsidRPr="00E82F54">
              <w:t xml:space="preserve">Website link to </w:t>
            </w:r>
            <w:r>
              <w:t>journal article or research (if available)</w:t>
            </w:r>
          </w:p>
        </w:tc>
        <w:tc>
          <w:tcPr>
            <w:tcW w:w="580" w:type="pct"/>
          </w:tcPr>
          <w:p w14:paraId="7033785A" w14:textId="77777777" w:rsidR="00DD308E" w:rsidRDefault="00DD308E" w:rsidP="00E01112">
            <w:pPr>
              <w:pStyle w:val="TableHEADER"/>
              <w:spacing w:before="0" w:after="0"/>
            </w:pPr>
            <w:r w:rsidRPr="00E82F54">
              <w:t>Date</w:t>
            </w:r>
            <w:r>
              <w:t xml:space="preserve"> of publication</w:t>
            </w:r>
            <w:r w:rsidRPr="00E82F54">
              <w:t>*</w:t>
            </w:r>
            <w:r>
              <w:t>**</w:t>
            </w:r>
          </w:p>
        </w:tc>
      </w:tr>
      <w:tr w:rsidR="00831B9D" w14:paraId="22C09CA3" w14:textId="77777777" w:rsidTr="00831B9D">
        <w:trPr>
          <w:cantSplit/>
          <w:tblHeader/>
        </w:trPr>
        <w:tc>
          <w:tcPr>
            <w:tcW w:w="5000" w:type="pct"/>
            <w:gridSpan w:val="6"/>
            <w:shd w:val="clear" w:color="auto" w:fill="D9D9D9" w:themeFill="background1" w:themeFillShade="D9"/>
          </w:tcPr>
          <w:p w14:paraId="18F24EAA" w14:textId="2FB52519" w:rsidR="00831B9D" w:rsidRPr="00E82F54" w:rsidRDefault="00831B9D" w:rsidP="00E01112">
            <w:pPr>
              <w:pStyle w:val="TableHEADER"/>
              <w:spacing w:before="0" w:after="0"/>
            </w:pPr>
            <w:r>
              <w:t>Primary evidence</w:t>
            </w:r>
            <w:r w:rsidR="00E01112">
              <w:t>^</w:t>
            </w:r>
          </w:p>
        </w:tc>
      </w:tr>
      <w:tr w:rsidR="00DD308E" w14:paraId="710D65CD" w14:textId="77777777" w:rsidTr="00E20952">
        <w:trPr>
          <w:cantSplit/>
        </w:trPr>
        <w:tc>
          <w:tcPr>
            <w:tcW w:w="151" w:type="pct"/>
          </w:tcPr>
          <w:p w14:paraId="032BE23D" w14:textId="77777777" w:rsidR="00DD308E" w:rsidRPr="00965B6B" w:rsidRDefault="00DD308E" w:rsidP="00E01112">
            <w:pPr>
              <w:spacing w:before="0" w:after="0"/>
              <w:rPr>
                <w:szCs w:val="20"/>
              </w:rPr>
            </w:pPr>
            <w:r w:rsidRPr="00965B6B">
              <w:rPr>
                <w:szCs w:val="20"/>
              </w:rPr>
              <w:t>1</w:t>
            </w:r>
            <w:r>
              <w:rPr>
                <w:szCs w:val="20"/>
              </w:rPr>
              <w:t>.</w:t>
            </w:r>
          </w:p>
        </w:tc>
        <w:tc>
          <w:tcPr>
            <w:tcW w:w="712" w:type="pct"/>
          </w:tcPr>
          <w:p w14:paraId="4592EC2B" w14:textId="0C429B8E" w:rsidR="00DD308E" w:rsidRDefault="00045EB9" w:rsidP="00E01112">
            <w:pPr>
              <w:spacing w:before="0" w:after="0"/>
              <w:rPr>
                <w:b/>
                <w:szCs w:val="20"/>
              </w:rPr>
            </w:pPr>
            <w:r w:rsidRPr="00045EB9">
              <w:t xml:space="preserve">Phase </w:t>
            </w:r>
            <w:r w:rsidR="00E01112">
              <w:t>3</w:t>
            </w:r>
            <w:r w:rsidRPr="00045EB9">
              <w:t>, randomi</w:t>
            </w:r>
            <w:r w:rsidR="00F27E28">
              <w:t>sed, multicentre</w:t>
            </w:r>
            <w:r w:rsidRPr="00045EB9">
              <w:t>, open-label (visual assessor [VA]-masked), active-comparator study</w:t>
            </w:r>
          </w:p>
        </w:tc>
        <w:tc>
          <w:tcPr>
            <w:tcW w:w="965" w:type="pct"/>
          </w:tcPr>
          <w:p w14:paraId="0EDCE5D6" w14:textId="52D45BE3" w:rsidR="002E1B61" w:rsidRPr="002E1B61" w:rsidRDefault="002E1B61" w:rsidP="00E01112">
            <w:pPr>
              <w:spacing w:before="0" w:after="0"/>
              <w:rPr>
                <w:u w:val="single"/>
              </w:rPr>
            </w:pPr>
            <w:r w:rsidRPr="002E1B61">
              <w:rPr>
                <w:u w:val="single"/>
              </w:rPr>
              <w:t>Archway</w:t>
            </w:r>
          </w:p>
          <w:p w14:paraId="341A565E" w14:textId="6994DC86" w:rsidR="00DD308E" w:rsidRDefault="00753AD6" w:rsidP="00E01112">
            <w:pPr>
              <w:spacing w:before="0" w:after="0"/>
              <w:rPr>
                <w:vertAlign w:val="superscript"/>
              </w:rPr>
            </w:pPr>
            <w:r w:rsidRPr="00753AD6">
              <w:t>Primary Analysis Results of the Phase 3</w:t>
            </w:r>
            <w:r>
              <w:t xml:space="preserve"> </w:t>
            </w:r>
            <w:r w:rsidRPr="00753AD6">
              <w:t>Archway Trial of the Port Delivery System</w:t>
            </w:r>
            <w:r>
              <w:t xml:space="preserve"> </w:t>
            </w:r>
            <w:r w:rsidRPr="00753AD6">
              <w:t>With Ranibizumab for Patients With</w:t>
            </w:r>
            <w:r>
              <w:t xml:space="preserve"> </w:t>
            </w:r>
            <w:r w:rsidRPr="00753AD6">
              <w:t>Neovascular AMD</w:t>
            </w:r>
            <w:r w:rsidR="00927733" w:rsidRPr="00927733">
              <w:rPr>
                <w:vertAlign w:val="superscript"/>
              </w:rPr>
              <w:t>^</w:t>
            </w:r>
          </w:p>
          <w:p w14:paraId="307B00D4" w14:textId="59B5A33E" w:rsidR="00831B9D" w:rsidRPr="00831B9D" w:rsidRDefault="00120204" w:rsidP="00E01112">
            <w:pPr>
              <w:spacing w:before="0" w:after="0"/>
              <w:rPr>
                <w:color w:val="0000FF" w:themeColor="hyperlink"/>
                <w:u w:val="single"/>
              </w:rPr>
            </w:pPr>
            <w:hyperlink r:id="rId12" w:history="1">
              <w:r w:rsidR="00831B9D" w:rsidRPr="00C8131B">
                <w:rPr>
                  <w:rStyle w:val="Hyperlink"/>
                </w:rPr>
                <w:t>NCT03677934</w:t>
              </w:r>
            </w:hyperlink>
          </w:p>
        </w:tc>
        <w:tc>
          <w:tcPr>
            <w:tcW w:w="1983" w:type="pct"/>
          </w:tcPr>
          <w:p w14:paraId="486F3718" w14:textId="4192EAB0" w:rsidR="00DD308E" w:rsidRDefault="00753AD6" w:rsidP="00E01112">
            <w:pPr>
              <w:spacing w:before="0" w:after="0"/>
            </w:pPr>
            <w:r w:rsidRPr="00753AD6">
              <w:t>Assess the efficacy</w:t>
            </w:r>
            <w:r w:rsidR="00CB5308">
              <w:t xml:space="preserve">, safety, and pharmacokinetics </w:t>
            </w:r>
            <w:r w:rsidRPr="00753AD6">
              <w:t xml:space="preserve">of 100mg/ml delivered via the PDS compared with ranibizumab intravitreal injections at 0.5 mg (10 mg/mL) in participants with </w:t>
            </w:r>
            <w:proofErr w:type="spellStart"/>
            <w:r>
              <w:t>nAMD</w:t>
            </w:r>
            <w:proofErr w:type="spellEnd"/>
          </w:p>
          <w:p w14:paraId="3C424585" w14:textId="77777777" w:rsidR="00E01112" w:rsidRDefault="00E01112" w:rsidP="00E01112">
            <w:pPr>
              <w:spacing w:before="0" w:after="0"/>
            </w:pPr>
          </w:p>
          <w:p w14:paraId="79DB9004" w14:textId="701E4778" w:rsidR="00F7770E" w:rsidRDefault="00F7770E" w:rsidP="00E01112">
            <w:pPr>
              <w:spacing w:before="0" w:after="0"/>
              <w:rPr>
                <w:b/>
                <w:szCs w:val="20"/>
              </w:rPr>
            </w:pPr>
            <w:r>
              <w:t xml:space="preserve">The primary efficacy objective was to evaluate non-inferiority and equivalence of ranibizumab delivered via the PDS every 24 weeks compared with that of intravitreal </w:t>
            </w:r>
            <w:r w:rsidR="00831B9D">
              <w:t xml:space="preserve">ranibizumab </w:t>
            </w:r>
            <w:r>
              <w:t>injections delivered every 4 weeks.</w:t>
            </w:r>
          </w:p>
        </w:tc>
        <w:tc>
          <w:tcPr>
            <w:tcW w:w="609" w:type="pct"/>
          </w:tcPr>
          <w:p w14:paraId="26607226" w14:textId="568C65D1" w:rsidR="00981FEF" w:rsidRDefault="00120204" w:rsidP="00E01112">
            <w:pPr>
              <w:spacing w:before="0" w:after="0"/>
            </w:pPr>
            <w:hyperlink r:id="rId13" w:history="1">
              <w:r w:rsidR="00C8131B" w:rsidRPr="00C8131B">
                <w:rPr>
                  <w:rStyle w:val="Hyperlink"/>
                </w:rPr>
                <w:t>Media release</w:t>
              </w:r>
            </w:hyperlink>
          </w:p>
          <w:p w14:paraId="5344B5C3" w14:textId="77777777" w:rsidR="004C469A" w:rsidRDefault="004C469A" w:rsidP="00E01112">
            <w:pPr>
              <w:spacing w:before="0" w:after="0"/>
            </w:pPr>
          </w:p>
          <w:p w14:paraId="7730E2D5" w14:textId="28FB7F05" w:rsidR="00753AD6" w:rsidRPr="00E82F54" w:rsidRDefault="00120204" w:rsidP="00E01112">
            <w:pPr>
              <w:spacing w:before="0" w:after="0"/>
              <w:rPr>
                <w:b/>
                <w:szCs w:val="20"/>
              </w:rPr>
            </w:pPr>
            <w:hyperlink r:id="rId14" w:history="1">
              <w:r w:rsidR="00753AD6" w:rsidRPr="00753AD6">
                <w:rPr>
                  <w:rStyle w:val="Hyperlink"/>
                </w:rPr>
                <w:t>Retina Society 2020 Presentation</w:t>
              </w:r>
            </w:hyperlink>
          </w:p>
        </w:tc>
        <w:tc>
          <w:tcPr>
            <w:tcW w:w="580" w:type="pct"/>
          </w:tcPr>
          <w:p w14:paraId="297B0F79" w14:textId="599DCEA9" w:rsidR="00DD308E" w:rsidRPr="00CB5308" w:rsidRDefault="00CB5308" w:rsidP="00E01112">
            <w:pPr>
              <w:spacing w:before="0" w:after="0"/>
              <w:rPr>
                <w:szCs w:val="20"/>
              </w:rPr>
            </w:pPr>
            <w:r w:rsidRPr="00CB5308">
              <w:rPr>
                <w:szCs w:val="20"/>
              </w:rPr>
              <w:t>22 July 2020</w:t>
            </w:r>
          </w:p>
        </w:tc>
      </w:tr>
      <w:tr w:rsidR="00E01112" w14:paraId="61F1D90D" w14:textId="77777777" w:rsidTr="002A0F2A">
        <w:trPr>
          <w:cantSplit/>
          <w:tblHeader/>
        </w:trPr>
        <w:tc>
          <w:tcPr>
            <w:tcW w:w="5000" w:type="pct"/>
            <w:gridSpan w:val="6"/>
            <w:shd w:val="clear" w:color="auto" w:fill="D9D9D9" w:themeFill="background1" w:themeFillShade="D9"/>
          </w:tcPr>
          <w:p w14:paraId="5DD22567" w14:textId="7FECB492" w:rsidR="00E01112" w:rsidRPr="00E82F54" w:rsidRDefault="00E01112" w:rsidP="00E01112">
            <w:pPr>
              <w:pStyle w:val="TableHEADER"/>
              <w:spacing w:before="0" w:after="0"/>
            </w:pPr>
            <w:r>
              <w:t>Additional evidence</w:t>
            </w:r>
          </w:p>
        </w:tc>
      </w:tr>
      <w:tr w:rsidR="00C8131B" w14:paraId="3F4D0F54" w14:textId="77777777" w:rsidTr="00E20952">
        <w:trPr>
          <w:cantSplit/>
        </w:trPr>
        <w:tc>
          <w:tcPr>
            <w:tcW w:w="151" w:type="pct"/>
          </w:tcPr>
          <w:p w14:paraId="2A07694D" w14:textId="77777777" w:rsidR="00C8131B" w:rsidRPr="00965B6B" w:rsidRDefault="00C8131B" w:rsidP="00E01112">
            <w:pPr>
              <w:spacing w:before="0" w:after="0"/>
              <w:rPr>
                <w:szCs w:val="20"/>
              </w:rPr>
            </w:pPr>
            <w:r>
              <w:rPr>
                <w:szCs w:val="20"/>
              </w:rPr>
              <w:lastRenderedPageBreak/>
              <w:t>2.</w:t>
            </w:r>
          </w:p>
        </w:tc>
        <w:tc>
          <w:tcPr>
            <w:tcW w:w="712" w:type="pct"/>
          </w:tcPr>
          <w:p w14:paraId="795F8450" w14:textId="50A77A0E" w:rsidR="00C8131B" w:rsidRDefault="00C8131B" w:rsidP="00E01112">
            <w:pPr>
              <w:spacing w:before="0" w:after="0"/>
              <w:rPr>
                <w:b/>
                <w:szCs w:val="20"/>
              </w:rPr>
            </w:pPr>
            <w:r>
              <w:t>Phase 2, randomis</w:t>
            </w:r>
            <w:r w:rsidRPr="00D84C58">
              <w:t>ed,</w:t>
            </w:r>
            <w:r w:rsidR="00E01112">
              <w:t xml:space="preserve"> multicentre,</w:t>
            </w:r>
            <w:r w:rsidRPr="00D84C58">
              <w:t xml:space="preserve"> active treatment–controlled clinical trial.</w:t>
            </w:r>
          </w:p>
        </w:tc>
        <w:tc>
          <w:tcPr>
            <w:tcW w:w="965" w:type="pct"/>
          </w:tcPr>
          <w:p w14:paraId="655AC10B" w14:textId="08E76234" w:rsidR="002E1B61" w:rsidRPr="002E1B61" w:rsidRDefault="002E1B61" w:rsidP="00E01112">
            <w:pPr>
              <w:spacing w:before="0" w:after="0"/>
              <w:rPr>
                <w:u w:val="single"/>
              </w:rPr>
            </w:pPr>
            <w:r w:rsidRPr="002E1B61">
              <w:rPr>
                <w:u w:val="single"/>
              </w:rPr>
              <w:t>Ladder</w:t>
            </w:r>
          </w:p>
          <w:p w14:paraId="352519FC" w14:textId="77777777" w:rsidR="00C0268A" w:rsidRDefault="00C8131B" w:rsidP="00C0268A">
            <w:pPr>
              <w:spacing w:before="0" w:after="0"/>
            </w:pPr>
            <w:r w:rsidRPr="00D84C58">
              <w:t>The Port Delivery System with Ranibizumab for Neovascular Age-Related Macular Degeneration</w:t>
            </w:r>
            <w:r w:rsidR="00C0268A">
              <w:t xml:space="preserve"> </w:t>
            </w:r>
          </w:p>
          <w:p w14:paraId="6063ECFE" w14:textId="66ED355D" w:rsidR="00831B9D" w:rsidRDefault="00120204" w:rsidP="00C0268A">
            <w:pPr>
              <w:spacing w:before="0" w:after="0"/>
              <w:rPr>
                <w:b/>
                <w:szCs w:val="20"/>
              </w:rPr>
            </w:pPr>
            <w:hyperlink r:id="rId15" w:history="1">
              <w:r w:rsidR="00831B9D" w:rsidRPr="00981FEF">
                <w:rPr>
                  <w:rStyle w:val="Hyperlink"/>
                </w:rPr>
                <w:t>NCT02510794</w:t>
              </w:r>
            </w:hyperlink>
          </w:p>
        </w:tc>
        <w:tc>
          <w:tcPr>
            <w:tcW w:w="1983" w:type="pct"/>
          </w:tcPr>
          <w:p w14:paraId="7487B6E5" w14:textId="4A46E329" w:rsidR="00C8131B" w:rsidRDefault="00C8131B" w:rsidP="00E01112">
            <w:pPr>
              <w:spacing w:before="0" w:after="0"/>
              <w:rPr>
                <w:b/>
                <w:szCs w:val="20"/>
              </w:rPr>
            </w:pPr>
            <w:r>
              <w:t>E</w:t>
            </w:r>
            <w:r w:rsidRPr="00D84C58">
              <w:t xml:space="preserve">valuate the safety and efficacy of the Port Delivery System with ranibizumab (PDS) for </w:t>
            </w:r>
            <w:proofErr w:type="spellStart"/>
            <w:r w:rsidRPr="00D84C58">
              <w:t>nAMD</w:t>
            </w:r>
            <w:proofErr w:type="spellEnd"/>
            <w:r w:rsidR="00927733">
              <w:t xml:space="preserve"> treatment</w:t>
            </w:r>
          </w:p>
        </w:tc>
        <w:tc>
          <w:tcPr>
            <w:tcW w:w="609" w:type="pct"/>
          </w:tcPr>
          <w:p w14:paraId="2BACD8BD" w14:textId="3957C089" w:rsidR="00FD7FCB" w:rsidRDefault="00120204" w:rsidP="00E01112">
            <w:pPr>
              <w:spacing w:before="0" w:after="0"/>
              <w:rPr>
                <w:rStyle w:val="Hyperlink"/>
              </w:rPr>
            </w:pPr>
            <w:hyperlink r:id="rId16" w:history="1">
              <w:r w:rsidR="00C8131B" w:rsidRPr="00D84C58">
                <w:rPr>
                  <w:rStyle w:val="Hyperlink"/>
                </w:rPr>
                <w:t>Publicatio</w:t>
              </w:r>
              <w:r w:rsidR="00FD7FCB">
                <w:rPr>
                  <w:rStyle w:val="Hyperlink"/>
                </w:rPr>
                <w:t>n (Primary Analysis)</w:t>
              </w:r>
            </w:hyperlink>
            <w:r w:rsidR="00FD7FCB">
              <w:rPr>
                <w:rStyle w:val="Hyperlink"/>
              </w:rPr>
              <w:t xml:space="preserve"> </w:t>
            </w:r>
          </w:p>
          <w:p w14:paraId="768218EA" w14:textId="77777777" w:rsidR="00FD7FCB" w:rsidRPr="00FD7FCB" w:rsidRDefault="00FD7FCB" w:rsidP="00E01112">
            <w:pPr>
              <w:spacing w:before="0" w:after="0"/>
              <w:rPr>
                <w:color w:val="0000FF" w:themeColor="hyperlink"/>
                <w:u w:val="single"/>
              </w:rPr>
            </w:pPr>
          </w:p>
          <w:p w14:paraId="15805B3E" w14:textId="1504F324" w:rsidR="00C8131B" w:rsidRPr="00C0268A" w:rsidRDefault="00120204" w:rsidP="00E01112">
            <w:pPr>
              <w:spacing w:before="0" w:after="0"/>
            </w:pPr>
            <w:hyperlink r:id="rId17" w:history="1">
              <w:r w:rsidR="00C8131B" w:rsidRPr="00D84C58">
                <w:rPr>
                  <w:rStyle w:val="Hyperlink"/>
                </w:rPr>
                <w:t>Publication (End of Study Results)</w:t>
              </w:r>
            </w:hyperlink>
          </w:p>
        </w:tc>
        <w:tc>
          <w:tcPr>
            <w:tcW w:w="580" w:type="pct"/>
          </w:tcPr>
          <w:p w14:paraId="78390A4C" w14:textId="58B1C3D7" w:rsidR="00C8131B" w:rsidRPr="00E82F54" w:rsidRDefault="00C8131B" w:rsidP="00E01112">
            <w:pPr>
              <w:spacing w:before="0" w:after="0"/>
              <w:rPr>
                <w:b/>
                <w:szCs w:val="20"/>
              </w:rPr>
            </w:pPr>
            <w:r>
              <w:t>1 April 2019</w:t>
            </w:r>
          </w:p>
        </w:tc>
      </w:tr>
      <w:tr w:rsidR="00C8131B" w14:paraId="796E1D71" w14:textId="77777777" w:rsidTr="00E20952">
        <w:trPr>
          <w:cantSplit/>
        </w:trPr>
        <w:tc>
          <w:tcPr>
            <w:tcW w:w="151" w:type="pct"/>
          </w:tcPr>
          <w:p w14:paraId="0A51DDF7" w14:textId="77777777" w:rsidR="00C8131B" w:rsidRPr="00965B6B" w:rsidRDefault="00C8131B" w:rsidP="00E01112">
            <w:pPr>
              <w:spacing w:before="0" w:after="0"/>
              <w:rPr>
                <w:szCs w:val="20"/>
              </w:rPr>
            </w:pPr>
            <w:r>
              <w:rPr>
                <w:szCs w:val="20"/>
              </w:rPr>
              <w:t>3.</w:t>
            </w:r>
          </w:p>
        </w:tc>
        <w:tc>
          <w:tcPr>
            <w:tcW w:w="712" w:type="pct"/>
          </w:tcPr>
          <w:p w14:paraId="01BCF50C" w14:textId="36B30604" w:rsidR="00C8131B" w:rsidRDefault="00C8131B" w:rsidP="00E01112">
            <w:pPr>
              <w:spacing w:before="0" w:after="0"/>
              <w:rPr>
                <w:b/>
                <w:szCs w:val="20"/>
              </w:rPr>
            </w:pPr>
            <w:r>
              <w:t>P</w:t>
            </w:r>
            <w:r w:rsidRPr="00D84C58">
              <w:t xml:space="preserve">rospective, open-label, </w:t>
            </w:r>
            <w:r>
              <w:t>P</w:t>
            </w:r>
            <w:r w:rsidRPr="00D84C58">
              <w:t xml:space="preserve">hase 1 </w:t>
            </w:r>
            <w:r>
              <w:t>single centre study</w:t>
            </w:r>
          </w:p>
        </w:tc>
        <w:tc>
          <w:tcPr>
            <w:tcW w:w="965" w:type="pct"/>
          </w:tcPr>
          <w:p w14:paraId="49117632" w14:textId="0CFAAB69" w:rsidR="00C8131B" w:rsidRDefault="00C8131B" w:rsidP="00E01112">
            <w:pPr>
              <w:spacing w:before="0" w:after="0"/>
              <w:rPr>
                <w:b/>
                <w:szCs w:val="20"/>
              </w:rPr>
            </w:pPr>
            <w:r w:rsidRPr="00981FEF">
              <w:t>Phase 1 Clinical Study of the Port Delivery System with ranibizumab for continuous treatment of neovascular age-related macular degeneration</w:t>
            </w:r>
          </w:p>
        </w:tc>
        <w:tc>
          <w:tcPr>
            <w:tcW w:w="1983" w:type="pct"/>
          </w:tcPr>
          <w:p w14:paraId="3DF035C8" w14:textId="1253B615" w:rsidR="00C8131B" w:rsidRDefault="00C8131B" w:rsidP="00E01112">
            <w:pPr>
              <w:spacing w:before="0" w:after="0"/>
              <w:rPr>
                <w:b/>
                <w:szCs w:val="20"/>
              </w:rPr>
            </w:pPr>
            <w:r>
              <w:t>E</w:t>
            </w:r>
            <w:r w:rsidRPr="00D84C58">
              <w:t xml:space="preserve">valuate </w:t>
            </w:r>
            <w:r>
              <w:t xml:space="preserve">the </w:t>
            </w:r>
            <w:r w:rsidRPr="00D84C58">
              <w:t xml:space="preserve">safety, clinical benefit, pharmacokinetics (PK), and integrity of the PDS in treatment-naïve patients with </w:t>
            </w:r>
            <w:proofErr w:type="spellStart"/>
            <w:r w:rsidRPr="00D84C58">
              <w:t>nAMD</w:t>
            </w:r>
            <w:proofErr w:type="spellEnd"/>
          </w:p>
        </w:tc>
        <w:tc>
          <w:tcPr>
            <w:tcW w:w="609" w:type="pct"/>
          </w:tcPr>
          <w:p w14:paraId="434C0D6D" w14:textId="04C86701" w:rsidR="00C8131B" w:rsidRPr="00E82F54" w:rsidRDefault="00120204" w:rsidP="00E01112">
            <w:pPr>
              <w:spacing w:before="0" w:after="0"/>
              <w:rPr>
                <w:b/>
                <w:szCs w:val="20"/>
              </w:rPr>
            </w:pPr>
            <w:hyperlink r:id="rId18" w:history="1">
              <w:r w:rsidR="00C8131B" w:rsidRPr="00D84C58">
                <w:rPr>
                  <w:rStyle w:val="Hyperlink"/>
                </w:rPr>
                <w:t>Abstract</w:t>
              </w:r>
            </w:hyperlink>
          </w:p>
        </w:tc>
        <w:tc>
          <w:tcPr>
            <w:tcW w:w="580" w:type="pct"/>
          </w:tcPr>
          <w:p w14:paraId="57ABEB48" w14:textId="17244571" w:rsidR="00C8131B" w:rsidRPr="00E82F54" w:rsidRDefault="00C8131B" w:rsidP="00E01112">
            <w:pPr>
              <w:spacing w:before="0" w:after="0"/>
              <w:rPr>
                <w:b/>
                <w:szCs w:val="20"/>
              </w:rPr>
            </w:pPr>
            <w:r>
              <w:t>June 2020</w:t>
            </w:r>
          </w:p>
        </w:tc>
      </w:tr>
    </w:tbl>
    <w:p w14:paraId="6F73D12F" w14:textId="77777777" w:rsidR="00DD308E" w:rsidRPr="00927733" w:rsidRDefault="00DD308E" w:rsidP="00927733">
      <w:pPr>
        <w:spacing w:before="0" w:after="0"/>
        <w:ind w:left="426"/>
        <w:rPr>
          <w:i/>
          <w:sz w:val="14"/>
          <w:szCs w:val="20"/>
        </w:rPr>
      </w:pPr>
      <w:r w:rsidRPr="00927733">
        <w:rPr>
          <w:i/>
          <w:sz w:val="14"/>
          <w:szCs w:val="20"/>
        </w:rPr>
        <w:t xml:space="preserve">* Categorise study design, for example meta-analysis, randomised trials, non-randomised trial or observational study, study of diagnostic accuracy, etc. </w:t>
      </w:r>
    </w:p>
    <w:p w14:paraId="492CE372" w14:textId="77777777" w:rsidR="00DD308E" w:rsidRPr="00927733" w:rsidRDefault="00DD308E" w:rsidP="00927733">
      <w:pPr>
        <w:spacing w:before="0" w:after="0"/>
        <w:ind w:left="426"/>
        <w:rPr>
          <w:i/>
          <w:sz w:val="14"/>
          <w:szCs w:val="20"/>
        </w:rPr>
      </w:pPr>
      <w:r w:rsidRPr="00927733">
        <w:rPr>
          <w:i/>
          <w:sz w:val="14"/>
          <w:szCs w:val="20"/>
        </w:rPr>
        <w:t>**Provide high level information including population numbers and whether patients are being recruited or in post-recruitment, including providing the trial registration number to allow for tracking purposes.</w:t>
      </w:r>
    </w:p>
    <w:p w14:paraId="5A1E717E" w14:textId="5B40E92F" w:rsidR="00DD308E" w:rsidRDefault="00DD308E" w:rsidP="00927733">
      <w:pPr>
        <w:spacing w:before="0" w:after="0"/>
        <w:ind w:left="426"/>
        <w:rPr>
          <w:i/>
          <w:sz w:val="14"/>
          <w:szCs w:val="20"/>
        </w:rPr>
      </w:pPr>
      <w:r w:rsidRPr="00927733">
        <w:rPr>
          <w:i/>
          <w:sz w:val="14"/>
          <w:szCs w:val="20"/>
        </w:rPr>
        <w:t>*</w:t>
      </w:r>
      <w:r w:rsidRPr="00927733">
        <w:rPr>
          <w:sz w:val="14"/>
          <w:szCs w:val="20"/>
        </w:rPr>
        <w:t>**</w:t>
      </w:r>
      <w:r w:rsidRPr="00927733">
        <w:rPr>
          <w:i/>
          <w:sz w:val="14"/>
          <w:szCs w:val="20"/>
        </w:rPr>
        <w:t xml:space="preserve"> If the publication is a follow-up to an initial publication, please advise.</w:t>
      </w:r>
    </w:p>
    <w:p w14:paraId="35F1DE82" w14:textId="7C7E3278" w:rsidR="00DD308E" w:rsidRPr="00927733" w:rsidRDefault="00927733" w:rsidP="00927733">
      <w:pPr>
        <w:spacing w:before="0" w:after="0"/>
        <w:ind w:left="426"/>
        <w:rPr>
          <w:i/>
          <w:sz w:val="14"/>
          <w:szCs w:val="20"/>
        </w:rPr>
        <w:sectPr w:rsidR="00DD308E" w:rsidRPr="00927733" w:rsidSect="00DD308E">
          <w:pgSz w:w="16838" w:h="11906" w:orient="landscape"/>
          <w:pgMar w:top="1440" w:right="1440" w:bottom="1440" w:left="1440" w:header="708" w:footer="708" w:gutter="0"/>
          <w:cols w:space="708"/>
          <w:docGrid w:linePitch="360"/>
        </w:sectPr>
      </w:pPr>
      <w:r w:rsidRPr="00927733">
        <w:rPr>
          <w:i/>
          <w:sz w:val="14"/>
          <w:szCs w:val="20"/>
        </w:rPr>
        <w:t>^</w:t>
      </w:r>
      <w:r>
        <w:rPr>
          <w:i/>
          <w:sz w:val="14"/>
          <w:szCs w:val="20"/>
        </w:rPr>
        <w:t xml:space="preserve">NB: Key registration trial; </w:t>
      </w:r>
      <w:r w:rsidR="00F7770E">
        <w:rPr>
          <w:i/>
          <w:sz w:val="14"/>
          <w:szCs w:val="20"/>
        </w:rPr>
        <w:t>Product Information dosing and administration is consistent with the Phase 3 trial</w:t>
      </w:r>
    </w:p>
    <w:p w14:paraId="1AF2014A" w14:textId="77777777"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416"/>
        <w:gridCol w:w="1986"/>
        <w:gridCol w:w="2703"/>
        <w:gridCol w:w="5529"/>
        <w:gridCol w:w="1693"/>
        <w:gridCol w:w="1621"/>
      </w:tblGrid>
      <w:tr w:rsidR="004C49EF" w14:paraId="53D9156B" w14:textId="77777777" w:rsidTr="00E20952">
        <w:trPr>
          <w:cantSplit/>
          <w:tblHeader/>
        </w:trPr>
        <w:tc>
          <w:tcPr>
            <w:tcW w:w="149" w:type="pct"/>
          </w:tcPr>
          <w:p w14:paraId="5128221D" w14:textId="77777777" w:rsidR="004C49EF" w:rsidRDefault="004C49EF" w:rsidP="00855944">
            <w:pPr>
              <w:pStyle w:val="TableHEADER"/>
            </w:pPr>
          </w:p>
        </w:tc>
        <w:tc>
          <w:tcPr>
            <w:tcW w:w="712" w:type="pct"/>
          </w:tcPr>
          <w:p w14:paraId="0BB18F26" w14:textId="77777777" w:rsidR="004C49EF" w:rsidRDefault="004C49EF" w:rsidP="00855944">
            <w:pPr>
              <w:pStyle w:val="TableHEADER"/>
            </w:pPr>
            <w:r>
              <w:t>Type of study design*</w:t>
            </w:r>
          </w:p>
        </w:tc>
        <w:tc>
          <w:tcPr>
            <w:tcW w:w="969" w:type="pct"/>
          </w:tcPr>
          <w:p w14:paraId="35CD6BC3" w14:textId="77777777" w:rsidR="004C49EF" w:rsidRDefault="004C49EF" w:rsidP="00855944">
            <w:pPr>
              <w:pStyle w:val="TableHEADER"/>
            </w:pPr>
            <w:r>
              <w:t>Title of research (including any trial identifier if relevant)</w:t>
            </w:r>
          </w:p>
        </w:tc>
        <w:tc>
          <w:tcPr>
            <w:tcW w:w="1982" w:type="pct"/>
          </w:tcPr>
          <w:p w14:paraId="24ABF235" w14:textId="77777777" w:rsidR="004C49EF" w:rsidRDefault="00367C1B" w:rsidP="00855944">
            <w:pPr>
              <w:pStyle w:val="TableHEADER"/>
            </w:pPr>
            <w:r>
              <w:t xml:space="preserve">Short description of research </w:t>
            </w:r>
            <w:r w:rsidR="004C49EF">
              <w:t>(max 50 words)**</w:t>
            </w:r>
          </w:p>
        </w:tc>
        <w:tc>
          <w:tcPr>
            <w:tcW w:w="607" w:type="pct"/>
          </w:tcPr>
          <w:p w14:paraId="737790FA" w14:textId="77777777" w:rsidR="004C49EF" w:rsidRDefault="004C49EF" w:rsidP="00855944">
            <w:pPr>
              <w:pStyle w:val="TableHEADER"/>
            </w:pPr>
            <w:r w:rsidRPr="00E82F54">
              <w:t xml:space="preserve">Website link to </w:t>
            </w:r>
            <w:r>
              <w:t>research (if available)</w:t>
            </w:r>
          </w:p>
        </w:tc>
        <w:tc>
          <w:tcPr>
            <w:tcW w:w="581" w:type="pct"/>
          </w:tcPr>
          <w:p w14:paraId="4D01A9BA" w14:textId="77777777" w:rsidR="004C49EF" w:rsidRDefault="004C49EF" w:rsidP="00855944">
            <w:pPr>
              <w:pStyle w:val="TableHEADER"/>
            </w:pPr>
            <w:r w:rsidRPr="00E82F54">
              <w:t>Date*</w:t>
            </w:r>
            <w:r>
              <w:t>**</w:t>
            </w:r>
          </w:p>
        </w:tc>
      </w:tr>
      <w:tr w:rsidR="004C49EF" w14:paraId="41F18F77" w14:textId="77777777" w:rsidTr="00E20952">
        <w:trPr>
          <w:cantSplit/>
        </w:trPr>
        <w:tc>
          <w:tcPr>
            <w:tcW w:w="149" w:type="pct"/>
          </w:tcPr>
          <w:p w14:paraId="4A178356" w14:textId="77777777" w:rsidR="004C49EF" w:rsidRPr="00965B6B" w:rsidRDefault="004C49EF" w:rsidP="00526478">
            <w:pPr>
              <w:rPr>
                <w:szCs w:val="20"/>
              </w:rPr>
            </w:pPr>
            <w:r w:rsidRPr="00965B6B">
              <w:rPr>
                <w:szCs w:val="20"/>
              </w:rPr>
              <w:t>1</w:t>
            </w:r>
            <w:r>
              <w:rPr>
                <w:szCs w:val="20"/>
              </w:rPr>
              <w:t>.</w:t>
            </w:r>
          </w:p>
        </w:tc>
        <w:tc>
          <w:tcPr>
            <w:tcW w:w="712" w:type="pct"/>
          </w:tcPr>
          <w:p w14:paraId="03164F71" w14:textId="1CF66A6D" w:rsidR="004C49EF" w:rsidRDefault="00927733" w:rsidP="00EC1537">
            <w:pPr>
              <w:rPr>
                <w:b/>
                <w:szCs w:val="20"/>
              </w:rPr>
            </w:pPr>
            <w:r w:rsidRPr="00927733">
              <w:t xml:space="preserve">Phase </w:t>
            </w:r>
            <w:proofErr w:type="spellStart"/>
            <w:r w:rsidRPr="00927733">
              <w:t>IIIb</w:t>
            </w:r>
            <w:proofErr w:type="spellEnd"/>
            <w:r w:rsidRPr="00927733">
              <w:t>, global, multicent</w:t>
            </w:r>
            <w:r w:rsidR="00EC1537">
              <w:t>re</w:t>
            </w:r>
            <w:r w:rsidRPr="00927733">
              <w:t>, randomi</w:t>
            </w:r>
            <w:r w:rsidR="00EC1537">
              <w:t>s</w:t>
            </w:r>
            <w:r w:rsidRPr="00927733">
              <w:t>ed, visual assessor-masked study</w:t>
            </w:r>
            <w:r w:rsidR="001B3422">
              <w:t>^</w:t>
            </w:r>
          </w:p>
        </w:tc>
        <w:tc>
          <w:tcPr>
            <w:tcW w:w="969" w:type="pct"/>
          </w:tcPr>
          <w:p w14:paraId="09F24353" w14:textId="77777777" w:rsidR="004C49EF" w:rsidRDefault="00927733" w:rsidP="00526478">
            <w:pPr>
              <w:rPr>
                <w:b/>
                <w:szCs w:val="20"/>
              </w:rPr>
            </w:pPr>
            <w:r w:rsidRPr="00927733">
              <w:t>A Study of the Efficacy, Safety, and Pharmacokinetics of A 36-Week Refill Regimen for the Port Delivery System With Ranibizumab in Patients With Neovascular Age-Related Macular Degeneration (Velodrome)</w:t>
            </w:r>
          </w:p>
        </w:tc>
        <w:tc>
          <w:tcPr>
            <w:tcW w:w="1982" w:type="pct"/>
          </w:tcPr>
          <w:p w14:paraId="2E0D6D25" w14:textId="7EFDFB4F" w:rsidR="004C49EF" w:rsidRDefault="00927733" w:rsidP="00927733">
            <w:pPr>
              <w:rPr>
                <w:b/>
                <w:szCs w:val="20"/>
              </w:rPr>
            </w:pPr>
            <w:r>
              <w:t>A</w:t>
            </w:r>
            <w:r w:rsidRPr="00927733">
              <w:t xml:space="preserve">ssess the efficacy, safety, and pharmacokinetics of the PDS 100 mg/mL delivered every 36 weeks (Q36W) compared with every 24 weeks (Q24W) in patients with </w:t>
            </w:r>
            <w:proofErr w:type="spellStart"/>
            <w:r>
              <w:t>nAMD</w:t>
            </w:r>
            <w:proofErr w:type="spellEnd"/>
          </w:p>
        </w:tc>
        <w:tc>
          <w:tcPr>
            <w:tcW w:w="607" w:type="pct"/>
          </w:tcPr>
          <w:p w14:paraId="5420F26E" w14:textId="54346267" w:rsidR="004C49EF" w:rsidRPr="00E82F54" w:rsidRDefault="00120204" w:rsidP="00526478">
            <w:pPr>
              <w:rPr>
                <w:b/>
                <w:szCs w:val="20"/>
              </w:rPr>
            </w:pPr>
            <w:hyperlink r:id="rId19" w:history="1">
              <w:r w:rsidR="00927733" w:rsidRPr="00927733">
                <w:rPr>
                  <w:rStyle w:val="Hyperlink"/>
                </w:rPr>
                <w:t>NCT04657289</w:t>
              </w:r>
            </w:hyperlink>
          </w:p>
        </w:tc>
        <w:tc>
          <w:tcPr>
            <w:tcW w:w="581" w:type="pct"/>
          </w:tcPr>
          <w:p w14:paraId="1A25DCE9" w14:textId="45F8B118" w:rsidR="00927733" w:rsidRDefault="00927733" w:rsidP="00927733">
            <w:r>
              <w:t>Estimated Study Start Date: 7 Jul 2021</w:t>
            </w:r>
          </w:p>
          <w:p w14:paraId="0F015A4A" w14:textId="21C8CE87" w:rsidR="004C49EF" w:rsidRPr="00E82F54" w:rsidRDefault="00927733" w:rsidP="00927733">
            <w:pPr>
              <w:rPr>
                <w:b/>
                <w:szCs w:val="20"/>
              </w:rPr>
            </w:pPr>
            <w:r>
              <w:t>Estimated Primary Completion Date: 21 Sep 2023</w:t>
            </w:r>
          </w:p>
        </w:tc>
      </w:tr>
    </w:tbl>
    <w:p w14:paraId="0D45E40B" w14:textId="77777777" w:rsidR="004C49EF" w:rsidRPr="00927733" w:rsidRDefault="004C49EF" w:rsidP="00927733">
      <w:pPr>
        <w:spacing w:before="0" w:after="0"/>
        <w:ind w:left="426"/>
        <w:rPr>
          <w:i/>
          <w:sz w:val="14"/>
          <w:szCs w:val="20"/>
        </w:rPr>
      </w:pPr>
      <w:r w:rsidRPr="00927733">
        <w:rPr>
          <w:i/>
          <w:sz w:val="14"/>
          <w:szCs w:val="20"/>
        </w:rPr>
        <w:t xml:space="preserve">* Categorise study design, for example meta-analysis, randomised trials, non-randomised trial or observational study, study of diagnostic accuracy, etc. </w:t>
      </w:r>
    </w:p>
    <w:p w14:paraId="4D4A20CF" w14:textId="77777777" w:rsidR="004C49EF" w:rsidRPr="00927733" w:rsidRDefault="004C49EF" w:rsidP="00927733">
      <w:pPr>
        <w:spacing w:before="0" w:after="0"/>
        <w:ind w:left="426"/>
        <w:rPr>
          <w:i/>
          <w:sz w:val="14"/>
          <w:szCs w:val="20"/>
        </w:rPr>
      </w:pPr>
      <w:r w:rsidRPr="00927733">
        <w:rPr>
          <w:i/>
          <w:sz w:val="14"/>
          <w:szCs w:val="20"/>
        </w:rPr>
        <w:t>**Provide high level information including population numbers and whether patients are being recruited or in post-recruitment.</w:t>
      </w:r>
    </w:p>
    <w:p w14:paraId="2FD9827C" w14:textId="104A8D12" w:rsidR="004C49EF" w:rsidRDefault="004C49EF" w:rsidP="00927733">
      <w:pPr>
        <w:spacing w:before="0" w:after="0"/>
        <w:ind w:left="426"/>
        <w:rPr>
          <w:i/>
          <w:sz w:val="14"/>
          <w:szCs w:val="20"/>
        </w:rPr>
      </w:pPr>
      <w:r w:rsidRPr="00927733">
        <w:rPr>
          <w:i/>
          <w:sz w:val="14"/>
          <w:szCs w:val="20"/>
        </w:rPr>
        <w:t>***Date of when results will be made available (to the best of your knowledge).</w:t>
      </w:r>
    </w:p>
    <w:p w14:paraId="466FAE5B" w14:textId="6E937C8E" w:rsidR="00DD308E" w:rsidRDefault="001B3422" w:rsidP="001B3422">
      <w:pPr>
        <w:spacing w:before="0" w:after="0"/>
        <w:ind w:left="426"/>
        <w:rPr>
          <w:b/>
          <w:sz w:val="32"/>
          <w:szCs w:val="32"/>
        </w:rPr>
        <w:sectPr w:rsidR="00DD308E" w:rsidSect="00DD308E">
          <w:pgSz w:w="16838" w:h="11906" w:orient="landscape"/>
          <w:pgMar w:top="1440" w:right="1440" w:bottom="1440" w:left="1440" w:header="708" w:footer="708" w:gutter="0"/>
          <w:cols w:space="708"/>
          <w:docGrid w:linePitch="360"/>
        </w:sectPr>
      </w:pPr>
      <w:r w:rsidRPr="00927733">
        <w:rPr>
          <w:i/>
          <w:sz w:val="14"/>
          <w:szCs w:val="20"/>
        </w:rPr>
        <w:t>^</w:t>
      </w:r>
      <w:r>
        <w:rPr>
          <w:i/>
          <w:sz w:val="14"/>
          <w:szCs w:val="20"/>
        </w:rPr>
        <w:t xml:space="preserve">NB:  </w:t>
      </w:r>
      <w:proofErr w:type="gramStart"/>
      <w:r>
        <w:rPr>
          <w:i/>
          <w:sz w:val="14"/>
          <w:szCs w:val="20"/>
        </w:rPr>
        <w:t>Future  trial</w:t>
      </w:r>
      <w:proofErr w:type="gramEnd"/>
      <w:r>
        <w:rPr>
          <w:i/>
          <w:sz w:val="14"/>
          <w:szCs w:val="20"/>
        </w:rPr>
        <w:t>; not anticipated to be the basis for future submission claims</w:t>
      </w:r>
    </w:p>
    <w:p w14:paraId="4580B4B2"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75A0F01F"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029EFADE" w14:textId="77777777" w:rsidR="000C4368" w:rsidRDefault="000C4368" w:rsidP="000C4368">
      <w:pPr>
        <w:ind w:left="426"/>
      </w:pPr>
      <w:r>
        <w:t>Australian Society of Ophthalmologists (ASO)</w:t>
      </w:r>
    </w:p>
    <w:p w14:paraId="026FAACC" w14:textId="072916EF" w:rsidR="00003417" w:rsidRDefault="00D435D6" w:rsidP="00A727B6">
      <w:pPr>
        <w:ind w:left="426"/>
      </w:pPr>
      <w:r w:rsidRPr="00D435D6">
        <w:t>Royal Australian and New Zealand College of Ophthalmologists</w:t>
      </w:r>
      <w:r w:rsidR="00C159B1">
        <w:t xml:space="preserve"> (RANZCO)</w:t>
      </w:r>
    </w:p>
    <w:p w14:paraId="011E2CEE" w14:textId="4849C4BD" w:rsidR="000C4368" w:rsidRPr="00A727B6" w:rsidRDefault="000A2FFB" w:rsidP="000C4368">
      <w:pPr>
        <w:ind w:left="426"/>
      </w:pPr>
      <w:r>
        <w:t xml:space="preserve">The applicant recommends that the Department </w:t>
      </w:r>
      <w:r w:rsidR="005C0091">
        <w:t xml:space="preserve">of Health </w:t>
      </w:r>
      <w:r>
        <w:t xml:space="preserve">approach </w:t>
      </w:r>
      <w:r w:rsidR="005C0091">
        <w:t xml:space="preserve">the professional bodies </w:t>
      </w:r>
      <w:r>
        <w:t>directly</w:t>
      </w:r>
      <w:r w:rsidR="000C4368">
        <w:t>.</w:t>
      </w:r>
    </w:p>
    <w:p w14:paraId="482DEF09"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2537F733" w14:textId="038CA6F7" w:rsidR="00EA173C" w:rsidRDefault="00D435D6" w:rsidP="00A727B6">
      <w:pPr>
        <w:ind w:left="426"/>
      </w:pPr>
      <w:r>
        <w:t>As above</w:t>
      </w:r>
      <w:r w:rsidR="00003417">
        <w:t>.</w:t>
      </w:r>
    </w:p>
    <w:p w14:paraId="6F132B94" w14:textId="77777777" w:rsidR="00E82F54" w:rsidRPr="00154B00"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41F03077" w14:textId="6C8B9527" w:rsidR="00003417" w:rsidRDefault="00D435D6" w:rsidP="00A727B6">
      <w:pPr>
        <w:ind w:left="426"/>
      </w:pPr>
      <w:r>
        <w:t>Macular Disease Foundation Australia</w:t>
      </w:r>
    </w:p>
    <w:p w14:paraId="41E5E690" w14:textId="15F16880" w:rsidR="000A2FFB" w:rsidRDefault="000A2FFB" w:rsidP="00A727B6">
      <w:pPr>
        <w:ind w:left="426"/>
      </w:pPr>
      <w:r>
        <w:t>A letter of support has been provided with the application.</w:t>
      </w:r>
    </w:p>
    <w:p w14:paraId="1DCCE1F3"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5804E4DE" w14:textId="3A13D10F" w:rsidR="00EE6450" w:rsidRDefault="009C068B" w:rsidP="00EE6450">
      <w:pPr>
        <w:ind w:left="426"/>
      </w:pPr>
      <w:r>
        <w:t>There are no comparable devices on the Prostheses List</w:t>
      </w:r>
      <w:r w:rsidR="00F15237">
        <w:t>. T</w:t>
      </w:r>
      <w:r>
        <w:t xml:space="preserve">here </w:t>
      </w:r>
      <w:r w:rsidR="00345D79">
        <w:t xml:space="preserve">are no MBS items </w:t>
      </w:r>
      <w:r w:rsidR="00C42017">
        <w:t>where the MBS</w:t>
      </w:r>
      <w:r w:rsidR="00345D79">
        <w:t xml:space="preserve"> item descriptor reasonably describes </w:t>
      </w:r>
      <w:r>
        <w:t xml:space="preserve">the implantation </w:t>
      </w:r>
      <w:r w:rsidR="002A0F2A">
        <w:t xml:space="preserve">or explantation </w:t>
      </w:r>
      <w:r>
        <w:t xml:space="preserve">of the proposed </w:t>
      </w:r>
      <w:r w:rsidR="00C42017">
        <w:t>ocular implant</w:t>
      </w:r>
      <w:r>
        <w:t>.</w:t>
      </w:r>
      <w:r w:rsidR="002A0F2A">
        <w:t xml:space="preserve"> </w:t>
      </w:r>
    </w:p>
    <w:p w14:paraId="204B8945" w14:textId="48AAE32C" w:rsidR="00C159B1" w:rsidRDefault="009C068B" w:rsidP="00EE6450">
      <w:pPr>
        <w:ind w:left="426"/>
        <w:rPr>
          <w:szCs w:val="20"/>
        </w:rPr>
      </w:pPr>
      <w:r>
        <w:t xml:space="preserve">Pharmaceutical companies that have a pharmacological comparator include </w:t>
      </w:r>
      <w:r w:rsidR="00C159B1">
        <w:t>Novartis Pharmaceuticals Australia</w:t>
      </w:r>
      <w:r>
        <w:t xml:space="preserve"> (Lucentis®, ranibizumab)</w:t>
      </w:r>
      <w:r w:rsidR="00C159B1">
        <w:t>, Bayer Australia Limited</w:t>
      </w:r>
      <w:r>
        <w:t xml:space="preserve"> (Eylea®, aflibercept)</w:t>
      </w:r>
      <w:r w:rsidR="006B40AA">
        <w:t>.</w:t>
      </w:r>
    </w:p>
    <w:p w14:paraId="4ECCFE53" w14:textId="77777777" w:rsidR="00E82F54" w:rsidRDefault="00E82F54" w:rsidP="00530204">
      <w:pPr>
        <w:pStyle w:val="Heading2"/>
      </w:pPr>
      <w:r w:rsidRPr="00154B00">
        <w:t>Nominate two experts who could be approached about the proposed medical service and the current clinical management of the service(s):</w:t>
      </w:r>
    </w:p>
    <w:p w14:paraId="6F7D94BE" w14:textId="559F105F" w:rsidR="00987ABE" w:rsidRPr="00987ABE" w:rsidRDefault="00987ABE" w:rsidP="00D84C58">
      <w:pPr>
        <w:spacing w:after="0"/>
        <w:ind w:left="426"/>
        <w:rPr>
          <w:szCs w:val="20"/>
        </w:rPr>
      </w:pPr>
      <w:r>
        <w:rPr>
          <w:szCs w:val="20"/>
        </w:rPr>
        <w:t xml:space="preserve">Name of expert 1: </w:t>
      </w:r>
      <w:r w:rsidR="00120204" w:rsidRPr="00120204">
        <w:rPr>
          <w:b/>
          <w:bCs/>
          <w:sz w:val="22"/>
          <w:szCs w:val="24"/>
        </w:rPr>
        <w:t>REDACTED</w:t>
      </w:r>
    </w:p>
    <w:p w14:paraId="3FC02014" w14:textId="152A76DE" w:rsidR="00987ABE" w:rsidRPr="00987ABE" w:rsidRDefault="00987ABE" w:rsidP="00D84C58">
      <w:pPr>
        <w:spacing w:after="0"/>
        <w:ind w:left="426"/>
        <w:rPr>
          <w:szCs w:val="20"/>
        </w:rPr>
      </w:pPr>
      <w:r>
        <w:rPr>
          <w:szCs w:val="20"/>
        </w:rPr>
        <w:t xml:space="preserve">Telephone number(s): </w:t>
      </w:r>
      <w:r w:rsidR="00120204" w:rsidRPr="00120204">
        <w:rPr>
          <w:b/>
          <w:bCs/>
          <w:sz w:val="22"/>
          <w:szCs w:val="24"/>
        </w:rPr>
        <w:t>REDACTED</w:t>
      </w:r>
    </w:p>
    <w:p w14:paraId="31E153D4" w14:textId="77777777" w:rsidR="00120204" w:rsidRDefault="00987ABE" w:rsidP="00D84C58">
      <w:pPr>
        <w:spacing w:after="0"/>
        <w:ind w:left="426"/>
        <w:rPr>
          <w:szCs w:val="20"/>
        </w:rPr>
      </w:pPr>
      <w:r>
        <w:rPr>
          <w:szCs w:val="20"/>
        </w:rPr>
        <w:t xml:space="preserve">Email address: </w:t>
      </w:r>
      <w:r w:rsidR="00120204" w:rsidRPr="00120204">
        <w:rPr>
          <w:b/>
          <w:bCs/>
          <w:sz w:val="22"/>
          <w:szCs w:val="24"/>
        </w:rPr>
        <w:t>REDACTED</w:t>
      </w:r>
      <w:r w:rsidR="00120204">
        <w:rPr>
          <w:szCs w:val="20"/>
        </w:rPr>
        <w:t xml:space="preserve"> </w:t>
      </w:r>
    </w:p>
    <w:p w14:paraId="322905EA" w14:textId="52661931" w:rsidR="002103F8" w:rsidRDefault="00987ABE" w:rsidP="00D84C58">
      <w:pPr>
        <w:spacing w:after="0"/>
        <w:ind w:left="426"/>
      </w:pPr>
      <w:r>
        <w:rPr>
          <w:szCs w:val="20"/>
        </w:rPr>
        <w:t xml:space="preserve">Justification of expertise: </w:t>
      </w:r>
      <w:r w:rsidR="00094275">
        <w:t>Vitreoretinal surgeon</w:t>
      </w:r>
      <w:r w:rsidR="00D84C58">
        <w:t xml:space="preserve"> </w:t>
      </w:r>
    </w:p>
    <w:p w14:paraId="1544E138" w14:textId="77777777" w:rsidR="00120204" w:rsidRDefault="00120204" w:rsidP="00D84C58">
      <w:pPr>
        <w:spacing w:after="0"/>
        <w:ind w:left="426"/>
        <w:rPr>
          <w:b/>
          <w:bCs/>
          <w:sz w:val="22"/>
          <w:szCs w:val="24"/>
        </w:rPr>
      </w:pPr>
    </w:p>
    <w:p w14:paraId="2D59FEEB" w14:textId="00D89DCD" w:rsidR="00987ABE" w:rsidRPr="00987ABE" w:rsidRDefault="00987ABE" w:rsidP="00D84C58">
      <w:pPr>
        <w:spacing w:after="0"/>
        <w:ind w:left="426"/>
        <w:rPr>
          <w:szCs w:val="20"/>
        </w:rPr>
      </w:pPr>
      <w:r>
        <w:rPr>
          <w:szCs w:val="20"/>
        </w:rPr>
        <w:t xml:space="preserve">Name of expert 2: </w:t>
      </w:r>
      <w:r w:rsidR="00120204" w:rsidRPr="00120204">
        <w:rPr>
          <w:b/>
          <w:bCs/>
          <w:sz w:val="22"/>
          <w:szCs w:val="24"/>
        </w:rPr>
        <w:t>REDACTED</w:t>
      </w:r>
    </w:p>
    <w:p w14:paraId="38196715" w14:textId="77777777" w:rsidR="00120204" w:rsidRDefault="00987ABE" w:rsidP="00D84C58">
      <w:pPr>
        <w:spacing w:after="0"/>
        <w:ind w:left="426"/>
        <w:rPr>
          <w:szCs w:val="20"/>
        </w:rPr>
      </w:pPr>
      <w:r>
        <w:rPr>
          <w:szCs w:val="20"/>
        </w:rPr>
        <w:t xml:space="preserve">Telephone number(s): </w:t>
      </w:r>
      <w:r w:rsidR="00120204" w:rsidRPr="00120204">
        <w:rPr>
          <w:b/>
          <w:bCs/>
          <w:sz w:val="22"/>
          <w:szCs w:val="24"/>
        </w:rPr>
        <w:t>REDACTED</w:t>
      </w:r>
      <w:r w:rsidR="00120204">
        <w:rPr>
          <w:szCs w:val="20"/>
        </w:rPr>
        <w:t xml:space="preserve"> </w:t>
      </w:r>
    </w:p>
    <w:p w14:paraId="28BEACA4" w14:textId="73330CE1" w:rsidR="00987ABE" w:rsidRPr="00987ABE" w:rsidRDefault="00987ABE" w:rsidP="00D84C58">
      <w:pPr>
        <w:spacing w:after="0"/>
        <w:ind w:left="426"/>
        <w:rPr>
          <w:szCs w:val="20"/>
        </w:rPr>
      </w:pPr>
      <w:r>
        <w:rPr>
          <w:szCs w:val="20"/>
        </w:rPr>
        <w:t xml:space="preserve">Email address: </w:t>
      </w:r>
      <w:r w:rsidR="00120204" w:rsidRPr="00120204">
        <w:rPr>
          <w:b/>
          <w:bCs/>
          <w:sz w:val="22"/>
          <w:szCs w:val="24"/>
        </w:rPr>
        <w:t>REDACTED</w:t>
      </w:r>
    </w:p>
    <w:p w14:paraId="53940324" w14:textId="77777777" w:rsidR="002103F8" w:rsidRDefault="00987ABE" w:rsidP="00D84C58">
      <w:pPr>
        <w:spacing w:after="0"/>
        <w:ind w:left="426"/>
      </w:pPr>
      <w:r>
        <w:rPr>
          <w:szCs w:val="20"/>
        </w:rPr>
        <w:t xml:space="preserve">Justification of expertise: </w:t>
      </w:r>
      <w:r w:rsidR="00094275">
        <w:t>Vitreoretinal surgeon</w:t>
      </w:r>
    </w:p>
    <w:p w14:paraId="0A546F99" w14:textId="08820422" w:rsidR="003433D1" w:rsidRPr="002A0F2A" w:rsidRDefault="003433D1" w:rsidP="002A0F2A">
      <w:pPr>
        <w:ind w:left="426"/>
        <w:rPr>
          <w:i/>
          <w:szCs w:val="20"/>
        </w:rPr>
      </w:pPr>
      <w:r>
        <w:rPr>
          <w:b/>
          <w:sz w:val="32"/>
          <w:szCs w:val="32"/>
        </w:rPr>
        <w:br w:type="page"/>
      </w:r>
    </w:p>
    <w:p w14:paraId="6449EB11"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02CBC4A5" w14:textId="77777777" w:rsidR="0021185D" w:rsidRPr="005C3AE7" w:rsidRDefault="005C3AE7" w:rsidP="00120204">
      <w:pPr>
        <w:pStyle w:val="Subtitle"/>
        <w:ind w:left="0"/>
      </w:pPr>
      <w:r w:rsidRPr="005C3AE7">
        <w:t xml:space="preserve">PART 6a – </w:t>
      </w:r>
      <w:r w:rsidR="0021185D" w:rsidRPr="005C3AE7">
        <w:t>INFORMATION ABOUT THE PROPOSED POPULATION</w:t>
      </w:r>
    </w:p>
    <w:p w14:paraId="5E439CC5"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6DF24F4E" w14:textId="60B94758" w:rsidR="00386627" w:rsidRDefault="004A1891" w:rsidP="00D435D6">
      <w:pPr>
        <w:ind w:left="426"/>
      </w:pPr>
      <w:r>
        <w:rPr>
          <w:i/>
        </w:rPr>
        <w:t>Disease overview</w:t>
      </w:r>
    </w:p>
    <w:p w14:paraId="4D622AB4" w14:textId="43ECC946" w:rsidR="00D435D6" w:rsidRDefault="00D435D6" w:rsidP="00D435D6">
      <w:pPr>
        <w:ind w:left="426"/>
      </w:pPr>
      <w:r>
        <w:t>Age related macular degeneration (AMD) is a chronic eye disease characterised by progressive degenerative abnormalities in the central retina (macula) and is the leading cause of severe vision loss and legal blindness in people over the age of 65 years. There are two types of AMD: the non-neovascular (atrophic) or dry form, and the neovascular (exudative) or wet form.</w:t>
      </w:r>
    </w:p>
    <w:p w14:paraId="17E49B7D" w14:textId="451E6F00" w:rsidR="00D435D6" w:rsidRDefault="00386627" w:rsidP="00D435D6">
      <w:pPr>
        <w:ind w:left="426"/>
      </w:pPr>
      <w:r>
        <w:t>Neovascular (wet) AMD</w:t>
      </w:r>
      <w:r w:rsidR="00B47344">
        <w:t xml:space="preserve"> </w:t>
      </w:r>
      <w:r>
        <w:t xml:space="preserve">occurs in around 10-15% of overall AMD cases. </w:t>
      </w:r>
      <w:r w:rsidR="00D435D6">
        <w:t>Neovascular AMD</w:t>
      </w:r>
      <w:r>
        <w:t xml:space="preserve"> (</w:t>
      </w:r>
      <w:proofErr w:type="spellStart"/>
      <w:r>
        <w:t>nAMD</w:t>
      </w:r>
      <w:proofErr w:type="spellEnd"/>
      <w:r>
        <w:t>)</w:t>
      </w:r>
      <w:r w:rsidR="00D435D6">
        <w:t xml:space="preserve"> is characterised by choroidal neovascularisation (CNV), a process in which new blood vessels grow beneath the retina and macula. </w:t>
      </w:r>
      <w:r w:rsidR="004C469A">
        <w:t xml:space="preserve">VEGF is widely considered the main growth factor responsible for this neovascularisation. </w:t>
      </w:r>
      <w:r w:rsidR="00D435D6">
        <w:t xml:space="preserve">These blood vessels leak, causing separation of Bruch’s membrane, the retinal pigment epithelium (RPE) and the retina from each other, with accumulation of sub-RPE, sub-retinal or intra-retinal fluid. </w:t>
      </w:r>
    </w:p>
    <w:p w14:paraId="5A0A6B95" w14:textId="6D26DBF8" w:rsidR="00386627" w:rsidRDefault="00D435D6" w:rsidP="00386627">
      <w:pPr>
        <w:ind w:left="426"/>
      </w:pPr>
      <w:r>
        <w:t>CNV lesions are classified according to the location of the lesion relative to the fovea</w:t>
      </w:r>
      <w:r w:rsidR="00386627">
        <w:t xml:space="preserve"> (the central area of the macula and provides the sharpest vision)</w:t>
      </w:r>
      <w:r>
        <w:t xml:space="preserve">: </w:t>
      </w:r>
      <w:proofErr w:type="spellStart"/>
      <w:r>
        <w:t>subfoveal</w:t>
      </w:r>
      <w:proofErr w:type="spellEnd"/>
      <w:r>
        <w:t xml:space="preserve"> (located directly below the fovea), </w:t>
      </w:r>
      <w:proofErr w:type="spellStart"/>
      <w:r w:rsidR="00AF0C43">
        <w:t>juxtafoveal</w:t>
      </w:r>
      <w:proofErr w:type="spellEnd"/>
      <w:r w:rsidR="00AF0C43">
        <w:t xml:space="preserve"> </w:t>
      </w:r>
      <w:r>
        <w:t xml:space="preserve">(located adjacent to fovea) and </w:t>
      </w:r>
      <w:r w:rsidR="00AF0C43">
        <w:t xml:space="preserve">extrafoveal </w:t>
      </w:r>
      <w:r>
        <w:t>(located away from the fovea).</w:t>
      </w:r>
    </w:p>
    <w:p w14:paraId="1944C6BB" w14:textId="4962A944" w:rsidR="00386627" w:rsidRDefault="005528D4" w:rsidP="00D435D6">
      <w:pPr>
        <w:ind w:left="426"/>
      </w:pPr>
      <w:r>
        <w:t>I</w:t>
      </w:r>
      <w:r w:rsidR="00386627">
        <w:t xml:space="preserve">ntravitreal injections with anti-VEGF drugs are the </w:t>
      </w:r>
      <w:r w:rsidR="00EE7F6A">
        <w:t xml:space="preserve">current </w:t>
      </w:r>
      <w:r w:rsidR="00386627">
        <w:t xml:space="preserve">standard of care for </w:t>
      </w:r>
      <w:proofErr w:type="spellStart"/>
      <w:r w:rsidR="00386627">
        <w:t>nAMD</w:t>
      </w:r>
      <w:proofErr w:type="spellEnd"/>
      <w:r w:rsidR="00386627">
        <w:t>.  In Australia, Lucentis® (ranibizumab) and Eylea® (aflibercept) are PBS-listed for this indication</w:t>
      </w:r>
      <w:r w:rsidR="002E1B61">
        <w:t>.</w:t>
      </w:r>
    </w:p>
    <w:p w14:paraId="6E6A5A4E" w14:textId="3ADDC255" w:rsidR="00386627" w:rsidRPr="00386627" w:rsidRDefault="00386627" w:rsidP="00D435D6">
      <w:pPr>
        <w:ind w:left="426"/>
        <w:rPr>
          <w:i/>
        </w:rPr>
      </w:pPr>
      <w:r>
        <w:rPr>
          <w:i/>
        </w:rPr>
        <w:t>Treatment burden</w:t>
      </w:r>
    </w:p>
    <w:p w14:paraId="6F79B29C" w14:textId="1B7B3D85" w:rsidR="00DC7D31" w:rsidRDefault="00386627" w:rsidP="00742892">
      <w:pPr>
        <w:ind w:left="426"/>
      </w:pPr>
      <w:r w:rsidRPr="00386627">
        <w:t xml:space="preserve">Real-world data suggest that </w:t>
      </w:r>
      <w:r w:rsidR="00E02B36">
        <w:t>the</w:t>
      </w:r>
      <w:r w:rsidRPr="00386627">
        <w:t xml:space="preserve"> burden of frequent intravitreal injections and office visits contributes to many patients not achieving or maintaining vision outcomes comparable with those observed in controlled clinical trials </w:t>
      </w:r>
      <w:sdt>
        <w:sdtPr>
          <w:id w:val="-1677646523"/>
          <w:citation/>
        </w:sdtPr>
        <w:sdtContent>
          <w:r w:rsidR="00913DF1">
            <w:fldChar w:fldCharType="begin"/>
          </w:r>
          <w:r w:rsidR="00913DF1">
            <w:instrText xml:space="preserve"> CITATION Coh13 \l 3081 </w:instrText>
          </w:r>
          <w:r w:rsidR="00913DF1">
            <w:fldChar w:fldCharType="separate"/>
          </w:r>
          <w:r w:rsidR="00CC71D6">
            <w:rPr>
              <w:noProof/>
            </w:rPr>
            <w:t>(Cohen SY, 2013)</w:t>
          </w:r>
          <w:r w:rsidR="00913DF1">
            <w:fldChar w:fldCharType="end"/>
          </w:r>
        </w:sdtContent>
      </w:sdt>
      <w:sdt>
        <w:sdtPr>
          <w:id w:val="-1032184465"/>
          <w:citation/>
        </w:sdtPr>
        <w:sdtContent>
          <w:r w:rsidR="00913DF1">
            <w:fldChar w:fldCharType="begin"/>
          </w:r>
          <w:r w:rsidR="00913DF1">
            <w:instrText xml:space="preserve"> CITATION Fin13 \l 3081 </w:instrText>
          </w:r>
          <w:r w:rsidR="00913DF1">
            <w:fldChar w:fldCharType="separate"/>
          </w:r>
          <w:r w:rsidR="00CC71D6">
            <w:rPr>
              <w:noProof/>
            </w:rPr>
            <w:t xml:space="preserve"> (Finger RP, 2013)</w:t>
          </w:r>
          <w:r w:rsidR="00913DF1">
            <w:fldChar w:fldCharType="end"/>
          </w:r>
        </w:sdtContent>
      </w:sdt>
      <w:sdt>
        <w:sdtPr>
          <w:id w:val="-2118597214"/>
          <w:citation/>
        </w:sdtPr>
        <w:sdtContent>
          <w:r w:rsidR="00913DF1">
            <w:fldChar w:fldCharType="begin"/>
          </w:r>
          <w:r w:rsidR="00913DF1">
            <w:instrText xml:space="preserve"> CITATION Hol15 \l 3081 </w:instrText>
          </w:r>
          <w:r w:rsidR="00913DF1">
            <w:fldChar w:fldCharType="separate"/>
          </w:r>
          <w:r w:rsidR="00CC71D6">
            <w:rPr>
              <w:noProof/>
            </w:rPr>
            <w:t xml:space="preserve"> (Holz FG, 2015)</w:t>
          </w:r>
          <w:r w:rsidR="00913DF1">
            <w:fldChar w:fldCharType="end"/>
          </w:r>
        </w:sdtContent>
      </w:sdt>
      <w:r w:rsidRPr="00386627">
        <w:t xml:space="preserve">.  The use of “treat and extend” (T&amp;E) administration strategies, in which the intervals between treatments are extended as long as the macula remains dry, were introduced to lower the frequency of injections and </w:t>
      </w:r>
      <w:r w:rsidR="00003417">
        <w:t>is a</w:t>
      </w:r>
      <w:r w:rsidRPr="00386627">
        <w:t xml:space="preserve"> commonplace </w:t>
      </w:r>
      <w:r w:rsidR="00003417">
        <w:t xml:space="preserve">treatment strategy </w:t>
      </w:r>
      <w:r w:rsidRPr="00386627">
        <w:t xml:space="preserve">in Australian clinical practice.  </w:t>
      </w:r>
      <w:r w:rsidR="00DC7D31">
        <w:t xml:space="preserve">Studies have demonstrated that treat and extend regimens with are no worse than fixed monthly intervals in achieving visual acuity outcomes with reduced injections; </w:t>
      </w:r>
      <w:r w:rsidR="005C0091">
        <w:t xml:space="preserve">in a clinical trial, </w:t>
      </w:r>
      <w:r w:rsidR="00DC7D31">
        <w:t xml:space="preserve">visual acuity outcomes were similar with </w:t>
      </w:r>
      <w:r w:rsidR="00DC7D31" w:rsidRPr="00DC7D31">
        <w:t xml:space="preserve">17.6 injections </w:t>
      </w:r>
      <w:r w:rsidR="00DC7D31">
        <w:t xml:space="preserve">of ranibizumab </w:t>
      </w:r>
      <w:r w:rsidR="00DC7D31" w:rsidRPr="00DC7D31">
        <w:t>in the treat-and-extend group compared with 23.5 in the monthly group</w:t>
      </w:r>
      <w:r w:rsidR="00DC7D31">
        <w:t xml:space="preserve"> </w:t>
      </w:r>
      <w:sdt>
        <w:sdtPr>
          <w:id w:val="-308713711"/>
          <w:citation/>
        </w:sdtPr>
        <w:sdtContent>
          <w:r w:rsidR="00DC7D31">
            <w:fldChar w:fldCharType="begin"/>
          </w:r>
          <w:r w:rsidR="00DC7D31">
            <w:instrText xml:space="preserve">CITATION Ker20 \l 3081 </w:instrText>
          </w:r>
          <w:r w:rsidR="00DC7D31">
            <w:fldChar w:fldCharType="separate"/>
          </w:r>
          <w:r w:rsidR="00CC71D6">
            <w:rPr>
              <w:noProof/>
            </w:rPr>
            <w:t>(Kertes PJ, 2020)</w:t>
          </w:r>
          <w:r w:rsidR="00DC7D31">
            <w:fldChar w:fldCharType="end"/>
          </w:r>
        </w:sdtContent>
      </w:sdt>
      <w:r w:rsidR="00DC7D31">
        <w:t xml:space="preserve">.  </w:t>
      </w:r>
    </w:p>
    <w:p w14:paraId="723B153F" w14:textId="71FFCA9C" w:rsidR="00386627" w:rsidRDefault="00386627" w:rsidP="00742892">
      <w:pPr>
        <w:ind w:left="426"/>
      </w:pPr>
      <w:r w:rsidRPr="00386627">
        <w:t xml:space="preserve">However, this only partly resolves the treatment burden; recent Australian studies show that injections are still frequent. </w:t>
      </w:r>
      <w:r w:rsidR="00A85F32">
        <w:t xml:space="preserve">Australian </w:t>
      </w:r>
      <w:r w:rsidRPr="00386627">
        <w:t xml:space="preserve">Phase IV </w:t>
      </w:r>
      <w:r w:rsidR="00A85F32">
        <w:t xml:space="preserve">studies have shown that </w:t>
      </w:r>
      <w:r w:rsidRPr="00386627">
        <w:t xml:space="preserve">the average number of injections received per year with ranibizumab was 9.6 (95% CI, 9.2-10.0) and 9.5 (95% CI, 9.1-9.9) with aflibercept </w:t>
      </w:r>
      <w:r w:rsidR="00A85F32">
        <w:t>using a treat and extend regimen</w:t>
      </w:r>
      <w:r w:rsidR="00742892">
        <w:t xml:space="preserve"> in the first 12 months </w:t>
      </w:r>
      <w:sdt>
        <w:sdtPr>
          <w:id w:val="1433467727"/>
          <w:citation/>
        </w:sdtPr>
        <w:sdtContent>
          <w:r w:rsidR="00742892">
            <w:fldChar w:fldCharType="begin"/>
          </w:r>
          <w:r w:rsidR="00470C8C">
            <w:instrText xml:space="preserve">CITATION Gil19 \l 3081 </w:instrText>
          </w:r>
          <w:r w:rsidR="00742892">
            <w:fldChar w:fldCharType="separate"/>
          </w:r>
          <w:r w:rsidR="00470C8C">
            <w:rPr>
              <w:noProof/>
            </w:rPr>
            <w:t>(Gillies MC H. A., 2019a)</w:t>
          </w:r>
          <w:r w:rsidR="00742892">
            <w:fldChar w:fldCharType="end"/>
          </w:r>
        </w:sdtContent>
      </w:sdt>
      <w:r w:rsidR="00742892">
        <w:t xml:space="preserve">.  The distribution of injection intervals at month 12 found that almost half of participants were still on 4 weekly intervals in both arms </w:t>
      </w:r>
      <w:sdt>
        <w:sdtPr>
          <w:id w:val="106938989"/>
          <w:citation/>
        </w:sdtPr>
        <w:sdtContent>
          <w:r w:rsidR="00742892">
            <w:fldChar w:fldCharType="begin"/>
          </w:r>
          <w:r w:rsidR="00470C8C">
            <w:instrText xml:space="preserve">CITATION Gil19 \l 3081 </w:instrText>
          </w:r>
          <w:r w:rsidR="00742892">
            <w:fldChar w:fldCharType="separate"/>
          </w:r>
          <w:r w:rsidR="00470C8C">
            <w:rPr>
              <w:noProof/>
            </w:rPr>
            <w:t>(Gillies MC H. A., 2019a)</w:t>
          </w:r>
          <w:r w:rsidR="00742892">
            <w:fldChar w:fldCharType="end"/>
          </w:r>
        </w:sdtContent>
      </w:sdt>
      <w:r w:rsidR="00742892">
        <w:t>. The number of injections administered between months 12 and 24 were similarly frequent with 8.9 injections in the ranibizumab group and 8.3 injections in the aflibercept group</w:t>
      </w:r>
      <w:sdt>
        <w:sdtPr>
          <w:id w:val="430478005"/>
          <w:citation/>
        </w:sdtPr>
        <w:sdtContent>
          <w:r w:rsidR="00913DF1">
            <w:fldChar w:fldCharType="begin"/>
          </w:r>
          <w:r w:rsidR="00470C8C">
            <w:instrText xml:space="preserve">CITATION Gil20 \l 3081 </w:instrText>
          </w:r>
          <w:r w:rsidR="00913DF1">
            <w:fldChar w:fldCharType="separate"/>
          </w:r>
          <w:r w:rsidR="00470C8C">
            <w:rPr>
              <w:noProof/>
            </w:rPr>
            <w:t xml:space="preserve"> (Gillies MC H. A., 2020b)</w:t>
          </w:r>
          <w:r w:rsidR="00913DF1">
            <w:fldChar w:fldCharType="end"/>
          </w:r>
        </w:sdtContent>
      </w:sdt>
      <w:r w:rsidRPr="00386627">
        <w:t>.</w:t>
      </w:r>
      <w:r>
        <w:t xml:space="preserve"> </w:t>
      </w:r>
      <w:r w:rsidRPr="00386627">
        <w:t xml:space="preserve">Data from </w:t>
      </w:r>
      <w:r w:rsidR="00913DF1">
        <w:t xml:space="preserve">a 2018 </w:t>
      </w:r>
      <w:r w:rsidRPr="00386627">
        <w:t xml:space="preserve">DUSC utilisation report </w:t>
      </w:r>
      <w:r w:rsidR="00913DF1">
        <w:t xml:space="preserve">of ranibizumab and aflibercept </w:t>
      </w:r>
      <w:r>
        <w:t xml:space="preserve">noted </w:t>
      </w:r>
      <w:r w:rsidRPr="00386627">
        <w:t xml:space="preserve">the mean number of injections in Year 1 </w:t>
      </w:r>
      <w:r>
        <w:t xml:space="preserve">is </w:t>
      </w:r>
      <w:r w:rsidRPr="00386627">
        <w:t xml:space="preserve">8.52 in </w:t>
      </w:r>
      <w:proofErr w:type="spellStart"/>
      <w:r w:rsidRPr="00386627">
        <w:t>nAMD</w:t>
      </w:r>
      <w:proofErr w:type="spellEnd"/>
      <w:r w:rsidRPr="00386627">
        <w:t xml:space="preserve">, where fixed monthly/Q4W treatment would </w:t>
      </w:r>
      <w:r w:rsidR="00884C44" w:rsidRPr="00386627">
        <w:t>require</w:t>
      </w:r>
      <w:r w:rsidRPr="00386627">
        <w:t xml:space="preserve"> 12-13 injections per year</w:t>
      </w:r>
      <w:r w:rsidR="00913DF1">
        <w:t xml:space="preserve"> </w:t>
      </w:r>
      <w:sdt>
        <w:sdtPr>
          <w:id w:val="1683395883"/>
          <w:citation/>
        </w:sdtPr>
        <w:sdtContent>
          <w:r w:rsidR="00913DF1">
            <w:fldChar w:fldCharType="begin"/>
          </w:r>
          <w:r w:rsidR="00726CCB">
            <w:instrText xml:space="preserve">CITATION DUS18 \l 3081 </w:instrText>
          </w:r>
          <w:r w:rsidR="00913DF1">
            <w:fldChar w:fldCharType="separate"/>
          </w:r>
          <w:r w:rsidR="00CC71D6">
            <w:rPr>
              <w:noProof/>
            </w:rPr>
            <w:t>(DUSC, 2018)</w:t>
          </w:r>
          <w:r w:rsidR="00913DF1">
            <w:fldChar w:fldCharType="end"/>
          </w:r>
        </w:sdtContent>
      </w:sdt>
      <w:r w:rsidRPr="00386627">
        <w:t>.</w:t>
      </w:r>
    </w:p>
    <w:p w14:paraId="1D3BF445" w14:textId="77777777" w:rsidR="007B4A5A" w:rsidRDefault="00B47344" w:rsidP="00386627">
      <w:pPr>
        <w:ind w:left="426"/>
      </w:pPr>
      <w:r w:rsidRPr="00B47344">
        <w:t xml:space="preserve">Management of </w:t>
      </w:r>
      <w:proofErr w:type="spellStart"/>
      <w:r w:rsidRPr="00B47344">
        <w:t>nAMD</w:t>
      </w:r>
      <w:proofErr w:type="spellEnd"/>
      <w:r w:rsidRPr="00B47344">
        <w:t xml:space="preserve"> </w:t>
      </w:r>
      <w:r w:rsidR="00A85F32">
        <w:t xml:space="preserve">is recognised for its </w:t>
      </w:r>
      <w:r w:rsidRPr="00B47344">
        <w:t xml:space="preserve">substantial burden on patients and caregivers.  Australian studies have noted that attendance of appointments to administer </w:t>
      </w:r>
      <w:r w:rsidR="006B328C">
        <w:t>intravitreal injections</w:t>
      </w:r>
      <w:r w:rsidRPr="00B47344">
        <w:t xml:space="preserve"> results in lost productivity of 4.4±1.7 hours per month, with additional time lost by caregivers. Financial strain was incurred by direct medical costs associated with intravitreal assessment and injections at an average of </w:t>
      </w:r>
      <w:r w:rsidRPr="00B47344">
        <w:lastRenderedPageBreak/>
        <w:t>AU$199.2</w:t>
      </w:r>
      <w:r w:rsidR="00E02B36">
        <w:t xml:space="preserve"> </w:t>
      </w:r>
      <w:r w:rsidRPr="00B47344">
        <w:t>per month. Indirect costs incurred averaged $64.8</w:t>
      </w:r>
      <w:r w:rsidR="00E02B36">
        <w:t xml:space="preserve"> </w:t>
      </w:r>
      <w:r w:rsidRPr="00B47344">
        <w:t xml:space="preserve">per month. Qualitative indirect costs due to loss of productivity for the patient, unpaid caregivers, and loss of productivity due to premature mortality were </w:t>
      </w:r>
      <w:r w:rsidR="00884C44">
        <w:t>additionally</w:t>
      </w:r>
      <w:r w:rsidRPr="00B47344">
        <w:t xml:space="preserve"> noted to represent a considerable burden </w:t>
      </w:r>
      <w:sdt>
        <w:sdtPr>
          <w:id w:val="1732191591"/>
          <w:citation/>
        </w:sdtPr>
        <w:sdtContent>
          <w:r w:rsidR="00913DF1">
            <w:fldChar w:fldCharType="begin"/>
          </w:r>
          <w:r w:rsidR="006C3F77">
            <w:instrText xml:space="preserve">CITATION Spo18 \l 3081 </w:instrText>
          </w:r>
          <w:r w:rsidR="00913DF1">
            <w:fldChar w:fldCharType="separate"/>
          </w:r>
          <w:r w:rsidR="00CC71D6">
            <w:rPr>
              <w:noProof/>
            </w:rPr>
            <w:t>(Spooner KL, 2018)</w:t>
          </w:r>
          <w:r w:rsidR="00913DF1">
            <w:fldChar w:fldCharType="end"/>
          </w:r>
        </w:sdtContent>
      </w:sdt>
      <w:r w:rsidRPr="00B47344">
        <w:t>.</w:t>
      </w:r>
      <w:r w:rsidR="00742892">
        <w:t xml:space="preserve"> </w:t>
      </w:r>
    </w:p>
    <w:p w14:paraId="1A8C3C29" w14:textId="274BAD16" w:rsidR="00B47344" w:rsidRDefault="00742892" w:rsidP="00386627">
      <w:pPr>
        <w:ind w:left="426"/>
      </w:pPr>
      <w:r>
        <w:t xml:space="preserve">The Department of Health’s Medical Cost Finder notes that, 30% of patients pay nothing for </w:t>
      </w:r>
      <w:r w:rsidR="00D54F0A">
        <w:t xml:space="preserve">the </w:t>
      </w:r>
      <w:r>
        <w:t>administration</w:t>
      </w:r>
      <w:r w:rsidR="00D54F0A">
        <w:t xml:space="preserve"> of intravitreal injections</w:t>
      </w:r>
      <w:r>
        <w:t xml:space="preserve">; however, for patients that do, the typical amount paid after Government Medicare payment was $224 </w:t>
      </w:r>
      <w:sdt>
        <w:sdtPr>
          <w:id w:val="1659967620"/>
          <w:citation/>
        </w:sdtPr>
        <w:sdtContent>
          <w:r>
            <w:fldChar w:fldCharType="begin"/>
          </w:r>
          <w:r>
            <w:instrText xml:space="preserve"> CITATION DoH21 \l 3081 </w:instrText>
          </w:r>
          <w:r>
            <w:fldChar w:fldCharType="separate"/>
          </w:r>
          <w:r w:rsidR="00CC71D6">
            <w:rPr>
              <w:noProof/>
            </w:rPr>
            <w:t>(DoH, 2021)</w:t>
          </w:r>
          <w:r>
            <w:fldChar w:fldCharType="end"/>
          </w:r>
        </w:sdtContent>
      </w:sdt>
      <w:r>
        <w:t>.</w:t>
      </w:r>
    </w:p>
    <w:p w14:paraId="4A8C5934" w14:textId="68BD7A0E" w:rsidR="008D5FB5" w:rsidRPr="00386627" w:rsidRDefault="008D5FB5" w:rsidP="008D5FB5">
      <w:pPr>
        <w:ind w:left="426"/>
        <w:rPr>
          <w:i/>
        </w:rPr>
      </w:pPr>
      <w:r>
        <w:rPr>
          <w:i/>
        </w:rPr>
        <w:t>Geographical challenges</w:t>
      </w:r>
    </w:p>
    <w:p w14:paraId="27FE82B9" w14:textId="5B8674EB" w:rsidR="00A85F32" w:rsidRDefault="00B47344" w:rsidP="00386627">
      <w:pPr>
        <w:ind w:left="426"/>
      </w:pPr>
      <w:r>
        <w:t xml:space="preserve">Further, whilst </w:t>
      </w:r>
      <w:r w:rsidRPr="00B47344">
        <w:t xml:space="preserve">anti-VEGF therapies are generally available, </w:t>
      </w:r>
      <w:r w:rsidR="00C159B1">
        <w:t xml:space="preserve">access varies </w:t>
      </w:r>
      <w:r w:rsidRPr="00B47344">
        <w:t>due to workfo</w:t>
      </w:r>
      <w:r w:rsidR="008D5FB5">
        <w:t xml:space="preserve">rce limitations and geography.  Clinician groups have acknowledged </w:t>
      </w:r>
      <w:r w:rsidR="00A85F32">
        <w:t>misdistribution</w:t>
      </w:r>
      <w:r w:rsidR="008D5FB5">
        <w:t xml:space="preserve"> of the ophthalmology workforce across metropolitan and regional/remote areas</w:t>
      </w:r>
      <w:sdt>
        <w:sdtPr>
          <w:id w:val="-4360693"/>
          <w:citation/>
        </w:sdtPr>
        <w:sdtContent>
          <w:r w:rsidR="00913DF1">
            <w:fldChar w:fldCharType="begin"/>
          </w:r>
          <w:r w:rsidR="00913DF1">
            <w:instrText xml:space="preserve"> CITATION RAN20 \l 3081 </w:instrText>
          </w:r>
          <w:r w:rsidR="00913DF1">
            <w:fldChar w:fldCharType="separate"/>
          </w:r>
          <w:r w:rsidR="00CC71D6">
            <w:rPr>
              <w:noProof/>
            </w:rPr>
            <w:t xml:space="preserve"> (RANZCO, 2020)</w:t>
          </w:r>
          <w:r w:rsidR="00913DF1">
            <w:fldChar w:fldCharType="end"/>
          </w:r>
        </w:sdtContent>
      </w:sdt>
      <w:r w:rsidR="00A85F32">
        <w:t xml:space="preserve">; </w:t>
      </w:r>
      <w:r w:rsidR="008D5FB5">
        <w:t>i</w:t>
      </w:r>
      <w:r w:rsidR="008D5FB5" w:rsidRPr="008D5FB5">
        <w:t xml:space="preserve">n </w:t>
      </w:r>
      <w:r w:rsidR="00A85F32">
        <w:t>rural areas</w:t>
      </w:r>
      <w:r w:rsidR="008D5FB5" w:rsidRPr="008D5FB5">
        <w:t xml:space="preserve">, community </w:t>
      </w:r>
      <w:r w:rsidR="008D5FB5">
        <w:t>m</w:t>
      </w:r>
      <w:r w:rsidR="008D5FB5" w:rsidRPr="008D5FB5">
        <w:t>embers may often have to wait until an ophthalmologist visits the area or they may need to travel to a regional or metropolitan hospital for more complex diagnosis and treatment.</w:t>
      </w:r>
      <w:r w:rsidR="008D5FB5">
        <w:t xml:space="preserve"> </w:t>
      </w:r>
    </w:p>
    <w:p w14:paraId="1B5D97DC" w14:textId="1C1658BB" w:rsidR="00B47344" w:rsidRDefault="00742942" w:rsidP="006B40AA">
      <w:pPr>
        <w:ind w:left="426"/>
      </w:pPr>
      <w:r>
        <w:t>Clinician groups, patient organisations and peak bodies have stated that addressing geographic care inequities represents a priority in ophthalmology</w:t>
      </w:r>
      <w:r w:rsidR="00C857F5">
        <w:t xml:space="preserve"> </w:t>
      </w:r>
      <w:sdt>
        <w:sdtPr>
          <w:id w:val="-720520726"/>
          <w:citation/>
        </w:sdtPr>
        <w:sdtContent>
          <w:r w:rsidR="00BB2ABA">
            <w:fldChar w:fldCharType="begin"/>
          </w:r>
          <w:r w:rsidR="00F73F4A">
            <w:instrText xml:space="preserve">CITATION Dep19 \l 3081 </w:instrText>
          </w:r>
          <w:r w:rsidR="00BB2ABA">
            <w:fldChar w:fldCharType="separate"/>
          </w:r>
          <w:r w:rsidR="00CC71D6">
            <w:rPr>
              <w:noProof/>
            </w:rPr>
            <w:t>(DoH, 2019)</w:t>
          </w:r>
          <w:r w:rsidR="00BB2ABA">
            <w:fldChar w:fldCharType="end"/>
          </w:r>
        </w:sdtContent>
      </w:sdt>
      <w:r w:rsidR="00F73F4A">
        <w:t xml:space="preserve"> </w:t>
      </w:r>
      <w:sdt>
        <w:sdtPr>
          <w:id w:val="-1068796597"/>
          <w:citation/>
        </w:sdtPr>
        <w:sdtContent>
          <w:r w:rsidR="00F73F4A">
            <w:fldChar w:fldCharType="begin"/>
          </w:r>
          <w:r w:rsidR="00F73F4A">
            <w:instrText xml:space="preserve"> CITATION Dep18 \l 3081 </w:instrText>
          </w:r>
          <w:r w:rsidR="00F73F4A">
            <w:fldChar w:fldCharType="separate"/>
          </w:r>
          <w:r w:rsidR="00CC71D6">
            <w:rPr>
              <w:noProof/>
            </w:rPr>
            <w:t>(DoH, 2018)</w:t>
          </w:r>
          <w:r w:rsidR="00F73F4A">
            <w:fldChar w:fldCharType="end"/>
          </w:r>
        </w:sdtContent>
      </w:sdt>
      <w:r w:rsidR="00F73F4A">
        <w:t xml:space="preserve"> </w:t>
      </w:r>
      <w:sdt>
        <w:sdtPr>
          <w:id w:val="-545994070"/>
          <w:citation/>
        </w:sdtPr>
        <w:sdtContent>
          <w:r w:rsidR="00C857F5">
            <w:fldChar w:fldCharType="begin"/>
          </w:r>
          <w:r w:rsidR="00C857F5">
            <w:instrText xml:space="preserve">CITATION The21 \l 3081 </w:instrText>
          </w:r>
          <w:r w:rsidR="00C857F5">
            <w:fldChar w:fldCharType="separate"/>
          </w:r>
          <w:r w:rsidR="00CC71D6">
            <w:rPr>
              <w:noProof/>
            </w:rPr>
            <w:t>(RANZCO, 2021)</w:t>
          </w:r>
          <w:r w:rsidR="00C857F5">
            <w:fldChar w:fldCharType="end"/>
          </w:r>
        </w:sdtContent>
      </w:sdt>
      <w:r>
        <w:t xml:space="preserve">. </w:t>
      </w:r>
      <w:r w:rsidR="00A85F32">
        <w:t xml:space="preserve">The </w:t>
      </w:r>
      <w:r w:rsidR="00B47344" w:rsidRPr="00B47344">
        <w:t xml:space="preserve">PBAC </w:t>
      </w:r>
      <w:r w:rsidR="00A85F32">
        <w:t xml:space="preserve">and the Department of Health have noted these barriers </w:t>
      </w:r>
      <w:r w:rsidR="00B47344" w:rsidRPr="00B47344">
        <w:t xml:space="preserve">in </w:t>
      </w:r>
      <w:r w:rsidR="00A85F32">
        <w:t xml:space="preserve">prior considerations and public documents </w:t>
      </w:r>
      <w:sdt>
        <w:sdtPr>
          <w:id w:val="-133488131"/>
          <w:citation/>
        </w:sdtPr>
        <w:sdtContent>
          <w:r w:rsidR="00DF1224">
            <w:fldChar w:fldCharType="begin"/>
          </w:r>
          <w:r w:rsidR="00DF1224">
            <w:instrText xml:space="preserve"> CITATION PBA16 \l 3081 </w:instrText>
          </w:r>
          <w:r w:rsidR="00DF1224">
            <w:fldChar w:fldCharType="separate"/>
          </w:r>
          <w:r w:rsidR="00CC71D6">
            <w:rPr>
              <w:noProof/>
            </w:rPr>
            <w:t>(Ozurdex PSD, March 2016)</w:t>
          </w:r>
          <w:r w:rsidR="00DF1224">
            <w:fldChar w:fldCharType="end"/>
          </w:r>
        </w:sdtContent>
      </w:sdt>
      <w:sdt>
        <w:sdtPr>
          <w:id w:val="-1431971378"/>
          <w:citation/>
        </w:sdtPr>
        <w:sdtContent>
          <w:r w:rsidR="00913DF1">
            <w:fldChar w:fldCharType="begin"/>
          </w:r>
          <w:r w:rsidR="00726CCB">
            <w:instrText xml:space="preserve">CITATION DUS18 \l 3081 </w:instrText>
          </w:r>
          <w:r w:rsidR="00913DF1">
            <w:fldChar w:fldCharType="separate"/>
          </w:r>
          <w:r w:rsidR="00CC71D6">
            <w:rPr>
              <w:noProof/>
            </w:rPr>
            <w:t xml:space="preserve"> (DUSC, 2018)</w:t>
          </w:r>
          <w:r w:rsidR="00913DF1">
            <w:fldChar w:fldCharType="end"/>
          </w:r>
        </w:sdtContent>
      </w:sdt>
      <w:r w:rsidR="00A85F32">
        <w:t>.</w:t>
      </w:r>
      <w:r w:rsidR="00321B7F">
        <w:t xml:space="preserve">  </w:t>
      </w:r>
    </w:p>
    <w:p w14:paraId="729B5285" w14:textId="6F438690" w:rsidR="00E20952" w:rsidRPr="00386627" w:rsidRDefault="00E20952" w:rsidP="00E20952">
      <w:pPr>
        <w:ind w:left="426"/>
        <w:rPr>
          <w:i/>
        </w:rPr>
      </w:pPr>
      <w:r>
        <w:rPr>
          <w:i/>
        </w:rPr>
        <w:t>Unmet need and the Port Delivery System</w:t>
      </w:r>
    </w:p>
    <w:p w14:paraId="7615F871" w14:textId="2CCD625F" w:rsidR="00E20952" w:rsidRDefault="00E20952" w:rsidP="00E20952">
      <w:pPr>
        <w:ind w:left="426"/>
      </w:pPr>
      <w:r>
        <w:t>A need exists for novel interventions that reduce treatment burden, subsequently reducing patient clinic visits for treatment administration.  The Port Delivery System (</w:t>
      </w:r>
      <w:r w:rsidRPr="009C068B">
        <w:t>PDS</w:t>
      </w:r>
      <w:r>
        <w:t>)</w:t>
      </w:r>
      <w:r w:rsidRPr="009C068B">
        <w:t xml:space="preserve"> </w:t>
      </w:r>
      <w:r>
        <w:t xml:space="preserve">is </w:t>
      </w:r>
      <w:r w:rsidRPr="009C068B">
        <w:t xml:space="preserve">a permanent refillable </w:t>
      </w:r>
      <w:r>
        <w:t>ocular</w:t>
      </w:r>
      <w:r w:rsidRPr="009C068B">
        <w:t xml:space="preserve"> implant that continuously delivers a customised formulation of ranibizumab over a period of months, reducing the treatment burden associated with frequent eye injections.</w:t>
      </w:r>
    </w:p>
    <w:p w14:paraId="0BB14BF8" w14:textId="67BCF30F" w:rsidR="000F0149" w:rsidRDefault="000F0149" w:rsidP="000F0149">
      <w:pPr>
        <w:ind w:left="426"/>
      </w:pPr>
      <w:r>
        <w:t xml:space="preserve">The PBAC and the Department of Health have previously noted consumer comments for </w:t>
      </w:r>
      <w:r w:rsidR="00AA5F69">
        <w:t>treatment options</w:t>
      </w:r>
      <w:r>
        <w:t xml:space="preserve"> that require less frequent administrations; consumer input noting interventions being particularly beneficial for patients in rural and remote areas. </w:t>
      </w:r>
      <w:r w:rsidR="00AA5F69">
        <w:t xml:space="preserve">Consumer input </w:t>
      </w:r>
      <w:r w:rsidR="00AF0C43">
        <w:t>has</w:t>
      </w:r>
      <w:r w:rsidR="00AA5F69">
        <w:t xml:space="preserve"> highlighted the</w:t>
      </w:r>
      <w:r>
        <w:t xml:space="preserve"> benefits of less frequent injections </w:t>
      </w:r>
      <w:r w:rsidR="00AA5F69">
        <w:t xml:space="preserve">positively impacting patient acceptability, the </w:t>
      </w:r>
      <w:r>
        <w:t xml:space="preserve">reduced financial burden on patients, their </w:t>
      </w:r>
      <w:proofErr w:type="spellStart"/>
      <w:r>
        <w:t>carers</w:t>
      </w:r>
      <w:proofErr w:type="spellEnd"/>
      <w:r>
        <w:t xml:space="preserve"> and the </w:t>
      </w:r>
      <w:r w:rsidR="00AA5F69">
        <w:t>healthcare system</w:t>
      </w:r>
      <w:r w:rsidR="00DF1224">
        <w:t xml:space="preserve"> </w:t>
      </w:r>
      <w:sdt>
        <w:sdtPr>
          <w:id w:val="1859843823"/>
          <w:citation/>
        </w:sdtPr>
        <w:sdtContent>
          <w:r w:rsidR="00DF1224">
            <w:fldChar w:fldCharType="begin"/>
          </w:r>
          <w:r w:rsidR="00DF1224">
            <w:instrText xml:space="preserve"> CITATION Beo19 \l 3081 </w:instrText>
          </w:r>
          <w:r w:rsidR="00DF1224">
            <w:fldChar w:fldCharType="separate"/>
          </w:r>
          <w:r w:rsidR="00CC71D6">
            <w:rPr>
              <w:noProof/>
            </w:rPr>
            <w:t>(Beovu PSD, 2019)</w:t>
          </w:r>
          <w:r w:rsidR="00DF1224">
            <w:fldChar w:fldCharType="end"/>
          </w:r>
        </w:sdtContent>
      </w:sdt>
      <w:r w:rsidR="00AA5F69">
        <w:t>.</w:t>
      </w:r>
    </w:p>
    <w:p w14:paraId="11723765" w14:textId="660749A5" w:rsidR="00E20952" w:rsidRDefault="00E20952" w:rsidP="00E20952">
      <w:pPr>
        <w:ind w:left="426"/>
      </w:pPr>
      <w:r>
        <w:t>As noted earlier, the proposed services seek appropriate Medical Benefits Scheme reimbursement to enable the appropriate implantation, refill-exchange and explantation (if required) of the Port Delivery System’s ocular implant.</w:t>
      </w:r>
      <w:r w:rsidR="00DF1224">
        <w:t xml:space="preserve"> </w:t>
      </w:r>
      <w:r w:rsidR="00DF1224" w:rsidRPr="00DF1224">
        <w:t>The proposed services represent new co-dependent MBS items to cover the administration of a therapeutic.</w:t>
      </w:r>
    </w:p>
    <w:p w14:paraId="17E1BAAC"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1C2879FE" w14:textId="440F355C" w:rsidR="006B40AA" w:rsidRDefault="00321B7F" w:rsidP="006B40AA">
      <w:pPr>
        <w:ind w:left="426"/>
      </w:pPr>
      <w:r>
        <w:t xml:space="preserve">Based on foreshadowed PBS funding criteria, </w:t>
      </w:r>
      <w:r w:rsidR="006B40AA">
        <w:t xml:space="preserve">patients </w:t>
      </w:r>
      <w:r w:rsidR="00951A56">
        <w:t xml:space="preserve">with </w:t>
      </w:r>
      <w:proofErr w:type="spellStart"/>
      <w:r w:rsidR="00951A56">
        <w:t>nAMD</w:t>
      </w:r>
      <w:proofErr w:type="spellEnd"/>
      <w:r w:rsidR="00951A56">
        <w:t xml:space="preserve"> </w:t>
      </w:r>
      <w:r w:rsidR="006B40AA">
        <w:t xml:space="preserve">would be </w:t>
      </w:r>
      <w:r w:rsidR="006B40AA" w:rsidRPr="00B850AE">
        <w:t>eligible</w:t>
      </w:r>
      <w:r w:rsidR="006B40AA">
        <w:t xml:space="preserve"> for the proposed “</w:t>
      </w:r>
      <w:r w:rsidR="00DC3301">
        <w:t>Initial fill and i</w:t>
      </w:r>
      <w:r w:rsidR="006B40AA">
        <w:t>mplantation” medical service.  This is consistent with the</w:t>
      </w:r>
      <w:r w:rsidR="00951A56">
        <w:t xml:space="preserve"> proposed TGA indication.  It is noted that, in clinical practice, patients with </w:t>
      </w:r>
      <w:proofErr w:type="spellStart"/>
      <w:r w:rsidR="00951A56">
        <w:t>nAMD</w:t>
      </w:r>
      <w:proofErr w:type="spellEnd"/>
      <w:r w:rsidR="00951A56">
        <w:t xml:space="preserve"> who have previously been treated with and have responded to anti-VEGF therapy would be </w:t>
      </w:r>
      <w:r w:rsidR="00B96CC0">
        <w:t xml:space="preserve">treatment </w:t>
      </w:r>
      <w:r w:rsidR="00951A56">
        <w:t>candidates. This would be consistent with the primary</w:t>
      </w:r>
      <w:r w:rsidR="006B40AA">
        <w:t xml:space="preserve"> trial evidence </w:t>
      </w:r>
      <w:r w:rsidR="00951A56">
        <w:t>referred to in Q17.</w:t>
      </w:r>
    </w:p>
    <w:p w14:paraId="5DC026F7" w14:textId="472A1957" w:rsidR="006B40AA" w:rsidRPr="006B40AA" w:rsidRDefault="00321B7F" w:rsidP="006B40AA">
      <w:pPr>
        <w:ind w:left="426"/>
        <w:rPr>
          <w:szCs w:val="20"/>
        </w:rPr>
      </w:pPr>
      <w:r>
        <w:rPr>
          <w:szCs w:val="20"/>
        </w:rPr>
        <w:t>Clinician</w:t>
      </w:r>
      <w:r w:rsidR="006B40AA" w:rsidRPr="006B40AA">
        <w:rPr>
          <w:szCs w:val="20"/>
        </w:rPr>
        <w:t xml:space="preserve"> feedback </w:t>
      </w:r>
      <w:r>
        <w:rPr>
          <w:szCs w:val="20"/>
        </w:rPr>
        <w:t xml:space="preserve">to date </w:t>
      </w:r>
      <w:r w:rsidR="006B40AA" w:rsidRPr="006B40AA">
        <w:rPr>
          <w:szCs w:val="20"/>
        </w:rPr>
        <w:t>suggest</w:t>
      </w:r>
      <w:r w:rsidR="00AF0C43">
        <w:rPr>
          <w:szCs w:val="20"/>
        </w:rPr>
        <w:t>s</w:t>
      </w:r>
      <w:r w:rsidR="006B40AA" w:rsidRPr="006B40AA">
        <w:rPr>
          <w:szCs w:val="20"/>
        </w:rPr>
        <w:t xml:space="preserve"> </w:t>
      </w:r>
      <w:r w:rsidR="00951A56">
        <w:rPr>
          <w:szCs w:val="20"/>
        </w:rPr>
        <w:t xml:space="preserve">that </w:t>
      </w:r>
      <w:r w:rsidR="006B40AA">
        <w:rPr>
          <w:szCs w:val="20"/>
        </w:rPr>
        <w:t xml:space="preserve">patients </w:t>
      </w:r>
      <w:r w:rsidR="00774309">
        <w:rPr>
          <w:szCs w:val="20"/>
        </w:rPr>
        <w:t xml:space="preserve">are more </w:t>
      </w:r>
      <w:r w:rsidR="006B40AA">
        <w:rPr>
          <w:szCs w:val="20"/>
        </w:rPr>
        <w:t xml:space="preserve">likely to </w:t>
      </w:r>
      <w:r w:rsidR="006B40AA" w:rsidRPr="006B40AA">
        <w:rPr>
          <w:szCs w:val="20"/>
          <w:u w:val="single"/>
        </w:rPr>
        <w:t>elect</w:t>
      </w:r>
      <w:r w:rsidR="00951A56">
        <w:rPr>
          <w:szCs w:val="20"/>
        </w:rPr>
        <w:t xml:space="preserve"> treatment</w:t>
      </w:r>
      <w:r w:rsidR="00AF0C43">
        <w:rPr>
          <w:szCs w:val="20"/>
        </w:rPr>
        <w:t xml:space="preserve"> with the PDS</w:t>
      </w:r>
      <w:r w:rsidR="00774309">
        <w:rPr>
          <w:szCs w:val="20"/>
        </w:rPr>
        <w:t xml:space="preserve"> when</w:t>
      </w:r>
    </w:p>
    <w:p w14:paraId="2FA3B456" w14:textId="5763FBAD" w:rsidR="006B40AA" w:rsidRPr="006B40AA" w:rsidRDefault="004C26FD" w:rsidP="006B40AA">
      <w:pPr>
        <w:pStyle w:val="ListParagraph"/>
        <w:numPr>
          <w:ilvl w:val="0"/>
          <w:numId w:val="39"/>
        </w:numPr>
        <w:rPr>
          <w:szCs w:val="20"/>
        </w:rPr>
      </w:pPr>
      <w:r>
        <w:rPr>
          <w:szCs w:val="20"/>
        </w:rPr>
        <w:t>F</w:t>
      </w:r>
      <w:r w:rsidR="006B40AA" w:rsidRPr="006B40AA">
        <w:rPr>
          <w:szCs w:val="20"/>
        </w:rPr>
        <w:t xml:space="preserve">requent injections </w:t>
      </w:r>
      <w:r>
        <w:rPr>
          <w:szCs w:val="20"/>
        </w:rPr>
        <w:t xml:space="preserve">are required </w:t>
      </w:r>
      <w:r w:rsidR="006B40AA" w:rsidRPr="006B40AA">
        <w:rPr>
          <w:szCs w:val="20"/>
        </w:rPr>
        <w:t>(</w:t>
      </w:r>
      <w:proofErr w:type="spellStart"/>
      <w:r w:rsidR="006B40AA" w:rsidRPr="006B40AA">
        <w:rPr>
          <w:szCs w:val="20"/>
        </w:rPr>
        <w:t>ie</w:t>
      </w:r>
      <w:proofErr w:type="spellEnd"/>
      <w:r w:rsidR="006B40AA" w:rsidRPr="006B40AA">
        <w:rPr>
          <w:szCs w:val="20"/>
        </w:rPr>
        <w:t xml:space="preserve">. </w:t>
      </w:r>
      <w:r w:rsidR="00927733">
        <w:rPr>
          <w:szCs w:val="20"/>
        </w:rPr>
        <w:t>unable to treat and extend beyond monthly treatment)</w:t>
      </w:r>
    </w:p>
    <w:p w14:paraId="49C3066A" w14:textId="3652884E" w:rsidR="00AA5FDA" w:rsidRPr="006B40AA" w:rsidRDefault="006B40AA" w:rsidP="006B40AA">
      <w:pPr>
        <w:pStyle w:val="ListParagraph"/>
        <w:numPr>
          <w:ilvl w:val="0"/>
          <w:numId w:val="39"/>
        </w:numPr>
        <w:rPr>
          <w:szCs w:val="20"/>
        </w:rPr>
      </w:pPr>
      <w:r w:rsidRPr="006B40AA">
        <w:rPr>
          <w:szCs w:val="20"/>
        </w:rPr>
        <w:t>Geographical or personal circumstances (</w:t>
      </w:r>
      <w:proofErr w:type="spellStart"/>
      <w:r w:rsidRPr="006B40AA">
        <w:rPr>
          <w:szCs w:val="20"/>
        </w:rPr>
        <w:t>ie</w:t>
      </w:r>
      <w:proofErr w:type="spellEnd"/>
      <w:r w:rsidRPr="006B40AA">
        <w:rPr>
          <w:szCs w:val="20"/>
        </w:rPr>
        <w:t xml:space="preserve">. living remotely, low workforce access, or medical problems limiting frequent visits) </w:t>
      </w:r>
      <w:r w:rsidR="00951A56">
        <w:rPr>
          <w:szCs w:val="20"/>
        </w:rPr>
        <w:t>limit</w:t>
      </w:r>
      <w:r w:rsidR="004C26FD">
        <w:rPr>
          <w:szCs w:val="20"/>
        </w:rPr>
        <w:t>ing</w:t>
      </w:r>
      <w:r w:rsidRPr="006B40AA">
        <w:rPr>
          <w:szCs w:val="20"/>
        </w:rPr>
        <w:t xml:space="preserve"> access to clinical care</w:t>
      </w:r>
      <w:r w:rsidR="00951A56">
        <w:rPr>
          <w:szCs w:val="20"/>
        </w:rPr>
        <w:t xml:space="preserve"> consistent with their injection frequency needs</w:t>
      </w:r>
    </w:p>
    <w:p w14:paraId="59D9F79C"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565C7577" w14:textId="51C55B42" w:rsidR="00ED4780" w:rsidRDefault="00ED4780" w:rsidP="00D73646">
      <w:pPr>
        <w:ind w:left="426"/>
      </w:pPr>
      <w:r>
        <w:t>Clinical management pathways preceding patients being eligible for the proposed medical services would be unchanged.</w:t>
      </w:r>
    </w:p>
    <w:p w14:paraId="2C80CCC7" w14:textId="23CF667A" w:rsidR="00321B7F" w:rsidRDefault="00ED4780" w:rsidP="00D73646">
      <w:pPr>
        <w:ind w:left="426"/>
      </w:pPr>
      <w:r>
        <w:lastRenderedPageBreak/>
        <w:t xml:space="preserve">Current management of </w:t>
      </w:r>
      <w:proofErr w:type="spellStart"/>
      <w:r w:rsidR="00321B7F">
        <w:t>nAMD</w:t>
      </w:r>
      <w:proofErr w:type="spellEnd"/>
      <w:r w:rsidR="00321B7F">
        <w:t xml:space="preserve"> </w:t>
      </w:r>
      <w:r>
        <w:t xml:space="preserve">requires formal diagnosis by an </w:t>
      </w:r>
      <w:r w:rsidR="00321B7F" w:rsidRPr="00321B7F">
        <w:t>ophthalmologist</w:t>
      </w:r>
      <w:r>
        <w:t xml:space="preserve">.  </w:t>
      </w:r>
      <w:r w:rsidR="00C64872">
        <w:t>Consistent with current PBS criteria, o</w:t>
      </w:r>
      <w:r>
        <w:t xml:space="preserve">ptical coherence tomography </w:t>
      </w:r>
      <w:r w:rsidR="00C64872">
        <w:t xml:space="preserve">or fluorescein angiography </w:t>
      </w:r>
      <w:r>
        <w:t xml:space="preserve">is used for diagnosis (MBS </w:t>
      </w:r>
      <w:r w:rsidR="00EC1537">
        <w:t>item numbers</w:t>
      </w:r>
      <w:r>
        <w:t xml:space="preserve"> </w:t>
      </w:r>
      <w:hyperlink r:id="rId20" w:history="1">
        <w:r w:rsidRPr="00F04E98">
          <w:rPr>
            <w:rStyle w:val="Hyperlink"/>
          </w:rPr>
          <w:t>#11219</w:t>
        </w:r>
      </w:hyperlink>
      <w:r w:rsidR="00C64872">
        <w:t xml:space="preserve">, </w:t>
      </w:r>
      <w:hyperlink r:id="rId21" w:history="1">
        <w:r w:rsidR="00C64872" w:rsidRPr="00F04E98">
          <w:rPr>
            <w:rStyle w:val="Hyperlink"/>
          </w:rPr>
          <w:t>#11215</w:t>
        </w:r>
      </w:hyperlink>
      <w:r w:rsidR="00EC1537">
        <w:t>, respectively</w:t>
      </w:r>
      <w:r>
        <w:t>).</w:t>
      </w:r>
      <w:r w:rsidRPr="00B850AE">
        <w:t xml:space="preserve"> </w:t>
      </w:r>
      <w:r w:rsidRPr="00ED4780">
        <w:t xml:space="preserve">Treatment with intravitreal injections </w:t>
      </w:r>
      <w:r>
        <w:t xml:space="preserve">are also provided by </w:t>
      </w:r>
      <w:r w:rsidR="00372C17">
        <w:t>ophthalmologists</w:t>
      </w:r>
      <w:r>
        <w:t xml:space="preserve">; MBS </w:t>
      </w:r>
      <w:r w:rsidR="00EC1537">
        <w:t>item number</w:t>
      </w:r>
      <w:r>
        <w:t xml:space="preserve"> </w:t>
      </w:r>
      <w:hyperlink r:id="rId22" w:history="1">
        <w:r w:rsidRPr="00F04E98">
          <w:rPr>
            <w:rStyle w:val="Hyperlink"/>
          </w:rPr>
          <w:t>#42738</w:t>
        </w:r>
      </w:hyperlink>
      <w:r>
        <w:t xml:space="preserve">, </w:t>
      </w:r>
      <w:hyperlink r:id="rId23" w:history="1">
        <w:r w:rsidRPr="00F04E98">
          <w:rPr>
            <w:rStyle w:val="Hyperlink"/>
          </w:rPr>
          <w:t>#42739</w:t>
        </w:r>
      </w:hyperlink>
      <w:r>
        <w:t xml:space="preserve"> and </w:t>
      </w:r>
      <w:hyperlink r:id="rId24" w:history="1">
        <w:r w:rsidRPr="00F04E98">
          <w:rPr>
            <w:rStyle w:val="Hyperlink"/>
          </w:rPr>
          <w:t>#42740</w:t>
        </w:r>
      </w:hyperlink>
      <w:r>
        <w:t xml:space="preserve"> are commonly used for the injection of therapeutic substances</w:t>
      </w:r>
      <w:r w:rsidR="00B96CC0">
        <w:t xml:space="preserve"> into the eye</w:t>
      </w:r>
      <w:r>
        <w:t>.</w:t>
      </w:r>
      <w:r w:rsidR="0002746B">
        <w:t xml:space="preserve">  </w:t>
      </w:r>
      <w:r w:rsidR="008D2288">
        <w:t xml:space="preserve">It is noted that, </w:t>
      </w:r>
      <w:r w:rsidR="00724588">
        <w:t xml:space="preserve">patients continue on therapy </w:t>
      </w:r>
      <w:r w:rsidR="008D2288">
        <w:t xml:space="preserve">when </w:t>
      </w:r>
      <w:r w:rsidR="00724588">
        <w:t>they respond to treatment</w:t>
      </w:r>
      <w:r w:rsidR="008D2288">
        <w:t xml:space="preserve">. </w:t>
      </w:r>
      <w:r w:rsidR="0002746B">
        <w:t xml:space="preserve">This is depicted in </w:t>
      </w:r>
      <w:r w:rsidR="0002746B">
        <w:fldChar w:fldCharType="begin"/>
      </w:r>
      <w:r w:rsidR="0002746B">
        <w:instrText xml:space="preserve"> REF _Ref77942887 \h  \* MERGEFORMAT </w:instrText>
      </w:r>
      <w:r w:rsidR="0002746B">
        <w:fldChar w:fldCharType="separate"/>
      </w:r>
      <w:r w:rsidR="0002746B" w:rsidRPr="0002746B">
        <w:t>Figure 1</w:t>
      </w:r>
      <w:r w:rsidR="0002746B">
        <w:fldChar w:fldCharType="end"/>
      </w:r>
      <w:r w:rsidR="0002746B">
        <w:t>.</w:t>
      </w:r>
    </w:p>
    <w:p w14:paraId="2E6ECC61" w14:textId="688B408C" w:rsidR="0002746B" w:rsidRPr="00C64872" w:rsidRDefault="0002746B" w:rsidP="0002746B">
      <w:pPr>
        <w:ind w:left="426"/>
        <w:rPr>
          <w:b/>
        </w:rPr>
      </w:pPr>
      <w:bookmarkStart w:id="3" w:name="_Ref77942887"/>
      <w:r w:rsidRPr="00C64872">
        <w:rPr>
          <w:b/>
        </w:rPr>
        <w:t xml:space="preserve">Figure </w:t>
      </w:r>
      <w:r w:rsidRPr="00C64872">
        <w:rPr>
          <w:b/>
        </w:rPr>
        <w:fldChar w:fldCharType="begin"/>
      </w:r>
      <w:r w:rsidRPr="00C64872">
        <w:rPr>
          <w:b/>
        </w:rPr>
        <w:instrText xml:space="preserve"> SEQ Figure \* ARABIC </w:instrText>
      </w:r>
      <w:r w:rsidRPr="00C64872">
        <w:rPr>
          <w:b/>
        </w:rPr>
        <w:fldChar w:fldCharType="separate"/>
      </w:r>
      <w:r>
        <w:rPr>
          <w:b/>
          <w:noProof/>
        </w:rPr>
        <w:t>1</w:t>
      </w:r>
      <w:r w:rsidRPr="00C64872">
        <w:rPr>
          <w:b/>
        </w:rPr>
        <w:fldChar w:fldCharType="end"/>
      </w:r>
      <w:bookmarkEnd w:id="3"/>
      <w:r w:rsidRPr="00C64872">
        <w:rPr>
          <w:b/>
        </w:rPr>
        <w:t>:</w:t>
      </w:r>
      <w:r w:rsidRPr="00C64872">
        <w:rPr>
          <w:b/>
        </w:rPr>
        <w:tab/>
        <w:t xml:space="preserve">Current </w:t>
      </w:r>
      <w:r>
        <w:rPr>
          <w:b/>
        </w:rPr>
        <w:t>clinical management pathway</w:t>
      </w:r>
    </w:p>
    <w:p w14:paraId="6BA36706" w14:textId="20E0EA32" w:rsidR="0002746B" w:rsidRDefault="00267E24" w:rsidP="0002746B">
      <w:pPr>
        <w:ind w:left="426"/>
      </w:pPr>
      <w:r>
        <w:rPr>
          <w:noProof/>
          <w:lang w:eastAsia="en-AU"/>
        </w:rPr>
        <w:drawing>
          <wp:inline distT="0" distB="0" distL="0" distR="0" wp14:anchorId="6F853164" wp14:editId="57B565F7">
            <wp:extent cx="1923690" cy="2425065"/>
            <wp:effectExtent l="0" t="0" r="635" b="0"/>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pic:cNvPicPr/>
                  </pic:nvPicPr>
                  <pic:blipFill rotWithShape="1">
                    <a:blip r:embed="rId25"/>
                    <a:srcRect r="66437"/>
                    <a:stretch/>
                  </pic:blipFill>
                  <pic:spPr bwMode="auto">
                    <a:xfrm>
                      <a:off x="0" y="0"/>
                      <a:ext cx="1923690" cy="2425065"/>
                    </a:xfrm>
                    <a:prstGeom prst="rect">
                      <a:avLst/>
                    </a:prstGeom>
                    <a:ln>
                      <a:noFill/>
                    </a:ln>
                    <a:extLst>
                      <a:ext uri="{53640926-AAD7-44D8-BBD7-CCE9431645EC}">
                        <a14:shadowObscured xmlns:a14="http://schemas.microsoft.com/office/drawing/2010/main"/>
                      </a:ext>
                    </a:extLst>
                  </pic:spPr>
                </pic:pic>
              </a:graphicData>
            </a:graphic>
          </wp:inline>
        </w:drawing>
      </w:r>
    </w:p>
    <w:p w14:paraId="76B43D73" w14:textId="77777777" w:rsidR="0002746B" w:rsidRDefault="0002746B" w:rsidP="0002746B">
      <w:pPr>
        <w:spacing w:before="0" w:after="0"/>
        <w:ind w:left="426"/>
        <w:rPr>
          <w:sz w:val="14"/>
        </w:rPr>
      </w:pPr>
      <w:r>
        <w:rPr>
          <w:sz w:val="14"/>
        </w:rPr>
        <w:t>*Diagnosed by optical coherence tomography or fluorescein angiography (as per PBS criteria)</w:t>
      </w:r>
    </w:p>
    <w:p w14:paraId="40D134A0" w14:textId="332B356A" w:rsidR="007B4A5A" w:rsidRDefault="00ED4780" w:rsidP="000574DF">
      <w:pPr>
        <w:ind w:left="426"/>
      </w:pPr>
      <w:r>
        <w:t xml:space="preserve">The </w:t>
      </w:r>
      <w:r w:rsidR="0002746B">
        <w:t xml:space="preserve">proposed </w:t>
      </w:r>
      <w:r>
        <w:t xml:space="preserve">clinical management flowchart notes that </w:t>
      </w:r>
      <w:r w:rsidR="00B36BC4">
        <w:t xml:space="preserve">the PDS, comprising </w:t>
      </w:r>
      <w:r>
        <w:t xml:space="preserve">ranibizumab delivered via </w:t>
      </w:r>
      <w:r w:rsidR="002103F8">
        <w:t>the</w:t>
      </w:r>
      <w:r>
        <w:t xml:space="preserve"> ocular implant</w:t>
      </w:r>
      <w:r w:rsidR="005E044E">
        <w:t>, would be</w:t>
      </w:r>
      <w:r>
        <w:t xml:space="preserve"> an</w:t>
      </w:r>
      <w:r w:rsidR="00C4535D">
        <w:t xml:space="preserve"> alternative treatment option for patients who respond to</w:t>
      </w:r>
      <w:r>
        <w:t xml:space="preserve"> standard of care intravitreal </w:t>
      </w:r>
      <w:r w:rsidR="000F0149">
        <w:t>injections</w:t>
      </w:r>
      <w:r w:rsidR="0002746B">
        <w:t>, as depicted by a dotted line</w:t>
      </w:r>
      <w:r w:rsidR="000F0149">
        <w:t xml:space="preserve"> </w:t>
      </w:r>
      <w:r w:rsidR="00F7770E" w:rsidRPr="002A0F2A">
        <w:t>(</w:t>
      </w:r>
      <w:r w:rsidR="00F7770E" w:rsidRPr="002A0F2A">
        <w:fldChar w:fldCharType="begin"/>
      </w:r>
      <w:r w:rsidR="00F7770E" w:rsidRPr="002A0F2A">
        <w:instrText xml:space="preserve"> REF _Ref75159838 \h </w:instrText>
      </w:r>
      <w:r w:rsidR="002A0F2A" w:rsidRPr="002A0F2A">
        <w:instrText xml:space="preserve"> \* MERGEFORMAT </w:instrText>
      </w:r>
      <w:r w:rsidR="00F7770E" w:rsidRPr="002A0F2A">
        <w:fldChar w:fldCharType="separate"/>
      </w:r>
      <w:r w:rsidR="0002746B" w:rsidRPr="0002746B">
        <w:t>Figure 2</w:t>
      </w:r>
      <w:r w:rsidR="00F7770E" w:rsidRPr="002A0F2A">
        <w:fldChar w:fldCharType="end"/>
      </w:r>
      <w:r w:rsidR="00F7770E" w:rsidRPr="002A0F2A">
        <w:t>)</w:t>
      </w:r>
      <w:r w:rsidR="00B36BC4" w:rsidRPr="002A0F2A">
        <w:t>.</w:t>
      </w:r>
    </w:p>
    <w:p w14:paraId="0D1A5503" w14:textId="23A62E37" w:rsidR="00C64872" w:rsidRPr="00C64872" w:rsidRDefault="00C64872" w:rsidP="00C64872">
      <w:pPr>
        <w:ind w:left="426"/>
        <w:rPr>
          <w:b/>
        </w:rPr>
      </w:pPr>
      <w:bookmarkStart w:id="4" w:name="_Ref75159838"/>
      <w:bookmarkStart w:id="5" w:name="_Ref75161634"/>
      <w:r w:rsidRPr="00C64872">
        <w:rPr>
          <w:b/>
        </w:rPr>
        <w:t xml:space="preserve">Figure </w:t>
      </w:r>
      <w:r w:rsidRPr="00C64872">
        <w:rPr>
          <w:b/>
        </w:rPr>
        <w:fldChar w:fldCharType="begin"/>
      </w:r>
      <w:r w:rsidRPr="00C64872">
        <w:rPr>
          <w:b/>
        </w:rPr>
        <w:instrText xml:space="preserve"> SEQ Figure \* ARABIC </w:instrText>
      </w:r>
      <w:r w:rsidRPr="00C64872">
        <w:rPr>
          <w:b/>
        </w:rPr>
        <w:fldChar w:fldCharType="separate"/>
      </w:r>
      <w:r w:rsidR="0002746B">
        <w:rPr>
          <w:b/>
          <w:noProof/>
        </w:rPr>
        <w:t>2</w:t>
      </w:r>
      <w:r w:rsidRPr="00C64872">
        <w:rPr>
          <w:b/>
        </w:rPr>
        <w:fldChar w:fldCharType="end"/>
      </w:r>
      <w:bookmarkEnd w:id="4"/>
      <w:r w:rsidRPr="00C64872">
        <w:rPr>
          <w:b/>
        </w:rPr>
        <w:t>:</w:t>
      </w:r>
      <w:r w:rsidRPr="00C64872">
        <w:rPr>
          <w:b/>
        </w:rPr>
        <w:tab/>
      </w:r>
      <w:bookmarkStart w:id="6" w:name="_Ref75159833"/>
      <w:r w:rsidR="0002746B">
        <w:rPr>
          <w:b/>
        </w:rPr>
        <w:t>P</w:t>
      </w:r>
      <w:r w:rsidRPr="00C64872">
        <w:rPr>
          <w:b/>
        </w:rPr>
        <w:t xml:space="preserve">roposed </w:t>
      </w:r>
      <w:r>
        <w:rPr>
          <w:b/>
        </w:rPr>
        <w:t>clinical management pathway</w:t>
      </w:r>
      <w:bookmarkEnd w:id="5"/>
      <w:bookmarkEnd w:id="6"/>
    </w:p>
    <w:p w14:paraId="5B031C06" w14:textId="50E62493" w:rsidR="00C64872" w:rsidRDefault="00267E24" w:rsidP="00D73646">
      <w:pPr>
        <w:ind w:left="426"/>
      </w:pPr>
      <w:r>
        <w:rPr>
          <w:noProof/>
          <w:lang w:eastAsia="en-AU"/>
        </w:rPr>
        <w:drawing>
          <wp:inline distT="0" distB="0" distL="0" distR="0" wp14:anchorId="28160128" wp14:editId="1381E5E5">
            <wp:extent cx="5731510" cy="2425065"/>
            <wp:effectExtent l="0" t="0" r="2540" b="0"/>
            <wp:docPr id="4" name="Picture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icture"/>
                    <pic:cNvPicPr/>
                  </pic:nvPicPr>
                  <pic:blipFill>
                    <a:blip r:embed="rId25"/>
                    <a:stretch>
                      <a:fillRect/>
                    </a:stretch>
                  </pic:blipFill>
                  <pic:spPr>
                    <a:xfrm>
                      <a:off x="0" y="0"/>
                      <a:ext cx="5731510" cy="2425065"/>
                    </a:xfrm>
                    <a:prstGeom prst="rect">
                      <a:avLst/>
                    </a:prstGeom>
                  </pic:spPr>
                </pic:pic>
              </a:graphicData>
            </a:graphic>
          </wp:inline>
        </w:drawing>
      </w:r>
    </w:p>
    <w:p w14:paraId="4015CFD0" w14:textId="75CF4B16" w:rsidR="00C64872" w:rsidRDefault="00C64872" w:rsidP="00C64872">
      <w:pPr>
        <w:spacing w:before="0" w:after="0"/>
        <w:ind w:left="426"/>
        <w:rPr>
          <w:sz w:val="14"/>
        </w:rPr>
      </w:pPr>
      <w:r>
        <w:rPr>
          <w:sz w:val="14"/>
        </w:rPr>
        <w:t>*Diagnosed by optical coherence tomography or fluorescein angiography (as per PBS criteria)</w:t>
      </w:r>
    </w:p>
    <w:p w14:paraId="2C80794A" w14:textId="77777777" w:rsidR="007B4A5A" w:rsidRDefault="007B4A5A" w:rsidP="00C64872">
      <w:pPr>
        <w:spacing w:before="0" w:after="0"/>
        <w:ind w:left="426"/>
        <w:rPr>
          <w:sz w:val="14"/>
        </w:rPr>
      </w:pPr>
    </w:p>
    <w:p w14:paraId="76A858FB" w14:textId="77777777" w:rsidR="00C64872" w:rsidRPr="00C64872" w:rsidRDefault="00C64872" w:rsidP="00C64872">
      <w:pPr>
        <w:spacing w:before="0" w:after="0"/>
        <w:ind w:left="426"/>
        <w:rPr>
          <w:sz w:val="14"/>
        </w:rPr>
      </w:pPr>
    </w:p>
    <w:p w14:paraId="18077867" w14:textId="77777777" w:rsidR="002A50FD" w:rsidRPr="00881F93" w:rsidRDefault="005C3AE7" w:rsidP="00120204">
      <w:pPr>
        <w:pStyle w:val="Subtitle"/>
        <w:ind w:left="0"/>
      </w:pPr>
      <w:r>
        <w:t xml:space="preserve">PART 6b – </w:t>
      </w:r>
      <w:r w:rsidR="002A50FD" w:rsidRPr="00881F93">
        <w:t>INFORMATION ABOUT THE INTERVENTION</w:t>
      </w:r>
    </w:p>
    <w:p w14:paraId="71A2CB3A" w14:textId="77777777" w:rsidR="002A50FD" w:rsidRPr="00154B00" w:rsidRDefault="002A6753" w:rsidP="00530204">
      <w:pPr>
        <w:pStyle w:val="Heading2"/>
      </w:pPr>
      <w:bookmarkStart w:id="7" w:name="_Describe_the_key"/>
      <w:bookmarkEnd w:id="7"/>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3E33BE79" w14:textId="274149F2" w:rsidR="00720C9E" w:rsidRDefault="00955269" w:rsidP="00720C9E">
      <w:pPr>
        <w:ind w:left="426"/>
      </w:pPr>
      <w:r>
        <w:rPr>
          <w:u w:val="single"/>
        </w:rPr>
        <w:t>Initial fill and i</w:t>
      </w:r>
      <w:r w:rsidR="00C778DD" w:rsidRPr="00372C17">
        <w:rPr>
          <w:u w:val="single"/>
        </w:rPr>
        <w:t>mplantation</w:t>
      </w:r>
      <w:r w:rsidR="00C778DD" w:rsidRPr="00372C17">
        <w:t xml:space="preserve"> –</w:t>
      </w:r>
      <w:r w:rsidR="00D110E0">
        <w:t>The ocular implant, the size of a grain of rice,</w:t>
      </w:r>
      <w:r w:rsidR="00D110E0" w:rsidRPr="00D110E0">
        <w:t xml:space="preserve"> is surgical</w:t>
      </w:r>
      <w:r w:rsidR="00D110E0">
        <w:t xml:space="preserve">ly implanted at the pars plana. </w:t>
      </w:r>
      <w:r w:rsidR="002E1B61">
        <w:t>Prior to implantation, t</w:t>
      </w:r>
      <w:r w:rsidR="00D110E0">
        <w:t xml:space="preserve">he </w:t>
      </w:r>
      <w:r w:rsidR="002E1B61">
        <w:t xml:space="preserve">ocular </w:t>
      </w:r>
      <w:r w:rsidR="00D110E0">
        <w:t>implant is</w:t>
      </w:r>
      <w:r w:rsidR="00D110E0" w:rsidRPr="00D110E0">
        <w:t xml:space="preserve"> filled </w:t>
      </w:r>
      <w:r w:rsidR="00D110E0">
        <w:t xml:space="preserve">with </w:t>
      </w:r>
      <w:proofErr w:type="spellStart"/>
      <w:r w:rsidR="005E044E">
        <w:t>Susvimo</w:t>
      </w:r>
      <w:proofErr w:type="spellEnd"/>
      <w:r w:rsidR="005E044E">
        <w:t xml:space="preserve">®, a customised form of </w:t>
      </w:r>
      <w:r w:rsidR="00D110E0">
        <w:t>ranibizumab</w:t>
      </w:r>
      <w:r w:rsidR="00720C9E">
        <w:t xml:space="preserve">.  Once filled and implanted, the implant is designed to </w:t>
      </w:r>
      <w:r w:rsidR="00BA363E">
        <w:t>be permanent (</w:t>
      </w:r>
      <w:proofErr w:type="spellStart"/>
      <w:r w:rsidR="00BA363E">
        <w:t>ie</w:t>
      </w:r>
      <w:proofErr w:type="spellEnd"/>
      <w:r w:rsidR="00BA363E">
        <w:t xml:space="preserve">. lifelong) and </w:t>
      </w:r>
      <w:r w:rsidR="00720C9E">
        <w:t xml:space="preserve">provide continuous release of ranibizumab </w:t>
      </w:r>
      <w:r w:rsidR="00EE7F6A">
        <w:t xml:space="preserve">over an extended period of time. </w:t>
      </w:r>
    </w:p>
    <w:p w14:paraId="37FBCC54" w14:textId="2B20F15F" w:rsidR="001F0114" w:rsidRDefault="00D110E0" w:rsidP="00372C17">
      <w:pPr>
        <w:ind w:left="426"/>
      </w:pPr>
      <w:r>
        <w:t xml:space="preserve">Overall, the procedure will take </w:t>
      </w:r>
      <w:r w:rsidR="002A093C">
        <w:t>approximately</w:t>
      </w:r>
      <w:r>
        <w:t xml:space="preserve"> an hour.  This will be conducted by a vitreoretinal surgeon (</w:t>
      </w:r>
      <w:proofErr w:type="spellStart"/>
      <w:r>
        <w:t>ie</w:t>
      </w:r>
      <w:proofErr w:type="spellEnd"/>
      <w:r>
        <w:t>. A retina specialist who has specialised in ophthalmology and subspecialised in diseases and surgery of the vitreous body of the eye and the r</w:t>
      </w:r>
      <w:r w:rsidR="001F0114">
        <w:t>etina).</w:t>
      </w:r>
    </w:p>
    <w:p w14:paraId="177704BF" w14:textId="77777777" w:rsidR="00620B30" w:rsidRDefault="00620B30" w:rsidP="00620B30">
      <w:pPr>
        <w:ind w:left="426"/>
      </w:pPr>
      <w:r>
        <w:t>There are no similar procedures on the existing Medicare Benefits Schedule. Steps in the procedure are:</w:t>
      </w:r>
    </w:p>
    <w:p w14:paraId="4BFDC2BE" w14:textId="77777777" w:rsidR="00620B30" w:rsidRDefault="00620B30" w:rsidP="00620B30">
      <w:pPr>
        <w:pStyle w:val="ListParagraph"/>
        <w:numPr>
          <w:ilvl w:val="0"/>
          <w:numId w:val="47"/>
        </w:numPr>
      </w:pPr>
      <w:r>
        <w:t xml:space="preserve">Filling of the PDS device with </w:t>
      </w:r>
      <w:proofErr w:type="spellStart"/>
      <w:r w:rsidRPr="00814CD6">
        <w:t>Susvimo</w:t>
      </w:r>
      <w:proofErr w:type="spellEnd"/>
      <w:r w:rsidRPr="00814CD6">
        <w:t>®</w:t>
      </w:r>
    </w:p>
    <w:p w14:paraId="6124C511" w14:textId="6A4BF68F" w:rsidR="00620B30" w:rsidRDefault="00620B30" w:rsidP="00620B30">
      <w:pPr>
        <w:pStyle w:val="ListParagraph"/>
        <w:numPr>
          <w:ilvl w:val="0"/>
          <w:numId w:val="47"/>
        </w:numPr>
      </w:pPr>
      <w:r>
        <w:t xml:space="preserve">Conjunctival peritomy (similar to that in glaucoma filtering procedure, MBS item </w:t>
      </w:r>
      <w:hyperlink r:id="rId26" w:history="1">
        <w:r w:rsidRPr="00620B30">
          <w:rPr>
            <w:rStyle w:val="Hyperlink"/>
          </w:rPr>
          <w:t>#42746</w:t>
        </w:r>
      </w:hyperlink>
      <w:r>
        <w:t>) and external diathermy</w:t>
      </w:r>
    </w:p>
    <w:p w14:paraId="5AA91968" w14:textId="5882A8E2" w:rsidR="00620B30" w:rsidRDefault="00620B30" w:rsidP="00620B30">
      <w:pPr>
        <w:pStyle w:val="ListParagraph"/>
        <w:numPr>
          <w:ilvl w:val="0"/>
          <w:numId w:val="47"/>
        </w:numPr>
      </w:pPr>
      <w:r>
        <w:t xml:space="preserve">Creation of pars plana sclerotomy (as performed in pars plana vitrectomy, MBS item </w:t>
      </w:r>
      <w:hyperlink r:id="rId27" w:history="1">
        <w:r w:rsidRPr="00620B30">
          <w:rPr>
            <w:rStyle w:val="Hyperlink"/>
          </w:rPr>
          <w:t>#42725</w:t>
        </w:r>
      </w:hyperlink>
      <w:r>
        <w:t>, but a single/larger sclerotomy)</w:t>
      </w:r>
    </w:p>
    <w:p w14:paraId="24408AC4" w14:textId="169372C5" w:rsidR="00620B30" w:rsidRDefault="00620B30" w:rsidP="00620B30">
      <w:pPr>
        <w:pStyle w:val="ListParagraph"/>
        <w:numPr>
          <w:ilvl w:val="0"/>
          <w:numId w:val="47"/>
        </w:numPr>
      </w:pPr>
      <w:proofErr w:type="spellStart"/>
      <w:r>
        <w:t>Endolaser</w:t>
      </w:r>
      <w:proofErr w:type="spellEnd"/>
      <w:r>
        <w:t xml:space="preserve"> to ciliary body (MBS item </w:t>
      </w:r>
      <w:hyperlink r:id="rId28" w:history="1">
        <w:r>
          <w:rPr>
            <w:rStyle w:val="Hyperlink"/>
          </w:rPr>
          <w:t>#4</w:t>
        </w:r>
        <w:r w:rsidRPr="00620B30">
          <w:rPr>
            <w:rStyle w:val="Hyperlink"/>
          </w:rPr>
          <w:t>2809</w:t>
        </w:r>
      </w:hyperlink>
      <w:r>
        <w:t>)</w:t>
      </w:r>
    </w:p>
    <w:p w14:paraId="5B184ED4" w14:textId="77777777" w:rsidR="00620B30" w:rsidRDefault="00620B30" w:rsidP="00620B30">
      <w:pPr>
        <w:pStyle w:val="ListParagraph"/>
        <w:numPr>
          <w:ilvl w:val="0"/>
          <w:numId w:val="47"/>
        </w:numPr>
      </w:pPr>
      <w:r>
        <w:t>External vitrectomy of any prolapsed vitreous</w:t>
      </w:r>
    </w:p>
    <w:p w14:paraId="4E94FBBF" w14:textId="77777777" w:rsidR="00620B30" w:rsidRDefault="00620B30" w:rsidP="00620B30">
      <w:pPr>
        <w:pStyle w:val="ListParagraph"/>
        <w:numPr>
          <w:ilvl w:val="0"/>
          <w:numId w:val="47"/>
        </w:numPr>
      </w:pPr>
      <w:r>
        <w:t>Insertion of the PDS device through the pars plana sclerotomy</w:t>
      </w:r>
    </w:p>
    <w:p w14:paraId="448ABB55" w14:textId="77777777" w:rsidR="00620B30" w:rsidRDefault="00620B30" w:rsidP="00620B30">
      <w:pPr>
        <w:pStyle w:val="ListParagraph"/>
        <w:numPr>
          <w:ilvl w:val="0"/>
          <w:numId w:val="47"/>
        </w:numPr>
      </w:pPr>
      <w:r>
        <w:t>Suture closure of conjunctiva and Tenon's capsule</w:t>
      </w:r>
    </w:p>
    <w:p w14:paraId="1CAAD7F1" w14:textId="6E3D0771" w:rsidR="001F0114" w:rsidRDefault="00620B30" w:rsidP="00372C17">
      <w:pPr>
        <w:ind w:left="426"/>
      </w:pPr>
      <w:r>
        <w:t xml:space="preserve">In the absence of a directly comparable procedure, consulted </w:t>
      </w:r>
      <w:r w:rsidR="00886B12">
        <w:t>v</w:t>
      </w:r>
      <w:r w:rsidR="001F0114">
        <w:t xml:space="preserve">itreoretinal surgeons have noted that the implantation procedure </w:t>
      </w:r>
      <w:r w:rsidR="000C4368">
        <w:t xml:space="preserve">represents </w:t>
      </w:r>
      <w:r>
        <w:t xml:space="preserve">is intermediate in </w:t>
      </w:r>
      <w:r w:rsidR="001F0114">
        <w:t xml:space="preserve">complexity and time </w:t>
      </w:r>
      <w:r>
        <w:t>between t</w:t>
      </w:r>
      <w:r w:rsidR="000C4368">
        <w:t xml:space="preserve">he </w:t>
      </w:r>
      <w:r w:rsidR="001F0114">
        <w:t xml:space="preserve">MBS item </w:t>
      </w:r>
      <w:r w:rsidR="001F0114" w:rsidRPr="00620B30">
        <w:t xml:space="preserve">numbers </w:t>
      </w:r>
      <w:hyperlink r:id="rId29" w:history="1">
        <w:r w:rsidR="001F0114" w:rsidRPr="00620B30">
          <w:rPr>
            <w:rStyle w:val="Hyperlink"/>
          </w:rPr>
          <w:t>#42752</w:t>
        </w:r>
      </w:hyperlink>
      <w:r w:rsidR="001F0114" w:rsidRPr="00620B30">
        <w:t xml:space="preserve"> </w:t>
      </w:r>
      <w:r w:rsidR="000B09CF" w:rsidRPr="00620B30">
        <w:t>and</w:t>
      </w:r>
      <w:r w:rsidR="001F0114" w:rsidRPr="00620B30">
        <w:t xml:space="preserve"> </w:t>
      </w:r>
      <w:hyperlink r:id="rId30" w:history="1">
        <w:r w:rsidR="001F0114" w:rsidRPr="00620B30">
          <w:rPr>
            <w:rStyle w:val="Hyperlink"/>
          </w:rPr>
          <w:t>#4274</w:t>
        </w:r>
        <w:r w:rsidR="002A093C" w:rsidRPr="00620B30">
          <w:rPr>
            <w:rStyle w:val="Hyperlink"/>
          </w:rPr>
          <w:t>6</w:t>
        </w:r>
      </w:hyperlink>
      <w:r w:rsidR="000C5B99" w:rsidRPr="00620B30">
        <w:t>.</w:t>
      </w:r>
      <w:r w:rsidR="000B09CF" w:rsidRPr="00620B30">
        <w:t xml:space="preserve"> This</w:t>
      </w:r>
      <w:r w:rsidR="000B09CF">
        <w:t xml:space="preserve"> is further discussed, related to the proposed fee in </w:t>
      </w:r>
      <w:hyperlink w:anchor="_Indicate_the_likely" w:history="1">
        <w:r w:rsidR="000B09CF" w:rsidRPr="000B09CF">
          <w:rPr>
            <w:rStyle w:val="Hyperlink"/>
          </w:rPr>
          <w:t>Q51</w:t>
        </w:r>
      </w:hyperlink>
      <w:r w:rsidR="000B09CF">
        <w:t>.</w:t>
      </w:r>
    </w:p>
    <w:p w14:paraId="08CDA68C" w14:textId="78E10173" w:rsidR="000C5B99" w:rsidRPr="001F0114" w:rsidRDefault="00AE73ED" w:rsidP="00372C17">
      <w:pPr>
        <w:ind w:left="426"/>
        <w:rPr>
          <w:i/>
        </w:rPr>
      </w:pPr>
      <w:r>
        <w:t xml:space="preserve">Further details </w:t>
      </w:r>
      <w:r w:rsidR="000C5B99">
        <w:t>on the</w:t>
      </w:r>
      <w:r w:rsidR="007531A9">
        <w:t xml:space="preserve"> initial fill of the implant and the</w:t>
      </w:r>
      <w:r w:rsidR="000C5B99">
        <w:t xml:space="preserve"> implant</w:t>
      </w:r>
      <w:r w:rsidR="00B96CC0">
        <w:t>ation</w:t>
      </w:r>
      <w:r w:rsidR="000C5B99">
        <w:t xml:space="preserve"> procedure </w:t>
      </w:r>
      <w:r w:rsidR="00B96CC0">
        <w:t xml:space="preserve">is </w:t>
      </w:r>
      <w:r w:rsidR="007531A9">
        <w:t>provided</w:t>
      </w:r>
      <w:r w:rsidR="00B96CC0">
        <w:t xml:space="preserve"> in the </w:t>
      </w:r>
      <w:r>
        <w:t>“Instructions for Use” attachment (p. 16-41).</w:t>
      </w:r>
    </w:p>
    <w:p w14:paraId="4065C020" w14:textId="35688D00" w:rsidR="00720C9E" w:rsidRDefault="00C778DD" w:rsidP="00720C9E">
      <w:pPr>
        <w:ind w:left="426"/>
      </w:pPr>
      <w:r w:rsidRPr="00372C17">
        <w:rPr>
          <w:u w:val="single"/>
        </w:rPr>
        <w:t>Refill-exchange</w:t>
      </w:r>
      <w:r w:rsidRPr="00372C17">
        <w:t xml:space="preserve"> – Consistent with the proposed dosing and administration of </w:t>
      </w:r>
      <w:proofErr w:type="spellStart"/>
      <w:r w:rsidRPr="00372C17">
        <w:t>Susvimo</w:t>
      </w:r>
      <w:proofErr w:type="spellEnd"/>
      <w:r w:rsidRPr="00372C17">
        <w:t xml:space="preserve">® </w:t>
      </w:r>
      <w:r w:rsidR="00720C9E">
        <w:t>(</w:t>
      </w:r>
      <w:r w:rsidRPr="00372C17">
        <w:t>ranibizumab</w:t>
      </w:r>
      <w:r w:rsidR="00720C9E">
        <w:t>)</w:t>
      </w:r>
      <w:r w:rsidRPr="00372C17">
        <w:t xml:space="preserve">, a patient will attend a consultation and have their ocular implant refilled every six months.  </w:t>
      </w:r>
      <w:r w:rsidR="00720C9E">
        <w:t>This refill-exchange procedure is performed using the provided, proprietary refill needle; it allows implant contents to be extracted simultaneously as the implant is filled with replacement ranibizumab. Ranibizumab passively diffuses into the vitreous following the refill-exchange procedure.</w:t>
      </w:r>
    </w:p>
    <w:p w14:paraId="1F0C97B9" w14:textId="641BAF06" w:rsidR="00C778DD" w:rsidRDefault="00D110E0" w:rsidP="00372C17">
      <w:pPr>
        <w:ind w:left="426"/>
      </w:pPr>
      <w:r w:rsidRPr="00372C17">
        <w:t>A retinal specialist (an ophthalmologist with a subspecialty in the retina) will perform this</w:t>
      </w:r>
      <w:r w:rsidR="00B27FDE">
        <w:t xml:space="preserve">.  </w:t>
      </w:r>
      <w:r w:rsidR="002E1B61">
        <w:t>After more experience</w:t>
      </w:r>
      <w:r w:rsidR="006B328C">
        <w:t xml:space="preserve"> with PDS in Australia</w:t>
      </w:r>
      <w:r w:rsidR="002E1B61">
        <w:t xml:space="preserve">, training </w:t>
      </w:r>
      <w:r w:rsidR="00620B30">
        <w:t xml:space="preserve">in the refill-exchange procedure </w:t>
      </w:r>
      <w:r w:rsidR="002E1B61">
        <w:t xml:space="preserve">may be broadened to </w:t>
      </w:r>
      <w:r w:rsidRPr="00372C17">
        <w:t xml:space="preserve">general ophthalmologists </w:t>
      </w:r>
      <w:r w:rsidR="00E02B36">
        <w:t xml:space="preserve">who </w:t>
      </w:r>
      <w:r w:rsidR="00620B30">
        <w:t xml:space="preserve">are experienced </w:t>
      </w:r>
      <w:r w:rsidRPr="00372C17">
        <w:t>in conducting intravitreal injections</w:t>
      </w:r>
      <w:r w:rsidR="00C778DD" w:rsidRPr="00372C17">
        <w:t>.</w:t>
      </w:r>
    </w:p>
    <w:p w14:paraId="7AF5D78C" w14:textId="067583DB" w:rsidR="001F0114" w:rsidRDefault="00886B12" w:rsidP="001F0114">
      <w:pPr>
        <w:ind w:left="426"/>
      </w:pPr>
      <w:r>
        <w:t>Consulted r</w:t>
      </w:r>
      <w:r w:rsidR="001F0114">
        <w:t xml:space="preserve">etinal specialists have noted that the refill-exchange procedure is similar in terms of complexity and time to MBS item numbers </w:t>
      </w:r>
      <w:hyperlink r:id="rId31" w:history="1">
        <w:r w:rsidR="006F6EA6" w:rsidRPr="006F6EA6">
          <w:rPr>
            <w:rStyle w:val="Hyperlink"/>
          </w:rPr>
          <w:t>#42738</w:t>
        </w:r>
      </w:hyperlink>
      <w:r w:rsidR="006F6EA6">
        <w:t xml:space="preserve">, </w:t>
      </w:r>
      <w:hyperlink r:id="rId32" w:history="1">
        <w:r w:rsidR="006F6EA6" w:rsidRPr="006F6EA6">
          <w:rPr>
            <w:rStyle w:val="Hyperlink"/>
          </w:rPr>
          <w:t>#42739</w:t>
        </w:r>
      </w:hyperlink>
      <w:r w:rsidR="006F6EA6">
        <w:t xml:space="preserve"> and </w:t>
      </w:r>
      <w:hyperlink r:id="rId33" w:history="1">
        <w:r w:rsidR="006F6EA6" w:rsidRPr="006F6EA6">
          <w:rPr>
            <w:rStyle w:val="Hyperlink"/>
          </w:rPr>
          <w:t>#42740</w:t>
        </w:r>
      </w:hyperlink>
      <w:r w:rsidR="001F0114">
        <w:t>.</w:t>
      </w:r>
      <w:r w:rsidR="00720C9E">
        <w:t xml:space="preserve">  Clinicians have noted that the current MBS item descriptor for these item numbers sufficiently capture </w:t>
      </w:r>
      <w:r w:rsidR="00720C9E">
        <w:lastRenderedPageBreak/>
        <w:t>the refill-exchange procedure</w:t>
      </w:r>
      <w:r w:rsidR="002A093C">
        <w:t xml:space="preserve"> and that a separate MBS item number for refill-exchange may not be required</w:t>
      </w:r>
      <w:r w:rsidR="00720C9E">
        <w:t>.</w:t>
      </w:r>
    </w:p>
    <w:p w14:paraId="496F52EC" w14:textId="6E4B6173" w:rsidR="00AE73ED" w:rsidRPr="001F0114" w:rsidRDefault="00AE73ED" w:rsidP="00AE73ED">
      <w:pPr>
        <w:ind w:left="426"/>
        <w:rPr>
          <w:i/>
        </w:rPr>
      </w:pPr>
      <w:r>
        <w:t xml:space="preserve">Further details on the refill-exchange procedure is </w:t>
      </w:r>
      <w:r w:rsidR="007531A9">
        <w:t>provided</w:t>
      </w:r>
      <w:r>
        <w:t xml:space="preserve"> in the “Instructions for Use” attachment (p. 54-62).</w:t>
      </w:r>
    </w:p>
    <w:p w14:paraId="412568E0" w14:textId="1781DA5B" w:rsidR="00C778DD" w:rsidRDefault="00C778DD" w:rsidP="00372C17">
      <w:pPr>
        <w:ind w:left="426"/>
      </w:pPr>
      <w:r w:rsidRPr="00372C17">
        <w:rPr>
          <w:u w:val="single"/>
        </w:rPr>
        <w:t>Explantation (if needed)</w:t>
      </w:r>
      <w:r w:rsidRPr="00372C17">
        <w:t xml:space="preserve"> – In the </w:t>
      </w:r>
      <w:r w:rsidR="006824B9">
        <w:t xml:space="preserve">uncommon </w:t>
      </w:r>
      <w:r w:rsidRPr="00372C17">
        <w:t xml:space="preserve">clinical circumstance that the ocular implant needs to be removed, this will be conducted by a </w:t>
      </w:r>
      <w:r w:rsidR="00D110E0">
        <w:t>vitreoretinal surgeon.</w:t>
      </w:r>
      <w:r w:rsidR="00720C9E">
        <w:t xml:space="preserve">  The explant tool is a pair of forceps used to grasp and engage the implant during removal.</w:t>
      </w:r>
    </w:p>
    <w:p w14:paraId="2A76B999" w14:textId="77777777" w:rsidR="007B4A5A" w:rsidRDefault="007B4A5A" w:rsidP="007B4A5A">
      <w:pPr>
        <w:ind w:left="426"/>
      </w:pPr>
      <w:r>
        <w:t>Steps in the procedure are</w:t>
      </w:r>
    </w:p>
    <w:p w14:paraId="27BAF5D4" w14:textId="77777777" w:rsidR="007B4A5A" w:rsidRDefault="007B4A5A" w:rsidP="007B4A5A">
      <w:pPr>
        <w:pStyle w:val="ListParagraph"/>
        <w:numPr>
          <w:ilvl w:val="0"/>
          <w:numId w:val="47"/>
        </w:numPr>
      </w:pPr>
      <w:r>
        <w:t>Conjunctival peritomy</w:t>
      </w:r>
    </w:p>
    <w:p w14:paraId="4A759849" w14:textId="77777777" w:rsidR="007B4A5A" w:rsidRDefault="007B4A5A" w:rsidP="007B4A5A">
      <w:pPr>
        <w:pStyle w:val="ListParagraph"/>
        <w:numPr>
          <w:ilvl w:val="0"/>
          <w:numId w:val="47"/>
        </w:numPr>
      </w:pPr>
      <w:r>
        <w:t>Remove any fibrous capsule covering the implant</w:t>
      </w:r>
    </w:p>
    <w:p w14:paraId="1C60134B" w14:textId="77777777" w:rsidR="007B4A5A" w:rsidRDefault="007B4A5A" w:rsidP="007B4A5A">
      <w:pPr>
        <w:pStyle w:val="ListParagraph"/>
        <w:numPr>
          <w:ilvl w:val="0"/>
          <w:numId w:val="47"/>
        </w:numPr>
      </w:pPr>
      <w:r>
        <w:t>Stabilise the globe and align the explant tool</w:t>
      </w:r>
    </w:p>
    <w:p w14:paraId="2CD0F7DE" w14:textId="77777777" w:rsidR="007B4A5A" w:rsidRDefault="007B4A5A" w:rsidP="007B4A5A">
      <w:pPr>
        <w:pStyle w:val="ListParagraph"/>
        <w:numPr>
          <w:ilvl w:val="0"/>
          <w:numId w:val="47"/>
        </w:numPr>
      </w:pPr>
      <w:r>
        <w:t>Grasp and remove the implant</w:t>
      </w:r>
    </w:p>
    <w:p w14:paraId="67C1CE65" w14:textId="77777777" w:rsidR="007B4A5A" w:rsidRDefault="007B4A5A" w:rsidP="007B4A5A">
      <w:pPr>
        <w:pStyle w:val="ListParagraph"/>
        <w:numPr>
          <w:ilvl w:val="0"/>
          <w:numId w:val="47"/>
        </w:numPr>
      </w:pPr>
      <w:r>
        <w:t>Suture the sclera</w:t>
      </w:r>
    </w:p>
    <w:p w14:paraId="1117F53A" w14:textId="77777777" w:rsidR="007B4A5A" w:rsidRDefault="007B4A5A" w:rsidP="007B4A5A">
      <w:pPr>
        <w:pStyle w:val="ListParagraph"/>
        <w:numPr>
          <w:ilvl w:val="0"/>
          <w:numId w:val="47"/>
        </w:numPr>
      </w:pPr>
      <w:r>
        <w:t>Close Tenon's capsule and conjunctiva completely</w:t>
      </w:r>
    </w:p>
    <w:p w14:paraId="410A1356" w14:textId="7550666A" w:rsidR="001F0114" w:rsidRDefault="00A718C1" w:rsidP="007B4A5A">
      <w:pPr>
        <w:ind w:left="426"/>
      </w:pPr>
      <w:r>
        <w:t>In the absence of a directly comparable procedure, c</w:t>
      </w:r>
      <w:r w:rsidR="00487E49">
        <w:t xml:space="preserve">onsulted vitreoretinal surgeons have noted that the explantation procedure is somewhat more complex and time consuming than current MBS item number </w:t>
      </w:r>
      <w:hyperlink r:id="rId34" w:history="1">
        <w:r w:rsidR="00487E49" w:rsidRPr="007B4A5A">
          <w:rPr>
            <w:rStyle w:val="Hyperlink"/>
          </w:rPr>
          <w:t>#42</w:t>
        </w:r>
        <w:r w:rsidR="001F0114" w:rsidRPr="007B4A5A">
          <w:rPr>
            <w:rStyle w:val="Hyperlink"/>
          </w:rPr>
          <w:t>5</w:t>
        </w:r>
        <w:r w:rsidR="00487E49" w:rsidRPr="007B4A5A">
          <w:rPr>
            <w:rStyle w:val="Hyperlink"/>
          </w:rPr>
          <w:t>0</w:t>
        </w:r>
        <w:r w:rsidR="001F0114" w:rsidRPr="007B4A5A">
          <w:rPr>
            <w:rStyle w:val="Hyperlink"/>
          </w:rPr>
          <w:t>5</w:t>
        </w:r>
      </w:hyperlink>
      <w:r w:rsidR="001F0114">
        <w:t>.</w:t>
      </w:r>
      <w:r w:rsidR="007B4A5A">
        <w:t xml:space="preserve"> </w:t>
      </w:r>
      <w:r w:rsidR="000A5C4E">
        <w:t xml:space="preserve">Clinician advice is </w:t>
      </w:r>
      <w:r w:rsidR="007B4A5A">
        <w:t>that the explantation of the PDS</w:t>
      </w:r>
      <w:r w:rsidR="007B4A5A" w:rsidRPr="007B4A5A">
        <w:t xml:space="preserve"> involve</w:t>
      </w:r>
      <w:r w:rsidR="007B4A5A">
        <w:t>s</w:t>
      </w:r>
      <w:r w:rsidR="007B4A5A" w:rsidRPr="007B4A5A">
        <w:t xml:space="preserve"> more steps including scleral suturing</w:t>
      </w:r>
      <w:r w:rsidR="007B4A5A">
        <w:t xml:space="preserve"> and may also require</w:t>
      </w:r>
      <w:r w:rsidR="007B4A5A" w:rsidRPr="007B4A5A">
        <w:t xml:space="preserve"> potential vitrectomy of prolapsed vitreous</w:t>
      </w:r>
      <w:r>
        <w:t>, than #42505.</w:t>
      </w:r>
    </w:p>
    <w:p w14:paraId="5C42CDB2" w14:textId="297332CE" w:rsidR="00B27FDE" w:rsidRDefault="00AE73ED" w:rsidP="00AE73ED">
      <w:pPr>
        <w:ind w:left="426"/>
      </w:pPr>
      <w:r>
        <w:t xml:space="preserve">Further details on the </w:t>
      </w:r>
      <w:r w:rsidR="00B96CC0">
        <w:t>ocular implant removal</w:t>
      </w:r>
      <w:r>
        <w:t xml:space="preserve"> procedure is </w:t>
      </w:r>
      <w:r w:rsidR="007531A9">
        <w:t>provided</w:t>
      </w:r>
      <w:r w:rsidR="00B96CC0">
        <w:t xml:space="preserve"> </w:t>
      </w:r>
      <w:r>
        <w:t>in the “Instructions for Use” attachment (p. 78-91).</w:t>
      </w:r>
    </w:p>
    <w:p w14:paraId="4370DCC1" w14:textId="508552E2" w:rsidR="007B4A5A" w:rsidRDefault="007B4A5A" w:rsidP="00AE73ED">
      <w:pPr>
        <w:ind w:left="426"/>
      </w:pPr>
    </w:p>
    <w:p w14:paraId="25C98C48" w14:textId="613F834B" w:rsidR="007B4A5A" w:rsidRDefault="007B4A5A" w:rsidP="00AE73ED">
      <w:pPr>
        <w:ind w:left="426"/>
      </w:pPr>
    </w:p>
    <w:p w14:paraId="046587D8"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27B4D881" w14:textId="03DA3030" w:rsidR="00CB6642" w:rsidRDefault="001F0114" w:rsidP="00CB6642">
      <w:pPr>
        <w:ind w:left="426"/>
      </w:pPr>
      <w:r>
        <w:t>The proposed medical service for “</w:t>
      </w:r>
      <w:r w:rsidR="00DC3301">
        <w:t>Initial f</w:t>
      </w:r>
      <w:r w:rsidR="00F55CB3">
        <w:t>ill and im</w:t>
      </w:r>
      <w:r>
        <w:t>plantation” is likely to acknowledge “</w:t>
      </w:r>
      <w:r>
        <w:rPr>
          <w:i/>
        </w:rPr>
        <w:t xml:space="preserve">the </w:t>
      </w:r>
      <w:r w:rsidR="00F55CB3">
        <w:rPr>
          <w:i/>
        </w:rPr>
        <w:t xml:space="preserve">initial fill and </w:t>
      </w:r>
      <w:r>
        <w:rPr>
          <w:i/>
        </w:rPr>
        <w:t>implantation of an ocular</w:t>
      </w:r>
      <w:r w:rsidR="00F55CB3">
        <w:rPr>
          <w:i/>
        </w:rPr>
        <w:t xml:space="preserve"> implant</w:t>
      </w:r>
      <w:r>
        <w:rPr>
          <w:i/>
        </w:rPr>
        <w:t xml:space="preserve"> </w:t>
      </w:r>
      <w:r w:rsidR="005E044E">
        <w:rPr>
          <w:i/>
        </w:rPr>
        <w:t xml:space="preserve">for </w:t>
      </w:r>
      <w:proofErr w:type="spellStart"/>
      <w:r w:rsidR="005E044E">
        <w:rPr>
          <w:i/>
        </w:rPr>
        <w:t>Susvimo</w:t>
      </w:r>
      <w:proofErr w:type="spellEnd"/>
      <w:r w:rsidR="005E044E">
        <w:rPr>
          <w:i/>
        </w:rPr>
        <w:t>®</w:t>
      </w:r>
      <w:r>
        <w:rPr>
          <w:i/>
        </w:rPr>
        <w:t>”</w:t>
      </w:r>
      <w:r w:rsidR="00145CE1">
        <w:t>.</w:t>
      </w:r>
      <w:r w:rsidR="00070711">
        <w:t xml:space="preserve"> T</w:t>
      </w:r>
      <w:r>
        <w:t>his is not unprecedented; MBS item number</w:t>
      </w:r>
      <w:r w:rsidR="007531A9">
        <w:t>s</w:t>
      </w:r>
      <w:r>
        <w:t xml:space="preserve"> </w:t>
      </w:r>
      <w:hyperlink r:id="rId35" w:history="1">
        <w:r w:rsidR="006F6EA6" w:rsidRPr="006F6EA6">
          <w:rPr>
            <w:rStyle w:val="Hyperlink"/>
          </w:rPr>
          <w:t>#42752</w:t>
        </w:r>
      </w:hyperlink>
      <w:r>
        <w:t xml:space="preserve"> (insertion) </w:t>
      </w:r>
      <w:r w:rsidR="007531A9">
        <w:t xml:space="preserve">reference </w:t>
      </w:r>
      <w:r w:rsidR="005E044E">
        <w:t xml:space="preserve">to </w:t>
      </w:r>
      <w:r w:rsidR="007531A9">
        <w:t xml:space="preserve">ocular </w:t>
      </w:r>
      <w:r w:rsidR="008B11E7">
        <w:t xml:space="preserve">implantable </w:t>
      </w:r>
      <w:r w:rsidR="005E044E">
        <w:t>devices with trademark components</w:t>
      </w:r>
      <w:r>
        <w:t>.</w:t>
      </w:r>
    </w:p>
    <w:p w14:paraId="152251FA" w14:textId="048BFF89" w:rsidR="00CB6642" w:rsidRDefault="00886B12" w:rsidP="00CB6642">
      <w:pPr>
        <w:ind w:left="426"/>
      </w:pPr>
      <w:r>
        <w:t>The applicant</w:t>
      </w:r>
      <w:r w:rsidR="00CB6642">
        <w:t xml:space="preserve"> is amenable to a more generic item descriptor, but recognises that the clear specification ensures clear and un</w:t>
      </w:r>
      <w:r w:rsidR="00C172C7">
        <w:t>equivocal intent of the service.</w:t>
      </w:r>
    </w:p>
    <w:p w14:paraId="4B786D18"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65FE209C" w14:textId="01AFCE1A" w:rsidR="00DF0C51" w:rsidRDefault="00385607" w:rsidP="00E357B9">
      <w:pPr>
        <w:ind w:left="426"/>
      </w:pPr>
      <w:r>
        <w:t xml:space="preserve">As previously noted, no change is proposed to the management pathway in patients with </w:t>
      </w:r>
      <w:proofErr w:type="spellStart"/>
      <w:r>
        <w:t>nAMD</w:t>
      </w:r>
      <w:proofErr w:type="spellEnd"/>
      <w:r w:rsidR="00273E20">
        <w:t>, rather, this represents a new method of delivering (via an ocular implant) into the eye a</w:t>
      </w:r>
      <w:r w:rsidR="002103F8">
        <w:t xml:space="preserve"> well-established</w:t>
      </w:r>
      <w:r w:rsidR="00273E20">
        <w:t xml:space="preserve"> active ingredient </w:t>
      </w:r>
      <w:r w:rsidR="002103F8">
        <w:t xml:space="preserve">with the </w:t>
      </w:r>
      <w:r w:rsidR="00273E20">
        <w:t>same pharmacological effect as products currently listed on the PBS</w:t>
      </w:r>
      <w:r>
        <w:t>.</w:t>
      </w:r>
    </w:p>
    <w:p w14:paraId="32FA0E3A" w14:textId="3DAE8E40" w:rsidR="00273E20" w:rsidRDefault="00CB6642" w:rsidP="00E357B9">
      <w:pPr>
        <w:ind w:left="426"/>
        <w:rPr>
          <w:b/>
          <w:szCs w:val="20"/>
        </w:rPr>
      </w:pPr>
      <w:r>
        <w:t>As</w:t>
      </w:r>
      <w:r w:rsidR="00273E20">
        <w:t xml:space="preserve"> noted before, the proposed intervention (inclusive of the proposed medical services), describes an intervention which represents an alternative option to current PBS listed therapies (delivered via intravitreal injection).</w:t>
      </w:r>
    </w:p>
    <w:p w14:paraId="6135FA47"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6ECF6E6D" w14:textId="5981020D" w:rsidR="00CC09D7" w:rsidRPr="00154B00" w:rsidRDefault="002A093C" w:rsidP="00E357B9">
      <w:pPr>
        <w:ind w:left="426"/>
        <w:rPr>
          <w:szCs w:val="20"/>
        </w:rPr>
      </w:pPr>
      <w:r>
        <w:t>None foreshadowed.</w:t>
      </w:r>
    </w:p>
    <w:p w14:paraId="26CC365F"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034EAE36" w14:textId="2BE5186A" w:rsidR="00791C8D" w:rsidRPr="00154B00" w:rsidRDefault="002A093C" w:rsidP="00884E69">
      <w:pPr>
        <w:ind w:left="426"/>
        <w:rPr>
          <w:szCs w:val="20"/>
        </w:rPr>
      </w:pPr>
      <w:r>
        <w:t>None foreshadowed.</w:t>
      </w:r>
    </w:p>
    <w:p w14:paraId="7C7DFCF8"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4075D6BF" w14:textId="7D872EFD" w:rsidR="008B11E7" w:rsidRPr="008B11E7" w:rsidRDefault="008B11E7" w:rsidP="00E20952">
      <w:pPr>
        <w:ind w:left="426"/>
      </w:pPr>
      <w:r>
        <w:t>As noted in Q27.</w:t>
      </w:r>
    </w:p>
    <w:p w14:paraId="42D24BF7" w14:textId="3CD131F2" w:rsidR="00C778DD" w:rsidRDefault="00955269" w:rsidP="00E20952">
      <w:pPr>
        <w:ind w:left="426"/>
      </w:pPr>
      <w:r>
        <w:rPr>
          <w:u w:val="single"/>
        </w:rPr>
        <w:t>Initial fill and i</w:t>
      </w:r>
      <w:r w:rsidR="00C778DD" w:rsidRPr="00E20952">
        <w:rPr>
          <w:u w:val="single"/>
        </w:rPr>
        <w:t>mplantation</w:t>
      </w:r>
      <w:r w:rsidR="00C778DD" w:rsidRPr="00E20952">
        <w:t xml:space="preserve"> – Vitreoretinal surgeons</w:t>
      </w:r>
    </w:p>
    <w:p w14:paraId="18B90A97" w14:textId="5B3BBBC7" w:rsidR="00C778DD" w:rsidRPr="00E20952" w:rsidRDefault="00C778DD" w:rsidP="00E20952">
      <w:pPr>
        <w:ind w:left="426"/>
      </w:pPr>
      <w:r w:rsidRPr="00E20952">
        <w:rPr>
          <w:u w:val="single"/>
        </w:rPr>
        <w:t>Refill-exchange</w:t>
      </w:r>
      <w:r w:rsidRPr="00E20952">
        <w:t xml:space="preserve"> – Vitreoretinal surgeons, retinal specialists (ophthalmology subspecialty)</w:t>
      </w:r>
      <w:r w:rsidR="00321B7F" w:rsidRPr="00E20952">
        <w:t>, general ophthalmologists</w:t>
      </w:r>
      <w:r w:rsidR="008B11E7">
        <w:t xml:space="preserve"> (after more experience with PDS in Australia, and for ophthalmologists trained and experienced in administering intravitreal injections</w:t>
      </w:r>
      <w:r w:rsidR="00321B7F" w:rsidRPr="00E20952">
        <w:t>)</w:t>
      </w:r>
    </w:p>
    <w:p w14:paraId="703B7CC3" w14:textId="3F5723B9" w:rsidR="00C778DD" w:rsidRDefault="00C778DD" w:rsidP="00E20952">
      <w:pPr>
        <w:ind w:left="426"/>
      </w:pPr>
      <w:r w:rsidRPr="00E20952">
        <w:rPr>
          <w:u w:val="single"/>
        </w:rPr>
        <w:t>Explantation (if needed)</w:t>
      </w:r>
      <w:r w:rsidRPr="00E20952">
        <w:t xml:space="preserve"> – Vitreoretinal surgeons</w:t>
      </w:r>
    </w:p>
    <w:p w14:paraId="335977BC"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0A533E38" w14:textId="0E8805E5" w:rsidR="00B17E26" w:rsidRPr="00154B00" w:rsidRDefault="00385607" w:rsidP="00884E69">
      <w:pPr>
        <w:ind w:left="426"/>
        <w:rPr>
          <w:szCs w:val="20"/>
        </w:rPr>
      </w:pPr>
      <w:r w:rsidRPr="00385607">
        <w:t>It is not anticipated that any other professional,</w:t>
      </w:r>
      <w:r>
        <w:t xml:space="preserve"> other than those </w:t>
      </w:r>
      <w:r w:rsidR="00CB6642">
        <w:t>listed</w:t>
      </w:r>
      <w:r>
        <w:t xml:space="preserve"> in </w:t>
      </w:r>
      <w:r w:rsidR="00793261">
        <w:t xml:space="preserve">Q32, </w:t>
      </w:r>
      <w:r>
        <w:t>would be able to conduct these procedures.</w:t>
      </w:r>
    </w:p>
    <w:p w14:paraId="3686926E"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63AC669E" w14:textId="3764A8DC" w:rsidR="00EA0E25" w:rsidRPr="00154B00" w:rsidRDefault="00793261" w:rsidP="00BC424B">
      <w:pPr>
        <w:ind w:left="426"/>
        <w:rPr>
          <w:szCs w:val="20"/>
        </w:rPr>
      </w:pPr>
      <w:r>
        <w:t xml:space="preserve">Not applicable; proposed TGA indications limit the use of the device and drugs to patients with </w:t>
      </w:r>
      <w:proofErr w:type="spellStart"/>
      <w:r>
        <w:t>nAMD</w:t>
      </w:r>
      <w:proofErr w:type="spellEnd"/>
      <w:r>
        <w:t>.</w:t>
      </w:r>
    </w:p>
    <w:p w14:paraId="67E9A160"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08E0C1E3" w14:textId="709C2F6B" w:rsidR="00EA0E25" w:rsidRDefault="00793261" w:rsidP="0073597B">
      <w:pPr>
        <w:ind w:left="426"/>
      </w:pPr>
      <w:r>
        <w:t>Vitreoretinal surgeons would be Fellows of the Royal Australian and New Zealand College of Ophthalmology (RANZCO).</w:t>
      </w:r>
    </w:p>
    <w:p w14:paraId="32D41B1A" w14:textId="71C98536" w:rsidR="00BB34EA" w:rsidRDefault="00886B12" w:rsidP="00477830">
      <w:pPr>
        <w:ind w:left="426"/>
      </w:pPr>
      <w:r>
        <w:t>The applicant</w:t>
      </w:r>
      <w:r w:rsidR="00793261">
        <w:t xml:space="preserve"> foreshadows </w:t>
      </w:r>
      <w:r w:rsidR="00477830">
        <w:t xml:space="preserve">additional risk minimisation activities </w:t>
      </w:r>
      <w:r w:rsidR="00E02B36">
        <w:t xml:space="preserve">as </w:t>
      </w:r>
      <w:r w:rsidR="00477830">
        <w:t xml:space="preserve">part of regulatory approval; the PDS Surgical Training Program is a training curriculum aimed to establish consistency in following the </w:t>
      </w:r>
      <w:r w:rsidR="003E5603">
        <w:t>“</w:t>
      </w:r>
      <w:r w:rsidR="0016114A" w:rsidRPr="003E5603">
        <w:rPr>
          <w:i/>
        </w:rPr>
        <w:t>Instructions For Use</w:t>
      </w:r>
      <w:r w:rsidR="003E5603">
        <w:t>”</w:t>
      </w:r>
      <w:r w:rsidR="00477830">
        <w:t xml:space="preserve"> (provided by the device Sponsor) and confidence in surgical procedures by developing surgical competence through pre-case training. In addition, ongoing surgical support tailored to physicians performing the PDS procedures will be made available </w:t>
      </w:r>
      <w:r w:rsidR="005E044E">
        <w:t>by the sponsor</w:t>
      </w:r>
      <w:r w:rsidR="00477830">
        <w:t>.</w:t>
      </w:r>
    </w:p>
    <w:p w14:paraId="317AC50F" w14:textId="77777777"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4DE68EA4"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20204">
        <w:rPr>
          <w:szCs w:val="20"/>
        </w:rPr>
      </w:r>
      <w:r w:rsidR="00120204">
        <w:rPr>
          <w:szCs w:val="20"/>
        </w:rPr>
        <w:fldChar w:fldCharType="separate"/>
      </w:r>
      <w:r w:rsidRPr="000A5B32">
        <w:rPr>
          <w:szCs w:val="20"/>
        </w:rPr>
        <w:fldChar w:fldCharType="end"/>
      </w:r>
      <w:r>
        <w:rPr>
          <w:szCs w:val="20"/>
        </w:rPr>
        <w:t xml:space="preserve"> </w:t>
      </w:r>
      <w:r>
        <w:t>Inpatient private hospital</w:t>
      </w:r>
      <w:r w:rsidR="0079354C">
        <w:t xml:space="preserve"> (admitted patient)</w:t>
      </w:r>
    </w:p>
    <w:p w14:paraId="20FAFA47"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20204">
        <w:rPr>
          <w:szCs w:val="20"/>
        </w:rPr>
      </w:r>
      <w:r w:rsidR="00120204">
        <w:rPr>
          <w:szCs w:val="20"/>
        </w:rPr>
        <w:fldChar w:fldCharType="separate"/>
      </w:r>
      <w:r w:rsidRPr="000A5B32">
        <w:rPr>
          <w:szCs w:val="20"/>
        </w:rPr>
        <w:fldChar w:fldCharType="end"/>
      </w:r>
      <w:r>
        <w:rPr>
          <w:szCs w:val="20"/>
        </w:rPr>
        <w:t xml:space="preserve"> </w:t>
      </w:r>
      <w:r>
        <w:t>Inpatient public hospital</w:t>
      </w:r>
      <w:r w:rsidR="0079354C">
        <w:t xml:space="preserve"> (admitted patient)</w:t>
      </w:r>
    </w:p>
    <w:p w14:paraId="57604152" w14:textId="35ED3EB5" w:rsidR="000A478F" w:rsidRDefault="00AF0C43"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120204">
        <w:rPr>
          <w:szCs w:val="20"/>
        </w:rPr>
      </w:r>
      <w:r w:rsidR="00120204">
        <w:rPr>
          <w:szCs w:val="20"/>
        </w:rPr>
        <w:fldChar w:fldCharType="separate"/>
      </w:r>
      <w:r>
        <w:rPr>
          <w:szCs w:val="20"/>
        </w:rPr>
        <w:fldChar w:fldCharType="end"/>
      </w:r>
      <w:r w:rsidR="000A478F">
        <w:rPr>
          <w:szCs w:val="20"/>
        </w:rPr>
        <w:t xml:space="preserve"> </w:t>
      </w:r>
      <w:r w:rsidR="003904AC">
        <w:rPr>
          <w:szCs w:val="20"/>
        </w:rPr>
        <w:t>Private o</w:t>
      </w:r>
      <w:r w:rsidR="000A478F">
        <w:t>utpatient clinic</w:t>
      </w:r>
    </w:p>
    <w:p w14:paraId="22B6C43A" w14:textId="54E71152" w:rsidR="0079354C" w:rsidRDefault="00AF0C43" w:rsidP="000A478F">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120204">
        <w:rPr>
          <w:szCs w:val="20"/>
        </w:rPr>
      </w:r>
      <w:r w:rsidR="00120204">
        <w:rPr>
          <w:szCs w:val="20"/>
        </w:rPr>
        <w:fldChar w:fldCharType="separate"/>
      </w:r>
      <w:r>
        <w:rPr>
          <w:szCs w:val="20"/>
        </w:rPr>
        <w:fldChar w:fldCharType="end"/>
      </w:r>
      <w:r w:rsidR="0079354C">
        <w:rPr>
          <w:szCs w:val="20"/>
        </w:rPr>
        <w:t xml:space="preserve"> Public outpatient clinic</w:t>
      </w:r>
    </w:p>
    <w:p w14:paraId="5892ABF4"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20204">
        <w:rPr>
          <w:szCs w:val="20"/>
        </w:rPr>
      </w:r>
      <w:r w:rsidR="00120204">
        <w:rPr>
          <w:szCs w:val="20"/>
        </w:rPr>
        <w:fldChar w:fldCharType="separate"/>
      </w:r>
      <w:r w:rsidRPr="000A5B32">
        <w:rPr>
          <w:szCs w:val="20"/>
        </w:rPr>
        <w:fldChar w:fldCharType="end"/>
      </w:r>
      <w:r>
        <w:rPr>
          <w:szCs w:val="20"/>
        </w:rPr>
        <w:t xml:space="preserve"> </w:t>
      </w:r>
      <w:r>
        <w:t>Emergency Department</w:t>
      </w:r>
    </w:p>
    <w:p w14:paraId="0DDB830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20204">
        <w:rPr>
          <w:szCs w:val="20"/>
        </w:rPr>
      </w:r>
      <w:r w:rsidR="00120204">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393ED07A" w14:textId="6D6F3310" w:rsidR="0079354C" w:rsidRDefault="00AF0C43" w:rsidP="000A478F">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120204">
        <w:rPr>
          <w:szCs w:val="20"/>
        </w:rPr>
      </w:r>
      <w:r w:rsidR="00120204">
        <w:rPr>
          <w:szCs w:val="20"/>
        </w:rPr>
        <w:fldChar w:fldCharType="separate"/>
      </w:r>
      <w:r>
        <w:rPr>
          <w:szCs w:val="20"/>
        </w:rPr>
        <w:fldChar w:fldCharType="end"/>
      </w:r>
      <w:r w:rsidR="0079354C">
        <w:rPr>
          <w:szCs w:val="20"/>
        </w:rPr>
        <w:t xml:space="preserve"> Private consulting rooms – specialist</w:t>
      </w:r>
    </w:p>
    <w:p w14:paraId="39D0BADA"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20204">
        <w:rPr>
          <w:szCs w:val="20"/>
        </w:rPr>
      </w:r>
      <w:r w:rsidR="00120204">
        <w:rPr>
          <w:szCs w:val="20"/>
        </w:rPr>
        <w:fldChar w:fldCharType="separate"/>
      </w:r>
      <w:r w:rsidRPr="000A5B32">
        <w:rPr>
          <w:szCs w:val="20"/>
        </w:rPr>
        <w:fldChar w:fldCharType="end"/>
      </w:r>
      <w:r>
        <w:rPr>
          <w:szCs w:val="20"/>
        </w:rPr>
        <w:t xml:space="preserve"> Private consulting rooms – other health practitioner (nurse or allied health)</w:t>
      </w:r>
    </w:p>
    <w:p w14:paraId="179D1191"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20204">
        <w:rPr>
          <w:szCs w:val="20"/>
        </w:rPr>
      </w:r>
      <w:r w:rsidR="00120204">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7FB7AF61" w14:textId="08B87772" w:rsidR="0079354C" w:rsidRDefault="00AF0C43"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120204">
        <w:rPr>
          <w:szCs w:val="20"/>
        </w:rPr>
      </w:r>
      <w:r w:rsidR="00120204">
        <w:rPr>
          <w:szCs w:val="20"/>
        </w:rPr>
        <w:fldChar w:fldCharType="separate"/>
      </w:r>
      <w:r>
        <w:rPr>
          <w:szCs w:val="20"/>
        </w:rPr>
        <w:fldChar w:fldCharType="end"/>
      </w:r>
      <w:r w:rsidR="0079354C">
        <w:rPr>
          <w:szCs w:val="20"/>
        </w:rPr>
        <w:t xml:space="preserve"> Private day surgery clinic (non-admitted patient)</w:t>
      </w:r>
    </w:p>
    <w:p w14:paraId="44D015EC"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20204">
        <w:rPr>
          <w:szCs w:val="20"/>
        </w:rPr>
      </w:r>
      <w:r w:rsidR="00120204">
        <w:rPr>
          <w:szCs w:val="20"/>
        </w:rPr>
        <w:fldChar w:fldCharType="separate"/>
      </w:r>
      <w:r w:rsidRPr="000A5B32">
        <w:rPr>
          <w:szCs w:val="20"/>
        </w:rPr>
        <w:fldChar w:fldCharType="end"/>
      </w:r>
      <w:r>
        <w:rPr>
          <w:szCs w:val="20"/>
        </w:rPr>
        <w:t xml:space="preserve"> Public day surgery clinic (admitted patient)</w:t>
      </w:r>
    </w:p>
    <w:p w14:paraId="7DE5D7F8" w14:textId="12224742" w:rsidR="0079354C" w:rsidRDefault="00AF0C43"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120204">
        <w:rPr>
          <w:szCs w:val="20"/>
        </w:rPr>
      </w:r>
      <w:r w:rsidR="00120204">
        <w:rPr>
          <w:szCs w:val="20"/>
        </w:rPr>
        <w:fldChar w:fldCharType="separate"/>
      </w:r>
      <w:r>
        <w:rPr>
          <w:szCs w:val="20"/>
        </w:rPr>
        <w:fldChar w:fldCharType="end"/>
      </w:r>
      <w:r w:rsidR="0079354C">
        <w:rPr>
          <w:szCs w:val="20"/>
        </w:rPr>
        <w:t xml:space="preserve"> Public day surgery clinic (non-admitted patient)</w:t>
      </w:r>
    </w:p>
    <w:p w14:paraId="759B521B"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20204">
        <w:rPr>
          <w:szCs w:val="20"/>
        </w:rPr>
      </w:r>
      <w:r w:rsidR="00120204">
        <w:rPr>
          <w:szCs w:val="20"/>
        </w:rPr>
        <w:fldChar w:fldCharType="separate"/>
      </w:r>
      <w:r w:rsidRPr="000A5B32">
        <w:rPr>
          <w:szCs w:val="20"/>
        </w:rPr>
        <w:fldChar w:fldCharType="end"/>
      </w:r>
      <w:r>
        <w:rPr>
          <w:szCs w:val="20"/>
        </w:rPr>
        <w:t xml:space="preserve"> </w:t>
      </w:r>
      <w:r>
        <w:t>Residential aged care facility</w:t>
      </w:r>
    </w:p>
    <w:p w14:paraId="62A9D051"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20204">
        <w:rPr>
          <w:szCs w:val="20"/>
        </w:rPr>
      </w:r>
      <w:r w:rsidR="00120204">
        <w:rPr>
          <w:szCs w:val="20"/>
        </w:rPr>
        <w:fldChar w:fldCharType="separate"/>
      </w:r>
      <w:r w:rsidRPr="000A5B32">
        <w:rPr>
          <w:szCs w:val="20"/>
        </w:rPr>
        <w:fldChar w:fldCharType="end"/>
      </w:r>
      <w:r>
        <w:rPr>
          <w:szCs w:val="20"/>
        </w:rPr>
        <w:t xml:space="preserve"> </w:t>
      </w:r>
      <w:r>
        <w:t>Patient’s home</w:t>
      </w:r>
    </w:p>
    <w:p w14:paraId="27A98CAB"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20204">
        <w:rPr>
          <w:szCs w:val="20"/>
        </w:rPr>
      </w:r>
      <w:r w:rsidR="00120204">
        <w:rPr>
          <w:szCs w:val="20"/>
        </w:rPr>
        <w:fldChar w:fldCharType="separate"/>
      </w:r>
      <w:r w:rsidRPr="000A5B32">
        <w:rPr>
          <w:szCs w:val="20"/>
        </w:rPr>
        <w:fldChar w:fldCharType="end"/>
      </w:r>
      <w:r>
        <w:rPr>
          <w:szCs w:val="20"/>
        </w:rPr>
        <w:t xml:space="preserve"> </w:t>
      </w:r>
      <w:r>
        <w:t>Laboratory</w:t>
      </w:r>
    </w:p>
    <w:p w14:paraId="2E863C69" w14:textId="4DF136B7" w:rsidR="000A478F" w:rsidRPr="000A478F" w:rsidRDefault="00AF0C43"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120204">
        <w:rPr>
          <w:szCs w:val="20"/>
        </w:rPr>
      </w:r>
      <w:r w:rsidR="00120204">
        <w:rPr>
          <w:szCs w:val="20"/>
        </w:rPr>
        <w:fldChar w:fldCharType="separate"/>
      </w:r>
      <w:r>
        <w:rPr>
          <w:szCs w:val="20"/>
        </w:rPr>
        <w:fldChar w:fldCharType="end"/>
      </w:r>
      <w:r w:rsidR="000A478F">
        <w:rPr>
          <w:szCs w:val="20"/>
        </w:rPr>
        <w:t xml:space="preserve"> </w:t>
      </w:r>
      <w:r w:rsidR="000A478F">
        <w:t>Other – please specify below</w:t>
      </w:r>
    </w:p>
    <w:p w14:paraId="17839C4F"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65BF90AE" w14:textId="3DD63DC3" w:rsidR="00AF0C43" w:rsidRPr="00AF0C43" w:rsidRDefault="00AF0C43" w:rsidP="00E20952">
      <w:pPr>
        <w:ind w:left="426"/>
      </w:pPr>
      <w:r w:rsidRPr="00AF0C43">
        <w:t xml:space="preserve">Given </w:t>
      </w:r>
      <w:r>
        <w:t>the three distinct procedures, the settings where the proposed medical services could be delivered are noted below.</w:t>
      </w:r>
    </w:p>
    <w:p w14:paraId="0240744F" w14:textId="73EEA8BE" w:rsidR="00C436E2" w:rsidRPr="00E20952" w:rsidRDefault="00724588" w:rsidP="00E20952">
      <w:pPr>
        <w:ind w:left="426"/>
        <w:rPr>
          <w:u w:val="single"/>
        </w:rPr>
      </w:pPr>
      <w:r>
        <w:rPr>
          <w:u w:val="single"/>
        </w:rPr>
        <w:t xml:space="preserve">Initial fill and implantation, </w:t>
      </w:r>
      <w:r w:rsidR="00C436E2" w:rsidRPr="00E20952">
        <w:rPr>
          <w:u w:val="single"/>
        </w:rPr>
        <w:t>explantation</w:t>
      </w:r>
    </w:p>
    <w:p w14:paraId="31F4413A" w14:textId="655D5491" w:rsidR="00AF0C43" w:rsidRDefault="000574DF" w:rsidP="00AF0C43">
      <w:pPr>
        <w:ind w:left="426"/>
      </w:pPr>
      <w:r>
        <w:t>Consulted clinicians note</w:t>
      </w:r>
      <w:r w:rsidR="00793261">
        <w:t xml:space="preserve"> that</w:t>
      </w:r>
      <w:r w:rsidR="00724588">
        <w:t xml:space="preserve"> these </w:t>
      </w:r>
      <w:r w:rsidR="00AF0C43">
        <w:t>procedures need to be conducted in an operating roo</w:t>
      </w:r>
      <w:r w:rsidR="00724588">
        <w:t>m.  As such</w:t>
      </w:r>
      <w:r w:rsidR="00AF0C43">
        <w:t xml:space="preserve"> the appropriate settings</w:t>
      </w:r>
      <w:r>
        <w:t xml:space="preserve"> where the proposed medical services will be delivered are:</w:t>
      </w:r>
      <w:r w:rsidR="00AF0C43">
        <w:t xml:space="preserve"> </w:t>
      </w:r>
    </w:p>
    <w:p w14:paraId="21295715" w14:textId="01C0B903" w:rsidR="00AF0C43" w:rsidRDefault="00AF0C43" w:rsidP="00AF0C43">
      <w:pPr>
        <w:pStyle w:val="ListParagraph"/>
        <w:numPr>
          <w:ilvl w:val="0"/>
          <w:numId w:val="46"/>
        </w:numPr>
        <w:spacing w:before="0" w:after="0"/>
      </w:pPr>
      <w:r>
        <w:t xml:space="preserve">Inpatient private hospital (admitted patient), </w:t>
      </w:r>
    </w:p>
    <w:p w14:paraId="6BA9FB13" w14:textId="77777777" w:rsidR="00AF0C43" w:rsidRDefault="00AF0C43" w:rsidP="00AF0C43">
      <w:pPr>
        <w:pStyle w:val="ListParagraph"/>
        <w:numPr>
          <w:ilvl w:val="0"/>
          <w:numId w:val="46"/>
        </w:numPr>
        <w:spacing w:before="0" w:after="0"/>
      </w:pPr>
      <w:r>
        <w:t xml:space="preserve">Inpatient public hospital (admitted patient), </w:t>
      </w:r>
    </w:p>
    <w:p w14:paraId="4E11C2DC" w14:textId="2B5DBDB1" w:rsidR="00AF0C43" w:rsidRDefault="00AF0C43" w:rsidP="00AF0C43">
      <w:pPr>
        <w:pStyle w:val="ListParagraph"/>
        <w:numPr>
          <w:ilvl w:val="0"/>
          <w:numId w:val="46"/>
        </w:numPr>
        <w:spacing w:before="0" w:after="0"/>
      </w:pPr>
      <w:r>
        <w:t xml:space="preserve">Private day surgery clinic (admitted patient), </w:t>
      </w:r>
    </w:p>
    <w:p w14:paraId="2CF378B5" w14:textId="5BB3F283" w:rsidR="00AF0C43" w:rsidRDefault="00AF0C43" w:rsidP="00AF0C43">
      <w:pPr>
        <w:pStyle w:val="ListParagraph"/>
        <w:numPr>
          <w:ilvl w:val="0"/>
          <w:numId w:val="46"/>
        </w:numPr>
        <w:spacing w:before="0" w:after="0"/>
      </w:pPr>
      <w:r>
        <w:t xml:space="preserve">Private day surgery clinic (non-admitted patient), </w:t>
      </w:r>
    </w:p>
    <w:p w14:paraId="7FB01A6C" w14:textId="360EE0A0" w:rsidR="00AF0C43" w:rsidRDefault="00AF0C43" w:rsidP="00AF0C43">
      <w:pPr>
        <w:pStyle w:val="ListParagraph"/>
        <w:numPr>
          <w:ilvl w:val="0"/>
          <w:numId w:val="46"/>
        </w:numPr>
        <w:spacing w:before="0" w:after="0"/>
      </w:pPr>
      <w:r>
        <w:t xml:space="preserve">Public day surgery clinic (admitted patient), </w:t>
      </w:r>
    </w:p>
    <w:p w14:paraId="024D2160" w14:textId="034CB933" w:rsidR="00AF0C43" w:rsidRDefault="00AF0C43" w:rsidP="00AF0C43">
      <w:pPr>
        <w:pStyle w:val="ListParagraph"/>
        <w:numPr>
          <w:ilvl w:val="0"/>
          <w:numId w:val="46"/>
        </w:numPr>
        <w:spacing w:before="0" w:after="0"/>
      </w:pPr>
      <w:r>
        <w:t>Public day surgery clinic (non-admitted patient)</w:t>
      </w:r>
    </w:p>
    <w:p w14:paraId="2F104443" w14:textId="22CCE033" w:rsidR="0073597B" w:rsidRDefault="00AF0C43" w:rsidP="00AF0C43">
      <w:pPr>
        <w:ind w:left="426"/>
      </w:pPr>
      <w:r>
        <w:t>D</w:t>
      </w:r>
      <w:r w:rsidR="00793261">
        <w:t>ue to resource limitations on operating theatre access, capacity constraints</w:t>
      </w:r>
      <w:r w:rsidR="00C436E2">
        <w:t xml:space="preserve"> and </w:t>
      </w:r>
      <w:r w:rsidR="00793261">
        <w:t xml:space="preserve">waiting lists </w:t>
      </w:r>
      <w:r w:rsidR="00FB2CE7">
        <w:t xml:space="preserve">(for other </w:t>
      </w:r>
      <w:r w:rsidR="00C436E2">
        <w:t xml:space="preserve">ophthalmological </w:t>
      </w:r>
      <w:r w:rsidR="00FB2CE7">
        <w:t xml:space="preserve">procedures) </w:t>
      </w:r>
      <w:r w:rsidR="00793261">
        <w:t xml:space="preserve">in the public hospital system, </w:t>
      </w:r>
      <w:r w:rsidR="00FB2CE7">
        <w:t xml:space="preserve">private </w:t>
      </w:r>
      <w:r w:rsidR="00724588">
        <w:t>settings (hospital or clinic)</w:t>
      </w:r>
      <w:r w:rsidR="00FB2CE7">
        <w:t xml:space="preserve"> would be anticipated to </w:t>
      </w:r>
      <w:r w:rsidR="00C436E2">
        <w:t>conduct the majority of the implantation procedure services.</w:t>
      </w:r>
    </w:p>
    <w:p w14:paraId="39B3601A" w14:textId="3A10D0FF" w:rsidR="00C436E2" w:rsidRPr="00E20952" w:rsidRDefault="00C436E2" w:rsidP="00E20952">
      <w:pPr>
        <w:ind w:left="426"/>
        <w:rPr>
          <w:u w:val="single"/>
        </w:rPr>
      </w:pPr>
      <w:r w:rsidRPr="00E20952">
        <w:rPr>
          <w:u w:val="single"/>
        </w:rPr>
        <w:t>Refill-exchange</w:t>
      </w:r>
    </w:p>
    <w:p w14:paraId="7AAFDCEB" w14:textId="0FF48A5C" w:rsidR="00AF0C43" w:rsidRDefault="000574DF" w:rsidP="000C5B99">
      <w:pPr>
        <w:ind w:left="426"/>
      </w:pPr>
      <w:r>
        <w:t>Consulted clinicians note</w:t>
      </w:r>
      <w:r w:rsidR="00C436E2">
        <w:t xml:space="preserve"> that the refill-exchange procedure can be conducted in an outpatient setting</w:t>
      </w:r>
      <w:r>
        <w:t>. As such the appropriate settings where the proposed medical service will be delivered are:</w:t>
      </w:r>
    </w:p>
    <w:p w14:paraId="51C89534" w14:textId="37B3965A" w:rsidR="00AF0C43" w:rsidRDefault="00AF0C43" w:rsidP="00AF0C43">
      <w:pPr>
        <w:pStyle w:val="ListParagraph"/>
        <w:numPr>
          <w:ilvl w:val="0"/>
          <w:numId w:val="46"/>
        </w:numPr>
        <w:spacing w:before="0" w:after="0"/>
      </w:pPr>
      <w:r w:rsidRPr="00AF0C43">
        <w:t>Private o</w:t>
      </w:r>
      <w:r>
        <w:t>utpatient clinic</w:t>
      </w:r>
    </w:p>
    <w:p w14:paraId="4C8A46FF" w14:textId="3A7621DA" w:rsidR="00AF0C43" w:rsidRPr="00AF0C43" w:rsidRDefault="00AF0C43" w:rsidP="00AF0C43">
      <w:pPr>
        <w:pStyle w:val="ListParagraph"/>
        <w:numPr>
          <w:ilvl w:val="0"/>
          <w:numId w:val="46"/>
        </w:numPr>
        <w:spacing w:before="0" w:after="0"/>
      </w:pPr>
      <w:r w:rsidRPr="00AF0C43">
        <w:t>Public outpatient clinic</w:t>
      </w:r>
    </w:p>
    <w:p w14:paraId="7F9BCE9D" w14:textId="5B217FB3" w:rsidR="00AF0C43" w:rsidRPr="00AF0C43" w:rsidRDefault="00AF0C43" w:rsidP="00AF0C43">
      <w:pPr>
        <w:pStyle w:val="ListParagraph"/>
        <w:numPr>
          <w:ilvl w:val="0"/>
          <w:numId w:val="46"/>
        </w:numPr>
        <w:spacing w:before="0" w:after="0"/>
      </w:pPr>
      <w:r w:rsidRPr="00AF0C43">
        <w:t>Private consulting rooms – specialist</w:t>
      </w:r>
    </w:p>
    <w:p w14:paraId="4B2FDBC0" w14:textId="737BFB59" w:rsidR="005E044E" w:rsidRDefault="000574DF" w:rsidP="000C5B99">
      <w:pPr>
        <w:ind w:left="426"/>
        <w:rPr>
          <w:i/>
        </w:rPr>
      </w:pPr>
      <w:r>
        <w:t>These settings are c</w:t>
      </w:r>
      <w:r w:rsidR="00BB34EA">
        <w:t xml:space="preserve">onsistent with </w:t>
      </w:r>
      <w:r>
        <w:t xml:space="preserve">where </w:t>
      </w:r>
      <w:r w:rsidR="00BB34EA">
        <w:t>intravitreal injections are currently performed.</w:t>
      </w:r>
      <w:r w:rsidR="00E67B0F">
        <w:t xml:space="preserve"> This </w:t>
      </w:r>
      <w:r w:rsidR="000C5B99">
        <w:t>would be</w:t>
      </w:r>
      <w:r w:rsidR="00C436E2">
        <w:t xml:space="preserve"> consistent with RANZCO’s “Choosing Wisely” Committee’s advice </w:t>
      </w:r>
      <w:r w:rsidR="00E67B0F">
        <w:t xml:space="preserve">that </w:t>
      </w:r>
      <w:r w:rsidR="000C5B99">
        <w:t>“</w:t>
      </w:r>
      <w:r w:rsidR="000C5B99" w:rsidRPr="000C5B99">
        <w:rPr>
          <w:i/>
        </w:rPr>
        <w:t>intravitreal injections may be safely performed on an outpatient basis. Don't perform routine intravitreal injections in a hospital or day surgery setting unless there is a valid clinical indication.”</w:t>
      </w:r>
    </w:p>
    <w:p w14:paraId="2FC32D13" w14:textId="08935917" w:rsidR="00AF0C43" w:rsidRDefault="008726CE" w:rsidP="008726CE">
      <w:pPr>
        <w:ind w:left="426"/>
      </w:pPr>
      <w:r>
        <w:t>It is anticipated that these procedures are “Type C” procedures, given they can be conducted out-of-hospital and do not normally require admission.</w:t>
      </w:r>
    </w:p>
    <w:p w14:paraId="1E1795B5" w14:textId="78CF7E5E" w:rsidR="003E30FB" w:rsidRDefault="003E30FB" w:rsidP="002A093C">
      <w:pPr>
        <w:pStyle w:val="Heading2"/>
      </w:pPr>
      <w:r>
        <w:t xml:space="preserve">Is the </w:t>
      </w:r>
      <w:r w:rsidRPr="001B29A1">
        <w:t>proposed</w:t>
      </w:r>
      <w:r>
        <w:t xml:space="preserve"> medical service intended to be entirely rendered in Australia?</w:t>
      </w:r>
    </w:p>
    <w:p w14:paraId="09D712A7" w14:textId="1FC876B8" w:rsidR="000A478F" w:rsidRDefault="00FB2CE7"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20204">
        <w:rPr>
          <w:szCs w:val="20"/>
        </w:rPr>
      </w:r>
      <w:r w:rsidR="00120204">
        <w:rPr>
          <w:szCs w:val="20"/>
        </w:rPr>
        <w:fldChar w:fldCharType="separate"/>
      </w:r>
      <w:r>
        <w:rPr>
          <w:szCs w:val="20"/>
        </w:rPr>
        <w:fldChar w:fldCharType="end"/>
      </w:r>
      <w:r w:rsidR="000A478F">
        <w:rPr>
          <w:szCs w:val="20"/>
        </w:rPr>
        <w:t xml:space="preserve"> Yes</w:t>
      </w:r>
    </w:p>
    <w:p w14:paraId="1AF3589A"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120204">
        <w:rPr>
          <w:szCs w:val="20"/>
        </w:rPr>
      </w:r>
      <w:r w:rsidR="00120204">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550AFFAD" w14:textId="77777777" w:rsidR="00E60529" w:rsidRPr="00881F93" w:rsidRDefault="005C3AE7" w:rsidP="00120204">
      <w:pPr>
        <w:pStyle w:val="Subtitle"/>
        <w:ind w:left="0"/>
      </w:pPr>
      <w:r>
        <w:t xml:space="preserve">PART 6c – </w:t>
      </w:r>
      <w:r w:rsidR="00E60529" w:rsidRPr="00881F93">
        <w:t>INFORMATION ABOUT THE COMPARATOR</w:t>
      </w:r>
      <w:r w:rsidR="00A83EC6" w:rsidRPr="00881F93">
        <w:t>(S)</w:t>
      </w:r>
    </w:p>
    <w:p w14:paraId="21FF7FA5"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61D090B7" w14:textId="214F2493" w:rsidR="00E60529" w:rsidRPr="00E20952" w:rsidRDefault="009843A5" w:rsidP="001B29A1">
      <w:pPr>
        <w:ind w:left="426"/>
      </w:pPr>
      <w:r>
        <w:t xml:space="preserve">The appropriate comparator is current standard of </w:t>
      </w:r>
      <w:r w:rsidR="00C436E2">
        <w:t xml:space="preserve">care, represented by </w:t>
      </w:r>
      <w:r w:rsidR="00BD1096">
        <w:t xml:space="preserve">regular </w:t>
      </w:r>
      <w:r w:rsidR="00C436E2">
        <w:t xml:space="preserve">intravitreal injections of ranibizumab </w:t>
      </w:r>
      <w:r w:rsidR="002A093C">
        <w:t>or</w:t>
      </w:r>
      <w:r w:rsidR="00C436E2">
        <w:t xml:space="preserve"> aflibercept.</w:t>
      </w:r>
    </w:p>
    <w:p w14:paraId="194CAA07"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2D239773" w14:textId="25384595" w:rsidR="006A1038" w:rsidRDefault="00477830"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20204">
        <w:rPr>
          <w:szCs w:val="20"/>
        </w:rPr>
      </w:r>
      <w:r w:rsidR="00120204">
        <w:rPr>
          <w:szCs w:val="20"/>
        </w:rPr>
        <w:fldChar w:fldCharType="separate"/>
      </w:r>
      <w:r>
        <w:rPr>
          <w:szCs w:val="20"/>
        </w:rPr>
        <w:fldChar w:fldCharType="end"/>
      </w:r>
      <w:r w:rsidR="006A1038">
        <w:rPr>
          <w:szCs w:val="20"/>
        </w:rPr>
        <w:t xml:space="preserve"> Yes (please </w:t>
      </w:r>
      <w:r w:rsidR="003904AC">
        <w:rPr>
          <w:szCs w:val="20"/>
        </w:rPr>
        <w:t xml:space="preserve">list </w:t>
      </w:r>
      <w:r w:rsidR="006A1038">
        <w:rPr>
          <w:szCs w:val="20"/>
        </w:rPr>
        <w:t>all relevant MBS item numbers below)</w:t>
      </w:r>
    </w:p>
    <w:p w14:paraId="4975E680" w14:textId="777777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120204">
        <w:rPr>
          <w:szCs w:val="20"/>
        </w:rPr>
      </w:r>
      <w:r w:rsidR="00120204">
        <w:rPr>
          <w:szCs w:val="20"/>
        </w:rPr>
        <w:fldChar w:fldCharType="separate"/>
      </w:r>
      <w:r w:rsidRPr="00753C44">
        <w:rPr>
          <w:szCs w:val="20"/>
        </w:rPr>
        <w:fldChar w:fldCharType="end"/>
      </w:r>
      <w:r>
        <w:rPr>
          <w:szCs w:val="20"/>
        </w:rPr>
        <w:t xml:space="preserve"> No  </w:t>
      </w:r>
    </w:p>
    <w:p w14:paraId="4B18A087" w14:textId="6E0EF0A1" w:rsidR="000159B9" w:rsidRPr="00E20952" w:rsidRDefault="002A093C" w:rsidP="001B29A1">
      <w:pPr>
        <w:ind w:left="426"/>
      </w:pPr>
      <w:r>
        <w:t xml:space="preserve">Intravitreal injections are administered via </w:t>
      </w:r>
      <w:r w:rsidR="00477830">
        <w:t>MBS item</w:t>
      </w:r>
      <w:r>
        <w:t>s</w:t>
      </w:r>
      <w:r w:rsidR="00477830">
        <w:t xml:space="preserve"> #42738, #42739 or #42740</w:t>
      </w:r>
      <w:r w:rsidR="003E5603">
        <w:t>.</w:t>
      </w:r>
    </w:p>
    <w:p w14:paraId="0AD347B1" w14:textId="77777777" w:rsidR="00AF5D1E" w:rsidRPr="00154B00" w:rsidRDefault="00AF5D1E" w:rsidP="00530204">
      <w:pPr>
        <w:pStyle w:val="Heading2"/>
      </w:pPr>
      <w:bookmarkStart w:id="8" w:name="_Define_and_summarise"/>
      <w:bookmarkEnd w:id="8"/>
      <w:r w:rsidRPr="00154B00">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66721350" w14:textId="4A94F641" w:rsidR="003433D1" w:rsidRDefault="002A093C" w:rsidP="001B29A1">
      <w:pPr>
        <w:ind w:left="426"/>
        <w:rPr>
          <w:b/>
          <w:szCs w:val="20"/>
        </w:rPr>
      </w:pPr>
      <w:r>
        <w:t xml:space="preserve">Please refer to </w:t>
      </w:r>
      <w:hyperlink w:anchor="_Define_and_summarise" w:history="1">
        <w:r w:rsidRPr="00CB6642">
          <w:rPr>
            <w:rStyle w:val="Hyperlink"/>
          </w:rPr>
          <w:t>Q2</w:t>
        </w:r>
        <w:r w:rsidR="00C85FB8" w:rsidRPr="00CB6642">
          <w:rPr>
            <w:rStyle w:val="Hyperlink"/>
          </w:rPr>
          <w:t>6</w:t>
        </w:r>
      </w:hyperlink>
      <w:r>
        <w:t>.</w:t>
      </w:r>
    </w:p>
    <w:p w14:paraId="415BBEE0"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77B676E8" w14:textId="77777777"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120204">
        <w:rPr>
          <w:szCs w:val="20"/>
        </w:rPr>
      </w:r>
      <w:r w:rsidR="00120204">
        <w:rPr>
          <w:szCs w:val="20"/>
        </w:rPr>
        <w:fldChar w:fldCharType="separate"/>
      </w:r>
      <w:r w:rsidRPr="00753C44">
        <w:rPr>
          <w:szCs w:val="20"/>
        </w:rPr>
        <w:fldChar w:fldCharType="end"/>
      </w:r>
      <w:r>
        <w:rPr>
          <w:szCs w:val="20"/>
        </w:rPr>
        <w:t xml:space="preserve"> </w:t>
      </w:r>
      <w:r w:rsidR="00282BE8">
        <w:rPr>
          <w:szCs w:val="20"/>
        </w:rPr>
        <w:t>In addition to (i.e. it is an add-on service)</w:t>
      </w:r>
      <w:r>
        <w:rPr>
          <w:szCs w:val="20"/>
        </w:rPr>
        <w:t xml:space="preserve"> </w:t>
      </w:r>
    </w:p>
    <w:p w14:paraId="2DFC92D3" w14:textId="3AD183D5" w:rsidR="001B29A1" w:rsidRDefault="00477830"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20204">
        <w:rPr>
          <w:szCs w:val="20"/>
        </w:rPr>
      </w:r>
      <w:r w:rsidR="00120204">
        <w:rPr>
          <w:szCs w:val="20"/>
        </w:rPr>
        <w:fldChar w:fldCharType="separate"/>
      </w:r>
      <w:r>
        <w:rPr>
          <w:szCs w:val="20"/>
        </w:rPr>
        <w:fldChar w:fldCharType="end"/>
      </w:r>
      <w:r w:rsidR="001B29A1">
        <w:rPr>
          <w:szCs w:val="20"/>
        </w:rPr>
        <w:t xml:space="preserve"> </w:t>
      </w:r>
      <w:r w:rsidR="00282BE8">
        <w:rPr>
          <w:szCs w:val="20"/>
        </w:rPr>
        <w:t>Instead of (i.e. it is a replacement or alternative)</w:t>
      </w:r>
    </w:p>
    <w:p w14:paraId="4D997BE6" w14:textId="77777777" w:rsidR="00E70D86" w:rsidRPr="00154B00" w:rsidRDefault="00E70D86" w:rsidP="005C3AE7">
      <w:pPr>
        <w:pStyle w:val="Heading2"/>
        <w:numPr>
          <w:ilvl w:val="0"/>
          <w:numId w:val="30"/>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14:paraId="1432F8D4" w14:textId="61D75B66" w:rsidR="003433D1" w:rsidRPr="001B29A1" w:rsidRDefault="00A12FBC" w:rsidP="001B29A1">
      <w:pPr>
        <w:ind w:left="426"/>
        <w:rPr>
          <w:szCs w:val="20"/>
        </w:rPr>
      </w:pPr>
      <w:r>
        <w:t>C</w:t>
      </w:r>
      <w:r w:rsidR="00D5041E">
        <w:t>linician guidance suggest</w:t>
      </w:r>
      <w:r w:rsidR="00E02B36">
        <w:t>s</w:t>
      </w:r>
      <w:r w:rsidR="00D5041E">
        <w:t xml:space="preserve"> that approximately </w:t>
      </w:r>
      <w:r>
        <w:t>20</w:t>
      </w:r>
      <w:r w:rsidR="00D5041E">
        <w:t xml:space="preserve">% of patients </w:t>
      </w:r>
      <w:r>
        <w:t xml:space="preserve">on current standards of care </w:t>
      </w:r>
      <w:r w:rsidR="00D5041E">
        <w:t xml:space="preserve">may be appropriate </w:t>
      </w:r>
      <w:r>
        <w:t>for therapy, of which 75% may elect therapy</w:t>
      </w:r>
      <w:r w:rsidR="00D5041E">
        <w:t>.  Therefore, i</w:t>
      </w:r>
      <w:r w:rsidR="00477830">
        <w:t xml:space="preserve">t is foreshadowed that </w:t>
      </w:r>
      <w:r w:rsidR="00E20952">
        <w:t xml:space="preserve">the services </w:t>
      </w:r>
      <w:r>
        <w:t xml:space="preserve">currently </w:t>
      </w:r>
      <w:r w:rsidR="00E20952">
        <w:t xml:space="preserve">delivered would be substituted in </w:t>
      </w:r>
      <w:r w:rsidR="00477830">
        <w:t xml:space="preserve">approximately </w:t>
      </w:r>
      <w:r w:rsidR="00C85FB8">
        <w:t>15</w:t>
      </w:r>
      <w:r w:rsidR="00477830">
        <w:t xml:space="preserve">% of </w:t>
      </w:r>
      <w:r w:rsidR="00E20952">
        <w:t>patients in the initial years of introduction.</w:t>
      </w:r>
    </w:p>
    <w:p w14:paraId="0280A16E"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559E8118" w14:textId="09C00C53" w:rsidR="002053F2" w:rsidRPr="00B850AE" w:rsidRDefault="00C85FB8" w:rsidP="00B850AE">
      <w:pPr>
        <w:ind w:left="426"/>
      </w:pPr>
      <w:r w:rsidRPr="00C85FB8">
        <w:t xml:space="preserve">The expected change to the current clinical management pathway as a consequence of introducing the proposed medical service has been represented by a dotted line in the clinical management pathway </w:t>
      </w:r>
      <w:r w:rsidRPr="00695897">
        <w:t>(</w:t>
      </w:r>
      <w:r w:rsidRPr="00695897">
        <w:fldChar w:fldCharType="begin"/>
      </w:r>
      <w:r w:rsidRPr="00695897">
        <w:instrText xml:space="preserve"> REF _Ref75159838 \h  \* MERGEFORMAT </w:instrText>
      </w:r>
      <w:r w:rsidRPr="00695897">
        <w:fldChar w:fldCharType="separate"/>
      </w:r>
      <w:r w:rsidR="0002746B" w:rsidRPr="0002746B">
        <w:t>Figure 2</w:t>
      </w:r>
      <w:r w:rsidRPr="00695897">
        <w:fldChar w:fldCharType="end"/>
      </w:r>
      <w:r>
        <w:t>).  As previously noted, new MBS item numbers are required to enable appropriate</w:t>
      </w:r>
      <w:r w:rsidR="00695897">
        <w:t xml:space="preserve"> remuneration for the procedures </w:t>
      </w:r>
      <w:r>
        <w:t xml:space="preserve">of the ocular implant to enable the delivery of </w:t>
      </w:r>
      <w:proofErr w:type="spellStart"/>
      <w:r>
        <w:t>Susvimo</w:t>
      </w:r>
      <w:proofErr w:type="spellEnd"/>
      <w:r>
        <w:t>®</w:t>
      </w:r>
      <w:r w:rsidR="00BD5DCE">
        <w:t xml:space="preserve"> (ranibizumab).</w:t>
      </w:r>
    </w:p>
    <w:p w14:paraId="11D24334" w14:textId="77777777" w:rsidR="00120204" w:rsidRDefault="00120204" w:rsidP="00120204">
      <w:pPr>
        <w:pStyle w:val="Subtitle"/>
        <w:ind w:left="0"/>
      </w:pPr>
    </w:p>
    <w:p w14:paraId="619D9141" w14:textId="292BD68A" w:rsidR="00DF0D47" w:rsidRPr="00881F93" w:rsidRDefault="005C3AE7" w:rsidP="00120204">
      <w:pPr>
        <w:pStyle w:val="Subtitle"/>
        <w:ind w:left="0"/>
      </w:pPr>
      <w:r>
        <w:t xml:space="preserve">PART 6d – </w:t>
      </w:r>
      <w:r w:rsidR="00DF0D47" w:rsidRPr="00881F93">
        <w:t xml:space="preserve">INFORMATION ABOUT THE </w:t>
      </w:r>
      <w:r w:rsidR="00CF5AD8" w:rsidRPr="00881F93">
        <w:t xml:space="preserve">CLINICAL </w:t>
      </w:r>
      <w:r w:rsidR="00DF0D47" w:rsidRPr="00881F93">
        <w:t>OUTCOME</w:t>
      </w:r>
    </w:p>
    <w:p w14:paraId="74DA4EF0"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14A60967" w14:textId="157F788F" w:rsidR="00356905" w:rsidRDefault="00C436E2" w:rsidP="001B29A1">
      <w:pPr>
        <w:ind w:left="426"/>
      </w:pPr>
      <w:r>
        <w:t xml:space="preserve">It is foreshadowed that the </w:t>
      </w:r>
      <w:r w:rsidR="00A50ED7">
        <w:t>PDS</w:t>
      </w:r>
      <w:r>
        <w:t xml:space="preserve"> is non-inferio</w:t>
      </w:r>
      <w:r w:rsidR="00742942">
        <w:t>r to current standard of care</w:t>
      </w:r>
      <w:r w:rsidR="00256D1F">
        <w:t xml:space="preserve"> intravitreal injections</w:t>
      </w:r>
      <w:r w:rsidR="00742942">
        <w:t>.</w:t>
      </w:r>
      <w:r w:rsidR="00356905">
        <w:t xml:space="preserve"> This </w:t>
      </w:r>
      <w:r w:rsidR="00EB6B8E">
        <w:t xml:space="preserve">claim will be </w:t>
      </w:r>
      <w:r w:rsidR="00356905">
        <w:t xml:space="preserve">informed by the </w:t>
      </w:r>
      <w:r w:rsidR="00870E74">
        <w:t xml:space="preserve">Archway </w:t>
      </w:r>
      <w:r w:rsidR="003E5603">
        <w:t>trial</w:t>
      </w:r>
      <w:r w:rsidR="00536C49">
        <w:t>.</w:t>
      </w:r>
    </w:p>
    <w:p w14:paraId="348DB324" w14:textId="335D97A1" w:rsidR="00F8020E" w:rsidRDefault="00356905" w:rsidP="00F8020E">
      <w:pPr>
        <w:ind w:left="426"/>
      </w:pPr>
      <w:r w:rsidRPr="00E86DA3">
        <w:t xml:space="preserve">In </w:t>
      </w:r>
      <w:r w:rsidR="00870E74" w:rsidRPr="00E86DA3">
        <w:t>Archway</w:t>
      </w:r>
      <w:r w:rsidRPr="00E86DA3">
        <w:t>, PDS</w:t>
      </w:r>
      <w:r w:rsidR="00A50ED7" w:rsidRPr="00E86DA3">
        <w:t xml:space="preserve"> with ranibizumab 100mg/mL administered </w:t>
      </w:r>
      <w:r w:rsidR="00FE4BFD">
        <w:t>every 24 weeks (</w:t>
      </w:r>
      <w:r w:rsidR="00A50ED7" w:rsidRPr="00E86DA3">
        <w:t>Q24W</w:t>
      </w:r>
      <w:r w:rsidR="00FE4BFD">
        <w:t>)</w:t>
      </w:r>
      <w:r w:rsidR="00A50ED7" w:rsidRPr="00E86DA3">
        <w:t xml:space="preserve"> </w:t>
      </w:r>
      <w:r w:rsidRPr="00E86DA3">
        <w:t xml:space="preserve">demonstrated non-inferior and equivalent visual acuity outcomes compared with </w:t>
      </w:r>
      <w:r w:rsidR="00A50ED7" w:rsidRPr="00E86DA3">
        <w:t>intravitreal ranibizumab</w:t>
      </w:r>
      <w:r w:rsidR="00726CCB">
        <w:t xml:space="preserve"> 0.5mg</w:t>
      </w:r>
      <w:r w:rsidR="00A50ED7" w:rsidRPr="00E86DA3">
        <w:t xml:space="preserve"> </w:t>
      </w:r>
      <w:r w:rsidR="00FE4BFD">
        <w:t>every 4 weeks (</w:t>
      </w:r>
      <w:r w:rsidR="00A50ED7" w:rsidRPr="00E86DA3">
        <w:t>Q4W</w:t>
      </w:r>
      <w:r w:rsidR="00FE4BFD">
        <w:t>)</w:t>
      </w:r>
      <w:r w:rsidRPr="00E86DA3">
        <w:t>.</w:t>
      </w:r>
      <w:r w:rsidR="002103F8" w:rsidRPr="00E86DA3">
        <w:t xml:space="preserve"> </w:t>
      </w:r>
      <w:r w:rsidR="00EB6B8E" w:rsidRPr="00E86DA3">
        <w:t xml:space="preserve"> The ocular implant procedure and refill-exchange procedures were generally well tolerated; in general, the systemic safety profile of PDS treatment was comparable with monthly intravitreal ranibizum</w:t>
      </w:r>
      <w:r w:rsidR="00EF0733">
        <w:t>a</w:t>
      </w:r>
      <w:r w:rsidR="00EB6B8E" w:rsidRPr="00E86DA3">
        <w:t xml:space="preserve">b treatment. </w:t>
      </w:r>
      <w:r w:rsidR="00B5303B" w:rsidRPr="00E86DA3">
        <w:t>Overall, t</w:t>
      </w:r>
      <w:r w:rsidRPr="00E86DA3">
        <w:t xml:space="preserve">he PDS </w:t>
      </w:r>
      <w:r w:rsidR="005A21FE" w:rsidRPr="00E86DA3">
        <w:t xml:space="preserve">device, procedure, </w:t>
      </w:r>
      <w:r w:rsidRPr="00E86DA3">
        <w:t>drug combination was well tolerated with a favourable benefit-risk</w:t>
      </w:r>
      <w:r w:rsidRPr="00356905">
        <w:t xml:space="preserve"> profile</w:t>
      </w:r>
      <w:r w:rsidR="00B5303B">
        <w:t>.</w:t>
      </w:r>
      <w:r w:rsidR="00F8020E">
        <w:t xml:space="preserve">  </w:t>
      </w:r>
    </w:p>
    <w:p w14:paraId="770442F1" w14:textId="3912331C" w:rsidR="00573BEA" w:rsidRDefault="00F8020E" w:rsidP="00F8020E">
      <w:pPr>
        <w:ind w:left="426"/>
      </w:pPr>
      <w:r>
        <w:t xml:space="preserve">Results of the PDS patient preference questionnaire reported that 93.2% (218/234) preferred the continuous delivery of ranibizumab using PDS to ranibizumab intravitreal injections. </w:t>
      </w:r>
      <w:r w:rsidR="00D90266">
        <w:t>Common</w:t>
      </w:r>
      <w:r>
        <w:t xml:space="preserve"> reason</w:t>
      </w:r>
      <w:r w:rsidR="00D90266">
        <w:t>s</w:t>
      </w:r>
      <w:r>
        <w:t xml:space="preserve"> </w:t>
      </w:r>
      <w:r w:rsidR="00D90266">
        <w:t>for preference reasons among patients who preferred PDS include fewer treatments and less discomfort.</w:t>
      </w:r>
      <w:r>
        <w:t xml:space="preserve"> No preference was stated for 13/234 patients; three patients preferred intravitreal injections (</w:t>
      </w:r>
      <w:r w:rsidR="00536C49">
        <w:t>One</w:t>
      </w:r>
      <w:r>
        <w:t xml:space="preserve"> cited “Requires less time </w:t>
      </w:r>
      <w:r w:rsidR="00536C49">
        <w:t>for treatment</w:t>
      </w:r>
      <w:r w:rsidR="00D90266">
        <w:t>”</w:t>
      </w:r>
      <w:r w:rsidR="00536C49">
        <w:t xml:space="preserve">, </w:t>
      </w:r>
      <w:r w:rsidR="00C82652">
        <w:t>two</w:t>
      </w:r>
      <w:r w:rsidR="00536C49">
        <w:t xml:space="preserve"> did not specif</w:t>
      </w:r>
      <w:r>
        <w:t>y a reason).</w:t>
      </w:r>
    </w:p>
    <w:p w14:paraId="3BC3621B" w14:textId="410916A3" w:rsidR="00536C49" w:rsidRDefault="00886B12" w:rsidP="00F8020E">
      <w:pPr>
        <w:ind w:left="426"/>
      </w:pPr>
      <w:r>
        <w:t>The applicant</w:t>
      </w:r>
      <w:r w:rsidR="00536C49">
        <w:t xml:space="preserve"> notes that the ranibizumab intravitreal injections are a reasonable proxy for standard of care ranibizumab or aflibercept, given PBAC’s prior conclusion that aflibercept is non-inferior to ranibizumab and that these medicines </w:t>
      </w:r>
      <w:r w:rsidR="00536C49" w:rsidRPr="003E5603">
        <w:t>should be priced o</w:t>
      </w:r>
      <w:r w:rsidR="00536C49">
        <w:t>n an injection: injection basis (</w:t>
      </w:r>
      <w:proofErr w:type="spellStart"/>
      <w:r w:rsidR="00536C49">
        <w:t>ie</w:t>
      </w:r>
      <w:proofErr w:type="spellEnd"/>
      <w:r w:rsidR="00536C49">
        <w:t>. one injection of ranibizumab is equivalent to one injection of aflibercept)</w:t>
      </w:r>
      <w:sdt>
        <w:sdtPr>
          <w:id w:val="-1511828961"/>
          <w:citation/>
        </w:sdtPr>
        <w:sdtContent>
          <w:r w:rsidR="00726CCB">
            <w:fldChar w:fldCharType="begin"/>
          </w:r>
          <w:r w:rsidR="00726CCB">
            <w:instrText xml:space="preserve"> CITATION DoH19 \l 3081 </w:instrText>
          </w:r>
          <w:r w:rsidR="00726CCB">
            <w:fldChar w:fldCharType="separate"/>
          </w:r>
          <w:r w:rsidR="00CC71D6">
            <w:rPr>
              <w:noProof/>
            </w:rPr>
            <w:t xml:space="preserve"> (DoH, 2019)</w:t>
          </w:r>
          <w:r w:rsidR="00726CCB">
            <w:fldChar w:fldCharType="end"/>
          </w:r>
        </w:sdtContent>
      </w:sdt>
      <w:r w:rsidR="00536C49">
        <w:t>.</w:t>
      </w:r>
    </w:p>
    <w:p w14:paraId="5ECBD8CB"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4D48CE12" w14:textId="77777777" w:rsidR="001B29A1"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120204">
        <w:rPr>
          <w:szCs w:val="20"/>
        </w:rPr>
      </w:r>
      <w:r w:rsidR="00120204">
        <w:rPr>
          <w:szCs w:val="20"/>
        </w:rPr>
        <w:fldChar w:fldCharType="separate"/>
      </w:r>
      <w:r w:rsidRPr="001B29A1">
        <w:rPr>
          <w:szCs w:val="20"/>
        </w:rPr>
        <w:fldChar w:fldCharType="end"/>
      </w:r>
      <w:r w:rsidRPr="001B29A1">
        <w:rPr>
          <w:szCs w:val="20"/>
        </w:rPr>
        <w:t xml:space="preserve"> Superiority</w:t>
      </w:r>
      <w:r w:rsidRPr="001B29A1">
        <w:rPr>
          <w:szCs w:val="20"/>
        </w:rPr>
        <w:tab/>
      </w:r>
    </w:p>
    <w:p w14:paraId="7D1658B5" w14:textId="708C6001" w:rsidR="004E3CC7" w:rsidRPr="001B29A1" w:rsidRDefault="00477830"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20204">
        <w:rPr>
          <w:szCs w:val="20"/>
        </w:rPr>
      </w:r>
      <w:r w:rsidR="00120204">
        <w:rPr>
          <w:szCs w:val="20"/>
        </w:rPr>
        <w:fldChar w:fldCharType="separate"/>
      </w:r>
      <w:r>
        <w:rPr>
          <w:szCs w:val="20"/>
        </w:rPr>
        <w:fldChar w:fldCharType="end"/>
      </w:r>
      <w:r w:rsidR="001B29A1" w:rsidRPr="001B29A1">
        <w:rPr>
          <w:szCs w:val="20"/>
        </w:rPr>
        <w:t xml:space="preserve"> Non-inferiority</w:t>
      </w:r>
      <w:r w:rsidR="001B29A1" w:rsidRPr="001B29A1">
        <w:rPr>
          <w:szCs w:val="20"/>
        </w:rPr>
        <w:tab/>
      </w:r>
    </w:p>
    <w:p w14:paraId="5D562597" w14:textId="1F9F1479" w:rsidR="00B25D2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6C834F4A" w14:textId="77777777" w:rsidR="00120204" w:rsidRDefault="00120204" w:rsidP="00120204">
      <w:pPr>
        <w:pBdr>
          <w:top w:val="single" w:sz="4" w:space="1" w:color="auto"/>
          <w:left w:val="single" w:sz="4" w:space="4" w:color="auto"/>
          <w:bottom w:val="single" w:sz="4" w:space="1" w:color="auto"/>
          <w:right w:val="single" w:sz="4" w:space="4" w:color="auto"/>
        </w:pBdr>
        <w:ind w:left="360"/>
      </w:pPr>
      <w:r w:rsidRPr="00120204">
        <w:rPr>
          <w:b/>
          <w:bCs/>
        </w:rPr>
        <w:t>Safety Outcomes:</w:t>
      </w:r>
      <w:r>
        <w:t xml:space="preserve"> Adverse events (both ocular and non-ocular)</w:t>
      </w:r>
    </w:p>
    <w:p w14:paraId="34E1353B" w14:textId="0485BD93" w:rsidR="00120204" w:rsidRDefault="00120204" w:rsidP="00120204">
      <w:pPr>
        <w:pBdr>
          <w:top w:val="single" w:sz="4" w:space="1" w:color="auto"/>
          <w:left w:val="single" w:sz="4" w:space="4" w:color="auto"/>
          <w:bottom w:val="single" w:sz="4" w:space="1" w:color="auto"/>
          <w:right w:val="single" w:sz="4" w:space="4" w:color="auto"/>
        </w:pBdr>
        <w:ind w:left="360"/>
      </w:pPr>
      <w:r w:rsidRPr="00120204">
        <w:rPr>
          <w:b/>
          <w:bCs/>
        </w:rPr>
        <w:t>Clinical Effectiveness Outcomes:</w:t>
      </w:r>
      <w:r>
        <w:t xml:space="preserve"> Primary: Change in best corrected visual acuity (BCVA), Change in central point thickness, change in central subfield thickness</w:t>
      </w:r>
    </w:p>
    <w:p w14:paraId="6E5DF4A5" w14:textId="7C8CEED8" w:rsidR="00D90266" w:rsidRDefault="00D90266" w:rsidP="00955269">
      <w:pPr>
        <w:ind w:left="426"/>
      </w:pPr>
      <w:r>
        <w:t xml:space="preserve">Overall, the </w:t>
      </w:r>
      <w:r w:rsidR="00C4606A">
        <w:t>applicant</w:t>
      </w:r>
      <w:r>
        <w:t xml:space="preserve"> notes that an Expedited MSAC pathway is appropriate; whilst the PDS has a level of clinical novelty due to the method of drug delivery, fundamentally, the technology has a clear intention for a well-defined population, replacing well-established standards of care with respect to PBS funded therapies, and MBS funded procedural costs (</w:t>
      </w:r>
      <w:proofErr w:type="spellStart"/>
      <w:r>
        <w:t>ie</w:t>
      </w:r>
      <w:proofErr w:type="spellEnd"/>
      <w:r>
        <w:t xml:space="preserve">. the PICO is clear).  The basis for the clinical claim is informed by </w:t>
      </w:r>
      <w:r w:rsidR="00C82652">
        <w:t xml:space="preserve">a </w:t>
      </w:r>
      <w:r>
        <w:t>well-designed Phase III study, with trial endpoints (BCVA) consistent with trials informing clinical claims for past PBAC decision-making. Furthermore, given the claim of non-inferiority, it is anticipated to have neutral or cost-saving budgetary implications; in the specific context of the MBS, MBS savings are foreshadowed.</w:t>
      </w:r>
      <w:r w:rsidR="00CB6642">
        <w:t xml:space="preserve">  Similarly, it is anticipated to result in cost savings for patients with respect to out of pocket costs related to treatment administration.</w:t>
      </w:r>
    </w:p>
    <w:p w14:paraId="3B500B3F" w14:textId="77777777" w:rsidR="000574DF" w:rsidRDefault="00EC0F32" w:rsidP="00C172C7">
      <w:pPr>
        <w:ind w:left="426"/>
      </w:pPr>
      <w:r>
        <w:t xml:space="preserve">Further, this request represents a </w:t>
      </w:r>
      <w:r w:rsidR="00B87362">
        <w:t>“</w:t>
      </w:r>
      <w:r w:rsidRPr="00955269">
        <w:rPr>
          <w:i/>
        </w:rPr>
        <w:t>new co-dependent MBS item to cover the complex administration of a drug</w:t>
      </w:r>
      <w:r w:rsidR="00B87362" w:rsidRPr="00955269">
        <w:t xml:space="preserve">” </w:t>
      </w:r>
      <w:r w:rsidR="00B87362">
        <w:t>(p.30, MSAC Final Process Framework).</w:t>
      </w:r>
      <w:r>
        <w:t xml:space="preserve"> </w:t>
      </w:r>
      <w:r w:rsidR="00997C53">
        <w:t>T</w:t>
      </w:r>
      <w:r w:rsidR="0038732B">
        <w:t xml:space="preserve">he </w:t>
      </w:r>
      <w:r w:rsidR="00E86DA3">
        <w:t xml:space="preserve">MSAC Process Framework </w:t>
      </w:r>
      <w:r w:rsidR="00997C53">
        <w:t xml:space="preserve">states </w:t>
      </w:r>
      <w:r w:rsidR="0038732B">
        <w:t>“</w:t>
      </w:r>
      <w:r w:rsidR="00997C53" w:rsidRPr="00955269">
        <w:rPr>
          <w:i/>
        </w:rPr>
        <w:t>a</w:t>
      </w:r>
      <w:r w:rsidR="00FC278E" w:rsidRPr="00955269">
        <w:rPr>
          <w:i/>
        </w:rPr>
        <w:t xml:space="preserve"> HTA paradigm may be unnecessary for co-dependent applications between MSAC and</w:t>
      </w:r>
      <w:r w:rsidR="00E86DA3" w:rsidRPr="00955269">
        <w:rPr>
          <w:i/>
        </w:rPr>
        <w:t xml:space="preserve"> </w:t>
      </w:r>
      <w:r w:rsidR="00FC278E" w:rsidRPr="00955269">
        <w:rPr>
          <w:i/>
        </w:rPr>
        <w:t>PBAC, where PBAC is assessing the merits of a drug (via a HTA) and MSAC considers the</w:t>
      </w:r>
      <w:r w:rsidR="00E86DA3" w:rsidRPr="00955269">
        <w:rPr>
          <w:i/>
        </w:rPr>
        <w:t xml:space="preserve"> </w:t>
      </w:r>
      <w:r w:rsidR="00FC278E" w:rsidRPr="00955269">
        <w:rPr>
          <w:i/>
        </w:rPr>
        <w:t>professional service for the administration of the drug</w:t>
      </w:r>
      <w:r w:rsidR="00C172C7">
        <w:rPr>
          <w:i/>
        </w:rPr>
        <w:t>”</w:t>
      </w:r>
      <w:r w:rsidR="00FC278E" w:rsidRPr="00955269">
        <w:rPr>
          <w:i/>
        </w:rPr>
        <w:t xml:space="preserve">. </w:t>
      </w:r>
      <w:r w:rsidR="00E86DA3" w:rsidRPr="00C172C7">
        <w:t xml:space="preserve">The MSAC Process Framework </w:t>
      </w:r>
      <w:r w:rsidR="00C172C7">
        <w:t xml:space="preserve">further </w:t>
      </w:r>
      <w:r w:rsidR="00E86DA3" w:rsidRPr="00C172C7">
        <w:t xml:space="preserve">notes that, </w:t>
      </w:r>
      <w:r w:rsidR="00C172C7">
        <w:t>“</w:t>
      </w:r>
      <w:r w:rsidR="00C172C7" w:rsidRPr="00C172C7">
        <w:rPr>
          <w:i/>
        </w:rPr>
        <w:t>the vast majority of applications to PBAC do not require a separate listing on the MBS for the delivery of the drug, but occasionally there is a drug where the time and complexity of administering that drug warrants the creation of an accompanying MBS item</w:t>
      </w:r>
      <w:r w:rsidR="00C172C7">
        <w:rPr>
          <w:i/>
        </w:rPr>
        <w:t>. I</w:t>
      </w:r>
      <w:r w:rsidR="00E86DA3" w:rsidRPr="00C172C7">
        <w:rPr>
          <w:i/>
        </w:rPr>
        <w:t>n</w:t>
      </w:r>
      <w:r w:rsidR="00FC278E" w:rsidRPr="00C172C7">
        <w:rPr>
          <w:i/>
        </w:rPr>
        <w:t xml:space="preserve"> this</w:t>
      </w:r>
      <w:r w:rsidR="00E86DA3" w:rsidRPr="00C172C7">
        <w:rPr>
          <w:i/>
        </w:rPr>
        <w:t xml:space="preserve"> </w:t>
      </w:r>
      <w:r w:rsidR="00FC278E" w:rsidRPr="00C172C7">
        <w:rPr>
          <w:i/>
        </w:rPr>
        <w:t>situation, the accompanying professional service for the administration of the drug does not</w:t>
      </w:r>
      <w:r w:rsidR="00E86DA3" w:rsidRPr="00C172C7">
        <w:rPr>
          <w:i/>
        </w:rPr>
        <w:t xml:space="preserve"> </w:t>
      </w:r>
      <w:r w:rsidR="00FC278E" w:rsidRPr="00C172C7">
        <w:rPr>
          <w:i/>
        </w:rPr>
        <w:t>require a separate HTA</w:t>
      </w:r>
      <w:r w:rsidR="00FC278E" w:rsidRPr="00955269">
        <w:rPr>
          <w:i/>
        </w:rPr>
        <w:t xml:space="preserve"> to be conducted by MSAC to inform the MBS listing, alongside the</w:t>
      </w:r>
      <w:r w:rsidR="00E86DA3" w:rsidRPr="00955269">
        <w:rPr>
          <w:i/>
        </w:rPr>
        <w:t xml:space="preserve"> </w:t>
      </w:r>
      <w:r w:rsidR="00FC278E" w:rsidRPr="00955269">
        <w:rPr>
          <w:i/>
        </w:rPr>
        <w:t>HTA conducted by PBAC for the drug</w:t>
      </w:r>
      <w:r w:rsidR="0038732B" w:rsidRPr="00955269">
        <w:t>”</w:t>
      </w:r>
      <w:r>
        <w:t>.</w:t>
      </w:r>
      <w:r w:rsidR="00E86DA3">
        <w:t xml:space="preserve"> </w:t>
      </w:r>
    </w:p>
    <w:p w14:paraId="36240617" w14:textId="4CF0929A" w:rsidR="00EC0F32" w:rsidRPr="00C82652" w:rsidRDefault="000574DF" w:rsidP="00C172C7">
      <w:pPr>
        <w:ind w:left="426"/>
      </w:pPr>
      <w:r>
        <w:t xml:space="preserve">It is further noted that </w:t>
      </w:r>
      <w:r w:rsidR="00997C53">
        <w:t>“</w:t>
      </w:r>
      <w:r w:rsidR="00EC0F32" w:rsidRPr="00955269">
        <w:rPr>
          <w:i/>
        </w:rPr>
        <w:t>applications may progress, after endorsement of the MSAC Exec, straight to an internal utilisation and financial analysis conducted by the Department with the intention of representing this analysis to the MSAC Exec for consideration and approval at a later date (MSAC Exec meet ten times per year)</w:t>
      </w:r>
      <w:r w:rsidR="00EC0F32" w:rsidRPr="00955269">
        <w:t>”</w:t>
      </w:r>
      <w:r w:rsidR="00B87362">
        <w:t>.</w:t>
      </w:r>
      <w:r w:rsidR="00EC0F32">
        <w:t xml:space="preserve">  </w:t>
      </w:r>
      <w:r w:rsidR="00C82652">
        <w:t xml:space="preserve">Conversely, whilst the Framework </w:t>
      </w:r>
      <w:r w:rsidR="00B87362">
        <w:t>states,</w:t>
      </w:r>
      <w:r w:rsidR="00C82652">
        <w:t xml:space="preserve"> “</w:t>
      </w:r>
      <w:r w:rsidR="00C82652" w:rsidRPr="00955269">
        <w:rPr>
          <w:i/>
        </w:rPr>
        <w:t>alternatively the MSAC Exec may recommend that this analysis be scrutinised by ESC and the full committee of MSAC if the application is associated with potentially large net changes in MBS expenditure if it were granted approval</w:t>
      </w:r>
      <w:r w:rsidR="00C82652">
        <w:t xml:space="preserve">”; this is not necessary, given the aforementioned foreshadowed MBS savings (and illustrated </w:t>
      </w:r>
      <w:r w:rsidR="00955269">
        <w:t xml:space="preserve">on a per patient level </w:t>
      </w:r>
      <w:r w:rsidR="00C82652">
        <w:t>in Q53).</w:t>
      </w:r>
    </w:p>
    <w:p w14:paraId="65E285B4" w14:textId="215979A5" w:rsidR="00E86DA3" w:rsidRDefault="00E86DA3" w:rsidP="00955269">
      <w:pPr>
        <w:ind w:left="426"/>
      </w:pPr>
      <w:r>
        <w:t>As such, whilst noting that the Port Delivery System (device, procedure and drug) represents the intervention in totality, it is foreshadowed that the comparative efficacy and cost effectiveness will be primarily conducted via the PBAC</w:t>
      </w:r>
      <w:r w:rsidR="0012545F">
        <w:t>.</w:t>
      </w:r>
      <w:r>
        <w:t xml:space="preserve"> </w:t>
      </w:r>
      <w:r w:rsidR="00F8020E">
        <w:t xml:space="preserve">The clinical evaluation will be primarily informed by the </w:t>
      </w:r>
      <w:r>
        <w:t>Archway</w:t>
      </w:r>
      <w:r w:rsidR="00E02B36">
        <w:t xml:space="preserve"> trial</w:t>
      </w:r>
      <w:r w:rsidR="00D90266">
        <w:t xml:space="preserve">, of which the </w:t>
      </w:r>
      <w:r>
        <w:t>Clinical Study Report</w:t>
      </w:r>
      <w:r w:rsidR="00F8020E">
        <w:t xml:space="preserve"> presents trial data from the PDS collectively as the intervention (</w:t>
      </w:r>
      <w:proofErr w:type="spellStart"/>
      <w:r w:rsidR="00F8020E">
        <w:t>ie</w:t>
      </w:r>
      <w:proofErr w:type="spellEnd"/>
      <w:r w:rsidR="00F8020E">
        <w:t xml:space="preserve">. does not separate outcomes by </w:t>
      </w:r>
      <w:r w:rsidR="00D90266">
        <w:t>device, procedure, drug</w:t>
      </w:r>
      <w:r w:rsidR="00F8020E">
        <w:t>)</w:t>
      </w:r>
      <w:r>
        <w:t xml:space="preserve">.  The relevant and appropriate economic analysis </w:t>
      </w:r>
      <w:r w:rsidR="00F8020E">
        <w:t xml:space="preserve">in the PBAC submission </w:t>
      </w:r>
      <w:r>
        <w:t xml:space="preserve">will draw on the relevant price and </w:t>
      </w:r>
      <w:r w:rsidR="0047614E">
        <w:t>cost</w:t>
      </w:r>
      <w:r>
        <w:t xml:space="preserve"> information referred to within submissions to </w:t>
      </w:r>
      <w:r w:rsidR="0047614E">
        <w:t>PLAC and MSAC</w:t>
      </w:r>
      <w:r>
        <w:t xml:space="preserve"> committee</w:t>
      </w:r>
      <w:r w:rsidR="0047614E">
        <w:t>s</w:t>
      </w:r>
      <w:r>
        <w:t xml:space="preserve">, </w:t>
      </w:r>
      <w:r w:rsidR="0047614E">
        <w:t xml:space="preserve">representing the proposed costs for the device and procedures, </w:t>
      </w:r>
      <w:r>
        <w:t>respectively.</w:t>
      </w:r>
      <w:r w:rsidR="00F8020E">
        <w:t xml:space="preserve">  It is foreshadowed that an application to MSAC is likely to represent information similar to that presented within and accompanying this MSAC Application Form.</w:t>
      </w:r>
    </w:p>
    <w:p w14:paraId="65E4CB82" w14:textId="54389D09" w:rsidR="00E86DA3" w:rsidRDefault="00E86DA3" w:rsidP="00955269">
      <w:pPr>
        <w:ind w:left="426"/>
      </w:pPr>
      <w:r>
        <w:t xml:space="preserve">An overall summary of the PICO foreshadowed to be addressed are noted </w:t>
      </w:r>
      <w:r w:rsidRPr="00E86DA3">
        <w:t xml:space="preserve">in </w:t>
      </w:r>
      <w:r w:rsidRPr="00E86DA3">
        <w:fldChar w:fldCharType="begin"/>
      </w:r>
      <w:r w:rsidRPr="00E86DA3">
        <w:instrText xml:space="preserve"> REF _Ref75203228 \h  \* MERGEFORMAT </w:instrText>
      </w:r>
      <w:r w:rsidRPr="00E86DA3">
        <w:fldChar w:fldCharType="separate"/>
      </w:r>
      <w:r w:rsidR="0002746B" w:rsidRPr="0002746B">
        <w:t>Table 1</w:t>
      </w:r>
      <w:r w:rsidRPr="00E86DA3">
        <w:fldChar w:fldCharType="end"/>
      </w:r>
      <w:r w:rsidRPr="00E86DA3">
        <w:t>.</w:t>
      </w:r>
    </w:p>
    <w:p w14:paraId="15601890" w14:textId="26A2E81D" w:rsidR="00E86DA3" w:rsidRPr="00A50ED7" w:rsidRDefault="00E86DA3" w:rsidP="00E86DA3">
      <w:pPr>
        <w:ind w:left="426"/>
        <w:rPr>
          <w:b/>
        </w:rPr>
      </w:pPr>
      <w:bookmarkStart w:id="9" w:name="_Ref75203228"/>
      <w:r w:rsidRPr="00A50ED7">
        <w:rPr>
          <w:b/>
        </w:rPr>
        <w:t xml:space="preserve">Table </w:t>
      </w:r>
      <w:r w:rsidRPr="00A50ED7">
        <w:rPr>
          <w:b/>
        </w:rPr>
        <w:fldChar w:fldCharType="begin"/>
      </w:r>
      <w:r w:rsidRPr="00A50ED7">
        <w:rPr>
          <w:b/>
        </w:rPr>
        <w:instrText xml:space="preserve"> SEQ Table \* ARABIC </w:instrText>
      </w:r>
      <w:r w:rsidRPr="00A50ED7">
        <w:rPr>
          <w:b/>
        </w:rPr>
        <w:fldChar w:fldCharType="separate"/>
      </w:r>
      <w:r w:rsidR="0002746B">
        <w:rPr>
          <w:b/>
          <w:noProof/>
        </w:rPr>
        <w:t>1</w:t>
      </w:r>
      <w:r w:rsidRPr="00A50ED7">
        <w:rPr>
          <w:b/>
        </w:rPr>
        <w:fldChar w:fldCharType="end"/>
      </w:r>
      <w:bookmarkEnd w:id="9"/>
      <w:r>
        <w:rPr>
          <w:b/>
        </w:rPr>
        <w:tab/>
      </w:r>
      <w:bookmarkStart w:id="10" w:name="_Toc42596948"/>
      <w:r w:rsidRPr="00A50ED7">
        <w:rPr>
          <w:b/>
        </w:rPr>
        <w:t xml:space="preserve">Key components of the clinical issue </w:t>
      </w:r>
      <w:r w:rsidR="00536C49">
        <w:rPr>
          <w:b/>
        </w:rPr>
        <w:t xml:space="preserve">to be </w:t>
      </w:r>
      <w:r w:rsidRPr="00A50ED7">
        <w:rPr>
          <w:b/>
        </w:rPr>
        <w:t xml:space="preserve">addressed </w:t>
      </w:r>
      <w:r w:rsidR="000F328E">
        <w:rPr>
          <w:b/>
        </w:rPr>
        <w:t>in</w:t>
      </w:r>
      <w:r w:rsidRPr="00A50ED7">
        <w:rPr>
          <w:b/>
        </w:rPr>
        <w:t xml:space="preserve"> the PBAC submission</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7789"/>
      </w:tblGrid>
      <w:tr w:rsidR="00E86DA3" w:rsidRPr="00A50ED7" w14:paraId="6CA0B419" w14:textId="77777777" w:rsidTr="002A0F2A">
        <w:trPr>
          <w:cantSplit/>
          <w:tblHeader/>
        </w:trPr>
        <w:tc>
          <w:tcPr>
            <w:tcW w:w="680" w:type="pct"/>
          </w:tcPr>
          <w:p w14:paraId="229B1A17" w14:textId="77777777" w:rsidR="00E86DA3" w:rsidRPr="00A50ED7" w:rsidRDefault="00E86DA3" w:rsidP="002A0F2A">
            <w:pPr>
              <w:pStyle w:val="TableText"/>
              <w:rPr>
                <w:b/>
              </w:rPr>
            </w:pPr>
            <w:r w:rsidRPr="00A50ED7">
              <w:rPr>
                <w:b/>
              </w:rPr>
              <w:t>Component</w:t>
            </w:r>
          </w:p>
        </w:tc>
        <w:tc>
          <w:tcPr>
            <w:tcW w:w="4320" w:type="pct"/>
          </w:tcPr>
          <w:p w14:paraId="3344ACAA" w14:textId="77777777" w:rsidR="00E86DA3" w:rsidRPr="00A50ED7" w:rsidRDefault="00E86DA3" w:rsidP="002A0F2A">
            <w:pPr>
              <w:pStyle w:val="TableText"/>
              <w:rPr>
                <w:b/>
              </w:rPr>
            </w:pPr>
            <w:r w:rsidRPr="00A50ED7">
              <w:rPr>
                <w:b/>
              </w:rPr>
              <w:t>Description</w:t>
            </w:r>
          </w:p>
        </w:tc>
      </w:tr>
      <w:tr w:rsidR="00E86DA3" w:rsidRPr="00F250E7" w14:paraId="2437B71F" w14:textId="77777777" w:rsidTr="002A0F2A">
        <w:trPr>
          <w:cantSplit/>
        </w:trPr>
        <w:tc>
          <w:tcPr>
            <w:tcW w:w="680" w:type="pct"/>
          </w:tcPr>
          <w:p w14:paraId="6C2A01B7" w14:textId="77777777" w:rsidR="00E86DA3" w:rsidRPr="00B137E6" w:rsidRDefault="00E86DA3" w:rsidP="002A0F2A">
            <w:pPr>
              <w:pStyle w:val="TableText"/>
            </w:pPr>
            <w:r w:rsidRPr="00B137E6">
              <w:t>Population</w:t>
            </w:r>
          </w:p>
        </w:tc>
        <w:tc>
          <w:tcPr>
            <w:tcW w:w="4320" w:type="pct"/>
          </w:tcPr>
          <w:p w14:paraId="2290B335" w14:textId="77777777" w:rsidR="00E86DA3" w:rsidRPr="00B137E6" w:rsidRDefault="00E86DA3" w:rsidP="002A0F2A">
            <w:pPr>
              <w:pStyle w:val="TableText"/>
            </w:pPr>
            <w:r>
              <w:t xml:space="preserve">Patients with </w:t>
            </w:r>
            <w:proofErr w:type="spellStart"/>
            <w:r>
              <w:t>nAMD</w:t>
            </w:r>
            <w:proofErr w:type="spellEnd"/>
          </w:p>
        </w:tc>
      </w:tr>
      <w:tr w:rsidR="00E86DA3" w:rsidRPr="00F250E7" w14:paraId="4DDE4D13" w14:textId="77777777" w:rsidTr="002A0F2A">
        <w:trPr>
          <w:cantSplit/>
        </w:trPr>
        <w:tc>
          <w:tcPr>
            <w:tcW w:w="680" w:type="pct"/>
          </w:tcPr>
          <w:p w14:paraId="0878E2F4" w14:textId="77777777" w:rsidR="00E86DA3" w:rsidRPr="00B137E6" w:rsidRDefault="00E86DA3" w:rsidP="002A0F2A">
            <w:pPr>
              <w:pStyle w:val="TableText"/>
            </w:pPr>
            <w:r w:rsidRPr="00B137E6">
              <w:t>Intervention</w:t>
            </w:r>
          </w:p>
        </w:tc>
        <w:tc>
          <w:tcPr>
            <w:tcW w:w="4320" w:type="pct"/>
          </w:tcPr>
          <w:p w14:paraId="20A75115" w14:textId="77777777" w:rsidR="00E86DA3" w:rsidRPr="00B137E6" w:rsidRDefault="00E86DA3" w:rsidP="002A0F2A">
            <w:pPr>
              <w:pStyle w:val="TableText"/>
            </w:pPr>
            <w:r>
              <w:t>ranibizumab (via ocular implant)</w:t>
            </w:r>
          </w:p>
        </w:tc>
      </w:tr>
      <w:tr w:rsidR="00E86DA3" w:rsidRPr="00F250E7" w14:paraId="4143D4FC" w14:textId="77777777" w:rsidTr="002A0F2A">
        <w:trPr>
          <w:cantSplit/>
        </w:trPr>
        <w:tc>
          <w:tcPr>
            <w:tcW w:w="680" w:type="pct"/>
          </w:tcPr>
          <w:p w14:paraId="643F9F74" w14:textId="77777777" w:rsidR="00E86DA3" w:rsidRPr="00B137E6" w:rsidRDefault="00E86DA3" w:rsidP="002A0F2A">
            <w:pPr>
              <w:pStyle w:val="TableText"/>
            </w:pPr>
            <w:r w:rsidRPr="00B137E6">
              <w:t>Comparator</w:t>
            </w:r>
          </w:p>
        </w:tc>
        <w:tc>
          <w:tcPr>
            <w:tcW w:w="4320" w:type="pct"/>
          </w:tcPr>
          <w:p w14:paraId="77D4FEE7" w14:textId="0653F0DB" w:rsidR="00E86DA3" w:rsidRPr="00B137E6" w:rsidRDefault="00E86DA3" w:rsidP="002A0F2A">
            <w:pPr>
              <w:pStyle w:val="TableText"/>
            </w:pPr>
            <w:r>
              <w:t>ranibizumab (via intravitreal injection)</w:t>
            </w:r>
            <w:r w:rsidR="003E5603">
              <w:t>, as a proxy for standard of care</w:t>
            </w:r>
          </w:p>
        </w:tc>
      </w:tr>
      <w:tr w:rsidR="00E86DA3" w:rsidRPr="00F250E7" w14:paraId="76C1D5EA" w14:textId="77777777" w:rsidTr="002A0F2A">
        <w:trPr>
          <w:cantSplit/>
        </w:trPr>
        <w:tc>
          <w:tcPr>
            <w:tcW w:w="680" w:type="pct"/>
          </w:tcPr>
          <w:p w14:paraId="624EA521" w14:textId="77777777" w:rsidR="00E86DA3" w:rsidRPr="00B137E6" w:rsidRDefault="00E86DA3" w:rsidP="002A0F2A">
            <w:pPr>
              <w:pStyle w:val="TableText"/>
            </w:pPr>
            <w:r w:rsidRPr="00B137E6">
              <w:t>Outcomes</w:t>
            </w:r>
          </w:p>
        </w:tc>
        <w:tc>
          <w:tcPr>
            <w:tcW w:w="4320" w:type="pct"/>
          </w:tcPr>
          <w:p w14:paraId="74550922" w14:textId="72AB702A" w:rsidR="00E86DA3" w:rsidRDefault="005F72AE" w:rsidP="002A0F2A">
            <w:pPr>
              <w:pStyle w:val="TableText"/>
            </w:pPr>
            <w:r>
              <w:t xml:space="preserve">Primary efficacy outcome: </w:t>
            </w:r>
            <w:r w:rsidR="00E86DA3">
              <w:t>Best corrected visual acuity (BCVA)</w:t>
            </w:r>
          </w:p>
          <w:p w14:paraId="7D4C64BE" w14:textId="6934C472" w:rsidR="00E86DA3" w:rsidRPr="00B137E6" w:rsidRDefault="00E86DA3" w:rsidP="002A0F2A">
            <w:pPr>
              <w:pStyle w:val="TableText"/>
            </w:pPr>
            <w:r>
              <w:t>Adverse events</w:t>
            </w:r>
            <w:r w:rsidR="003637AF">
              <w:t xml:space="preserve"> (ocular and non-ocular)</w:t>
            </w:r>
          </w:p>
        </w:tc>
      </w:tr>
      <w:tr w:rsidR="00E86DA3" w:rsidRPr="00F250E7" w14:paraId="5BF72F04" w14:textId="77777777" w:rsidTr="002A0F2A">
        <w:trPr>
          <w:cantSplit/>
        </w:trPr>
        <w:tc>
          <w:tcPr>
            <w:tcW w:w="680" w:type="pct"/>
          </w:tcPr>
          <w:p w14:paraId="05386CD2" w14:textId="77777777" w:rsidR="00E86DA3" w:rsidRPr="00B137E6" w:rsidRDefault="00E86DA3" w:rsidP="002A0F2A">
            <w:pPr>
              <w:pStyle w:val="TableText"/>
            </w:pPr>
            <w:r w:rsidRPr="00B137E6">
              <w:t>Clinical claim</w:t>
            </w:r>
          </w:p>
        </w:tc>
        <w:tc>
          <w:tcPr>
            <w:tcW w:w="4320" w:type="pct"/>
          </w:tcPr>
          <w:p w14:paraId="60B35CAC" w14:textId="09BB0F6F" w:rsidR="00E86DA3" w:rsidRPr="00B137E6" w:rsidRDefault="00E86DA3" w:rsidP="00F8020E">
            <w:pPr>
              <w:pStyle w:val="TableText"/>
            </w:pPr>
            <w:r w:rsidRPr="00B137E6">
              <w:t xml:space="preserve">In </w:t>
            </w:r>
            <w:r>
              <w:t xml:space="preserve">patients with </w:t>
            </w:r>
            <w:proofErr w:type="spellStart"/>
            <w:r>
              <w:t>nAMD</w:t>
            </w:r>
            <w:proofErr w:type="spellEnd"/>
            <w:r w:rsidRPr="00B137E6">
              <w:t xml:space="preserve">, </w:t>
            </w:r>
            <w:r>
              <w:t xml:space="preserve">ranibizumab via ocular implant </w:t>
            </w:r>
            <w:r w:rsidRPr="00B137E6">
              <w:t>is as effective as</w:t>
            </w:r>
            <w:r>
              <w:t xml:space="preserve"> ranibizumab via intravitreal injection</w:t>
            </w:r>
            <w:r w:rsidRPr="00B137E6">
              <w:t xml:space="preserve"> at </w:t>
            </w:r>
            <w:r>
              <w:t>maintaining BCVA</w:t>
            </w:r>
            <w:r w:rsidR="00F8020E">
              <w:t xml:space="preserve"> (with a </w:t>
            </w:r>
            <w:r>
              <w:t>r</w:t>
            </w:r>
            <w:r w:rsidR="00F8020E">
              <w:t>eduction in frequency of treatment administration)</w:t>
            </w:r>
          </w:p>
        </w:tc>
      </w:tr>
    </w:tbl>
    <w:p w14:paraId="714AEEE0" w14:textId="77777777" w:rsidR="00FB2702" w:rsidRPr="00065CD7" w:rsidRDefault="00FB2702" w:rsidP="00065CD7"/>
    <w:p w14:paraId="39138D7C" w14:textId="77777777" w:rsidR="00FB2702" w:rsidRDefault="00FB2702">
      <w:pPr>
        <w:spacing w:before="0" w:after="200" w:line="276" w:lineRule="auto"/>
        <w:rPr>
          <w:bCs/>
          <w:color w:val="4F81BD" w:themeColor="accent1"/>
          <w:sz w:val="40"/>
          <w:szCs w:val="32"/>
        </w:rPr>
      </w:pPr>
      <w:r>
        <w:br w:type="page"/>
      </w:r>
    </w:p>
    <w:p w14:paraId="7C82774F" w14:textId="62BAF345" w:rsidR="00C776B1" w:rsidRPr="00C776B1" w:rsidRDefault="005C3AE7" w:rsidP="0056015F">
      <w:pPr>
        <w:pStyle w:val="Heading1"/>
      </w:pPr>
      <w:r>
        <w:t>PART 7</w:t>
      </w:r>
      <w:r w:rsidR="00F93784">
        <w:t xml:space="preserve"> – </w:t>
      </w:r>
      <w:r w:rsidR="006C74B1" w:rsidRPr="00C776B1">
        <w:t xml:space="preserve">INFORMATION ABOUT </w:t>
      </w:r>
      <w:r w:rsidR="0018630F" w:rsidRPr="00C776B1">
        <w:t xml:space="preserve">ESTIMATED </w:t>
      </w:r>
      <w:r w:rsidR="00974D50" w:rsidRPr="00C776B1">
        <w:t>UTILISATION</w:t>
      </w:r>
    </w:p>
    <w:p w14:paraId="34280DEE"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7FAB4397" w14:textId="6D43425F" w:rsidR="006C74B1" w:rsidRPr="003C59CE" w:rsidRDefault="000358ED" w:rsidP="00B103F5">
      <w:pPr>
        <w:ind w:left="426"/>
      </w:pPr>
      <w:r>
        <w:t>In 2</w:t>
      </w:r>
      <w:r w:rsidR="00F8020E">
        <w:t>015</w:t>
      </w:r>
      <w:r>
        <w:t>, the</w:t>
      </w:r>
      <w:r w:rsidR="003A72DE">
        <w:t xml:space="preserve"> </w:t>
      </w:r>
      <w:r w:rsidR="00B103F5">
        <w:t xml:space="preserve">Drug Utilisation </w:t>
      </w:r>
      <w:r>
        <w:t>Subcommittee</w:t>
      </w:r>
      <w:r w:rsidR="00F8020E">
        <w:t xml:space="preserve"> </w:t>
      </w:r>
      <w:r w:rsidR="00B103F5">
        <w:t>noted as “</w:t>
      </w:r>
      <w:r w:rsidR="00B103F5" w:rsidRPr="00B103F5">
        <w:rPr>
          <w:i/>
        </w:rPr>
        <w:t>age-related macular degeneration is strongly related to advancing age, and as Australia has an ageing population, it is expected that the prevalent treated group of patients will continue to grow.</w:t>
      </w:r>
      <w:r w:rsidR="00B103F5">
        <w:rPr>
          <w:i/>
        </w:rPr>
        <w:t xml:space="preserve">” </w:t>
      </w:r>
      <w:r w:rsidR="00B103F5">
        <w:t>It notes “</w:t>
      </w:r>
      <w:r w:rsidR="00B103F5" w:rsidRPr="00B103F5">
        <w:rPr>
          <w:i/>
        </w:rPr>
        <w:t>Published data from the Blue Mountains Eye Study (BMES) has been used to estimate the incidence and prevalence of patients with AMD in Australia. The BMES estimated the overall 5-year incidence of advanced age-related macular degeneration to be 1.1%; increasing from 0% in individ</w:t>
      </w:r>
      <w:r>
        <w:rPr>
          <w:i/>
        </w:rPr>
        <w:t>uals under 60 years of age to 5.</w:t>
      </w:r>
      <w:r w:rsidR="00B103F5" w:rsidRPr="00B103F5">
        <w:rPr>
          <w:i/>
        </w:rPr>
        <w:t>4% in those aged 80 years or older. Wang et al. (2007) assessed the 10-year incidence of age-related maculopathy (ARM) in an older cohort from the BMES. Comparing across age groups, which were categorised based on the age at base-line, they reported a higher incidence of AMD</w:t>
      </w:r>
      <w:r w:rsidR="00B103F5">
        <w:rPr>
          <w:i/>
        </w:rPr>
        <w:t xml:space="preserve"> </w:t>
      </w:r>
      <w:r w:rsidR="00B103F5" w:rsidRPr="00B103F5">
        <w:rPr>
          <w:i/>
        </w:rPr>
        <w:t>than from the previously published data. The incidence of AMD rose from 0.17% in the</w:t>
      </w:r>
      <w:r w:rsidR="00B103F5">
        <w:rPr>
          <w:i/>
        </w:rPr>
        <w:t xml:space="preserve"> </w:t>
      </w:r>
      <w:r w:rsidR="00B103F5" w:rsidRPr="00B103F5">
        <w:rPr>
          <w:i/>
        </w:rPr>
        <w:t>less than 60 years group to 24.3% for the 80 years and older group. Overall, 3.7% of</w:t>
      </w:r>
      <w:r w:rsidR="00B103F5">
        <w:rPr>
          <w:i/>
        </w:rPr>
        <w:t xml:space="preserve"> </w:t>
      </w:r>
      <w:r w:rsidR="00B103F5" w:rsidRPr="00B103F5">
        <w:rPr>
          <w:i/>
        </w:rPr>
        <w:t>participants (aged ≥49 years) developed late ARM over the ten year period.</w:t>
      </w:r>
      <w:r w:rsidR="00B103F5">
        <w:rPr>
          <w:i/>
        </w:rPr>
        <w:t>”</w:t>
      </w:r>
      <w:r w:rsidR="0019701C">
        <w:rPr>
          <w:i/>
        </w:rPr>
        <w:t xml:space="preserve"> </w:t>
      </w:r>
      <w:sdt>
        <w:sdtPr>
          <w:rPr>
            <w:i/>
          </w:rPr>
          <w:id w:val="1424995241"/>
          <w:citation/>
        </w:sdtPr>
        <w:sdtContent>
          <w:r w:rsidR="003C59CE">
            <w:rPr>
              <w:i/>
            </w:rPr>
            <w:fldChar w:fldCharType="begin"/>
          </w:r>
          <w:r w:rsidR="00726CCB">
            <w:instrText xml:space="preserve">CITATION DUS15 \l 3081 </w:instrText>
          </w:r>
          <w:r w:rsidR="003C59CE">
            <w:rPr>
              <w:i/>
            </w:rPr>
            <w:fldChar w:fldCharType="separate"/>
          </w:r>
          <w:r w:rsidR="00CC71D6">
            <w:rPr>
              <w:noProof/>
            </w:rPr>
            <w:t>(DUSC, 2015)</w:t>
          </w:r>
          <w:r w:rsidR="003C59CE">
            <w:rPr>
              <w:i/>
            </w:rPr>
            <w:fldChar w:fldCharType="end"/>
          </w:r>
        </w:sdtContent>
      </w:sdt>
    </w:p>
    <w:p w14:paraId="55F5BC52" w14:textId="11603821" w:rsidR="0019701C" w:rsidRDefault="0019701C" w:rsidP="007462CB">
      <w:pPr>
        <w:ind w:left="426"/>
      </w:pPr>
      <w:r>
        <w:t xml:space="preserve">Given the </w:t>
      </w:r>
      <w:r w:rsidR="000358ED">
        <w:t>anticipated treated</w:t>
      </w:r>
      <w:r>
        <w:t xml:space="preserve"> population </w:t>
      </w:r>
      <w:r w:rsidR="000358ED">
        <w:t xml:space="preserve">is </w:t>
      </w:r>
      <w:r>
        <w:t xml:space="preserve">a subset of </w:t>
      </w:r>
      <w:r w:rsidR="000358ED">
        <w:t>a relatively mature</w:t>
      </w:r>
      <w:r>
        <w:t xml:space="preserve"> PBS eligible population, </w:t>
      </w:r>
      <w:r w:rsidR="005245A6">
        <w:t xml:space="preserve">a </w:t>
      </w:r>
      <w:r>
        <w:t>mark</w:t>
      </w:r>
      <w:r w:rsidR="000358ED">
        <w:t xml:space="preserve">et </w:t>
      </w:r>
      <w:r w:rsidR="005245A6">
        <w:t xml:space="preserve">based approach was considered appropriate to </w:t>
      </w:r>
      <w:r w:rsidR="000358ED">
        <w:t>estimate the size of the proposed population.</w:t>
      </w:r>
    </w:p>
    <w:p w14:paraId="2600B72B" w14:textId="67EAADFE" w:rsidR="007462CB" w:rsidRDefault="00F8020E" w:rsidP="007462CB">
      <w:pPr>
        <w:ind w:left="426"/>
      </w:pPr>
      <w:r>
        <w:fldChar w:fldCharType="begin"/>
      </w:r>
      <w:r>
        <w:instrText xml:space="preserve"> REF _Ref75429612 \h  \* MERGEFORMAT </w:instrText>
      </w:r>
      <w:r>
        <w:fldChar w:fldCharType="separate"/>
      </w:r>
      <w:r w:rsidR="0002746B" w:rsidRPr="0002746B">
        <w:t>Table 2</w:t>
      </w:r>
      <w:r>
        <w:fldChar w:fldCharType="end"/>
      </w:r>
      <w:r>
        <w:t xml:space="preserve"> presents t</w:t>
      </w:r>
      <w:r w:rsidR="000B0590">
        <w:t xml:space="preserve">he number of services for MBS items #42738, #42739 and #42740 </w:t>
      </w:r>
      <w:r>
        <w:t>in the preceding 5 years</w:t>
      </w:r>
      <w:r w:rsidR="007462CB">
        <w:t xml:space="preserve">. </w:t>
      </w:r>
      <w:r w:rsidR="007462CB" w:rsidRPr="007462CB">
        <w:t xml:space="preserve">It should be noted that this represents utilisation in addition to the </w:t>
      </w:r>
      <w:proofErr w:type="spellStart"/>
      <w:r w:rsidR="007462CB" w:rsidRPr="007462CB">
        <w:t>nAMD</w:t>
      </w:r>
      <w:proofErr w:type="spellEnd"/>
      <w:r w:rsidR="007462CB" w:rsidRPr="007462CB">
        <w:t xml:space="preserve">, including, but not limited to, the administration of </w:t>
      </w:r>
      <w:r w:rsidR="007462CB">
        <w:t>intravitreal</w:t>
      </w:r>
      <w:r w:rsidR="007462CB" w:rsidRPr="007462CB">
        <w:t xml:space="preserve"> injections in diabetic macular oedema</w:t>
      </w:r>
      <w:r w:rsidR="007462CB">
        <w:t xml:space="preserve"> and</w:t>
      </w:r>
      <w:r w:rsidR="007462CB" w:rsidRPr="007462CB">
        <w:t xml:space="preserve"> retinal vein occlusion</w:t>
      </w:r>
      <w:r>
        <w:t>, and thus, is limited in estimating the relative size of the proposed population.</w:t>
      </w:r>
    </w:p>
    <w:p w14:paraId="31D8C79A" w14:textId="6627D92A" w:rsidR="007462CB" w:rsidRPr="007462CB" w:rsidRDefault="007462CB" w:rsidP="007462CB">
      <w:pPr>
        <w:ind w:left="426"/>
        <w:rPr>
          <w:b/>
        </w:rPr>
      </w:pPr>
      <w:bookmarkStart w:id="11" w:name="_Ref75429612"/>
      <w:r w:rsidRPr="007462CB">
        <w:rPr>
          <w:b/>
        </w:rPr>
        <w:t xml:space="preserve">Table </w:t>
      </w:r>
      <w:r w:rsidRPr="007462CB">
        <w:rPr>
          <w:b/>
        </w:rPr>
        <w:fldChar w:fldCharType="begin"/>
      </w:r>
      <w:r w:rsidRPr="007462CB">
        <w:rPr>
          <w:b/>
        </w:rPr>
        <w:instrText xml:space="preserve"> SEQ Table \* ARABIC </w:instrText>
      </w:r>
      <w:r w:rsidRPr="007462CB">
        <w:rPr>
          <w:b/>
        </w:rPr>
        <w:fldChar w:fldCharType="separate"/>
      </w:r>
      <w:r w:rsidR="0002746B">
        <w:rPr>
          <w:b/>
          <w:noProof/>
        </w:rPr>
        <w:t>2</w:t>
      </w:r>
      <w:r w:rsidRPr="007462CB">
        <w:rPr>
          <w:b/>
        </w:rPr>
        <w:fldChar w:fldCharType="end"/>
      </w:r>
      <w:bookmarkEnd w:id="11"/>
      <w:r>
        <w:rPr>
          <w:b/>
        </w:rPr>
        <w:tab/>
        <w:t>MBS services for #42738, #42739 and #42740</w:t>
      </w:r>
    </w:p>
    <w:tbl>
      <w:tblPr>
        <w:tblStyle w:val="TableGrid"/>
        <w:tblW w:w="5000" w:type="pct"/>
        <w:tblLook w:val="04A0" w:firstRow="1" w:lastRow="0" w:firstColumn="1" w:lastColumn="0" w:noHBand="0" w:noVBand="1"/>
      </w:tblPr>
      <w:tblGrid>
        <w:gridCol w:w="1449"/>
        <w:gridCol w:w="1515"/>
        <w:gridCol w:w="1515"/>
        <w:gridCol w:w="1513"/>
        <w:gridCol w:w="1513"/>
        <w:gridCol w:w="1511"/>
      </w:tblGrid>
      <w:tr w:rsidR="007462CB" w:rsidRPr="007462CB" w14:paraId="0DF7305B" w14:textId="77777777" w:rsidTr="007462CB">
        <w:tc>
          <w:tcPr>
            <w:tcW w:w="804" w:type="pct"/>
          </w:tcPr>
          <w:p w14:paraId="727DC952" w14:textId="7423ECB0" w:rsidR="007462CB" w:rsidRPr="007462CB" w:rsidRDefault="00CB6642" w:rsidP="007462CB">
            <w:pPr>
              <w:pStyle w:val="TableText"/>
              <w:spacing w:before="0" w:after="0"/>
              <w:rPr>
                <w:b/>
              </w:rPr>
            </w:pPr>
            <w:r>
              <w:rPr>
                <w:b/>
              </w:rPr>
              <w:t>MBS item number</w:t>
            </w:r>
          </w:p>
        </w:tc>
        <w:tc>
          <w:tcPr>
            <w:tcW w:w="840" w:type="pct"/>
          </w:tcPr>
          <w:p w14:paraId="6B608F0A" w14:textId="739AC1FE" w:rsidR="007462CB" w:rsidRPr="007462CB" w:rsidRDefault="007462CB" w:rsidP="007462CB">
            <w:pPr>
              <w:pStyle w:val="TableText"/>
              <w:spacing w:before="0" w:after="0"/>
              <w:jc w:val="center"/>
              <w:rPr>
                <w:b/>
              </w:rPr>
            </w:pPr>
            <w:r w:rsidRPr="007462CB">
              <w:rPr>
                <w:b/>
              </w:rPr>
              <w:t>2016</w:t>
            </w:r>
          </w:p>
        </w:tc>
        <w:tc>
          <w:tcPr>
            <w:tcW w:w="840" w:type="pct"/>
          </w:tcPr>
          <w:p w14:paraId="725C57A2" w14:textId="29BB4B84" w:rsidR="007462CB" w:rsidRPr="007462CB" w:rsidRDefault="007462CB" w:rsidP="007462CB">
            <w:pPr>
              <w:pStyle w:val="TableText"/>
              <w:spacing w:before="0" w:after="0"/>
              <w:jc w:val="center"/>
              <w:rPr>
                <w:b/>
              </w:rPr>
            </w:pPr>
            <w:r w:rsidRPr="007462CB">
              <w:rPr>
                <w:b/>
              </w:rPr>
              <w:t>2017</w:t>
            </w:r>
          </w:p>
        </w:tc>
        <w:tc>
          <w:tcPr>
            <w:tcW w:w="839" w:type="pct"/>
          </w:tcPr>
          <w:p w14:paraId="5B9ADC5C" w14:textId="5A485A15" w:rsidR="007462CB" w:rsidRPr="007462CB" w:rsidRDefault="007462CB" w:rsidP="007462CB">
            <w:pPr>
              <w:pStyle w:val="TableText"/>
              <w:spacing w:before="0" w:after="0"/>
              <w:jc w:val="center"/>
              <w:rPr>
                <w:b/>
              </w:rPr>
            </w:pPr>
            <w:r w:rsidRPr="007462CB">
              <w:rPr>
                <w:b/>
              </w:rPr>
              <w:t>2018</w:t>
            </w:r>
          </w:p>
        </w:tc>
        <w:tc>
          <w:tcPr>
            <w:tcW w:w="839" w:type="pct"/>
          </w:tcPr>
          <w:p w14:paraId="5F048EA9" w14:textId="4968BD3D" w:rsidR="007462CB" w:rsidRPr="007462CB" w:rsidRDefault="007462CB" w:rsidP="007462CB">
            <w:pPr>
              <w:pStyle w:val="TableText"/>
              <w:spacing w:before="0" w:after="0"/>
              <w:jc w:val="center"/>
              <w:rPr>
                <w:b/>
              </w:rPr>
            </w:pPr>
            <w:r w:rsidRPr="007462CB">
              <w:rPr>
                <w:b/>
              </w:rPr>
              <w:t>2019</w:t>
            </w:r>
          </w:p>
        </w:tc>
        <w:tc>
          <w:tcPr>
            <w:tcW w:w="838" w:type="pct"/>
          </w:tcPr>
          <w:p w14:paraId="4CE1D00C" w14:textId="37EA0FF4" w:rsidR="007462CB" w:rsidRPr="007462CB" w:rsidRDefault="007462CB" w:rsidP="007462CB">
            <w:pPr>
              <w:pStyle w:val="TableText"/>
              <w:spacing w:before="0" w:after="0"/>
              <w:jc w:val="center"/>
              <w:rPr>
                <w:b/>
              </w:rPr>
            </w:pPr>
            <w:r w:rsidRPr="007462CB">
              <w:rPr>
                <w:b/>
              </w:rPr>
              <w:t>2020</w:t>
            </w:r>
          </w:p>
        </w:tc>
      </w:tr>
      <w:tr w:rsidR="007462CB" w14:paraId="64ABDE44" w14:textId="77777777" w:rsidTr="007462CB">
        <w:tc>
          <w:tcPr>
            <w:tcW w:w="804" w:type="pct"/>
          </w:tcPr>
          <w:p w14:paraId="5F06DE49" w14:textId="74D01E4F" w:rsidR="007462CB" w:rsidRDefault="007462CB" w:rsidP="007462CB">
            <w:pPr>
              <w:spacing w:before="0" w:after="0"/>
            </w:pPr>
            <w:r>
              <w:t>42738</w:t>
            </w:r>
          </w:p>
        </w:tc>
        <w:tc>
          <w:tcPr>
            <w:tcW w:w="840" w:type="pct"/>
          </w:tcPr>
          <w:p w14:paraId="4D21B2C8" w14:textId="2FFBF047" w:rsidR="007462CB" w:rsidRDefault="007462CB" w:rsidP="007462CB">
            <w:pPr>
              <w:spacing w:before="0" w:after="0"/>
              <w:jc w:val="center"/>
            </w:pPr>
            <w:r>
              <w:t>384</w:t>
            </w:r>
            <w:r w:rsidR="00EA7E75">
              <w:t>,</w:t>
            </w:r>
            <w:r>
              <w:t>124</w:t>
            </w:r>
          </w:p>
        </w:tc>
        <w:tc>
          <w:tcPr>
            <w:tcW w:w="840" w:type="pct"/>
          </w:tcPr>
          <w:p w14:paraId="20D4748E" w14:textId="3FF8049D" w:rsidR="007462CB" w:rsidRDefault="007462CB" w:rsidP="007462CB">
            <w:pPr>
              <w:spacing w:before="0" w:after="0"/>
              <w:jc w:val="center"/>
            </w:pPr>
            <w:r>
              <w:t>429</w:t>
            </w:r>
            <w:r w:rsidR="00EA7E75">
              <w:t>,</w:t>
            </w:r>
            <w:r>
              <w:t>405</w:t>
            </w:r>
          </w:p>
        </w:tc>
        <w:tc>
          <w:tcPr>
            <w:tcW w:w="839" w:type="pct"/>
          </w:tcPr>
          <w:p w14:paraId="11883385" w14:textId="6AC337E8" w:rsidR="007462CB" w:rsidRDefault="007462CB" w:rsidP="007462CB">
            <w:pPr>
              <w:spacing w:before="0" w:after="0"/>
              <w:jc w:val="center"/>
            </w:pPr>
            <w:r>
              <w:t>475</w:t>
            </w:r>
            <w:r w:rsidR="00EA7E75">
              <w:t>,</w:t>
            </w:r>
            <w:r>
              <w:t>786</w:t>
            </w:r>
          </w:p>
        </w:tc>
        <w:tc>
          <w:tcPr>
            <w:tcW w:w="839" w:type="pct"/>
          </w:tcPr>
          <w:p w14:paraId="312D372E" w14:textId="1F426009" w:rsidR="007462CB" w:rsidRDefault="007462CB" w:rsidP="007462CB">
            <w:pPr>
              <w:spacing w:before="0" w:after="0"/>
              <w:jc w:val="center"/>
            </w:pPr>
            <w:r>
              <w:t>515</w:t>
            </w:r>
            <w:r w:rsidR="00EA7E75">
              <w:t>,</w:t>
            </w:r>
            <w:r>
              <w:t>448</w:t>
            </w:r>
          </w:p>
        </w:tc>
        <w:tc>
          <w:tcPr>
            <w:tcW w:w="838" w:type="pct"/>
          </w:tcPr>
          <w:p w14:paraId="2EAAAC97" w14:textId="15E678B6" w:rsidR="007462CB" w:rsidRDefault="007462CB" w:rsidP="007462CB">
            <w:pPr>
              <w:spacing w:before="0" w:after="0"/>
              <w:jc w:val="center"/>
            </w:pPr>
            <w:r>
              <w:t>554</w:t>
            </w:r>
            <w:r w:rsidR="00EA7E75">
              <w:t>,</w:t>
            </w:r>
            <w:r>
              <w:t>891</w:t>
            </w:r>
          </w:p>
        </w:tc>
      </w:tr>
      <w:tr w:rsidR="007462CB" w14:paraId="0BBAFACD" w14:textId="77777777" w:rsidTr="007462CB">
        <w:tc>
          <w:tcPr>
            <w:tcW w:w="804" w:type="pct"/>
          </w:tcPr>
          <w:p w14:paraId="307AC67F" w14:textId="24BEEF94" w:rsidR="007462CB" w:rsidRDefault="007462CB" w:rsidP="007462CB">
            <w:pPr>
              <w:spacing w:before="0" w:after="0"/>
            </w:pPr>
            <w:r>
              <w:t>42739</w:t>
            </w:r>
          </w:p>
        </w:tc>
        <w:tc>
          <w:tcPr>
            <w:tcW w:w="840" w:type="pct"/>
          </w:tcPr>
          <w:p w14:paraId="1FCBFAFA" w14:textId="00D6174B" w:rsidR="007462CB" w:rsidRDefault="007462CB" w:rsidP="007462CB">
            <w:pPr>
              <w:spacing w:before="0" w:after="0"/>
              <w:jc w:val="center"/>
            </w:pPr>
            <w:r>
              <w:t>9</w:t>
            </w:r>
            <w:r w:rsidR="00EA7E75">
              <w:t>,</w:t>
            </w:r>
            <w:r>
              <w:t>245</w:t>
            </w:r>
          </w:p>
        </w:tc>
        <w:tc>
          <w:tcPr>
            <w:tcW w:w="840" w:type="pct"/>
          </w:tcPr>
          <w:p w14:paraId="6F6811DF" w14:textId="28FFBDF0" w:rsidR="007462CB" w:rsidRDefault="007462CB" w:rsidP="007462CB">
            <w:pPr>
              <w:spacing w:before="0" w:after="0"/>
              <w:jc w:val="center"/>
            </w:pPr>
            <w:r>
              <w:t>9</w:t>
            </w:r>
            <w:r w:rsidR="00EA7E75">
              <w:t>,</w:t>
            </w:r>
            <w:r>
              <w:t>036</w:t>
            </w:r>
          </w:p>
        </w:tc>
        <w:tc>
          <w:tcPr>
            <w:tcW w:w="839" w:type="pct"/>
          </w:tcPr>
          <w:p w14:paraId="06829C0A" w14:textId="5A3A1789" w:rsidR="007462CB" w:rsidRDefault="007462CB" w:rsidP="007462CB">
            <w:pPr>
              <w:spacing w:before="0" w:after="0"/>
              <w:jc w:val="center"/>
            </w:pPr>
            <w:r>
              <w:t>9</w:t>
            </w:r>
            <w:r w:rsidR="00EA7E75">
              <w:t>,</w:t>
            </w:r>
            <w:r>
              <w:t>141</w:t>
            </w:r>
          </w:p>
        </w:tc>
        <w:tc>
          <w:tcPr>
            <w:tcW w:w="839" w:type="pct"/>
          </w:tcPr>
          <w:p w14:paraId="5BA8E135" w14:textId="017B6629" w:rsidR="007462CB" w:rsidRDefault="007462CB" w:rsidP="007462CB">
            <w:pPr>
              <w:spacing w:before="0" w:after="0"/>
              <w:jc w:val="center"/>
            </w:pPr>
            <w:r>
              <w:t>9</w:t>
            </w:r>
            <w:r w:rsidR="00EA7E75">
              <w:t>,</w:t>
            </w:r>
            <w:r>
              <w:t>600</w:t>
            </w:r>
          </w:p>
        </w:tc>
        <w:tc>
          <w:tcPr>
            <w:tcW w:w="838" w:type="pct"/>
          </w:tcPr>
          <w:p w14:paraId="78D48338" w14:textId="68F1EC89" w:rsidR="007462CB" w:rsidRDefault="007462CB" w:rsidP="007462CB">
            <w:pPr>
              <w:spacing w:before="0" w:after="0"/>
              <w:jc w:val="center"/>
            </w:pPr>
            <w:r>
              <w:t>9</w:t>
            </w:r>
            <w:r w:rsidR="00EA7E75">
              <w:t>,</w:t>
            </w:r>
            <w:r>
              <w:t>044</w:t>
            </w:r>
          </w:p>
        </w:tc>
      </w:tr>
      <w:tr w:rsidR="007462CB" w14:paraId="13AA2C05" w14:textId="77777777" w:rsidTr="007462CB">
        <w:tc>
          <w:tcPr>
            <w:tcW w:w="804" w:type="pct"/>
          </w:tcPr>
          <w:p w14:paraId="318B1869" w14:textId="060F192B" w:rsidR="007462CB" w:rsidRDefault="007462CB" w:rsidP="007462CB">
            <w:pPr>
              <w:spacing w:before="0" w:after="0"/>
            </w:pPr>
            <w:r>
              <w:t>42740</w:t>
            </w:r>
          </w:p>
        </w:tc>
        <w:tc>
          <w:tcPr>
            <w:tcW w:w="840" w:type="pct"/>
          </w:tcPr>
          <w:p w14:paraId="40343ED9" w14:textId="6C8DC460" w:rsidR="007462CB" w:rsidRDefault="007462CB" w:rsidP="007462CB">
            <w:pPr>
              <w:spacing w:before="0" w:after="0"/>
              <w:jc w:val="center"/>
            </w:pPr>
            <w:r>
              <w:t>15</w:t>
            </w:r>
            <w:r w:rsidR="00EA7E75">
              <w:t>,</w:t>
            </w:r>
            <w:r>
              <w:t>074</w:t>
            </w:r>
          </w:p>
        </w:tc>
        <w:tc>
          <w:tcPr>
            <w:tcW w:w="840" w:type="pct"/>
          </w:tcPr>
          <w:p w14:paraId="2F5BE858" w14:textId="5F639461" w:rsidR="007462CB" w:rsidRDefault="007462CB" w:rsidP="007462CB">
            <w:pPr>
              <w:spacing w:before="0" w:after="0"/>
              <w:jc w:val="center"/>
            </w:pPr>
            <w:r>
              <w:t>15</w:t>
            </w:r>
            <w:r w:rsidR="00EA7E75">
              <w:t>,</w:t>
            </w:r>
            <w:r>
              <w:t>846</w:t>
            </w:r>
          </w:p>
        </w:tc>
        <w:tc>
          <w:tcPr>
            <w:tcW w:w="839" w:type="pct"/>
          </w:tcPr>
          <w:p w14:paraId="73ED45D1" w14:textId="67080EF1" w:rsidR="007462CB" w:rsidRDefault="007462CB" w:rsidP="007462CB">
            <w:pPr>
              <w:spacing w:before="0" w:after="0"/>
              <w:jc w:val="center"/>
            </w:pPr>
            <w:r>
              <w:t>13</w:t>
            </w:r>
            <w:r w:rsidR="00EA7E75">
              <w:t>,</w:t>
            </w:r>
            <w:r>
              <w:t>606</w:t>
            </w:r>
          </w:p>
        </w:tc>
        <w:tc>
          <w:tcPr>
            <w:tcW w:w="839" w:type="pct"/>
          </w:tcPr>
          <w:p w14:paraId="709C5890" w14:textId="2E5B44F4" w:rsidR="007462CB" w:rsidRDefault="007462CB" w:rsidP="007462CB">
            <w:pPr>
              <w:spacing w:before="0" w:after="0"/>
              <w:jc w:val="center"/>
            </w:pPr>
            <w:r>
              <w:t>14</w:t>
            </w:r>
            <w:r w:rsidR="00EA7E75">
              <w:t>,</w:t>
            </w:r>
            <w:r>
              <w:t>223</w:t>
            </w:r>
          </w:p>
        </w:tc>
        <w:tc>
          <w:tcPr>
            <w:tcW w:w="838" w:type="pct"/>
          </w:tcPr>
          <w:p w14:paraId="38FE6D0C" w14:textId="29CA0441" w:rsidR="007462CB" w:rsidRDefault="007462CB" w:rsidP="007462CB">
            <w:pPr>
              <w:spacing w:before="0" w:after="0"/>
              <w:jc w:val="center"/>
            </w:pPr>
            <w:r>
              <w:t>13</w:t>
            </w:r>
            <w:r w:rsidR="00EA7E75">
              <w:t>,</w:t>
            </w:r>
            <w:r>
              <w:t>743</w:t>
            </w:r>
          </w:p>
        </w:tc>
      </w:tr>
      <w:tr w:rsidR="007462CB" w14:paraId="601F7CA6" w14:textId="77777777" w:rsidTr="007462CB">
        <w:tc>
          <w:tcPr>
            <w:tcW w:w="804" w:type="pct"/>
          </w:tcPr>
          <w:p w14:paraId="2B548BA2" w14:textId="7904E1A5" w:rsidR="007462CB" w:rsidRDefault="007462CB" w:rsidP="007462CB">
            <w:pPr>
              <w:spacing w:before="0" w:after="0"/>
            </w:pPr>
            <w:r>
              <w:t>Total</w:t>
            </w:r>
          </w:p>
        </w:tc>
        <w:tc>
          <w:tcPr>
            <w:tcW w:w="840" w:type="pct"/>
          </w:tcPr>
          <w:p w14:paraId="657D93DA" w14:textId="4FDB11D4" w:rsidR="007462CB" w:rsidRDefault="007462CB" w:rsidP="007462CB">
            <w:pPr>
              <w:spacing w:before="0" w:after="0"/>
              <w:jc w:val="center"/>
            </w:pPr>
            <w:r>
              <w:t>408</w:t>
            </w:r>
            <w:r w:rsidR="00EA7E75">
              <w:t>,</w:t>
            </w:r>
            <w:r>
              <w:t>443</w:t>
            </w:r>
          </w:p>
        </w:tc>
        <w:tc>
          <w:tcPr>
            <w:tcW w:w="840" w:type="pct"/>
          </w:tcPr>
          <w:p w14:paraId="1D9DEF69" w14:textId="33934202" w:rsidR="007462CB" w:rsidRDefault="007462CB" w:rsidP="007462CB">
            <w:pPr>
              <w:spacing w:before="0" w:after="0"/>
              <w:jc w:val="center"/>
            </w:pPr>
            <w:r>
              <w:t>454</w:t>
            </w:r>
            <w:r w:rsidR="00EA7E75">
              <w:t>,</w:t>
            </w:r>
            <w:r>
              <w:t>287</w:t>
            </w:r>
          </w:p>
        </w:tc>
        <w:tc>
          <w:tcPr>
            <w:tcW w:w="839" w:type="pct"/>
          </w:tcPr>
          <w:p w14:paraId="4EF6411F" w14:textId="6175263B" w:rsidR="007462CB" w:rsidRDefault="007462CB" w:rsidP="007462CB">
            <w:pPr>
              <w:spacing w:before="0" w:after="0"/>
              <w:jc w:val="center"/>
            </w:pPr>
            <w:r>
              <w:t>498</w:t>
            </w:r>
            <w:r w:rsidR="00EA7E75">
              <w:t>,</w:t>
            </w:r>
            <w:r>
              <w:t>533</w:t>
            </w:r>
          </w:p>
        </w:tc>
        <w:tc>
          <w:tcPr>
            <w:tcW w:w="839" w:type="pct"/>
          </w:tcPr>
          <w:p w14:paraId="582D2205" w14:textId="419C4D1B" w:rsidR="007462CB" w:rsidRDefault="007462CB" w:rsidP="007462CB">
            <w:pPr>
              <w:spacing w:before="0" w:after="0"/>
              <w:jc w:val="center"/>
            </w:pPr>
            <w:r>
              <w:t>539</w:t>
            </w:r>
            <w:r w:rsidR="00EA7E75">
              <w:t>,</w:t>
            </w:r>
            <w:r>
              <w:t>271</w:t>
            </w:r>
          </w:p>
        </w:tc>
        <w:tc>
          <w:tcPr>
            <w:tcW w:w="838" w:type="pct"/>
          </w:tcPr>
          <w:p w14:paraId="567EF8E6" w14:textId="0B8BE688" w:rsidR="007462CB" w:rsidRDefault="007462CB" w:rsidP="007462CB">
            <w:pPr>
              <w:spacing w:before="0" w:after="0"/>
              <w:jc w:val="center"/>
            </w:pPr>
            <w:r>
              <w:t>577</w:t>
            </w:r>
            <w:r w:rsidR="00EA7E75">
              <w:t>,</w:t>
            </w:r>
            <w:r>
              <w:t>678</w:t>
            </w:r>
          </w:p>
        </w:tc>
      </w:tr>
    </w:tbl>
    <w:p w14:paraId="2ABCA8D1" w14:textId="5A595112" w:rsidR="007462CB" w:rsidRPr="00EA7E75" w:rsidRDefault="00EA7E75" w:rsidP="00EA7E75">
      <w:pPr>
        <w:spacing w:before="0" w:after="0"/>
        <w:ind w:left="720" w:hanging="294"/>
        <w:rPr>
          <w:sz w:val="16"/>
        </w:rPr>
      </w:pPr>
      <w:r w:rsidRPr="00EA7E75">
        <w:rPr>
          <w:sz w:val="16"/>
        </w:rPr>
        <w:t>Source: Medicare Item Reports Statistics, July 2021</w:t>
      </w:r>
    </w:p>
    <w:p w14:paraId="72D89D87" w14:textId="25C53AF4" w:rsidR="00F8020E" w:rsidRPr="00F8020E" w:rsidRDefault="00F8020E" w:rsidP="00606F8A">
      <w:pPr>
        <w:ind w:left="426"/>
      </w:pPr>
      <w:r>
        <w:t>Consequently, a market-based patient number approach was used to estimate the prevalence and incidence of the proposed population.</w:t>
      </w:r>
    </w:p>
    <w:p w14:paraId="22F579A6" w14:textId="0661D943" w:rsidR="00606F8A" w:rsidRPr="00E20952" w:rsidRDefault="00606F8A" w:rsidP="00606F8A">
      <w:pPr>
        <w:ind w:left="426"/>
        <w:rPr>
          <w:u w:val="single"/>
        </w:rPr>
      </w:pPr>
      <w:r>
        <w:rPr>
          <w:u w:val="single"/>
        </w:rPr>
        <w:t xml:space="preserve">Estimations of the </w:t>
      </w:r>
      <w:r w:rsidR="00E643DB">
        <w:rPr>
          <w:u w:val="single"/>
        </w:rPr>
        <w:t xml:space="preserve">current </w:t>
      </w:r>
      <w:r>
        <w:rPr>
          <w:u w:val="single"/>
        </w:rPr>
        <w:t>treated prevalent pool</w:t>
      </w:r>
    </w:p>
    <w:p w14:paraId="46989334" w14:textId="7F67346E" w:rsidR="00CF1F6D" w:rsidRDefault="008C7F34" w:rsidP="00AE1188">
      <w:pPr>
        <w:ind w:left="426"/>
      </w:pPr>
      <w:r w:rsidRPr="008C7F34">
        <w:fldChar w:fldCharType="begin"/>
      </w:r>
      <w:r w:rsidRPr="008C7F34">
        <w:instrText xml:space="preserve"> REF _Ref75448061 \h  \* MERGEFORMAT </w:instrText>
      </w:r>
      <w:r w:rsidRPr="008C7F34">
        <w:fldChar w:fldCharType="separate"/>
      </w:r>
      <w:r w:rsidR="0002746B" w:rsidRPr="0002746B">
        <w:t>Table 3</w:t>
      </w:r>
      <w:r w:rsidRPr="008C7F34">
        <w:fldChar w:fldCharType="end"/>
      </w:r>
      <w:r>
        <w:t xml:space="preserve"> presents the number of patients with </w:t>
      </w:r>
      <w:proofErr w:type="spellStart"/>
      <w:r>
        <w:t>nAMD</w:t>
      </w:r>
      <w:proofErr w:type="spellEnd"/>
      <w:r>
        <w:t xml:space="preserve"> on PBS-listed therapy; this was informed by a recent </w:t>
      </w:r>
      <w:r w:rsidR="00CF1F6D">
        <w:t xml:space="preserve">PBS 10% sample </w:t>
      </w:r>
      <w:r w:rsidR="00342394">
        <w:t>commissioned by</w:t>
      </w:r>
      <w:r>
        <w:t xml:space="preserve"> </w:t>
      </w:r>
      <w:r w:rsidR="00886B12">
        <w:t>the applicant</w:t>
      </w:r>
      <w:r>
        <w:t>.</w:t>
      </w:r>
    </w:p>
    <w:p w14:paraId="7BEF9138" w14:textId="2A2A9CD7" w:rsidR="00342394" w:rsidRPr="00120204" w:rsidRDefault="00342394" w:rsidP="00120204">
      <w:pPr>
        <w:ind w:left="426"/>
        <w:rPr>
          <w:b/>
        </w:rPr>
      </w:pPr>
      <w:bookmarkStart w:id="12" w:name="_Ref75448061"/>
      <w:r w:rsidRPr="007462CB">
        <w:rPr>
          <w:b/>
        </w:rPr>
        <w:t xml:space="preserve">Table </w:t>
      </w:r>
      <w:r w:rsidRPr="007462CB">
        <w:rPr>
          <w:b/>
        </w:rPr>
        <w:fldChar w:fldCharType="begin"/>
      </w:r>
      <w:r w:rsidRPr="007462CB">
        <w:rPr>
          <w:b/>
        </w:rPr>
        <w:instrText xml:space="preserve"> SEQ Table \* ARABIC </w:instrText>
      </w:r>
      <w:r w:rsidRPr="007462CB">
        <w:rPr>
          <w:b/>
        </w:rPr>
        <w:fldChar w:fldCharType="separate"/>
      </w:r>
      <w:r w:rsidR="0002746B">
        <w:rPr>
          <w:b/>
          <w:noProof/>
        </w:rPr>
        <w:t>3</w:t>
      </w:r>
      <w:r w:rsidRPr="007462CB">
        <w:rPr>
          <w:b/>
        </w:rPr>
        <w:fldChar w:fldCharType="end"/>
      </w:r>
      <w:bookmarkEnd w:id="12"/>
      <w:r w:rsidR="00120204">
        <w:rPr>
          <w:b/>
        </w:rPr>
        <w:tab/>
      </w:r>
      <w:r w:rsidR="00120204" w:rsidRPr="00120204">
        <w:rPr>
          <w:b/>
          <w:sz w:val="22"/>
          <w:szCs w:val="24"/>
        </w:rPr>
        <w:t>REDACTED</w:t>
      </w:r>
    </w:p>
    <w:p w14:paraId="48EE33D0" w14:textId="689485C0" w:rsidR="008C7F34" w:rsidRDefault="008C7F34" w:rsidP="008C7F34">
      <w:pPr>
        <w:ind w:left="426"/>
      </w:pPr>
      <w:r>
        <w:fldChar w:fldCharType="begin"/>
      </w:r>
      <w:r>
        <w:instrText xml:space="preserve"> REF _Ref75448372 \h  \* MERGEFORMAT </w:instrText>
      </w:r>
      <w:r>
        <w:fldChar w:fldCharType="separate"/>
      </w:r>
      <w:r w:rsidR="0002746B" w:rsidRPr="0002746B">
        <w:t>Table 4</w:t>
      </w:r>
      <w:r>
        <w:fldChar w:fldCharType="end"/>
      </w:r>
      <w:r>
        <w:t xml:space="preserve"> </w:t>
      </w:r>
      <w:r w:rsidR="00CB6642">
        <w:t xml:space="preserve">(overleaf) </w:t>
      </w:r>
      <w:r>
        <w:t>presents a</w:t>
      </w:r>
      <w:r w:rsidRPr="008C7F34">
        <w:t xml:space="preserve"> </w:t>
      </w:r>
      <w:r>
        <w:t xml:space="preserve">forward estimate of the patients </w:t>
      </w:r>
      <w:r w:rsidR="00DE5ECF">
        <w:t xml:space="preserve">with </w:t>
      </w:r>
      <w:proofErr w:type="spellStart"/>
      <w:r w:rsidR="00DE5ECF">
        <w:t>nAMD</w:t>
      </w:r>
      <w:proofErr w:type="spellEnd"/>
      <w:r w:rsidR="00DE5ECF">
        <w:t xml:space="preserve"> </w:t>
      </w:r>
      <w:r>
        <w:t>on PBS-listed therapy; a linear extrapolation of the preceding 5 years informed this estimate.</w:t>
      </w:r>
    </w:p>
    <w:p w14:paraId="01E38638" w14:textId="10A0C932" w:rsidR="00120204" w:rsidRPr="00120204" w:rsidRDefault="008C7F34" w:rsidP="00120204">
      <w:pPr>
        <w:keepNext/>
        <w:ind w:left="426"/>
        <w:rPr>
          <w:b/>
        </w:rPr>
      </w:pPr>
      <w:bookmarkStart w:id="13" w:name="_Ref75448372"/>
      <w:r w:rsidRPr="007462CB">
        <w:rPr>
          <w:b/>
        </w:rPr>
        <w:t xml:space="preserve">Table </w:t>
      </w:r>
      <w:r w:rsidRPr="007462CB">
        <w:rPr>
          <w:b/>
        </w:rPr>
        <w:fldChar w:fldCharType="begin"/>
      </w:r>
      <w:r w:rsidRPr="007462CB">
        <w:rPr>
          <w:b/>
        </w:rPr>
        <w:instrText xml:space="preserve"> SEQ Table \* ARABIC </w:instrText>
      </w:r>
      <w:r w:rsidRPr="007462CB">
        <w:rPr>
          <w:b/>
        </w:rPr>
        <w:fldChar w:fldCharType="separate"/>
      </w:r>
      <w:r w:rsidR="0002746B">
        <w:rPr>
          <w:b/>
          <w:noProof/>
        </w:rPr>
        <w:t>4</w:t>
      </w:r>
      <w:r w:rsidRPr="007462CB">
        <w:rPr>
          <w:b/>
        </w:rPr>
        <w:fldChar w:fldCharType="end"/>
      </w:r>
      <w:bookmarkEnd w:id="13"/>
      <w:r>
        <w:rPr>
          <w:b/>
        </w:rPr>
        <w:tab/>
      </w:r>
      <w:r w:rsidR="00120204" w:rsidRPr="00120204">
        <w:rPr>
          <w:b/>
          <w:sz w:val="22"/>
          <w:szCs w:val="24"/>
        </w:rPr>
        <w:t>REDACTED</w:t>
      </w:r>
    </w:p>
    <w:p w14:paraId="684CF9C7" w14:textId="6DCC70DB" w:rsidR="00382407" w:rsidRPr="00154B00" w:rsidRDefault="00AE1188" w:rsidP="00530204">
      <w:pPr>
        <w:pStyle w:val="Heading2"/>
      </w:pPr>
      <w:r>
        <w:t>a patient per year:</w:t>
      </w:r>
    </w:p>
    <w:p w14:paraId="34385548" w14:textId="793B40A4" w:rsidR="00776E4E" w:rsidRDefault="00B07742" w:rsidP="00776E4E">
      <w:pPr>
        <w:ind w:left="426"/>
      </w:pPr>
      <w:r>
        <w:rPr>
          <w:u w:val="single"/>
        </w:rPr>
        <w:t>Initial fill and i</w:t>
      </w:r>
      <w:r w:rsidR="00776E4E" w:rsidRPr="00E20952">
        <w:rPr>
          <w:u w:val="single"/>
        </w:rPr>
        <w:t>mplantation</w:t>
      </w:r>
      <w:r w:rsidR="00776E4E" w:rsidRPr="00E20952">
        <w:t xml:space="preserve"> – </w:t>
      </w:r>
      <w:r w:rsidR="00875E7B">
        <w:t>On commencement of therapy, as a “once-off” service</w:t>
      </w:r>
      <w:r w:rsidR="00AF7CE1">
        <w:t>.</w:t>
      </w:r>
    </w:p>
    <w:p w14:paraId="702C8B36" w14:textId="0E797D17" w:rsidR="00776E4E" w:rsidRPr="00E20952" w:rsidRDefault="00776E4E" w:rsidP="00776E4E">
      <w:pPr>
        <w:ind w:left="426"/>
      </w:pPr>
      <w:r w:rsidRPr="00E20952">
        <w:rPr>
          <w:u w:val="single"/>
        </w:rPr>
        <w:t>Refill-exchange</w:t>
      </w:r>
      <w:r w:rsidRPr="00E20952">
        <w:t xml:space="preserve"> – </w:t>
      </w:r>
      <w:r w:rsidR="00875E7B">
        <w:t>Every 24 weeks, approximately twice per year, as chronic therapy</w:t>
      </w:r>
    </w:p>
    <w:p w14:paraId="77E59192" w14:textId="5B39892B" w:rsidR="00776E4E" w:rsidRDefault="00776E4E" w:rsidP="00776E4E">
      <w:pPr>
        <w:ind w:left="426"/>
      </w:pPr>
      <w:r w:rsidRPr="00E20952">
        <w:rPr>
          <w:u w:val="single"/>
        </w:rPr>
        <w:t>Explantation (if needed)</w:t>
      </w:r>
      <w:r w:rsidRPr="00E20952">
        <w:t xml:space="preserve"> – </w:t>
      </w:r>
      <w:r w:rsidR="00875E7B">
        <w:t xml:space="preserve">As required; guidance from the </w:t>
      </w:r>
      <w:proofErr w:type="spellStart"/>
      <w:r w:rsidR="00451EC0">
        <w:t>Susvimo</w:t>
      </w:r>
      <w:proofErr w:type="spellEnd"/>
      <w:r w:rsidR="00451EC0">
        <w:t>® (ranibizumab) Product Information</w:t>
      </w:r>
      <w:r w:rsidR="00875E7B">
        <w:t xml:space="preserve"> states </w:t>
      </w:r>
      <w:r w:rsidR="00451EC0">
        <w:t xml:space="preserve">explantation is </w:t>
      </w:r>
      <w:r w:rsidR="006B328C">
        <w:t xml:space="preserve">only </w:t>
      </w:r>
      <w:r w:rsidR="00451EC0">
        <w:t xml:space="preserve">to be performed </w:t>
      </w:r>
      <w:r w:rsidR="006B328C">
        <w:t>in the circumstance that</w:t>
      </w:r>
      <w:r w:rsidR="00451EC0" w:rsidRPr="00451EC0">
        <w:t xml:space="preserve"> the benefit of removal outweigh</w:t>
      </w:r>
      <w:r w:rsidR="006B328C">
        <w:t>s</w:t>
      </w:r>
      <w:r w:rsidR="00451EC0" w:rsidRPr="00451EC0">
        <w:t xml:space="preserve"> the risk of the procedure</w:t>
      </w:r>
      <w:r w:rsidR="00451EC0">
        <w:t>.</w:t>
      </w:r>
      <w:r w:rsidR="006824B9">
        <w:t xml:space="preserve">  For context, in Archway, four patients (out of the 248 patients, 1.6% treated with PDS) had their implants removed</w:t>
      </w:r>
      <w:r w:rsidR="00726CCB">
        <w:t xml:space="preserve"> (Archway, Primary Analysis)</w:t>
      </w:r>
      <w:r w:rsidR="006824B9">
        <w:t>.</w:t>
      </w:r>
    </w:p>
    <w:p w14:paraId="1F243C30" w14:textId="77777777" w:rsidR="00120204" w:rsidRDefault="00120204">
      <w:pPr>
        <w:spacing w:before="0" w:after="200" w:line="276" w:lineRule="auto"/>
        <w:rPr>
          <w:b/>
          <w:szCs w:val="20"/>
        </w:rPr>
      </w:pPr>
      <w:r>
        <w:br w:type="page"/>
      </w:r>
    </w:p>
    <w:p w14:paraId="53F0A6E0" w14:textId="3FCFBA20"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523ED47D" w14:textId="0BCBD965" w:rsidR="00382407" w:rsidRPr="00154B00" w:rsidRDefault="00776E4E" w:rsidP="00AE1188">
      <w:pPr>
        <w:ind w:left="426"/>
        <w:rPr>
          <w:b/>
          <w:szCs w:val="20"/>
        </w:rPr>
      </w:pPr>
      <w:r>
        <w:t xml:space="preserve">See </w:t>
      </w:r>
      <w:r w:rsidR="00E643DB">
        <w:t>Q47.</w:t>
      </w:r>
    </w:p>
    <w:p w14:paraId="4F6A9594"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50A9EC94" w14:textId="264A6B3E" w:rsidR="00014DC6" w:rsidRDefault="004308F0" w:rsidP="00014DC6">
      <w:pPr>
        <w:ind w:left="426"/>
      </w:pPr>
      <w:r>
        <w:t xml:space="preserve">A </w:t>
      </w:r>
      <w:r w:rsidR="00E643DB">
        <w:t xml:space="preserve">simplified </w:t>
      </w:r>
      <w:r w:rsidR="004A2706">
        <w:t xml:space="preserve">prevalence </w:t>
      </w:r>
      <w:r w:rsidR="00E643DB">
        <w:t>approach was</w:t>
      </w:r>
      <w:r w:rsidR="00ED5D41">
        <w:t xml:space="preserve"> </w:t>
      </w:r>
      <w:r w:rsidR="00E643DB">
        <w:t xml:space="preserve">used to </w:t>
      </w:r>
      <w:r w:rsidR="00A87B11">
        <w:t>estimate</w:t>
      </w:r>
      <w:r w:rsidR="00E643DB">
        <w:t xml:space="preserve"> the proposed medical services </w:t>
      </w:r>
      <w:r w:rsidR="00A87B11">
        <w:t xml:space="preserve">utilisation </w:t>
      </w:r>
      <w:r w:rsidR="00E643DB">
        <w:t>across the forward estimates</w:t>
      </w:r>
      <w:r w:rsidR="00014DC6">
        <w:t>.</w:t>
      </w:r>
    </w:p>
    <w:p w14:paraId="040BFA6C" w14:textId="79304004" w:rsidR="00014DC6" w:rsidRDefault="00014DC6" w:rsidP="00014DC6">
      <w:pPr>
        <w:ind w:left="426"/>
      </w:pPr>
      <w:r>
        <w:t xml:space="preserve">For the purposes of the analysis, 20% of patients on current standard of care are assumed to be appropriate and therapy is recommended; of which, 75% will elect therapy (Q41b) estimating a peak uptake of 15% of patients. </w:t>
      </w:r>
      <w:r w:rsidR="004308F0">
        <w:t>To estimate the PDS prevalent treated population, t</w:t>
      </w:r>
      <w:r>
        <w:t xml:space="preserve">his uptake rate </w:t>
      </w:r>
      <w:r w:rsidR="004308F0">
        <w:t xml:space="preserve">was assumed to be reached </w:t>
      </w:r>
      <w:r w:rsidR="00371E18">
        <w:t>within a</w:t>
      </w:r>
      <w:r w:rsidR="004308F0">
        <w:t xml:space="preserve"> </w:t>
      </w:r>
      <w:r w:rsidR="00371E18">
        <w:t xml:space="preserve">3-year period; this was </w:t>
      </w:r>
      <w:r>
        <w:t>applied to the projected treated prevalent pool.</w:t>
      </w:r>
    </w:p>
    <w:p w14:paraId="30BE8C79" w14:textId="3FD310B1" w:rsidR="00014DC6" w:rsidRDefault="00014DC6" w:rsidP="00014DC6">
      <w:pPr>
        <w:ind w:left="426"/>
      </w:pPr>
      <w:r>
        <w:t>Two patient populations were subsequently estimated</w:t>
      </w:r>
      <w:r w:rsidR="004308F0">
        <w:t>,</w:t>
      </w:r>
    </w:p>
    <w:p w14:paraId="69232012" w14:textId="135AAE23" w:rsidR="00014DC6" w:rsidRDefault="00014DC6" w:rsidP="00014DC6">
      <w:pPr>
        <w:pStyle w:val="ListParagraph"/>
        <w:numPr>
          <w:ilvl w:val="0"/>
          <w:numId w:val="44"/>
        </w:numPr>
      </w:pPr>
      <w:r>
        <w:t>An incident treated patient population; this was estimated by determining the difference in patients on treatment between the current and preceding year</w:t>
      </w:r>
    </w:p>
    <w:p w14:paraId="73D0E32D" w14:textId="581D9636" w:rsidR="00014DC6" w:rsidRDefault="00014DC6" w:rsidP="00014DC6">
      <w:pPr>
        <w:pStyle w:val="ListParagraph"/>
        <w:numPr>
          <w:ilvl w:val="0"/>
          <w:numId w:val="44"/>
        </w:numPr>
      </w:pPr>
      <w:r>
        <w:t>A contin</w:t>
      </w:r>
      <w:r w:rsidR="00741AB9">
        <w:t xml:space="preserve">uing treated patient population; this was estimated by determining the difference </w:t>
      </w:r>
      <w:r w:rsidR="00ED5D41">
        <w:t xml:space="preserve">between the </w:t>
      </w:r>
      <w:r w:rsidR="00206965">
        <w:t>prevalent</w:t>
      </w:r>
      <w:r w:rsidR="00741AB9">
        <w:t xml:space="preserve"> treated </w:t>
      </w:r>
      <w:r w:rsidR="00ED5D41">
        <w:t>population and incident population</w:t>
      </w:r>
    </w:p>
    <w:p w14:paraId="7459BE3C" w14:textId="0D9FE711" w:rsidR="00115E02" w:rsidRPr="00115E02" w:rsidRDefault="00AF1D7B" w:rsidP="00206965">
      <w:pPr>
        <w:ind w:left="720" w:hanging="294"/>
      </w:pPr>
      <w:r>
        <w:fldChar w:fldCharType="begin"/>
      </w:r>
      <w:r>
        <w:instrText xml:space="preserve"> REF _Ref75877510 \h  \* MERGEFORMAT </w:instrText>
      </w:r>
      <w:r>
        <w:fldChar w:fldCharType="separate"/>
      </w:r>
      <w:r w:rsidR="0002746B" w:rsidRPr="0002746B">
        <w:t>Table 5</w:t>
      </w:r>
      <w:r>
        <w:fldChar w:fldCharType="end"/>
      </w:r>
      <w:r w:rsidR="0027540A">
        <w:t xml:space="preserve"> </w:t>
      </w:r>
      <w:r w:rsidR="00206965">
        <w:t xml:space="preserve">presents the number of patients </w:t>
      </w:r>
      <w:r>
        <w:t>forecasted to be treated with PDS.</w:t>
      </w:r>
    </w:p>
    <w:p w14:paraId="6E9D10AE" w14:textId="125B6C9A" w:rsidR="00E643DB" w:rsidRPr="00120204" w:rsidRDefault="00E643DB" w:rsidP="00120204">
      <w:pPr>
        <w:ind w:left="426"/>
        <w:rPr>
          <w:b/>
          <w:sz w:val="22"/>
          <w:szCs w:val="24"/>
        </w:rPr>
      </w:pPr>
      <w:bookmarkStart w:id="14" w:name="_Ref75877510"/>
      <w:r w:rsidRPr="00E643DB">
        <w:rPr>
          <w:b/>
        </w:rPr>
        <w:t xml:space="preserve">Table </w:t>
      </w:r>
      <w:r w:rsidRPr="00E643DB">
        <w:rPr>
          <w:b/>
        </w:rPr>
        <w:fldChar w:fldCharType="begin"/>
      </w:r>
      <w:r w:rsidRPr="00E643DB">
        <w:rPr>
          <w:b/>
        </w:rPr>
        <w:instrText xml:space="preserve"> SEQ Table \* ARABIC </w:instrText>
      </w:r>
      <w:r w:rsidRPr="00E643DB">
        <w:rPr>
          <w:b/>
        </w:rPr>
        <w:fldChar w:fldCharType="separate"/>
      </w:r>
      <w:r w:rsidR="0002746B">
        <w:rPr>
          <w:b/>
          <w:noProof/>
        </w:rPr>
        <w:t>5</w:t>
      </w:r>
      <w:r w:rsidRPr="00E643DB">
        <w:rPr>
          <w:b/>
        </w:rPr>
        <w:fldChar w:fldCharType="end"/>
      </w:r>
      <w:bookmarkEnd w:id="14"/>
      <w:r w:rsidRPr="00E643DB">
        <w:rPr>
          <w:b/>
        </w:rPr>
        <w:tab/>
      </w:r>
      <w:r w:rsidR="00120204" w:rsidRPr="00120204">
        <w:rPr>
          <w:b/>
          <w:sz w:val="22"/>
          <w:szCs w:val="24"/>
        </w:rPr>
        <w:t>REDACTED</w:t>
      </w:r>
    </w:p>
    <w:p w14:paraId="667B4E8E" w14:textId="42D99B87" w:rsidR="00CB6642" w:rsidRDefault="00115E02" w:rsidP="00120204">
      <w:pPr>
        <w:ind w:left="426"/>
      </w:pPr>
      <w:r w:rsidRPr="00115E02">
        <w:fldChar w:fldCharType="begin"/>
      </w:r>
      <w:r w:rsidRPr="00115E02">
        <w:instrText xml:space="preserve"> REF _Ref75877516 \h </w:instrText>
      </w:r>
      <w:r>
        <w:instrText xml:space="preserve"> \* MERGEFORMAT </w:instrText>
      </w:r>
      <w:r w:rsidRPr="00115E02">
        <w:fldChar w:fldCharType="separate"/>
      </w:r>
      <w:r w:rsidR="0002746B" w:rsidRPr="0002746B">
        <w:t>Table 6</w:t>
      </w:r>
      <w:r w:rsidRPr="00115E02">
        <w:fldChar w:fldCharType="end"/>
      </w:r>
      <w:r w:rsidR="00206965">
        <w:t xml:space="preserve"> </w:t>
      </w:r>
      <w:r w:rsidR="00CB6642">
        <w:t xml:space="preserve">(overleaf) </w:t>
      </w:r>
      <w:r w:rsidR="00206965">
        <w:t xml:space="preserve">presents the estimated number of services </w:t>
      </w:r>
      <w:r w:rsidR="00AF1D7B" w:rsidRPr="00AF1D7B">
        <w:t>for the patients forecasted to be treated with PDS</w:t>
      </w:r>
      <w:r w:rsidR="00206965">
        <w:t>.</w:t>
      </w:r>
    </w:p>
    <w:p w14:paraId="59772598" w14:textId="77777777" w:rsidR="00120204" w:rsidRPr="00120204" w:rsidRDefault="00ED5D41" w:rsidP="00120204">
      <w:pPr>
        <w:ind w:left="426"/>
        <w:rPr>
          <w:b/>
          <w:sz w:val="22"/>
          <w:szCs w:val="24"/>
        </w:rPr>
      </w:pPr>
      <w:bookmarkStart w:id="15" w:name="_Ref75877516"/>
      <w:r>
        <w:rPr>
          <w:b/>
        </w:rPr>
        <w:t>T</w:t>
      </w:r>
      <w:r w:rsidRPr="00ED5D41">
        <w:rPr>
          <w:b/>
        </w:rPr>
        <w:t xml:space="preserve">able </w:t>
      </w:r>
      <w:r w:rsidRPr="00ED5D41">
        <w:rPr>
          <w:b/>
        </w:rPr>
        <w:fldChar w:fldCharType="begin"/>
      </w:r>
      <w:r w:rsidRPr="00ED5D41">
        <w:rPr>
          <w:b/>
        </w:rPr>
        <w:instrText xml:space="preserve"> SEQ Table \* ARABIC </w:instrText>
      </w:r>
      <w:r w:rsidRPr="00ED5D41">
        <w:rPr>
          <w:b/>
        </w:rPr>
        <w:fldChar w:fldCharType="separate"/>
      </w:r>
      <w:r w:rsidR="0002746B">
        <w:rPr>
          <w:b/>
          <w:noProof/>
        </w:rPr>
        <w:t>6</w:t>
      </w:r>
      <w:r w:rsidRPr="00ED5D41">
        <w:rPr>
          <w:b/>
        </w:rPr>
        <w:fldChar w:fldCharType="end"/>
      </w:r>
      <w:bookmarkEnd w:id="15"/>
      <w:r w:rsidRPr="00ED5D41">
        <w:rPr>
          <w:b/>
        </w:rPr>
        <w:tab/>
      </w:r>
      <w:r w:rsidR="00120204" w:rsidRPr="00120204">
        <w:rPr>
          <w:b/>
          <w:sz w:val="22"/>
          <w:szCs w:val="24"/>
        </w:rPr>
        <w:t>REDACTED</w:t>
      </w:r>
    </w:p>
    <w:p w14:paraId="5EF0DB7B"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31FD444E" w14:textId="649F5448" w:rsidR="00776E4E" w:rsidRDefault="00115E02" w:rsidP="00D5041E">
      <w:pPr>
        <w:ind w:left="426"/>
      </w:pPr>
      <w:r>
        <w:t>See Question 49.</w:t>
      </w:r>
    </w:p>
    <w:p w14:paraId="4F7140B9" w14:textId="508740A9" w:rsidR="004308F0" w:rsidRDefault="004308F0" w:rsidP="00D5041E">
      <w:pPr>
        <w:ind w:left="426"/>
      </w:pPr>
      <w:r>
        <w:t>Given the nature of the proposed medical services (</w:t>
      </w:r>
      <w:proofErr w:type="spellStart"/>
      <w:r>
        <w:t>ie</w:t>
      </w:r>
      <w:proofErr w:type="spellEnd"/>
      <w:r>
        <w:t>. procedures), ‘leakage’ to populations not targeted by the service is unlikely.</w:t>
      </w:r>
    </w:p>
    <w:p w14:paraId="6FC8685C" w14:textId="77777777" w:rsidR="00F40B68" w:rsidRDefault="00F40B68" w:rsidP="00D5041E">
      <w:pPr>
        <w:ind w:left="426"/>
      </w:pPr>
    </w:p>
    <w:p w14:paraId="551266FC" w14:textId="46BFC3BE" w:rsidR="00776E4E" w:rsidRDefault="00776E4E"/>
    <w:p w14:paraId="45C53327" w14:textId="77777777" w:rsidR="00776E4E" w:rsidRDefault="00776E4E">
      <w:pPr>
        <w:rPr>
          <w:b/>
          <w:sz w:val="32"/>
          <w:szCs w:val="32"/>
        </w:rPr>
      </w:pPr>
    </w:p>
    <w:p w14:paraId="5D3AF2DE" w14:textId="40B67041" w:rsidR="003433D1" w:rsidRDefault="003433D1">
      <w:pPr>
        <w:rPr>
          <w:b/>
          <w:sz w:val="32"/>
          <w:szCs w:val="32"/>
        </w:rPr>
      </w:pPr>
      <w:r>
        <w:rPr>
          <w:b/>
          <w:sz w:val="32"/>
          <w:szCs w:val="32"/>
        </w:rPr>
        <w:br w:type="page"/>
      </w:r>
    </w:p>
    <w:p w14:paraId="398406D7" w14:textId="77777777" w:rsidR="00951933" w:rsidRPr="00C776B1" w:rsidRDefault="001B5169" w:rsidP="0056015F">
      <w:pPr>
        <w:pStyle w:val="Heading1"/>
      </w:pPr>
      <w:r>
        <w:t>PART 8</w:t>
      </w:r>
      <w:r w:rsidR="00F93784">
        <w:t xml:space="preserve"> – </w:t>
      </w:r>
      <w:r w:rsidR="005A58BA">
        <w:t>COST</w:t>
      </w:r>
      <w:r w:rsidR="00951933" w:rsidRPr="00C776B1">
        <w:t xml:space="preserve"> INFORMATION</w:t>
      </w:r>
    </w:p>
    <w:p w14:paraId="190737EE" w14:textId="77777777" w:rsidR="006A649A" w:rsidRPr="00AE1188" w:rsidRDefault="006A649A" w:rsidP="001B5169">
      <w:pPr>
        <w:pStyle w:val="Heading2"/>
      </w:pPr>
      <w:bookmarkStart w:id="16" w:name="_Indicate_the_likely"/>
      <w:bookmarkEnd w:id="16"/>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78BD73AD" w14:textId="3DDA8EAE" w:rsidR="00422EB7" w:rsidRPr="004514E6" w:rsidRDefault="00422EB7" w:rsidP="00422EB7">
      <w:pPr>
        <w:ind w:left="426"/>
      </w:pPr>
      <w:r w:rsidRPr="00422EB7">
        <w:t>F</w:t>
      </w:r>
      <w:r>
        <w:t xml:space="preserve">or the </w:t>
      </w:r>
      <w:r w:rsidRPr="004514E6">
        <w:t xml:space="preserve">proposed services, the likely MBS service fee has been </w:t>
      </w:r>
      <w:r w:rsidR="00E02B36" w:rsidRPr="004514E6">
        <w:t>estimated</w:t>
      </w:r>
      <w:r w:rsidRPr="004514E6">
        <w:t xml:space="preserve"> based on similar complexity and time to </w:t>
      </w:r>
      <w:r w:rsidR="00EC183F" w:rsidRPr="004514E6">
        <w:t xml:space="preserve">ocular </w:t>
      </w:r>
      <w:r w:rsidRPr="004514E6">
        <w:t xml:space="preserve">procedures covered under existing MBS item </w:t>
      </w:r>
      <w:r w:rsidR="00FB2702" w:rsidRPr="004514E6">
        <w:t>numbers</w:t>
      </w:r>
      <w:r w:rsidRPr="004514E6">
        <w:t xml:space="preserve">.  This was previously noted in </w:t>
      </w:r>
      <w:hyperlink w:anchor="_Describe_the_key" w:history="1">
        <w:r w:rsidRPr="00487E49">
          <w:rPr>
            <w:rStyle w:val="Hyperlink"/>
          </w:rPr>
          <w:t>Q27</w:t>
        </w:r>
      </w:hyperlink>
      <w:r w:rsidRPr="004514E6">
        <w:t>.</w:t>
      </w:r>
    </w:p>
    <w:p w14:paraId="42AAE47F" w14:textId="56F3014A" w:rsidR="00E31A37" w:rsidRPr="004514E6" w:rsidRDefault="00B07742" w:rsidP="00422EB7">
      <w:pPr>
        <w:ind w:left="426"/>
      </w:pPr>
      <w:r w:rsidRPr="004514E6">
        <w:rPr>
          <w:u w:val="single"/>
        </w:rPr>
        <w:t>Initial fill and i</w:t>
      </w:r>
      <w:r w:rsidR="00422EB7" w:rsidRPr="004514E6">
        <w:rPr>
          <w:u w:val="single"/>
        </w:rPr>
        <w:t>mplantation</w:t>
      </w:r>
      <w:r w:rsidR="00422EB7" w:rsidRPr="004514E6">
        <w:t xml:space="preserve"> – </w:t>
      </w:r>
      <w:r w:rsidR="00886B12" w:rsidRPr="004514E6">
        <w:t>Consulted v</w:t>
      </w:r>
      <w:r w:rsidR="00422EB7" w:rsidRPr="004514E6">
        <w:t xml:space="preserve">itreoretinal surgeons </w:t>
      </w:r>
      <w:r w:rsidR="00A718C1">
        <w:t>note</w:t>
      </w:r>
      <w:r w:rsidR="00422EB7" w:rsidRPr="004514E6">
        <w:t xml:space="preserve"> that the </w:t>
      </w:r>
      <w:r w:rsidRPr="004514E6">
        <w:t xml:space="preserve">initial fill and </w:t>
      </w:r>
      <w:r w:rsidR="00422EB7" w:rsidRPr="004514E6">
        <w:t xml:space="preserve">implantation procedure </w:t>
      </w:r>
      <w:r w:rsidR="00487E49">
        <w:t xml:space="preserve">is intermediate in </w:t>
      </w:r>
      <w:r w:rsidR="005E1253" w:rsidRPr="004514E6">
        <w:t xml:space="preserve">complexity and time </w:t>
      </w:r>
      <w:r w:rsidR="00487E49">
        <w:t xml:space="preserve">between </w:t>
      </w:r>
      <w:r w:rsidR="005E1253" w:rsidRPr="004514E6">
        <w:t xml:space="preserve">MBS item numbers </w:t>
      </w:r>
      <w:hyperlink r:id="rId36" w:history="1">
        <w:r w:rsidR="005E1253" w:rsidRPr="004514E6">
          <w:rPr>
            <w:rStyle w:val="Hyperlink"/>
          </w:rPr>
          <w:t>#42752</w:t>
        </w:r>
      </w:hyperlink>
      <w:r w:rsidR="005E1253" w:rsidRPr="004514E6">
        <w:t xml:space="preserve"> </w:t>
      </w:r>
      <w:r w:rsidR="004514E6">
        <w:t>(</w:t>
      </w:r>
      <w:r w:rsidR="004514E6" w:rsidRPr="004514E6">
        <w:rPr>
          <w:i/>
        </w:rPr>
        <w:t>Fee: $1392.65</w:t>
      </w:r>
      <w:r w:rsidR="004514E6">
        <w:t xml:space="preserve">) </w:t>
      </w:r>
      <w:r w:rsidR="005E1253" w:rsidRPr="004514E6">
        <w:t xml:space="preserve">and </w:t>
      </w:r>
      <w:hyperlink r:id="rId37" w:history="1">
        <w:r w:rsidR="005E1253" w:rsidRPr="004514E6">
          <w:rPr>
            <w:rStyle w:val="Hyperlink"/>
          </w:rPr>
          <w:t>#42746</w:t>
        </w:r>
      </w:hyperlink>
      <w:r w:rsidR="004514E6" w:rsidRPr="005C0091">
        <w:t xml:space="preserve"> </w:t>
      </w:r>
      <w:r w:rsidR="004514E6">
        <w:t>(</w:t>
      </w:r>
      <w:r w:rsidR="004514E6" w:rsidRPr="004514E6">
        <w:rPr>
          <w:i/>
        </w:rPr>
        <w:t>Fee: $993.70</w:t>
      </w:r>
      <w:r w:rsidR="004514E6">
        <w:t>)</w:t>
      </w:r>
      <w:r w:rsidR="00CD1340" w:rsidRPr="004514E6">
        <w:t>.</w:t>
      </w:r>
    </w:p>
    <w:p w14:paraId="23C5B24E" w14:textId="5A231D7A" w:rsidR="00487E49" w:rsidRDefault="00487E49" w:rsidP="00487E49">
      <w:pPr>
        <w:ind w:left="426"/>
      </w:pPr>
      <w:r>
        <w:t xml:space="preserve">The implantation procedure (after the initial fill of the implant with </w:t>
      </w:r>
      <w:proofErr w:type="spellStart"/>
      <w:r>
        <w:t>Susvimo</w:t>
      </w:r>
      <w:proofErr w:type="spellEnd"/>
      <w:r>
        <w:t xml:space="preserve">), requires insertion through the pars plana after scleral incision. MBS item </w:t>
      </w:r>
      <w:hyperlink r:id="rId38" w:history="1">
        <w:r w:rsidRPr="004514E6">
          <w:rPr>
            <w:rStyle w:val="Hyperlink"/>
          </w:rPr>
          <w:t>#42746</w:t>
        </w:r>
      </w:hyperlink>
      <w:r>
        <w:t xml:space="preserve">, (glaucoma filtration surgery), has similarities in terms of complexity (an invasive procedure which requires conjunctival peritomy, scleral dissection, incision and suturing) and time (1 hour), but does not capture the additional complexity of device insertion and laser photocoagulation to the base of the scleral incision.  On the other hand, MBS item </w:t>
      </w:r>
      <w:hyperlink r:id="rId39" w:history="1">
        <w:r w:rsidRPr="004514E6">
          <w:rPr>
            <w:rStyle w:val="Hyperlink"/>
          </w:rPr>
          <w:t>#42752</w:t>
        </w:r>
      </w:hyperlink>
      <w:r>
        <w:t xml:space="preserve"> (insertion of a drainage device for glaucoma), involves device insertion, but has additional steps which make the overall procedure more complex than the PDS insertion procedure.</w:t>
      </w:r>
    </w:p>
    <w:p w14:paraId="45AB074F" w14:textId="27E28435" w:rsidR="0024653C" w:rsidRPr="004514E6" w:rsidRDefault="0024653C" w:rsidP="00422EB7">
      <w:pPr>
        <w:ind w:left="426"/>
      </w:pPr>
      <w:r w:rsidRPr="004514E6">
        <w:t xml:space="preserve">As such, </w:t>
      </w:r>
      <w:r w:rsidR="004514E6">
        <w:t>a</w:t>
      </w:r>
      <w:r w:rsidRPr="004514E6">
        <w:t xml:space="preserve"> proposed fee</w:t>
      </w:r>
      <w:r w:rsidR="003F64A6" w:rsidRPr="004514E6">
        <w:t xml:space="preserve"> </w:t>
      </w:r>
      <w:r w:rsidR="004514E6">
        <w:t xml:space="preserve">of </w:t>
      </w:r>
      <w:r w:rsidR="004514E6" w:rsidRPr="004514E6">
        <w:rPr>
          <w:i/>
        </w:rPr>
        <w:t>$1193.18</w:t>
      </w:r>
      <w:r w:rsidR="004514E6">
        <w:t xml:space="preserve"> is proposed for the initial fill and implantation procedure, which </w:t>
      </w:r>
      <w:r w:rsidR="00487E49">
        <w:t>is intermediate between items</w:t>
      </w:r>
      <w:r w:rsidR="003F64A6" w:rsidRPr="004514E6">
        <w:t xml:space="preserve"> </w:t>
      </w:r>
      <w:hyperlink r:id="rId40" w:history="1">
        <w:r w:rsidR="003F64A6" w:rsidRPr="004514E6">
          <w:rPr>
            <w:rStyle w:val="Hyperlink"/>
          </w:rPr>
          <w:t>#42752</w:t>
        </w:r>
      </w:hyperlink>
      <w:r w:rsidR="003F64A6" w:rsidRPr="004514E6">
        <w:t xml:space="preserve"> and </w:t>
      </w:r>
      <w:hyperlink r:id="rId41" w:history="1">
        <w:r w:rsidR="003F64A6" w:rsidRPr="004514E6">
          <w:rPr>
            <w:rStyle w:val="Hyperlink"/>
          </w:rPr>
          <w:t>#42746</w:t>
        </w:r>
      </w:hyperlink>
      <w:r w:rsidR="004514E6">
        <w:t xml:space="preserve"> (</w:t>
      </w:r>
      <w:proofErr w:type="spellStart"/>
      <w:r w:rsidR="004514E6">
        <w:t>ie</w:t>
      </w:r>
      <w:proofErr w:type="spellEnd"/>
      <w:r w:rsidR="004514E6">
        <w:t>. $1392.65 + $993.70 divided by 2)</w:t>
      </w:r>
    </w:p>
    <w:p w14:paraId="5029F6B9" w14:textId="264380E9" w:rsidR="00487E49" w:rsidRPr="001F0114" w:rsidRDefault="00487E49" w:rsidP="00487E49">
      <w:pPr>
        <w:ind w:left="426"/>
        <w:rPr>
          <w:i/>
        </w:rPr>
      </w:pPr>
      <w:r>
        <w:t xml:space="preserve">It was </w:t>
      </w:r>
      <w:r w:rsidR="00A718C1">
        <w:t>further</w:t>
      </w:r>
      <w:r>
        <w:t xml:space="preserve"> noted that the implantation procedure, while containing some elements in common, is not considered as complex as a vitrectomy </w:t>
      </w:r>
      <w:r w:rsidRPr="00487E49">
        <w:t>(</w:t>
      </w:r>
      <w:hyperlink r:id="rId42" w:history="1">
        <w:r w:rsidRPr="00487E49">
          <w:rPr>
            <w:rStyle w:val="Hyperlink"/>
          </w:rPr>
          <w:t>#42725)</w:t>
        </w:r>
      </w:hyperlink>
      <w:r w:rsidRPr="00487E49">
        <w:t xml:space="preserve"> (which has the same MBS service fee as </w:t>
      </w:r>
      <w:hyperlink r:id="rId43" w:history="1">
        <w:r w:rsidRPr="00487E49">
          <w:rPr>
            <w:rStyle w:val="Hyperlink"/>
          </w:rPr>
          <w:t>#42752</w:t>
        </w:r>
      </w:hyperlink>
      <w:r w:rsidRPr="00487E49">
        <w:t>).</w:t>
      </w:r>
    </w:p>
    <w:p w14:paraId="0B6D8BDC" w14:textId="7D1EEEF4" w:rsidR="004514E6" w:rsidRDefault="00422EB7" w:rsidP="00422EB7">
      <w:pPr>
        <w:ind w:left="426"/>
      </w:pPr>
      <w:r w:rsidRPr="004514E6">
        <w:rPr>
          <w:u w:val="single"/>
        </w:rPr>
        <w:t>Refill-exchange</w:t>
      </w:r>
      <w:r w:rsidRPr="004514E6">
        <w:t xml:space="preserve"> – </w:t>
      </w:r>
      <w:r w:rsidR="00886B12" w:rsidRPr="004514E6">
        <w:t>Consulted r</w:t>
      </w:r>
      <w:r w:rsidRPr="004514E6">
        <w:t xml:space="preserve">etinal specialists have noted that the refill-exchange procedure is similar in terms of complexity and time to MBS item numbers </w:t>
      </w:r>
      <w:hyperlink r:id="rId44" w:history="1">
        <w:r w:rsidR="006F6EA6" w:rsidRPr="004514E6">
          <w:rPr>
            <w:rStyle w:val="Hyperlink"/>
          </w:rPr>
          <w:t>#42738</w:t>
        </w:r>
      </w:hyperlink>
      <w:r w:rsidR="006F6EA6" w:rsidRPr="004514E6">
        <w:t xml:space="preserve">, </w:t>
      </w:r>
      <w:hyperlink r:id="rId45" w:history="1">
        <w:r w:rsidR="006F6EA6" w:rsidRPr="004514E6">
          <w:rPr>
            <w:rStyle w:val="Hyperlink"/>
          </w:rPr>
          <w:t>#42739</w:t>
        </w:r>
      </w:hyperlink>
      <w:r w:rsidR="006F6EA6" w:rsidRPr="004514E6">
        <w:t xml:space="preserve"> and </w:t>
      </w:r>
      <w:hyperlink r:id="rId46" w:history="1">
        <w:r w:rsidR="006F6EA6" w:rsidRPr="004514E6">
          <w:rPr>
            <w:rStyle w:val="Hyperlink"/>
          </w:rPr>
          <w:t>#42740</w:t>
        </w:r>
      </w:hyperlink>
      <w:r w:rsidRPr="004514E6">
        <w:t xml:space="preserve">.  </w:t>
      </w:r>
      <w:r w:rsidR="004514E6">
        <w:t>It was noted that both procedures would be anticipated to take approximately 15 minutes overall.</w:t>
      </w:r>
    </w:p>
    <w:p w14:paraId="778EA677" w14:textId="204CD02E" w:rsidR="004514E6" w:rsidRPr="004514E6" w:rsidRDefault="004514E6" w:rsidP="00422EB7">
      <w:pPr>
        <w:ind w:left="426"/>
      </w:pPr>
      <w:r w:rsidRPr="004514E6">
        <w:t xml:space="preserve">As such, </w:t>
      </w:r>
      <w:r>
        <w:t xml:space="preserve">a </w:t>
      </w:r>
      <w:r w:rsidRPr="004514E6">
        <w:t xml:space="preserve">proposed fee of </w:t>
      </w:r>
      <w:r w:rsidRPr="004514E6">
        <w:rPr>
          <w:i/>
        </w:rPr>
        <w:t>$312.95</w:t>
      </w:r>
      <w:r>
        <w:t xml:space="preserve"> is proposed for the refill-exchange procedure.</w:t>
      </w:r>
    </w:p>
    <w:p w14:paraId="775A3385" w14:textId="0F5CBC4B" w:rsidR="000A2FFB" w:rsidRPr="000A2FFB" w:rsidRDefault="00422EB7" w:rsidP="000A2FFB">
      <w:pPr>
        <w:ind w:left="426"/>
        <w:rPr>
          <w:szCs w:val="20"/>
        </w:rPr>
      </w:pPr>
      <w:r w:rsidRPr="004514E6">
        <w:t>Clinicians have noted that the current MBS item descriptor for these item numbers sufficiently capture the refill-exchange procedure and that a separate MBS item number for refill-exchange may not be required.</w:t>
      </w:r>
      <w:r w:rsidR="004514E6">
        <w:t xml:space="preserve"> </w:t>
      </w:r>
      <w:r w:rsidR="004514E6">
        <w:rPr>
          <w:szCs w:val="20"/>
        </w:rPr>
        <w:t xml:space="preserve">A separate item number has been suggested </w:t>
      </w:r>
      <w:r w:rsidR="00A718C1">
        <w:rPr>
          <w:szCs w:val="20"/>
        </w:rPr>
        <w:t xml:space="preserve">in this Application Form </w:t>
      </w:r>
      <w:r w:rsidR="004514E6">
        <w:rPr>
          <w:szCs w:val="20"/>
        </w:rPr>
        <w:t xml:space="preserve">as an option should this be </w:t>
      </w:r>
      <w:r w:rsidR="00A718C1">
        <w:rPr>
          <w:szCs w:val="20"/>
        </w:rPr>
        <w:t>desired</w:t>
      </w:r>
      <w:r w:rsidR="004514E6">
        <w:rPr>
          <w:szCs w:val="20"/>
        </w:rPr>
        <w:t xml:space="preserve"> to track utilisation separate to standard of care intravitreal injections.</w:t>
      </w:r>
    </w:p>
    <w:p w14:paraId="17B3A92E" w14:textId="3E461D4F" w:rsidR="004514E6" w:rsidRPr="004514E6" w:rsidRDefault="00422EB7" w:rsidP="004514E6">
      <w:pPr>
        <w:ind w:left="426"/>
      </w:pPr>
      <w:r w:rsidRPr="004514E6">
        <w:rPr>
          <w:u w:val="single"/>
        </w:rPr>
        <w:t>Explantation (if needed)</w:t>
      </w:r>
      <w:r w:rsidRPr="004514E6">
        <w:t xml:space="preserve"> – </w:t>
      </w:r>
      <w:r w:rsidR="00886B12" w:rsidRPr="004514E6">
        <w:t>Consulted v</w:t>
      </w:r>
      <w:r w:rsidRPr="004514E6">
        <w:t xml:space="preserve">itreoretinal surgeons </w:t>
      </w:r>
      <w:r w:rsidR="00A718C1">
        <w:t>note</w:t>
      </w:r>
      <w:r w:rsidRPr="004514E6">
        <w:t xml:space="preserve"> that the </w:t>
      </w:r>
      <w:r w:rsidR="00C4606A" w:rsidRPr="004514E6">
        <w:t>ex</w:t>
      </w:r>
      <w:r w:rsidRPr="004514E6">
        <w:t xml:space="preserve">plantation procedure is </w:t>
      </w:r>
      <w:r w:rsidR="00487E49">
        <w:t xml:space="preserve">somewhat more complex and time consuming than </w:t>
      </w:r>
      <w:r w:rsidRPr="004514E6">
        <w:t xml:space="preserve">current MBS item number </w:t>
      </w:r>
      <w:hyperlink r:id="rId47" w:history="1">
        <w:r w:rsidR="005C0091" w:rsidRPr="005C0091">
          <w:rPr>
            <w:rStyle w:val="Hyperlink"/>
          </w:rPr>
          <w:t>#42</w:t>
        </w:r>
        <w:r w:rsidR="005C0091">
          <w:rPr>
            <w:rStyle w:val="Hyperlink"/>
          </w:rPr>
          <w:t>5</w:t>
        </w:r>
        <w:r w:rsidR="005C0091" w:rsidRPr="005C0091">
          <w:rPr>
            <w:rStyle w:val="Hyperlink"/>
          </w:rPr>
          <w:t>0</w:t>
        </w:r>
        <w:r w:rsidR="006F6EA6" w:rsidRPr="005C0091">
          <w:rPr>
            <w:rStyle w:val="Hyperlink"/>
          </w:rPr>
          <w:t>5</w:t>
        </w:r>
      </w:hyperlink>
      <w:r w:rsidR="008D2288">
        <w:t>.</w:t>
      </w:r>
      <w:r w:rsidR="00A718C1">
        <w:t xml:space="preserve"> This is due to having more steps</w:t>
      </w:r>
      <w:r w:rsidR="00A718C1" w:rsidRPr="00A718C1">
        <w:t xml:space="preserve"> </w:t>
      </w:r>
      <w:r w:rsidR="00A718C1">
        <w:t>than #42505, including scleral suturing and the</w:t>
      </w:r>
      <w:r w:rsidR="00A718C1" w:rsidRPr="00A718C1">
        <w:t xml:space="preserve"> potential vitrectomy of prolapsed vitreous</w:t>
      </w:r>
      <w:r w:rsidR="00A718C1">
        <w:t xml:space="preserve">. </w:t>
      </w:r>
      <w:r w:rsidR="004514E6" w:rsidRPr="004514E6">
        <w:t xml:space="preserve">As such, </w:t>
      </w:r>
      <w:r w:rsidR="004514E6">
        <w:t xml:space="preserve">a </w:t>
      </w:r>
      <w:r w:rsidR="004514E6" w:rsidRPr="004514E6">
        <w:t xml:space="preserve">proposed fee of </w:t>
      </w:r>
      <w:r w:rsidR="00470C8C" w:rsidRPr="00470C8C">
        <w:rPr>
          <w:i/>
        </w:rPr>
        <w:t>$400.00</w:t>
      </w:r>
      <w:r w:rsidR="004514E6">
        <w:t xml:space="preserve"> is proposed for the explantation procedure.</w:t>
      </w:r>
    </w:p>
    <w:p w14:paraId="2EDB2995" w14:textId="77777777" w:rsidR="00951933" w:rsidRPr="004514E6" w:rsidRDefault="00951933" w:rsidP="00530204">
      <w:pPr>
        <w:pStyle w:val="Heading2"/>
      </w:pPr>
      <w:r w:rsidRPr="004514E6">
        <w:t>Specify how long the proposed medical ser</w:t>
      </w:r>
      <w:r w:rsidR="00AE1188" w:rsidRPr="004514E6">
        <w:t>vice typically takes to perform:</w:t>
      </w:r>
    </w:p>
    <w:p w14:paraId="62A22999" w14:textId="17022E79" w:rsidR="00D7659D" w:rsidRPr="004514E6" w:rsidRDefault="00B07742" w:rsidP="000A5C4E">
      <w:pPr>
        <w:spacing w:before="0" w:after="0"/>
        <w:ind w:left="426"/>
      </w:pPr>
      <w:r w:rsidRPr="000A5C4E">
        <w:rPr>
          <w:u w:val="single"/>
        </w:rPr>
        <w:t>Initial fill and i</w:t>
      </w:r>
      <w:r w:rsidR="00D7659D" w:rsidRPr="000A5C4E">
        <w:rPr>
          <w:u w:val="single"/>
        </w:rPr>
        <w:t>mplantation</w:t>
      </w:r>
      <w:r w:rsidR="00D7659D" w:rsidRPr="000A5C4E">
        <w:t xml:space="preserve">: </w:t>
      </w:r>
      <w:r w:rsidR="00217921" w:rsidRPr="000A5C4E">
        <w:t>Approximately 1 hour</w:t>
      </w:r>
    </w:p>
    <w:p w14:paraId="094E651D" w14:textId="05D6AA0D" w:rsidR="00D7659D" w:rsidRPr="000A5C4E" w:rsidRDefault="00D7659D" w:rsidP="000A5C4E">
      <w:pPr>
        <w:spacing w:before="0" w:after="0"/>
        <w:ind w:left="426"/>
      </w:pPr>
      <w:r w:rsidRPr="000A5C4E">
        <w:rPr>
          <w:u w:val="single"/>
        </w:rPr>
        <w:t>Refill-exchange</w:t>
      </w:r>
      <w:r w:rsidRPr="000A5C4E">
        <w:t xml:space="preserve">: </w:t>
      </w:r>
      <w:r w:rsidR="00217921" w:rsidRPr="000A5C4E">
        <w:t xml:space="preserve">Approximately </w:t>
      </w:r>
      <w:r w:rsidR="009F142F" w:rsidRPr="000A5C4E">
        <w:t>15</w:t>
      </w:r>
      <w:r w:rsidRPr="000A5C4E">
        <w:t xml:space="preserve"> minutes</w:t>
      </w:r>
    </w:p>
    <w:p w14:paraId="3ACD5242" w14:textId="0474483E" w:rsidR="004514E6" w:rsidRPr="000A5C4E" w:rsidRDefault="00D7659D" w:rsidP="000A5C4E">
      <w:pPr>
        <w:spacing w:before="0" w:after="0"/>
        <w:ind w:left="426"/>
      </w:pPr>
      <w:r w:rsidRPr="000A5C4E">
        <w:rPr>
          <w:u w:val="single"/>
        </w:rPr>
        <w:t>Explantation</w:t>
      </w:r>
      <w:r w:rsidRPr="000A5C4E">
        <w:t xml:space="preserve">: </w:t>
      </w:r>
      <w:r w:rsidR="00217921" w:rsidRPr="000A5C4E">
        <w:t xml:space="preserve">Approximately </w:t>
      </w:r>
      <w:r w:rsidR="005C0091" w:rsidRPr="000A5C4E">
        <w:t>30 minutes</w:t>
      </w:r>
    </w:p>
    <w:p w14:paraId="5BFFDCC9" w14:textId="61CEF386" w:rsidR="00707D4D" w:rsidRPr="004514E6" w:rsidRDefault="0054192F" w:rsidP="00530204">
      <w:pPr>
        <w:pStyle w:val="Heading2"/>
      </w:pPr>
      <w:r w:rsidRPr="004514E6">
        <w:t>If public funding is sought through the MBS, please draft a proposed MBS item descriptor to define the population and medical service usage characteristics that would define eligibility for MBS funding.</w:t>
      </w:r>
    </w:p>
    <w:p w14:paraId="30EAE95B" w14:textId="69E73F07" w:rsidR="00C172C7" w:rsidRPr="000A5C4E" w:rsidRDefault="00FB2702" w:rsidP="000A5C4E">
      <w:pPr>
        <w:ind w:left="426"/>
      </w:pPr>
      <w:r w:rsidRPr="000A5C4E">
        <w:t xml:space="preserve">Proposed MBS item descriptors have followed a similar format to that for MBS item numbers </w:t>
      </w:r>
      <w:hyperlink r:id="rId48" w:history="1">
        <w:r w:rsidR="006F6EA6" w:rsidRPr="000A5C4E">
          <w:t>#42752</w:t>
        </w:r>
      </w:hyperlink>
      <w:r w:rsidR="006F6EA6" w:rsidRPr="000A5C4E">
        <w:t xml:space="preserve"> </w:t>
      </w:r>
      <w:r w:rsidRPr="000A5C4E">
        <w:t xml:space="preserve">and </w:t>
      </w:r>
      <w:hyperlink r:id="rId49" w:history="1">
        <w:r w:rsidR="006F6EA6" w:rsidRPr="000A5C4E">
          <w:t>#42755</w:t>
        </w:r>
      </w:hyperlink>
      <w:r w:rsidRPr="000A5C4E">
        <w:t>, that is, specifying the population’s indication, intent of procedure and associated c</w:t>
      </w:r>
      <w:r w:rsidR="00C878DA" w:rsidRPr="000A5C4E">
        <w:t>omponents.</w:t>
      </w:r>
    </w:p>
    <w:p w14:paraId="1FF4780A" w14:textId="5E9262F3" w:rsidR="003F64A6" w:rsidRPr="000A5C4E" w:rsidRDefault="003F64A6" w:rsidP="000A5C4E">
      <w:pPr>
        <w:ind w:left="426"/>
        <w:rPr>
          <w:u w:val="single"/>
        </w:rPr>
      </w:pPr>
      <w:r w:rsidRPr="000A5C4E">
        <w:rPr>
          <w:u w:val="single"/>
        </w:rPr>
        <w:t>Initial fill and implantation:</w:t>
      </w:r>
    </w:p>
    <w:p w14:paraId="01C5E90F" w14:textId="214540C5" w:rsidR="00AE1188" w:rsidRPr="00AE1188" w:rsidRDefault="00AE1188" w:rsidP="00776E4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after="0"/>
        <w:rPr>
          <w:szCs w:val="20"/>
        </w:rPr>
      </w:pPr>
      <w:r>
        <w:rPr>
          <w:szCs w:val="20"/>
        </w:rPr>
        <w:t xml:space="preserve">Category </w:t>
      </w:r>
      <w:r w:rsidR="00E20952" w:rsidRPr="00E20952">
        <w:t>3 - THERAPEUTIC PROCEDURES</w:t>
      </w:r>
      <w:r w:rsidRPr="00AE1188">
        <w:rPr>
          <w:szCs w:val="20"/>
        </w:rPr>
        <w:t xml:space="preserve"> </w:t>
      </w:r>
    </w:p>
    <w:p w14:paraId="6CDE7F63" w14:textId="0EBEF7BB" w:rsidR="00E20952" w:rsidRPr="00E20952" w:rsidRDefault="00E20952" w:rsidP="00776E4E">
      <w:pPr>
        <w:pBdr>
          <w:top w:val="single" w:sz="4" w:space="1" w:color="auto"/>
          <w:left w:val="single" w:sz="4" w:space="4" w:color="auto"/>
          <w:bottom w:val="single" w:sz="4" w:space="1" w:color="auto"/>
          <w:right w:val="single" w:sz="4" w:space="4" w:color="auto"/>
        </w:pBdr>
        <w:spacing w:before="0" w:after="0"/>
        <w:rPr>
          <w:szCs w:val="20"/>
        </w:rPr>
      </w:pPr>
      <w:r>
        <w:rPr>
          <w:szCs w:val="20"/>
        </w:rPr>
        <w:tab/>
      </w:r>
      <w:r>
        <w:rPr>
          <w:szCs w:val="20"/>
        </w:rPr>
        <w:tab/>
      </w:r>
      <w:r>
        <w:rPr>
          <w:szCs w:val="20"/>
        </w:rPr>
        <w:tab/>
      </w:r>
      <w:r>
        <w:rPr>
          <w:szCs w:val="20"/>
        </w:rPr>
        <w:tab/>
      </w:r>
      <w:r>
        <w:rPr>
          <w:szCs w:val="20"/>
        </w:rPr>
        <w:tab/>
      </w:r>
      <w:r>
        <w:rPr>
          <w:szCs w:val="20"/>
        </w:rPr>
        <w:tab/>
      </w:r>
      <w:r>
        <w:rPr>
          <w:szCs w:val="20"/>
        </w:rPr>
        <w:tab/>
      </w:r>
      <w:r w:rsidRPr="00E20952">
        <w:rPr>
          <w:szCs w:val="20"/>
        </w:rPr>
        <w:t>Group</w:t>
      </w:r>
      <w:r>
        <w:rPr>
          <w:szCs w:val="20"/>
        </w:rPr>
        <w:tab/>
      </w:r>
      <w:r>
        <w:rPr>
          <w:szCs w:val="20"/>
        </w:rPr>
        <w:tab/>
      </w:r>
      <w:r w:rsidRPr="00E20952">
        <w:rPr>
          <w:szCs w:val="20"/>
        </w:rPr>
        <w:t>T8 - Surgical Operations</w:t>
      </w:r>
    </w:p>
    <w:p w14:paraId="208A965B" w14:textId="1D684E12" w:rsidR="00AE1188" w:rsidRPr="00AE1188" w:rsidRDefault="00E20952" w:rsidP="00776E4E">
      <w:pPr>
        <w:pBdr>
          <w:top w:val="single" w:sz="4" w:space="1" w:color="auto"/>
          <w:left w:val="single" w:sz="4" w:space="4" w:color="auto"/>
          <w:bottom w:val="single" w:sz="4" w:space="1" w:color="auto"/>
          <w:right w:val="single" w:sz="4" w:space="4" w:color="auto"/>
        </w:pBdr>
        <w:spacing w:before="0" w:after="0"/>
        <w:rPr>
          <w:szCs w:val="20"/>
        </w:rPr>
      </w:pPr>
      <w:r>
        <w:rPr>
          <w:szCs w:val="20"/>
        </w:rPr>
        <w:tab/>
      </w:r>
      <w:r>
        <w:rPr>
          <w:szCs w:val="20"/>
        </w:rPr>
        <w:tab/>
      </w:r>
      <w:r>
        <w:rPr>
          <w:szCs w:val="20"/>
        </w:rPr>
        <w:tab/>
      </w:r>
      <w:r>
        <w:rPr>
          <w:szCs w:val="20"/>
        </w:rPr>
        <w:tab/>
      </w:r>
      <w:r>
        <w:rPr>
          <w:szCs w:val="20"/>
        </w:rPr>
        <w:tab/>
      </w:r>
      <w:r>
        <w:rPr>
          <w:szCs w:val="20"/>
        </w:rPr>
        <w:tab/>
      </w:r>
      <w:r>
        <w:rPr>
          <w:szCs w:val="20"/>
        </w:rPr>
        <w:tab/>
      </w:r>
      <w:r w:rsidRPr="00E20952">
        <w:rPr>
          <w:szCs w:val="20"/>
        </w:rPr>
        <w:t>Subgroup</w:t>
      </w:r>
      <w:r>
        <w:rPr>
          <w:szCs w:val="20"/>
        </w:rPr>
        <w:tab/>
      </w:r>
      <w:r w:rsidRPr="00E20952">
        <w:rPr>
          <w:szCs w:val="20"/>
        </w:rPr>
        <w:t>9 - Ophthalmology</w:t>
      </w:r>
    </w:p>
    <w:p w14:paraId="7FB6D37C" w14:textId="78FB6029" w:rsidR="00AE1188" w:rsidRDefault="00870E74" w:rsidP="00776E4E">
      <w:pPr>
        <w:pBdr>
          <w:top w:val="single" w:sz="4" w:space="1" w:color="auto"/>
          <w:left w:val="single" w:sz="4" w:space="4" w:color="auto"/>
          <w:bottom w:val="single" w:sz="4" w:space="1" w:color="auto"/>
          <w:right w:val="single" w:sz="4" w:space="4" w:color="auto"/>
        </w:pBdr>
        <w:spacing w:before="0" w:after="0"/>
      </w:pPr>
      <w:r>
        <w:rPr>
          <w:szCs w:val="20"/>
        </w:rPr>
        <w:t>Neovascular a</w:t>
      </w:r>
      <w:r w:rsidR="00E20952">
        <w:rPr>
          <w:szCs w:val="20"/>
        </w:rPr>
        <w:t xml:space="preserve">ge-related macular degeneration, </w:t>
      </w:r>
      <w:r w:rsidR="00B07742">
        <w:rPr>
          <w:szCs w:val="20"/>
        </w:rPr>
        <w:t xml:space="preserve">initial fill and </w:t>
      </w:r>
      <w:r w:rsidR="00FB2702">
        <w:rPr>
          <w:szCs w:val="20"/>
        </w:rPr>
        <w:t>implantation</w:t>
      </w:r>
      <w:r w:rsidR="00E20952">
        <w:t xml:space="preserve"> of an ocular implant for </w:t>
      </w:r>
      <w:proofErr w:type="spellStart"/>
      <w:r w:rsidR="00E20952">
        <w:t>Susvimo</w:t>
      </w:r>
      <w:proofErr w:type="spellEnd"/>
      <w:r w:rsidR="00E20952">
        <w:t>® (ranibizumab)</w:t>
      </w:r>
    </w:p>
    <w:p w14:paraId="23DC3642" w14:textId="7FE68165" w:rsidR="00AE1188" w:rsidRPr="00AE1188" w:rsidRDefault="00AE1188" w:rsidP="00776E4E">
      <w:pPr>
        <w:pBdr>
          <w:top w:val="single" w:sz="4" w:space="1" w:color="auto"/>
          <w:left w:val="single" w:sz="4" w:space="4" w:color="auto"/>
          <w:bottom w:val="single" w:sz="4" w:space="1" w:color="auto"/>
          <w:right w:val="single" w:sz="4" w:space="4" w:color="auto"/>
        </w:pBdr>
        <w:spacing w:before="0" w:after="0"/>
        <w:rPr>
          <w:szCs w:val="20"/>
        </w:rPr>
      </w:pPr>
      <w:r w:rsidRPr="00AE1188">
        <w:rPr>
          <w:szCs w:val="20"/>
        </w:rPr>
        <w:t>Fee</w:t>
      </w:r>
      <w:r w:rsidRPr="004514E6">
        <w:rPr>
          <w:szCs w:val="20"/>
        </w:rPr>
        <w:t>:  $</w:t>
      </w:r>
      <w:r w:rsidR="00E31A37" w:rsidRPr="004514E6">
        <w:t>1193.18</w:t>
      </w:r>
    </w:p>
    <w:p w14:paraId="1FF48B96" w14:textId="77777777" w:rsidR="004514E6" w:rsidRDefault="004514E6" w:rsidP="00D7659D">
      <w:pPr>
        <w:spacing w:before="0" w:after="0"/>
        <w:ind w:left="360"/>
        <w:rPr>
          <w:szCs w:val="20"/>
          <w:u w:val="single"/>
        </w:rPr>
      </w:pPr>
    </w:p>
    <w:p w14:paraId="47D1EAE3" w14:textId="7E3A5C51" w:rsidR="00D7659D" w:rsidRPr="000A5C4E" w:rsidRDefault="00D7659D" w:rsidP="000A5C4E">
      <w:pPr>
        <w:ind w:left="426"/>
        <w:rPr>
          <w:u w:val="single"/>
        </w:rPr>
      </w:pPr>
      <w:r w:rsidRPr="000A5C4E">
        <w:rPr>
          <w:u w:val="single"/>
        </w:rPr>
        <w:t>Refill-exchange:</w:t>
      </w:r>
    </w:p>
    <w:p w14:paraId="7C25AC2B" w14:textId="77777777" w:rsidR="00E20952" w:rsidRPr="00AE1188" w:rsidRDefault="00E20952" w:rsidP="00776E4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after="0"/>
        <w:rPr>
          <w:szCs w:val="20"/>
        </w:rPr>
      </w:pPr>
      <w:r>
        <w:rPr>
          <w:szCs w:val="20"/>
        </w:rPr>
        <w:t xml:space="preserve">Category </w:t>
      </w:r>
      <w:r w:rsidRPr="00E20952">
        <w:t>3 - THERAPEUTIC PROCEDURES</w:t>
      </w:r>
      <w:r w:rsidRPr="00AE1188">
        <w:rPr>
          <w:szCs w:val="20"/>
        </w:rPr>
        <w:t xml:space="preserve"> </w:t>
      </w:r>
    </w:p>
    <w:p w14:paraId="4C4AD552" w14:textId="77777777" w:rsidR="00E20952" w:rsidRPr="00E20952" w:rsidRDefault="00E20952" w:rsidP="00776E4E">
      <w:pPr>
        <w:pBdr>
          <w:top w:val="single" w:sz="4" w:space="1" w:color="auto"/>
          <w:left w:val="single" w:sz="4" w:space="4" w:color="auto"/>
          <w:bottom w:val="single" w:sz="4" w:space="1" w:color="auto"/>
          <w:right w:val="single" w:sz="4" w:space="4" w:color="auto"/>
        </w:pBdr>
        <w:spacing w:before="0" w:after="0"/>
        <w:rPr>
          <w:szCs w:val="20"/>
        </w:rPr>
      </w:pPr>
      <w:r>
        <w:rPr>
          <w:szCs w:val="20"/>
        </w:rPr>
        <w:tab/>
      </w:r>
      <w:r>
        <w:rPr>
          <w:szCs w:val="20"/>
        </w:rPr>
        <w:tab/>
      </w:r>
      <w:r>
        <w:rPr>
          <w:szCs w:val="20"/>
        </w:rPr>
        <w:tab/>
      </w:r>
      <w:r>
        <w:rPr>
          <w:szCs w:val="20"/>
        </w:rPr>
        <w:tab/>
      </w:r>
      <w:r>
        <w:rPr>
          <w:szCs w:val="20"/>
        </w:rPr>
        <w:tab/>
      </w:r>
      <w:r>
        <w:rPr>
          <w:szCs w:val="20"/>
        </w:rPr>
        <w:tab/>
      </w:r>
      <w:r>
        <w:rPr>
          <w:szCs w:val="20"/>
        </w:rPr>
        <w:tab/>
      </w:r>
      <w:r w:rsidRPr="00E20952">
        <w:rPr>
          <w:szCs w:val="20"/>
        </w:rPr>
        <w:t>Group</w:t>
      </w:r>
      <w:r>
        <w:rPr>
          <w:szCs w:val="20"/>
        </w:rPr>
        <w:tab/>
      </w:r>
      <w:r>
        <w:rPr>
          <w:szCs w:val="20"/>
        </w:rPr>
        <w:tab/>
      </w:r>
      <w:r w:rsidRPr="00E20952">
        <w:rPr>
          <w:szCs w:val="20"/>
        </w:rPr>
        <w:t>T8 - Surgical Operations</w:t>
      </w:r>
    </w:p>
    <w:p w14:paraId="5C99936F" w14:textId="6BC3EA14" w:rsidR="00D7659D" w:rsidRPr="00AE1188" w:rsidRDefault="00E20952" w:rsidP="00776E4E">
      <w:pPr>
        <w:pBdr>
          <w:top w:val="single" w:sz="4" w:space="1" w:color="auto"/>
          <w:left w:val="single" w:sz="4" w:space="4" w:color="auto"/>
          <w:bottom w:val="single" w:sz="4" w:space="1" w:color="auto"/>
          <w:right w:val="single" w:sz="4" w:space="4" w:color="auto"/>
        </w:pBdr>
        <w:spacing w:before="0" w:after="0"/>
        <w:rPr>
          <w:szCs w:val="20"/>
        </w:rPr>
      </w:pPr>
      <w:r>
        <w:rPr>
          <w:szCs w:val="20"/>
        </w:rPr>
        <w:tab/>
      </w:r>
      <w:r>
        <w:rPr>
          <w:szCs w:val="20"/>
        </w:rPr>
        <w:tab/>
      </w:r>
      <w:r>
        <w:rPr>
          <w:szCs w:val="20"/>
        </w:rPr>
        <w:tab/>
      </w:r>
      <w:r>
        <w:rPr>
          <w:szCs w:val="20"/>
        </w:rPr>
        <w:tab/>
      </w:r>
      <w:r>
        <w:rPr>
          <w:szCs w:val="20"/>
        </w:rPr>
        <w:tab/>
      </w:r>
      <w:r>
        <w:rPr>
          <w:szCs w:val="20"/>
        </w:rPr>
        <w:tab/>
      </w:r>
      <w:r>
        <w:rPr>
          <w:szCs w:val="20"/>
        </w:rPr>
        <w:tab/>
      </w:r>
      <w:r w:rsidRPr="00E20952">
        <w:rPr>
          <w:szCs w:val="20"/>
        </w:rPr>
        <w:t>Subgroup</w:t>
      </w:r>
      <w:r>
        <w:rPr>
          <w:szCs w:val="20"/>
        </w:rPr>
        <w:tab/>
      </w:r>
      <w:r w:rsidRPr="00E20952">
        <w:rPr>
          <w:szCs w:val="20"/>
        </w:rPr>
        <w:t>9 - Ophthalmology</w:t>
      </w:r>
    </w:p>
    <w:p w14:paraId="4522AC9D" w14:textId="62130FD4" w:rsidR="00E20952" w:rsidRDefault="00870E74" w:rsidP="00776E4E">
      <w:pPr>
        <w:pBdr>
          <w:top w:val="single" w:sz="4" w:space="1" w:color="auto"/>
          <w:left w:val="single" w:sz="4" w:space="4" w:color="auto"/>
          <w:bottom w:val="single" w:sz="4" w:space="1" w:color="auto"/>
          <w:right w:val="single" w:sz="4" w:space="4" w:color="auto"/>
        </w:pBdr>
        <w:spacing w:before="0" w:after="0"/>
      </w:pPr>
      <w:r>
        <w:rPr>
          <w:szCs w:val="20"/>
        </w:rPr>
        <w:t>Neovascular age-related macular degeneration, r</w:t>
      </w:r>
      <w:r w:rsidR="00E20952">
        <w:t xml:space="preserve">efill-exchange of an ocular implant for </w:t>
      </w:r>
      <w:proofErr w:type="spellStart"/>
      <w:r w:rsidR="00E20952">
        <w:t>Susvimo</w:t>
      </w:r>
      <w:proofErr w:type="spellEnd"/>
      <w:r w:rsidR="00E20952">
        <w:t>® (ranibizumab)</w:t>
      </w:r>
    </w:p>
    <w:p w14:paraId="197D4639" w14:textId="37FF915E" w:rsidR="00D7659D" w:rsidRPr="00AE1188" w:rsidRDefault="00D7659D" w:rsidP="00776E4E">
      <w:pPr>
        <w:pBdr>
          <w:top w:val="single" w:sz="4" w:space="1" w:color="auto"/>
          <w:left w:val="single" w:sz="4" w:space="4" w:color="auto"/>
          <w:bottom w:val="single" w:sz="4" w:space="1" w:color="auto"/>
          <w:right w:val="single" w:sz="4" w:space="4" w:color="auto"/>
        </w:pBdr>
        <w:spacing w:before="0" w:after="0"/>
        <w:rPr>
          <w:szCs w:val="20"/>
        </w:rPr>
      </w:pPr>
      <w:r w:rsidRPr="00AE1188">
        <w:rPr>
          <w:szCs w:val="20"/>
        </w:rPr>
        <w:t xml:space="preserve">Fee:  </w:t>
      </w:r>
      <w:r w:rsidRPr="005C0091">
        <w:rPr>
          <w:szCs w:val="20"/>
        </w:rPr>
        <w:t>$</w:t>
      </w:r>
      <w:r w:rsidR="00E31A37" w:rsidRPr="005C0091">
        <w:rPr>
          <w:szCs w:val="20"/>
        </w:rPr>
        <w:t>312.95</w:t>
      </w:r>
    </w:p>
    <w:p w14:paraId="6A33112A" w14:textId="77777777" w:rsidR="00217921" w:rsidRDefault="00217921" w:rsidP="00D7659D">
      <w:pPr>
        <w:spacing w:before="0" w:after="0"/>
        <w:ind w:left="360"/>
        <w:rPr>
          <w:szCs w:val="20"/>
          <w:u w:val="single"/>
        </w:rPr>
      </w:pPr>
    </w:p>
    <w:p w14:paraId="5B2CE4CC" w14:textId="18C9E797" w:rsidR="00D7659D" w:rsidRPr="000A5C4E" w:rsidRDefault="00D7659D" w:rsidP="000A5C4E">
      <w:pPr>
        <w:ind w:left="426"/>
        <w:rPr>
          <w:u w:val="single"/>
        </w:rPr>
      </w:pPr>
      <w:r w:rsidRPr="000A5C4E">
        <w:rPr>
          <w:u w:val="single"/>
        </w:rPr>
        <w:t>Explantation:</w:t>
      </w:r>
    </w:p>
    <w:p w14:paraId="2E89D9D3" w14:textId="71500BA5" w:rsidR="00E20952" w:rsidRPr="00AE1188" w:rsidRDefault="00E20952" w:rsidP="00776E4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after="0"/>
        <w:rPr>
          <w:szCs w:val="20"/>
        </w:rPr>
      </w:pPr>
      <w:r>
        <w:rPr>
          <w:szCs w:val="20"/>
        </w:rPr>
        <w:t xml:space="preserve">Category </w:t>
      </w:r>
      <w:r w:rsidRPr="00E20952">
        <w:t>3 - THERAPEUTIC PROCEDURES</w:t>
      </w:r>
      <w:r w:rsidRPr="00AE1188">
        <w:rPr>
          <w:szCs w:val="20"/>
        </w:rPr>
        <w:t xml:space="preserve"> </w:t>
      </w:r>
    </w:p>
    <w:p w14:paraId="79763E81" w14:textId="77777777" w:rsidR="00E20952" w:rsidRPr="00E20952" w:rsidRDefault="00E20952" w:rsidP="00776E4E">
      <w:pPr>
        <w:pBdr>
          <w:top w:val="single" w:sz="4" w:space="1" w:color="auto"/>
          <w:left w:val="single" w:sz="4" w:space="4" w:color="auto"/>
          <w:bottom w:val="single" w:sz="4" w:space="1" w:color="auto"/>
          <w:right w:val="single" w:sz="4" w:space="4" w:color="auto"/>
        </w:pBdr>
        <w:spacing w:before="0" w:after="0"/>
        <w:rPr>
          <w:szCs w:val="20"/>
        </w:rPr>
      </w:pPr>
      <w:r>
        <w:rPr>
          <w:szCs w:val="20"/>
        </w:rPr>
        <w:tab/>
      </w:r>
      <w:r>
        <w:rPr>
          <w:szCs w:val="20"/>
        </w:rPr>
        <w:tab/>
      </w:r>
      <w:r>
        <w:rPr>
          <w:szCs w:val="20"/>
        </w:rPr>
        <w:tab/>
      </w:r>
      <w:r>
        <w:rPr>
          <w:szCs w:val="20"/>
        </w:rPr>
        <w:tab/>
      </w:r>
      <w:r>
        <w:rPr>
          <w:szCs w:val="20"/>
        </w:rPr>
        <w:tab/>
      </w:r>
      <w:r>
        <w:rPr>
          <w:szCs w:val="20"/>
        </w:rPr>
        <w:tab/>
      </w:r>
      <w:r>
        <w:rPr>
          <w:szCs w:val="20"/>
        </w:rPr>
        <w:tab/>
      </w:r>
      <w:r w:rsidRPr="00E20952">
        <w:rPr>
          <w:szCs w:val="20"/>
        </w:rPr>
        <w:t>Group</w:t>
      </w:r>
      <w:r>
        <w:rPr>
          <w:szCs w:val="20"/>
        </w:rPr>
        <w:tab/>
      </w:r>
      <w:r>
        <w:rPr>
          <w:szCs w:val="20"/>
        </w:rPr>
        <w:tab/>
      </w:r>
      <w:r w:rsidRPr="00E20952">
        <w:rPr>
          <w:szCs w:val="20"/>
        </w:rPr>
        <w:t>T8 - Surgical Operations</w:t>
      </w:r>
    </w:p>
    <w:p w14:paraId="7CDFC785" w14:textId="79F763D6" w:rsidR="00D7659D" w:rsidRPr="00AE1188" w:rsidRDefault="00E20952" w:rsidP="00776E4E">
      <w:pPr>
        <w:pBdr>
          <w:top w:val="single" w:sz="4" w:space="1" w:color="auto"/>
          <w:left w:val="single" w:sz="4" w:space="4" w:color="auto"/>
          <w:bottom w:val="single" w:sz="4" w:space="1" w:color="auto"/>
          <w:right w:val="single" w:sz="4" w:space="4" w:color="auto"/>
        </w:pBdr>
        <w:spacing w:before="0" w:after="0"/>
        <w:rPr>
          <w:szCs w:val="20"/>
        </w:rPr>
      </w:pPr>
      <w:r>
        <w:rPr>
          <w:szCs w:val="20"/>
        </w:rPr>
        <w:tab/>
      </w:r>
      <w:r>
        <w:rPr>
          <w:szCs w:val="20"/>
        </w:rPr>
        <w:tab/>
      </w:r>
      <w:r>
        <w:rPr>
          <w:szCs w:val="20"/>
        </w:rPr>
        <w:tab/>
      </w:r>
      <w:r>
        <w:rPr>
          <w:szCs w:val="20"/>
        </w:rPr>
        <w:tab/>
      </w:r>
      <w:r>
        <w:rPr>
          <w:szCs w:val="20"/>
        </w:rPr>
        <w:tab/>
      </w:r>
      <w:r>
        <w:rPr>
          <w:szCs w:val="20"/>
        </w:rPr>
        <w:tab/>
      </w:r>
      <w:r>
        <w:rPr>
          <w:szCs w:val="20"/>
        </w:rPr>
        <w:tab/>
      </w:r>
      <w:r w:rsidRPr="00E20952">
        <w:rPr>
          <w:szCs w:val="20"/>
        </w:rPr>
        <w:t>Subgroup</w:t>
      </w:r>
      <w:r>
        <w:rPr>
          <w:szCs w:val="20"/>
        </w:rPr>
        <w:tab/>
      </w:r>
      <w:r w:rsidRPr="00E20952">
        <w:rPr>
          <w:szCs w:val="20"/>
        </w:rPr>
        <w:t>9 - Ophthalmology</w:t>
      </w:r>
    </w:p>
    <w:p w14:paraId="66734595" w14:textId="1E1F263C" w:rsidR="00E20952" w:rsidRDefault="00870E74" w:rsidP="00776E4E">
      <w:pPr>
        <w:pBdr>
          <w:top w:val="single" w:sz="4" w:space="1" w:color="auto"/>
          <w:left w:val="single" w:sz="4" w:space="4" w:color="auto"/>
          <w:bottom w:val="single" w:sz="4" w:space="1" w:color="auto"/>
          <w:right w:val="single" w:sz="4" w:space="4" w:color="auto"/>
        </w:pBdr>
        <w:spacing w:before="0" w:after="0"/>
      </w:pPr>
      <w:r>
        <w:rPr>
          <w:szCs w:val="20"/>
        </w:rPr>
        <w:t>Neovascular age-related macular degeneration, e</w:t>
      </w:r>
      <w:r w:rsidR="00E20952">
        <w:t xml:space="preserve">xplantation of an ocular implant for </w:t>
      </w:r>
      <w:proofErr w:type="spellStart"/>
      <w:r w:rsidR="00E20952">
        <w:t>Susvimo</w:t>
      </w:r>
      <w:proofErr w:type="spellEnd"/>
      <w:r w:rsidR="00E20952">
        <w:t>® (ranibizumab)</w:t>
      </w:r>
    </w:p>
    <w:p w14:paraId="1262E801" w14:textId="67D8DB39" w:rsidR="00D7659D" w:rsidRPr="00AE1188" w:rsidRDefault="00D7659D" w:rsidP="00776E4E">
      <w:pPr>
        <w:pBdr>
          <w:top w:val="single" w:sz="4" w:space="1" w:color="auto"/>
          <w:left w:val="single" w:sz="4" w:space="4" w:color="auto"/>
          <w:bottom w:val="single" w:sz="4" w:space="1" w:color="auto"/>
          <w:right w:val="single" w:sz="4" w:space="4" w:color="auto"/>
        </w:pBdr>
        <w:spacing w:before="0" w:after="0"/>
        <w:rPr>
          <w:szCs w:val="20"/>
        </w:rPr>
      </w:pPr>
      <w:r w:rsidRPr="00AE1188">
        <w:rPr>
          <w:szCs w:val="20"/>
        </w:rPr>
        <w:t xml:space="preserve">Fee:  </w:t>
      </w:r>
      <w:r w:rsidRPr="005C0091">
        <w:rPr>
          <w:szCs w:val="20"/>
        </w:rPr>
        <w:t>$</w:t>
      </w:r>
      <w:r w:rsidR="00487E49">
        <w:rPr>
          <w:szCs w:val="20"/>
        </w:rPr>
        <w:t>400.00</w:t>
      </w:r>
    </w:p>
    <w:p w14:paraId="67E4330E" w14:textId="77777777" w:rsidR="00A718C1" w:rsidRDefault="00A718C1" w:rsidP="00C4606A">
      <w:pPr>
        <w:spacing w:before="0" w:after="0"/>
        <w:ind w:left="360"/>
      </w:pPr>
    </w:p>
    <w:p w14:paraId="6FB43147" w14:textId="77777777" w:rsidR="00166A86" w:rsidRDefault="00166A86" w:rsidP="00C4606A">
      <w:pPr>
        <w:spacing w:before="0" w:after="0"/>
        <w:ind w:left="360"/>
      </w:pPr>
    </w:p>
    <w:p w14:paraId="75CF8F76" w14:textId="62B5B380" w:rsidR="00284FF1" w:rsidRDefault="00371E18" w:rsidP="00C4606A">
      <w:pPr>
        <w:spacing w:before="0" w:after="0"/>
        <w:ind w:left="360"/>
      </w:pPr>
      <w:r w:rsidRPr="00C4606A">
        <w:t>For the purposes of the MSAC Application Form, a</w:t>
      </w:r>
      <w:r w:rsidR="009F142F" w:rsidRPr="00C4606A">
        <w:t>n</w:t>
      </w:r>
      <w:r w:rsidR="00F40B68" w:rsidRPr="00C4606A">
        <w:t xml:space="preserve"> illustrative </w:t>
      </w:r>
      <w:r w:rsidRPr="00C4606A">
        <w:t xml:space="preserve">net per patient MBS cost analysis shows the anticipated per patient savings to MBS budgets, </w:t>
      </w:r>
      <w:r w:rsidR="00F40B68" w:rsidRPr="00C4606A">
        <w:t>in the circumstance that the Port Delivery System replaces</w:t>
      </w:r>
      <w:r w:rsidRPr="00C4606A">
        <w:t xml:space="preserve"> </w:t>
      </w:r>
      <w:r w:rsidR="00A90EC0" w:rsidRPr="00C4606A">
        <w:t>intravitreal injections</w:t>
      </w:r>
      <w:r w:rsidR="00243E80" w:rsidRPr="00C4606A">
        <w:t xml:space="preserve"> administered every four weeks.</w:t>
      </w:r>
    </w:p>
    <w:p w14:paraId="726894AB" w14:textId="77777777" w:rsidR="00C4606A" w:rsidRPr="00C4606A" w:rsidRDefault="00C4606A" w:rsidP="00C4606A">
      <w:pPr>
        <w:spacing w:before="0" w:after="0"/>
        <w:ind w:left="360"/>
      </w:pPr>
    </w:p>
    <w:tbl>
      <w:tblPr>
        <w:tblW w:w="0" w:type="auto"/>
        <w:tblLayout w:type="fixed"/>
        <w:tblLook w:val="04A0" w:firstRow="1" w:lastRow="0" w:firstColumn="1" w:lastColumn="0" w:noHBand="0" w:noVBand="1"/>
      </w:tblPr>
      <w:tblGrid>
        <w:gridCol w:w="3864"/>
        <w:gridCol w:w="1948"/>
        <w:gridCol w:w="2111"/>
        <w:gridCol w:w="381"/>
        <w:gridCol w:w="722"/>
      </w:tblGrid>
      <w:tr w:rsidR="00F40B68" w:rsidRPr="00F40B68" w14:paraId="7D48A4B2" w14:textId="77777777" w:rsidTr="00371E18">
        <w:trPr>
          <w:trHeight w:val="20"/>
        </w:trPr>
        <w:tc>
          <w:tcPr>
            <w:tcW w:w="3864" w:type="dxa"/>
            <w:tcBorders>
              <w:top w:val="nil"/>
              <w:left w:val="nil"/>
              <w:bottom w:val="single" w:sz="4" w:space="0" w:color="auto"/>
              <w:right w:val="nil"/>
            </w:tcBorders>
            <w:shd w:val="clear" w:color="auto" w:fill="auto"/>
            <w:noWrap/>
            <w:vAlign w:val="bottom"/>
            <w:hideMark/>
          </w:tcPr>
          <w:p w14:paraId="1F69BF45" w14:textId="77777777" w:rsidR="00F40B68" w:rsidRPr="00F40B68" w:rsidRDefault="00F40B68" w:rsidP="00003417">
            <w:pPr>
              <w:spacing w:before="0" w:after="0"/>
              <w:rPr>
                <w:rFonts w:ascii="Calibri" w:eastAsia="Times New Roman" w:hAnsi="Calibri" w:cs="Calibri"/>
                <w:b/>
                <w:bCs/>
                <w:color w:val="000000"/>
                <w:szCs w:val="20"/>
                <w:u w:val="single"/>
                <w:lang w:eastAsia="en-AU"/>
              </w:rPr>
            </w:pPr>
            <w:r w:rsidRPr="00F40B68">
              <w:rPr>
                <w:rFonts w:ascii="Calibri" w:eastAsia="Times New Roman" w:hAnsi="Calibri" w:cs="Calibri"/>
                <w:b/>
                <w:bCs/>
                <w:color w:val="000000"/>
                <w:szCs w:val="20"/>
                <w:u w:val="single"/>
                <w:lang w:eastAsia="en-AU"/>
              </w:rPr>
              <w:t>Analysis inputs</w:t>
            </w:r>
          </w:p>
        </w:tc>
        <w:tc>
          <w:tcPr>
            <w:tcW w:w="1948" w:type="dxa"/>
            <w:tcBorders>
              <w:top w:val="nil"/>
              <w:left w:val="nil"/>
              <w:bottom w:val="single" w:sz="4" w:space="0" w:color="auto"/>
              <w:right w:val="nil"/>
            </w:tcBorders>
            <w:shd w:val="clear" w:color="auto" w:fill="auto"/>
            <w:noWrap/>
            <w:vAlign w:val="bottom"/>
            <w:hideMark/>
          </w:tcPr>
          <w:p w14:paraId="36DB727D" w14:textId="77777777" w:rsidR="00F40B68" w:rsidRPr="00F40B68" w:rsidRDefault="00F40B68" w:rsidP="00003417">
            <w:pPr>
              <w:spacing w:before="0" w:after="0"/>
              <w:rPr>
                <w:rFonts w:ascii="Calibri" w:eastAsia="Times New Roman" w:hAnsi="Calibri" w:cs="Calibri"/>
                <w:b/>
                <w:bCs/>
                <w:color w:val="000000"/>
                <w:szCs w:val="20"/>
                <w:u w:val="single"/>
                <w:lang w:eastAsia="en-AU"/>
              </w:rPr>
            </w:pPr>
          </w:p>
        </w:tc>
        <w:tc>
          <w:tcPr>
            <w:tcW w:w="2492" w:type="dxa"/>
            <w:gridSpan w:val="2"/>
            <w:tcBorders>
              <w:top w:val="nil"/>
              <w:left w:val="nil"/>
              <w:bottom w:val="single" w:sz="4" w:space="0" w:color="auto"/>
              <w:right w:val="nil"/>
            </w:tcBorders>
            <w:shd w:val="clear" w:color="auto" w:fill="auto"/>
            <w:noWrap/>
            <w:vAlign w:val="bottom"/>
            <w:hideMark/>
          </w:tcPr>
          <w:p w14:paraId="1BC3F6A3" w14:textId="77777777" w:rsidR="00F40B68" w:rsidRPr="00F40B68" w:rsidRDefault="00F40B68" w:rsidP="00003417">
            <w:pPr>
              <w:spacing w:before="0" w:after="0"/>
              <w:rPr>
                <w:rFonts w:ascii="Times New Roman" w:eastAsia="Times New Roman" w:hAnsi="Times New Roman" w:cs="Times New Roman"/>
                <w:szCs w:val="20"/>
                <w:lang w:eastAsia="en-AU"/>
              </w:rPr>
            </w:pPr>
          </w:p>
        </w:tc>
        <w:tc>
          <w:tcPr>
            <w:tcW w:w="722" w:type="dxa"/>
            <w:tcBorders>
              <w:top w:val="nil"/>
              <w:left w:val="nil"/>
              <w:bottom w:val="single" w:sz="4" w:space="0" w:color="auto"/>
              <w:right w:val="nil"/>
            </w:tcBorders>
            <w:shd w:val="clear" w:color="auto" w:fill="auto"/>
            <w:noWrap/>
            <w:vAlign w:val="bottom"/>
            <w:hideMark/>
          </w:tcPr>
          <w:p w14:paraId="47D97ACB" w14:textId="77777777" w:rsidR="00F40B68" w:rsidRPr="00F40B68" w:rsidRDefault="00F40B68" w:rsidP="00003417">
            <w:pPr>
              <w:spacing w:before="0" w:after="0"/>
              <w:rPr>
                <w:rFonts w:ascii="Times New Roman" w:eastAsia="Times New Roman" w:hAnsi="Times New Roman" w:cs="Times New Roman"/>
                <w:szCs w:val="20"/>
                <w:lang w:eastAsia="en-AU"/>
              </w:rPr>
            </w:pPr>
          </w:p>
        </w:tc>
      </w:tr>
      <w:tr w:rsidR="00F40B68" w:rsidRPr="00F40B68" w14:paraId="5BEC5B2D" w14:textId="77777777" w:rsidTr="00371E18">
        <w:trPr>
          <w:trHeight w:val="20"/>
        </w:trPr>
        <w:tc>
          <w:tcPr>
            <w:tcW w:w="3864" w:type="dxa"/>
            <w:tcBorders>
              <w:top w:val="single" w:sz="4" w:space="0" w:color="auto"/>
              <w:left w:val="single" w:sz="4" w:space="0" w:color="auto"/>
              <w:bottom w:val="nil"/>
              <w:right w:val="nil"/>
            </w:tcBorders>
            <w:shd w:val="clear" w:color="auto" w:fill="auto"/>
            <w:noWrap/>
            <w:hideMark/>
          </w:tcPr>
          <w:p w14:paraId="6559B381" w14:textId="77777777" w:rsidR="00F40B68" w:rsidRPr="00F40B68" w:rsidRDefault="00F40B68" w:rsidP="00F40B68">
            <w:pPr>
              <w:spacing w:before="0" w:after="0"/>
              <w:rPr>
                <w:rFonts w:ascii="Calibri" w:eastAsia="Times New Roman" w:hAnsi="Calibri" w:cs="Calibri"/>
                <w:b/>
                <w:bCs/>
                <w:color w:val="000000"/>
                <w:szCs w:val="20"/>
                <w:lang w:eastAsia="en-AU"/>
              </w:rPr>
            </w:pPr>
            <w:r w:rsidRPr="00F40B68">
              <w:rPr>
                <w:rFonts w:ascii="Calibri" w:eastAsia="Times New Roman" w:hAnsi="Calibri" w:cs="Calibri"/>
                <w:b/>
                <w:bCs/>
                <w:color w:val="000000"/>
                <w:szCs w:val="20"/>
                <w:lang w:eastAsia="en-AU"/>
              </w:rPr>
              <w:t>MBS Administration costs</w:t>
            </w:r>
          </w:p>
        </w:tc>
        <w:tc>
          <w:tcPr>
            <w:tcW w:w="1948" w:type="dxa"/>
            <w:tcBorders>
              <w:top w:val="single" w:sz="4" w:space="0" w:color="auto"/>
              <w:left w:val="nil"/>
              <w:bottom w:val="nil"/>
              <w:right w:val="nil"/>
            </w:tcBorders>
            <w:shd w:val="clear" w:color="auto" w:fill="auto"/>
            <w:noWrap/>
            <w:hideMark/>
          </w:tcPr>
          <w:p w14:paraId="3D483CBF" w14:textId="2EF72B68" w:rsidR="00F40B68" w:rsidRPr="00F40B68" w:rsidRDefault="00F40B68" w:rsidP="00F40B68">
            <w:pPr>
              <w:spacing w:before="0" w:after="0"/>
              <w:jc w:val="center"/>
              <w:rPr>
                <w:rFonts w:ascii="Calibri" w:eastAsia="Times New Roman" w:hAnsi="Calibri" w:cs="Calibri"/>
                <w:b/>
                <w:bCs/>
                <w:color w:val="000000"/>
                <w:szCs w:val="20"/>
                <w:lang w:eastAsia="en-AU"/>
              </w:rPr>
            </w:pPr>
            <w:r w:rsidRPr="00F40B68">
              <w:rPr>
                <w:rFonts w:ascii="Calibri" w:eastAsia="Times New Roman" w:hAnsi="Calibri" w:cs="Calibri"/>
                <w:b/>
                <w:bCs/>
                <w:color w:val="000000"/>
                <w:szCs w:val="20"/>
                <w:lang w:eastAsia="en-AU"/>
              </w:rPr>
              <w:t>Scheduled FEE</w:t>
            </w:r>
            <w:r>
              <w:rPr>
                <w:rFonts w:ascii="Calibri" w:eastAsia="Times New Roman" w:hAnsi="Calibri" w:cs="Calibri"/>
                <w:b/>
                <w:bCs/>
                <w:color w:val="000000"/>
                <w:szCs w:val="20"/>
                <w:lang w:eastAsia="en-AU"/>
              </w:rPr>
              <w:t xml:space="preserve"> (85%)</w:t>
            </w:r>
          </w:p>
        </w:tc>
        <w:tc>
          <w:tcPr>
            <w:tcW w:w="2111" w:type="dxa"/>
            <w:tcBorders>
              <w:top w:val="single" w:sz="4" w:space="0" w:color="auto"/>
              <w:left w:val="nil"/>
              <w:bottom w:val="nil"/>
              <w:right w:val="nil"/>
            </w:tcBorders>
            <w:shd w:val="clear" w:color="auto" w:fill="auto"/>
            <w:noWrap/>
            <w:hideMark/>
          </w:tcPr>
          <w:p w14:paraId="174F3FE9" w14:textId="77777777" w:rsidR="00F40B68" w:rsidRPr="00F40B68" w:rsidRDefault="00F40B68" w:rsidP="00F40B68">
            <w:pPr>
              <w:spacing w:before="0" w:after="0"/>
              <w:jc w:val="center"/>
              <w:rPr>
                <w:rFonts w:ascii="Calibri" w:eastAsia="Times New Roman" w:hAnsi="Calibri" w:cs="Calibri"/>
                <w:b/>
                <w:bCs/>
                <w:color w:val="000000"/>
                <w:szCs w:val="20"/>
                <w:lang w:eastAsia="en-AU"/>
              </w:rPr>
            </w:pPr>
            <w:r w:rsidRPr="00F40B68">
              <w:rPr>
                <w:rFonts w:ascii="Calibri" w:eastAsia="Times New Roman" w:hAnsi="Calibri" w:cs="Calibri"/>
                <w:b/>
                <w:bCs/>
                <w:color w:val="000000"/>
                <w:szCs w:val="20"/>
                <w:lang w:eastAsia="en-AU"/>
              </w:rPr>
              <w:t>Frequency</w:t>
            </w:r>
          </w:p>
        </w:tc>
        <w:tc>
          <w:tcPr>
            <w:tcW w:w="1103" w:type="dxa"/>
            <w:gridSpan w:val="2"/>
            <w:tcBorders>
              <w:top w:val="single" w:sz="4" w:space="0" w:color="auto"/>
              <w:left w:val="nil"/>
              <w:bottom w:val="nil"/>
              <w:right w:val="single" w:sz="4" w:space="0" w:color="auto"/>
            </w:tcBorders>
            <w:shd w:val="clear" w:color="auto" w:fill="auto"/>
            <w:noWrap/>
            <w:hideMark/>
          </w:tcPr>
          <w:p w14:paraId="56537CEC" w14:textId="65409FDE" w:rsidR="00F40B68" w:rsidRPr="00F40B68" w:rsidRDefault="00F40B68" w:rsidP="00F40B68">
            <w:pPr>
              <w:spacing w:before="0" w:after="0"/>
              <w:jc w:val="center"/>
              <w:rPr>
                <w:rFonts w:ascii="Calibri" w:eastAsia="Times New Roman" w:hAnsi="Calibri" w:cs="Calibri"/>
                <w:b/>
                <w:bCs/>
                <w:color w:val="000000"/>
                <w:szCs w:val="20"/>
                <w:lang w:eastAsia="en-AU"/>
              </w:rPr>
            </w:pPr>
            <w:r>
              <w:rPr>
                <w:rFonts w:ascii="Calibri" w:eastAsia="Times New Roman" w:hAnsi="Calibri" w:cs="Calibri"/>
                <w:b/>
                <w:bCs/>
                <w:color w:val="000000"/>
                <w:szCs w:val="20"/>
                <w:lang w:eastAsia="en-AU"/>
              </w:rPr>
              <w:t>Proxy cost</w:t>
            </w:r>
          </w:p>
        </w:tc>
      </w:tr>
      <w:tr w:rsidR="00F40B68" w:rsidRPr="00F40B68" w14:paraId="4F74CB9F" w14:textId="77777777" w:rsidTr="00371E18">
        <w:trPr>
          <w:trHeight w:val="20"/>
        </w:trPr>
        <w:tc>
          <w:tcPr>
            <w:tcW w:w="3864" w:type="dxa"/>
            <w:tcBorders>
              <w:top w:val="nil"/>
              <w:left w:val="single" w:sz="4" w:space="0" w:color="auto"/>
              <w:bottom w:val="nil"/>
              <w:right w:val="nil"/>
            </w:tcBorders>
            <w:shd w:val="clear" w:color="auto" w:fill="auto"/>
            <w:noWrap/>
            <w:hideMark/>
          </w:tcPr>
          <w:p w14:paraId="1572A757" w14:textId="2CE4396A" w:rsidR="00F40B68" w:rsidRPr="00F40B68" w:rsidRDefault="00F40B68" w:rsidP="00243E80">
            <w:pPr>
              <w:spacing w:before="0" w:after="0"/>
              <w:rPr>
                <w:rFonts w:ascii="Calibri" w:eastAsia="Times New Roman" w:hAnsi="Calibri" w:cs="Calibri"/>
                <w:color w:val="000000"/>
                <w:szCs w:val="20"/>
                <w:lang w:eastAsia="en-AU"/>
              </w:rPr>
            </w:pPr>
            <w:r w:rsidRPr="00F40B68">
              <w:rPr>
                <w:rFonts w:ascii="Calibri" w:eastAsia="Times New Roman" w:hAnsi="Calibri" w:cs="Calibri"/>
                <w:color w:val="000000"/>
                <w:szCs w:val="20"/>
                <w:lang w:eastAsia="en-AU"/>
              </w:rPr>
              <w:t xml:space="preserve">Standard of care </w:t>
            </w:r>
            <w:r w:rsidR="00243E80">
              <w:rPr>
                <w:rFonts w:ascii="Calibri" w:eastAsia="Times New Roman" w:hAnsi="Calibri" w:cs="Calibri"/>
                <w:color w:val="000000"/>
                <w:szCs w:val="20"/>
                <w:lang w:eastAsia="en-AU"/>
              </w:rPr>
              <w:t>injections</w:t>
            </w:r>
          </w:p>
        </w:tc>
        <w:tc>
          <w:tcPr>
            <w:tcW w:w="1948" w:type="dxa"/>
            <w:tcBorders>
              <w:top w:val="nil"/>
              <w:left w:val="nil"/>
              <w:bottom w:val="nil"/>
              <w:right w:val="nil"/>
            </w:tcBorders>
            <w:shd w:val="clear" w:color="auto" w:fill="auto"/>
            <w:noWrap/>
            <w:hideMark/>
          </w:tcPr>
          <w:p w14:paraId="6A8A6DD9" w14:textId="5F491869" w:rsidR="00F40B68" w:rsidRPr="00F40B68" w:rsidRDefault="00F40B68" w:rsidP="004C26FD">
            <w:pPr>
              <w:spacing w:before="0" w:after="0"/>
              <w:jc w:val="center"/>
              <w:rPr>
                <w:rFonts w:ascii="Calibri" w:eastAsia="Times New Roman" w:hAnsi="Calibri" w:cs="Calibri"/>
                <w:color w:val="000000"/>
                <w:szCs w:val="20"/>
                <w:lang w:eastAsia="en-AU"/>
              </w:rPr>
            </w:pPr>
            <w:r w:rsidRPr="00F40B68">
              <w:rPr>
                <w:rFonts w:ascii="Calibri" w:eastAsia="Times New Roman" w:hAnsi="Calibri" w:cs="Calibri"/>
                <w:color w:val="000000"/>
                <w:szCs w:val="20"/>
                <w:lang w:eastAsia="en-AU"/>
              </w:rPr>
              <w:t>$</w:t>
            </w:r>
            <w:r w:rsidR="004C26FD">
              <w:rPr>
                <w:rFonts w:ascii="Calibri" w:eastAsia="Times New Roman" w:hAnsi="Calibri" w:cs="Calibri"/>
                <w:color w:val="000000"/>
                <w:szCs w:val="20"/>
                <w:lang w:eastAsia="en-AU"/>
              </w:rPr>
              <w:t>266.01</w:t>
            </w:r>
          </w:p>
        </w:tc>
        <w:tc>
          <w:tcPr>
            <w:tcW w:w="2111" w:type="dxa"/>
            <w:tcBorders>
              <w:top w:val="nil"/>
              <w:left w:val="nil"/>
              <w:bottom w:val="nil"/>
              <w:right w:val="nil"/>
            </w:tcBorders>
            <w:shd w:val="clear" w:color="auto" w:fill="auto"/>
            <w:noWrap/>
            <w:hideMark/>
          </w:tcPr>
          <w:p w14:paraId="5BA51557" w14:textId="2CFA70C6" w:rsidR="00F40B68" w:rsidRPr="00F40B68" w:rsidRDefault="00F40B68" w:rsidP="00B07742">
            <w:pPr>
              <w:spacing w:before="0" w:after="0"/>
              <w:jc w:val="center"/>
              <w:rPr>
                <w:rFonts w:ascii="Calibri" w:eastAsia="Times New Roman" w:hAnsi="Calibri" w:cs="Calibri"/>
                <w:color w:val="000000"/>
                <w:szCs w:val="20"/>
                <w:lang w:eastAsia="en-AU"/>
              </w:rPr>
            </w:pPr>
            <w:r w:rsidRPr="00F40B68">
              <w:rPr>
                <w:rFonts w:ascii="Calibri" w:eastAsia="Times New Roman" w:hAnsi="Calibri" w:cs="Calibri"/>
                <w:color w:val="000000"/>
                <w:szCs w:val="20"/>
                <w:lang w:eastAsia="en-AU"/>
              </w:rPr>
              <w:t xml:space="preserve">per </w:t>
            </w:r>
            <w:r w:rsidR="00B07742">
              <w:rPr>
                <w:rFonts w:ascii="Calibri" w:eastAsia="Times New Roman" w:hAnsi="Calibri" w:cs="Calibri"/>
                <w:color w:val="000000"/>
                <w:szCs w:val="20"/>
                <w:lang w:eastAsia="en-AU"/>
              </w:rPr>
              <w:t>injection</w:t>
            </w:r>
          </w:p>
        </w:tc>
        <w:tc>
          <w:tcPr>
            <w:tcW w:w="1103" w:type="dxa"/>
            <w:gridSpan w:val="2"/>
            <w:tcBorders>
              <w:top w:val="nil"/>
              <w:left w:val="nil"/>
              <w:bottom w:val="nil"/>
              <w:right w:val="single" w:sz="4" w:space="0" w:color="auto"/>
            </w:tcBorders>
            <w:shd w:val="clear" w:color="auto" w:fill="auto"/>
            <w:noWrap/>
            <w:hideMark/>
          </w:tcPr>
          <w:p w14:paraId="67309FF1" w14:textId="7779F86E" w:rsidR="00F40B68" w:rsidRPr="00F40B68" w:rsidRDefault="00F40B68" w:rsidP="0054043C">
            <w:pPr>
              <w:spacing w:before="0" w:after="0"/>
              <w:jc w:val="center"/>
              <w:rPr>
                <w:rFonts w:ascii="Calibri" w:eastAsia="Times New Roman" w:hAnsi="Calibri" w:cs="Calibri"/>
                <w:color w:val="000000"/>
                <w:szCs w:val="20"/>
                <w:lang w:eastAsia="en-AU"/>
              </w:rPr>
            </w:pPr>
            <w:r w:rsidRPr="00F40B68">
              <w:rPr>
                <w:rFonts w:ascii="Calibri" w:eastAsia="Times New Roman" w:hAnsi="Calibri" w:cs="Calibri"/>
                <w:color w:val="000000"/>
                <w:szCs w:val="20"/>
                <w:lang w:eastAsia="en-AU"/>
              </w:rPr>
              <w:t>#42738</w:t>
            </w:r>
          </w:p>
        </w:tc>
      </w:tr>
      <w:tr w:rsidR="00F40B68" w:rsidRPr="00F40B68" w14:paraId="161C2194" w14:textId="77777777" w:rsidTr="00E44AFE">
        <w:trPr>
          <w:trHeight w:val="20"/>
        </w:trPr>
        <w:tc>
          <w:tcPr>
            <w:tcW w:w="3864" w:type="dxa"/>
            <w:tcBorders>
              <w:top w:val="nil"/>
              <w:left w:val="single" w:sz="4" w:space="0" w:color="auto"/>
              <w:bottom w:val="nil"/>
              <w:right w:val="nil"/>
            </w:tcBorders>
            <w:shd w:val="clear" w:color="auto" w:fill="auto"/>
            <w:noWrap/>
            <w:vAlign w:val="center"/>
            <w:hideMark/>
          </w:tcPr>
          <w:p w14:paraId="3CCFF351" w14:textId="355353CC" w:rsidR="00F40B68" w:rsidRPr="00F40B68" w:rsidRDefault="00243E80" w:rsidP="00E44AFE">
            <w:pPr>
              <w:spacing w:before="0" w:after="0"/>
              <w:rPr>
                <w:rFonts w:ascii="Calibri" w:eastAsia="Times New Roman" w:hAnsi="Calibri" w:cs="Calibri"/>
                <w:color w:val="000000"/>
                <w:szCs w:val="20"/>
                <w:lang w:eastAsia="en-AU"/>
              </w:rPr>
            </w:pPr>
            <w:r>
              <w:rPr>
                <w:rFonts w:ascii="Calibri" w:eastAsia="Times New Roman" w:hAnsi="Calibri" w:cs="Calibri"/>
                <w:color w:val="000000"/>
                <w:szCs w:val="20"/>
                <w:lang w:eastAsia="en-AU"/>
              </w:rPr>
              <w:t>PDS –</w:t>
            </w:r>
            <w:r w:rsidR="00F40B68" w:rsidRPr="00F40B68">
              <w:rPr>
                <w:rFonts w:ascii="Calibri" w:eastAsia="Times New Roman" w:hAnsi="Calibri" w:cs="Calibri"/>
                <w:color w:val="000000"/>
                <w:szCs w:val="20"/>
                <w:lang w:eastAsia="en-AU"/>
              </w:rPr>
              <w:t xml:space="preserve"> </w:t>
            </w:r>
            <w:r>
              <w:rPr>
                <w:rFonts w:ascii="Calibri" w:eastAsia="Times New Roman" w:hAnsi="Calibri" w:cs="Calibri"/>
                <w:color w:val="000000"/>
                <w:szCs w:val="20"/>
                <w:lang w:eastAsia="en-AU"/>
              </w:rPr>
              <w:t>Initial fill and i</w:t>
            </w:r>
            <w:r w:rsidR="00F40B68" w:rsidRPr="00F40B68">
              <w:rPr>
                <w:rFonts w:ascii="Calibri" w:eastAsia="Times New Roman" w:hAnsi="Calibri" w:cs="Calibri"/>
                <w:color w:val="000000"/>
                <w:szCs w:val="20"/>
                <w:lang w:eastAsia="en-AU"/>
              </w:rPr>
              <w:t>mplantation</w:t>
            </w:r>
          </w:p>
        </w:tc>
        <w:tc>
          <w:tcPr>
            <w:tcW w:w="1948" w:type="dxa"/>
            <w:tcBorders>
              <w:top w:val="nil"/>
              <w:left w:val="nil"/>
              <w:bottom w:val="nil"/>
              <w:right w:val="nil"/>
            </w:tcBorders>
            <w:shd w:val="clear" w:color="auto" w:fill="auto"/>
            <w:noWrap/>
            <w:vAlign w:val="center"/>
            <w:hideMark/>
          </w:tcPr>
          <w:p w14:paraId="10B65055" w14:textId="19F32C0F" w:rsidR="00F40B68" w:rsidRPr="00F40B68" w:rsidRDefault="00F40B68" w:rsidP="00E44AFE">
            <w:pPr>
              <w:spacing w:before="0" w:after="0"/>
              <w:jc w:val="center"/>
              <w:rPr>
                <w:rFonts w:ascii="Calibri" w:eastAsia="Times New Roman" w:hAnsi="Calibri" w:cs="Calibri"/>
                <w:color w:val="000000"/>
                <w:szCs w:val="20"/>
                <w:lang w:eastAsia="en-AU"/>
              </w:rPr>
            </w:pPr>
            <w:r w:rsidRPr="00F40B68">
              <w:rPr>
                <w:rFonts w:ascii="Calibri" w:eastAsia="Times New Roman" w:hAnsi="Calibri" w:cs="Calibri"/>
                <w:color w:val="000000"/>
                <w:szCs w:val="20"/>
                <w:lang w:eastAsia="en-AU"/>
              </w:rPr>
              <w:t>$</w:t>
            </w:r>
            <w:r w:rsidR="004C26FD">
              <w:t>1,014.20</w:t>
            </w:r>
          </w:p>
        </w:tc>
        <w:tc>
          <w:tcPr>
            <w:tcW w:w="2111" w:type="dxa"/>
            <w:tcBorders>
              <w:top w:val="nil"/>
              <w:left w:val="nil"/>
              <w:bottom w:val="nil"/>
              <w:right w:val="nil"/>
            </w:tcBorders>
            <w:shd w:val="clear" w:color="auto" w:fill="auto"/>
            <w:noWrap/>
            <w:vAlign w:val="center"/>
            <w:hideMark/>
          </w:tcPr>
          <w:p w14:paraId="3D34818E" w14:textId="77777777" w:rsidR="00F40B68" w:rsidRPr="00F40B68" w:rsidRDefault="00F40B68" w:rsidP="00E44AFE">
            <w:pPr>
              <w:spacing w:before="0" w:after="0"/>
              <w:jc w:val="center"/>
              <w:rPr>
                <w:rFonts w:ascii="Calibri" w:eastAsia="Times New Roman" w:hAnsi="Calibri" w:cs="Calibri"/>
                <w:color w:val="000000"/>
                <w:szCs w:val="20"/>
                <w:lang w:eastAsia="en-AU"/>
              </w:rPr>
            </w:pPr>
            <w:r w:rsidRPr="00F40B68">
              <w:rPr>
                <w:rFonts w:ascii="Calibri" w:eastAsia="Times New Roman" w:hAnsi="Calibri" w:cs="Calibri"/>
                <w:color w:val="000000"/>
                <w:szCs w:val="20"/>
                <w:lang w:eastAsia="en-AU"/>
              </w:rPr>
              <w:t>once-off; implantation</w:t>
            </w:r>
          </w:p>
        </w:tc>
        <w:tc>
          <w:tcPr>
            <w:tcW w:w="1103" w:type="dxa"/>
            <w:gridSpan w:val="2"/>
            <w:tcBorders>
              <w:top w:val="nil"/>
              <w:left w:val="nil"/>
              <w:bottom w:val="nil"/>
              <w:right w:val="single" w:sz="4" w:space="0" w:color="auto"/>
            </w:tcBorders>
            <w:shd w:val="clear" w:color="auto" w:fill="auto"/>
            <w:noWrap/>
            <w:vAlign w:val="center"/>
            <w:hideMark/>
          </w:tcPr>
          <w:p w14:paraId="225AF2AA" w14:textId="3FD83CAB" w:rsidR="00F40B68" w:rsidRPr="00F40B68" w:rsidRDefault="00F40B68" w:rsidP="00E44AFE">
            <w:pPr>
              <w:spacing w:before="0" w:after="0"/>
              <w:jc w:val="center"/>
              <w:rPr>
                <w:rFonts w:ascii="Calibri" w:eastAsia="Times New Roman" w:hAnsi="Calibri" w:cs="Calibri"/>
                <w:color w:val="000000"/>
                <w:szCs w:val="20"/>
                <w:lang w:eastAsia="en-AU"/>
              </w:rPr>
            </w:pPr>
            <w:r w:rsidRPr="00F40B68">
              <w:rPr>
                <w:rFonts w:ascii="Calibri" w:eastAsia="Times New Roman" w:hAnsi="Calibri" w:cs="Calibri"/>
                <w:color w:val="000000"/>
                <w:szCs w:val="20"/>
                <w:lang w:eastAsia="en-AU"/>
              </w:rPr>
              <w:t>#42752</w:t>
            </w:r>
            <w:r w:rsidR="00E44AFE">
              <w:rPr>
                <w:rFonts w:ascii="Calibri" w:eastAsia="Times New Roman" w:hAnsi="Calibri" w:cs="Calibri"/>
                <w:color w:val="000000"/>
                <w:szCs w:val="20"/>
                <w:lang w:eastAsia="en-AU"/>
              </w:rPr>
              <w:t xml:space="preserve"> / #42746</w:t>
            </w:r>
          </w:p>
        </w:tc>
      </w:tr>
      <w:tr w:rsidR="00F40B68" w:rsidRPr="00F40B68" w14:paraId="045598B8" w14:textId="77777777" w:rsidTr="00371E18">
        <w:trPr>
          <w:trHeight w:val="20"/>
        </w:trPr>
        <w:tc>
          <w:tcPr>
            <w:tcW w:w="3864" w:type="dxa"/>
            <w:tcBorders>
              <w:top w:val="nil"/>
              <w:left w:val="single" w:sz="4" w:space="0" w:color="auto"/>
              <w:bottom w:val="single" w:sz="4" w:space="0" w:color="auto"/>
              <w:right w:val="nil"/>
            </w:tcBorders>
            <w:shd w:val="clear" w:color="auto" w:fill="auto"/>
            <w:noWrap/>
            <w:hideMark/>
          </w:tcPr>
          <w:p w14:paraId="5040D89F" w14:textId="0B02F966" w:rsidR="00F40B68" w:rsidRPr="00F40B68" w:rsidRDefault="00243E80" w:rsidP="00F40B68">
            <w:pPr>
              <w:spacing w:before="0" w:after="0"/>
              <w:rPr>
                <w:rFonts w:ascii="Calibri" w:eastAsia="Times New Roman" w:hAnsi="Calibri" w:cs="Calibri"/>
                <w:color w:val="000000"/>
                <w:szCs w:val="20"/>
                <w:lang w:eastAsia="en-AU"/>
              </w:rPr>
            </w:pPr>
            <w:r>
              <w:rPr>
                <w:rFonts w:ascii="Calibri" w:eastAsia="Times New Roman" w:hAnsi="Calibri" w:cs="Calibri"/>
                <w:color w:val="000000"/>
                <w:szCs w:val="20"/>
                <w:lang w:eastAsia="en-AU"/>
              </w:rPr>
              <w:t>PDS</w:t>
            </w:r>
            <w:r w:rsidR="002E6FDB">
              <w:rPr>
                <w:rFonts w:ascii="Calibri" w:eastAsia="Times New Roman" w:hAnsi="Calibri" w:cs="Calibri"/>
                <w:color w:val="000000"/>
                <w:szCs w:val="20"/>
                <w:lang w:eastAsia="en-AU"/>
              </w:rPr>
              <w:t xml:space="preserve"> –</w:t>
            </w:r>
            <w:r w:rsidR="002E6FDB" w:rsidRPr="00F40B68">
              <w:rPr>
                <w:rFonts w:ascii="Calibri" w:eastAsia="Times New Roman" w:hAnsi="Calibri" w:cs="Calibri"/>
                <w:color w:val="000000"/>
                <w:szCs w:val="20"/>
                <w:lang w:eastAsia="en-AU"/>
              </w:rPr>
              <w:t xml:space="preserve"> </w:t>
            </w:r>
            <w:r w:rsidR="00F40B68" w:rsidRPr="00F40B68">
              <w:rPr>
                <w:rFonts w:ascii="Calibri" w:eastAsia="Times New Roman" w:hAnsi="Calibri" w:cs="Calibri"/>
                <w:color w:val="000000"/>
                <w:szCs w:val="20"/>
                <w:lang w:eastAsia="en-AU"/>
              </w:rPr>
              <w:t>Refill-Exchange</w:t>
            </w:r>
          </w:p>
        </w:tc>
        <w:tc>
          <w:tcPr>
            <w:tcW w:w="1948" w:type="dxa"/>
            <w:tcBorders>
              <w:top w:val="nil"/>
              <w:left w:val="nil"/>
              <w:bottom w:val="single" w:sz="4" w:space="0" w:color="auto"/>
              <w:right w:val="nil"/>
            </w:tcBorders>
            <w:shd w:val="clear" w:color="auto" w:fill="auto"/>
            <w:noWrap/>
            <w:hideMark/>
          </w:tcPr>
          <w:p w14:paraId="62C32BE5" w14:textId="6C1D2B44" w:rsidR="00F40B68" w:rsidRPr="00F40B68" w:rsidRDefault="004C26FD" w:rsidP="00F40B68">
            <w:pPr>
              <w:spacing w:before="0" w:after="0"/>
              <w:jc w:val="center"/>
              <w:rPr>
                <w:rFonts w:ascii="Calibri" w:eastAsia="Times New Roman" w:hAnsi="Calibri" w:cs="Calibri"/>
                <w:color w:val="000000"/>
                <w:szCs w:val="20"/>
                <w:lang w:eastAsia="en-AU"/>
              </w:rPr>
            </w:pPr>
            <w:r>
              <w:rPr>
                <w:rFonts w:ascii="Calibri" w:eastAsia="Times New Roman" w:hAnsi="Calibri" w:cs="Calibri"/>
                <w:color w:val="000000"/>
                <w:szCs w:val="20"/>
                <w:lang w:eastAsia="en-AU"/>
              </w:rPr>
              <w:t>$266.01</w:t>
            </w:r>
          </w:p>
        </w:tc>
        <w:tc>
          <w:tcPr>
            <w:tcW w:w="2111" w:type="dxa"/>
            <w:tcBorders>
              <w:top w:val="nil"/>
              <w:left w:val="nil"/>
              <w:bottom w:val="single" w:sz="4" w:space="0" w:color="auto"/>
              <w:right w:val="nil"/>
            </w:tcBorders>
            <w:shd w:val="clear" w:color="auto" w:fill="auto"/>
            <w:noWrap/>
            <w:hideMark/>
          </w:tcPr>
          <w:p w14:paraId="7477CBC0" w14:textId="77777777" w:rsidR="00F40B68" w:rsidRPr="00F40B68" w:rsidRDefault="00F40B68" w:rsidP="00F40B68">
            <w:pPr>
              <w:spacing w:before="0" w:after="0"/>
              <w:jc w:val="center"/>
              <w:rPr>
                <w:rFonts w:ascii="Calibri" w:eastAsia="Times New Roman" w:hAnsi="Calibri" w:cs="Calibri"/>
                <w:color w:val="000000"/>
                <w:szCs w:val="20"/>
                <w:lang w:eastAsia="en-AU"/>
              </w:rPr>
            </w:pPr>
            <w:r w:rsidRPr="00F40B68">
              <w:rPr>
                <w:rFonts w:ascii="Calibri" w:eastAsia="Times New Roman" w:hAnsi="Calibri" w:cs="Calibri"/>
                <w:color w:val="000000"/>
                <w:szCs w:val="20"/>
                <w:lang w:eastAsia="en-AU"/>
              </w:rPr>
              <w:t>per refill-exchange</w:t>
            </w:r>
          </w:p>
        </w:tc>
        <w:tc>
          <w:tcPr>
            <w:tcW w:w="1103" w:type="dxa"/>
            <w:gridSpan w:val="2"/>
            <w:tcBorders>
              <w:top w:val="nil"/>
              <w:left w:val="nil"/>
              <w:bottom w:val="single" w:sz="4" w:space="0" w:color="auto"/>
              <w:right w:val="single" w:sz="4" w:space="0" w:color="auto"/>
            </w:tcBorders>
            <w:shd w:val="clear" w:color="auto" w:fill="auto"/>
            <w:noWrap/>
            <w:hideMark/>
          </w:tcPr>
          <w:p w14:paraId="32D0839B" w14:textId="2CBA0669" w:rsidR="00F40B68" w:rsidRPr="00F40B68" w:rsidRDefault="00F40B68" w:rsidP="0054043C">
            <w:pPr>
              <w:spacing w:before="0" w:after="0"/>
              <w:jc w:val="center"/>
              <w:rPr>
                <w:rFonts w:ascii="Calibri" w:eastAsia="Times New Roman" w:hAnsi="Calibri" w:cs="Calibri"/>
                <w:color w:val="000000"/>
                <w:szCs w:val="20"/>
                <w:lang w:eastAsia="en-AU"/>
              </w:rPr>
            </w:pPr>
            <w:r w:rsidRPr="00F40B68">
              <w:rPr>
                <w:rFonts w:ascii="Calibri" w:eastAsia="Times New Roman" w:hAnsi="Calibri" w:cs="Calibri"/>
                <w:color w:val="000000"/>
                <w:szCs w:val="20"/>
                <w:lang w:eastAsia="en-AU"/>
              </w:rPr>
              <w:t>#42738</w:t>
            </w:r>
          </w:p>
        </w:tc>
      </w:tr>
      <w:tr w:rsidR="00F40B68" w:rsidRPr="00F40B68" w14:paraId="31F0C3F1" w14:textId="77777777" w:rsidTr="00371E18">
        <w:trPr>
          <w:trHeight w:val="20"/>
        </w:trPr>
        <w:tc>
          <w:tcPr>
            <w:tcW w:w="3864" w:type="dxa"/>
            <w:tcBorders>
              <w:top w:val="nil"/>
              <w:left w:val="nil"/>
              <w:bottom w:val="nil"/>
              <w:right w:val="nil"/>
            </w:tcBorders>
            <w:shd w:val="clear" w:color="auto" w:fill="auto"/>
            <w:noWrap/>
            <w:vAlign w:val="bottom"/>
            <w:hideMark/>
          </w:tcPr>
          <w:p w14:paraId="62D0824A" w14:textId="77777777" w:rsidR="00F40B68" w:rsidRPr="00F40B68" w:rsidRDefault="00F40B68" w:rsidP="00003417">
            <w:pPr>
              <w:spacing w:before="0" w:after="0"/>
              <w:rPr>
                <w:rFonts w:ascii="Calibri" w:eastAsia="Times New Roman" w:hAnsi="Calibri" w:cs="Calibri"/>
                <w:color w:val="000000"/>
                <w:szCs w:val="20"/>
                <w:lang w:eastAsia="en-AU"/>
              </w:rPr>
            </w:pPr>
          </w:p>
        </w:tc>
        <w:tc>
          <w:tcPr>
            <w:tcW w:w="1948" w:type="dxa"/>
            <w:tcBorders>
              <w:top w:val="nil"/>
              <w:left w:val="nil"/>
              <w:bottom w:val="nil"/>
              <w:right w:val="nil"/>
            </w:tcBorders>
            <w:shd w:val="clear" w:color="auto" w:fill="auto"/>
            <w:noWrap/>
            <w:vAlign w:val="bottom"/>
            <w:hideMark/>
          </w:tcPr>
          <w:p w14:paraId="74233A9B" w14:textId="77777777" w:rsidR="00F40B68" w:rsidRPr="00F40B68" w:rsidRDefault="00F40B68" w:rsidP="00003417">
            <w:pPr>
              <w:spacing w:before="0" w:after="0"/>
              <w:rPr>
                <w:rFonts w:ascii="Times New Roman" w:eastAsia="Times New Roman" w:hAnsi="Times New Roman" w:cs="Times New Roman"/>
                <w:szCs w:val="20"/>
                <w:lang w:eastAsia="en-AU"/>
              </w:rPr>
            </w:pPr>
          </w:p>
        </w:tc>
        <w:tc>
          <w:tcPr>
            <w:tcW w:w="2111" w:type="dxa"/>
            <w:tcBorders>
              <w:top w:val="nil"/>
              <w:left w:val="nil"/>
              <w:bottom w:val="nil"/>
              <w:right w:val="nil"/>
            </w:tcBorders>
            <w:shd w:val="clear" w:color="auto" w:fill="auto"/>
            <w:noWrap/>
            <w:vAlign w:val="bottom"/>
            <w:hideMark/>
          </w:tcPr>
          <w:p w14:paraId="068C3177" w14:textId="77777777" w:rsidR="00F40B68" w:rsidRPr="00F40B68" w:rsidRDefault="00F40B68" w:rsidP="00003417">
            <w:pPr>
              <w:spacing w:before="0" w:after="0"/>
              <w:rPr>
                <w:rFonts w:ascii="Times New Roman" w:eastAsia="Times New Roman" w:hAnsi="Times New Roman" w:cs="Times New Roman"/>
                <w:szCs w:val="20"/>
                <w:lang w:eastAsia="en-AU"/>
              </w:rPr>
            </w:pPr>
          </w:p>
        </w:tc>
        <w:tc>
          <w:tcPr>
            <w:tcW w:w="1103" w:type="dxa"/>
            <w:gridSpan w:val="2"/>
            <w:tcBorders>
              <w:top w:val="nil"/>
              <w:left w:val="nil"/>
              <w:bottom w:val="nil"/>
              <w:right w:val="nil"/>
            </w:tcBorders>
            <w:shd w:val="clear" w:color="auto" w:fill="auto"/>
            <w:noWrap/>
            <w:vAlign w:val="bottom"/>
            <w:hideMark/>
          </w:tcPr>
          <w:p w14:paraId="4B525E19" w14:textId="77777777" w:rsidR="00F40B68" w:rsidRPr="00F40B68" w:rsidRDefault="00F40B68" w:rsidP="00003417">
            <w:pPr>
              <w:spacing w:before="0" w:after="0"/>
              <w:rPr>
                <w:rFonts w:ascii="Times New Roman" w:eastAsia="Times New Roman" w:hAnsi="Times New Roman" w:cs="Times New Roman"/>
                <w:szCs w:val="20"/>
                <w:lang w:eastAsia="en-AU"/>
              </w:rPr>
            </w:pPr>
          </w:p>
        </w:tc>
      </w:tr>
      <w:tr w:rsidR="00F40B68" w:rsidRPr="00F40B68" w14:paraId="089D8839" w14:textId="77777777" w:rsidTr="00B07742">
        <w:trPr>
          <w:trHeight w:val="20"/>
        </w:trPr>
        <w:tc>
          <w:tcPr>
            <w:tcW w:w="3864" w:type="dxa"/>
            <w:tcBorders>
              <w:top w:val="nil"/>
              <w:left w:val="nil"/>
              <w:bottom w:val="single" w:sz="4" w:space="0" w:color="auto"/>
              <w:right w:val="nil"/>
            </w:tcBorders>
            <w:shd w:val="clear" w:color="auto" w:fill="auto"/>
            <w:noWrap/>
            <w:vAlign w:val="bottom"/>
            <w:hideMark/>
          </w:tcPr>
          <w:p w14:paraId="7C99CCBD" w14:textId="77777777" w:rsidR="00F40B68" w:rsidRPr="00F40B68" w:rsidRDefault="00F40B68" w:rsidP="00003417">
            <w:pPr>
              <w:spacing w:before="0" w:after="0"/>
              <w:rPr>
                <w:rFonts w:ascii="Calibri" w:eastAsia="Times New Roman" w:hAnsi="Calibri" w:cs="Calibri"/>
                <w:b/>
                <w:bCs/>
                <w:color w:val="000000"/>
                <w:szCs w:val="20"/>
                <w:u w:val="single"/>
                <w:lang w:eastAsia="en-AU"/>
              </w:rPr>
            </w:pPr>
            <w:r w:rsidRPr="00F40B68">
              <w:rPr>
                <w:rFonts w:ascii="Calibri" w:eastAsia="Times New Roman" w:hAnsi="Calibri" w:cs="Calibri"/>
                <w:b/>
                <w:bCs/>
                <w:color w:val="000000"/>
                <w:szCs w:val="20"/>
                <w:u w:val="single"/>
                <w:lang w:eastAsia="en-AU"/>
              </w:rPr>
              <w:t>Illustrative MBS cost analysis</w:t>
            </w:r>
          </w:p>
        </w:tc>
        <w:tc>
          <w:tcPr>
            <w:tcW w:w="1948" w:type="dxa"/>
            <w:tcBorders>
              <w:top w:val="nil"/>
              <w:left w:val="nil"/>
              <w:bottom w:val="single" w:sz="4" w:space="0" w:color="auto"/>
              <w:right w:val="nil"/>
            </w:tcBorders>
            <w:shd w:val="clear" w:color="auto" w:fill="auto"/>
            <w:hideMark/>
          </w:tcPr>
          <w:p w14:paraId="335066D9" w14:textId="77777777" w:rsidR="00F40B68" w:rsidRPr="00F40B68" w:rsidRDefault="00F40B68" w:rsidP="00003417">
            <w:pPr>
              <w:spacing w:before="0" w:after="0"/>
              <w:rPr>
                <w:rFonts w:ascii="Calibri" w:eastAsia="Times New Roman" w:hAnsi="Calibri" w:cs="Calibri"/>
                <w:b/>
                <w:bCs/>
                <w:color w:val="000000"/>
                <w:szCs w:val="20"/>
                <w:u w:val="single"/>
                <w:lang w:eastAsia="en-AU"/>
              </w:rPr>
            </w:pPr>
          </w:p>
        </w:tc>
        <w:tc>
          <w:tcPr>
            <w:tcW w:w="2111" w:type="dxa"/>
            <w:tcBorders>
              <w:top w:val="nil"/>
              <w:left w:val="nil"/>
              <w:bottom w:val="single" w:sz="4" w:space="0" w:color="auto"/>
              <w:right w:val="nil"/>
            </w:tcBorders>
            <w:shd w:val="clear" w:color="auto" w:fill="auto"/>
            <w:hideMark/>
          </w:tcPr>
          <w:p w14:paraId="2E8653CC" w14:textId="77777777" w:rsidR="00F40B68" w:rsidRPr="00F40B68" w:rsidRDefault="00F40B68" w:rsidP="00003417">
            <w:pPr>
              <w:spacing w:before="0" w:after="0"/>
              <w:jc w:val="center"/>
              <w:rPr>
                <w:rFonts w:ascii="Times New Roman" w:eastAsia="Times New Roman" w:hAnsi="Times New Roman" w:cs="Times New Roman"/>
                <w:szCs w:val="20"/>
                <w:lang w:eastAsia="en-AU"/>
              </w:rPr>
            </w:pPr>
          </w:p>
        </w:tc>
        <w:tc>
          <w:tcPr>
            <w:tcW w:w="1103" w:type="dxa"/>
            <w:gridSpan w:val="2"/>
            <w:tcBorders>
              <w:top w:val="nil"/>
              <w:left w:val="nil"/>
              <w:bottom w:val="single" w:sz="4" w:space="0" w:color="auto"/>
              <w:right w:val="nil"/>
            </w:tcBorders>
            <w:shd w:val="clear" w:color="auto" w:fill="auto"/>
            <w:noWrap/>
            <w:vAlign w:val="bottom"/>
            <w:hideMark/>
          </w:tcPr>
          <w:p w14:paraId="72497F17" w14:textId="77777777" w:rsidR="00F40B68" w:rsidRPr="00F40B68" w:rsidRDefault="00F40B68" w:rsidP="00003417">
            <w:pPr>
              <w:spacing w:before="0" w:after="0"/>
              <w:rPr>
                <w:rFonts w:ascii="Times New Roman" w:eastAsia="Times New Roman" w:hAnsi="Times New Roman" w:cs="Times New Roman"/>
                <w:szCs w:val="20"/>
                <w:lang w:eastAsia="en-AU"/>
              </w:rPr>
            </w:pPr>
          </w:p>
        </w:tc>
      </w:tr>
      <w:tr w:rsidR="00B07742" w:rsidRPr="00F40B68" w14:paraId="36CCC06A" w14:textId="77777777" w:rsidTr="00B07742">
        <w:trPr>
          <w:trHeight w:val="20"/>
        </w:trPr>
        <w:tc>
          <w:tcPr>
            <w:tcW w:w="3864" w:type="dxa"/>
            <w:tcBorders>
              <w:top w:val="single" w:sz="4" w:space="0" w:color="auto"/>
              <w:left w:val="single" w:sz="4" w:space="0" w:color="auto"/>
              <w:bottom w:val="single" w:sz="4" w:space="0" w:color="auto"/>
              <w:right w:val="single" w:sz="4" w:space="0" w:color="auto"/>
            </w:tcBorders>
            <w:shd w:val="clear" w:color="auto" w:fill="auto"/>
            <w:noWrap/>
          </w:tcPr>
          <w:p w14:paraId="1E7FB7B8" w14:textId="6BF04AB7" w:rsidR="00B07742" w:rsidRPr="00B07742" w:rsidRDefault="00B07742" w:rsidP="00B07742">
            <w:pPr>
              <w:spacing w:before="0" w:after="0"/>
              <w:rPr>
                <w:rFonts w:ascii="Calibri" w:eastAsia="Times New Roman" w:hAnsi="Calibri" w:cs="Calibri"/>
                <w:b/>
                <w:bCs/>
                <w:color w:val="000000"/>
                <w:szCs w:val="20"/>
                <w:lang w:eastAsia="en-AU"/>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14:paraId="24B7CC7C" w14:textId="0CE36532" w:rsidR="00B07742" w:rsidRPr="00F40B68" w:rsidRDefault="008D5509" w:rsidP="008D5509">
            <w:pPr>
              <w:spacing w:before="0" w:after="0"/>
              <w:jc w:val="center"/>
              <w:rPr>
                <w:rFonts w:ascii="Calibri" w:eastAsia="Times New Roman" w:hAnsi="Calibri" w:cs="Calibri"/>
                <w:b/>
                <w:bCs/>
                <w:color w:val="000000"/>
                <w:szCs w:val="20"/>
                <w:lang w:eastAsia="en-AU"/>
              </w:rPr>
            </w:pPr>
            <w:r>
              <w:rPr>
                <w:rFonts w:ascii="Calibri" w:eastAsia="Times New Roman" w:hAnsi="Calibri" w:cs="Calibri"/>
                <w:b/>
                <w:bCs/>
                <w:color w:val="000000"/>
                <w:szCs w:val="20"/>
                <w:lang w:eastAsia="en-AU"/>
              </w:rPr>
              <w:t>Standard of care</w:t>
            </w:r>
          </w:p>
        </w:tc>
        <w:tc>
          <w:tcPr>
            <w:tcW w:w="2111" w:type="dxa"/>
            <w:tcBorders>
              <w:top w:val="single" w:sz="4" w:space="0" w:color="auto"/>
              <w:left w:val="single" w:sz="4" w:space="0" w:color="auto"/>
              <w:bottom w:val="single" w:sz="4" w:space="0" w:color="auto"/>
              <w:right w:val="single" w:sz="4" w:space="0" w:color="auto"/>
            </w:tcBorders>
            <w:shd w:val="clear" w:color="auto" w:fill="auto"/>
          </w:tcPr>
          <w:p w14:paraId="3A2C8531" w14:textId="74A78978" w:rsidR="00B07742" w:rsidRPr="00F40B68" w:rsidRDefault="00B07742" w:rsidP="00B07742">
            <w:pPr>
              <w:spacing w:before="0" w:after="0"/>
              <w:jc w:val="center"/>
              <w:rPr>
                <w:rFonts w:ascii="Calibri" w:eastAsia="Times New Roman" w:hAnsi="Calibri" w:cs="Calibri"/>
                <w:b/>
                <w:bCs/>
                <w:color w:val="000000"/>
                <w:szCs w:val="20"/>
                <w:lang w:eastAsia="en-AU"/>
              </w:rPr>
            </w:pPr>
            <w:r w:rsidRPr="00B07742">
              <w:rPr>
                <w:rFonts w:ascii="Calibri" w:eastAsia="Times New Roman" w:hAnsi="Calibri" w:cs="Calibri"/>
                <w:b/>
                <w:bCs/>
                <w:color w:val="000000"/>
                <w:szCs w:val="20"/>
                <w:lang w:eastAsia="en-AU"/>
              </w:rPr>
              <w:t>Port Delivery System</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58FE81F7" w14:textId="5A51C358" w:rsidR="00B07742" w:rsidRPr="00F40B68" w:rsidRDefault="00B07742" w:rsidP="00B07742">
            <w:pPr>
              <w:spacing w:before="0" w:after="0"/>
              <w:jc w:val="center"/>
              <w:rPr>
                <w:rFonts w:ascii="Calibri" w:eastAsia="Times New Roman" w:hAnsi="Calibri" w:cs="Calibri"/>
                <w:b/>
                <w:bCs/>
                <w:color w:val="000000"/>
                <w:szCs w:val="20"/>
                <w:lang w:eastAsia="en-AU"/>
              </w:rPr>
            </w:pPr>
            <w:r w:rsidRPr="00B07742">
              <w:rPr>
                <w:rFonts w:ascii="Calibri" w:eastAsia="Times New Roman" w:hAnsi="Calibri" w:cs="Calibri"/>
                <w:b/>
                <w:bCs/>
                <w:color w:val="000000"/>
                <w:szCs w:val="20"/>
                <w:lang w:eastAsia="en-AU"/>
              </w:rPr>
              <w:t>Difference</w:t>
            </w:r>
          </w:p>
        </w:tc>
      </w:tr>
      <w:tr w:rsidR="00B07742" w:rsidRPr="00F40B68" w14:paraId="0A7587DA" w14:textId="77777777" w:rsidTr="00B07742">
        <w:trPr>
          <w:trHeight w:val="20"/>
        </w:trPr>
        <w:tc>
          <w:tcPr>
            <w:tcW w:w="902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63B4290" w14:textId="41F70813" w:rsidR="00B07742" w:rsidRPr="00F40B68" w:rsidRDefault="00B07742" w:rsidP="00B07742">
            <w:pPr>
              <w:spacing w:before="0" w:after="0"/>
              <w:rPr>
                <w:rFonts w:ascii="Calibri" w:eastAsia="Times New Roman" w:hAnsi="Calibri" w:cs="Calibri"/>
                <w:color w:val="000000"/>
                <w:szCs w:val="20"/>
                <w:lang w:eastAsia="en-AU"/>
              </w:rPr>
            </w:pPr>
            <w:r w:rsidRPr="00B07742">
              <w:rPr>
                <w:b/>
              </w:rPr>
              <w:t>Year 1</w:t>
            </w:r>
          </w:p>
        </w:tc>
      </w:tr>
      <w:tr w:rsidR="00B07742" w:rsidRPr="00F40B68" w14:paraId="685B9234" w14:textId="77777777" w:rsidTr="00B07742">
        <w:trPr>
          <w:trHeight w:val="20"/>
        </w:trPr>
        <w:tc>
          <w:tcPr>
            <w:tcW w:w="9026" w:type="dxa"/>
            <w:gridSpan w:val="5"/>
            <w:tcBorders>
              <w:top w:val="single" w:sz="4" w:space="0" w:color="auto"/>
              <w:left w:val="single" w:sz="4" w:space="0" w:color="auto"/>
              <w:bottom w:val="nil"/>
              <w:right w:val="single" w:sz="4" w:space="0" w:color="auto"/>
            </w:tcBorders>
            <w:shd w:val="clear" w:color="auto" w:fill="F2F2F2" w:themeFill="background1" w:themeFillShade="F2"/>
            <w:noWrap/>
          </w:tcPr>
          <w:p w14:paraId="625169FA" w14:textId="0748FDD9" w:rsidR="00B07742" w:rsidRPr="00F40B68" w:rsidRDefault="00B07742" w:rsidP="00B07742">
            <w:pPr>
              <w:spacing w:before="0" w:after="0"/>
              <w:rPr>
                <w:rFonts w:ascii="Calibri" w:eastAsia="Times New Roman" w:hAnsi="Calibri" w:cs="Calibri"/>
                <w:color w:val="000000"/>
                <w:szCs w:val="20"/>
                <w:lang w:eastAsia="en-AU"/>
              </w:rPr>
            </w:pPr>
            <w:r>
              <w:t>I</w:t>
            </w:r>
            <w:r w:rsidRPr="007144FB">
              <w:t>nitial fill and implantation</w:t>
            </w:r>
          </w:p>
        </w:tc>
      </w:tr>
      <w:tr w:rsidR="00B07742" w:rsidRPr="00F40B68" w14:paraId="1704928A" w14:textId="77777777" w:rsidTr="00B07742">
        <w:trPr>
          <w:trHeight w:val="20"/>
        </w:trPr>
        <w:tc>
          <w:tcPr>
            <w:tcW w:w="3864" w:type="dxa"/>
            <w:tcBorders>
              <w:top w:val="single" w:sz="4" w:space="0" w:color="auto"/>
              <w:left w:val="single" w:sz="4" w:space="0" w:color="auto"/>
              <w:bottom w:val="nil"/>
              <w:right w:val="single" w:sz="4" w:space="0" w:color="auto"/>
            </w:tcBorders>
            <w:shd w:val="clear" w:color="auto" w:fill="auto"/>
            <w:noWrap/>
          </w:tcPr>
          <w:p w14:paraId="59E95B22" w14:textId="4E2119C0" w:rsidR="00B07742" w:rsidRPr="00F40B68" w:rsidRDefault="00B07742" w:rsidP="00B07742">
            <w:pPr>
              <w:spacing w:before="0" w:after="0"/>
              <w:rPr>
                <w:rFonts w:ascii="Calibri" w:eastAsia="Times New Roman" w:hAnsi="Calibri" w:cs="Calibri"/>
                <w:color w:val="000000"/>
                <w:szCs w:val="20"/>
                <w:lang w:eastAsia="en-AU"/>
              </w:rPr>
            </w:pPr>
            <w:r w:rsidRPr="007144FB">
              <w:t xml:space="preserve">Cost </w:t>
            </w:r>
            <w:r>
              <w:t>per</w:t>
            </w:r>
            <w:r w:rsidRPr="007144FB">
              <w:t xml:space="preserve"> initial fill and implantation</w:t>
            </w:r>
          </w:p>
        </w:tc>
        <w:tc>
          <w:tcPr>
            <w:tcW w:w="4059" w:type="dxa"/>
            <w:gridSpan w:val="2"/>
            <w:tcBorders>
              <w:top w:val="single" w:sz="4" w:space="0" w:color="auto"/>
              <w:left w:val="single" w:sz="4" w:space="0" w:color="auto"/>
              <w:bottom w:val="single" w:sz="4" w:space="0" w:color="auto"/>
              <w:right w:val="single" w:sz="4" w:space="0" w:color="auto"/>
            </w:tcBorders>
            <w:shd w:val="clear" w:color="auto" w:fill="auto"/>
            <w:noWrap/>
          </w:tcPr>
          <w:p w14:paraId="63144221" w14:textId="4868E75B" w:rsidR="00B07742" w:rsidRPr="00F40B68" w:rsidRDefault="00E44AFE" w:rsidP="00B07742">
            <w:pPr>
              <w:spacing w:before="0" w:after="0"/>
              <w:jc w:val="center"/>
              <w:rPr>
                <w:rFonts w:ascii="Times New Roman" w:eastAsia="Times New Roman" w:hAnsi="Times New Roman" w:cs="Times New Roman"/>
                <w:szCs w:val="20"/>
                <w:lang w:eastAsia="en-AU"/>
              </w:rPr>
            </w:pPr>
            <w:r>
              <w:t>$1,014.20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14:paraId="1B39E4A0" w14:textId="29F2C78C" w:rsidR="00B07742" w:rsidRPr="00F40B68" w:rsidRDefault="00B07742" w:rsidP="00B07742">
            <w:pPr>
              <w:spacing w:before="0" w:after="0"/>
              <w:jc w:val="center"/>
              <w:rPr>
                <w:rFonts w:ascii="Calibri" w:eastAsia="Times New Roman" w:hAnsi="Calibri" w:cs="Calibri"/>
                <w:color w:val="000000"/>
                <w:szCs w:val="20"/>
                <w:lang w:eastAsia="en-AU"/>
              </w:rPr>
            </w:pPr>
          </w:p>
        </w:tc>
      </w:tr>
      <w:tr w:rsidR="00B07742" w:rsidRPr="00F40B68" w14:paraId="16A8196F" w14:textId="77777777" w:rsidTr="00B07742">
        <w:trPr>
          <w:trHeight w:val="20"/>
        </w:trPr>
        <w:tc>
          <w:tcPr>
            <w:tcW w:w="3864" w:type="dxa"/>
            <w:tcBorders>
              <w:top w:val="nil"/>
              <w:left w:val="single" w:sz="4" w:space="0" w:color="auto"/>
              <w:bottom w:val="single" w:sz="4" w:space="0" w:color="auto"/>
              <w:right w:val="single" w:sz="4" w:space="0" w:color="auto"/>
            </w:tcBorders>
            <w:shd w:val="clear" w:color="auto" w:fill="auto"/>
            <w:noWrap/>
          </w:tcPr>
          <w:p w14:paraId="25766564" w14:textId="3C7206E8" w:rsidR="00B07742" w:rsidRPr="00F40B68" w:rsidRDefault="00B07742" w:rsidP="00B07742">
            <w:pPr>
              <w:spacing w:before="0" w:after="0"/>
              <w:rPr>
                <w:rFonts w:ascii="Calibri" w:eastAsia="Times New Roman" w:hAnsi="Calibri" w:cs="Calibri"/>
                <w:b/>
                <w:bCs/>
                <w:color w:val="000000"/>
                <w:szCs w:val="20"/>
                <w:u w:val="single"/>
                <w:lang w:eastAsia="en-AU"/>
              </w:rPr>
            </w:pPr>
            <w:r>
              <w:t>F</w:t>
            </w:r>
            <w:r w:rsidRPr="007144FB">
              <w:t>requency</w:t>
            </w:r>
          </w:p>
        </w:tc>
        <w:tc>
          <w:tcPr>
            <w:tcW w:w="1948" w:type="dxa"/>
            <w:tcBorders>
              <w:top w:val="single" w:sz="4" w:space="0" w:color="auto"/>
              <w:left w:val="single" w:sz="4" w:space="0" w:color="auto"/>
              <w:bottom w:val="single" w:sz="4" w:space="0" w:color="auto"/>
              <w:right w:val="single" w:sz="4" w:space="0" w:color="auto"/>
            </w:tcBorders>
            <w:shd w:val="clear" w:color="auto" w:fill="auto"/>
            <w:noWrap/>
          </w:tcPr>
          <w:p w14:paraId="4A1C7C14" w14:textId="7F7EFC0C" w:rsidR="00B07742" w:rsidRPr="00F40B68" w:rsidRDefault="00B07742" w:rsidP="00B07742">
            <w:pPr>
              <w:spacing w:before="0" w:after="0"/>
              <w:jc w:val="center"/>
              <w:rPr>
                <w:rFonts w:ascii="Calibri" w:eastAsia="Times New Roman" w:hAnsi="Calibri" w:cs="Calibri"/>
                <w:b/>
                <w:bCs/>
                <w:color w:val="000000"/>
                <w:szCs w:val="20"/>
                <w:u w:val="single"/>
                <w:lang w:eastAsia="en-AU"/>
              </w:rPr>
            </w:pPr>
            <w:r w:rsidRPr="007144FB">
              <w:t>0</w:t>
            </w:r>
          </w:p>
        </w:tc>
        <w:tc>
          <w:tcPr>
            <w:tcW w:w="2111" w:type="dxa"/>
            <w:tcBorders>
              <w:top w:val="single" w:sz="4" w:space="0" w:color="auto"/>
              <w:left w:val="single" w:sz="4" w:space="0" w:color="auto"/>
              <w:bottom w:val="single" w:sz="4" w:space="0" w:color="auto"/>
              <w:right w:val="single" w:sz="4" w:space="0" w:color="auto"/>
            </w:tcBorders>
            <w:shd w:val="clear" w:color="auto" w:fill="auto"/>
            <w:noWrap/>
          </w:tcPr>
          <w:p w14:paraId="41D0E16F" w14:textId="45986453" w:rsidR="00B07742" w:rsidRPr="00F40B68" w:rsidRDefault="00B07742" w:rsidP="00B07742">
            <w:pPr>
              <w:spacing w:before="0" w:after="0"/>
              <w:jc w:val="center"/>
              <w:rPr>
                <w:rFonts w:ascii="Times New Roman" w:eastAsia="Times New Roman" w:hAnsi="Times New Roman" w:cs="Times New Roman"/>
                <w:szCs w:val="20"/>
                <w:lang w:eastAsia="en-AU"/>
              </w:rPr>
            </w:pPr>
            <w:r w:rsidRPr="007144FB">
              <w:t>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14:paraId="056534D2" w14:textId="024DA9AF" w:rsidR="00B07742" w:rsidRPr="00F40B68" w:rsidRDefault="00B07742" w:rsidP="00B07742">
            <w:pPr>
              <w:spacing w:before="0" w:after="0"/>
              <w:jc w:val="center"/>
              <w:rPr>
                <w:rFonts w:ascii="Calibri" w:eastAsia="Times New Roman" w:hAnsi="Calibri" w:cs="Calibri"/>
                <w:color w:val="000000"/>
                <w:szCs w:val="20"/>
                <w:lang w:eastAsia="en-AU"/>
              </w:rPr>
            </w:pPr>
            <w:r w:rsidRPr="007144FB">
              <w:t>1.00</w:t>
            </w:r>
          </w:p>
        </w:tc>
      </w:tr>
      <w:tr w:rsidR="00B07742" w:rsidRPr="00F40B68" w14:paraId="60612D28" w14:textId="77777777" w:rsidTr="00B07742">
        <w:trPr>
          <w:trHeight w:val="20"/>
        </w:trPr>
        <w:tc>
          <w:tcPr>
            <w:tcW w:w="902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4886A41" w14:textId="55C4063D" w:rsidR="00B07742" w:rsidRPr="00B07742" w:rsidRDefault="00B07742" w:rsidP="00C857F5">
            <w:pPr>
              <w:spacing w:before="0" w:after="0"/>
            </w:pPr>
            <w:r>
              <w:t>Administering injections / refill-exchange</w:t>
            </w:r>
          </w:p>
        </w:tc>
      </w:tr>
      <w:tr w:rsidR="00B07742" w:rsidRPr="00F40B68" w14:paraId="39463464" w14:textId="77777777" w:rsidTr="00B07742">
        <w:trPr>
          <w:trHeight w:val="20"/>
        </w:trPr>
        <w:tc>
          <w:tcPr>
            <w:tcW w:w="3864" w:type="dxa"/>
            <w:tcBorders>
              <w:top w:val="single" w:sz="4" w:space="0" w:color="auto"/>
              <w:left w:val="single" w:sz="4" w:space="0" w:color="auto"/>
              <w:bottom w:val="nil"/>
              <w:right w:val="single" w:sz="4" w:space="0" w:color="auto"/>
            </w:tcBorders>
            <w:shd w:val="clear" w:color="auto" w:fill="auto"/>
            <w:noWrap/>
          </w:tcPr>
          <w:p w14:paraId="49E47331" w14:textId="782BEF01" w:rsidR="00B07742" w:rsidRPr="00F40B68" w:rsidRDefault="00B07742" w:rsidP="00B07742">
            <w:pPr>
              <w:spacing w:before="0" w:after="0"/>
              <w:rPr>
                <w:rFonts w:ascii="Calibri" w:eastAsia="Times New Roman" w:hAnsi="Calibri" w:cs="Calibri"/>
                <w:color w:val="000000"/>
                <w:szCs w:val="20"/>
                <w:lang w:eastAsia="en-AU"/>
              </w:rPr>
            </w:pPr>
            <w:r w:rsidRPr="007144FB">
              <w:t xml:space="preserve">Cost </w:t>
            </w:r>
            <w:r>
              <w:t>per</w:t>
            </w:r>
            <w:r w:rsidRPr="007144FB">
              <w:t xml:space="preserve"> </w:t>
            </w:r>
            <w:r>
              <w:t xml:space="preserve">injection </w:t>
            </w:r>
            <w:r w:rsidRPr="007144FB">
              <w:t>/ refill-exchange</w:t>
            </w:r>
          </w:p>
        </w:tc>
        <w:tc>
          <w:tcPr>
            <w:tcW w:w="4059" w:type="dxa"/>
            <w:gridSpan w:val="2"/>
            <w:tcBorders>
              <w:top w:val="single" w:sz="4" w:space="0" w:color="auto"/>
              <w:left w:val="single" w:sz="4" w:space="0" w:color="auto"/>
              <w:bottom w:val="single" w:sz="4" w:space="0" w:color="auto"/>
              <w:right w:val="single" w:sz="4" w:space="0" w:color="auto"/>
            </w:tcBorders>
            <w:shd w:val="clear" w:color="auto" w:fill="auto"/>
            <w:noWrap/>
          </w:tcPr>
          <w:p w14:paraId="6BC71495" w14:textId="51E9997D" w:rsidR="00B07742" w:rsidRPr="00F40B68" w:rsidRDefault="00E44AFE" w:rsidP="00B07742">
            <w:pPr>
              <w:spacing w:before="0" w:after="0"/>
              <w:jc w:val="center"/>
              <w:rPr>
                <w:rFonts w:ascii="Times New Roman" w:eastAsia="Times New Roman" w:hAnsi="Times New Roman" w:cs="Times New Roman"/>
                <w:szCs w:val="20"/>
                <w:lang w:eastAsia="en-AU"/>
              </w:rPr>
            </w:pPr>
            <w:r w:rsidRPr="00E44AFE">
              <w:t>$266.01</w:t>
            </w:r>
            <w:r w:rsidRPr="00E44AFE">
              <w:tab/>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14:paraId="4F6D9050" w14:textId="064DAE07" w:rsidR="00B07742" w:rsidRPr="00F40B68" w:rsidRDefault="00B07742" w:rsidP="00B07742">
            <w:pPr>
              <w:spacing w:before="0" w:after="0"/>
              <w:jc w:val="center"/>
              <w:rPr>
                <w:rFonts w:ascii="Calibri" w:eastAsia="Times New Roman" w:hAnsi="Calibri" w:cs="Calibri"/>
                <w:color w:val="000000"/>
                <w:szCs w:val="20"/>
                <w:lang w:eastAsia="en-AU"/>
              </w:rPr>
            </w:pPr>
          </w:p>
        </w:tc>
      </w:tr>
      <w:tr w:rsidR="00243E80" w:rsidRPr="00F40B68" w14:paraId="67C8A818" w14:textId="77777777" w:rsidTr="00B07742">
        <w:trPr>
          <w:trHeight w:val="20"/>
        </w:trPr>
        <w:tc>
          <w:tcPr>
            <w:tcW w:w="3864" w:type="dxa"/>
            <w:tcBorders>
              <w:top w:val="nil"/>
              <w:left w:val="single" w:sz="4" w:space="0" w:color="auto"/>
              <w:bottom w:val="nil"/>
              <w:right w:val="single" w:sz="4" w:space="0" w:color="auto"/>
            </w:tcBorders>
            <w:shd w:val="clear" w:color="auto" w:fill="auto"/>
            <w:noWrap/>
          </w:tcPr>
          <w:p w14:paraId="5554A64F" w14:textId="2A5E5816" w:rsidR="00243E80" w:rsidRPr="00B07742" w:rsidRDefault="00243E80" w:rsidP="00243E80">
            <w:pPr>
              <w:spacing w:before="0" w:after="0"/>
            </w:pPr>
            <w:r>
              <w:t>F</w:t>
            </w:r>
            <w:r w:rsidRPr="007144FB">
              <w:t>requency</w:t>
            </w:r>
          </w:p>
        </w:tc>
        <w:tc>
          <w:tcPr>
            <w:tcW w:w="1948" w:type="dxa"/>
            <w:tcBorders>
              <w:top w:val="single" w:sz="4" w:space="0" w:color="auto"/>
              <w:left w:val="single" w:sz="4" w:space="0" w:color="auto"/>
              <w:bottom w:val="single" w:sz="4" w:space="0" w:color="auto"/>
              <w:right w:val="single" w:sz="4" w:space="0" w:color="auto"/>
            </w:tcBorders>
            <w:shd w:val="clear" w:color="auto" w:fill="auto"/>
            <w:noWrap/>
          </w:tcPr>
          <w:p w14:paraId="2B7D1791" w14:textId="48662EA1" w:rsidR="00243E80" w:rsidRPr="00F40B68" w:rsidRDefault="00243E80" w:rsidP="00243E80">
            <w:pPr>
              <w:spacing w:before="0" w:after="0"/>
              <w:ind w:firstLineChars="100" w:firstLine="200"/>
              <w:jc w:val="center"/>
              <w:rPr>
                <w:rFonts w:ascii="Calibri" w:eastAsia="Times New Roman" w:hAnsi="Calibri" w:cs="Calibri"/>
                <w:color w:val="000000"/>
                <w:szCs w:val="20"/>
                <w:lang w:eastAsia="en-AU"/>
              </w:rPr>
            </w:pPr>
            <w:r w:rsidRPr="00FE204B">
              <w:t>13</w:t>
            </w:r>
          </w:p>
        </w:tc>
        <w:tc>
          <w:tcPr>
            <w:tcW w:w="2111" w:type="dxa"/>
            <w:tcBorders>
              <w:top w:val="single" w:sz="4" w:space="0" w:color="auto"/>
              <w:left w:val="single" w:sz="4" w:space="0" w:color="auto"/>
              <w:bottom w:val="single" w:sz="4" w:space="0" w:color="auto"/>
              <w:right w:val="single" w:sz="4" w:space="0" w:color="auto"/>
            </w:tcBorders>
            <w:shd w:val="clear" w:color="auto" w:fill="auto"/>
            <w:noWrap/>
          </w:tcPr>
          <w:p w14:paraId="78FDDA9B" w14:textId="0E61745E" w:rsidR="00243E80" w:rsidRPr="00F40B68" w:rsidRDefault="00243E80" w:rsidP="00243E80">
            <w:pPr>
              <w:spacing w:before="0" w:after="0"/>
              <w:jc w:val="center"/>
              <w:rPr>
                <w:rFonts w:ascii="Calibri" w:eastAsia="Times New Roman" w:hAnsi="Calibri" w:cs="Calibri"/>
                <w:color w:val="000000"/>
                <w:szCs w:val="20"/>
                <w:lang w:eastAsia="en-AU"/>
              </w:rPr>
            </w:pPr>
            <w:r w:rsidRPr="00FE204B">
              <w:t>1.17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14:paraId="3DB870B5" w14:textId="3725C191" w:rsidR="00243E80" w:rsidRPr="00B07742" w:rsidRDefault="00243E80" w:rsidP="00243E80">
            <w:pPr>
              <w:spacing w:before="0" w:after="0"/>
              <w:jc w:val="center"/>
              <w:rPr>
                <w:rFonts w:ascii="Calibri" w:eastAsia="Times New Roman" w:hAnsi="Calibri" w:cs="Calibri"/>
                <w:color w:val="FF0000"/>
                <w:szCs w:val="20"/>
                <w:lang w:eastAsia="en-AU"/>
              </w:rPr>
            </w:pPr>
            <w:r w:rsidRPr="00C13BDE">
              <w:rPr>
                <w:color w:val="FF0000"/>
              </w:rPr>
              <w:t>-11.83</w:t>
            </w:r>
          </w:p>
        </w:tc>
      </w:tr>
      <w:tr w:rsidR="00C13BDE" w:rsidRPr="00F40B68" w14:paraId="7E10AA94" w14:textId="77777777" w:rsidTr="00C857F5">
        <w:trPr>
          <w:trHeight w:val="20"/>
        </w:trPr>
        <w:tc>
          <w:tcPr>
            <w:tcW w:w="902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5E57043" w14:textId="04941562" w:rsidR="00C13BDE" w:rsidRPr="00B07742" w:rsidRDefault="00C13BDE" w:rsidP="00C857F5">
            <w:pPr>
              <w:spacing w:before="0" w:after="0"/>
            </w:pPr>
            <w:r w:rsidRPr="00C13BDE">
              <w:t>Total administration cost</w:t>
            </w:r>
          </w:p>
        </w:tc>
      </w:tr>
      <w:tr w:rsidR="00243E80" w:rsidRPr="00F40B68" w14:paraId="03FF5C99" w14:textId="77777777" w:rsidTr="00B07742">
        <w:trPr>
          <w:trHeight w:val="20"/>
        </w:trPr>
        <w:tc>
          <w:tcPr>
            <w:tcW w:w="3864" w:type="dxa"/>
            <w:tcBorders>
              <w:top w:val="nil"/>
              <w:left w:val="single" w:sz="4" w:space="0" w:color="auto"/>
              <w:bottom w:val="single" w:sz="4" w:space="0" w:color="auto"/>
              <w:right w:val="single" w:sz="4" w:space="0" w:color="auto"/>
            </w:tcBorders>
            <w:shd w:val="clear" w:color="auto" w:fill="auto"/>
            <w:noWrap/>
          </w:tcPr>
          <w:p w14:paraId="17E5807B" w14:textId="1C53CDEE" w:rsidR="00243E80" w:rsidRPr="00B07742" w:rsidRDefault="00C13BDE" w:rsidP="00243E80">
            <w:pPr>
              <w:spacing w:before="0" w:after="0"/>
            </w:pPr>
            <w:r>
              <w:rPr>
                <w:i/>
              </w:rPr>
              <w:t>Year 1 administration cost</w:t>
            </w:r>
          </w:p>
        </w:tc>
        <w:tc>
          <w:tcPr>
            <w:tcW w:w="1948" w:type="dxa"/>
            <w:tcBorders>
              <w:top w:val="single" w:sz="4" w:space="0" w:color="auto"/>
              <w:left w:val="single" w:sz="4" w:space="0" w:color="auto"/>
              <w:bottom w:val="single" w:sz="4" w:space="0" w:color="auto"/>
              <w:right w:val="single" w:sz="4" w:space="0" w:color="auto"/>
            </w:tcBorders>
            <w:shd w:val="clear" w:color="auto" w:fill="auto"/>
            <w:noWrap/>
          </w:tcPr>
          <w:p w14:paraId="5A7EA767" w14:textId="3FC7B4CB" w:rsidR="00243E80" w:rsidRPr="00B07742" w:rsidRDefault="00243E80" w:rsidP="00243E80">
            <w:pPr>
              <w:spacing w:before="0" w:after="0"/>
              <w:jc w:val="center"/>
              <w:rPr>
                <w:rFonts w:ascii="Calibri" w:eastAsia="Times New Roman" w:hAnsi="Calibri" w:cs="Calibri"/>
                <w:i/>
                <w:color w:val="000000"/>
                <w:szCs w:val="20"/>
                <w:lang w:eastAsia="en-AU"/>
              </w:rPr>
            </w:pPr>
            <w:r w:rsidRPr="00FE204B">
              <w:t>$3,427.45</w:t>
            </w:r>
          </w:p>
        </w:tc>
        <w:tc>
          <w:tcPr>
            <w:tcW w:w="2111" w:type="dxa"/>
            <w:tcBorders>
              <w:top w:val="single" w:sz="4" w:space="0" w:color="auto"/>
              <w:left w:val="single" w:sz="4" w:space="0" w:color="auto"/>
              <w:bottom w:val="single" w:sz="4" w:space="0" w:color="auto"/>
              <w:right w:val="single" w:sz="4" w:space="0" w:color="auto"/>
            </w:tcBorders>
            <w:shd w:val="clear" w:color="auto" w:fill="auto"/>
            <w:noWrap/>
          </w:tcPr>
          <w:p w14:paraId="47E90783" w14:textId="37BAFACB" w:rsidR="00243E80" w:rsidRPr="00B07742" w:rsidRDefault="00243E80" w:rsidP="00243E80">
            <w:pPr>
              <w:spacing w:before="0" w:after="0"/>
              <w:jc w:val="center"/>
              <w:rPr>
                <w:rFonts w:ascii="Calibri" w:eastAsia="Times New Roman" w:hAnsi="Calibri" w:cs="Calibri"/>
                <w:i/>
                <w:color w:val="000000"/>
                <w:szCs w:val="20"/>
                <w:lang w:eastAsia="en-AU"/>
              </w:rPr>
            </w:pPr>
            <w:r w:rsidRPr="00FE204B">
              <w:t>$1,480.80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14:paraId="51D21869" w14:textId="67A87A76" w:rsidR="00243E80" w:rsidRPr="00B07742" w:rsidRDefault="00E44AFE" w:rsidP="00243E80">
            <w:pPr>
              <w:spacing w:before="0" w:after="0"/>
              <w:jc w:val="center"/>
              <w:rPr>
                <w:rFonts w:ascii="Calibri" w:eastAsia="Times New Roman" w:hAnsi="Calibri" w:cs="Calibri"/>
                <w:i/>
                <w:color w:val="FF0000"/>
                <w:szCs w:val="20"/>
                <w:lang w:eastAsia="en-AU"/>
              </w:rPr>
            </w:pPr>
            <w:r w:rsidRPr="00E44AFE">
              <w:rPr>
                <w:color w:val="FF0000"/>
              </w:rPr>
              <w:t>-$2,133.56</w:t>
            </w:r>
          </w:p>
        </w:tc>
      </w:tr>
      <w:tr w:rsidR="00B07742" w:rsidRPr="00F40B68" w14:paraId="35E9CD35" w14:textId="77777777" w:rsidTr="00B07742">
        <w:trPr>
          <w:trHeight w:val="20"/>
        </w:trPr>
        <w:tc>
          <w:tcPr>
            <w:tcW w:w="902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897782B" w14:textId="0DFA1403" w:rsidR="00B07742" w:rsidRPr="00F40B68" w:rsidRDefault="00B07742" w:rsidP="00B07742">
            <w:pPr>
              <w:spacing w:before="0" w:after="0"/>
              <w:rPr>
                <w:rFonts w:ascii="Calibri" w:eastAsia="Times New Roman" w:hAnsi="Calibri" w:cs="Calibri"/>
                <w:color w:val="000000"/>
                <w:szCs w:val="20"/>
                <w:lang w:eastAsia="en-AU"/>
              </w:rPr>
            </w:pPr>
            <w:r w:rsidRPr="00B07742">
              <w:rPr>
                <w:b/>
              </w:rPr>
              <w:t>Subsequent years</w:t>
            </w:r>
          </w:p>
        </w:tc>
      </w:tr>
      <w:tr w:rsidR="00B07742" w:rsidRPr="00F40B68" w14:paraId="11DF11FD" w14:textId="77777777" w:rsidTr="00C857F5">
        <w:trPr>
          <w:trHeight w:val="20"/>
        </w:trPr>
        <w:tc>
          <w:tcPr>
            <w:tcW w:w="902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2C104BA" w14:textId="77777777" w:rsidR="00B07742" w:rsidRPr="00B07742" w:rsidRDefault="00B07742" w:rsidP="00C857F5">
            <w:pPr>
              <w:spacing w:before="0" w:after="0"/>
            </w:pPr>
            <w:r>
              <w:t>Administering injections / refill-exchange</w:t>
            </w:r>
          </w:p>
        </w:tc>
      </w:tr>
      <w:tr w:rsidR="00B12E51" w:rsidRPr="00F40B68" w14:paraId="231766E0" w14:textId="77777777" w:rsidTr="00B12E51">
        <w:trPr>
          <w:trHeight w:val="20"/>
        </w:trPr>
        <w:tc>
          <w:tcPr>
            <w:tcW w:w="3864" w:type="dxa"/>
            <w:tcBorders>
              <w:top w:val="nil"/>
              <w:left w:val="single" w:sz="4" w:space="0" w:color="auto"/>
              <w:right w:val="single" w:sz="4" w:space="0" w:color="auto"/>
            </w:tcBorders>
            <w:shd w:val="clear" w:color="auto" w:fill="auto"/>
            <w:noWrap/>
          </w:tcPr>
          <w:p w14:paraId="2CBFCE41" w14:textId="77777777" w:rsidR="00B12E51" w:rsidRPr="00F40B68" w:rsidRDefault="00B12E51" w:rsidP="00C857F5">
            <w:pPr>
              <w:spacing w:before="0" w:after="0"/>
              <w:rPr>
                <w:rFonts w:ascii="Calibri" w:eastAsia="Times New Roman" w:hAnsi="Calibri" w:cs="Calibri"/>
                <w:i/>
                <w:iCs/>
                <w:color w:val="000000"/>
                <w:szCs w:val="20"/>
                <w:lang w:eastAsia="en-AU"/>
              </w:rPr>
            </w:pPr>
            <w:r w:rsidRPr="007144FB">
              <w:t xml:space="preserve">Cost </w:t>
            </w:r>
            <w:r>
              <w:t>per</w:t>
            </w:r>
            <w:r w:rsidRPr="007144FB">
              <w:t xml:space="preserve"> </w:t>
            </w:r>
            <w:r>
              <w:t xml:space="preserve">injection </w:t>
            </w:r>
            <w:r w:rsidRPr="007144FB">
              <w:t>/ refill-exchange</w:t>
            </w:r>
          </w:p>
        </w:tc>
        <w:tc>
          <w:tcPr>
            <w:tcW w:w="4059" w:type="dxa"/>
            <w:gridSpan w:val="2"/>
            <w:tcBorders>
              <w:top w:val="single" w:sz="4" w:space="0" w:color="auto"/>
              <w:left w:val="single" w:sz="4" w:space="0" w:color="auto"/>
              <w:bottom w:val="single" w:sz="4" w:space="0" w:color="auto"/>
              <w:right w:val="single" w:sz="4" w:space="0" w:color="auto"/>
            </w:tcBorders>
            <w:shd w:val="clear" w:color="auto" w:fill="auto"/>
            <w:noWrap/>
          </w:tcPr>
          <w:p w14:paraId="55584DFB" w14:textId="0228903F" w:rsidR="00B12E51" w:rsidRPr="00F40B68" w:rsidRDefault="00B12E51" w:rsidP="00E44AFE">
            <w:pPr>
              <w:spacing w:before="0" w:after="0"/>
              <w:jc w:val="center"/>
              <w:rPr>
                <w:rFonts w:ascii="Calibri" w:eastAsia="Times New Roman" w:hAnsi="Calibri" w:cs="Calibri"/>
                <w:color w:val="000000"/>
                <w:szCs w:val="20"/>
                <w:lang w:eastAsia="en-AU"/>
              </w:rPr>
            </w:pPr>
            <w:r w:rsidRPr="004F6561">
              <w:t>$</w:t>
            </w:r>
            <w:r w:rsidR="00E44AFE">
              <w:t>266.01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14:paraId="37B48321" w14:textId="77777777" w:rsidR="00B12E51" w:rsidRPr="00B07742" w:rsidRDefault="00B12E51" w:rsidP="00C857F5">
            <w:pPr>
              <w:spacing w:before="0" w:after="0"/>
              <w:jc w:val="center"/>
              <w:rPr>
                <w:rFonts w:ascii="Calibri" w:eastAsia="Times New Roman" w:hAnsi="Calibri" w:cs="Calibri"/>
                <w:color w:val="FF0000"/>
                <w:szCs w:val="20"/>
                <w:lang w:eastAsia="en-AU"/>
              </w:rPr>
            </w:pPr>
          </w:p>
        </w:tc>
      </w:tr>
      <w:tr w:rsidR="00B07742" w:rsidRPr="00F40B68" w14:paraId="1B7E9209" w14:textId="77777777" w:rsidTr="00B12E51">
        <w:trPr>
          <w:trHeight w:val="20"/>
        </w:trPr>
        <w:tc>
          <w:tcPr>
            <w:tcW w:w="3864" w:type="dxa"/>
            <w:tcBorders>
              <w:left w:val="single" w:sz="4" w:space="0" w:color="auto"/>
              <w:right w:val="single" w:sz="4" w:space="0" w:color="auto"/>
            </w:tcBorders>
            <w:shd w:val="clear" w:color="auto" w:fill="auto"/>
            <w:noWrap/>
          </w:tcPr>
          <w:p w14:paraId="65723DF2" w14:textId="5FE710F9" w:rsidR="00B07742" w:rsidRPr="00F40B68" w:rsidRDefault="00B07742" w:rsidP="00B07742">
            <w:pPr>
              <w:spacing w:before="0" w:after="0"/>
              <w:rPr>
                <w:rFonts w:ascii="Calibri" w:eastAsia="Times New Roman" w:hAnsi="Calibri" w:cs="Calibri"/>
                <w:b/>
                <w:bCs/>
                <w:color w:val="000000"/>
                <w:szCs w:val="20"/>
                <w:u w:val="single"/>
                <w:lang w:eastAsia="en-AU"/>
              </w:rPr>
            </w:pPr>
            <w:r>
              <w:t>F</w:t>
            </w:r>
            <w:r w:rsidRPr="004F6561">
              <w:t>requency</w:t>
            </w:r>
          </w:p>
        </w:tc>
        <w:tc>
          <w:tcPr>
            <w:tcW w:w="1948" w:type="dxa"/>
            <w:tcBorders>
              <w:top w:val="single" w:sz="4" w:space="0" w:color="auto"/>
              <w:left w:val="single" w:sz="4" w:space="0" w:color="auto"/>
              <w:bottom w:val="single" w:sz="4" w:space="0" w:color="auto"/>
              <w:right w:val="single" w:sz="4" w:space="0" w:color="auto"/>
            </w:tcBorders>
            <w:shd w:val="clear" w:color="auto" w:fill="auto"/>
            <w:noWrap/>
          </w:tcPr>
          <w:p w14:paraId="6ABF68FE" w14:textId="5F9DE9EF" w:rsidR="00B07742" w:rsidRPr="00F40B68" w:rsidRDefault="00243E80" w:rsidP="00B07742">
            <w:pPr>
              <w:spacing w:before="0" w:after="0"/>
              <w:jc w:val="center"/>
              <w:rPr>
                <w:rFonts w:ascii="Calibri" w:eastAsia="Times New Roman" w:hAnsi="Calibri" w:cs="Calibri"/>
                <w:b/>
                <w:bCs/>
                <w:color w:val="000000"/>
                <w:szCs w:val="20"/>
                <w:u w:val="single"/>
                <w:lang w:eastAsia="en-AU"/>
              </w:rPr>
            </w:pPr>
            <w:r>
              <w:t>13</w:t>
            </w:r>
          </w:p>
        </w:tc>
        <w:tc>
          <w:tcPr>
            <w:tcW w:w="2111" w:type="dxa"/>
            <w:tcBorders>
              <w:top w:val="single" w:sz="4" w:space="0" w:color="auto"/>
              <w:left w:val="single" w:sz="4" w:space="0" w:color="auto"/>
              <w:bottom w:val="single" w:sz="4" w:space="0" w:color="auto"/>
              <w:right w:val="single" w:sz="4" w:space="0" w:color="auto"/>
            </w:tcBorders>
            <w:shd w:val="clear" w:color="auto" w:fill="auto"/>
            <w:noWrap/>
          </w:tcPr>
          <w:p w14:paraId="4C2BD0AF" w14:textId="5534D03E" w:rsidR="00B07742" w:rsidRPr="00F40B68" w:rsidRDefault="00B07742" w:rsidP="00B07742">
            <w:pPr>
              <w:spacing w:before="0" w:after="0"/>
              <w:jc w:val="center"/>
              <w:rPr>
                <w:rFonts w:ascii="Times New Roman" w:eastAsia="Times New Roman" w:hAnsi="Times New Roman" w:cs="Times New Roman"/>
                <w:szCs w:val="20"/>
                <w:lang w:eastAsia="en-AU"/>
              </w:rPr>
            </w:pPr>
            <w:r w:rsidRPr="004F6561">
              <w:t>2.17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14:paraId="47F19F71" w14:textId="3C3E9082" w:rsidR="00B07742" w:rsidRPr="00B07742" w:rsidRDefault="00B07742" w:rsidP="00243E80">
            <w:pPr>
              <w:spacing w:before="0" w:after="0"/>
              <w:jc w:val="center"/>
              <w:rPr>
                <w:rFonts w:ascii="Calibri" w:eastAsia="Times New Roman" w:hAnsi="Calibri" w:cs="Calibri"/>
                <w:color w:val="FF0000"/>
                <w:szCs w:val="20"/>
                <w:lang w:eastAsia="en-AU"/>
              </w:rPr>
            </w:pPr>
            <w:r w:rsidRPr="00B07742">
              <w:rPr>
                <w:color w:val="FF0000"/>
              </w:rPr>
              <w:t>-</w:t>
            </w:r>
            <w:r w:rsidR="00243E80">
              <w:rPr>
                <w:color w:val="FF0000"/>
              </w:rPr>
              <w:t>10</w:t>
            </w:r>
            <w:r w:rsidRPr="00B07742">
              <w:rPr>
                <w:color w:val="FF0000"/>
              </w:rPr>
              <w:t>.83</w:t>
            </w:r>
          </w:p>
        </w:tc>
      </w:tr>
      <w:tr w:rsidR="00C13BDE" w:rsidRPr="00F40B68" w14:paraId="33975607" w14:textId="77777777" w:rsidTr="00C857F5">
        <w:trPr>
          <w:trHeight w:val="20"/>
        </w:trPr>
        <w:tc>
          <w:tcPr>
            <w:tcW w:w="902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D4ED03B" w14:textId="77777777" w:rsidR="00C13BDE" w:rsidRPr="00B07742" w:rsidRDefault="00C13BDE" w:rsidP="00C857F5">
            <w:pPr>
              <w:spacing w:before="0" w:after="0"/>
            </w:pPr>
            <w:r w:rsidRPr="00C13BDE">
              <w:t>Total administration cost</w:t>
            </w:r>
          </w:p>
        </w:tc>
      </w:tr>
      <w:tr w:rsidR="00243E80" w:rsidRPr="00F40B68" w14:paraId="0418C455" w14:textId="77777777" w:rsidTr="00B12E51">
        <w:trPr>
          <w:trHeight w:val="20"/>
        </w:trPr>
        <w:tc>
          <w:tcPr>
            <w:tcW w:w="3864" w:type="dxa"/>
            <w:tcBorders>
              <w:left w:val="single" w:sz="4" w:space="0" w:color="auto"/>
              <w:bottom w:val="single" w:sz="4" w:space="0" w:color="auto"/>
              <w:right w:val="single" w:sz="4" w:space="0" w:color="auto"/>
            </w:tcBorders>
            <w:shd w:val="clear" w:color="auto" w:fill="auto"/>
            <w:noWrap/>
          </w:tcPr>
          <w:p w14:paraId="40462B8D" w14:textId="3FDF304A" w:rsidR="00243E80" w:rsidRPr="00B07742" w:rsidRDefault="00C13BDE" w:rsidP="00C13BDE">
            <w:pPr>
              <w:spacing w:before="0" w:after="0"/>
              <w:rPr>
                <w:rFonts w:ascii="Calibri" w:eastAsia="Times New Roman" w:hAnsi="Calibri" w:cs="Calibri"/>
                <w:b/>
                <w:bCs/>
                <w:i/>
                <w:color w:val="000000"/>
                <w:szCs w:val="20"/>
                <w:u w:val="single"/>
                <w:lang w:eastAsia="en-AU"/>
              </w:rPr>
            </w:pPr>
            <w:r>
              <w:rPr>
                <w:i/>
              </w:rPr>
              <w:t>Subsequent year administration cost</w:t>
            </w:r>
          </w:p>
        </w:tc>
        <w:tc>
          <w:tcPr>
            <w:tcW w:w="1948" w:type="dxa"/>
            <w:tcBorders>
              <w:top w:val="single" w:sz="4" w:space="0" w:color="auto"/>
              <w:left w:val="single" w:sz="4" w:space="0" w:color="auto"/>
              <w:bottom w:val="single" w:sz="4" w:space="0" w:color="auto"/>
              <w:right w:val="single" w:sz="4" w:space="0" w:color="auto"/>
            </w:tcBorders>
            <w:shd w:val="clear" w:color="auto" w:fill="auto"/>
            <w:noWrap/>
          </w:tcPr>
          <w:p w14:paraId="5F0184C8" w14:textId="43B3ACB2" w:rsidR="00243E80" w:rsidRPr="00B07742" w:rsidRDefault="00243E80" w:rsidP="00243E80">
            <w:pPr>
              <w:spacing w:before="0" w:after="0"/>
              <w:jc w:val="center"/>
              <w:rPr>
                <w:rFonts w:ascii="Calibri" w:eastAsia="Times New Roman" w:hAnsi="Calibri" w:cs="Calibri"/>
                <w:b/>
                <w:bCs/>
                <w:i/>
                <w:color w:val="000000"/>
                <w:szCs w:val="20"/>
                <w:u w:val="single"/>
                <w:lang w:eastAsia="en-AU"/>
              </w:rPr>
            </w:pPr>
            <w:r w:rsidRPr="00F56FCD">
              <w:t>$3,427.45</w:t>
            </w:r>
          </w:p>
        </w:tc>
        <w:tc>
          <w:tcPr>
            <w:tcW w:w="2111" w:type="dxa"/>
            <w:tcBorders>
              <w:top w:val="single" w:sz="4" w:space="0" w:color="auto"/>
              <w:left w:val="single" w:sz="4" w:space="0" w:color="auto"/>
              <w:bottom w:val="single" w:sz="4" w:space="0" w:color="auto"/>
              <w:right w:val="single" w:sz="4" w:space="0" w:color="auto"/>
            </w:tcBorders>
            <w:shd w:val="clear" w:color="auto" w:fill="auto"/>
            <w:noWrap/>
          </w:tcPr>
          <w:p w14:paraId="584FCE36" w14:textId="78D27C01" w:rsidR="00243E80" w:rsidRPr="00B07742" w:rsidRDefault="00243E80" w:rsidP="00243E80">
            <w:pPr>
              <w:spacing w:before="0" w:after="0"/>
              <w:jc w:val="center"/>
              <w:rPr>
                <w:rFonts w:ascii="Times New Roman" w:eastAsia="Times New Roman" w:hAnsi="Times New Roman" w:cs="Times New Roman"/>
                <w:i/>
                <w:szCs w:val="20"/>
                <w:lang w:eastAsia="en-AU"/>
              </w:rPr>
            </w:pPr>
            <w:r w:rsidRPr="00F56FCD">
              <w:t>$571.24</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14:paraId="08A6DA7E" w14:textId="4E029011" w:rsidR="00243E80" w:rsidRPr="00B07742" w:rsidRDefault="00E44AFE" w:rsidP="00243E80">
            <w:pPr>
              <w:spacing w:before="0" w:after="0"/>
              <w:jc w:val="center"/>
              <w:rPr>
                <w:rFonts w:ascii="Calibri" w:eastAsia="Times New Roman" w:hAnsi="Calibri" w:cs="Calibri"/>
                <w:i/>
                <w:color w:val="FF0000"/>
                <w:szCs w:val="20"/>
                <w:lang w:eastAsia="en-AU"/>
              </w:rPr>
            </w:pPr>
            <w:r w:rsidRPr="00E44AFE">
              <w:rPr>
                <w:color w:val="FF0000"/>
              </w:rPr>
              <w:t>-$2,881.75</w:t>
            </w:r>
          </w:p>
        </w:tc>
      </w:tr>
    </w:tbl>
    <w:p w14:paraId="233D89F5" w14:textId="77777777" w:rsidR="00740B93" w:rsidRPr="004308F0" w:rsidRDefault="00740B93" w:rsidP="00740B93">
      <w:pPr>
        <w:spacing w:before="0" w:after="0"/>
        <w:ind w:left="720" w:hanging="294"/>
        <w:rPr>
          <w:sz w:val="16"/>
        </w:rPr>
      </w:pPr>
      <w:r w:rsidRPr="004308F0">
        <w:rPr>
          <w:sz w:val="16"/>
        </w:rPr>
        <w:t xml:space="preserve">Source: MSAC Application </w:t>
      </w:r>
      <w:r>
        <w:rPr>
          <w:sz w:val="16"/>
        </w:rPr>
        <w:t>F</w:t>
      </w:r>
      <w:r w:rsidRPr="004308F0">
        <w:rPr>
          <w:sz w:val="16"/>
        </w:rPr>
        <w:t>orm calculations.xls</w:t>
      </w:r>
    </w:p>
    <w:p w14:paraId="5B66E4D3" w14:textId="2F381B86" w:rsidR="006C3F77" w:rsidRDefault="006C3F77">
      <w:pPr>
        <w:spacing w:before="0" w:after="200" w:line="276" w:lineRule="auto"/>
        <w:rPr>
          <w:b/>
          <w:szCs w:val="20"/>
        </w:rPr>
      </w:pPr>
    </w:p>
    <w:p w14:paraId="06FF5993" w14:textId="77777777" w:rsidR="00C172C7" w:rsidRDefault="00C172C7">
      <w:pPr>
        <w:spacing w:before="0" w:after="200" w:line="276" w:lineRule="auto"/>
        <w:rPr>
          <w:bCs/>
          <w:color w:val="4F81BD" w:themeColor="accent1"/>
          <w:sz w:val="40"/>
          <w:szCs w:val="32"/>
        </w:rPr>
      </w:pPr>
      <w:r>
        <w:br w:type="page"/>
      </w:r>
    </w:p>
    <w:p w14:paraId="1DB7F312" w14:textId="15A5717C" w:rsidR="006C3F77" w:rsidRDefault="006C3F77" w:rsidP="006C3F77">
      <w:pPr>
        <w:pStyle w:val="Heading1"/>
      </w:pPr>
      <w:r>
        <w:t xml:space="preserve">REFERENCES </w:t>
      </w:r>
    </w:p>
    <w:sdt>
      <w:sdtPr>
        <w:rPr>
          <w:bCs w:val="0"/>
          <w:color w:val="auto"/>
          <w:sz w:val="20"/>
          <w:szCs w:val="22"/>
        </w:rPr>
        <w:id w:val="738589291"/>
        <w:docPartObj>
          <w:docPartGallery w:val="Bibliographies"/>
          <w:docPartUnique/>
        </w:docPartObj>
      </w:sdtPr>
      <w:sdtContent>
        <w:sdt>
          <w:sdtPr>
            <w:id w:val="-573587230"/>
            <w:bibliography/>
          </w:sdtPr>
          <w:sdtEndPr>
            <w:rPr>
              <w:bCs w:val="0"/>
              <w:color w:val="auto"/>
              <w:sz w:val="20"/>
              <w:szCs w:val="22"/>
            </w:rPr>
          </w:sdtEndPr>
          <w:sdtContent>
            <w:p w14:paraId="0DC38017" w14:textId="1A012A86" w:rsidR="00CC71D6" w:rsidRDefault="006C3F77" w:rsidP="00120204">
              <w:pPr>
                <w:pStyle w:val="Heading1"/>
                <w:rPr>
                  <w:noProof/>
                  <w:sz w:val="24"/>
                  <w:szCs w:val="24"/>
                </w:rPr>
              </w:pPr>
              <w:r>
                <w:rPr>
                  <w:bCs w:val="0"/>
                </w:rPr>
                <w:fldChar w:fldCharType="begin"/>
              </w:r>
              <w:r>
                <w:instrText xml:space="preserve"> BIBLIOGRAPHY </w:instrText>
              </w:r>
              <w:r>
                <w:rPr>
                  <w:bCs w:val="0"/>
                </w:rPr>
                <w:fldChar w:fldCharType="separate"/>
              </w:r>
              <w:r w:rsidR="00CC71D6" w:rsidRPr="00120204">
                <w:rPr>
                  <w:bCs w:val="0"/>
                  <w:noProof/>
                  <w:color w:val="auto"/>
                  <w:sz w:val="20"/>
                  <w:szCs w:val="22"/>
                </w:rPr>
                <w:t>Beovu PSD. (2019). BROLUCIZUMAB, Solution for intravitreal injection 19.8 mg in 0.165 mL, pre-filled syringe, Beovu®, Novartis Australia Pty Ltd. Department of Health.</w:t>
              </w:r>
            </w:p>
            <w:p w14:paraId="2015A815" w14:textId="77777777" w:rsidR="00CC71D6" w:rsidRDefault="00CC71D6" w:rsidP="00CC71D6">
              <w:pPr>
                <w:pStyle w:val="Bibliography"/>
                <w:ind w:left="720" w:hanging="720"/>
                <w:rPr>
                  <w:noProof/>
                </w:rPr>
              </w:pPr>
              <w:r>
                <w:rPr>
                  <w:noProof/>
                </w:rPr>
                <w:t xml:space="preserve">Cohen SY, M. G. (2013). Changes in visual acuity in patients with wet age-related macular degeneration treated with intravitreal ranibizumab in daily clinical practice: the LUMIERE study. </w:t>
              </w:r>
              <w:r>
                <w:rPr>
                  <w:i/>
                  <w:iCs/>
                  <w:noProof/>
                </w:rPr>
                <w:t>Retina</w:t>
              </w:r>
              <w:r>
                <w:rPr>
                  <w:noProof/>
                </w:rPr>
                <w:t>, 33:474-481.</w:t>
              </w:r>
            </w:p>
            <w:p w14:paraId="79DDEA2B" w14:textId="77777777" w:rsidR="00CC71D6" w:rsidRDefault="00CC71D6" w:rsidP="00CC71D6">
              <w:pPr>
                <w:pStyle w:val="Bibliography"/>
                <w:ind w:left="720" w:hanging="720"/>
                <w:rPr>
                  <w:noProof/>
                </w:rPr>
              </w:pPr>
              <w:r>
                <w:rPr>
                  <w:noProof/>
                </w:rPr>
                <w:t xml:space="preserve">DoH. (2018). </w:t>
              </w:r>
              <w:r>
                <w:rPr>
                  <w:i/>
                  <w:iCs/>
                  <w:noProof/>
                </w:rPr>
                <w:t>Australia's Future Health Workforce - Ophthalmology.</w:t>
              </w:r>
              <w:r>
                <w:rPr>
                  <w:noProof/>
                </w:rPr>
                <w:t xml:space="preserve"> Department of Health.</w:t>
              </w:r>
            </w:p>
            <w:p w14:paraId="516D6AD5" w14:textId="77777777" w:rsidR="00CC71D6" w:rsidRDefault="00CC71D6" w:rsidP="00CC71D6">
              <w:pPr>
                <w:pStyle w:val="Bibliography"/>
                <w:ind w:left="720" w:hanging="720"/>
                <w:rPr>
                  <w:noProof/>
                </w:rPr>
              </w:pPr>
              <w:r>
                <w:rPr>
                  <w:noProof/>
                </w:rPr>
                <w:t xml:space="preserve">DoH. (2019). </w:t>
              </w:r>
              <w:r>
                <w:rPr>
                  <w:i/>
                  <w:iCs/>
                  <w:noProof/>
                </w:rPr>
                <w:t>National Strategic Action Plan for Macular Disease.</w:t>
              </w:r>
              <w:r>
                <w:rPr>
                  <w:noProof/>
                </w:rPr>
                <w:t xml:space="preserve"> Department of Health.</w:t>
              </w:r>
            </w:p>
            <w:p w14:paraId="6DA846EA" w14:textId="77777777" w:rsidR="00CC71D6" w:rsidRDefault="00CC71D6" w:rsidP="00CC71D6">
              <w:pPr>
                <w:pStyle w:val="Bibliography"/>
                <w:ind w:left="720" w:hanging="720"/>
                <w:rPr>
                  <w:noProof/>
                </w:rPr>
              </w:pPr>
              <w:r>
                <w:rPr>
                  <w:noProof/>
                </w:rPr>
                <w:t xml:space="preserve">DoH. (2019, November 1). </w:t>
              </w:r>
              <w:r>
                <w:rPr>
                  <w:i/>
                  <w:iCs/>
                  <w:noProof/>
                </w:rPr>
                <w:t>Therapeutic Relativity Sheets</w:t>
              </w:r>
              <w:r>
                <w:rPr>
                  <w:noProof/>
                </w:rPr>
                <w:t>. Retrieved from www.pbs.gov.au: https://www.pbs.gov.au/info/industry/pricing/pbs-items/therapeutic-relativity-sheets</w:t>
              </w:r>
            </w:p>
            <w:p w14:paraId="6BB58188" w14:textId="77777777" w:rsidR="00CC71D6" w:rsidRDefault="00CC71D6" w:rsidP="00CC71D6">
              <w:pPr>
                <w:pStyle w:val="Bibliography"/>
                <w:ind w:left="720" w:hanging="720"/>
                <w:rPr>
                  <w:noProof/>
                </w:rPr>
              </w:pPr>
              <w:r>
                <w:rPr>
                  <w:noProof/>
                </w:rPr>
                <w:t xml:space="preserve">DoH. (2021, July 1). </w:t>
              </w:r>
              <w:r>
                <w:rPr>
                  <w:i/>
                  <w:iCs/>
                  <w:noProof/>
                </w:rPr>
                <w:t>MBS item #42738</w:t>
              </w:r>
              <w:r>
                <w:rPr>
                  <w:noProof/>
                </w:rPr>
                <w:t>. Retrieved from Medical Costs Finder: https://www.health.gov.au/resources/apps-and-tools/medical-costs-finder/medical-costs-finder#/oh-result/42738</w:t>
              </w:r>
            </w:p>
            <w:p w14:paraId="2D37286E" w14:textId="77777777" w:rsidR="00CC71D6" w:rsidRDefault="00CC71D6" w:rsidP="00CC71D6">
              <w:pPr>
                <w:pStyle w:val="Bibliography"/>
                <w:ind w:left="720" w:hanging="720"/>
                <w:rPr>
                  <w:noProof/>
                </w:rPr>
              </w:pPr>
              <w:r>
                <w:rPr>
                  <w:noProof/>
                </w:rPr>
                <w:t xml:space="preserve">DUSC. (2015). </w:t>
              </w:r>
              <w:r>
                <w:rPr>
                  <w:i/>
                  <w:iCs/>
                  <w:noProof/>
                </w:rPr>
                <w:t>Age Related Macular Degeneration.</w:t>
              </w:r>
              <w:r>
                <w:rPr>
                  <w:noProof/>
                </w:rPr>
                <w:t xml:space="preserve"> Department of Health.</w:t>
              </w:r>
            </w:p>
            <w:p w14:paraId="3816DEB3" w14:textId="77777777" w:rsidR="00CC71D6" w:rsidRDefault="00CC71D6" w:rsidP="00CC71D6">
              <w:pPr>
                <w:pStyle w:val="Bibliography"/>
                <w:ind w:left="720" w:hanging="720"/>
                <w:rPr>
                  <w:noProof/>
                </w:rPr>
              </w:pPr>
              <w:r>
                <w:rPr>
                  <w:noProof/>
                </w:rPr>
                <w:t xml:space="preserve">DUSC. (2018). </w:t>
              </w:r>
              <w:r>
                <w:rPr>
                  <w:i/>
                  <w:iCs/>
                  <w:noProof/>
                </w:rPr>
                <w:t>Ranibizumab and aflibercept: analysis of use for AMD, DMO, BRVO and CRVO.</w:t>
              </w:r>
              <w:r>
                <w:rPr>
                  <w:noProof/>
                </w:rPr>
                <w:t xml:space="preserve"> Department of Health.</w:t>
              </w:r>
            </w:p>
            <w:p w14:paraId="606A5197" w14:textId="77777777" w:rsidR="00CC71D6" w:rsidRDefault="00CC71D6" w:rsidP="00CC71D6">
              <w:pPr>
                <w:pStyle w:val="Bibliography"/>
                <w:ind w:left="720" w:hanging="720"/>
                <w:rPr>
                  <w:noProof/>
                </w:rPr>
              </w:pPr>
              <w:r>
                <w:rPr>
                  <w:noProof/>
                </w:rPr>
                <w:t xml:space="preserve">Finger RP, W. P. (2013). Treatment patterns, visual acuity and quality-of-life outcomes of the WAVE study - a noninterventional study of ranibizumab treatment for neovascular age-related macular degeneration in Germany. </w:t>
              </w:r>
              <w:r>
                <w:rPr>
                  <w:i/>
                  <w:iCs/>
                  <w:noProof/>
                </w:rPr>
                <w:t>Acta Ophthalmol</w:t>
              </w:r>
              <w:r>
                <w:rPr>
                  <w:noProof/>
                </w:rPr>
                <w:t>, 1:540-546.</w:t>
              </w:r>
            </w:p>
            <w:p w14:paraId="69C90284" w14:textId="77777777" w:rsidR="00CC71D6" w:rsidRDefault="00CC71D6" w:rsidP="00CC71D6">
              <w:pPr>
                <w:pStyle w:val="Bibliography"/>
                <w:ind w:left="720" w:hanging="720"/>
                <w:rPr>
                  <w:noProof/>
                </w:rPr>
              </w:pPr>
              <w:r>
                <w:rPr>
                  <w:noProof/>
                </w:rPr>
                <w:t xml:space="preserve">Gillies MC, H. A. (2019). Effect of ranibizumab and aflibercept on Best-Corrected Visual Acuity in Treat and Extend for neovascular age related macular degeneration. </w:t>
              </w:r>
              <w:r>
                <w:rPr>
                  <w:i/>
                  <w:iCs/>
                  <w:noProof/>
                </w:rPr>
                <w:t>JAMA Ophthalmology</w:t>
              </w:r>
              <w:r>
                <w:rPr>
                  <w:noProof/>
                </w:rPr>
                <w:t>, 137(4): 372-379.</w:t>
              </w:r>
            </w:p>
            <w:p w14:paraId="5F727B09" w14:textId="77777777" w:rsidR="00CC71D6" w:rsidRDefault="00CC71D6" w:rsidP="00CC71D6">
              <w:pPr>
                <w:pStyle w:val="Bibliography"/>
                <w:ind w:left="720" w:hanging="720"/>
                <w:rPr>
                  <w:noProof/>
                </w:rPr>
              </w:pPr>
              <w:r>
                <w:rPr>
                  <w:noProof/>
                </w:rPr>
                <w:t xml:space="preserve">Gillies MC, H. A. (2020). A Randomised Clinical Trial Comparing Ranibizumab and Aflibercept (RIVAL study). </w:t>
              </w:r>
              <w:r>
                <w:rPr>
                  <w:i/>
                  <w:iCs/>
                  <w:noProof/>
                </w:rPr>
                <w:t>American Academy of Ophthalmology</w:t>
              </w:r>
              <w:r>
                <w:rPr>
                  <w:noProof/>
                </w:rPr>
                <w:t>, 127:198-210.</w:t>
              </w:r>
            </w:p>
            <w:p w14:paraId="45E6F67D" w14:textId="77777777" w:rsidR="00CC71D6" w:rsidRDefault="00CC71D6" w:rsidP="00CC71D6">
              <w:pPr>
                <w:pStyle w:val="Bibliography"/>
                <w:ind w:left="720" w:hanging="720"/>
                <w:rPr>
                  <w:noProof/>
                </w:rPr>
              </w:pPr>
              <w:r>
                <w:rPr>
                  <w:noProof/>
                </w:rPr>
                <w:t xml:space="preserve">Holz FG, T. R. (2015). Multi-country real-life experience of anti-vascular endothelial growth factor therapy for wet age-related macular degeneration. </w:t>
              </w:r>
              <w:r>
                <w:rPr>
                  <w:i/>
                  <w:iCs/>
                  <w:noProof/>
                </w:rPr>
                <w:t>Ophthalmol</w:t>
              </w:r>
              <w:r>
                <w:rPr>
                  <w:noProof/>
                </w:rPr>
                <w:t>, 99:220-226.</w:t>
              </w:r>
            </w:p>
            <w:p w14:paraId="488AFAAB" w14:textId="77777777" w:rsidR="00CC71D6" w:rsidRDefault="00CC71D6" w:rsidP="00CC71D6">
              <w:pPr>
                <w:pStyle w:val="Bibliography"/>
                <w:ind w:left="720" w:hanging="720"/>
                <w:rPr>
                  <w:noProof/>
                </w:rPr>
              </w:pPr>
              <w:r>
                <w:rPr>
                  <w:noProof/>
                </w:rPr>
                <w:t xml:space="preserve">Kertes PJ, G. I. (2020). Efficacy of a Treat-and-Extend Regimen With Ranibizumab in Patients With Neovascular Age-Related Macular Disease. </w:t>
              </w:r>
              <w:r>
                <w:rPr>
                  <w:i/>
                  <w:iCs/>
                  <w:noProof/>
                </w:rPr>
                <w:t>JAMA Ophthalmology</w:t>
              </w:r>
              <w:r>
                <w:rPr>
                  <w:noProof/>
                </w:rPr>
                <w:t>, 138(3):244-250.</w:t>
              </w:r>
            </w:p>
            <w:p w14:paraId="16BF431F" w14:textId="77777777" w:rsidR="00CC71D6" w:rsidRDefault="00CC71D6" w:rsidP="00CC71D6">
              <w:pPr>
                <w:pStyle w:val="Bibliography"/>
                <w:ind w:left="720" w:hanging="720"/>
                <w:rPr>
                  <w:noProof/>
                </w:rPr>
              </w:pPr>
              <w:r>
                <w:rPr>
                  <w:noProof/>
                </w:rPr>
                <w:t xml:space="preserve">Ozurdex PSD. (March 2016). </w:t>
              </w:r>
              <w:r>
                <w:rPr>
                  <w:i/>
                  <w:iCs/>
                  <w:noProof/>
                </w:rPr>
                <w:t>DEXAMETHASONE, implant, 700 µg, Ozurdex®, Allergan.</w:t>
              </w:r>
              <w:r>
                <w:rPr>
                  <w:noProof/>
                </w:rPr>
                <w:t xml:space="preserve"> Department of Health.</w:t>
              </w:r>
            </w:p>
            <w:p w14:paraId="427EBD4D" w14:textId="77777777" w:rsidR="00CC71D6" w:rsidRDefault="00CC71D6" w:rsidP="00CC71D6">
              <w:pPr>
                <w:pStyle w:val="Bibliography"/>
                <w:ind w:left="720" w:hanging="720"/>
                <w:rPr>
                  <w:noProof/>
                </w:rPr>
              </w:pPr>
              <w:r>
                <w:rPr>
                  <w:noProof/>
                </w:rPr>
                <w:t xml:space="preserve">RANZCO. (2020, April 20). </w:t>
              </w:r>
              <w:r>
                <w:rPr>
                  <w:i/>
                  <w:iCs/>
                  <w:noProof/>
                </w:rPr>
                <w:t>Regional And Remote</w:t>
              </w:r>
              <w:r>
                <w:rPr>
                  <w:noProof/>
                </w:rPr>
                <w:t>. Retrieved from The Royal Australian and New Zealand College of Opthalmologists: https://ranzco.edu/home/community-engagement/regional-and-remote/</w:t>
              </w:r>
            </w:p>
            <w:p w14:paraId="1330FFED" w14:textId="77777777" w:rsidR="00CC71D6" w:rsidRDefault="00CC71D6" w:rsidP="00CC71D6">
              <w:pPr>
                <w:pStyle w:val="Bibliography"/>
                <w:ind w:left="720" w:hanging="720"/>
                <w:rPr>
                  <w:noProof/>
                </w:rPr>
              </w:pPr>
              <w:r>
                <w:rPr>
                  <w:noProof/>
                </w:rPr>
                <w:t xml:space="preserve">RANZCO. (2021). </w:t>
              </w:r>
              <w:r>
                <w:rPr>
                  <w:i/>
                  <w:iCs/>
                  <w:noProof/>
                </w:rPr>
                <w:t>Pre-Budget Submission 2021-2022.</w:t>
              </w:r>
              <w:r>
                <w:rPr>
                  <w:noProof/>
                </w:rPr>
                <w:t xml:space="preserve"> Department of Health.</w:t>
              </w:r>
            </w:p>
            <w:p w14:paraId="59D6EF7A" w14:textId="77777777" w:rsidR="00CC71D6" w:rsidRDefault="00CC71D6" w:rsidP="00CC71D6">
              <w:pPr>
                <w:pStyle w:val="Bibliography"/>
                <w:ind w:left="720" w:hanging="720"/>
                <w:rPr>
                  <w:noProof/>
                </w:rPr>
              </w:pPr>
              <w:r>
                <w:rPr>
                  <w:noProof/>
                </w:rPr>
                <w:t xml:space="preserve">Spooner KL, M. C. (2018). The burden of neovascular age-related macular degeneration: a patient’s perspective. </w:t>
              </w:r>
              <w:r>
                <w:rPr>
                  <w:i/>
                  <w:iCs/>
                  <w:noProof/>
                </w:rPr>
                <w:t>Clinical Ophthalmology</w:t>
              </w:r>
              <w:r>
                <w:rPr>
                  <w:noProof/>
                </w:rPr>
                <w:t>, 12: 2483-2491.</w:t>
              </w:r>
            </w:p>
            <w:p w14:paraId="367B0A4B" w14:textId="40D1C7B2" w:rsidR="006C3F77" w:rsidRDefault="006C3F77" w:rsidP="00CC71D6">
              <w:r>
                <w:rPr>
                  <w:b/>
                  <w:bCs/>
                  <w:noProof/>
                </w:rPr>
                <w:fldChar w:fldCharType="end"/>
              </w:r>
            </w:p>
          </w:sdtContent>
        </w:sdt>
      </w:sdtContent>
    </w:sdt>
    <w:p w14:paraId="1E7FEA6B" w14:textId="780A3D57" w:rsidR="006C3F77" w:rsidRDefault="006C3F77">
      <w:pPr>
        <w:spacing w:before="0" w:after="200" w:line="276" w:lineRule="auto"/>
        <w:rPr>
          <w:bCs/>
          <w:color w:val="4F81BD" w:themeColor="accent1"/>
          <w:sz w:val="40"/>
          <w:szCs w:val="32"/>
        </w:rPr>
      </w:pPr>
    </w:p>
    <w:sectPr w:rsidR="006C3F77"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3D0CF" w14:textId="77777777" w:rsidR="00120204" w:rsidRDefault="00120204" w:rsidP="00CF2DFA">
      <w:pPr>
        <w:spacing w:after="0"/>
      </w:pPr>
      <w:r>
        <w:separator/>
      </w:r>
    </w:p>
  </w:endnote>
  <w:endnote w:type="continuationSeparator" w:id="0">
    <w:p w14:paraId="791398EC" w14:textId="77777777" w:rsidR="00120204" w:rsidRDefault="00120204"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3E19FB8B" w14:textId="2AA13543" w:rsidR="00120204" w:rsidRDefault="00120204">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Pr="00274BA7">
          <w:rPr>
            <w:b/>
            <w:bCs/>
            <w:noProof/>
            <w:sz w:val="18"/>
            <w:szCs w:val="18"/>
          </w:rPr>
          <w:t>25</w:t>
        </w:r>
        <w:r w:rsidRPr="00CF2DFA">
          <w:rPr>
            <w:b/>
            <w:bCs/>
            <w:noProof/>
            <w:sz w:val="18"/>
            <w:szCs w:val="18"/>
          </w:rPr>
          <w:fldChar w:fldCharType="end"/>
        </w:r>
        <w:r w:rsidRPr="00CF2DFA">
          <w:rPr>
            <w:b/>
            <w:bCs/>
            <w:sz w:val="18"/>
            <w:szCs w:val="18"/>
          </w:rPr>
          <w:t xml:space="preserve"> |</w:t>
        </w:r>
        <w:r>
          <w:rPr>
            <w:color w:val="808080" w:themeColor="background1" w:themeShade="80"/>
            <w:spacing w:val="60"/>
            <w:sz w:val="18"/>
            <w:szCs w:val="18"/>
          </w:rPr>
          <w:tab/>
          <w:t>Application Form</w:t>
        </w:r>
      </w:p>
      <w:p w14:paraId="05D3CA62" w14:textId="77777777" w:rsidR="00120204" w:rsidRPr="003F7CB9" w:rsidRDefault="00120204"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10827" w14:textId="77777777" w:rsidR="00120204" w:rsidRDefault="00120204" w:rsidP="00CF2DFA">
      <w:pPr>
        <w:spacing w:after="0"/>
      </w:pPr>
      <w:r>
        <w:separator/>
      </w:r>
    </w:p>
  </w:footnote>
  <w:footnote w:type="continuationSeparator" w:id="0">
    <w:p w14:paraId="252CB733" w14:textId="77777777" w:rsidR="00120204" w:rsidRDefault="00120204" w:rsidP="00CF2D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F1ABD"/>
    <w:multiLevelType w:val="hybridMultilevel"/>
    <w:tmpl w:val="0222478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991F08"/>
    <w:multiLevelType w:val="hybridMultilevel"/>
    <w:tmpl w:val="3C24867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089165BE"/>
    <w:multiLevelType w:val="hybridMultilevel"/>
    <w:tmpl w:val="D870EA4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20583A"/>
    <w:multiLevelType w:val="hybridMultilevel"/>
    <w:tmpl w:val="3D929474"/>
    <w:lvl w:ilvl="0" w:tplc="79565306">
      <w:start w:val="2"/>
      <w:numFmt w:val="lowerLetter"/>
      <w:lvlText w:val="(%1)"/>
      <w:lvlJc w:val="left"/>
      <w:pPr>
        <w:ind w:left="720" w:hanging="360"/>
      </w:pPr>
      <w:rPr>
        <w:rFonts w:hint="default"/>
      </w:rPr>
    </w:lvl>
    <w:lvl w:ilvl="1" w:tplc="914C74F6">
      <w:numFmt w:val="bullet"/>
      <w:lvlText w:val="•"/>
      <w:lvlJc w:val="left"/>
      <w:pPr>
        <w:ind w:left="1440" w:hanging="360"/>
      </w:pPr>
      <w:rPr>
        <w:rFonts w:ascii="Calibri" w:eastAsiaTheme="minorHAns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64224FF"/>
    <w:multiLevelType w:val="hybridMultilevel"/>
    <w:tmpl w:val="9A2AE03A"/>
    <w:lvl w:ilvl="0" w:tplc="A6662B34">
      <w:start w:val="1"/>
      <w:numFmt w:val="lowerRoman"/>
      <w:lvlText w:val="%1."/>
      <w:lvlJc w:val="left"/>
      <w:pPr>
        <w:ind w:left="3062" w:hanging="720"/>
      </w:pPr>
      <w:rPr>
        <w:rFonts w:asciiTheme="minorHAnsi" w:eastAsiaTheme="minorHAnsi" w:hAnsiTheme="minorHAnsi" w:cstheme="minorBidi" w:hint="default"/>
        <w:b w:val="0"/>
      </w:rPr>
    </w:lvl>
    <w:lvl w:ilvl="1" w:tplc="0C090019" w:tentative="1">
      <w:start w:val="1"/>
      <w:numFmt w:val="lowerLetter"/>
      <w:lvlText w:val="%2."/>
      <w:lvlJc w:val="left"/>
      <w:pPr>
        <w:ind w:left="3422" w:hanging="360"/>
      </w:pPr>
    </w:lvl>
    <w:lvl w:ilvl="2" w:tplc="0C09001B" w:tentative="1">
      <w:start w:val="1"/>
      <w:numFmt w:val="lowerRoman"/>
      <w:lvlText w:val="%3."/>
      <w:lvlJc w:val="right"/>
      <w:pPr>
        <w:ind w:left="4142" w:hanging="180"/>
      </w:pPr>
    </w:lvl>
    <w:lvl w:ilvl="3" w:tplc="0C09000F" w:tentative="1">
      <w:start w:val="1"/>
      <w:numFmt w:val="decimal"/>
      <w:lvlText w:val="%4."/>
      <w:lvlJc w:val="left"/>
      <w:pPr>
        <w:ind w:left="4862" w:hanging="360"/>
      </w:pPr>
    </w:lvl>
    <w:lvl w:ilvl="4" w:tplc="0C090019" w:tentative="1">
      <w:start w:val="1"/>
      <w:numFmt w:val="lowerLetter"/>
      <w:lvlText w:val="%5."/>
      <w:lvlJc w:val="left"/>
      <w:pPr>
        <w:ind w:left="5582" w:hanging="360"/>
      </w:pPr>
    </w:lvl>
    <w:lvl w:ilvl="5" w:tplc="0C09001B" w:tentative="1">
      <w:start w:val="1"/>
      <w:numFmt w:val="lowerRoman"/>
      <w:lvlText w:val="%6."/>
      <w:lvlJc w:val="right"/>
      <w:pPr>
        <w:ind w:left="6302" w:hanging="180"/>
      </w:pPr>
    </w:lvl>
    <w:lvl w:ilvl="6" w:tplc="0C09000F" w:tentative="1">
      <w:start w:val="1"/>
      <w:numFmt w:val="decimal"/>
      <w:lvlText w:val="%7."/>
      <w:lvlJc w:val="left"/>
      <w:pPr>
        <w:ind w:left="7022" w:hanging="360"/>
      </w:pPr>
    </w:lvl>
    <w:lvl w:ilvl="7" w:tplc="0C090019" w:tentative="1">
      <w:start w:val="1"/>
      <w:numFmt w:val="lowerLetter"/>
      <w:lvlText w:val="%8."/>
      <w:lvlJc w:val="left"/>
      <w:pPr>
        <w:ind w:left="7742" w:hanging="360"/>
      </w:pPr>
    </w:lvl>
    <w:lvl w:ilvl="8" w:tplc="0C09001B" w:tentative="1">
      <w:start w:val="1"/>
      <w:numFmt w:val="lowerRoman"/>
      <w:lvlText w:val="%9."/>
      <w:lvlJc w:val="right"/>
      <w:pPr>
        <w:ind w:left="8462" w:hanging="180"/>
      </w:pPr>
    </w:lvl>
  </w:abstractNum>
  <w:abstractNum w:abstractNumId="9"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23483762"/>
    <w:multiLevelType w:val="hybridMultilevel"/>
    <w:tmpl w:val="ED4C1EC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314A1849"/>
    <w:multiLevelType w:val="hybridMultilevel"/>
    <w:tmpl w:val="AE545A9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4" w15:restartNumberingAfterBreak="0">
    <w:nsid w:val="3DA118AB"/>
    <w:multiLevelType w:val="hybridMultilevel"/>
    <w:tmpl w:val="2A3480A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15:restartNumberingAfterBreak="0">
    <w:nsid w:val="47874314"/>
    <w:multiLevelType w:val="hybridMultilevel"/>
    <w:tmpl w:val="438C9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EE45F6"/>
    <w:multiLevelType w:val="hybridMultilevel"/>
    <w:tmpl w:val="71CE6DBE"/>
    <w:lvl w:ilvl="0" w:tplc="0C090001">
      <w:start w:val="1"/>
      <w:numFmt w:val="bullet"/>
      <w:lvlText w:val=""/>
      <w:lvlJc w:val="left"/>
      <w:pPr>
        <w:ind w:left="720" w:hanging="360"/>
      </w:pPr>
      <w:rPr>
        <w:rFonts w:ascii="Symbol" w:hAnsi="Symbol" w:hint="default"/>
      </w:rPr>
    </w:lvl>
    <w:lvl w:ilvl="1" w:tplc="914C74F6">
      <w:numFmt w:val="bullet"/>
      <w:lvlText w:val="•"/>
      <w:lvlJc w:val="left"/>
      <w:pPr>
        <w:ind w:left="1440" w:hanging="360"/>
      </w:pPr>
      <w:rPr>
        <w:rFonts w:ascii="Calibri" w:eastAsiaTheme="minorHAns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A31DBF"/>
    <w:multiLevelType w:val="hybridMultilevel"/>
    <w:tmpl w:val="A808B32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1D167BE"/>
    <w:multiLevelType w:val="hybridMultilevel"/>
    <w:tmpl w:val="82D00A2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13"/>
  </w:num>
  <w:num w:numId="4">
    <w:abstractNumId w:val="7"/>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
  </w:num>
  <w:num w:numId="25">
    <w:abstractNumId w:val="26"/>
  </w:num>
  <w:num w:numId="26">
    <w:abstractNumId w:val="6"/>
  </w:num>
  <w:num w:numId="27">
    <w:abstractNumId w:val="21"/>
  </w:num>
  <w:num w:numId="28">
    <w:abstractNumId w:val="15"/>
  </w:num>
  <w:num w:numId="29">
    <w:abstractNumId w:val="27"/>
  </w:num>
  <w:num w:numId="30">
    <w:abstractNumId w:val="5"/>
  </w:num>
  <w:num w:numId="31">
    <w:abstractNumId w:val="24"/>
  </w:num>
  <w:num w:numId="32">
    <w:abstractNumId w:val="9"/>
  </w:num>
  <w:num w:numId="33">
    <w:abstractNumId w:val="22"/>
  </w:num>
  <w:num w:numId="34">
    <w:abstractNumId w:val="8"/>
  </w:num>
  <w:num w:numId="35">
    <w:abstractNumId w:val="16"/>
  </w:num>
  <w:num w:numId="36">
    <w:abstractNumId w:val="1"/>
  </w:num>
  <w:num w:numId="37">
    <w:abstractNumId w:val="25"/>
  </w:num>
  <w:num w:numId="38">
    <w:abstractNumId w:val="4"/>
  </w:num>
  <w:num w:numId="39">
    <w:abstractNumId w:val="20"/>
  </w:num>
  <w:num w:numId="40">
    <w:abstractNumId w:val="18"/>
  </w:num>
  <w:num w:numId="41">
    <w:abstractNumId w:val="23"/>
  </w:num>
  <w:num w:numId="42">
    <w:abstractNumId w:val="0"/>
  </w:num>
  <w:num w:numId="43">
    <w:abstractNumId w:val="11"/>
  </w:num>
  <w:num w:numId="44">
    <w:abstractNumId w:val="14"/>
  </w:num>
  <w:num w:numId="45">
    <w:abstractNumId w:val="17"/>
  </w:num>
  <w:num w:numId="46">
    <w:abstractNumId w:val="12"/>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5"/>
    <w:rsid w:val="00003417"/>
    <w:rsid w:val="0000592B"/>
    <w:rsid w:val="00006FA2"/>
    <w:rsid w:val="000110DC"/>
    <w:rsid w:val="000127A3"/>
    <w:rsid w:val="00014DC6"/>
    <w:rsid w:val="000158AA"/>
    <w:rsid w:val="000159B9"/>
    <w:rsid w:val="00016B6E"/>
    <w:rsid w:val="00023E21"/>
    <w:rsid w:val="00025ABC"/>
    <w:rsid w:val="00026412"/>
    <w:rsid w:val="0002746B"/>
    <w:rsid w:val="00031F6F"/>
    <w:rsid w:val="00033FF6"/>
    <w:rsid w:val="00034D6E"/>
    <w:rsid w:val="000358ED"/>
    <w:rsid w:val="000437B9"/>
    <w:rsid w:val="00045EB9"/>
    <w:rsid w:val="0005089D"/>
    <w:rsid w:val="000525BC"/>
    <w:rsid w:val="00052C0A"/>
    <w:rsid w:val="00056FC6"/>
    <w:rsid w:val="000574DF"/>
    <w:rsid w:val="00065CD7"/>
    <w:rsid w:val="00067187"/>
    <w:rsid w:val="00070711"/>
    <w:rsid w:val="00073222"/>
    <w:rsid w:val="000770BA"/>
    <w:rsid w:val="00092580"/>
    <w:rsid w:val="00094275"/>
    <w:rsid w:val="000955E7"/>
    <w:rsid w:val="00096DC6"/>
    <w:rsid w:val="000A110D"/>
    <w:rsid w:val="000A2FFB"/>
    <w:rsid w:val="000A478F"/>
    <w:rsid w:val="000A5B32"/>
    <w:rsid w:val="000A5C4E"/>
    <w:rsid w:val="000B0590"/>
    <w:rsid w:val="000B09CF"/>
    <w:rsid w:val="000B3CD0"/>
    <w:rsid w:val="000C4368"/>
    <w:rsid w:val="000C5B99"/>
    <w:rsid w:val="000C7CD9"/>
    <w:rsid w:val="000D066E"/>
    <w:rsid w:val="000D0831"/>
    <w:rsid w:val="000D3654"/>
    <w:rsid w:val="000E47E7"/>
    <w:rsid w:val="000E5439"/>
    <w:rsid w:val="000E75FF"/>
    <w:rsid w:val="000F0149"/>
    <w:rsid w:val="000F328E"/>
    <w:rsid w:val="001023EF"/>
    <w:rsid w:val="00102477"/>
    <w:rsid w:val="00102686"/>
    <w:rsid w:val="001058BA"/>
    <w:rsid w:val="001102BB"/>
    <w:rsid w:val="0011036E"/>
    <w:rsid w:val="0011054B"/>
    <w:rsid w:val="001130B0"/>
    <w:rsid w:val="0011369B"/>
    <w:rsid w:val="00115E02"/>
    <w:rsid w:val="0011742E"/>
    <w:rsid w:val="00120204"/>
    <w:rsid w:val="00123152"/>
    <w:rsid w:val="00123D10"/>
    <w:rsid w:val="0012545F"/>
    <w:rsid w:val="00126B33"/>
    <w:rsid w:val="00145CE1"/>
    <w:rsid w:val="00154B00"/>
    <w:rsid w:val="0016114A"/>
    <w:rsid w:val="001644E9"/>
    <w:rsid w:val="00166A86"/>
    <w:rsid w:val="00171D54"/>
    <w:rsid w:val="001845D9"/>
    <w:rsid w:val="0018630F"/>
    <w:rsid w:val="001906CD"/>
    <w:rsid w:val="00191B99"/>
    <w:rsid w:val="00193620"/>
    <w:rsid w:val="0019694B"/>
    <w:rsid w:val="0019701C"/>
    <w:rsid w:val="00197D29"/>
    <w:rsid w:val="001A02E3"/>
    <w:rsid w:val="001A1ADF"/>
    <w:rsid w:val="001A365C"/>
    <w:rsid w:val="001B171D"/>
    <w:rsid w:val="001B29A1"/>
    <w:rsid w:val="001B3422"/>
    <w:rsid w:val="001B5169"/>
    <w:rsid w:val="001B6164"/>
    <w:rsid w:val="001D1038"/>
    <w:rsid w:val="001D77ED"/>
    <w:rsid w:val="001E1180"/>
    <w:rsid w:val="001E23EA"/>
    <w:rsid w:val="001E3937"/>
    <w:rsid w:val="001E6919"/>
    <w:rsid w:val="001E6958"/>
    <w:rsid w:val="001F0114"/>
    <w:rsid w:val="001F663C"/>
    <w:rsid w:val="00201924"/>
    <w:rsid w:val="00202473"/>
    <w:rsid w:val="002053F2"/>
    <w:rsid w:val="00206965"/>
    <w:rsid w:val="00206D63"/>
    <w:rsid w:val="002103F8"/>
    <w:rsid w:val="0021185D"/>
    <w:rsid w:val="00217921"/>
    <w:rsid w:val="00222C3E"/>
    <w:rsid w:val="0022641B"/>
    <w:rsid w:val="00226777"/>
    <w:rsid w:val="00235BD1"/>
    <w:rsid w:val="00242B0E"/>
    <w:rsid w:val="00243E80"/>
    <w:rsid w:val="0024653C"/>
    <w:rsid w:val="00247DF0"/>
    <w:rsid w:val="00253125"/>
    <w:rsid w:val="00254813"/>
    <w:rsid w:val="00256D1F"/>
    <w:rsid w:val="00257FF2"/>
    <w:rsid w:val="00265822"/>
    <w:rsid w:val="00267E24"/>
    <w:rsid w:val="0027105F"/>
    <w:rsid w:val="002711FB"/>
    <w:rsid w:val="0027137A"/>
    <w:rsid w:val="002734AB"/>
    <w:rsid w:val="00273E20"/>
    <w:rsid w:val="00274BA7"/>
    <w:rsid w:val="0027540A"/>
    <w:rsid w:val="00282BE8"/>
    <w:rsid w:val="00283318"/>
    <w:rsid w:val="00284FF1"/>
    <w:rsid w:val="00285525"/>
    <w:rsid w:val="00294CD8"/>
    <w:rsid w:val="002A093C"/>
    <w:rsid w:val="002A0F2A"/>
    <w:rsid w:val="002A120F"/>
    <w:rsid w:val="002A270B"/>
    <w:rsid w:val="002A50FD"/>
    <w:rsid w:val="002A6753"/>
    <w:rsid w:val="002B28D7"/>
    <w:rsid w:val="002B673A"/>
    <w:rsid w:val="002B7EB6"/>
    <w:rsid w:val="002C0B61"/>
    <w:rsid w:val="002C15E6"/>
    <w:rsid w:val="002C247D"/>
    <w:rsid w:val="002C3345"/>
    <w:rsid w:val="002D409A"/>
    <w:rsid w:val="002E18E9"/>
    <w:rsid w:val="002E1B61"/>
    <w:rsid w:val="002E6FDB"/>
    <w:rsid w:val="002F1B58"/>
    <w:rsid w:val="002F2512"/>
    <w:rsid w:val="002F30E7"/>
    <w:rsid w:val="00300EEB"/>
    <w:rsid w:val="003013A9"/>
    <w:rsid w:val="00301958"/>
    <w:rsid w:val="003020B5"/>
    <w:rsid w:val="003027BB"/>
    <w:rsid w:val="003066E8"/>
    <w:rsid w:val="00310A10"/>
    <w:rsid w:val="00321B7F"/>
    <w:rsid w:val="003228AB"/>
    <w:rsid w:val="00327D25"/>
    <w:rsid w:val="003319A7"/>
    <w:rsid w:val="00334FE3"/>
    <w:rsid w:val="003421AE"/>
    <w:rsid w:val="00342394"/>
    <w:rsid w:val="003433D1"/>
    <w:rsid w:val="00344B24"/>
    <w:rsid w:val="003456B9"/>
    <w:rsid w:val="00345D79"/>
    <w:rsid w:val="0035067D"/>
    <w:rsid w:val="00353A16"/>
    <w:rsid w:val="00356905"/>
    <w:rsid w:val="0035776D"/>
    <w:rsid w:val="003637AF"/>
    <w:rsid w:val="00364FD9"/>
    <w:rsid w:val="00367C1B"/>
    <w:rsid w:val="00371E18"/>
    <w:rsid w:val="00372C17"/>
    <w:rsid w:val="00376B61"/>
    <w:rsid w:val="00377F4B"/>
    <w:rsid w:val="00382407"/>
    <w:rsid w:val="00385607"/>
    <w:rsid w:val="00386627"/>
    <w:rsid w:val="00386A64"/>
    <w:rsid w:val="00386FA1"/>
    <w:rsid w:val="0038732B"/>
    <w:rsid w:val="00390142"/>
    <w:rsid w:val="003904AC"/>
    <w:rsid w:val="00392F00"/>
    <w:rsid w:val="00397377"/>
    <w:rsid w:val="003A19DB"/>
    <w:rsid w:val="003A22DE"/>
    <w:rsid w:val="003A2860"/>
    <w:rsid w:val="003A37F3"/>
    <w:rsid w:val="003A3C35"/>
    <w:rsid w:val="003A6B48"/>
    <w:rsid w:val="003A72DE"/>
    <w:rsid w:val="003A7D30"/>
    <w:rsid w:val="003B3C5C"/>
    <w:rsid w:val="003C1F02"/>
    <w:rsid w:val="003C2681"/>
    <w:rsid w:val="003C2E38"/>
    <w:rsid w:val="003C47CA"/>
    <w:rsid w:val="003C59CE"/>
    <w:rsid w:val="003D19AE"/>
    <w:rsid w:val="003D2B48"/>
    <w:rsid w:val="003D6DE1"/>
    <w:rsid w:val="003D795C"/>
    <w:rsid w:val="003E30FB"/>
    <w:rsid w:val="003E5603"/>
    <w:rsid w:val="003F26DA"/>
    <w:rsid w:val="003F2711"/>
    <w:rsid w:val="003F4B14"/>
    <w:rsid w:val="003F64A6"/>
    <w:rsid w:val="003F6C70"/>
    <w:rsid w:val="003F7653"/>
    <w:rsid w:val="003F7CB9"/>
    <w:rsid w:val="00403333"/>
    <w:rsid w:val="00405D30"/>
    <w:rsid w:val="00411735"/>
    <w:rsid w:val="00415C74"/>
    <w:rsid w:val="00422EB7"/>
    <w:rsid w:val="004308F0"/>
    <w:rsid w:val="0043654D"/>
    <w:rsid w:val="00437F60"/>
    <w:rsid w:val="004514E6"/>
    <w:rsid w:val="00451840"/>
    <w:rsid w:val="00451EC0"/>
    <w:rsid w:val="00456107"/>
    <w:rsid w:val="00460C9A"/>
    <w:rsid w:val="0046484F"/>
    <w:rsid w:val="00464924"/>
    <w:rsid w:val="004651D9"/>
    <w:rsid w:val="00470C8C"/>
    <w:rsid w:val="00473036"/>
    <w:rsid w:val="0047581D"/>
    <w:rsid w:val="0047614E"/>
    <w:rsid w:val="00477830"/>
    <w:rsid w:val="00480289"/>
    <w:rsid w:val="00481279"/>
    <w:rsid w:val="00483368"/>
    <w:rsid w:val="00487E49"/>
    <w:rsid w:val="00494011"/>
    <w:rsid w:val="0049613D"/>
    <w:rsid w:val="004A0BF4"/>
    <w:rsid w:val="004A1649"/>
    <w:rsid w:val="004A1891"/>
    <w:rsid w:val="004A263B"/>
    <w:rsid w:val="004A2706"/>
    <w:rsid w:val="004B18A6"/>
    <w:rsid w:val="004B23A9"/>
    <w:rsid w:val="004B25C3"/>
    <w:rsid w:val="004B68AE"/>
    <w:rsid w:val="004C26FD"/>
    <w:rsid w:val="004C35B0"/>
    <w:rsid w:val="004C469A"/>
    <w:rsid w:val="004C49EF"/>
    <w:rsid w:val="004C4A19"/>
    <w:rsid w:val="004C5570"/>
    <w:rsid w:val="004D00C9"/>
    <w:rsid w:val="004E16F5"/>
    <w:rsid w:val="004E3CC7"/>
    <w:rsid w:val="004E5B69"/>
    <w:rsid w:val="004F2A87"/>
    <w:rsid w:val="00507C56"/>
    <w:rsid w:val="00520DC0"/>
    <w:rsid w:val="0052344E"/>
    <w:rsid w:val="005245A6"/>
    <w:rsid w:val="005247EB"/>
    <w:rsid w:val="00526478"/>
    <w:rsid w:val="00530204"/>
    <w:rsid w:val="00534C5F"/>
    <w:rsid w:val="00536C49"/>
    <w:rsid w:val="00540257"/>
    <w:rsid w:val="0054043C"/>
    <w:rsid w:val="0054192F"/>
    <w:rsid w:val="00544EB3"/>
    <w:rsid w:val="0054594B"/>
    <w:rsid w:val="0054749B"/>
    <w:rsid w:val="00547D30"/>
    <w:rsid w:val="00551CC6"/>
    <w:rsid w:val="005528D4"/>
    <w:rsid w:val="00554E7A"/>
    <w:rsid w:val="0056015F"/>
    <w:rsid w:val="00560541"/>
    <w:rsid w:val="005672D0"/>
    <w:rsid w:val="00572CEB"/>
    <w:rsid w:val="00573BEA"/>
    <w:rsid w:val="005834C9"/>
    <w:rsid w:val="0058672D"/>
    <w:rsid w:val="005952ED"/>
    <w:rsid w:val="005A21FE"/>
    <w:rsid w:val="005A3A78"/>
    <w:rsid w:val="005A58BA"/>
    <w:rsid w:val="005A5D30"/>
    <w:rsid w:val="005A6AB9"/>
    <w:rsid w:val="005C0091"/>
    <w:rsid w:val="005C034C"/>
    <w:rsid w:val="005C333E"/>
    <w:rsid w:val="005C3AE7"/>
    <w:rsid w:val="005D0677"/>
    <w:rsid w:val="005E044E"/>
    <w:rsid w:val="005E1253"/>
    <w:rsid w:val="005E19F5"/>
    <w:rsid w:val="005E294C"/>
    <w:rsid w:val="005E2CE3"/>
    <w:rsid w:val="005E7510"/>
    <w:rsid w:val="005F3F07"/>
    <w:rsid w:val="005F72AE"/>
    <w:rsid w:val="00603D04"/>
    <w:rsid w:val="00606857"/>
    <w:rsid w:val="00606F8A"/>
    <w:rsid w:val="00615F42"/>
    <w:rsid w:val="00620B30"/>
    <w:rsid w:val="006258C2"/>
    <w:rsid w:val="00626365"/>
    <w:rsid w:val="00630E22"/>
    <w:rsid w:val="0064168C"/>
    <w:rsid w:val="00657B46"/>
    <w:rsid w:val="006764EC"/>
    <w:rsid w:val="006824B9"/>
    <w:rsid w:val="006835FE"/>
    <w:rsid w:val="00693BFD"/>
    <w:rsid w:val="00695065"/>
    <w:rsid w:val="00695897"/>
    <w:rsid w:val="006A1038"/>
    <w:rsid w:val="006A649A"/>
    <w:rsid w:val="006B1B49"/>
    <w:rsid w:val="006B1E1C"/>
    <w:rsid w:val="006B2F82"/>
    <w:rsid w:val="006B328C"/>
    <w:rsid w:val="006B40AA"/>
    <w:rsid w:val="006B5FBD"/>
    <w:rsid w:val="006B6390"/>
    <w:rsid w:val="006C0356"/>
    <w:rsid w:val="006C0843"/>
    <w:rsid w:val="006C3F77"/>
    <w:rsid w:val="006C6C6E"/>
    <w:rsid w:val="006C74B1"/>
    <w:rsid w:val="006D603D"/>
    <w:rsid w:val="006D68BC"/>
    <w:rsid w:val="006E57AA"/>
    <w:rsid w:val="006F20CF"/>
    <w:rsid w:val="006F38ED"/>
    <w:rsid w:val="006F6EA6"/>
    <w:rsid w:val="006F7CFF"/>
    <w:rsid w:val="007059E4"/>
    <w:rsid w:val="00707D4D"/>
    <w:rsid w:val="00720C9E"/>
    <w:rsid w:val="00723446"/>
    <w:rsid w:val="00723503"/>
    <w:rsid w:val="00724588"/>
    <w:rsid w:val="00726CCB"/>
    <w:rsid w:val="00730891"/>
    <w:rsid w:val="00730C04"/>
    <w:rsid w:val="0073597B"/>
    <w:rsid w:val="007378F6"/>
    <w:rsid w:val="00740B93"/>
    <w:rsid w:val="00741AB9"/>
    <w:rsid w:val="00742892"/>
    <w:rsid w:val="00742942"/>
    <w:rsid w:val="0074545D"/>
    <w:rsid w:val="0074610A"/>
    <w:rsid w:val="007462CB"/>
    <w:rsid w:val="007522E3"/>
    <w:rsid w:val="007531A9"/>
    <w:rsid w:val="0075335B"/>
    <w:rsid w:val="00753AD6"/>
    <w:rsid w:val="00753C44"/>
    <w:rsid w:val="00754383"/>
    <w:rsid w:val="0075647D"/>
    <w:rsid w:val="007564D1"/>
    <w:rsid w:val="00757232"/>
    <w:rsid w:val="00760679"/>
    <w:rsid w:val="00763628"/>
    <w:rsid w:val="00767E99"/>
    <w:rsid w:val="00772E62"/>
    <w:rsid w:val="00774309"/>
    <w:rsid w:val="00775A6A"/>
    <w:rsid w:val="00776E4E"/>
    <w:rsid w:val="0077789B"/>
    <w:rsid w:val="00780D29"/>
    <w:rsid w:val="00791C8D"/>
    <w:rsid w:val="00793261"/>
    <w:rsid w:val="0079354C"/>
    <w:rsid w:val="00793AEC"/>
    <w:rsid w:val="00794181"/>
    <w:rsid w:val="007A7F6F"/>
    <w:rsid w:val="007B4A5A"/>
    <w:rsid w:val="007B4C76"/>
    <w:rsid w:val="007C1EF4"/>
    <w:rsid w:val="007C2260"/>
    <w:rsid w:val="007D1E52"/>
    <w:rsid w:val="007D2358"/>
    <w:rsid w:val="007E39E4"/>
    <w:rsid w:val="007E6FB3"/>
    <w:rsid w:val="007F01B9"/>
    <w:rsid w:val="007F21B4"/>
    <w:rsid w:val="00802553"/>
    <w:rsid w:val="00803EAB"/>
    <w:rsid w:val="008046B5"/>
    <w:rsid w:val="00810224"/>
    <w:rsid w:val="008127C0"/>
    <w:rsid w:val="00812EDD"/>
    <w:rsid w:val="008139C5"/>
    <w:rsid w:val="0081650F"/>
    <w:rsid w:val="0083077F"/>
    <w:rsid w:val="00831B9D"/>
    <w:rsid w:val="00832B31"/>
    <w:rsid w:val="00837B43"/>
    <w:rsid w:val="008403E0"/>
    <w:rsid w:val="0084657B"/>
    <w:rsid w:val="00855944"/>
    <w:rsid w:val="00864A18"/>
    <w:rsid w:val="00870833"/>
    <w:rsid w:val="00870E74"/>
    <w:rsid w:val="008726CE"/>
    <w:rsid w:val="00874571"/>
    <w:rsid w:val="00875E7B"/>
    <w:rsid w:val="00881F93"/>
    <w:rsid w:val="00882CB5"/>
    <w:rsid w:val="00883641"/>
    <w:rsid w:val="00884C44"/>
    <w:rsid w:val="00884E69"/>
    <w:rsid w:val="00886B12"/>
    <w:rsid w:val="00890082"/>
    <w:rsid w:val="008A48D2"/>
    <w:rsid w:val="008A7423"/>
    <w:rsid w:val="008B11E7"/>
    <w:rsid w:val="008B2610"/>
    <w:rsid w:val="008B471D"/>
    <w:rsid w:val="008B49E4"/>
    <w:rsid w:val="008B729C"/>
    <w:rsid w:val="008C224A"/>
    <w:rsid w:val="008C4A93"/>
    <w:rsid w:val="008C51CC"/>
    <w:rsid w:val="008C7F34"/>
    <w:rsid w:val="008D2288"/>
    <w:rsid w:val="008D5509"/>
    <w:rsid w:val="008D5FB5"/>
    <w:rsid w:val="008E0E49"/>
    <w:rsid w:val="008E35FD"/>
    <w:rsid w:val="008E6227"/>
    <w:rsid w:val="008E78B9"/>
    <w:rsid w:val="008F232D"/>
    <w:rsid w:val="00901F1C"/>
    <w:rsid w:val="0090543D"/>
    <w:rsid w:val="009056C5"/>
    <w:rsid w:val="00907C33"/>
    <w:rsid w:val="0091292E"/>
    <w:rsid w:val="00913DF1"/>
    <w:rsid w:val="00917066"/>
    <w:rsid w:val="00923942"/>
    <w:rsid w:val="009262F2"/>
    <w:rsid w:val="00927733"/>
    <w:rsid w:val="00937791"/>
    <w:rsid w:val="00951933"/>
    <w:rsid w:val="00951A56"/>
    <w:rsid w:val="00954343"/>
    <w:rsid w:val="00955269"/>
    <w:rsid w:val="00955271"/>
    <w:rsid w:val="00963C9C"/>
    <w:rsid w:val="00964D27"/>
    <w:rsid w:val="00965B6B"/>
    <w:rsid w:val="00971EDB"/>
    <w:rsid w:val="00974D50"/>
    <w:rsid w:val="00981FEF"/>
    <w:rsid w:val="009843A5"/>
    <w:rsid w:val="00986EB7"/>
    <w:rsid w:val="00987ABE"/>
    <w:rsid w:val="00991EE4"/>
    <w:rsid w:val="009939DC"/>
    <w:rsid w:val="00993B9C"/>
    <w:rsid w:val="0099496F"/>
    <w:rsid w:val="00997C53"/>
    <w:rsid w:val="009B4E1E"/>
    <w:rsid w:val="009C02F5"/>
    <w:rsid w:val="009C03FB"/>
    <w:rsid w:val="009C068B"/>
    <w:rsid w:val="009C4929"/>
    <w:rsid w:val="009C4B4F"/>
    <w:rsid w:val="009D6610"/>
    <w:rsid w:val="009F0C02"/>
    <w:rsid w:val="009F142F"/>
    <w:rsid w:val="009F5758"/>
    <w:rsid w:val="00A0283F"/>
    <w:rsid w:val="00A04F4A"/>
    <w:rsid w:val="00A05ED1"/>
    <w:rsid w:val="00A12FBC"/>
    <w:rsid w:val="00A15D66"/>
    <w:rsid w:val="00A26343"/>
    <w:rsid w:val="00A408B5"/>
    <w:rsid w:val="00A41E02"/>
    <w:rsid w:val="00A422D4"/>
    <w:rsid w:val="00A50ED7"/>
    <w:rsid w:val="00A529E2"/>
    <w:rsid w:val="00A539F8"/>
    <w:rsid w:val="00A57465"/>
    <w:rsid w:val="00A64141"/>
    <w:rsid w:val="00A6491A"/>
    <w:rsid w:val="00A6594E"/>
    <w:rsid w:val="00A718C1"/>
    <w:rsid w:val="00A727B6"/>
    <w:rsid w:val="00A81CC6"/>
    <w:rsid w:val="00A83EC6"/>
    <w:rsid w:val="00A85F32"/>
    <w:rsid w:val="00A8732C"/>
    <w:rsid w:val="00A87B11"/>
    <w:rsid w:val="00A9062D"/>
    <w:rsid w:val="00A90EC0"/>
    <w:rsid w:val="00A93F58"/>
    <w:rsid w:val="00A96329"/>
    <w:rsid w:val="00AA134B"/>
    <w:rsid w:val="00AA2CFE"/>
    <w:rsid w:val="00AA5F69"/>
    <w:rsid w:val="00AA5FDA"/>
    <w:rsid w:val="00AA6291"/>
    <w:rsid w:val="00AB5DC2"/>
    <w:rsid w:val="00AC0C91"/>
    <w:rsid w:val="00AD37D4"/>
    <w:rsid w:val="00AD7986"/>
    <w:rsid w:val="00AE0BCD"/>
    <w:rsid w:val="00AE1188"/>
    <w:rsid w:val="00AE4230"/>
    <w:rsid w:val="00AE738C"/>
    <w:rsid w:val="00AE73ED"/>
    <w:rsid w:val="00AF0C43"/>
    <w:rsid w:val="00AF1046"/>
    <w:rsid w:val="00AF1D7B"/>
    <w:rsid w:val="00AF4466"/>
    <w:rsid w:val="00AF5D1E"/>
    <w:rsid w:val="00AF7CE1"/>
    <w:rsid w:val="00B040A9"/>
    <w:rsid w:val="00B07742"/>
    <w:rsid w:val="00B103F5"/>
    <w:rsid w:val="00B12E51"/>
    <w:rsid w:val="00B1711E"/>
    <w:rsid w:val="00B17CBE"/>
    <w:rsid w:val="00B17E26"/>
    <w:rsid w:val="00B231A4"/>
    <w:rsid w:val="00B2514B"/>
    <w:rsid w:val="00B25D20"/>
    <w:rsid w:val="00B27FDE"/>
    <w:rsid w:val="00B31691"/>
    <w:rsid w:val="00B31C99"/>
    <w:rsid w:val="00B36BC4"/>
    <w:rsid w:val="00B42A33"/>
    <w:rsid w:val="00B47344"/>
    <w:rsid w:val="00B515D5"/>
    <w:rsid w:val="00B5303B"/>
    <w:rsid w:val="00B53BA6"/>
    <w:rsid w:val="00B565AA"/>
    <w:rsid w:val="00B5731D"/>
    <w:rsid w:val="00B6378B"/>
    <w:rsid w:val="00B63E3A"/>
    <w:rsid w:val="00B71FE7"/>
    <w:rsid w:val="00B75965"/>
    <w:rsid w:val="00B771AD"/>
    <w:rsid w:val="00B77A25"/>
    <w:rsid w:val="00B814CB"/>
    <w:rsid w:val="00B850AE"/>
    <w:rsid w:val="00B87362"/>
    <w:rsid w:val="00B96CC0"/>
    <w:rsid w:val="00BA0CF8"/>
    <w:rsid w:val="00BA1ADF"/>
    <w:rsid w:val="00BA20E0"/>
    <w:rsid w:val="00BA363E"/>
    <w:rsid w:val="00BA51FC"/>
    <w:rsid w:val="00BB003A"/>
    <w:rsid w:val="00BB2ABA"/>
    <w:rsid w:val="00BB3358"/>
    <w:rsid w:val="00BB3382"/>
    <w:rsid w:val="00BB34EA"/>
    <w:rsid w:val="00BB3643"/>
    <w:rsid w:val="00BC3DA0"/>
    <w:rsid w:val="00BC424B"/>
    <w:rsid w:val="00BC7006"/>
    <w:rsid w:val="00BC73A8"/>
    <w:rsid w:val="00BD1096"/>
    <w:rsid w:val="00BD5DCE"/>
    <w:rsid w:val="00BE0FDE"/>
    <w:rsid w:val="00BE2E82"/>
    <w:rsid w:val="00BF5111"/>
    <w:rsid w:val="00BF6AC5"/>
    <w:rsid w:val="00BF7853"/>
    <w:rsid w:val="00C01121"/>
    <w:rsid w:val="00C0268A"/>
    <w:rsid w:val="00C030A5"/>
    <w:rsid w:val="00C05886"/>
    <w:rsid w:val="00C05A45"/>
    <w:rsid w:val="00C05B82"/>
    <w:rsid w:val="00C0796F"/>
    <w:rsid w:val="00C11B34"/>
    <w:rsid w:val="00C12C5C"/>
    <w:rsid w:val="00C13BDE"/>
    <w:rsid w:val="00C150C3"/>
    <w:rsid w:val="00C159B1"/>
    <w:rsid w:val="00C171FB"/>
    <w:rsid w:val="00C172C7"/>
    <w:rsid w:val="00C209C2"/>
    <w:rsid w:val="00C2267F"/>
    <w:rsid w:val="00C22AD8"/>
    <w:rsid w:val="00C26D87"/>
    <w:rsid w:val="00C3557E"/>
    <w:rsid w:val="00C3594B"/>
    <w:rsid w:val="00C42017"/>
    <w:rsid w:val="00C43102"/>
    <w:rsid w:val="00C436E2"/>
    <w:rsid w:val="00C4535D"/>
    <w:rsid w:val="00C4606A"/>
    <w:rsid w:val="00C4696B"/>
    <w:rsid w:val="00C50513"/>
    <w:rsid w:val="00C54503"/>
    <w:rsid w:val="00C554B1"/>
    <w:rsid w:val="00C579EE"/>
    <w:rsid w:val="00C63055"/>
    <w:rsid w:val="00C64872"/>
    <w:rsid w:val="00C70CC5"/>
    <w:rsid w:val="00C73B62"/>
    <w:rsid w:val="00C776B1"/>
    <w:rsid w:val="00C778DD"/>
    <w:rsid w:val="00C8131B"/>
    <w:rsid w:val="00C815FE"/>
    <w:rsid w:val="00C81FA0"/>
    <w:rsid w:val="00C82652"/>
    <w:rsid w:val="00C847AE"/>
    <w:rsid w:val="00C857F5"/>
    <w:rsid w:val="00C85FB8"/>
    <w:rsid w:val="00C878DA"/>
    <w:rsid w:val="00CA04C6"/>
    <w:rsid w:val="00CA26DD"/>
    <w:rsid w:val="00CB12EC"/>
    <w:rsid w:val="00CB5308"/>
    <w:rsid w:val="00CB6642"/>
    <w:rsid w:val="00CC09D7"/>
    <w:rsid w:val="00CC12B8"/>
    <w:rsid w:val="00CC5AB1"/>
    <w:rsid w:val="00CC71D6"/>
    <w:rsid w:val="00CD1340"/>
    <w:rsid w:val="00CD22E3"/>
    <w:rsid w:val="00CD4E44"/>
    <w:rsid w:val="00CD5AE4"/>
    <w:rsid w:val="00CD7A7D"/>
    <w:rsid w:val="00CF1F6D"/>
    <w:rsid w:val="00CF2D8E"/>
    <w:rsid w:val="00CF2DFA"/>
    <w:rsid w:val="00CF59A8"/>
    <w:rsid w:val="00CF5AD8"/>
    <w:rsid w:val="00CF5E9B"/>
    <w:rsid w:val="00D00122"/>
    <w:rsid w:val="00D01D2A"/>
    <w:rsid w:val="00D10B47"/>
    <w:rsid w:val="00D110E0"/>
    <w:rsid w:val="00D11EB1"/>
    <w:rsid w:val="00D16F06"/>
    <w:rsid w:val="00D17F17"/>
    <w:rsid w:val="00D220C1"/>
    <w:rsid w:val="00D23597"/>
    <w:rsid w:val="00D301A2"/>
    <w:rsid w:val="00D30BDC"/>
    <w:rsid w:val="00D30F4A"/>
    <w:rsid w:val="00D31D00"/>
    <w:rsid w:val="00D435D6"/>
    <w:rsid w:val="00D5041E"/>
    <w:rsid w:val="00D54F0A"/>
    <w:rsid w:val="00D57F88"/>
    <w:rsid w:val="00D60F9A"/>
    <w:rsid w:val="00D63D23"/>
    <w:rsid w:val="00D7105C"/>
    <w:rsid w:val="00D73646"/>
    <w:rsid w:val="00D7659D"/>
    <w:rsid w:val="00D777B4"/>
    <w:rsid w:val="00D77A90"/>
    <w:rsid w:val="00D8360B"/>
    <w:rsid w:val="00D84C58"/>
    <w:rsid w:val="00D85676"/>
    <w:rsid w:val="00D90266"/>
    <w:rsid w:val="00D9086F"/>
    <w:rsid w:val="00D96ADA"/>
    <w:rsid w:val="00DA2886"/>
    <w:rsid w:val="00DA5E50"/>
    <w:rsid w:val="00DA7D0C"/>
    <w:rsid w:val="00DB311C"/>
    <w:rsid w:val="00DB432D"/>
    <w:rsid w:val="00DB519B"/>
    <w:rsid w:val="00DB62B2"/>
    <w:rsid w:val="00DC3301"/>
    <w:rsid w:val="00DC7694"/>
    <w:rsid w:val="00DC7D31"/>
    <w:rsid w:val="00DC7FBE"/>
    <w:rsid w:val="00DD130E"/>
    <w:rsid w:val="00DD308E"/>
    <w:rsid w:val="00DE5ECF"/>
    <w:rsid w:val="00DF0C51"/>
    <w:rsid w:val="00DF0D47"/>
    <w:rsid w:val="00DF1224"/>
    <w:rsid w:val="00DF1652"/>
    <w:rsid w:val="00DF2649"/>
    <w:rsid w:val="00DF6D37"/>
    <w:rsid w:val="00E01112"/>
    <w:rsid w:val="00E02B36"/>
    <w:rsid w:val="00E048ED"/>
    <w:rsid w:val="00E04FB3"/>
    <w:rsid w:val="00E058F2"/>
    <w:rsid w:val="00E05D9C"/>
    <w:rsid w:val="00E06102"/>
    <w:rsid w:val="00E20952"/>
    <w:rsid w:val="00E23E71"/>
    <w:rsid w:val="00E30F19"/>
    <w:rsid w:val="00E31A37"/>
    <w:rsid w:val="00E33C4A"/>
    <w:rsid w:val="00E357B9"/>
    <w:rsid w:val="00E41719"/>
    <w:rsid w:val="00E4321E"/>
    <w:rsid w:val="00E44AFE"/>
    <w:rsid w:val="00E44B80"/>
    <w:rsid w:val="00E47623"/>
    <w:rsid w:val="00E56603"/>
    <w:rsid w:val="00E60529"/>
    <w:rsid w:val="00E641EF"/>
    <w:rsid w:val="00E643DB"/>
    <w:rsid w:val="00E67B0F"/>
    <w:rsid w:val="00E70D86"/>
    <w:rsid w:val="00E7628E"/>
    <w:rsid w:val="00E82F54"/>
    <w:rsid w:val="00E8649B"/>
    <w:rsid w:val="00E86DA3"/>
    <w:rsid w:val="00E871CD"/>
    <w:rsid w:val="00E90990"/>
    <w:rsid w:val="00E91961"/>
    <w:rsid w:val="00E95D3D"/>
    <w:rsid w:val="00EA0E25"/>
    <w:rsid w:val="00EA173C"/>
    <w:rsid w:val="00EA7E75"/>
    <w:rsid w:val="00EB6B8E"/>
    <w:rsid w:val="00EC0F32"/>
    <w:rsid w:val="00EC127A"/>
    <w:rsid w:val="00EC1537"/>
    <w:rsid w:val="00EC183F"/>
    <w:rsid w:val="00EC1FF9"/>
    <w:rsid w:val="00EC2737"/>
    <w:rsid w:val="00EC6CF5"/>
    <w:rsid w:val="00ED4780"/>
    <w:rsid w:val="00ED5110"/>
    <w:rsid w:val="00ED5D41"/>
    <w:rsid w:val="00EE2716"/>
    <w:rsid w:val="00EE6450"/>
    <w:rsid w:val="00EE7F6A"/>
    <w:rsid w:val="00EF0733"/>
    <w:rsid w:val="00F01C2C"/>
    <w:rsid w:val="00F04E98"/>
    <w:rsid w:val="00F05828"/>
    <w:rsid w:val="00F10ED8"/>
    <w:rsid w:val="00F15237"/>
    <w:rsid w:val="00F202A5"/>
    <w:rsid w:val="00F222BE"/>
    <w:rsid w:val="00F24179"/>
    <w:rsid w:val="00F27E28"/>
    <w:rsid w:val="00F301F1"/>
    <w:rsid w:val="00F30C22"/>
    <w:rsid w:val="00F33F1A"/>
    <w:rsid w:val="00F35024"/>
    <w:rsid w:val="00F373D1"/>
    <w:rsid w:val="00F400AD"/>
    <w:rsid w:val="00F40B68"/>
    <w:rsid w:val="00F414BD"/>
    <w:rsid w:val="00F41CE8"/>
    <w:rsid w:val="00F547F7"/>
    <w:rsid w:val="00F54CCF"/>
    <w:rsid w:val="00F55CB3"/>
    <w:rsid w:val="00F61D7A"/>
    <w:rsid w:val="00F637B3"/>
    <w:rsid w:val="00F66CF7"/>
    <w:rsid w:val="00F676B7"/>
    <w:rsid w:val="00F67BCB"/>
    <w:rsid w:val="00F73F4A"/>
    <w:rsid w:val="00F754A2"/>
    <w:rsid w:val="00F76645"/>
    <w:rsid w:val="00F7770E"/>
    <w:rsid w:val="00F77C57"/>
    <w:rsid w:val="00F8020E"/>
    <w:rsid w:val="00F813C7"/>
    <w:rsid w:val="00F83566"/>
    <w:rsid w:val="00F83A9D"/>
    <w:rsid w:val="00F84FC7"/>
    <w:rsid w:val="00F906B5"/>
    <w:rsid w:val="00F93784"/>
    <w:rsid w:val="00F954B0"/>
    <w:rsid w:val="00F971CC"/>
    <w:rsid w:val="00FA2CAA"/>
    <w:rsid w:val="00FA3DA1"/>
    <w:rsid w:val="00FA5205"/>
    <w:rsid w:val="00FA6554"/>
    <w:rsid w:val="00FA67CF"/>
    <w:rsid w:val="00FB2702"/>
    <w:rsid w:val="00FB2CE7"/>
    <w:rsid w:val="00FC278E"/>
    <w:rsid w:val="00FC4F75"/>
    <w:rsid w:val="00FC6670"/>
    <w:rsid w:val="00FD7FCB"/>
    <w:rsid w:val="00FE000C"/>
    <w:rsid w:val="00FE16C1"/>
    <w:rsid w:val="00FE19FF"/>
    <w:rsid w:val="00FE33A6"/>
    <w:rsid w:val="00FE4BFD"/>
    <w:rsid w:val="00FE5452"/>
    <w:rsid w:val="00FF59A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24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3">
    <w:name w:val="heading 3"/>
    <w:basedOn w:val="Normal"/>
    <w:next w:val="Normal"/>
    <w:link w:val="Heading3Char"/>
    <w:uiPriority w:val="9"/>
    <w:semiHidden/>
    <w:unhideWhenUsed/>
    <w:qFormat/>
    <w:rsid w:val="00E2095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unhideWhenUsed/>
    <w:rsid w:val="005A6AB9"/>
    <w:rPr>
      <w:sz w:val="16"/>
      <w:szCs w:val="16"/>
    </w:rPr>
  </w:style>
  <w:style w:type="paragraph" w:styleId="CommentText">
    <w:name w:val="annotation text"/>
    <w:aliases w:val="Comment Text Char Char Char Char Char Char1 Ch,Comment Text Char Char1,Comment Text Char Char1 Char Char,Comment Text Char1 Char Char Char Char1 Char,Comment Text Char2,Comment Text Char2 Char Char"/>
    <w:basedOn w:val="Normal"/>
    <w:link w:val="CommentTextChar"/>
    <w:uiPriority w:val="99"/>
    <w:unhideWhenUsed/>
    <w:qFormat/>
    <w:rsid w:val="005A6AB9"/>
    <w:rPr>
      <w:szCs w:val="20"/>
    </w:rPr>
  </w:style>
  <w:style w:type="character" w:customStyle="1" w:styleId="CommentTextChar">
    <w:name w:val="Comment Text Char"/>
    <w:aliases w:val="Comment Text Char Char Char Char Char Char1 Ch Char,Comment Text Char Char1 Char,Comment Text Char Char1 Char Char Char,Comment Text Char1 Char Char Char Char1 Char Char,Comment Text Char2 Char,Comment Text Char2 Char Char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character" w:styleId="FollowedHyperlink">
    <w:name w:val="FollowedHyperlink"/>
    <w:basedOn w:val="DefaultParagraphFont"/>
    <w:uiPriority w:val="99"/>
    <w:semiHidden/>
    <w:unhideWhenUsed/>
    <w:rsid w:val="00753AD6"/>
    <w:rPr>
      <w:color w:val="800080" w:themeColor="followedHyperlink"/>
      <w:u w:val="single"/>
    </w:rPr>
  </w:style>
  <w:style w:type="paragraph" w:styleId="Caption">
    <w:name w:val="caption"/>
    <w:basedOn w:val="Normal"/>
    <w:next w:val="Normal"/>
    <w:uiPriority w:val="1"/>
    <w:unhideWhenUsed/>
    <w:qFormat/>
    <w:rsid w:val="00C64872"/>
    <w:pPr>
      <w:spacing w:before="0" w:after="200"/>
    </w:pPr>
    <w:rPr>
      <w:i/>
      <w:iCs/>
      <w:color w:val="1F497D" w:themeColor="text2"/>
      <w:sz w:val="18"/>
      <w:szCs w:val="18"/>
    </w:rPr>
  </w:style>
  <w:style w:type="paragraph" w:customStyle="1" w:styleId="TableText">
    <w:name w:val="TableText"/>
    <w:basedOn w:val="Normal"/>
    <w:link w:val="TableTextChar"/>
    <w:uiPriority w:val="1"/>
    <w:qFormat/>
    <w:rsid w:val="00A50ED7"/>
    <w:pPr>
      <w:spacing w:before="20" w:after="20"/>
    </w:pPr>
    <w:rPr>
      <w:rFonts w:ascii="Calibri" w:eastAsia="Times New Roman" w:hAnsi="Calibri" w:cs="Calibri"/>
      <w:bCs/>
      <w:szCs w:val="20"/>
      <w:lang w:eastAsia="zh-CN"/>
    </w:rPr>
  </w:style>
  <w:style w:type="character" w:customStyle="1" w:styleId="TableTextChar">
    <w:name w:val="TableText Char"/>
    <w:basedOn w:val="DefaultParagraphFont"/>
    <w:link w:val="TableText"/>
    <w:uiPriority w:val="1"/>
    <w:rsid w:val="00A50ED7"/>
    <w:rPr>
      <w:rFonts w:ascii="Calibri" w:eastAsia="Times New Roman" w:hAnsi="Calibri" w:cs="Calibri"/>
      <w:bCs/>
      <w:sz w:val="20"/>
      <w:szCs w:val="20"/>
      <w:lang w:eastAsia="zh-CN"/>
    </w:rPr>
  </w:style>
  <w:style w:type="paragraph" w:customStyle="1" w:styleId="SourceNotes">
    <w:name w:val="SourceNotes"/>
    <w:basedOn w:val="Normal"/>
    <w:next w:val="Normal"/>
    <w:link w:val="SourceNotesChar"/>
    <w:uiPriority w:val="2"/>
    <w:qFormat/>
    <w:rsid w:val="00A50ED7"/>
    <w:pPr>
      <w:tabs>
        <w:tab w:val="left" w:pos="1100"/>
      </w:tabs>
      <w:spacing w:before="0" w:after="0"/>
      <w:ind w:left="1100" w:hanging="1100"/>
    </w:pPr>
    <w:rPr>
      <w:rFonts w:ascii="Calibri" w:eastAsiaTheme="minorEastAsia" w:hAnsi="Calibri"/>
      <w:sz w:val="18"/>
      <w:szCs w:val="18"/>
    </w:rPr>
  </w:style>
  <w:style w:type="character" w:customStyle="1" w:styleId="SourceNotesChar">
    <w:name w:val="SourceNotes Char"/>
    <w:basedOn w:val="DefaultParagraphFont"/>
    <w:link w:val="SourceNotes"/>
    <w:uiPriority w:val="2"/>
    <w:rsid w:val="00A50ED7"/>
    <w:rPr>
      <w:rFonts w:ascii="Calibri" w:eastAsiaTheme="minorEastAsia" w:hAnsi="Calibri"/>
      <w:sz w:val="18"/>
      <w:szCs w:val="18"/>
    </w:rPr>
  </w:style>
  <w:style w:type="character" w:customStyle="1" w:styleId="Heading3Char">
    <w:name w:val="Heading 3 Char"/>
    <w:basedOn w:val="DefaultParagraphFont"/>
    <w:link w:val="Heading3"/>
    <w:uiPriority w:val="9"/>
    <w:semiHidden/>
    <w:rsid w:val="00E20952"/>
    <w:rPr>
      <w:rFonts w:asciiTheme="majorHAnsi" w:eastAsiaTheme="majorEastAsia" w:hAnsiTheme="majorHAnsi" w:cstheme="majorBidi"/>
      <w:color w:val="243F60" w:themeColor="accent1" w:themeShade="7F"/>
      <w:sz w:val="24"/>
      <w:szCs w:val="24"/>
    </w:rPr>
  </w:style>
  <w:style w:type="paragraph" w:styleId="Bibliography">
    <w:name w:val="Bibliography"/>
    <w:basedOn w:val="Normal"/>
    <w:next w:val="Normal"/>
    <w:uiPriority w:val="37"/>
    <w:unhideWhenUsed/>
    <w:rsid w:val="006C3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043">
      <w:bodyDiv w:val="1"/>
      <w:marLeft w:val="0"/>
      <w:marRight w:val="0"/>
      <w:marTop w:val="0"/>
      <w:marBottom w:val="0"/>
      <w:divBdr>
        <w:top w:val="none" w:sz="0" w:space="0" w:color="auto"/>
        <w:left w:val="none" w:sz="0" w:space="0" w:color="auto"/>
        <w:bottom w:val="none" w:sz="0" w:space="0" w:color="auto"/>
        <w:right w:val="none" w:sz="0" w:space="0" w:color="auto"/>
      </w:divBdr>
    </w:div>
    <w:div w:id="6559647">
      <w:bodyDiv w:val="1"/>
      <w:marLeft w:val="0"/>
      <w:marRight w:val="0"/>
      <w:marTop w:val="0"/>
      <w:marBottom w:val="0"/>
      <w:divBdr>
        <w:top w:val="none" w:sz="0" w:space="0" w:color="auto"/>
        <w:left w:val="none" w:sz="0" w:space="0" w:color="auto"/>
        <w:bottom w:val="none" w:sz="0" w:space="0" w:color="auto"/>
        <w:right w:val="none" w:sz="0" w:space="0" w:color="auto"/>
      </w:divBdr>
    </w:div>
    <w:div w:id="36315948">
      <w:bodyDiv w:val="1"/>
      <w:marLeft w:val="0"/>
      <w:marRight w:val="0"/>
      <w:marTop w:val="0"/>
      <w:marBottom w:val="0"/>
      <w:divBdr>
        <w:top w:val="none" w:sz="0" w:space="0" w:color="auto"/>
        <w:left w:val="none" w:sz="0" w:space="0" w:color="auto"/>
        <w:bottom w:val="none" w:sz="0" w:space="0" w:color="auto"/>
        <w:right w:val="none" w:sz="0" w:space="0" w:color="auto"/>
      </w:divBdr>
    </w:div>
    <w:div w:id="39792256">
      <w:bodyDiv w:val="1"/>
      <w:marLeft w:val="0"/>
      <w:marRight w:val="0"/>
      <w:marTop w:val="0"/>
      <w:marBottom w:val="0"/>
      <w:divBdr>
        <w:top w:val="none" w:sz="0" w:space="0" w:color="auto"/>
        <w:left w:val="none" w:sz="0" w:space="0" w:color="auto"/>
        <w:bottom w:val="none" w:sz="0" w:space="0" w:color="auto"/>
        <w:right w:val="none" w:sz="0" w:space="0" w:color="auto"/>
      </w:divBdr>
    </w:div>
    <w:div w:id="44067230">
      <w:bodyDiv w:val="1"/>
      <w:marLeft w:val="0"/>
      <w:marRight w:val="0"/>
      <w:marTop w:val="0"/>
      <w:marBottom w:val="0"/>
      <w:divBdr>
        <w:top w:val="none" w:sz="0" w:space="0" w:color="auto"/>
        <w:left w:val="none" w:sz="0" w:space="0" w:color="auto"/>
        <w:bottom w:val="none" w:sz="0" w:space="0" w:color="auto"/>
        <w:right w:val="none" w:sz="0" w:space="0" w:color="auto"/>
      </w:divBdr>
    </w:div>
    <w:div w:id="58751527">
      <w:bodyDiv w:val="1"/>
      <w:marLeft w:val="0"/>
      <w:marRight w:val="0"/>
      <w:marTop w:val="0"/>
      <w:marBottom w:val="0"/>
      <w:divBdr>
        <w:top w:val="none" w:sz="0" w:space="0" w:color="auto"/>
        <w:left w:val="none" w:sz="0" w:space="0" w:color="auto"/>
        <w:bottom w:val="none" w:sz="0" w:space="0" w:color="auto"/>
        <w:right w:val="none" w:sz="0" w:space="0" w:color="auto"/>
      </w:divBdr>
    </w:div>
    <w:div w:id="60176768">
      <w:bodyDiv w:val="1"/>
      <w:marLeft w:val="0"/>
      <w:marRight w:val="0"/>
      <w:marTop w:val="0"/>
      <w:marBottom w:val="0"/>
      <w:divBdr>
        <w:top w:val="none" w:sz="0" w:space="0" w:color="auto"/>
        <w:left w:val="none" w:sz="0" w:space="0" w:color="auto"/>
        <w:bottom w:val="none" w:sz="0" w:space="0" w:color="auto"/>
        <w:right w:val="none" w:sz="0" w:space="0" w:color="auto"/>
      </w:divBdr>
    </w:div>
    <w:div w:id="68692249">
      <w:bodyDiv w:val="1"/>
      <w:marLeft w:val="0"/>
      <w:marRight w:val="0"/>
      <w:marTop w:val="0"/>
      <w:marBottom w:val="0"/>
      <w:divBdr>
        <w:top w:val="none" w:sz="0" w:space="0" w:color="auto"/>
        <w:left w:val="none" w:sz="0" w:space="0" w:color="auto"/>
        <w:bottom w:val="none" w:sz="0" w:space="0" w:color="auto"/>
        <w:right w:val="none" w:sz="0" w:space="0" w:color="auto"/>
      </w:divBdr>
    </w:div>
    <w:div w:id="75367072">
      <w:bodyDiv w:val="1"/>
      <w:marLeft w:val="0"/>
      <w:marRight w:val="0"/>
      <w:marTop w:val="0"/>
      <w:marBottom w:val="0"/>
      <w:divBdr>
        <w:top w:val="none" w:sz="0" w:space="0" w:color="auto"/>
        <w:left w:val="none" w:sz="0" w:space="0" w:color="auto"/>
        <w:bottom w:val="none" w:sz="0" w:space="0" w:color="auto"/>
        <w:right w:val="none" w:sz="0" w:space="0" w:color="auto"/>
      </w:divBdr>
    </w:div>
    <w:div w:id="77795208">
      <w:bodyDiv w:val="1"/>
      <w:marLeft w:val="0"/>
      <w:marRight w:val="0"/>
      <w:marTop w:val="0"/>
      <w:marBottom w:val="0"/>
      <w:divBdr>
        <w:top w:val="none" w:sz="0" w:space="0" w:color="auto"/>
        <w:left w:val="none" w:sz="0" w:space="0" w:color="auto"/>
        <w:bottom w:val="none" w:sz="0" w:space="0" w:color="auto"/>
        <w:right w:val="none" w:sz="0" w:space="0" w:color="auto"/>
      </w:divBdr>
    </w:div>
    <w:div w:id="82922979">
      <w:bodyDiv w:val="1"/>
      <w:marLeft w:val="0"/>
      <w:marRight w:val="0"/>
      <w:marTop w:val="0"/>
      <w:marBottom w:val="0"/>
      <w:divBdr>
        <w:top w:val="none" w:sz="0" w:space="0" w:color="auto"/>
        <w:left w:val="none" w:sz="0" w:space="0" w:color="auto"/>
        <w:bottom w:val="none" w:sz="0" w:space="0" w:color="auto"/>
        <w:right w:val="none" w:sz="0" w:space="0" w:color="auto"/>
      </w:divBdr>
    </w:div>
    <w:div w:id="92896321">
      <w:bodyDiv w:val="1"/>
      <w:marLeft w:val="0"/>
      <w:marRight w:val="0"/>
      <w:marTop w:val="0"/>
      <w:marBottom w:val="0"/>
      <w:divBdr>
        <w:top w:val="none" w:sz="0" w:space="0" w:color="auto"/>
        <w:left w:val="none" w:sz="0" w:space="0" w:color="auto"/>
        <w:bottom w:val="none" w:sz="0" w:space="0" w:color="auto"/>
        <w:right w:val="none" w:sz="0" w:space="0" w:color="auto"/>
      </w:divBdr>
    </w:div>
    <w:div w:id="99424060">
      <w:bodyDiv w:val="1"/>
      <w:marLeft w:val="0"/>
      <w:marRight w:val="0"/>
      <w:marTop w:val="0"/>
      <w:marBottom w:val="0"/>
      <w:divBdr>
        <w:top w:val="none" w:sz="0" w:space="0" w:color="auto"/>
        <w:left w:val="none" w:sz="0" w:space="0" w:color="auto"/>
        <w:bottom w:val="none" w:sz="0" w:space="0" w:color="auto"/>
        <w:right w:val="none" w:sz="0" w:space="0" w:color="auto"/>
      </w:divBdr>
    </w:div>
    <w:div w:id="99879726">
      <w:bodyDiv w:val="1"/>
      <w:marLeft w:val="0"/>
      <w:marRight w:val="0"/>
      <w:marTop w:val="0"/>
      <w:marBottom w:val="0"/>
      <w:divBdr>
        <w:top w:val="none" w:sz="0" w:space="0" w:color="auto"/>
        <w:left w:val="none" w:sz="0" w:space="0" w:color="auto"/>
        <w:bottom w:val="none" w:sz="0" w:space="0" w:color="auto"/>
        <w:right w:val="none" w:sz="0" w:space="0" w:color="auto"/>
      </w:divBdr>
    </w:div>
    <w:div w:id="105468673">
      <w:bodyDiv w:val="1"/>
      <w:marLeft w:val="0"/>
      <w:marRight w:val="0"/>
      <w:marTop w:val="0"/>
      <w:marBottom w:val="0"/>
      <w:divBdr>
        <w:top w:val="none" w:sz="0" w:space="0" w:color="auto"/>
        <w:left w:val="none" w:sz="0" w:space="0" w:color="auto"/>
        <w:bottom w:val="none" w:sz="0" w:space="0" w:color="auto"/>
        <w:right w:val="none" w:sz="0" w:space="0" w:color="auto"/>
      </w:divBdr>
    </w:div>
    <w:div w:id="107941177">
      <w:bodyDiv w:val="1"/>
      <w:marLeft w:val="0"/>
      <w:marRight w:val="0"/>
      <w:marTop w:val="0"/>
      <w:marBottom w:val="0"/>
      <w:divBdr>
        <w:top w:val="none" w:sz="0" w:space="0" w:color="auto"/>
        <w:left w:val="none" w:sz="0" w:space="0" w:color="auto"/>
        <w:bottom w:val="none" w:sz="0" w:space="0" w:color="auto"/>
        <w:right w:val="none" w:sz="0" w:space="0" w:color="auto"/>
      </w:divBdr>
    </w:div>
    <w:div w:id="108865976">
      <w:bodyDiv w:val="1"/>
      <w:marLeft w:val="0"/>
      <w:marRight w:val="0"/>
      <w:marTop w:val="0"/>
      <w:marBottom w:val="0"/>
      <w:divBdr>
        <w:top w:val="none" w:sz="0" w:space="0" w:color="auto"/>
        <w:left w:val="none" w:sz="0" w:space="0" w:color="auto"/>
        <w:bottom w:val="none" w:sz="0" w:space="0" w:color="auto"/>
        <w:right w:val="none" w:sz="0" w:space="0" w:color="auto"/>
      </w:divBdr>
    </w:div>
    <w:div w:id="114446930">
      <w:bodyDiv w:val="1"/>
      <w:marLeft w:val="0"/>
      <w:marRight w:val="0"/>
      <w:marTop w:val="0"/>
      <w:marBottom w:val="0"/>
      <w:divBdr>
        <w:top w:val="none" w:sz="0" w:space="0" w:color="auto"/>
        <w:left w:val="none" w:sz="0" w:space="0" w:color="auto"/>
        <w:bottom w:val="none" w:sz="0" w:space="0" w:color="auto"/>
        <w:right w:val="none" w:sz="0" w:space="0" w:color="auto"/>
      </w:divBdr>
    </w:div>
    <w:div w:id="115680044">
      <w:bodyDiv w:val="1"/>
      <w:marLeft w:val="0"/>
      <w:marRight w:val="0"/>
      <w:marTop w:val="0"/>
      <w:marBottom w:val="0"/>
      <w:divBdr>
        <w:top w:val="none" w:sz="0" w:space="0" w:color="auto"/>
        <w:left w:val="none" w:sz="0" w:space="0" w:color="auto"/>
        <w:bottom w:val="none" w:sz="0" w:space="0" w:color="auto"/>
        <w:right w:val="none" w:sz="0" w:space="0" w:color="auto"/>
      </w:divBdr>
    </w:div>
    <w:div w:id="121970320">
      <w:bodyDiv w:val="1"/>
      <w:marLeft w:val="0"/>
      <w:marRight w:val="0"/>
      <w:marTop w:val="0"/>
      <w:marBottom w:val="0"/>
      <w:divBdr>
        <w:top w:val="none" w:sz="0" w:space="0" w:color="auto"/>
        <w:left w:val="none" w:sz="0" w:space="0" w:color="auto"/>
        <w:bottom w:val="none" w:sz="0" w:space="0" w:color="auto"/>
        <w:right w:val="none" w:sz="0" w:space="0" w:color="auto"/>
      </w:divBdr>
    </w:div>
    <w:div w:id="126514145">
      <w:bodyDiv w:val="1"/>
      <w:marLeft w:val="0"/>
      <w:marRight w:val="0"/>
      <w:marTop w:val="0"/>
      <w:marBottom w:val="0"/>
      <w:divBdr>
        <w:top w:val="none" w:sz="0" w:space="0" w:color="auto"/>
        <w:left w:val="none" w:sz="0" w:space="0" w:color="auto"/>
        <w:bottom w:val="none" w:sz="0" w:space="0" w:color="auto"/>
        <w:right w:val="none" w:sz="0" w:space="0" w:color="auto"/>
      </w:divBdr>
    </w:div>
    <w:div w:id="127286512">
      <w:bodyDiv w:val="1"/>
      <w:marLeft w:val="0"/>
      <w:marRight w:val="0"/>
      <w:marTop w:val="0"/>
      <w:marBottom w:val="0"/>
      <w:divBdr>
        <w:top w:val="none" w:sz="0" w:space="0" w:color="auto"/>
        <w:left w:val="none" w:sz="0" w:space="0" w:color="auto"/>
        <w:bottom w:val="none" w:sz="0" w:space="0" w:color="auto"/>
        <w:right w:val="none" w:sz="0" w:space="0" w:color="auto"/>
      </w:divBdr>
    </w:div>
    <w:div w:id="128013166">
      <w:bodyDiv w:val="1"/>
      <w:marLeft w:val="0"/>
      <w:marRight w:val="0"/>
      <w:marTop w:val="0"/>
      <w:marBottom w:val="0"/>
      <w:divBdr>
        <w:top w:val="none" w:sz="0" w:space="0" w:color="auto"/>
        <w:left w:val="none" w:sz="0" w:space="0" w:color="auto"/>
        <w:bottom w:val="none" w:sz="0" w:space="0" w:color="auto"/>
        <w:right w:val="none" w:sz="0" w:space="0" w:color="auto"/>
      </w:divBdr>
    </w:div>
    <w:div w:id="134689809">
      <w:bodyDiv w:val="1"/>
      <w:marLeft w:val="0"/>
      <w:marRight w:val="0"/>
      <w:marTop w:val="0"/>
      <w:marBottom w:val="0"/>
      <w:divBdr>
        <w:top w:val="none" w:sz="0" w:space="0" w:color="auto"/>
        <w:left w:val="none" w:sz="0" w:space="0" w:color="auto"/>
        <w:bottom w:val="none" w:sz="0" w:space="0" w:color="auto"/>
        <w:right w:val="none" w:sz="0" w:space="0" w:color="auto"/>
      </w:divBdr>
    </w:div>
    <w:div w:id="139927424">
      <w:bodyDiv w:val="1"/>
      <w:marLeft w:val="0"/>
      <w:marRight w:val="0"/>
      <w:marTop w:val="0"/>
      <w:marBottom w:val="0"/>
      <w:divBdr>
        <w:top w:val="none" w:sz="0" w:space="0" w:color="auto"/>
        <w:left w:val="none" w:sz="0" w:space="0" w:color="auto"/>
        <w:bottom w:val="none" w:sz="0" w:space="0" w:color="auto"/>
        <w:right w:val="none" w:sz="0" w:space="0" w:color="auto"/>
      </w:divBdr>
    </w:div>
    <w:div w:id="147286009">
      <w:bodyDiv w:val="1"/>
      <w:marLeft w:val="0"/>
      <w:marRight w:val="0"/>
      <w:marTop w:val="0"/>
      <w:marBottom w:val="0"/>
      <w:divBdr>
        <w:top w:val="none" w:sz="0" w:space="0" w:color="auto"/>
        <w:left w:val="none" w:sz="0" w:space="0" w:color="auto"/>
        <w:bottom w:val="none" w:sz="0" w:space="0" w:color="auto"/>
        <w:right w:val="none" w:sz="0" w:space="0" w:color="auto"/>
      </w:divBdr>
    </w:div>
    <w:div w:id="160051945">
      <w:bodyDiv w:val="1"/>
      <w:marLeft w:val="0"/>
      <w:marRight w:val="0"/>
      <w:marTop w:val="0"/>
      <w:marBottom w:val="0"/>
      <w:divBdr>
        <w:top w:val="none" w:sz="0" w:space="0" w:color="auto"/>
        <w:left w:val="none" w:sz="0" w:space="0" w:color="auto"/>
        <w:bottom w:val="none" w:sz="0" w:space="0" w:color="auto"/>
        <w:right w:val="none" w:sz="0" w:space="0" w:color="auto"/>
      </w:divBdr>
    </w:div>
    <w:div w:id="164248295">
      <w:bodyDiv w:val="1"/>
      <w:marLeft w:val="0"/>
      <w:marRight w:val="0"/>
      <w:marTop w:val="0"/>
      <w:marBottom w:val="0"/>
      <w:divBdr>
        <w:top w:val="none" w:sz="0" w:space="0" w:color="auto"/>
        <w:left w:val="none" w:sz="0" w:space="0" w:color="auto"/>
        <w:bottom w:val="none" w:sz="0" w:space="0" w:color="auto"/>
        <w:right w:val="none" w:sz="0" w:space="0" w:color="auto"/>
      </w:divBdr>
    </w:div>
    <w:div w:id="178782707">
      <w:bodyDiv w:val="1"/>
      <w:marLeft w:val="0"/>
      <w:marRight w:val="0"/>
      <w:marTop w:val="0"/>
      <w:marBottom w:val="0"/>
      <w:divBdr>
        <w:top w:val="none" w:sz="0" w:space="0" w:color="auto"/>
        <w:left w:val="none" w:sz="0" w:space="0" w:color="auto"/>
        <w:bottom w:val="none" w:sz="0" w:space="0" w:color="auto"/>
        <w:right w:val="none" w:sz="0" w:space="0" w:color="auto"/>
      </w:divBdr>
    </w:div>
    <w:div w:id="201938267">
      <w:bodyDiv w:val="1"/>
      <w:marLeft w:val="0"/>
      <w:marRight w:val="0"/>
      <w:marTop w:val="0"/>
      <w:marBottom w:val="0"/>
      <w:divBdr>
        <w:top w:val="none" w:sz="0" w:space="0" w:color="auto"/>
        <w:left w:val="none" w:sz="0" w:space="0" w:color="auto"/>
        <w:bottom w:val="none" w:sz="0" w:space="0" w:color="auto"/>
        <w:right w:val="none" w:sz="0" w:space="0" w:color="auto"/>
      </w:divBdr>
    </w:div>
    <w:div w:id="208953933">
      <w:bodyDiv w:val="1"/>
      <w:marLeft w:val="0"/>
      <w:marRight w:val="0"/>
      <w:marTop w:val="0"/>
      <w:marBottom w:val="0"/>
      <w:divBdr>
        <w:top w:val="none" w:sz="0" w:space="0" w:color="auto"/>
        <w:left w:val="none" w:sz="0" w:space="0" w:color="auto"/>
        <w:bottom w:val="none" w:sz="0" w:space="0" w:color="auto"/>
        <w:right w:val="none" w:sz="0" w:space="0" w:color="auto"/>
      </w:divBdr>
    </w:div>
    <w:div w:id="229850495">
      <w:bodyDiv w:val="1"/>
      <w:marLeft w:val="0"/>
      <w:marRight w:val="0"/>
      <w:marTop w:val="0"/>
      <w:marBottom w:val="0"/>
      <w:divBdr>
        <w:top w:val="none" w:sz="0" w:space="0" w:color="auto"/>
        <w:left w:val="none" w:sz="0" w:space="0" w:color="auto"/>
        <w:bottom w:val="none" w:sz="0" w:space="0" w:color="auto"/>
        <w:right w:val="none" w:sz="0" w:space="0" w:color="auto"/>
      </w:divBdr>
    </w:div>
    <w:div w:id="230893382">
      <w:bodyDiv w:val="1"/>
      <w:marLeft w:val="0"/>
      <w:marRight w:val="0"/>
      <w:marTop w:val="0"/>
      <w:marBottom w:val="0"/>
      <w:divBdr>
        <w:top w:val="none" w:sz="0" w:space="0" w:color="auto"/>
        <w:left w:val="none" w:sz="0" w:space="0" w:color="auto"/>
        <w:bottom w:val="none" w:sz="0" w:space="0" w:color="auto"/>
        <w:right w:val="none" w:sz="0" w:space="0" w:color="auto"/>
      </w:divBdr>
    </w:div>
    <w:div w:id="250898327">
      <w:bodyDiv w:val="1"/>
      <w:marLeft w:val="0"/>
      <w:marRight w:val="0"/>
      <w:marTop w:val="0"/>
      <w:marBottom w:val="0"/>
      <w:divBdr>
        <w:top w:val="none" w:sz="0" w:space="0" w:color="auto"/>
        <w:left w:val="none" w:sz="0" w:space="0" w:color="auto"/>
        <w:bottom w:val="none" w:sz="0" w:space="0" w:color="auto"/>
        <w:right w:val="none" w:sz="0" w:space="0" w:color="auto"/>
      </w:divBdr>
    </w:div>
    <w:div w:id="276759367">
      <w:bodyDiv w:val="1"/>
      <w:marLeft w:val="0"/>
      <w:marRight w:val="0"/>
      <w:marTop w:val="0"/>
      <w:marBottom w:val="0"/>
      <w:divBdr>
        <w:top w:val="none" w:sz="0" w:space="0" w:color="auto"/>
        <w:left w:val="none" w:sz="0" w:space="0" w:color="auto"/>
        <w:bottom w:val="none" w:sz="0" w:space="0" w:color="auto"/>
        <w:right w:val="none" w:sz="0" w:space="0" w:color="auto"/>
      </w:divBdr>
    </w:div>
    <w:div w:id="277955530">
      <w:bodyDiv w:val="1"/>
      <w:marLeft w:val="0"/>
      <w:marRight w:val="0"/>
      <w:marTop w:val="0"/>
      <w:marBottom w:val="0"/>
      <w:divBdr>
        <w:top w:val="none" w:sz="0" w:space="0" w:color="auto"/>
        <w:left w:val="none" w:sz="0" w:space="0" w:color="auto"/>
        <w:bottom w:val="none" w:sz="0" w:space="0" w:color="auto"/>
        <w:right w:val="none" w:sz="0" w:space="0" w:color="auto"/>
      </w:divBdr>
    </w:div>
    <w:div w:id="285702565">
      <w:bodyDiv w:val="1"/>
      <w:marLeft w:val="0"/>
      <w:marRight w:val="0"/>
      <w:marTop w:val="0"/>
      <w:marBottom w:val="0"/>
      <w:divBdr>
        <w:top w:val="none" w:sz="0" w:space="0" w:color="auto"/>
        <w:left w:val="none" w:sz="0" w:space="0" w:color="auto"/>
        <w:bottom w:val="none" w:sz="0" w:space="0" w:color="auto"/>
        <w:right w:val="none" w:sz="0" w:space="0" w:color="auto"/>
      </w:divBdr>
    </w:div>
    <w:div w:id="286786114">
      <w:bodyDiv w:val="1"/>
      <w:marLeft w:val="0"/>
      <w:marRight w:val="0"/>
      <w:marTop w:val="0"/>
      <w:marBottom w:val="0"/>
      <w:divBdr>
        <w:top w:val="none" w:sz="0" w:space="0" w:color="auto"/>
        <w:left w:val="none" w:sz="0" w:space="0" w:color="auto"/>
        <w:bottom w:val="none" w:sz="0" w:space="0" w:color="auto"/>
        <w:right w:val="none" w:sz="0" w:space="0" w:color="auto"/>
      </w:divBdr>
    </w:div>
    <w:div w:id="287975709">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10867812">
      <w:bodyDiv w:val="1"/>
      <w:marLeft w:val="0"/>
      <w:marRight w:val="0"/>
      <w:marTop w:val="0"/>
      <w:marBottom w:val="0"/>
      <w:divBdr>
        <w:top w:val="none" w:sz="0" w:space="0" w:color="auto"/>
        <w:left w:val="none" w:sz="0" w:space="0" w:color="auto"/>
        <w:bottom w:val="none" w:sz="0" w:space="0" w:color="auto"/>
        <w:right w:val="none" w:sz="0" w:space="0" w:color="auto"/>
      </w:divBdr>
    </w:div>
    <w:div w:id="314577366">
      <w:bodyDiv w:val="1"/>
      <w:marLeft w:val="0"/>
      <w:marRight w:val="0"/>
      <w:marTop w:val="0"/>
      <w:marBottom w:val="0"/>
      <w:divBdr>
        <w:top w:val="none" w:sz="0" w:space="0" w:color="auto"/>
        <w:left w:val="none" w:sz="0" w:space="0" w:color="auto"/>
        <w:bottom w:val="none" w:sz="0" w:space="0" w:color="auto"/>
        <w:right w:val="none" w:sz="0" w:space="0" w:color="auto"/>
      </w:divBdr>
    </w:div>
    <w:div w:id="315689420">
      <w:bodyDiv w:val="1"/>
      <w:marLeft w:val="0"/>
      <w:marRight w:val="0"/>
      <w:marTop w:val="0"/>
      <w:marBottom w:val="0"/>
      <w:divBdr>
        <w:top w:val="none" w:sz="0" w:space="0" w:color="auto"/>
        <w:left w:val="none" w:sz="0" w:space="0" w:color="auto"/>
        <w:bottom w:val="none" w:sz="0" w:space="0" w:color="auto"/>
        <w:right w:val="none" w:sz="0" w:space="0" w:color="auto"/>
      </w:divBdr>
    </w:div>
    <w:div w:id="316492812">
      <w:bodyDiv w:val="1"/>
      <w:marLeft w:val="0"/>
      <w:marRight w:val="0"/>
      <w:marTop w:val="0"/>
      <w:marBottom w:val="0"/>
      <w:divBdr>
        <w:top w:val="none" w:sz="0" w:space="0" w:color="auto"/>
        <w:left w:val="none" w:sz="0" w:space="0" w:color="auto"/>
        <w:bottom w:val="none" w:sz="0" w:space="0" w:color="auto"/>
        <w:right w:val="none" w:sz="0" w:space="0" w:color="auto"/>
      </w:divBdr>
    </w:div>
    <w:div w:id="319819524">
      <w:bodyDiv w:val="1"/>
      <w:marLeft w:val="0"/>
      <w:marRight w:val="0"/>
      <w:marTop w:val="0"/>
      <w:marBottom w:val="0"/>
      <w:divBdr>
        <w:top w:val="none" w:sz="0" w:space="0" w:color="auto"/>
        <w:left w:val="none" w:sz="0" w:space="0" w:color="auto"/>
        <w:bottom w:val="none" w:sz="0" w:space="0" w:color="auto"/>
        <w:right w:val="none" w:sz="0" w:space="0" w:color="auto"/>
      </w:divBdr>
    </w:div>
    <w:div w:id="329061875">
      <w:bodyDiv w:val="1"/>
      <w:marLeft w:val="0"/>
      <w:marRight w:val="0"/>
      <w:marTop w:val="0"/>
      <w:marBottom w:val="0"/>
      <w:divBdr>
        <w:top w:val="none" w:sz="0" w:space="0" w:color="auto"/>
        <w:left w:val="none" w:sz="0" w:space="0" w:color="auto"/>
        <w:bottom w:val="none" w:sz="0" w:space="0" w:color="auto"/>
        <w:right w:val="none" w:sz="0" w:space="0" w:color="auto"/>
      </w:divBdr>
    </w:div>
    <w:div w:id="340547131">
      <w:bodyDiv w:val="1"/>
      <w:marLeft w:val="0"/>
      <w:marRight w:val="0"/>
      <w:marTop w:val="0"/>
      <w:marBottom w:val="0"/>
      <w:divBdr>
        <w:top w:val="none" w:sz="0" w:space="0" w:color="auto"/>
        <w:left w:val="none" w:sz="0" w:space="0" w:color="auto"/>
        <w:bottom w:val="none" w:sz="0" w:space="0" w:color="auto"/>
        <w:right w:val="none" w:sz="0" w:space="0" w:color="auto"/>
      </w:divBdr>
    </w:div>
    <w:div w:id="361788732">
      <w:bodyDiv w:val="1"/>
      <w:marLeft w:val="0"/>
      <w:marRight w:val="0"/>
      <w:marTop w:val="0"/>
      <w:marBottom w:val="0"/>
      <w:divBdr>
        <w:top w:val="none" w:sz="0" w:space="0" w:color="auto"/>
        <w:left w:val="none" w:sz="0" w:space="0" w:color="auto"/>
        <w:bottom w:val="none" w:sz="0" w:space="0" w:color="auto"/>
        <w:right w:val="none" w:sz="0" w:space="0" w:color="auto"/>
      </w:divBdr>
    </w:div>
    <w:div w:id="361825518">
      <w:bodyDiv w:val="1"/>
      <w:marLeft w:val="0"/>
      <w:marRight w:val="0"/>
      <w:marTop w:val="0"/>
      <w:marBottom w:val="0"/>
      <w:divBdr>
        <w:top w:val="none" w:sz="0" w:space="0" w:color="auto"/>
        <w:left w:val="none" w:sz="0" w:space="0" w:color="auto"/>
        <w:bottom w:val="none" w:sz="0" w:space="0" w:color="auto"/>
        <w:right w:val="none" w:sz="0" w:space="0" w:color="auto"/>
      </w:divBdr>
    </w:div>
    <w:div w:id="377628649">
      <w:bodyDiv w:val="1"/>
      <w:marLeft w:val="0"/>
      <w:marRight w:val="0"/>
      <w:marTop w:val="0"/>
      <w:marBottom w:val="0"/>
      <w:divBdr>
        <w:top w:val="none" w:sz="0" w:space="0" w:color="auto"/>
        <w:left w:val="none" w:sz="0" w:space="0" w:color="auto"/>
        <w:bottom w:val="none" w:sz="0" w:space="0" w:color="auto"/>
        <w:right w:val="none" w:sz="0" w:space="0" w:color="auto"/>
      </w:divBdr>
    </w:div>
    <w:div w:id="378634037">
      <w:bodyDiv w:val="1"/>
      <w:marLeft w:val="0"/>
      <w:marRight w:val="0"/>
      <w:marTop w:val="0"/>
      <w:marBottom w:val="0"/>
      <w:divBdr>
        <w:top w:val="none" w:sz="0" w:space="0" w:color="auto"/>
        <w:left w:val="none" w:sz="0" w:space="0" w:color="auto"/>
        <w:bottom w:val="none" w:sz="0" w:space="0" w:color="auto"/>
        <w:right w:val="none" w:sz="0" w:space="0" w:color="auto"/>
      </w:divBdr>
    </w:div>
    <w:div w:id="393433969">
      <w:bodyDiv w:val="1"/>
      <w:marLeft w:val="0"/>
      <w:marRight w:val="0"/>
      <w:marTop w:val="0"/>
      <w:marBottom w:val="0"/>
      <w:divBdr>
        <w:top w:val="none" w:sz="0" w:space="0" w:color="auto"/>
        <w:left w:val="none" w:sz="0" w:space="0" w:color="auto"/>
        <w:bottom w:val="none" w:sz="0" w:space="0" w:color="auto"/>
        <w:right w:val="none" w:sz="0" w:space="0" w:color="auto"/>
      </w:divBdr>
    </w:div>
    <w:div w:id="400909413">
      <w:bodyDiv w:val="1"/>
      <w:marLeft w:val="0"/>
      <w:marRight w:val="0"/>
      <w:marTop w:val="0"/>
      <w:marBottom w:val="0"/>
      <w:divBdr>
        <w:top w:val="none" w:sz="0" w:space="0" w:color="auto"/>
        <w:left w:val="none" w:sz="0" w:space="0" w:color="auto"/>
        <w:bottom w:val="none" w:sz="0" w:space="0" w:color="auto"/>
        <w:right w:val="none" w:sz="0" w:space="0" w:color="auto"/>
      </w:divBdr>
    </w:div>
    <w:div w:id="402679291">
      <w:bodyDiv w:val="1"/>
      <w:marLeft w:val="0"/>
      <w:marRight w:val="0"/>
      <w:marTop w:val="0"/>
      <w:marBottom w:val="0"/>
      <w:divBdr>
        <w:top w:val="none" w:sz="0" w:space="0" w:color="auto"/>
        <w:left w:val="none" w:sz="0" w:space="0" w:color="auto"/>
        <w:bottom w:val="none" w:sz="0" w:space="0" w:color="auto"/>
        <w:right w:val="none" w:sz="0" w:space="0" w:color="auto"/>
      </w:divBdr>
    </w:div>
    <w:div w:id="416171080">
      <w:bodyDiv w:val="1"/>
      <w:marLeft w:val="0"/>
      <w:marRight w:val="0"/>
      <w:marTop w:val="0"/>
      <w:marBottom w:val="0"/>
      <w:divBdr>
        <w:top w:val="none" w:sz="0" w:space="0" w:color="auto"/>
        <w:left w:val="none" w:sz="0" w:space="0" w:color="auto"/>
        <w:bottom w:val="none" w:sz="0" w:space="0" w:color="auto"/>
        <w:right w:val="none" w:sz="0" w:space="0" w:color="auto"/>
      </w:divBdr>
    </w:div>
    <w:div w:id="416294292">
      <w:bodyDiv w:val="1"/>
      <w:marLeft w:val="0"/>
      <w:marRight w:val="0"/>
      <w:marTop w:val="0"/>
      <w:marBottom w:val="0"/>
      <w:divBdr>
        <w:top w:val="none" w:sz="0" w:space="0" w:color="auto"/>
        <w:left w:val="none" w:sz="0" w:space="0" w:color="auto"/>
        <w:bottom w:val="none" w:sz="0" w:space="0" w:color="auto"/>
        <w:right w:val="none" w:sz="0" w:space="0" w:color="auto"/>
      </w:divBdr>
    </w:div>
    <w:div w:id="432627522">
      <w:bodyDiv w:val="1"/>
      <w:marLeft w:val="0"/>
      <w:marRight w:val="0"/>
      <w:marTop w:val="0"/>
      <w:marBottom w:val="0"/>
      <w:divBdr>
        <w:top w:val="none" w:sz="0" w:space="0" w:color="auto"/>
        <w:left w:val="none" w:sz="0" w:space="0" w:color="auto"/>
        <w:bottom w:val="none" w:sz="0" w:space="0" w:color="auto"/>
        <w:right w:val="none" w:sz="0" w:space="0" w:color="auto"/>
      </w:divBdr>
    </w:div>
    <w:div w:id="434592919">
      <w:bodyDiv w:val="1"/>
      <w:marLeft w:val="0"/>
      <w:marRight w:val="0"/>
      <w:marTop w:val="0"/>
      <w:marBottom w:val="0"/>
      <w:divBdr>
        <w:top w:val="none" w:sz="0" w:space="0" w:color="auto"/>
        <w:left w:val="none" w:sz="0" w:space="0" w:color="auto"/>
        <w:bottom w:val="none" w:sz="0" w:space="0" w:color="auto"/>
        <w:right w:val="none" w:sz="0" w:space="0" w:color="auto"/>
      </w:divBdr>
    </w:div>
    <w:div w:id="435633633">
      <w:bodyDiv w:val="1"/>
      <w:marLeft w:val="0"/>
      <w:marRight w:val="0"/>
      <w:marTop w:val="0"/>
      <w:marBottom w:val="0"/>
      <w:divBdr>
        <w:top w:val="none" w:sz="0" w:space="0" w:color="auto"/>
        <w:left w:val="none" w:sz="0" w:space="0" w:color="auto"/>
        <w:bottom w:val="none" w:sz="0" w:space="0" w:color="auto"/>
        <w:right w:val="none" w:sz="0" w:space="0" w:color="auto"/>
      </w:divBdr>
    </w:div>
    <w:div w:id="437872684">
      <w:bodyDiv w:val="1"/>
      <w:marLeft w:val="0"/>
      <w:marRight w:val="0"/>
      <w:marTop w:val="0"/>
      <w:marBottom w:val="0"/>
      <w:divBdr>
        <w:top w:val="none" w:sz="0" w:space="0" w:color="auto"/>
        <w:left w:val="none" w:sz="0" w:space="0" w:color="auto"/>
        <w:bottom w:val="none" w:sz="0" w:space="0" w:color="auto"/>
        <w:right w:val="none" w:sz="0" w:space="0" w:color="auto"/>
      </w:divBdr>
    </w:div>
    <w:div w:id="450320926">
      <w:bodyDiv w:val="1"/>
      <w:marLeft w:val="0"/>
      <w:marRight w:val="0"/>
      <w:marTop w:val="0"/>
      <w:marBottom w:val="0"/>
      <w:divBdr>
        <w:top w:val="none" w:sz="0" w:space="0" w:color="auto"/>
        <w:left w:val="none" w:sz="0" w:space="0" w:color="auto"/>
        <w:bottom w:val="none" w:sz="0" w:space="0" w:color="auto"/>
        <w:right w:val="none" w:sz="0" w:space="0" w:color="auto"/>
      </w:divBdr>
    </w:div>
    <w:div w:id="454449066">
      <w:bodyDiv w:val="1"/>
      <w:marLeft w:val="0"/>
      <w:marRight w:val="0"/>
      <w:marTop w:val="0"/>
      <w:marBottom w:val="0"/>
      <w:divBdr>
        <w:top w:val="none" w:sz="0" w:space="0" w:color="auto"/>
        <w:left w:val="none" w:sz="0" w:space="0" w:color="auto"/>
        <w:bottom w:val="none" w:sz="0" w:space="0" w:color="auto"/>
        <w:right w:val="none" w:sz="0" w:space="0" w:color="auto"/>
      </w:divBdr>
    </w:div>
    <w:div w:id="458112835">
      <w:bodyDiv w:val="1"/>
      <w:marLeft w:val="0"/>
      <w:marRight w:val="0"/>
      <w:marTop w:val="0"/>
      <w:marBottom w:val="0"/>
      <w:divBdr>
        <w:top w:val="none" w:sz="0" w:space="0" w:color="auto"/>
        <w:left w:val="none" w:sz="0" w:space="0" w:color="auto"/>
        <w:bottom w:val="none" w:sz="0" w:space="0" w:color="auto"/>
        <w:right w:val="none" w:sz="0" w:space="0" w:color="auto"/>
      </w:divBdr>
    </w:div>
    <w:div w:id="458648328">
      <w:bodyDiv w:val="1"/>
      <w:marLeft w:val="0"/>
      <w:marRight w:val="0"/>
      <w:marTop w:val="0"/>
      <w:marBottom w:val="0"/>
      <w:divBdr>
        <w:top w:val="none" w:sz="0" w:space="0" w:color="auto"/>
        <w:left w:val="none" w:sz="0" w:space="0" w:color="auto"/>
        <w:bottom w:val="none" w:sz="0" w:space="0" w:color="auto"/>
        <w:right w:val="none" w:sz="0" w:space="0" w:color="auto"/>
      </w:divBdr>
    </w:div>
    <w:div w:id="460075812">
      <w:bodyDiv w:val="1"/>
      <w:marLeft w:val="0"/>
      <w:marRight w:val="0"/>
      <w:marTop w:val="0"/>
      <w:marBottom w:val="0"/>
      <w:divBdr>
        <w:top w:val="none" w:sz="0" w:space="0" w:color="auto"/>
        <w:left w:val="none" w:sz="0" w:space="0" w:color="auto"/>
        <w:bottom w:val="none" w:sz="0" w:space="0" w:color="auto"/>
        <w:right w:val="none" w:sz="0" w:space="0" w:color="auto"/>
      </w:divBdr>
    </w:div>
    <w:div w:id="460194578">
      <w:bodyDiv w:val="1"/>
      <w:marLeft w:val="0"/>
      <w:marRight w:val="0"/>
      <w:marTop w:val="0"/>
      <w:marBottom w:val="0"/>
      <w:divBdr>
        <w:top w:val="none" w:sz="0" w:space="0" w:color="auto"/>
        <w:left w:val="none" w:sz="0" w:space="0" w:color="auto"/>
        <w:bottom w:val="none" w:sz="0" w:space="0" w:color="auto"/>
        <w:right w:val="none" w:sz="0" w:space="0" w:color="auto"/>
      </w:divBdr>
    </w:div>
    <w:div w:id="461851395">
      <w:bodyDiv w:val="1"/>
      <w:marLeft w:val="0"/>
      <w:marRight w:val="0"/>
      <w:marTop w:val="0"/>
      <w:marBottom w:val="0"/>
      <w:divBdr>
        <w:top w:val="none" w:sz="0" w:space="0" w:color="auto"/>
        <w:left w:val="none" w:sz="0" w:space="0" w:color="auto"/>
        <w:bottom w:val="none" w:sz="0" w:space="0" w:color="auto"/>
        <w:right w:val="none" w:sz="0" w:space="0" w:color="auto"/>
      </w:divBdr>
    </w:div>
    <w:div w:id="462189179">
      <w:bodyDiv w:val="1"/>
      <w:marLeft w:val="0"/>
      <w:marRight w:val="0"/>
      <w:marTop w:val="0"/>
      <w:marBottom w:val="0"/>
      <w:divBdr>
        <w:top w:val="none" w:sz="0" w:space="0" w:color="auto"/>
        <w:left w:val="none" w:sz="0" w:space="0" w:color="auto"/>
        <w:bottom w:val="none" w:sz="0" w:space="0" w:color="auto"/>
        <w:right w:val="none" w:sz="0" w:space="0" w:color="auto"/>
      </w:divBdr>
    </w:div>
    <w:div w:id="463239328">
      <w:bodyDiv w:val="1"/>
      <w:marLeft w:val="0"/>
      <w:marRight w:val="0"/>
      <w:marTop w:val="0"/>
      <w:marBottom w:val="0"/>
      <w:divBdr>
        <w:top w:val="none" w:sz="0" w:space="0" w:color="auto"/>
        <w:left w:val="none" w:sz="0" w:space="0" w:color="auto"/>
        <w:bottom w:val="none" w:sz="0" w:space="0" w:color="auto"/>
        <w:right w:val="none" w:sz="0" w:space="0" w:color="auto"/>
      </w:divBdr>
    </w:div>
    <w:div w:id="463472327">
      <w:bodyDiv w:val="1"/>
      <w:marLeft w:val="0"/>
      <w:marRight w:val="0"/>
      <w:marTop w:val="0"/>
      <w:marBottom w:val="0"/>
      <w:divBdr>
        <w:top w:val="none" w:sz="0" w:space="0" w:color="auto"/>
        <w:left w:val="none" w:sz="0" w:space="0" w:color="auto"/>
        <w:bottom w:val="none" w:sz="0" w:space="0" w:color="auto"/>
        <w:right w:val="none" w:sz="0" w:space="0" w:color="auto"/>
      </w:divBdr>
    </w:div>
    <w:div w:id="463550045">
      <w:bodyDiv w:val="1"/>
      <w:marLeft w:val="0"/>
      <w:marRight w:val="0"/>
      <w:marTop w:val="0"/>
      <w:marBottom w:val="0"/>
      <w:divBdr>
        <w:top w:val="none" w:sz="0" w:space="0" w:color="auto"/>
        <w:left w:val="none" w:sz="0" w:space="0" w:color="auto"/>
        <w:bottom w:val="none" w:sz="0" w:space="0" w:color="auto"/>
        <w:right w:val="none" w:sz="0" w:space="0" w:color="auto"/>
      </w:divBdr>
    </w:div>
    <w:div w:id="480315682">
      <w:bodyDiv w:val="1"/>
      <w:marLeft w:val="0"/>
      <w:marRight w:val="0"/>
      <w:marTop w:val="0"/>
      <w:marBottom w:val="0"/>
      <w:divBdr>
        <w:top w:val="none" w:sz="0" w:space="0" w:color="auto"/>
        <w:left w:val="none" w:sz="0" w:space="0" w:color="auto"/>
        <w:bottom w:val="none" w:sz="0" w:space="0" w:color="auto"/>
        <w:right w:val="none" w:sz="0" w:space="0" w:color="auto"/>
      </w:divBdr>
    </w:div>
    <w:div w:id="484667199">
      <w:bodyDiv w:val="1"/>
      <w:marLeft w:val="0"/>
      <w:marRight w:val="0"/>
      <w:marTop w:val="0"/>
      <w:marBottom w:val="0"/>
      <w:divBdr>
        <w:top w:val="none" w:sz="0" w:space="0" w:color="auto"/>
        <w:left w:val="none" w:sz="0" w:space="0" w:color="auto"/>
        <w:bottom w:val="none" w:sz="0" w:space="0" w:color="auto"/>
        <w:right w:val="none" w:sz="0" w:space="0" w:color="auto"/>
      </w:divBdr>
    </w:div>
    <w:div w:id="489561100">
      <w:bodyDiv w:val="1"/>
      <w:marLeft w:val="0"/>
      <w:marRight w:val="0"/>
      <w:marTop w:val="0"/>
      <w:marBottom w:val="0"/>
      <w:divBdr>
        <w:top w:val="none" w:sz="0" w:space="0" w:color="auto"/>
        <w:left w:val="none" w:sz="0" w:space="0" w:color="auto"/>
        <w:bottom w:val="none" w:sz="0" w:space="0" w:color="auto"/>
        <w:right w:val="none" w:sz="0" w:space="0" w:color="auto"/>
      </w:divBdr>
    </w:div>
    <w:div w:id="510534097">
      <w:bodyDiv w:val="1"/>
      <w:marLeft w:val="0"/>
      <w:marRight w:val="0"/>
      <w:marTop w:val="0"/>
      <w:marBottom w:val="0"/>
      <w:divBdr>
        <w:top w:val="none" w:sz="0" w:space="0" w:color="auto"/>
        <w:left w:val="none" w:sz="0" w:space="0" w:color="auto"/>
        <w:bottom w:val="none" w:sz="0" w:space="0" w:color="auto"/>
        <w:right w:val="none" w:sz="0" w:space="0" w:color="auto"/>
      </w:divBdr>
    </w:div>
    <w:div w:id="520750869">
      <w:bodyDiv w:val="1"/>
      <w:marLeft w:val="0"/>
      <w:marRight w:val="0"/>
      <w:marTop w:val="0"/>
      <w:marBottom w:val="0"/>
      <w:divBdr>
        <w:top w:val="none" w:sz="0" w:space="0" w:color="auto"/>
        <w:left w:val="none" w:sz="0" w:space="0" w:color="auto"/>
        <w:bottom w:val="none" w:sz="0" w:space="0" w:color="auto"/>
        <w:right w:val="none" w:sz="0" w:space="0" w:color="auto"/>
      </w:divBdr>
    </w:div>
    <w:div w:id="541401726">
      <w:bodyDiv w:val="1"/>
      <w:marLeft w:val="0"/>
      <w:marRight w:val="0"/>
      <w:marTop w:val="0"/>
      <w:marBottom w:val="0"/>
      <w:divBdr>
        <w:top w:val="none" w:sz="0" w:space="0" w:color="auto"/>
        <w:left w:val="none" w:sz="0" w:space="0" w:color="auto"/>
        <w:bottom w:val="none" w:sz="0" w:space="0" w:color="auto"/>
        <w:right w:val="none" w:sz="0" w:space="0" w:color="auto"/>
      </w:divBdr>
    </w:div>
    <w:div w:id="547569306">
      <w:bodyDiv w:val="1"/>
      <w:marLeft w:val="0"/>
      <w:marRight w:val="0"/>
      <w:marTop w:val="0"/>
      <w:marBottom w:val="0"/>
      <w:divBdr>
        <w:top w:val="none" w:sz="0" w:space="0" w:color="auto"/>
        <w:left w:val="none" w:sz="0" w:space="0" w:color="auto"/>
        <w:bottom w:val="none" w:sz="0" w:space="0" w:color="auto"/>
        <w:right w:val="none" w:sz="0" w:space="0" w:color="auto"/>
      </w:divBdr>
    </w:div>
    <w:div w:id="565260134">
      <w:bodyDiv w:val="1"/>
      <w:marLeft w:val="0"/>
      <w:marRight w:val="0"/>
      <w:marTop w:val="0"/>
      <w:marBottom w:val="0"/>
      <w:divBdr>
        <w:top w:val="none" w:sz="0" w:space="0" w:color="auto"/>
        <w:left w:val="none" w:sz="0" w:space="0" w:color="auto"/>
        <w:bottom w:val="none" w:sz="0" w:space="0" w:color="auto"/>
        <w:right w:val="none" w:sz="0" w:space="0" w:color="auto"/>
      </w:divBdr>
    </w:div>
    <w:div w:id="567763340">
      <w:bodyDiv w:val="1"/>
      <w:marLeft w:val="0"/>
      <w:marRight w:val="0"/>
      <w:marTop w:val="0"/>
      <w:marBottom w:val="0"/>
      <w:divBdr>
        <w:top w:val="none" w:sz="0" w:space="0" w:color="auto"/>
        <w:left w:val="none" w:sz="0" w:space="0" w:color="auto"/>
        <w:bottom w:val="none" w:sz="0" w:space="0" w:color="auto"/>
        <w:right w:val="none" w:sz="0" w:space="0" w:color="auto"/>
      </w:divBdr>
    </w:div>
    <w:div w:id="578905758">
      <w:bodyDiv w:val="1"/>
      <w:marLeft w:val="0"/>
      <w:marRight w:val="0"/>
      <w:marTop w:val="0"/>
      <w:marBottom w:val="0"/>
      <w:divBdr>
        <w:top w:val="none" w:sz="0" w:space="0" w:color="auto"/>
        <w:left w:val="none" w:sz="0" w:space="0" w:color="auto"/>
        <w:bottom w:val="none" w:sz="0" w:space="0" w:color="auto"/>
        <w:right w:val="none" w:sz="0" w:space="0" w:color="auto"/>
      </w:divBdr>
    </w:div>
    <w:div w:id="605582667">
      <w:bodyDiv w:val="1"/>
      <w:marLeft w:val="0"/>
      <w:marRight w:val="0"/>
      <w:marTop w:val="0"/>
      <w:marBottom w:val="0"/>
      <w:divBdr>
        <w:top w:val="none" w:sz="0" w:space="0" w:color="auto"/>
        <w:left w:val="none" w:sz="0" w:space="0" w:color="auto"/>
        <w:bottom w:val="none" w:sz="0" w:space="0" w:color="auto"/>
        <w:right w:val="none" w:sz="0" w:space="0" w:color="auto"/>
      </w:divBdr>
    </w:div>
    <w:div w:id="607397119">
      <w:bodyDiv w:val="1"/>
      <w:marLeft w:val="0"/>
      <w:marRight w:val="0"/>
      <w:marTop w:val="0"/>
      <w:marBottom w:val="0"/>
      <w:divBdr>
        <w:top w:val="none" w:sz="0" w:space="0" w:color="auto"/>
        <w:left w:val="none" w:sz="0" w:space="0" w:color="auto"/>
        <w:bottom w:val="none" w:sz="0" w:space="0" w:color="auto"/>
        <w:right w:val="none" w:sz="0" w:space="0" w:color="auto"/>
      </w:divBdr>
    </w:div>
    <w:div w:id="607467565">
      <w:bodyDiv w:val="1"/>
      <w:marLeft w:val="0"/>
      <w:marRight w:val="0"/>
      <w:marTop w:val="0"/>
      <w:marBottom w:val="0"/>
      <w:divBdr>
        <w:top w:val="none" w:sz="0" w:space="0" w:color="auto"/>
        <w:left w:val="none" w:sz="0" w:space="0" w:color="auto"/>
        <w:bottom w:val="none" w:sz="0" w:space="0" w:color="auto"/>
        <w:right w:val="none" w:sz="0" w:space="0" w:color="auto"/>
      </w:divBdr>
    </w:div>
    <w:div w:id="608125908">
      <w:bodyDiv w:val="1"/>
      <w:marLeft w:val="0"/>
      <w:marRight w:val="0"/>
      <w:marTop w:val="0"/>
      <w:marBottom w:val="0"/>
      <w:divBdr>
        <w:top w:val="none" w:sz="0" w:space="0" w:color="auto"/>
        <w:left w:val="none" w:sz="0" w:space="0" w:color="auto"/>
        <w:bottom w:val="none" w:sz="0" w:space="0" w:color="auto"/>
        <w:right w:val="none" w:sz="0" w:space="0" w:color="auto"/>
      </w:divBdr>
    </w:div>
    <w:div w:id="611010620">
      <w:bodyDiv w:val="1"/>
      <w:marLeft w:val="0"/>
      <w:marRight w:val="0"/>
      <w:marTop w:val="0"/>
      <w:marBottom w:val="0"/>
      <w:divBdr>
        <w:top w:val="none" w:sz="0" w:space="0" w:color="auto"/>
        <w:left w:val="none" w:sz="0" w:space="0" w:color="auto"/>
        <w:bottom w:val="none" w:sz="0" w:space="0" w:color="auto"/>
        <w:right w:val="none" w:sz="0" w:space="0" w:color="auto"/>
      </w:divBdr>
    </w:div>
    <w:div w:id="637877767">
      <w:bodyDiv w:val="1"/>
      <w:marLeft w:val="0"/>
      <w:marRight w:val="0"/>
      <w:marTop w:val="0"/>
      <w:marBottom w:val="0"/>
      <w:divBdr>
        <w:top w:val="none" w:sz="0" w:space="0" w:color="auto"/>
        <w:left w:val="none" w:sz="0" w:space="0" w:color="auto"/>
        <w:bottom w:val="none" w:sz="0" w:space="0" w:color="auto"/>
        <w:right w:val="none" w:sz="0" w:space="0" w:color="auto"/>
      </w:divBdr>
    </w:div>
    <w:div w:id="638074596">
      <w:bodyDiv w:val="1"/>
      <w:marLeft w:val="0"/>
      <w:marRight w:val="0"/>
      <w:marTop w:val="0"/>
      <w:marBottom w:val="0"/>
      <w:divBdr>
        <w:top w:val="none" w:sz="0" w:space="0" w:color="auto"/>
        <w:left w:val="none" w:sz="0" w:space="0" w:color="auto"/>
        <w:bottom w:val="none" w:sz="0" w:space="0" w:color="auto"/>
        <w:right w:val="none" w:sz="0" w:space="0" w:color="auto"/>
      </w:divBdr>
    </w:div>
    <w:div w:id="639505429">
      <w:bodyDiv w:val="1"/>
      <w:marLeft w:val="0"/>
      <w:marRight w:val="0"/>
      <w:marTop w:val="0"/>
      <w:marBottom w:val="0"/>
      <w:divBdr>
        <w:top w:val="none" w:sz="0" w:space="0" w:color="auto"/>
        <w:left w:val="none" w:sz="0" w:space="0" w:color="auto"/>
        <w:bottom w:val="none" w:sz="0" w:space="0" w:color="auto"/>
        <w:right w:val="none" w:sz="0" w:space="0" w:color="auto"/>
      </w:divBdr>
    </w:div>
    <w:div w:id="650062138">
      <w:bodyDiv w:val="1"/>
      <w:marLeft w:val="0"/>
      <w:marRight w:val="0"/>
      <w:marTop w:val="0"/>
      <w:marBottom w:val="0"/>
      <w:divBdr>
        <w:top w:val="none" w:sz="0" w:space="0" w:color="auto"/>
        <w:left w:val="none" w:sz="0" w:space="0" w:color="auto"/>
        <w:bottom w:val="none" w:sz="0" w:space="0" w:color="auto"/>
        <w:right w:val="none" w:sz="0" w:space="0" w:color="auto"/>
      </w:divBdr>
    </w:div>
    <w:div w:id="651719984">
      <w:bodyDiv w:val="1"/>
      <w:marLeft w:val="0"/>
      <w:marRight w:val="0"/>
      <w:marTop w:val="0"/>
      <w:marBottom w:val="0"/>
      <w:divBdr>
        <w:top w:val="none" w:sz="0" w:space="0" w:color="auto"/>
        <w:left w:val="none" w:sz="0" w:space="0" w:color="auto"/>
        <w:bottom w:val="none" w:sz="0" w:space="0" w:color="auto"/>
        <w:right w:val="none" w:sz="0" w:space="0" w:color="auto"/>
      </w:divBdr>
    </w:div>
    <w:div w:id="653991162">
      <w:bodyDiv w:val="1"/>
      <w:marLeft w:val="0"/>
      <w:marRight w:val="0"/>
      <w:marTop w:val="0"/>
      <w:marBottom w:val="0"/>
      <w:divBdr>
        <w:top w:val="none" w:sz="0" w:space="0" w:color="auto"/>
        <w:left w:val="none" w:sz="0" w:space="0" w:color="auto"/>
        <w:bottom w:val="none" w:sz="0" w:space="0" w:color="auto"/>
        <w:right w:val="none" w:sz="0" w:space="0" w:color="auto"/>
      </w:divBdr>
    </w:div>
    <w:div w:id="656497247">
      <w:bodyDiv w:val="1"/>
      <w:marLeft w:val="0"/>
      <w:marRight w:val="0"/>
      <w:marTop w:val="0"/>
      <w:marBottom w:val="0"/>
      <w:divBdr>
        <w:top w:val="none" w:sz="0" w:space="0" w:color="auto"/>
        <w:left w:val="none" w:sz="0" w:space="0" w:color="auto"/>
        <w:bottom w:val="none" w:sz="0" w:space="0" w:color="auto"/>
        <w:right w:val="none" w:sz="0" w:space="0" w:color="auto"/>
      </w:divBdr>
    </w:div>
    <w:div w:id="675810146">
      <w:bodyDiv w:val="1"/>
      <w:marLeft w:val="0"/>
      <w:marRight w:val="0"/>
      <w:marTop w:val="0"/>
      <w:marBottom w:val="0"/>
      <w:divBdr>
        <w:top w:val="none" w:sz="0" w:space="0" w:color="auto"/>
        <w:left w:val="none" w:sz="0" w:space="0" w:color="auto"/>
        <w:bottom w:val="none" w:sz="0" w:space="0" w:color="auto"/>
        <w:right w:val="none" w:sz="0" w:space="0" w:color="auto"/>
      </w:divBdr>
    </w:div>
    <w:div w:id="681660984">
      <w:bodyDiv w:val="1"/>
      <w:marLeft w:val="0"/>
      <w:marRight w:val="0"/>
      <w:marTop w:val="0"/>
      <w:marBottom w:val="0"/>
      <w:divBdr>
        <w:top w:val="none" w:sz="0" w:space="0" w:color="auto"/>
        <w:left w:val="none" w:sz="0" w:space="0" w:color="auto"/>
        <w:bottom w:val="none" w:sz="0" w:space="0" w:color="auto"/>
        <w:right w:val="none" w:sz="0" w:space="0" w:color="auto"/>
      </w:divBdr>
    </w:div>
    <w:div w:id="682051139">
      <w:bodyDiv w:val="1"/>
      <w:marLeft w:val="0"/>
      <w:marRight w:val="0"/>
      <w:marTop w:val="0"/>
      <w:marBottom w:val="0"/>
      <w:divBdr>
        <w:top w:val="none" w:sz="0" w:space="0" w:color="auto"/>
        <w:left w:val="none" w:sz="0" w:space="0" w:color="auto"/>
        <w:bottom w:val="none" w:sz="0" w:space="0" w:color="auto"/>
        <w:right w:val="none" w:sz="0" w:space="0" w:color="auto"/>
      </w:divBdr>
    </w:div>
    <w:div w:id="690573422">
      <w:bodyDiv w:val="1"/>
      <w:marLeft w:val="0"/>
      <w:marRight w:val="0"/>
      <w:marTop w:val="0"/>
      <w:marBottom w:val="0"/>
      <w:divBdr>
        <w:top w:val="none" w:sz="0" w:space="0" w:color="auto"/>
        <w:left w:val="none" w:sz="0" w:space="0" w:color="auto"/>
        <w:bottom w:val="none" w:sz="0" w:space="0" w:color="auto"/>
        <w:right w:val="none" w:sz="0" w:space="0" w:color="auto"/>
      </w:divBdr>
    </w:div>
    <w:div w:id="692460010">
      <w:bodyDiv w:val="1"/>
      <w:marLeft w:val="0"/>
      <w:marRight w:val="0"/>
      <w:marTop w:val="0"/>
      <w:marBottom w:val="0"/>
      <w:divBdr>
        <w:top w:val="none" w:sz="0" w:space="0" w:color="auto"/>
        <w:left w:val="none" w:sz="0" w:space="0" w:color="auto"/>
        <w:bottom w:val="none" w:sz="0" w:space="0" w:color="auto"/>
        <w:right w:val="none" w:sz="0" w:space="0" w:color="auto"/>
      </w:divBdr>
    </w:div>
    <w:div w:id="697388492">
      <w:bodyDiv w:val="1"/>
      <w:marLeft w:val="0"/>
      <w:marRight w:val="0"/>
      <w:marTop w:val="0"/>
      <w:marBottom w:val="0"/>
      <w:divBdr>
        <w:top w:val="none" w:sz="0" w:space="0" w:color="auto"/>
        <w:left w:val="none" w:sz="0" w:space="0" w:color="auto"/>
        <w:bottom w:val="none" w:sz="0" w:space="0" w:color="auto"/>
        <w:right w:val="none" w:sz="0" w:space="0" w:color="auto"/>
      </w:divBdr>
    </w:div>
    <w:div w:id="705174672">
      <w:bodyDiv w:val="1"/>
      <w:marLeft w:val="0"/>
      <w:marRight w:val="0"/>
      <w:marTop w:val="0"/>
      <w:marBottom w:val="0"/>
      <w:divBdr>
        <w:top w:val="none" w:sz="0" w:space="0" w:color="auto"/>
        <w:left w:val="none" w:sz="0" w:space="0" w:color="auto"/>
        <w:bottom w:val="none" w:sz="0" w:space="0" w:color="auto"/>
        <w:right w:val="none" w:sz="0" w:space="0" w:color="auto"/>
      </w:divBdr>
    </w:div>
    <w:div w:id="707528730">
      <w:bodyDiv w:val="1"/>
      <w:marLeft w:val="0"/>
      <w:marRight w:val="0"/>
      <w:marTop w:val="0"/>
      <w:marBottom w:val="0"/>
      <w:divBdr>
        <w:top w:val="none" w:sz="0" w:space="0" w:color="auto"/>
        <w:left w:val="none" w:sz="0" w:space="0" w:color="auto"/>
        <w:bottom w:val="none" w:sz="0" w:space="0" w:color="auto"/>
        <w:right w:val="none" w:sz="0" w:space="0" w:color="auto"/>
      </w:divBdr>
    </w:div>
    <w:div w:id="713818469">
      <w:bodyDiv w:val="1"/>
      <w:marLeft w:val="0"/>
      <w:marRight w:val="0"/>
      <w:marTop w:val="0"/>
      <w:marBottom w:val="0"/>
      <w:divBdr>
        <w:top w:val="none" w:sz="0" w:space="0" w:color="auto"/>
        <w:left w:val="none" w:sz="0" w:space="0" w:color="auto"/>
        <w:bottom w:val="none" w:sz="0" w:space="0" w:color="auto"/>
        <w:right w:val="none" w:sz="0" w:space="0" w:color="auto"/>
      </w:divBdr>
    </w:div>
    <w:div w:id="717776924">
      <w:bodyDiv w:val="1"/>
      <w:marLeft w:val="0"/>
      <w:marRight w:val="0"/>
      <w:marTop w:val="0"/>
      <w:marBottom w:val="0"/>
      <w:divBdr>
        <w:top w:val="none" w:sz="0" w:space="0" w:color="auto"/>
        <w:left w:val="none" w:sz="0" w:space="0" w:color="auto"/>
        <w:bottom w:val="none" w:sz="0" w:space="0" w:color="auto"/>
        <w:right w:val="none" w:sz="0" w:space="0" w:color="auto"/>
      </w:divBdr>
    </w:div>
    <w:div w:id="720593794">
      <w:bodyDiv w:val="1"/>
      <w:marLeft w:val="0"/>
      <w:marRight w:val="0"/>
      <w:marTop w:val="0"/>
      <w:marBottom w:val="0"/>
      <w:divBdr>
        <w:top w:val="none" w:sz="0" w:space="0" w:color="auto"/>
        <w:left w:val="none" w:sz="0" w:space="0" w:color="auto"/>
        <w:bottom w:val="none" w:sz="0" w:space="0" w:color="auto"/>
        <w:right w:val="none" w:sz="0" w:space="0" w:color="auto"/>
      </w:divBdr>
    </w:div>
    <w:div w:id="724329884">
      <w:bodyDiv w:val="1"/>
      <w:marLeft w:val="0"/>
      <w:marRight w:val="0"/>
      <w:marTop w:val="0"/>
      <w:marBottom w:val="0"/>
      <w:divBdr>
        <w:top w:val="none" w:sz="0" w:space="0" w:color="auto"/>
        <w:left w:val="none" w:sz="0" w:space="0" w:color="auto"/>
        <w:bottom w:val="none" w:sz="0" w:space="0" w:color="auto"/>
        <w:right w:val="none" w:sz="0" w:space="0" w:color="auto"/>
      </w:divBdr>
    </w:div>
    <w:div w:id="727916897">
      <w:bodyDiv w:val="1"/>
      <w:marLeft w:val="0"/>
      <w:marRight w:val="0"/>
      <w:marTop w:val="0"/>
      <w:marBottom w:val="0"/>
      <w:divBdr>
        <w:top w:val="none" w:sz="0" w:space="0" w:color="auto"/>
        <w:left w:val="none" w:sz="0" w:space="0" w:color="auto"/>
        <w:bottom w:val="none" w:sz="0" w:space="0" w:color="auto"/>
        <w:right w:val="none" w:sz="0" w:space="0" w:color="auto"/>
      </w:divBdr>
    </w:div>
    <w:div w:id="729574177">
      <w:bodyDiv w:val="1"/>
      <w:marLeft w:val="0"/>
      <w:marRight w:val="0"/>
      <w:marTop w:val="0"/>
      <w:marBottom w:val="0"/>
      <w:divBdr>
        <w:top w:val="none" w:sz="0" w:space="0" w:color="auto"/>
        <w:left w:val="none" w:sz="0" w:space="0" w:color="auto"/>
        <w:bottom w:val="none" w:sz="0" w:space="0" w:color="auto"/>
        <w:right w:val="none" w:sz="0" w:space="0" w:color="auto"/>
      </w:divBdr>
    </w:div>
    <w:div w:id="732048348">
      <w:bodyDiv w:val="1"/>
      <w:marLeft w:val="0"/>
      <w:marRight w:val="0"/>
      <w:marTop w:val="0"/>
      <w:marBottom w:val="0"/>
      <w:divBdr>
        <w:top w:val="none" w:sz="0" w:space="0" w:color="auto"/>
        <w:left w:val="none" w:sz="0" w:space="0" w:color="auto"/>
        <w:bottom w:val="none" w:sz="0" w:space="0" w:color="auto"/>
        <w:right w:val="none" w:sz="0" w:space="0" w:color="auto"/>
      </w:divBdr>
    </w:div>
    <w:div w:id="735279883">
      <w:bodyDiv w:val="1"/>
      <w:marLeft w:val="0"/>
      <w:marRight w:val="0"/>
      <w:marTop w:val="0"/>
      <w:marBottom w:val="0"/>
      <w:divBdr>
        <w:top w:val="none" w:sz="0" w:space="0" w:color="auto"/>
        <w:left w:val="none" w:sz="0" w:space="0" w:color="auto"/>
        <w:bottom w:val="none" w:sz="0" w:space="0" w:color="auto"/>
        <w:right w:val="none" w:sz="0" w:space="0" w:color="auto"/>
      </w:divBdr>
    </w:div>
    <w:div w:id="736899428">
      <w:bodyDiv w:val="1"/>
      <w:marLeft w:val="0"/>
      <w:marRight w:val="0"/>
      <w:marTop w:val="0"/>
      <w:marBottom w:val="0"/>
      <w:divBdr>
        <w:top w:val="none" w:sz="0" w:space="0" w:color="auto"/>
        <w:left w:val="none" w:sz="0" w:space="0" w:color="auto"/>
        <w:bottom w:val="none" w:sz="0" w:space="0" w:color="auto"/>
        <w:right w:val="none" w:sz="0" w:space="0" w:color="auto"/>
      </w:divBdr>
    </w:div>
    <w:div w:id="739403278">
      <w:bodyDiv w:val="1"/>
      <w:marLeft w:val="0"/>
      <w:marRight w:val="0"/>
      <w:marTop w:val="0"/>
      <w:marBottom w:val="0"/>
      <w:divBdr>
        <w:top w:val="none" w:sz="0" w:space="0" w:color="auto"/>
        <w:left w:val="none" w:sz="0" w:space="0" w:color="auto"/>
        <w:bottom w:val="none" w:sz="0" w:space="0" w:color="auto"/>
        <w:right w:val="none" w:sz="0" w:space="0" w:color="auto"/>
      </w:divBdr>
    </w:div>
    <w:div w:id="740979493">
      <w:bodyDiv w:val="1"/>
      <w:marLeft w:val="0"/>
      <w:marRight w:val="0"/>
      <w:marTop w:val="0"/>
      <w:marBottom w:val="0"/>
      <w:divBdr>
        <w:top w:val="none" w:sz="0" w:space="0" w:color="auto"/>
        <w:left w:val="none" w:sz="0" w:space="0" w:color="auto"/>
        <w:bottom w:val="none" w:sz="0" w:space="0" w:color="auto"/>
        <w:right w:val="none" w:sz="0" w:space="0" w:color="auto"/>
      </w:divBdr>
    </w:div>
    <w:div w:id="780104005">
      <w:bodyDiv w:val="1"/>
      <w:marLeft w:val="0"/>
      <w:marRight w:val="0"/>
      <w:marTop w:val="0"/>
      <w:marBottom w:val="0"/>
      <w:divBdr>
        <w:top w:val="none" w:sz="0" w:space="0" w:color="auto"/>
        <w:left w:val="none" w:sz="0" w:space="0" w:color="auto"/>
        <w:bottom w:val="none" w:sz="0" w:space="0" w:color="auto"/>
        <w:right w:val="none" w:sz="0" w:space="0" w:color="auto"/>
      </w:divBdr>
    </w:div>
    <w:div w:id="784153357">
      <w:bodyDiv w:val="1"/>
      <w:marLeft w:val="0"/>
      <w:marRight w:val="0"/>
      <w:marTop w:val="0"/>
      <w:marBottom w:val="0"/>
      <w:divBdr>
        <w:top w:val="none" w:sz="0" w:space="0" w:color="auto"/>
        <w:left w:val="none" w:sz="0" w:space="0" w:color="auto"/>
        <w:bottom w:val="none" w:sz="0" w:space="0" w:color="auto"/>
        <w:right w:val="none" w:sz="0" w:space="0" w:color="auto"/>
      </w:divBdr>
    </w:div>
    <w:div w:id="789127899">
      <w:bodyDiv w:val="1"/>
      <w:marLeft w:val="0"/>
      <w:marRight w:val="0"/>
      <w:marTop w:val="0"/>
      <w:marBottom w:val="0"/>
      <w:divBdr>
        <w:top w:val="none" w:sz="0" w:space="0" w:color="auto"/>
        <w:left w:val="none" w:sz="0" w:space="0" w:color="auto"/>
        <w:bottom w:val="none" w:sz="0" w:space="0" w:color="auto"/>
        <w:right w:val="none" w:sz="0" w:space="0" w:color="auto"/>
      </w:divBdr>
    </w:div>
    <w:div w:id="790131694">
      <w:bodyDiv w:val="1"/>
      <w:marLeft w:val="0"/>
      <w:marRight w:val="0"/>
      <w:marTop w:val="0"/>
      <w:marBottom w:val="0"/>
      <w:divBdr>
        <w:top w:val="none" w:sz="0" w:space="0" w:color="auto"/>
        <w:left w:val="none" w:sz="0" w:space="0" w:color="auto"/>
        <w:bottom w:val="none" w:sz="0" w:space="0" w:color="auto"/>
        <w:right w:val="none" w:sz="0" w:space="0" w:color="auto"/>
      </w:divBdr>
    </w:div>
    <w:div w:id="793790915">
      <w:bodyDiv w:val="1"/>
      <w:marLeft w:val="0"/>
      <w:marRight w:val="0"/>
      <w:marTop w:val="0"/>
      <w:marBottom w:val="0"/>
      <w:divBdr>
        <w:top w:val="none" w:sz="0" w:space="0" w:color="auto"/>
        <w:left w:val="none" w:sz="0" w:space="0" w:color="auto"/>
        <w:bottom w:val="none" w:sz="0" w:space="0" w:color="auto"/>
        <w:right w:val="none" w:sz="0" w:space="0" w:color="auto"/>
      </w:divBdr>
    </w:div>
    <w:div w:id="801582726">
      <w:bodyDiv w:val="1"/>
      <w:marLeft w:val="0"/>
      <w:marRight w:val="0"/>
      <w:marTop w:val="0"/>
      <w:marBottom w:val="0"/>
      <w:divBdr>
        <w:top w:val="none" w:sz="0" w:space="0" w:color="auto"/>
        <w:left w:val="none" w:sz="0" w:space="0" w:color="auto"/>
        <w:bottom w:val="none" w:sz="0" w:space="0" w:color="auto"/>
        <w:right w:val="none" w:sz="0" w:space="0" w:color="auto"/>
      </w:divBdr>
    </w:div>
    <w:div w:id="855581984">
      <w:bodyDiv w:val="1"/>
      <w:marLeft w:val="0"/>
      <w:marRight w:val="0"/>
      <w:marTop w:val="0"/>
      <w:marBottom w:val="0"/>
      <w:divBdr>
        <w:top w:val="none" w:sz="0" w:space="0" w:color="auto"/>
        <w:left w:val="none" w:sz="0" w:space="0" w:color="auto"/>
        <w:bottom w:val="none" w:sz="0" w:space="0" w:color="auto"/>
        <w:right w:val="none" w:sz="0" w:space="0" w:color="auto"/>
      </w:divBdr>
    </w:div>
    <w:div w:id="858549490">
      <w:bodyDiv w:val="1"/>
      <w:marLeft w:val="0"/>
      <w:marRight w:val="0"/>
      <w:marTop w:val="0"/>
      <w:marBottom w:val="0"/>
      <w:divBdr>
        <w:top w:val="none" w:sz="0" w:space="0" w:color="auto"/>
        <w:left w:val="none" w:sz="0" w:space="0" w:color="auto"/>
        <w:bottom w:val="none" w:sz="0" w:space="0" w:color="auto"/>
        <w:right w:val="none" w:sz="0" w:space="0" w:color="auto"/>
      </w:divBdr>
    </w:div>
    <w:div w:id="871528136">
      <w:bodyDiv w:val="1"/>
      <w:marLeft w:val="0"/>
      <w:marRight w:val="0"/>
      <w:marTop w:val="0"/>
      <w:marBottom w:val="0"/>
      <w:divBdr>
        <w:top w:val="none" w:sz="0" w:space="0" w:color="auto"/>
        <w:left w:val="none" w:sz="0" w:space="0" w:color="auto"/>
        <w:bottom w:val="none" w:sz="0" w:space="0" w:color="auto"/>
        <w:right w:val="none" w:sz="0" w:space="0" w:color="auto"/>
      </w:divBdr>
    </w:div>
    <w:div w:id="899903474">
      <w:bodyDiv w:val="1"/>
      <w:marLeft w:val="0"/>
      <w:marRight w:val="0"/>
      <w:marTop w:val="0"/>
      <w:marBottom w:val="0"/>
      <w:divBdr>
        <w:top w:val="none" w:sz="0" w:space="0" w:color="auto"/>
        <w:left w:val="none" w:sz="0" w:space="0" w:color="auto"/>
        <w:bottom w:val="none" w:sz="0" w:space="0" w:color="auto"/>
        <w:right w:val="none" w:sz="0" w:space="0" w:color="auto"/>
      </w:divBdr>
    </w:div>
    <w:div w:id="914121186">
      <w:bodyDiv w:val="1"/>
      <w:marLeft w:val="0"/>
      <w:marRight w:val="0"/>
      <w:marTop w:val="0"/>
      <w:marBottom w:val="0"/>
      <w:divBdr>
        <w:top w:val="none" w:sz="0" w:space="0" w:color="auto"/>
        <w:left w:val="none" w:sz="0" w:space="0" w:color="auto"/>
        <w:bottom w:val="none" w:sz="0" w:space="0" w:color="auto"/>
        <w:right w:val="none" w:sz="0" w:space="0" w:color="auto"/>
      </w:divBdr>
    </w:div>
    <w:div w:id="917909537">
      <w:bodyDiv w:val="1"/>
      <w:marLeft w:val="0"/>
      <w:marRight w:val="0"/>
      <w:marTop w:val="0"/>
      <w:marBottom w:val="0"/>
      <w:divBdr>
        <w:top w:val="none" w:sz="0" w:space="0" w:color="auto"/>
        <w:left w:val="none" w:sz="0" w:space="0" w:color="auto"/>
        <w:bottom w:val="none" w:sz="0" w:space="0" w:color="auto"/>
        <w:right w:val="none" w:sz="0" w:space="0" w:color="auto"/>
      </w:divBdr>
    </w:div>
    <w:div w:id="922564119">
      <w:bodyDiv w:val="1"/>
      <w:marLeft w:val="0"/>
      <w:marRight w:val="0"/>
      <w:marTop w:val="0"/>
      <w:marBottom w:val="0"/>
      <w:divBdr>
        <w:top w:val="none" w:sz="0" w:space="0" w:color="auto"/>
        <w:left w:val="none" w:sz="0" w:space="0" w:color="auto"/>
        <w:bottom w:val="none" w:sz="0" w:space="0" w:color="auto"/>
        <w:right w:val="none" w:sz="0" w:space="0" w:color="auto"/>
      </w:divBdr>
    </w:div>
    <w:div w:id="924189856">
      <w:bodyDiv w:val="1"/>
      <w:marLeft w:val="0"/>
      <w:marRight w:val="0"/>
      <w:marTop w:val="0"/>
      <w:marBottom w:val="0"/>
      <w:divBdr>
        <w:top w:val="none" w:sz="0" w:space="0" w:color="auto"/>
        <w:left w:val="none" w:sz="0" w:space="0" w:color="auto"/>
        <w:bottom w:val="none" w:sz="0" w:space="0" w:color="auto"/>
        <w:right w:val="none" w:sz="0" w:space="0" w:color="auto"/>
      </w:divBdr>
    </w:div>
    <w:div w:id="928541710">
      <w:bodyDiv w:val="1"/>
      <w:marLeft w:val="0"/>
      <w:marRight w:val="0"/>
      <w:marTop w:val="0"/>
      <w:marBottom w:val="0"/>
      <w:divBdr>
        <w:top w:val="none" w:sz="0" w:space="0" w:color="auto"/>
        <w:left w:val="none" w:sz="0" w:space="0" w:color="auto"/>
        <w:bottom w:val="none" w:sz="0" w:space="0" w:color="auto"/>
        <w:right w:val="none" w:sz="0" w:space="0" w:color="auto"/>
      </w:divBdr>
    </w:div>
    <w:div w:id="941188866">
      <w:bodyDiv w:val="1"/>
      <w:marLeft w:val="0"/>
      <w:marRight w:val="0"/>
      <w:marTop w:val="0"/>
      <w:marBottom w:val="0"/>
      <w:divBdr>
        <w:top w:val="none" w:sz="0" w:space="0" w:color="auto"/>
        <w:left w:val="none" w:sz="0" w:space="0" w:color="auto"/>
        <w:bottom w:val="none" w:sz="0" w:space="0" w:color="auto"/>
        <w:right w:val="none" w:sz="0" w:space="0" w:color="auto"/>
      </w:divBdr>
    </w:div>
    <w:div w:id="944775635">
      <w:bodyDiv w:val="1"/>
      <w:marLeft w:val="0"/>
      <w:marRight w:val="0"/>
      <w:marTop w:val="0"/>
      <w:marBottom w:val="0"/>
      <w:divBdr>
        <w:top w:val="none" w:sz="0" w:space="0" w:color="auto"/>
        <w:left w:val="none" w:sz="0" w:space="0" w:color="auto"/>
        <w:bottom w:val="none" w:sz="0" w:space="0" w:color="auto"/>
        <w:right w:val="none" w:sz="0" w:space="0" w:color="auto"/>
      </w:divBdr>
    </w:div>
    <w:div w:id="946936076">
      <w:bodyDiv w:val="1"/>
      <w:marLeft w:val="0"/>
      <w:marRight w:val="0"/>
      <w:marTop w:val="0"/>
      <w:marBottom w:val="0"/>
      <w:divBdr>
        <w:top w:val="none" w:sz="0" w:space="0" w:color="auto"/>
        <w:left w:val="none" w:sz="0" w:space="0" w:color="auto"/>
        <w:bottom w:val="none" w:sz="0" w:space="0" w:color="auto"/>
        <w:right w:val="none" w:sz="0" w:space="0" w:color="auto"/>
      </w:divBdr>
    </w:div>
    <w:div w:id="956839927">
      <w:bodyDiv w:val="1"/>
      <w:marLeft w:val="0"/>
      <w:marRight w:val="0"/>
      <w:marTop w:val="0"/>
      <w:marBottom w:val="0"/>
      <w:divBdr>
        <w:top w:val="none" w:sz="0" w:space="0" w:color="auto"/>
        <w:left w:val="none" w:sz="0" w:space="0" w:color="auto"/>
        <w:bottom w:val="none" w:sz="0" w:space="0" w:color="auto"/>
        <w:right w:val="none" w:sz="0" w:space="0" w:color="auto"/>
      </w:divBdr>
    </w:div>
    <w:div w:id="959842921">
      <w:bodyDiv w:val="1"/>
      <w:marLeft w:val="0"/>
      <w:marRight w:val="0"/>
      <w:marTop w:val="0"/>
      <w:marBottom w:val="0"/>
      <w:divBdr>
        <w:top w:val="none" w:sz="0" w:space="0" w:color="auto"/>
        <w:left w:val="none" w:sz="0" w:space="0" w:color="auto"/>
        <w:bottom w:val="none" w:sz="0" w:space="0" w:color="auto"/>
        <w:right w:val="none" w:sz="0" w:space="0" w:color="auto"/>
      </w:divBdr>
    </w:div>
    <w:div w:id="962419736">
      <w:bodyDiv w:val="1"/>
      <w:marLeft w:val="0"/>
      <w:marRight w:val="0"/>
      <w:marTop w:val="0"/>
      <w:marBottom w:val="0"/>
      <w:divBdr>
        <w:top w:val="none" w:sz="0" w:space="0" w:color="auto"/>
        <w:left w:val="none" w:sz="0" w:space="0" w:color="auto"/>
        <w:bottom w:val="none" w:sz="0" w:space="0" w:color="auto"/>
        <w:right w:val="none" w:sz="0" w:space="0" w:color="auto"/>
      </w:divBdr>
    </w:div>
    <w:div w:id="983192672">
      <w:bodyDiv w:val="1"/>
      <w:marLeft w:val="0"/>
      <w:marRight w:val="0"/>
      <w:marTop w:val="0"/>
      <w:marBottom w:val="0"/>
      <w:divBdr>
        <w:top w:val="none" w:sz="0" w:space="0" w:color="auto"/>
        <w:left w:val="none" w:sz="0" w:space="0" w:color="auto"/>
        <w:bottom w:val="none" w:sz="0" w:space="0" w:color="auto"/>
        <w:right w:val="none" w:sz="0" w:space="0" w:color="auto"/>
      </w:divBdr>
    </w:div>
    <w:div w:id="1003044992">
      <w:bodyDiv w:val="1"/>
      <w:marLeft w:val="0"/>
      <w:marRight w:val="0"/>
      <w:marTop w:val="0"/>
      <w:marBottom w:val="0"/>
      <w:divBdr>
        <w:top w:val="none" w:sz="0" w:space="0" w:color="auto"/>
        <w:left w:val="none" w:sz="0" w:space="0" w:color="auto"/>
        <w:bottom w:val="none" w:sz="0" w:space="0" w:color="auto"/>
        <w:right w:val="none" w:sz="0" w:space="0" w:color="auto"/>
      </w:divBdr>
    </w:div>
    <w:div w:id="1018316003">
      <w:bodyDiv w:val="1"/>
      <w:marLeft w:val="0"/>
      <w:marRight w:val="0"/>
      <w:marTop w:val="0"/>
      <w:marBottom w:val="0"/>
      <w:divBdr>
        <w:top w:val="none" w:sz="0" w:space="0" w:color="auto"/>
        <w:left w:val="none" w:sz="0" w:space="0" w:color="auto"/>
        <w:bottom w:val="none" w:sz="0" w:space="0" w:color="auto"/>
        <w:right w:val="none" w:sz="0" w:space="0" w:color="auto"/>
      </w:divBdr>
    </w:div>
    <w:div w:id="1018920859">
      <w:bodyDiv w:val="1"/>
      <w:marLeft w:val="0"/>
      <w:marRight w:val="0"/>
      <w:marTop w:val="0"/>
      <w:marBottom w:val="0"/>
      <w:divBdr>
        <w:top w:val="none" w:sz="0" w:space="0" w:color="auto"/>
        <w:left w:val="none" w:sz="0" w:space="0" w:color="auto"/>
        <w:bottom w:val="none" w:sz="0" w:space="0" w:color="auto"/>
        <w:right w:val="none" w:sz="0" w:space="0" w:color="auto"/>
      </w:divBdr>
    </w:div>
    <w:div w:id="1020863038">
      <w:bodyDiv w:val="1"/>
      <w:marLeft w:val="0"/>
      <w:marRight w:val="0"/>
      <w:marTop w:val="0"/>
      <w:marBottom w:val="0"/>
      <w:divBdr>
        <w:top w:val="none" w:sz="0" w:space="0" w:color="auto"/>
        <w:left w:val="none" w:sz="0" w:space="0" w:color="auto"/>
        <w:bottom w:val="none" w:sz="0" w:space="0" w:color="auto"/>
        <w:right w:val="none" w:sz="0" w:space="0" w:color="auto"/>
      </w:divBdr>
    </w:div>
    <w:div w:id="1023626257">
      <w:bodyDiv w:val="1"/>
      <w:marLeft w:val="0"/>
      <w:marRight w:val="0"/>
      <w:marTop w:val="0"/>
      <w:marBottom w:val="0"/>
      <w:divBdr>
        <w:top w:val="none" w:sz="0" w:space="0" w:color="auto"/>
        <w:left w:val="none" w:sz="0" w:space="0" w:color="auto"/>
        <w:bottom w:val="none" w:sz="0" w:space="0" w:color="auto"/>
        <w:right w:val="none" w:sz="0" w:space="0" w:color="auto"/>
      </w:divBdr>
    </w:div>
    <w:div w:id="1030910481">
      <w:bodyDiv w:val="1"/>
      <w:marLeft w:val="0"/>
      <w:marRight w:val="0"/>
      <w:marTop w:val="0"/>
      <w:marBottom w:val="0"/>
      <w:divBdr>
        <w:top w:val="none" w:sz="0" w:space="0" w:color="auto"/>
        <w:left w:val="none" w:sz="0" w:space="0" w:color="auto"/>
        <w:bottom w:val="none" w:sz="0" w:space="0" w:color="auto"/>
        <w:right w:val="none" w:sz="0" w:space="0" w:color="auto"/>
      </w:divBdr>
    </w:div>
    <w:div w:id="1037120877">
      <w:bodyDiv w:val="1"/>
      <w:marLeft w:val="0"/>
      <w:marRight w:val="0"/>
      <w:marTop w:val="0"/>
      <w:marBottom w:val="0"/>
      <w:divBdr>
        <w:top w:val="none" w:sz="0" w:space="0" w:color="auto"/>
        <w:left w:val="none" w:sz="0" w:space="0" w:color="auto"/>
        <w:bottom w:val="none" w:sz="0" w:space="0" w:color="auto"/>
        <w:right w:val="none" w:sz="0" w:space="0" w:color="auto"/>
      </w:divBdr>
    </w:div>
    <w:div w:id="1041244101">
      <w:bodyDiv w:val="1"/>
      <w:marLeft w:val="0"/>
      <w:marRight w:val="0"/>
      <w:marTop w:val="0"/>
      <w:marBottom w:val="0"/>
      <w:divBdr>
        <w:top w:val="none" w:sz="0" w:space="0" w:color="auto"/>
        <w:left w:val="none" w:sz="0" w:space="0" w:color="auto"/>
        <w:bottom w:val="none" w:sz="0" w:space="0" w:color="auto"/>
        <w:right w:val="none" w:sz="0" w:space="0" w:color="auto"/>
      </w:divBdr>
    </w:div>
    <w:div w:id="1043939004">
      <w:bodyDiv w:val="1"/>
      <w:marLeft w:val="0"/>
      <w:marRight w:val="0"/>
      <w:marTop w:val="0"/>
      <w:marBottom w:val="0"/>
      <w:divBdr>
        <w:top w:val="none" w:sz="0" w:space="0" w:color="auto"/>
        <w:left w:val="none" w:sz="0" w:space="0" w:color="auto"/>
        <w:bottom w:val="none" w:sz="0" w:space="0" w:color="auto"/>
        <w:right w:val="none" w:sz="0" w:space="0" w:color="auto"/>
      </w:divBdr>
    </w:div>
    <w:div w:id="1048645776">
      <w:bodyDiv w:val="1"/>
      <w:marLeft w:val="0"/>
      <w:marRight w:val="0"/>
      <w:marTop w:val="0"/>
      <w:marBottom w:val="0"/>
      <w:divBdr>
        <w:top w:val="none" w:sz="0" w:space="0" w:color="auto"/>
        <w:left w:val="none" w:sz="0" w:space="0" w:color="auto"/>
        <w:bottom w:val="none" w:sz="0" w:space="0" w:color="auto"/>
        <w:right w:val="none" w:sz="0" w:space="0" w:color="auto"/>
      </w:divBdr>
    </w:div>
    <w:div w:id="1052120444">
      <w:bodyDiv w:val="1"/>
      <w:marLeft w:val="0"/>
      <w:marRight w:val="0"/>
      <w:marTop w:val="0"/>
      <w:marBottom w:val="0"/>
      <w:divBdr>
        <w:top w:val="none" w:sz="0" w:space="0" w:color="auto"/>
        <w:left w:val="none" w:sz="0" w:space="0" w:color="auto"/>
        <w:bottom w:val="none" w:sz="0" w:space="0" w:color="auto"/>
        <w:right w:val="none" w:sz="0" w:space="0" w:color="auto"/>
      </w:divBdr>
    </w:div>
    <w:div w:id="1053191486">
      <w:bodyDiv w:val="1"/>
      <w:marLeft w:val="0"/>
      <w:marRight w:val="0"/>
      <w:marTop w:val="0"/>
      <w:marBottom w:val="0"/>
      <w:divBdr>
        <w:top w:val="none" w:sz="0" w:space="0" w:color="auto"/>
        <w:left w:val="none" w:sz="0" w:space="0" w:color="auto"/>
        <w:bottom w:val="none" w:sz="0" w:space="0" w:color="auto"/>
        <w:right w:val="none" w:sz="0" w:space="0" w:color="auto"/>
      </w:divBdr>
    </w:div>
    <w:div w:id="1056734357">
      <w:bodyDiv w:val="1"/>
      <w:marLeft w:val="0"/>
      <w:marRight w:val="0"/>
      <w:marTop w:val="0"/>
      <w:marBottom w:val="0"/>
      <w:divBdr>
        <w:top w:val="none" w:sz="0" w:space="0" w:color="auto"/>
        <w:left w:val="none" w:sz="0" w:space="0" w:color="auto"/>
        <w:bottom w:val="none" w:sz="0" w:space="0" w:color="auto"/>
        <w:right w:val="none" w:sz="0" w:space="0" w:color="auto"/>
      </w:divBdr>
    </w:div>
    <w:div w:id="1067725374">
      <w:bodyDiv w:val="1"/>
      <w:marLeft w:val="0"/>
      <w:marRight w:val="0"/>
      <w:marTop w:val="0"/>
      <w:marBottom w:val="0"/>
      <w:divBdr>
        <w:top w:val="none" w:sz="0" w:space="0" w:color="auto"/>
        <w:left w:val="none" w:sz="0" w:space="0" w:color="auto"/>
        <w:bottom w:val="none" w:sz="0" w:space="0" w:color="auto"/>
        <w:right w:val="none" w:sz="0" w:space="0" w:color="auto"/>
      </w:divBdr>
    </w:div>
    <w:div w:id="1070814576">
      <w:bodyDiv w:val="1"/>
      <w:marLeft w:val="0"/>
      <w:marRight w:val="0"/>
      <w:marTop w:val="0"/>
      <w:marBottom w:val="0"/>
      <w:divBdr>
        <w:top w:val="none" w:sz="0" w:space="0" w:color="auto"/>
        <w:left w:val="none" w:sz="0" w:space="0" w:color="auto"/>
        <w:bottom w:val="none" w:sz="0" w:space="0" w:color="auto"/>
        <w:right w:val="none" w:sz="0" w:space="0" w:color="auto"/>
      </w:divBdr>
    </w:div>
    <w:div w:id="1079904654">
      <w:bodyDiv w:val="1"/>
      <w:marLeft w:val="0"/>
      <w:marRight w:val="0"/>
      <w:marTop w:val="0"/>
      <w:marBottom w:val="0"/>
      <w:divBdr>
        <w:top w:val="none" w:sz="0" w:space="0" w:color="auto"/>
        <w:left w:val="none" w:sz="0" w:space="0" w:color="auto"/>
        <w:bottom w:val="none" w:sz="0" w:space="0" w:color="auto"/>
        <w:right w:val="none" w:sz="0" w:space="0" w:color="auto"/>
      </w:divBdr>
    </w:div>
    <w:div w:id="1081102158">
      <w:bodyDiv w:val="1"/>
      <w:marLeft w:val="0"/>
      <w:marRight w:val="0"/>
      <w:marTop w:val="0"/>
      <w:marBottom w:val="0"/>
      <w:divBdr>
        <w:top w:val="none" w:sz="0" w:space="0" w:color="auto"/>
        <w:left w:val="none" w:sz="0" w:space="0" w:color="auto"/>
        <w:bottom w:val="none" w:sz="0" w:space="0" w:color="auto"/>
        <w:right w:val="none" w:sz="0" w:space="0" w:color="auto"/>
      </w:divBdr>
    </w:div>
    <w:div w:id="1094975914">
      <w:bodyDiv w:val="1"/>
      <w:marLeft w:val="0"/>
      <w:marRight w:val="0"/>
      <w:marTop w:val="0"/>
      <w:marBottom w:val="0"/>
      <w:divBdr>
        <w:top w:val="none" w:sz="0" w:space="0" w:color="auto"/>
        <w:left w:val="none" w:sz="0" w:space="0" w:color="auto"/>
        <w:bottom w:val="none" w:sz="0" w:space="0" w:color="auto"/>
        <w:right w:val="none" w:sz="0" w:space="0" w:color="auto"/>
      </w:divBdr>
    </w:div>
    <w:div w:id="1099250754">
      <w:bodyDiv w:val="1"/>
      <w:marLeft w:val="0"/>
      <w:marRight w:val="0"/>
      <w:marTop w:val="0"/>
      <w:marBottom w:val="0"/>
      <w:divBdr>
        <w:top w:val="none" w:sz="0" w:space="0" w:color="auto"/>
        <w:left w:val="none" w:sz="0" w:space="0" w:color="auto"/>
        <w:bottom w:val="none" w:sz="0" w:space="0" w:color="auto"/>
        <w:right w:val="none" w:sz="0" w:space="0" w:color="auto"/>
      </w:divBdr>
    </w:div>
    <w:div w:id="1105425740">
      <w:bodyDiv w:val="1"/>
      <w:marLeft w:val="0"/>
      <w:marRight w:val="0"/>
      <w:marTop w:val="0"/>
      <w:marBottom w:val="0"/>
      <w:divBdr>
        <w:top w:val="none" w:sz="0" w:space="0" w:color="auto"/>
        <w:left w:val="none" w:sz="0" w:space="0" w:color="auto"/>
        <w:bottom w:val="none" w:sz="0" w:space="0" w:color="auto"/>
        <w:right w:val="none" w:sz="0" w:space="0" w:color="auto"/>
      </w:divBdr>
    </w:div>
    <w:div w:id="1110931970">
      <w:bodyDiv w:val="1"/>
      <w:marLeft w:val="0"/>
      <w:marRight w:val="0"/>
      <w:marTop w:val="0"/>
      <w:marBottom w:val="0"/>
      <w:divBdr>
        <w:top w:val="none" w:sz="0" w:space="0" w:color="auto"/>
        <w:left w:val="none" w:sz="0" w:space="0" w:color="auto"/>
        <w:bottom w:val="none" w:sz="0" w:space="0" w:color="auto"/>
        <w:right w:val="none" w:sz="0" w:space="0" w:color="auto"/>
      </w:divBdr>
    </w:div>
    <w:div w:id="1116944873">
      <w:bodyDiv w:val="1"/>
      <w:marLeft w:val="0"/>
      <w:marRight w:val="0"/>
      <w:marTop w:val="0"/>
      <w:marBottom w:val="0"/>
      <w:divBdr>
        <w:top w:val="none" w:sz="0" w:space="0" w:color="auto"/>
        <w:left w:val="none" w:sz="0" w:space="0" w:color="auto"/>
        <w:bottom w:val="none" w:sz="0" w:space="0" w:color="auto"/>
        <w:right w:val="none" w:sz="0" w:space="0" w:color="auto"/>
      </w:divBdr>
    </w:div>
    <w:div w:id="1117066729">
      <w:bodyDiv w:val="1"/>
      <w:marLeft w:val="0"/>
      <w:marRight w:val="0"/>
      <w:marTop w:val="0"/>
      <w:marBottom w:val="0"/>
      <w:divBdr>
        <w:top w:val="none" w:sz="0" w:space="0" w:color="auto"/>
        <w:left w:val="none" w:sz="0" w:space="0" w:color="auto"/>
        <w:bottom w:val="none" w:sz="0" w:space="0" w:color="auto"/>
        <w:right w:val="none" w:sz="0" w:space="0" w:color="auto"/>
      </w:divBdr>
    </w:div>
    <w:div w:id="1119304234">
      <w:bodyDiv w:val="1"/>
      <w:marLeft w:val="0"/>
      <w:marRight w:val="0"/>
      <w:marTop w:val="0"/>
      <w:marBottom w:val="0"/>
      <w:divBdr>
        <w:top w:val="none" w:sz="0" w:space="0" w:color="auto"/>
        <w:left w:val="none" w:sz="0" w:space="0" w:color="auto"/>
        <w:bottom w:val="none" w:sz="0" w:space="0" w:color="auto"/>
        <w:right w:val="none" w:sz="0" w:space="0" w:color="auto"/>
      </w:divBdr>
    </w:div>
    <w:div w:id="1126117378">
      <w:bodyDiv w:val="1"/>
      <w:marLeft w:val="0"/>
      <w:marRight w:val="0"/>
      <w:marTop w:val="0"/>
      <w:marBottom w:val="0"/>
      <w:divBdr>
        <w:top w:val="none" w:sz="0" w:space="0" w:color="auto"/>
        <w:left w:val="none" w:sz="0" w:space="0" w:color="auto"/>
        <w:bottom w:val="none" w:sz="0" w:space="0" w:color="auto"/>
        <w:right w:val="none" w:sz="0" w:space="0" w:color="auto"/>
      </w:divBdr>
    </w:div>
    <w:div w:id="1130322481">
      <w:bodyDiv w:val="1"/>
      <w:marLeft w:val="0"/>
      <w:marRight w:val="0"/>
      <w:marTop w:val="0"/>
      <w:marBottom w:val="0"/>
      <w:divBdr>
        <w:top w:val="none" w:sz="0" w:space="0" w:color="auto"/>
        <w:left w:val="none" w:sz="0" w:space="0" w:color="auto"/>
        <w:bottom w:val="none" w:sz="0" w:space="0" w:color="auto"/>
        <w:right w:val="none" w:sz="0" w:space="0" w:color="auto"/>
      </w:divBdr>
    </w:div>
    <w:div w:id="1133718286">
      <w:bodyDiv w:val="1"/>
      <w:marLeft w:val="0"/>
      <w:marRight w:val="0"/>
      <w:marTop w:val="0"/>
      <w:marBottom w:val="0"/>
      <w:divBdr>
        <w:top w:val="none" w:sz="0" w:space="0" w:color="auto"/>
        <w:left w:val="none" w:sz="0" w:space="0" w:color="auto"/>
        <w:bottom w:val="none" w:sz="0" w:space="0" w:color="auto"/>
        <w:right w:val="none" w:sz="0" w:space="0" w:color="auto"/>
      </w:divBdr>
    </w:div>
    <w:div w:id="1139878119">
      <w:bodyDiv w:val="1"/>
      <w:marLeft w:val="0"/>
      <w:marRight w:val="0"/>
      <w:marTop w:val="0"/>
      <w:marBottom w:val="0"/>
      <w:divBdr>
        <w:top w:val="none" w:sz="0" w:space="0" w:color="auto"/>
        <w:left w:val="none" w:sz="0" w:space="0" w:color="auto"/>
        <w:bottom w:val="none" w:sz="0" w:space="0" w:color="auto"/>
        <w:right w:val="none" w:sz="0" w:space="0" w:color="auto"/>
      </w:divBdr>
    </w:div>
    <w:div w:id="1141844569">
      <w:bodyDiv w:val="1"/>
      <w:marLeft w:val="0"/>
      <w:marRight w:val="0"/>
      <w:marTop w:val="0"/>
      <w:marBottom w:val="0"/>
      <w:divBdr>
        <w:top w:val="none" w:sz="0" w:space="0" w:color="auto"/>
        <w:left w:val="none" w:sz="0" w:space="0" w:color="auto"/>
        <w:bottom w:val="none" w:sz="0" w:space="0" w:color="auto"/>
        <w:right w:val="none" w:sz="0" w:space="0" w:color="auto"/>
      </w:divBdr>
    </w:div>
    <w:div w:id="1148353917">
      <w:bodyDiv w:val="1"/>
      <w:marLeft w:val="0"/>
      <w:marRight w:val="0"/>
      <w:marTop w:val="0"/>
      <w:marBottom w:val="0"/>
      <w:divBdr>
        <w:top w:val="none" w:sz="0" w:space="0" w:color="auto"/>
        <w:left w:val="none" w:sz="0" w:space="0" w:color="auto"/>
        <w:bottom w:val="none" w:sz="0" w:space="0" w:color="auto"/>
        <w:right w:val="none" w:sz="0" w:space="0" w:color="auto"/>
      </w:divBdr>
    </w:div>
    <w:div w:id="1149321896">
      <w:bodyDiv w:val="1"/>
      <w:marLeft w:val="0"/>
      <w:marRight w:val="0"/>
      <w:marTop w:val="0"/>
      <w:marBottom w:val="0"/>
      <w:divBdr>
        <w:top w:val="none" w:sz="0" w:space="0" w:color="auto"/>
        <w:left w:val="none" w:sz="0" w:space="0" w:color="auto"/>
        <w:bottom w:val="none" w:sz="0" w:space="0" w:color="auto"/>
        <w:right w:val="none" w:sz="0" w:space="0" w:color="auto"/>
      </w:divBdr>
    </w:div>
    <w:div w:id="1154419935">
      <w:bodyDiv w:val="1"/>
      <w:marLeft w:val="0"/>
      <w:marRight w:val="0"/>
      <w:marTop w:val="0"/>
      <w:marBottom w:val="0"/>
      <w:divBdr>
        <w:top w:val="none" w:sz="0" w:space="0" w:color="auto"/>
        <w:left w:val="none" w:sz="0" w:space="0" w:color="auto"/>
        <w:bottom w:val="none" w:sz="0" w:space="0" w:color="auto"/>
        <w:right w:val="none" w:sz="0" w:space="0" w:color="auto"/>
      </w:divBdr>
    </w:div>
    <w:div w:id="1162283065">
      <w:bodyDiv w:val="1"/>
      <w:marLeft w:val="0"/>
      <w:marRight w:val="0"/>
      <w:marTop w:val="0"/>
      <w:marBottom w:val="0"/>
      <w:divBdr>
        <w:top w:val="none" w:sz="0" w:space="0" w:color="auto"/>
        <w:left w:val="none" w:sz="0" w:space="0" w:color="auto"/>
        <w:bottom w:val="none" w:sz="0" w:space="0" w:color="auto"/>
        <w:right w:val="none" w:sz="0" w:space="0" w:color="auto"/>
      </w:divBdr>
    </w:div>
    <w:div w:id="1187327638">
      <w:bodyDiv w:val="1"/>
      <w:marLeft w:val="0"/>
      <w:marRight w:val="0"/>
      <w:marTop w:val="0"/>
      <w:marBottom w:val="0"/>
      <w:divBdr>
        <w:top w:val="none" w:sz="0" w:space="0" w:color="auto"/>
        <w:left w:val="none" w:sz="0" w:space="0" w:color="auto"/>
        <w:bottom w:val="none" w:sz="0" w:space="0" w:color="auto"/>
        <w:right w:val="none" w:sz="0" w:space="0" w:color="auto"/>
      </w:divBdr>
    </w:div>
    <w:div w:id="1188520665">
      <w:bodyDiv w:val="1"/>
      <w:marLeft w:val="0"/>
      <w:marRight w:val="0"/>
      <w:marTop w:val="0"/>
      <w:marBottom w:val="0"/>
      <w:divBdr>
        <w:top w:val="none" w:sz="0" w:space="0" w:color="auto"/>
        <w:left w:val="none" w:sz="0" w:space="0" w:color="auto"/>
        <w:bottom w:val="none" w:sz="0" w:space="0" w:color="auto"/>
        <w:right w:val="none" w:sz="0" w:space="0" w:color="auto"/>
      </w:divBdr>
    </w:div>
    <w:div w:id="1188905118">
      <w:bodyDiv w:val="1"/>
      <w:marLeft w:val="0"/>
      <w:marRight w:val="0"/>
      <w:marTop w:val="0"/>
      <w:marBottom w:val="0"/>
      <w:divBdr>
        <w:top w:val="none" w:sz="0" w:space="0" w:color="auto"/>
        <w:left w:val="none" w:sz="0" w:space="0" w:color="auto"/>
        <w:bottom w:val="none" w:sz="0" w:space="0" w:color="auto"/>
        <w:right w:val="none" w:sz="0" w:space="0" w:color="auto"/>
      </w:divBdr>
    </w:div>
    <w:div w:id="1212812229">
      <w:bodyDiv w:val="1"/>
      <w:marLeft w:val="0"/>
      <w:marRight w:val="0"/>
      <w:marTop w:val="0"/>
      <w:marBottom w:val="0"/>
      <w:divBdr>
        <w:top w:val="none" w:sz="0" w:space="0" w:color="auto"/>
        <w:left w:val="none" w:sz="0" w:space="0" w:color="auto"/>
        <w:bottom w:val="none" w:sz="0" w:space="0" w:color="auto"/>
        <w:right w:val="none" w:sz="0" w:space="0" w:color="auto"/>
      </w:divBdr>
    </w:div>
    <w:div w:id="1216814870">
      <w:bodyDiv w:val="1"/>
      <w:marLeft w:val="0"/>
      <w:marRight w:val="0"/>
      <w:marTop w:val="0"/>
      <w:marBottom w:val="0"/>
      <w:divBdr>
        <w:top w:val="none" w:sz="0" w:space="0" w:color="auto"/>
        <w:left w:val="none" w:sz="0" w:space="0" w:color="auto"/>
        <w:bottom w:val="none" w:sz="0" w:space="0" w:color="auto"/>
        <w:right w:val="none" w:sz="0" w:space="0" w:color="auto"/>
      </w:divBdr>
    </w:div>
    <w:div w:id="1265187277">
      <w:bodyDiv w:val="1"/>
      <w:marLeft w:val="0"/>
      <w:marRight w:val="0"/>
      <w:marTop w:val="0"/>
      <w:marBottom w:val="0"/>
      <w:divBdr>
        <w:top w:val="none" w:sz="0" w:space="0" w:color="auto"/>
        <w:left w:val="none" w:sz="0" w:space="0" w:color="auto"/>
        <w:bottom w:val="none" w:sz="0" w:space="0" w:color="auto"/>
        <w:right w:val="none" w:sz="0" w:space="0" w:color="auto"/>
      </w:divBdr>
    </w:div>
    <w:div w:id="1265379783">
      <w:bodyDiv w:val="1"/>
      <w:marLeft w:val="0"/>
      <w:marRight w:val="0"/>
      <w:marTop w:val="0"/>
      <w:marBottom w:val="0"/>
      <w:divBdr>
        <w:top w:val="none" w:sz="0" w:space="0" w:color="auto"/>
        <w:left w:val="none" w:sz="0" w:space="0" w:color="auto"/>
        <w:bottom w:val="none" w:sz="0" w:space="0" w:color="auto"/>
        <w:right w:val="none" w:sz="0" w:space="0" w:color="auto"/>
      </w:divBdr>
    </w:div>
    <w:div w:id="1285311178">
      <w:bodyDiv w:val="1"/>
      <w:marLeft w:val="0"/>
      <w:marRight w:val="0"/>
      <w:marTop w:val="0"/>
      <w:marBottom w:val="0"/>
      <w:divBdr>
        <w:top w:val="none" w:sz="0" w:space="0" w:color="auto"/>
        <w:left w:val="none" w:sz="0" w:space="0" w:color="auto"/>
        <w:bottom w:val="none" w:sz="0" w:space="0" w:color="auto"/>
        <w:right w:val="none" w:sz="0" w:space="0" w:color="auto"/>
      </w:divBdr>
    </w:div>
    <w:div w:id="1287856128">
      <w:bodyDiv w:val="1"/>
      <w:marLeft w:val="0"/>
      <w:marRight w:val="0"/>
      <w:marTop w:val="0"/>
      <w:marBottom w:val="0"/>
      <w:divBdr>
        <w:top w:val="none" w:sz="0" w:space="0" w:color="auto"/>
        <w:left w:val="none" w:sz="0" w:space="0" w:color="auto"/>
        <w:bottom w:val="none" w:sz="0" w:space="0" w:color="auto"/>
        <w:right w:val="none" w:sz="0" w:space="0" w:color="auto"/>
      </w:divBdr>
    </w:div>
    <w:div w:id="1289580820">
      <w:bodyDiv w:val="1"/>
      <w:marLeft w:val="0"/>
      <w:marRight w:val="0"/>
      <w:marTop w:val="0"/>
      <w:marBottom w:val="0"/>
      <w:divBdr>
        <w:top w:val="none" w:sz="0" w:space="0" w:color="auto"/>
        <w:left w:val="none" w:sz="0" w:space="0" w:color="auto"/>
        <w:bottom w:val="none" w:sz="0" w:space="0" w:color="auto"/>
        <w:right w:val="none" w:sz="0" w:space="0" w:color="auto"/>
      </w:divBdr>
    </w:div>
    <w:div w:id="1295718179">
      <w:bodyDiv w:val="1"/>
      <w:marLeft w:val="0"/>
      <w:marRight w:val="0"/>
      <w:marTop w:val="0"/>
      <w:marBottom w:val="0"/>
      <w:divBdr>
        <w:top w:val="none" w:sz="0" w:space="0" w:color="auto"/>
        <w:left w:val="none" w:sz="0" w:space="0" w:color="auto"/>
        <w:bottom w:val="none" w:sz="0" w:space="0" w:color="auto"/>
        <w:right w:val="none" w:sz="0" w:space="0" w:color="auto"/>
      </w:divBdr>
    </w:div>
    <w:div w:id="1304919605">
      <w:bodyDiv w:val="1"/>
      <w:marLeft w:val="0"/>
      <w:marRight w:val="0"/>
      <w:marTop w:val="0"/>
      <w:marBottom w:val="0"/>
      <w:divBdr>
        <w:top w:val="none" w:sz="0" w:space="0" w:color="auto"/>
        <w:left w:val="none" w:sz="0" w:space="0" w:color="auto"/>
        <w:bottom w:val="none" w:sz="0" w:space="0" w:color="auto"/>
        <w:right w:val="none" w:sz="0" w:space="0" w:color="auto"/>
      </w:divBdr>
    </w:div>
    <w:div w:id="1310135112">
      <w:bodyDiv w:val="1"/>
      <w:marLeft w:val="0"/>
      <w:marRight w:val="0"/>
      <w:marTop w:val="0"/>
      <w:marBottom w:val="0"/>
      <w:divBdr>
        <w:top w:val="none" w:sz="0" w:space="0" w:color="auto"/>
        <w:left w:val="none" w:sz="0" w:space="0" w:color="auto"/>
        <w:bottom w:val="none" w:sz="0" w:space="0" w:color="auto"/>
        <w:right w:val="none" w:sz="0" w:space="0" w:color="auto"/>
      </w:divBdr>
    </w:div>
    <w:div w:id="1319653243">
      <w:bodyDiv w:val="1"/>
      <w:marLeft w:val="0"/>
      <w:marRight w:val="0"/>
      <w:marTop w:val="0"/>
      <w:marBottom w:val="0"/>
      <w:divBdr>
        <w:top w:val="none" w:sz="0" w:space="0" w:color="auto"/>
        <w:left w:val="none" w:sz="0" w:space="0" w:color="auto"/>
        <w:bottom w:val="none" w:sz="0" w:space="0" w:color="auto"/>
        <w:right w:val="none" w:sz="0" w:space="0" w:color="auto"/>
      </w:divBdr>
    </w:div>
    <w:div w:id="1343165373">
      <w:bodyDiv w:val="1"/>
      <w:marLeft w:val="0"/>
      <w:marRight w:val="0"/>
      <w:marTop w:val="0"/>
      <w:marBottom w:val="0"/>
      <w:divBdr>
        <w:top w:val="none" w:sz="0" w:space="0" w:color="auto"/>
        <w:left w:val="none" w:sz="0" w:space="0" w:color="auto"/>
        <w:bottom w:val="none" w:sz="0" w:space="0" w:color="auto"/>
        <w:right w:val="none" w:sz="0" w:space="0" w:color="auto"/>
      </w:divBdr>
    </w:div>
    <w:div w:id="1353990563">
      <w:bodyDiv w:val="1"/>
      <w:marLeft w:val="0"/>
      <w:marRight w:val="0"/>
      <w:marTop w:val="0"/>
      <w:marBottom w:val="0"/>
      <w:divBdr>
        <w:top w:val="none" w:sz="0" w:space="0" w:color="auto"/>
        <w:left w:val="none" w:sz="0" w:space="0" w:color="auto"/>
        <w:bottom w:val="none" w:sz="0" w:space="0" w:color="auto"/>
        <w:right w:val="none" w:sz="0" w:space="0" w:color="auto"/>
      </w:divBdr>
    </w:div>
    <w:div w:id="1355108912">
      <w:bodyDiv w:val="1"/>
      <w:marLeft w:val="0"/>
      <w:marRight w:val="0"/>
      <w:marTop w:val="0"/>
      <w:marBottom w:val="0"/>
      <w:divBdr>
        <w:top w:val="none" w:sz="0" w:space="0" w:color="auto"/>
        <w:left w:val="none" w:sz="0" w:space="0" w:color="auto"/>
        <w:bottom w:val="none" w:sz="0" w:space="0" w:color="auto"/>
        <w:right w:val="none" w:sz="0" w:space="0" w:color="auto"/>
      </w:divBdr>
    </w:div>
    <w:div w:id="1364480416">
      <w:bodyDiv w:val="1"/>
      <w:marLeft w:val="0"/>
      <w:marRight w:val="0"/>
      <w:marTop w:val="0"/>
      <w:marBottom w:val="0"/>
      <w:divBdr>
        <w:top w:val="none" w:sz="0" w:space="0" w:color="auto"/>
        <w:left w:val="none" w:sz="0" w:space="0" w:color="auto"/>
        <w:bottom w:val="none" w:sz="0" w:space="0" w:color="auto"/>
        <w:right w:val="none" w:sz="0" w:space="0" w:color="auto"/>
      </w:divBdr>
    </w:div>
    <w:div w:id="1367682257">
      <w:bodyDiv w:val="1"/>
      <w:marLeft w:val="0"/>
      <w:marRight w:val="0"/>
      <w:marTop w:val="0"/>
      <w:marBottom w:val="0"/>
      <w:divBdr>
        <w:top w:val="none" w:sz="0" w:space="0" w:color="auto"/>
        <w:left w:val="none" w:sz="0" w:space="0" w:color="auto"/>
        <w:bottom w:val="none" w:sz="0" w:space="0" w:color="auto"/>
        <w:right w:val="none" w:sz="0" w:space="0" w:color="auto"/>
      </w:divBdr>
    </w:div>
    <w:div w:id="1378628420">
      <w:bodyDiv w:val="1"/>
      <w:marLeft w:val="0"/>
      <w:marRight w:val="0"/>
      <w:marTop w:val="0"/>
      <w:marBottom w:val="0"/>
      <w:divBdr>
        <w:top w:val="none" w:sz="0" w:space="0" w:color="auto"/>
        <w:left w:val="none" w:sz="0" w:space="0" w:color="auto"/>
        <w:bottom w:val="none" w:sz="0" w:space="0" w:color="auto"/>
        <w:right w:val="none" w:sz="0" w:space="0" w:color="auto"/>
      </w:divBdr>
    </w:div>
    <w:div w:id="1379937510">
      <w:bodyDiv w:val="1"/>
      <w:marLeft w:val="0"/>
      <w:marRight w:val="0"/>
      <w:marTop w:val="0"/>
      <w:marBottom w:val="0"/>
      <w:divBdr>
        <w:top w:val="none" w:sz="0" w:space="0" w:color="auto"/>
        <w:left w:val="none" w:sz="0" w:space="0" w:color="auto"/>
        <w:bottom w:val="none" w:sz="0" w:space="0" w:color="auto"/>
        <w:right w:val="none" w:sz="0" w:space="0" w:color="auto"/>
      </w:divBdr>
    </w:div>
    <w:div w:id="1391465123">
      <w:bodyDiv w:val="1"/>
      <w:marLeft w:val="0"/>
      <w:marRight w:val="0"/>
      <w:marTop w:val="0"/>
      <w:marBottom w:val="0"/>
      <w:divBdr>
        <w:top w:val="none" w:sz="0" w:space="0" w:color="auto"/>
        <w:left w:val="none" w:sz="0" w:space="0" w:color="auto"/>
        <w:bottom w:val="none" w:sz="0" w:space="0" w:color="auto"/>
        <w:right w:val="none" w:sz="0" w:space="0" w:color="auto"/>
      </w:divBdr>
    </w:div>
    <w:div w:id="1392580690">
      <w:bodyDiv w:val="1"/>
      <w:marLeft w:val="0"/>
      <w:marRight w:val="0"/>
      <w:marTop w:val="0"/>
      <w:marBottom w:val="0"/>
      <w:divBdr>
        <w:top w:val="none" w:sz="0" w:space="0" w:color="auto"/>
        <w:left w:val="none" w:sz="0" w:space="0" w:color="auto"/>
        <w:bottom w:val="none" w:sz="0" w:space="0" w:color="auto"/>
        <w:right w:val="none" w:sz="0" w:space="0" w:color="auto"/>
      </w:divBdr>
    </w:div>
    <w:div w:id="1396780232">
      <w:bodyDiv w:val="1"/>
      <w:marLeft w:val="0"/>
      <w:marRight w:val="0"/>
      <w:marTop w:val="0"/>
      <w:marBottom w:val="0"/>
      <w:divBdr>
        <w:top w:val="none" w:sz="0" w:space="0" w:color="auto"/>
        <w:left w:val="none" w:sz="0" w:space="0" w:color="auto"/>
        <w:bottom w:val="none" w:sz="0" w:space="0" w:color="auto"/>
        <w:right w:val="none" w:sz="0" w:space="0" w:color="auto"/>
      </w:divBdr>
    </w:div>
    <w:div w:id="1403604362">
      <w:bodyDiv w:val="1"/>
      <w:marLeft w:val="0"/>
      <w:marRight w:val="0"/>
      <w:marTop w:val="0"/>
      <w:marBottom w:val="0"/>
      <w:divBdr>
        <w:top w:val="none" w:sz="0" w:space="0" w:color="auto"/>
        <w:left w:val="none" w:sz="0" w:space="0" w:color="auto"/>
        <w:bottom w:val="none" w:sz="0" w:space="0" w:color="auto"/>
        <w:right w:val="none" w:sz="0" w:space="0" w:color="auto"/>
      </w:divBdr>
    </w:div>
    <w:div w:id="1420642872">
      <w:bodyDiv w:val="1"/>
      <w:marLeft w:val="0"/>
      <w:marRight w:val="0"/>
      <w:marTop w:val="0"/>
      <w:marBottom w:val="0"/>
      <w:divBdr>
        <w:top w:val="none" w:sz="0" w:space="0" w:color="auto"/>
        <w:left w:val="none" w:sz="0" w:space="0" w:color="auto"/>
        <w:bottom w:val="none" w:sz="0" w:space="0" w:color="auto"/>
        <w:right w:val="none" w:sz="0" w:space="0" w:color="auto"/>
      </w:divBdr>
    </w:div>
    <w:div w:id="1439107324">
      <w:bodyDiv w:val="1"/>
      <w:marLeft w:val="0"/>
      <w:marRight w:val="0"/>
      <w:marTop w:val="0"/>
      <w:marBottom w:val="0"/>
      <w:divBdr>
        <w:top w:val="none" w:sz="0" w:space="0" w:color="auto"/>
        <w:left w:val="none" w:sz="0" w:space="0" w:color="auto"/>
        <w:bottom w:val="none" w:sz="0" w:space="0" w:color="auto"/>
        <w:right w:val="none" w:sz="0" w:space="0" w:color="auto"/>
      </w:divBdr>
    </w:div>
    <w:div w:id="1439328452">
      <w:bodyDiv w:val="1"/>
      <w:marLeft w:val="0"/>
      <w:marRight w:val="0"/>
      <w:marTop w:val="0"/>
      <w:marBottom w:val="0"/>
      <w:divBdr>
        <w:top w:val="none" w:sz="0" w:space="0" w:color="auto"/>
        <w:left w:val="none" w:sz="0" w:space="0" w:color="auto"/>
        <w:bottom w:val="none" w:sz="0" w:space="0" w:color="auto"/>
        <w:right w:val="none" w:sz="0" w:space="0" w:color="auto"/>
      </w:divBdr>
    </w:div>
    <w:div w:id="1447962497">
      <w:bodyDiv w:val="1"/>
      <w:marLeft w:val="0"/>
      <w:marRight w:val="0"/>
      <w:marTop w:val="0"/>
      <w:marBottom w:val="0"/>
      <w:divBdr>
        <w:top w:val="none" w:sz="0" w:space="0" w:color="auto"/>
        <w:left w:val="none" w:sz="0" w:space="0" w:color="auto"/>
        <w:bottom w:val="none" w:sz="0" w:space="0" w:color="auto"/>
        <w:right w:val="none" w:sz="0" w:space="0" w:color="auto"/>
      </w:divBdr>
    </w:div>
    <w:div w:id="1453212214">
      <w:bodyDiv w:val="1"/>
      <w:marLeft w:val="0"/>
      <w:marRight w:val="0"/>
      <w:marTop w:val="0"/>
      <w:marBottom w:val="0"/>
      <w:divBdr>
        <w:top w:val="none" w:sz="0" w:space="0" w:color="auto"/>
        <w:left w:val="none" w:sz="0" w:space="0" w:color="auto"/>
        <w:bottom w:val="none" w:sz="0" w:space="0" w:color="auto"/>
        <w:right w:val="none" w:sz="0" w:space="0" w:color="auto"/>
      </w:divBdr>
    </w:div>
    <w:div w:id="1461335632">
      <w:bodyDiv w:val="1"/>
      <w:marLeft w:val="0"/>
      <w:marRight w:val="0"/>
      <w:marTop w:val="0"/>
      <w:marBottom w:val="0"/>
      <w:divBdr>
        <w:top w:val="none" w:sz="0" w:space="0" w:color="auto"/>
        <w:left w:val="none" w:sz="0" w:space="0" w:color="auto"/>
        <w:bottom w:val="none" w:sz="0" w:space="0" w:color="auto"/>
        <w:right w:val="none" w:sz="0" w:space="0" w:color="auto"/>
      </w:divBdr>
    </w:div>
    <w:div w:id="1466238451">
      <w:bodyDiv w:val="1"/>
      <w:marLeft w:val="0"/>
      <w:marRight w:val="0"/>
      <w:marTop w:val="0"/>
      <w:marBottom w:val="0"/>
      <w:divBdr>
        <w:top w:val="none" w:sz="0" w:space="0" w:color="auto"/>
        <w:left w:val="none" w:sz="0" w:space="0" w:color="auto"/>
        <w:bottom w:val="none" w:sz="0" w:space="0" w:color="auto"/>
        <w:right w:val="none" w:sz="0" w:space="0" w:color="auto"/>
      </w:divBdr>
    </w:div>
    <w:div w:id="1467814667">
      <w:bodyDiv w:val="1"/>
      <w:marLeft w:val="0"/>
      <w:marRight w:val="0"/>
      <w:marTop w:val="0"/>
      <w:marBottom w:val="0"/>
      <w:divBdr>
        <w:top w:val="none" w:sz="0" w:space="0" w:color="auto"/>
        <w:left w:val="none" w:sz="0" w:space="0" w:color="auto"/>
        <w:bottom w:val="none" w:sz="0" w:space="0" w:color="auto"/>
        <w:right w:val="none" w:sz="0" w:space="0" w:color="auto"/>
      </w:divBdr>
    </w:div>
    <w:div w:id="1471900361">
      <w:bodyDiv w:val="1"/>
      <w:marLeft w:val="0"/>
      <w:marRight w:val="0"/>
      <w:marTop w:val="0"/>
      <w:marBottom w:val="0"/>
      <w:divBdr>
        <w:top w:val="none" w:sz="0" w:space="0" w:color="auto"/>
        <w:left w:val="none" w:sz="0" w:space="0" w:color="auto"/>
        <w:bottom w:val="none" w:sz="0" w:space="0" w:color="auto"/>
        <w:right w:val="none" w:sz="0" w:space="0" w:color="auto"/>
      </w:divBdr>
    </w:div>
    <w:div w:id="1475096769">
      <w:bodyDiv w:val="1"/>
      <w:marLeft w:val="0"/>
      <w:marRight w:val="0"/>
      <w:marTop w:val="0"/>
      <w:marBottom w:val="0"/>
      <w:divBdr>
        <w:top w:val="none" w:sz="0" w:space="0" w:color="auto"/>
        <w:left w:val="none" w:sz="0" w:space="0" w:color="auto"/>
        <w:bottom w:val="none" w:sz="0" w:space="0" w:color="auto"/>
        <w:right w:val="none" w:sz="0" w:space="0" w:color="auto"/>
      </w:divBdr>
    </w:div>
    <w:div w:id="1479613558">
      <w:bodyDiv w:val="1"/>
      <w:marLeft w:val="0"/>
      <w:marRight w:val="0"/>
      <w:marTop w:val="0"/>
      <w:marBottom w:val="0"/>
      <w:divBdr>
        <w:top w:val="none" w:sz="0" w:space="0" w:color="auto"/>
        <w:left w:val="none" w:sz="0" w:space="0" w:color="auto"/>
        <w:bottom w:val="none" w:sz="0" w:space="0" w:color="auto"/>
        <w:right w:val="none" w:sz="0" w:space="0" w:color="auto"/>
      </w:divBdr>
    </w:div>
    <w:div w:id="1496526778">
      <w:bodyDiv w:val="1"/>
      <w:marLeft w:val="0"/>
      <w:marRight w:val="0"/>
      <w:marTop w:val="0"/>
      <w:marBottom w:val="0"/>
      <w:divBdr>
        <w:top w:val="none" w:sz="0" w:space="0" w:color="auto"/>
        <w:left w:val="none" w:sz="0" w:space="0" w:color="auto"/>
        <w:bottom w:val="none" w:sz="0" w:space="0" w:color="auto"/>
        <w:right w:val="none" w:sz="0" w:space="0" w:color="auto"/>
      </w:divBdr>
    </w:div>
    <w:div w:id="1501239937">
      <w:bodyDiv w:val="1"/>
      <w:marLeft w:val="0"/>
      <w:marRight w:val="0"/>
      <w:marTop w:val="0"/>
      <w:marBottom w:val="0"/>
      <w:divBdr>
        <w:top w:val="none" w:sz="0" w:space="0" w:color="auto"/>
        <w:left w:val="none" w:sz="0" w:space="0" w:color="auto"/>
        <w:bottom w:val="none" w:sz="0" w:space="0" w:color="auto"/>
        <w:right w:val="none" w:sz="0" w:space="0" w:color="auto"/>
      </w:divBdr>
    </w:div>
    <w:div w:id="1502310560">
      <w:bodyDiv w:val="1"/>
      <w:marLeft w:val="0"/>
      <w:marRight w:val="0"/>
      <w:marTop w:val="0"/>
      <w:marBottom w:val="0"/>
      <w:divBdr>
        <w:top w:val="none" w:sz="0" w:space="0" w:color="auto"/>
        <w:left w:val="none" w:sz="0" w:space="0" w:color="auto"/>
        <w:bottom w:val="none" w:sz="0" w:space="0" w:color="auto"/>
        <w:right w:val="none" w:sz="0" w:space="0" w:color="auto"/>
      </w:divBdr>
    </w:div>
    <w:div w:id="1517690269">
      <w:bodyDiv w:val="1"/>
      <w:marLeft w:val="0"/>
      <w:marRight w:val="0"/>
      <w:marTop w:val="0"/>
      <w:marBottom w:val="0"/>
      <w:divBdr>
        <w:top w:val="none" w:sz="0" w:space="0" w:color="auto"/>
        <w:left w:val="none" w:sz="0" w:space="0" w:color="auto"/>
        <w:bottom w:val="none" w:sz="0" w:space="0" w:color="auto"/>
        <w:right w:val="none" w:sz="0" w:space="0" w:color="auto"/>
      </w:divBdr>
    </w:div>
    <w:div w:id="1534882482">
      <w:bodyDiv w:val="1"/>
      <w:marLeft w:val="0"/>
      <w:marRight w:val="0"/>
      <w:marTop w:val="0"/>
      <w:marBottom w:val="0"/>
      <w:divBdr>
        <w:top w:val="none" w:sz="0" w:space="0" w:color="auto"/>
        <w:left w:val="none" w:sz="0" w:space="0" w:color="auto"/>
        <w:bottom w:val="none" w:sz="0" w:space="0" w:color="auto"/>
        <w:right w:val="none" w:sz="0" w:space="0" w:color="auto"/>
      </w:divBdr>
    </w:div>
    <w:div w:id="1547912635">
      <w:bodyDiv w:val="1"/>
      <w:marLeft w:val="0"/>
      <w:marRight w:val="0"/>
      <w:marTop w:val="0"/>
      <w:marBottom w:val="0"/>
      <w:divBdr>
        <w:top w:val="none" w:sz="0" w:space="0" w:color="auto"/>
        <w:left w:val="none" w:sz="0" w:space="0" w:color="auto"/>
        <w:bottom w:val="none" w:sz="0" w:space="0" w:color="auto"/>
        <w:right w:val="none" w:sz="0" w:space="0" w:color="auto"/>
      </w:divBdr>
    </w:div>
    <w:div w:id="1548448591">
      <w:bodyDiv w:val="1"/>
      <w:marLeft w:val="0"/>
      <w:marRight w:val="0"/>
      <w:marTop w:val="0"/>
      <w:marBottom w:val="0"/>
      <w:divBdr>
        <w:top w:val="none" w:sz="0" w:space="0" w:color="auto"/>
        <w:left w:val="none" w:sz="0" w:space="0" w:color="auto"/>
        <w:bottom w:val="none" w:sz="0" w:space="0" w:color="auto"/>
        <w:right w:val="none" w:sz="0" w:space="0" w:color="auto"/>
      </w:divBdr>
    </w:div>
    <w:div w:id="1558861681">
      <w:bodyDiv w:val="1"/>
      <w:marLeft w:val="0"/>
      <w:marRight w:val="0"/>
      <w:marTop w:val="0"/>
      <w:marBottom w:val="0"/>
      <w:divBdr>
        <w:top w:val="none" w:sz="0" w:space="0" w:color="auto"/>
        <w:left w:val="none" w:sz="0" w:space="0" w:color="auto"/>
        <w:bottom w:val="none" w:sz="0" w:space="0" w:color="auto"/>
        <w:right w:val="none" w:sz="0" w:space="0" w:color="auto"/>
      </w:divBdr>
    </w:div>
    <w:div w:id="1562866702">
      <w:bodyDiv w:val="1"/>
      <w:marLeft w:val="0"/>
      <w:marRight w:val="0"/>
      <w:marTop w:val="0"/>
      <w:marBottom w:val="0"/>
      <w:divBdr>
        <w:top w:val="none" w:sz="0" w:space="0" w:color="auto"/>
        <w:left w:val="none" w:sz="0" w:space="0" w:color="auto"/>
        <w:bottom w:val="none" w:sz="0" w:space="0" w:color="auto"/>
        <w:right w:val="none" w:sz="0" w:space="0" w:color="auto"/>
      </w:divBdr>
    </w:div>
    <w:div w:id="1591112148">
      <w:bodyDiv w:val="1"/>
      <w:marLeft w:val="0"/>
      <w:marRight w:val="0"/>
      <w:marTop w:val="0"/>
      <w:marBottom w:val="0"/>
      <w:divBdr>
        <w:top w:val="none" w:sz="0" w:space="0" w:color="auto"/>
        <w:left w:val="none" w:sz="0" w:space="0" w:color="auto"/>
        <w:bottom w:val="none" w:sz="0" w:space="0" w:color="auto"/>
        <w:right w:val="none" w:sz="0" w:space="0" w:color="auto"/>
      </w:divBdr>
    </w:div>
    <w:div w:id="1610744952">
      <w:bodyDiv w:val="1"/>
      <w:marLeft w:val="0"/>
      <w:marRight w:val="0"/>
      <w:marTop w:val="0"/>
      <w:marBottom w:val="0"/>
      <w:divBdr>
        <w:top w:val="none" w:sz="0" w:space="0" w:color="auto"/>
        <w:left w:val="none" w:sz="0" w:space="0" w:color="auto"/>
        <w:bottom w:val="none" w:sz="0" w:space="0" w:color="auto"/>
        <w:right w:val="none" w:sz="0" w:space="0" w:color="auto"/>
      </w:divBdr>
    </w:div>
    <w:div w:id="1619530239">
      <w:bodyDiv w:val="1"/>
      <w:marLeft w:val="0"/>
      <w:marRight w:val="0"/>
      <w:marTop w:val="0"/>
      <w:marBottom w:val="0"/>
      <w:divBdr>
        <w:top w:val="none" w:sz="0" w:space="0" w:color="auto"/>
        <w:left w:val="none" w:sz="0" w:space="0" w:color="auto"/>
        <w:bottom w:val="none" w:sz="0" w:space="0" w:color="auto"/>
        <w:right w:val="none" w:sz="0" w:space="0" w:color="auto"/>
      </w:divBdr>
    </w:div>
    <w:div w:id="1622221511">
      <w:bodyDiv w:val="1"/>
      <w:marLeft w:val="0"/>
      <w:marRight w:val="0"/>
      <w:marTop w:val="0"/>
      <w:marBottom w:val="0"/>
      <w:divBdr>
        <w:top w:val="none" w:sz="0" w:space="0" w:color="auto"/>
        <w:left w:val="none" w:sz="0" w:space="0" w:color="auto"/>
        <w:bottom w:val="none" w:sz="0" w:space="0" w:color="auto"/>
        <w:right w:val="none" w:sz="0" w:space="0" w:color="auto"/>
      </w:divBdr>
    </w:div>
    <w:div w:id="1632130094">
      <w:bodyDiv w:val="1"/>
      <w:marLeft w:val="0"/>
      <w:marRight w:val="0"/>
      <w:marTop w:val="0"/>
      <w:marBottom w:val="0"/>
      <w:divBdr>
        <w:top w:val="none" w:sz="0" w:space="0" w:color="auto"/>
        <w:left w:val="none" w:sz="0" w:space="0" w:color="auto"/>
        <w:bottom w:val="none" w:sz="0" w:space="0" w:color="auto"/>
        <w:right w:val="none" w:sz="0" w:space="0" w:color="auto"/>
      </w:divBdr>
    </w:div>
    <w:div w:id="1641769414">
      <w:bodyDiv w:val="1"/>
      <w:marLeft w:val="0"/>
      <w:marRight w:val="0"/>
      <w:marTop w:val="0"/>
      <w:marBottom w:val="0"/>
      <w:divBdr>
        <w:top w:val="none" w:sz="0" w:space="0" w:color="auto"/>
        <w:left w:val="none" w:sz="0" w:space="0" w:color="auto"/>
        <w:bottom w:val="none" w:sz="0" w:space="0" w:color="auto"/>
        <w:right w:val="none" w:sz="0" w:space="0" w:color="auto"/>
      </w:divBdr>
    </w:div>
    <w:div w:id="1641961139">
      <w:bodyDiv w:val="1"/>
      <w:marLeft w:val="0"/>
      <w:marRight w:val="0"/>
      <w:marTop w:val="0"/>
      <w:marBottom w:val="0"/>
      <w:divBdr>
        <w:top w:val="none" w:sz="0" w:space="0" w:color="auto"/>
        <w:left w:val="none" w:sz="0" w:space="0" w:color="auto"/>
        <w:bottom w:val="none" w:sz="0" w:space="0" w:color="auto"/>
        <w:right w:val="none" w:sz="0" w:space="0" w:color="auto"/>
      </w:divBdr>
    </w:div>
    <w:div w:id="1650749446">
      <w:bodyDiv w:val="1"/>
      <w:marLeft w:val="0"/>
      <w:marRight w:val="0"/>
      <w:marTop w:val="0"/>
      <w:marBottom w:val="0"/>
      <w:divBdr>
        <w:top w:val="none" w:sz="0" w:space="0" w:color="auto"/>
        <w:left w:val="none" w:sz="0" w:space="0" w:color="auto"/>
        <w:bottom w:val="none" w:sz="0" w:space="0" w:color="auto"/>
        <w:right w:val="none" w:sz="0" w:space="0" w:color="auto"/>
      </w:divBdr>
    </w:div>
    <w:div w:id="1673265186">
      <w:bodyDiv w:val="1"/>
      <w:marLeft w:val="0"/>
      <w:marRight w:val="0"/>
      <w:marTop w:val="0"/>
      <w:marBottom w:val="0"/>
      <w:divBdr>
        <w:top w:val="none" w:sz="0" w:space="0" w:color="auto"/>
        <w:left w:val="none" w:sz="0" w:space="0" w:color="auto"/>
        <w:bottom w:val="none" w:sz="0" w:space="0" w:color="auto"/>
        <w:right w:val="none" w:sz="0" w:space="0" w:color="auto"/>
      </w:divBdr>
    </w:div>
    <w:div w:id="1682245006">
      <w:bodyDiv w:val="1"/>
      <w:marLeft w:val="0"/>
      <w:marRight w:val="0"/>
      <w:marTop w:val="0"/>
      <w:marBottom w:val="0"/>
      <w:divBdr>
        <w:top w:val="none" w:sz="0" w:space="0" w:color="auto"/>
        <w:left w:val="none" w:sz="0" w:space="0" w:color="auto"/>
        <w:bottom w:val="none" w:sz="0" w:space="0" w:color="auto"/>
        <w:right w:val="none" w:sz="0" w:space="0" w:color="auto"/>
      </w:divBdr>
    </w:div>
    <w:div w:id="1690713145">
      <w:bodyDiv w:val="1"/>
      <w:marLeft w:val="0"/>
      <w:marRight w:val="0"/>
      <w:marTop w:val="0"/>
      <w:marBottom w:val="0"/>
      <w:divBdr>
        <w:top w:val="none" w:sz="0" w:space="0" w:color="auto"/>
        <w:left w:val="none" w:sz="0" w:space="0" w:color="auto"/>
        <w:bottom w:val="none" w:sz="0" w:space="0" w:color="auto"/>
        <w:right w:val="none" w:sz="0" w:space="0" w:color="auto"/>
      </w:divBdr>
    </w:div>
    <w:div w:id="1695689631">
      <w:bodyDiv w:val="1"/>
      <w:marLeft w:val="0"/>
      <w:marRight w:val="0"/>
      <w:marTop w:val="0"/>
      <w:marBottom w:val="0"/>
      <w:divBdr>
        <w:top w:val="none" w:sz="0" w:space="0" w:color="auto"/>
        <w:left w:val="none" w:sz="0" w:space="0" w:color="auto"/>
        <w:bottom w:val="none" w:sz="0" w:space="0" w:color="auto"/>
        <w:right w:val="none" w:sz="0" w:space="0" w:color="auto"/>
      </w:divBdr>
    </w:div>
    <w:div w:id="1706636124">
      <w:bodyDiv w:val="1"/>
      <w:marLeft w:val="0"/>
      <w:marRight w:val="0"/>
      <w:marTop w:val="0"/>
      <w:marBottom w:val="0"/>
      <w:divBdr>
        <w:top w:val="none" w:sz="0" w:space="0" w:color="auto"/>
        <w:left w:val="none" w:sz="0" w:space="0" w:color="auto"/>
        <w:bottom w:val="none" w:sz="0" w:space="0" w:color="auto"/>
        <w:right w:val="none" w:sz="0" w:space="0" w:color="auto"/>
      </w:divBdr>
    </w:div>
    <w:div w:id="1724211366">
      <w:bodyDiv w:val="1"/>
      <w:marLeft w:val="0"/>
      <w:marRight w:val="0"/>
      <w:marTop w:val="0"/>
      <w:marBottom w:val="0"/>
      <w:divBdr>
        <w:top w:val="none" w:sz="0" w:space="0" w:color="auto"/>
        <w:left w:val="none" w:sz="0" w:space="0" w:color="auto"/>
        <w:bottom w:val="none" w:sz="0" w:space="0" w:color="auto"/>
        <w:right w:val="none" w:sz="0" w:space="0" w:color="auto"/>
      </w:divBdr>
    </w:div>
    <w:div w:id="1730348743">
      <w:bodyDiv w:val="1"/>
      <w:marLeft w:val="0"/>
      <w:marRight w:val="0"/>
      <w:marTop w:val="0"/>
      <w:marBottom w:val="0"/>
      <w:divBdr>
        <w:top w:val="none" w:sz="0" w:space="0" w:color="auto"/>
        <w:left w:val="none" w:sz="0" w:space="0" w:color="auto"/>
        <w:bottom w:val="none" w:sz="0" w:space="0" w:color="auto"/>
        <w:right w:val="none" w:sz="0" w:space="0" w:color="auto"/>
      </w:divBdr>
    </w:div>
    <w:div w:id="1754083467">
      <w:bodyDiv w:val="1"/>
      <w:marLeft w:val="0"/>
      <w:marRight w:val="0"/>
      <w:marTop w:val="0"/>
      <w:marBottom w:val="0"/>
      <w:divBdr>
        <w:top w:val="none" w:sz="0" w:space="0" w:color="auto"/>
        <w:left w:val="none" w:sz="0" w:space="0" w:color="auto"/>
        <w:bottom w:val="none" w:sz="0" w:space="0" w:color="auto"/>
        <w:right w:val="none" w:sz="0" w:space="0" w:color="auto"/>
      </w:divBdr>
    </w:div>
    <w:div w:id="1759014584">
      <w:bodyDiv w:val="1"/>
      <w:marLeft w:val="0"/>
      <w:marRight w:val="0"/>
      <w:marTop w:val="0"/>
      <w:marBottom w:val="0"/>
      <w:divBdr>
        <w:top w:val="none" w:sz="0" w:space="0" w:color="auto"/>
        <w:left w:val="none" w:sz="0" w:space="0" w:color="auto"/>
        <w:bottom w:val="none" w:sz="0" w:space="0" w:color="auto"/>
        <w:right w:val="none" w:sz="0" w:space="0" w:color="auto"/>
      </w:divBdr>
    </w:div>
    <w:div w:id="1759133841">
      <w:bodyDiv w:val="1"/>
      <w:marLeft w:val="0"/>
      <w:marRight w:val="0"/>
      <w:marTop w:val="0"/>
      <w:marBottom w:val="0"/>
      <w:divBdr>
        <w:top w:val="none" w:sz="0" w:space="0" w:color="auto"/>
        <w:left w:val="none" w:sz="0" w:space="0" w:color="auto"/>
        <w:bottom w:val="none" w:sz="0" w:space="0" w:color="auto"/>
        <w:right w:val="none" w:sz="0" w:space="0" w:color="auto"/>
      </w:divBdr>
    </w:div>
    <w:div w:id="1784419291">
      <w:bodyDiv w:val="1"/>
      <w:marLeft w:val="0"/>
      <w:marRight w:val="0"/>
      <w:marTop w:val="0"/>
      <w:marBottom w:val="0"/>
      <w:divBdr>
        <w:top w:val="none" w:sz="0" w:space="0" w:color="auto"/>
        <w:left w:val="none" w:sz="0" w:space="0" w:color="auto"/>
        <w:bottom w:val="none" w:sz="0" w:space="0" w:color="auto"/>
        <w:right w:val="none" w:sz="0" w:space="0" w:color="auto"/>
      </w:divBdr>
    </w:div>
    <w:div w:id="1801419135">
      <w:bodyDiv w:val="1"/>
      <w:marLeft w:val="0"/>
      <w:marRight w:val="0"/>
      <w:marTop w:val="0"/>
      <w:marBottom w:val="0"/>
      <w:divBdr>
        <w:top w:val="none" w:sz="0" w:space="0" w:color="auto"/>
        <w:left w:val="none" w:sz="0" w:space="0" w:color="auto"/>
        <w:bottom w:val="none" w:sz="0" w:space="0" w:color="auto"/>
        <w:right w:val="none" w:sz="0" w:space="0" w:color="auto"/>
      </w:divBdr>
    </w:div>
    <w:div w:id="1809977810">
      <w:bodyDiv w:val="1"/>
      <w:marLeft w:val="0"/>
      <w:marRight w:val="0"/>
      <w:marTop w:val="0"/>
      <w:marBottom w:val="0"/>
      <w:divBdr>
        <w:top w:val="none" w:sz="0" w:space="0" w:color="auto"/>
        <w:left w:val="none" w:sz="0" w:space="0" w:color="auto"/>
        <w:bottom w:val="none" w:sz="0" w:space="0" w:color="auto"/>
        <w:right w:val="none" w:sz="0" w:space="0" w:color="auto"/>
      </w:divBdr>
    </w:div>
    <w:div w:id="1812820058">
      <w:bodyDiv w:val="1"/>
      <w:marLeft w:val="0"/>
      <w:marRight w:val="0"/>
      <w:marTop w:val="0"/>
      <w:marBottom w:val="0"/>
      <w:divBdr>
        <w:top w:val="none" w:sz="0" w:space="0" w:color="auto"/>
        <w:left w:val="none" w:sz="0" w:space="0" w:color="auto"/>
        <w:bottom w:val="none" w:sz="0" w:space="0" w:color="auto"/>
        <w:right w:val="none" w:sz="0" w:space="0" w:color="auto"/>
      </w:divBdr>
    </w:div>
    <w:div w:id="1820922306">
      <w:bodyDiv w:val="1"/>
      <w:marLeft w:val="0"/>
      <w:marRight w:val="0"/>
      <w:marTop w:val="0"/>
      <w:marBottom w:val="0"/>
      <w:divBdr>
        <w:top w:val="none" w:sz="0" w:space="0" w:color="auto"/>
        <w:left w:val="none" w:sz="0" w:space="0" w:color="auto"/>
        <w:bottom w:val="none" w:sz="0" w:space="0" w:color="auto"/>
        <w:right w:val="none" w:sz="0" w:space="0" w:color="auto"/>
      </w:divBdr>
    </w:div>
    <w:div w:id="1833524617">
      <w:bodyDiv w:val="1"/>
      <w:marLeft w:val="0"/>
      <w:marRight w:val="0"/>
      <w:marTop w:val="0"/>
      <w:marBottom w:val="0"/>
      <w:divBdr>
        <w:top w:val="none" w:sz="0" w:space="0" w:color="auto"/>
        <w:left w:val="none" w:sz="0" w:space="0" w:color="auto"/>
        <w:bottom w:val="none" w:sz="0" w:space="0" w:color="auto"/>
        <w:right w:val="none" w:sz="0" w:space="0" w:color="auto"/>
      </w:divBdr>
    </w:div>
    <w:div w:id="1841307336">
      <w:bodyDiv w:val="1"/>
      <w:marLeft w:val="0"/>
      <w:marRight w:val="0"/>
      <w:marTop w:val="0"/>
      <w:marBottom w:val="0"/>
      <w:divBdr>
        <w:top w:val="none" w:sz="0" w:space="0" w:color="auto"/>
        <w:left w:val="none" w:sz="0" w:space="0" w:color="auto"/>
        <w:bottom w:val="none" w:sz="0" w:space="0" w:color="auto"/>
        <w:right w:val="none" w:sz="0" w:space="0" w:color="auto"/>
      </w:divBdr>
    </w:div>
    <w:div w:id="1848665048">
      <w:bodyDiv w:val="1"/>
      <w:marLeft w:val="0"/>
      <w:marRight w:val="0"/>
      <w:marTop w:val="0"/>
      <w:marBottom w:val="0"/>
      <w:divBdr>
        <w:top w:val="none" w:sz="0" w:space="0" w:color="auto"/>
        <w:left w:val="none" w:sz="0" w:space="0" w:color="auto"/>
        <w:bottom w:val="none" w:sz="0" w:space="0" w:color="auto"/>
        <w:right w:val="none" w:sz="0" w:space="0" w:color="auto"/>
      </w:divBdr>
    </w:div>
    <w:div w:id="1852602326">
      <w:bodyDiv w:val="1"/>
      <w:marLeft w:val="0"/>
      <w:marRight w:val="0"/>
      <w:marTop w:val="0"/>
      <w:marBottom w:val="0"/>
      <w:divBdr>
        <w:top w:val="none" w:sz="0" w:space="0" w:color="auto"/>
        <w:left w:val="none" w:sz="0" w:space="0" w:color="auto"/>
        <w:bottom w:val="none" w:sz="0" w:space="0" w:color="auto"/>
        <w:right w:val="none" w:sz="0" w:space="0" w:color="auto"/>
      </w:divBdr>
    </w:div>
    <w:div w:id="1860390610">
      <w:bodyDiv w:val="1"/>
      <w:marLeft w:val="0"/>
      <w:marRight w:val="0"/>
      <w:marTop w:val="0"/>
      <w:marBottom w:val="0"/>
      <w:divBdr>
        <w:top w:val="none" w:sz="0" w:space="0" w:color="auto"/>
        <w:left w:val="none" w:sz="0" w:space="0" w:color="auto"/>
        <w:bottom w:val="none" w:sz="0" w:space="0" w:color="auto"/>
        <w:right w:val="none" w:sz="0" w:space="0" w:color="auto"/>
      </w:divBdr>
    </w:div>
    <w:div w:id="1866476299">
      <w:bodyDiv w:val="1"/>
      <w:marLeft w:val="0"/>
      <w:marRight w:val="0"/>
      <w:marTop w:val="0"/>
      <w:marBottom w:val="0"/>
      <w:divBdr>
        <w:top w:val="none" w:sz="0" w:space="0" w:color="auto"/>
        <w:left w:val="none" w:sz="0" w:space="0" w:color="auto"/>
        <w:bottom w:val="none" w:sz="0" w:space="0" w:color="auto"/>
        <w:right w:val="none" w:sz="0" w:space="0" w:color="auto"/>
      </w:divBdr>
    </w:div>
    <w:div w:id="1883589590">
      <w:bodyDiv w:val="1"/>
      <w:marLeft w:val="0"/>
      <w:marRight w:val="0"/>
      <w:marTop w:val="0"/>
      <w:marBottom w:val="0"/>
      <w:divBdr>
        <w:top w:val="none" w:sz="0" w:space="0" w:color="auto"/>
        <w:left w:val="none" w:sz="0" w:space="0" w:color="auto"/>
        <w:bottom w:val="none" w:sz="0" w:space="0" w:color="auto"/>
        <w:right w:val="none" w:sz="0" w:space="0" w:color="auto"/>
      </w:divBdr>
    </w:div>
    <w:div w:id="1888712969">
      <w:bodyDiv w:val="1"/>
      <w:marLeft w:val="0"/>
      <w:marRight w:val="0"/>
      <w:marTop w:val="0"/>
      <w:marBottom w:val="0"/>
      <w:divBdr>
        <w:top w:val="none" w:sz="0" w:space="0" w:color="auto"/>
        <w:left w:val="none" w:sz="0" w:space="0" w:color="auto"/>
        <w:bottom w:val="none" w:sz="0" w:space="0" w:color="auto"/>
        <w:right w:val="none" w:sz="0" w:space="0" w:color="auto"/>
      </w:divBdr>
    </w:div>
    <w:div w:id="1890216747">
      <w:bodyDiv w:val="1"/>
      <w:marLeft w:val="0"/>
      <w:marRight w:val="0"/>
      <w:marTop w:val="0"/>
      <w:marBottom w:val="0"/>
      <w:divBdr>
        <w:top w:val="none" w:sz="0" w:space="0" w:color="auto"/>
        <w:left w:val="none" w:sz="0" w:space="0" w:color="auto"/>
        <w:bottom w:val="none" w:sz="0" w:space="0" w:color="auto"/>
        <w:right w:val="none" w:sz="0" w:space="0" w:color="auto"/>
      </w:divBdr>
    </w:div>
    <w:div w:id="1897621994">
      <w:bodyDiv w:val="1"/>
      <w:marLeft w:val="0"/>
      <w:marRight w:val="0"/>
      <w:marTop w:val="0"/>
      <w:marBottom w:val="0"/>
      <w:divBdr>
        <w:top w:val="none" w:sz="0" w:space="0" w:color="auto"/>
        <w:left w:val="none" w:sz="0" w:space="0" w:color="auto"/>
        <w:bottom w:val="none" w:sz="0" w:space="0" w:color="auto"/>
        <w:right w:val="none" w:sz="0" w:space="0" w:color="auto"/>
      </w:divBdr>
    </w:div>
    <w:div w:id="1905874648">
      <w:bodyDiv w:val="1"/>
      <w:marLeft w:val="0"/>
      <w:marRight w:val="0"/>
      <w:marTop w:val="0"/>
      <w:marBottom w:val="0"/>
      <w:divBdr>
        <w:top w:val="none" w:sz="0" w:space="0" w:color="auto"/>
        <w:left w:val="none" w:sz="0" w:space="0" w:color="auto"/>
        <w:bottom w:val="none" w:sz="0" w:space="0" w:color="auto"/>
        <w:right w:val="none" w:sz="0" w:space="0" w:color="auto"/>
      </w:divBdr>
    </w:div>
    <w:div w:id="1911646464">
      <w:bodyDiv w:val="1"/>
      <w:marLeft w:val="0"/>
      <w:marRight w:val="0"/>
      <w:marTop w:val="0"/>
      <w:marBottom w:val="0"/>
      <w:divBdr>
        <w:top w:val="none" w:sz="0" w:space="0" w:color="auto"/>
        <w:left w:val="none" w:sz="0" w:space="0" w:color="auto"/>
        <w:bottom w:val="none" w:sz="0" w:space="0" w:color="auto"/>
        <w:right w:val="none" w:sz="0" w:space="0" w:color="auto"/>
      </w:divBdr>
    </w:div>
    <w:div w:id="1917205269">
      <w:bodyDiv w:val="1"/>
      <w:marLeft w:val="0"/>
      <w:marRight w:val="0"/>
      <w:marTop w:val="0"/>
      <w:marBottom w:val="0"/>
      <w:divBdr>
        <w:top w:val="none" w:sz="0" w:space="0" w:color="auto"/>
        <w:left w:val="none" w:sz="0" w:space="0" w:color="auto"/>
        <w:bottom w:val="none" w:sz="0" w:space="0" w:color="auto"/>
        <w:right w:val="none" w:sz="0" w:space="0" w:color="auto"/>
      </w:divBdr>
    </w:div>
    <w:div w:id="1921938923">
      <w:bodyDiv w:val="1"/>
      <w:marLeft w:val="0"/>
      <w:marRight w:val="0"/>
      <w:marTop w:val="0"/>
      <w:marBottom w:val="0"/>
      <w:divBdr>
        <w:top w:val="none" w:sz="0" w:space="0" w:color="auto"/>
        <w:left w:val="none" w:sz="0" w:space="0" w:color="auto"/>
        <w:bottom w:val="none" w:sz="0" w:space="0" w:color="auto"/>
        <w:right w:val="none" w:sz="0" w:space="0" w:color="auto"/>
      </w:divBdr>
    </w:div>
    <w:div w:id="1927810729">
      <w:bodyDiv w:val="1"/>
      <w:marLeft w:val="0"/>
      <w:marRight w:val="0"/>
      <w:marTop w:val="0"/>
      <w:marBottom w:val="0"/>
      <w:divBdr>
        <w:top w:val="none" w:sz="0" w:space="0" w:color="auto"/>
        <w:left w:val="none" w:sz="0" w:space="0" w:color="auto"/>
        <w:bottom w:val="none" w:sz="0" w:space="0" w:color="auto"/>
        <w:right w:val="none" w:sz="0" w:space="0" w:color="auto"/>
      </w:divBdr>
    </w:div>
    <w:div w:id="1928926872">
      <w:bodyDiv w:val="1"/>
      <w:marLeft w:val="0"/>
      <w:marRight w:val="0"/>
      <w:marTop w:val="0"/>
      <w:marBottom w:val="0"/>
      <w:divBdr>
        <w:top w:val="none" w:sz="0" w:space="0" w:color="auto"/>
        <w:left w:val="none" w:sz="0" w:space="0" w:color="auto"/>
        <w:bottom w:val="none" w:sz="0" w:space="0" w:color="auto"/>
        <w:right w:val="none" w:sz="0" w:space="0" w:color="auto"/>
      </w:divBdr>
    </w:div>
    <w:div w:id="1929538150">
      <w:bodyDiv w:val="1"/>
      <w:marLeft w:val="0"/>
      <w:marRight w:val="0"/>
      <w:marTop w:val="0"/>
      <w:marBottom w:val="0"/>
      <w:divBdr>
        <w:top w:val="none" w:sz="0" w:space="0" w:color="auto"/>
        <w:left w:val="none" w:sz="0" w:space="0" w:color="auto"/>
        <w:bottom w:val="none" w:sz="0" w:space="0" w:color="auto"/>
        <w:right w:val="none" w:sz="0" w:space="0" w:color="auto"/>
      </w:divBdr>
    </w:div>
    <w:div w:id="1934891897">
      <w:bodyDiv w:val="1"/>
      <w:marLeft w:val="0"/>
      <w:marRight w:val="0"/>
      <w:marTop w:val="0"/>
      <w:marBottom w:val="0"/>
      <w:divBdr>
        <w:top w:val="none" w:sz="0" w:space="0" w:color="auto"/>
        <w:left w:val="none" w:sz="0" w:space="0" w:color="auto"/>
        <w:bottom w:val="none" w:sz="0" w:space="0" w:color="auto"/>
        <w:right w:val="none" w:sz="0" w:space="0" w:color="auto"/>
      </w:divBdr>
    </w:div>
    <w:div w:id="1935700180">
      <w:bodyDiv w:val="1"/>
      <w:marLeft w:val="0"/>
      <w:marRight w:val="0"/>
      <w:marTop w:val="0"/>
      <w:marBottom w:val="0"/>
      <w:divBdr>
        <w:top w:val="none" w:sz="0" w:space="0" w:color="auto"/>
        <w:left w:val="none" w:sz="0" w:space="0" w:color="auto"/>
        <w:bottom w:val="none" w:sz="0" w:space="0" w:color="auto"/>
        <w:right w:val="none" w:sz="0" w:space="0" w:color="auto"/>
      </w:divBdr>
    </w:div>
    <w:div w:id="1945116799">
      <w:bodyDiv w:val="1"/>
      <w:marLeft w:val="0"/>
      <w:marRight w:val="0"/>
      <w:marTop w:val="0"/>
      <w:marBottom w:val="0"/>
      <w:divBdr>
        <w:top w:val="none" w:sz="0" w:space="0" w:color="auto"/>
        <w:left w:val="none" w:sz="0" w:space="0" w:color="auto"/>
        <w:bottom w:val="none" w:sz="0" w:space="0" w:color="auto"/>
        <w:right w:val="none" w:sz="0" w:space="0" w:color="auto"/>
      </w:divBdr>
    </w:div>
    <w:div w:id="1946038617">
      <w:bodyDiv w:val="1"/>
      <w:marLeft w:val="0"/>
      <w:marRight w:val="0"/>
      <w:marTop w:val="0"/>
      <w:marBottom w:val="0"/>
      <w:divBdr>
        <w:top w:val="none" w:sz="0" w:space="0" w:color="auto"/>
        <w:left w:val="none" w:sz="0" w:space="0" w:color="auto"/>
        <w:bottom w:val="none" w:sz="0" w:space="0" w:color="auto"/>
        <w:right w:val="none" w:sz="0" w:space="0" w:color="auto"/>
      </w:divBdr>
    </w:div>
    <w:div w:id="1947081884">
      <w:bodyDiv w:val="1"/>
      <w:marLeft w:val="0"/>
      <w:marRight w:val="0"/>
      <w:marTop w:val="0"/>
      <w:marBottom w:val="0"/>
      <w:divBdr>
        <w:top w:val="none" w:sz="0" w:space="0" w:color="auto"/>
        <w:left w:val="none" w:sz="0" w:space="0" w:color="auto"/>
        <w:bottom w:val="none" w:sz="0" w:space="0" w:color="auto"/>
        <w:right w:val="none" w:sz="0" w:space="0" w:color="auto"/>
      </w:divBdr>
    </w:div>
    <w:div w:id="1963802293">
      <w:bodyDiv w:val="1"/>
      <w:marLeft w:val="0"/>
      <w:marRight w:val="0"/>
      <w:marTop w:val="0"/>
      <w:marBottom w:val="0"/>
      <w:divBdr>
        <w:top w:val="none" w:sz="0" w:space="0" w:color="auto"/>
        <w:left w:val="none" w:sz="0" w:space="0" w:color="auto"/>
        <w:bottom w:val="none" w:sz="0" w:space="0" w:color="auto"/>
        <w:right w:val="none" w:sz="0" w:space="0" w:color="auto"/>
      </w:divBdr>
    </w:div>
    <w:div w:id="1966423913">
      <w:bodyDiv w:val="1"/>
      <w:marLeft w:val="0"/>
      <w:marRight w:val="0"/>
      <w:marTop w:val="0"/>
      <w:marBottom w:val="0"/>
      <w:divBdr>
        <w:top w:val="none" w:sz="0" w:space="0" w:color="auto"/>
        <w:left w:val="none" w:sz="0" w:space="0" w:color="auto"/>
        <w:bottom w:val="none" w:sz="0" w:space="0" w:color="auto"/>
        <w:right w:val="none" w:sz="0" w:space="0" w:color="auto"/>
      </w:divBdr>
    </w:div>
    <w:div w:id="1968703329">
      <w:bodyDiv w:val="1"/>
      <w:marLeft w:val="0"/>
      <w:marRight w:val="0"/>
      <w:marTop w:val="0"/>
      <w:marBottom w:val="0"/>
      <w:divBdr>
        <w:top w:val="none" w:sz="0" w:space="0" w:color="auto"/>
        <w:left w:val="none" w:sz="0" w:space="0" w:color="auto"/>
        <w:bottom w:val="none" w:sz="0" w:space="0" w:color="auto"/>
        <w:right w:val="none" w:sz="0" w:space="0" w:color="auto"/>
      </w:divBdr>
    </w:div>
    <w:div w:id="1970747670">
      <w:bodyDiv w:val="1"/>
      <w:marLeft w:val="0"/>
      <w:marRight w:val="0"/>
      <w:marTop w:val="0"/>
      <w:marBottom w:val="0"/>
      <w:divBdr>
        <w:top w:val="none" w:sz="0" w:space="0" w:color="auto"/>
        <w:left w:val="none" w:sz="0" w:space="0" w:color="auto"/>
        <w:bottom w:val="none" w:sz="0" w:space="0" w:color="auto"/>
        <w:right w:val="none" w:sz="0" w:space="0" w:color="auto"/>
      </w:divBdr>
    </w:div>
    <w:div w:id="1971130249">
      <w:bodyDiv w:val="1"/>
      <w:marLeft w:val="0"/>
      <w:marRight w:val="0"/>
      <w:marTop w:val="0"/>
      <w:marBottom w:val="0"/>
      <w:divBdr>
        <w:top w:val="none" w:sz="0" w:space="0" w:color="auto"/>
        <w:left w:val="none" w:sz="0" w:space="0" w:color="auto"/>
        <w:bottom w:val="none" w:sz="0" w:space="0" w:color="auto"/>
        <w:right w:val="none" w:sz="0" w:space="0" w:color="auto"/>
      </w:divBdr>
    </w:div>
    <w:div w:id="1979609376">
      <w:bodyDiv w:val="1"/>
      <w:marLeft w:val="0"/>
      <w:marRight w:val="0"/>
      <w:marTop w:val="0"/>
      <w:marBottom w:val="0"/>
      <w:divBdr>
        <w:top w:val="none" w:sz="0" w:space="0" w:color="auto"/>
        <w:left w:val="none" w:sz="0" w:space="0" w:color="auto"/>
        <w:bottom w:val="none" w:sz="0" w:space="0" w:color="auto"/>
        <w:right w:val="none" w:sz="0" w:space="0" w:color="auto"/>
      </w:divBdr>
    </w:div>
    <w:div w:id="1994135082">
      <w:bodyDiv w:val="1"/>
      <w:marLeft w:val="0"/>
      <w:marRight w:val="0"/>
      <w:marTop w:val="0"/>
      <w:marBottom w:val="0"/>
      <w:divBdr>
        <w:top w:val="none" w:sz="0" w:space="0" w:color="auto"/>
        <w:left w:val="none" w:sz="0" w:space="0" w:color="auto"/>
        <w:bottom w:val="none" w:sz="0" w:space="0" w:color="auto"/>
        <w:right w:val="none" w:sz="0" w:space="0" w:color="auto"/>
      </w:divBdr>
    </w:div>
    <w:div w:id="1998536493">
      <w:bodyDiv w:val="1"/>
      <w:marLeft w:val="0"/>
      <w:marRight w:val="0"/>
      <w:marTop w:val="0"/>
      <w:marBottom w:val="0"/>
      <w:divBdr>
        <w:top w:val="none" w:sz="0" w:space="0" w:color="auto"/>
        <w:left w:val="none" w:sz="0" w:space="0" w:color="auto"/>
        <w:bottom w:val="none" w:sz="0" w:space="0" w:color="auto"/>
        <w:right w:val="none" w:sz="0" w:space="0" w:color="auto"/>
      </w:divBdr>
    </w:div>
    <w:div w:id="2002078566">
      <w:bodyDiv w:val="1"/>
      <w:marLeft w:val="0"/>
      <w:marRight w:val="0"/>
      <w:marTop w:val="0"/>
      <w:marBottom w:val="0"/>
      <w:divBdr>
        <w:top w:val="none" w:sz="0" w:space="0" w:color="auto"/>
        <w:left w:val="none" w:sz="0" w:space="0" w:color="auto"/>
        <w:bottom w:val="none" w:sz="0" w:space="0" w:color="auto"/>
        <w:right w:val="none" w:sz="0" w:space="0" w:color="auto"/>
      </w:divBdr>
    </w:div>
    <w:div w:id="2010060867">
      <w:bodyDiv w:val="1"/>
      <w:marLeft w:val="0"/>
      <w:marRight w:val="0"/>
      <w:marTop w:val="0"/>
      <w:marBottom w:val="0"/>
      <w:divBdr>
        <w:top w:val="none" w:sz="0" w:space="0" w:color="auto"/>
        <w:left w:val="none" w:sz="0" w:space="0" w:color="auto"/>
        <w:bottom w:val="none" w:sz="0" w:space="0" w:color="auto"/>
        <w:right w:val="none" w:sz="0" w:space="0" w:color="auto"/>
      </w:divBdr>
    </w:div>
    <w:div w:id="2026977558">
      <w:bodyDiv w:val="1"/>
      <w:marLeft w:val="0"/>
      <w:marRight w:val="0"/>
      <w:marTop w:val="0"/>
      <w:marBottom w:val="0"/>
      <w:divBdr>
        <w:top w:val="none" w:sz="0" w:space="0" w:color="auto"/>
        <w:left w:val="none" w:sz="0" w:space="0" w:color="auto"/>
        <w:bottom w:val="none" w:sz="0" w:space="0" w:color="auto"/>
        <w:right w:val="none" w:sz="0" w:space="0" w:color="auto"/>
      </w:divBdr>
    </w:div>
    <w:div w:id="2028632741">
      <w:bodyDiv w:val="1"/>
      <w:marLeft w:val="0"/>
      <w:marRight w:val="0"/>
      <w:marTop w:val="0"/>
      <w:marBottom w:val="0"/>
      <w:divBdr>
        <w:top w:val="none" w:sz="0" w:space="0" w:color="auto"/>
        <w:left w:val="none" w:sz="0" w:space="0" w:color="auto"/>
        <w:bottom w:val="none" w:sz="0" w:space="0" w:color="auto"/>
        <w:right w:val="none" w:sz="0" w:space="0" w:color="auto"/>
      </w:divBdr>
    </w:div>
    <w:div w:id="2032755166">
      <w:bodyDiv w:val="1"/>
      <w:marLeft w:val="0"/>
      <w:marRight w:val="0"/>
      <w:marTop w:val="0"/>
      <w:marBottom w:val="0"/>
      <w:divBdr>
        <w:top w:val="none" w:sz="0" w:space="0" w:color="auto"/>
        <w:left w:val="none" w:sz="0" w:space="0" w:color="auto"/>
        <w:bottom w:val="none" w:sz="0" w:space="0" w:color="auto"/>
        <w:right w:val="none" w:sz="0" w:space="0" w:color="auto"/>
      </w:divBdr>
    </w:div>
    <w:div w:id="2035693737">
      <w:bodyDiv w:val="1"/>
      <w:marLeft w:val="0"/>
      <w:marRight w:val="0"/>
      <w:marTop w:val="0"/>
      <w:marBottom w:val="0"/>
      <w:divBdr>
        <w:top w:val="none" w:sz="0" w:space="0" w:color="auto"/>
        <w:left w:val="none" w:sz="0" w:space="0" w:color="auto"/>
        <w:bottom w:val="none" w:sz="0" w:space="0" w:color="auto"/>
        <w:right w:val="none" w:sz="0" w:space="0" w:color="auto"/>
      </w:divBdr>
    </w:div>
    <w:div w:id="2038003677">
      <w:bodyDiv w:val="1"/>
      <w:marLeft w:val="0"/>
      <w:marRight w:val="0"/>
      <w:marTop w:val="0"/>
      <w:marBottom w:val="0"/>
      <w:divBdr>
        <w:top w:val="none" w:sz="0" w:space="0" w:color="auto"/>
        <w:left w:val="none" w:sz="0" w:space="0" w:color="auto"/>
        <w:bottom w:val="none" w:sz="0" w:space="0" w:color="auto"/>
        <w:right w:val="none" w:sz="0" w:space="0" w:color="auto"/>
      </w:divBdr>
    </w:div>
    <w:div w:id="2048606790">
      <w:bodyDiv w:val="1"/>
      <w:marLeft w:val="0"/>
      <w:marRight w:val="0"/>
      <w:marTop w:val="0"/>
      <w:marBottom w:val="0"/>
      <w:divBdr>
        <w:top w:val="none" w:sz="0" w:space="0" w:color="auto"/>
        <w:left w:val="none" w:sz="0" w:space="0" w:color="auto"/>
        <w:bottom w:val="none" w:sz="0" w:space="0" w:color="auto"/>
        <w:right w:val="none" w:sz="0" w:space="0" w:color="auto"/>
      </w:divBdr>
    </w:div>
    <w:div w:id="2073429586">
      <w:bodyDiv w:val="1"/>
      <w:marLeft w:val="0"/>
      <w:marRight w:val="0"/>
      <w:marTop w:val="0"/>
      <w:marBottom w:val="0"/>
      <w:divBdr>
        <w:top w:val="none" w:sz="0" w:space="0" w:color="auto"/>
        <w:left w:val="none" w:sz="0" w:space="0" w:color="auto"/>
        <w:bottom w:val="none" w:sz="0" w:space="0" w:color="auto"/>
        <w:right w:val="none" w:sz="0" w:space="0" w:color="auto"/>
      </w:divBdr>
    </w:div>
    <w:div w:id="2080399943">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082947971">
      <w:bodyDiv w:val="1"/>
      <w:marLeft w:val="0"/>
      <w:marRight w:val="0"/>
      <w:marTop w:val="0"/>
      <w:marBottom w:val="0"/>
      <w:divBdr>
        <w:top w:val="none" w:sz="0" w:space="0" w:color="auto"/>
        <w:left w:val="none" w:sz="0" w:space="0" w:color="auto"/>
        <w:bottom w:val="none" w:sz="0" w:space="0" w:color="auto"/>
        <w:right w:val="none" w:sz="0" w:space="0" w:color="auto"/>
      </w:divBdr>
    </w:div>
    <w:div w:id="2083945434">
      <w:bodyDiv w:val="1"/>
      <w:marLeft w:val="0"/>
      <w:marRight w:val="0"/>
      <w:marTop w:val="0"/>
      <w:marBottom w:val="0"/>
      <w:divBdr>
        <w:top w:val="none" w:sz="0" w:space="0" w:color="auto"/>
        <w:left w:val="none" w:sz="0" w:space="0" w:color="auto"/>
        <w:bottom w:val="none" w:sz="0" w:space="0" w:color="auto"/>
        <w:right w:val="none" w:sz="0" w:space="0" w:color="auto"/>
      </w:divBdr>
    </w:div>
    <w:div w:id="2090496564">
      <w:bodyDiv w:val="1"/>
      <w:marLeft w:val="0"/>
      <w:marRight w:val="0"/>
      <w:marTop w:val="0"/>
      <w:marBottom w:val="0"/>
      <w:divBdr>
        <w:top w:val="none" w:sz="0" w:space="0" w:color="auto"/>
        <w:left w:val="none" w:sz="0" w:space="0" w:color="auto"/>
        <w:bottom w:val="none" w:sz="0" w:space="0" w:color="auto"/>
        <w:right w:val="none" w:sz="0" w:space="0" w:color="auto"/>
      </w:divBdr>
    </w:div>
    <w:div w:id="2100909044">
      <w:bodyDiv w:val="1"/>
      <w:marLeft w:val="0"/>
      <w:marRight w:val="0"/>
      <w:marTop w:val="0"/>
      <w:marBottom w:val="0"/>
      <w:divBdr>
        <w:top w:val="none" w:sz="0" w:space="0" w:color="auto"/>
        <w:left w:val="none" w:sz="0" w:space="0" w:color="auto"/>
        <w:bottom w:val="none" w:sz="0" w:space="0" w:color="auto"/>
        <w:right w:val="none" w:sz="0" w:space="0" w:color="auto"/>
      </w:divBdr>
    </w:div>
    <w:div w:id="2101289922">
      <w:bodyDiv w:val="1"/>
      <w:marLeft w:val="0"/>
      <w:marRight w:val="0"/>
      <w:marTop w:val="0"/>
      <w:marBottom w:val="0"/>
      <w:divBdr>
        <w:top w:val="none" w:sz="0" w:space="0" w:color="auto"/>
        <w:left w:val="none" w:sz="0" w:space="0" w:color="auto"/>
        <w:bottom w:val="none" w:sz="0" w:space="0" w:color="auto"/>
        <w:right w:val="none" w:sz="0" w:space="0" w:color="auto"/>
      </w:divBdr>
    </w:div>
    <w:div w:id="2102287207">
      <w:bodyDiv w:val="1"/>
      <w:marLeft w:val="0"/>
      <w:marRight w:val="0"/>
      <w:marTop w:val="0"/>
      <w:marBottom w:val="0"/>
      <w:divBdr>
        <w:top w:val="none" w:sz="0" w:space="0" w:color="auto"/>
        <w:left w:val="none" w:sz="0" w:space="0" w:color="auto"/>
        <w:bottom w:val="none" w:sz="0" w:space="0" w:color="auto"/>
        <w:right w:val="none" w:sz="0" w:space="0" w:color="auto"/>
      </w:divBdr>
    </w:div>
    <w:div w:id="2109932625">
      <w:bodyDiv w:val="1"/>
      <w:marLeft w:val="0"/>
      <w:marRight w:val="0"/>
      <w:marTop w:val="0"/>
      <w:marBottom w:val="0"/>
      <w:divBdr>
        <w:top w:val="none" w:sz="0" w:space="0" w:color="auto"/>
        <w:left w:val="none" w:sz="0" w:space="0" w:color="auto"/>
        <w:bottom w:val="none" w:sz="0" w:space="0" w:color="auto"/>
        <w:right w:val="none" w:sz="0" w:space="0" w:color="auto"/>
      </w:divBdr>
    </w:div>
    <w:div w:id="2121291949">
      <w:bodyDiv w:val="1"/>
      <w:marLeft w:val="0"/>
      <w:marRight w:val="0"/>
      <w:marTop w:val="0"/>
      <w:marBottom w:val="0"/>
      <w:divBdr>
        <w:top w:val="none" w:sz="0" w:space="0" w:color="auto"/>
        <w:left w:val="none" w:sz="0" w:space="0" w:color="auto"/>
        <w:bottom w:val="none" w:sz="0" w:space="0" w:color="auto"/>
        <w:right w:val="none" w:sz="0" w:space="0" w:color="auto"/>
      </w:divBdr>
    </w:div>
    <w:div w:id="2122263304">
      <w:bodyDiv w:val="1"/>
      <w:marLeft w:val="0"/>
      <w:marRight w:val="0"/>
      <w:marTop w:val="0"/>
      <w:marBottom w:val="0"/>
      <w:divBdr>
        <w:top w:val="none" w:sz="0" w:space="0" w:color="auto"/>
        <w:left w:val="none" w:sz="0" w:space="0" w:color="auto"/>
        <w:bottom w:val="none" w:sz="0" w:space="0" w:color="auto"/>
        <w:right w:val="none" w:sz="0" w:space="0" w:color="auto"/>
      </w:divBdr>
    </w:div>
    <w:div w:id="2125152034">
      <w:bodyDiv w:val="1"/>
      <w:marLeft w:val="0"/>
      <w:marRight w:val="0"/>
      <w:marTop w:val="0"/>
      <w:marBottom w:val="0"/>
      <w:divBdr>
        <w:top w:val="none" w:sz="0" w:space="0" w:color="auto"/>
        <w:left w:val="none" w:sz="0" w:space="0" w:color="auto"/>
        <w:bottom w:val="none" w:sz="0" w:space="0" w:color="auto"/>
        <w:right w:val="none" w:sz="0" w:space="0" w:color="auto"/>
      </w:divBdr>
    </w:div>
    <w:div w:id="2132288134">
      <w:bodyDiv w:val="1"/>
      <w:marLeft w:val="0"/>
      <w:marRight w:val="0"/>
      <w:marTop w:val="0"/>
      <w:marBottom w:val="0"/>
      <w:divBdr>
        <w:top w:val="none" w:sz="0" w:space="0" w:color="auto"/>
        <w:left w:val="none" w:sz="0" w:space="0" w:color="auto"/>
        <w:bottom w:val="none" w:sz="0" w:space="0" w:color="auto"/>
        <w:right w:val="none" w:sz="0" w:space="0" w:color="auto"/>
      </w:divBdr>
    </w:div>
    <w:div w:id="2136676138">
      <w:bodyDiv w:val="1"/>
      <w:marLeft w:val="0"/>
      <w:marRight w:val="0"/>
      <w:marTop w:val="0"/>
      <w:marBottom w:val="0"/>
      <w:divBdr>
        <w:top w:val="none" w:sz="0" w:space="0" w:color="auto"/>
        <w:left w:val="none" w:sz="0" w:space="0" w:color="auto"/>
        <w:bottom w:val="none" w:sz="0" w:space="0" w:color="auto"/>
        <w:right w:val="none" w:sz="0" w:space="0" w:color="auto"/>
      </w:divBdr>
    </w:div>
    <w:div w:id="213799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che.com/media/releases/med-cor-2020-07-22b.htm" TargetMode="External"/><Relationship Id="rId18" Type="http://schemas.openxmlformats.org/officeDocument/2006/relationships/hyperlink" Target="https://iovs.arvojournals.org/article.aspx?articleid=2769145" TargetMode="External"/><Relationship Id="rId26" Type="http://schemas.openxmlformats.org/officeDocument/2006/relationships/hyperlink" Target="http://www9.health.gov.au/mbs/fullDisplay.cfm?type=item&amp;q=42746&amp;qt=item&amp;criteria=42746" TargetMode="External"/><Relationship Id="rId39" Type="http://schemas.openxmlformats.org/officeDocument/2006/relationships/hyperlink" Target="http://www9.health.gov.au/mbs/fullDisplay.cfm?type=item&amp;q=42752&amp;qt=item&amp;criteria=42752" TargetMode="External"/><Relationship Id="rId3" Type="http://schemas.openxmlformats.org/officeDocument/2006/relationships/styles" Target="styles.xml"/><Relationship Id="rId21" Type="http://schemas.openxmlformats.org/officeDocument/2006/relationships/hyperlink" Target="http://www9.health.gov.au/mbs/fullDisplay.cfm?type=item&amp;q=11215&amp;qt=item&amp;criteria=11215" TargetMode="External"/><Relationship Id="rId34" Type="http://schemas.openxmlformats.org/officeDocument/2006/relationships/hyperlink" Target="http://www9.health.gov.au/mbs/fullDisplay.cfm?type=item&amp;q=42505&amp;qt=item&amp;criteria=42505" TargetMode="External"/><Relationship Id="rId42" Type="http://schemas.openxmlformats.org/officeDocument/2006/relationships/hyperlink" Target="http://www9.health.gov.au/mbs/fullDisplay.cfm?type=item&amp;q=42725&amp;qt=item&amp;criteria=42725" TargetMode="External"/><Relationship Id="rId47" Type="http://schemas.openxmlformats.org/officeDocument/2006/relationships/hyperlink" Target="http://www9.health.gov.au/mbs/fullDisplay.cfm?type=item&amp;q=42505&amp;qt=item&amp;criteria=42505"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linicaltrials.gov/ct2/show/NCT03677934" TargetMode="External"/><Relationship Id="rId17" Type="http://schemas.openxmlformats.org/officeDocument/2006/relationships/hyperlink" Target="https://www.sciencedirect.com/science/article/pii/S2468653020304474" TargetMode="External"/><Relationship Id="rId25" Type="http://schemas.openxmlformats.org/officeDocument/2006/relationships/image" Target="media/image2.png"/><Relationship Id="rId33" Type="http://schemas.openxmlformats.org/officeDocument/2006/relationships/hyperlink" Target="http://www9.health.gov.au/mbs/fullDisplay.cfm?type=item&amp;q=42740&amp;qt=item&amp;criteria=42740" TargetMode="External"/><Relationship Id="rId38" Type="http://schemas.openxmlformats.org/officeDocument/2006/relationships/hyperlink" Target="http://www9.health.gov.au/mbs/fullDisplay.cfm?type=item&amp;q=42746&amp;qt=item&amp;criteria=42746" TargetMode="External"/><Relationship Id="rId46" Type="http://schemas.openxmlformats.org/officeDocument/2006/relationships/hyperlink" Target="http://www9.health.gov.au/mbs/fullDisplay.cfm?type=item&amp;q=42740&amp;qt=item&amp;criteria=42740" TargetMode="External"/><Relationship Id="rId2" Type="http://schemas.openxmlformats.org/officeDocument/2006/relationships/numbering" Target="numbering.xml"/><Relationship Id="rId16" Type="http://schemas.openxmlformats.org/officeDocument/2006/relationships/hyperlink" Target="https://www.aaojournal.org/article/S0161-6420(18)33328-1/fulltext" TargetMode="External"/><Relationship Id="rId20" Type="http://schemas.openxmlformats.org/officeDocument/2006/relationships/hyperlink" Target="http://www9.health.gov.au/mbs/fullDisplay.cfm?type=item&amp;q=11219&amp;qt=item&amp;criteria=11219" TargetMode="External"/><Relationship Id="rId29" Type="http://schemas.openxmlformats.org/officeDocument/2006/relationships/hyperlink" Target="http://www9.health.gov.au/mbs/fullDisplay.cfm?type=item&amp;q=42752&amp;qt=item&amp;criteria=42752" TargetMode="External"/><Relationship Id="rId41" Type="http://schemas.openxmlformats.org/officeDocument/2006/relationships/hyperlink" Target="http://www9.health.gov.au/mbs/fullDisplay.cfm?type=item&amp;q=42746&amp;qt=item&amp;criteria=427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9.health.gov.au/mbs/fullDisplay.cfm?type=item&amp;q=42740&amp;qt=item&amp;criteria=42740" TargetMode="External"/><Relationship Id="rId32" Type="http://schemas.openxmlformats.org/officeDocument/2006/relationships/hyperlink" Target="http://www9.health.gov.au/mbs/fullDisplay.cfm?type=item&amp;q=42739&amp;qt=item&amp;criteria=42739" TargetMode="External"/><Relationship Id="rId37" Type="http://schemas.openxmlformats.org/officeDocument/2006/relationships/hyperlink" Target="http://www9.health.gov.au/mbs/fullDisplay.cfm?type=item&amp;q=42746&amp;qt=item&amp;criteria=42746" TargetMode="External"/><Relationship Id="rId40" Type="http://schemas.openxmlformats.org/officeDocument/2006/relationships/hyperlink" Target="http://www9.health.gov.au/mbs/fullDisplay.cfm?type=item&amp;q=42752&amp;qt=item&amp;criteria=42752" TargetMode="External"/><Relationship Id="rId45" Type="http://schemas.openxmlformats.org/officeDocument/2006/relationships/hyperlink" Target="http://www9.health.gov.au/mbs/fullDisplay.cfm?type=item&amp;q=42739&amp;qt=item&amp;criteria=42739" TargetMode="External"/><Relationship Id="rId5" Type="http://schemas.openxmlformats.org/officeDocument/2006/relationships/webSettings" Target="webSettings.xml"/><Relationship Id="rId15" Type="http://schemas.openxmlformats.org/officeDocument/2006/relationships/hyperlink" Target="https://clinicaltrials.gov/ct2/show/NCT02510794" TargetMode="External"/><Relationship Id="rId23" Type="http://schemas.openxmlformats.org/officeDocument/2006/relationships/hyperlink" Target="http://www9.health.gov.au/mbs/fullDisplay.cfm?type=item&amp;q=42739&amp;qt=item&amp;criteria=42739" TargetMode="External"/><Relationship Id="rId28" Type="http://schemas.openxmlformats.org/officeDocument/2006/relationships/hyperlink" Target="http://www9.health.gov.au/mbs/fullDisplay.cfm?type=item&amp;q=42809&amp;qt=item&amp;criteria=42809" TargetMode="External"/><Relationship Id="rId36" Type="http://schemas.openxmlformats.org/officeDocument/2006/relationships/hyperlink" Target="http://www9.health.gov.au/mbs/fullDisplay.cfm?type=item&amp;q=42752&amp;qt=item&amp;criteria=42752" TargetMode="External"/><Relationship Id="rId49" Type="http://schemas.openxmlformats.org/officeDocument/2006/relationships/hyperlink" Target="http://www9.health.gov.au/mbs/fullDisplay.cfm?type=item&amp;q=42755&amp;qt=item&amp;criteria=42755" TargetMode="External"/><Relationship Id="rId10" Type="http://schemas.openxmlformats.org/officeDocument/2006/relationships/hyperlink" Target="http://www.msac.gov.au/" TargetMode="External"/><Relationship Id="rId19" Type="http://schemas.openxmlformats.org/officeDocument/2006/relationships/hyperlink" Target="https://clinicaltrials.gov/ct2/show/NCT04657289" TargetMode="External"/><Relationship Id="rId31" Type="http://schemas.openxmlformats.org/officeDocument/2006/relationships/hyperlink" Target="http://www9.health.gov.au/mbs/fullDisplay.cfm?type=item&amp;q=42738&amp;qt=item&amp;criteria=42738" TargetMode="External"/><Relationship Id="rId44" Type="http://schemas.openxmlformats.org/officeDocument/2006/relationships/hyperlink" Target="http://www9.health.gov.au/mbs/fullDisplay.cfm?type=item&amp;q=42738&amp;qt=item&amp;criteria=42738"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hyperlink" Target="https://www.retinasociety.org/content/meetingarchive/2020/awh-carl-primary-analysis-results-of-the-phase-3-archway-trial-of-the-port-delivery-system-with-ranibizumab-(pds)-for-patients-with-neovascular-amd-(namd).pdf" TargetMode="External"/><Relationship Id="rId22" Type="http://schemas.openxmlformats.org/officeDocument/2006/relationships/hyperlink" Target="http://www9.health.gov.au/mbs/fullDisplay.cfm?type=item&amp;q=42738&amp;qt=item&amp;criteria=42738" TargetMode="External"/><Relationship Id="rId27" Type="http://schemas.openxmlformats.org/officeDocument/2006/relationships/hyperlink" Target="http://www9.health.gov.au/mbs/fullDisplay.cfm?type=item&amp;q=42725&amp;qt=item&amp;criteria=42725" TargetMode="External"/><Relationship Id="rId30" Type="http://schemas.openxmlformats.org/officeDocument/2006/relationships/hyperlink" Target="http://www9.health.gov.au/mbs/fullDisplay.cfm?type=item&amp;q=42746&amp;qt=item&amp;criteria=42746" TargetMode="External"/><Relationship Id="rId35" Type="http://schemas.openxmlformats.org/officeDocument/2006/relationships/hyperlink" Target="http://www9.health.gov.au/mbs/fullDisplay.cfm?type=item&amp;q=42752&amp;qt=item&amp;criteria=42752" TargetMode="External"/><Relationship Id="rId43" Type="http://schemas.openxmlformats.org/officeDocument/2006/relationships/hyperlink" Target="http://www9.health.gov.au/mbs/fullDisplay.cfm?type=item&amp;q=42752&amp;qt=item&amp;criteria=42752" TargetMode="External"/><Relationship Id="rId48" Type="http://schemas.openxmlformats.org/officeDocument/2006/relationships/hyperlink" Target="http://www9.health.gov.au/mbs/fullDisplay.cfm?type=item&amp;q=42752&amp;qt=item&amp;criteria=42752"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Coh13</b:Tag>
    <b:SourceType>JournalArticle</b:SourceType>
    <b:Guid>{73D702CA-2B8A-4C03-9FDF-34DF2047A90D}</b:Guid>
    <b:Title>Changes in visual acuity in patients with wet age-related macular degeneration treated with intravitreal ranibizumab in daily clinical practice: the LUMIERE study</b:Title>
    <b:Year>2013</b:Year>
    <b:Author>
      <b:Author>
        <b:NameList>
          <b:Person>
            <b:Last>Cohen SY</b:Last>
            <b:First>Mimoun</b:First>
            <b:Middle>G, Oubraham H, et al.</b:Middle>
          </b:Person>
        </b:NameList>
      </b:Author>
    </b:Author>
    <b:JournalName>Retina</b:JournalName>
    <b:Pages>33:474-481</b:Pages>
    <b:RefOrder>1</b:RefOrder>
  </b:Source>
  <b:Source>
    <b:Tag>Fin13</b:Tag>
    <b:SourceType>JournalArticle</b:SourceType>
    <b:Guid>{F3136E9E-B55C-442D-ACDB-1F34E822875D}</b:Guid>
    <b:Author>
      <b:Author>
        <b:NameList>
          <b:Person>
            <b:Last>Finger RP</b:Last>
            <b:First>Wiedemann</b:First>
            <b:Middle>P, Blumhagen F, et al</b:Middle>
          </b:Person>
        </b:NameList>
      </b:Author>
    </b:Author>
    <b:Title>Treatment patterns, visual acuity and quality-of-life outcomes of the WAVE study - a noninterventional study of ranibizumab treatment for neovascular age-related macular degeneration in Germany</b:Title>
    <b:JournalName>Acta Ophthalmol</b:JournalName>
    <b:Year>2013</b:Year>
    <b:Pages>1:540-546</b:Pages>
    <b:RefOrder>2</b:RefOrder>
  </b:Source>
  <b:Source>
    <b:Tag>Hol15</b:Tag>
    <b:SourceType>JournalArticle</b:SourceType>
    <b:Guid>{BD3DC7D9-8D43-49D2-BB23-EE76DA620270}</b:Guid>
    <b:Author>
      <b:Author>
        <b:NameList>
          <b:Person>
            <b:Last>Holz FG</b:Last>
            <b:First>Tadayoni</b:First>
            <b:Middle>R, Beatty S, et al.</b:Middle>
          </b:Person>
        </b:NameList>
      </b:Author>
    </b:Author>
    <b:Title>Multi-country real-life experience of anti-vascular endothelial growth factor therapy for wet age-related macular degeneration</b:Title>
    <b:JournalName>Ophthalmol</b:JournalName>
    <b:Year>2015</b:Year>
    <b:Pages>99:220-226</b:Pages>
    <b:RefOrder>3</b:RefOrder>
  </b:Source>
  <b:Source>
    <b:Tag>RAN20</b:Tag>
    <b:SourceType>InternetSite</b:SourceType>
    <b:Guid>{F2155BBD-2C48-45B4-9678-DD4CCEBFE1BC}</b:Guid>
    <b:Title>Regional And Remote</b:Title>
    <b:Year>2020</b:Year>
    <b:Author>
      <b:Author>
        <b:Corporate>RANZCO</b:Corporate>
      </b:Author>
    </b:Author>
    <b:InternetSiteTitle>The Royal Australian and New Zealand College of Opthalmologists</b:InternetSiteTitle>
    <b:Month>April</b:Month>
    <b:Day>20</b:Day>
    <b:URL>https://ranzco.edu/home/community-engagement/regional-and-remote/</b:URL>
    <b:RefOrder>10</b:RefOrder>
  </b:Source>
  <b:Source>
    <b:Tag>PBA16</b:Tag>
    <b:SourceType>Report</b:SourceType>
    <b:Guid>{25A74D79-8DE0-4EFE-AB10-F227380EEA07}</b:Guid>
    <b:Author>
      <b:Author>
        <b:NameList>
          <b:Person>
            <b:Last>Ozurdex PSD</b:Last>
          </b:Person>
        </b:NameList>
      </b:Author>
    </b:Author>
    <b:Title>DEXAMETHASONE, implant, 700 µg, Ozurdex®, Allergan</b:Title>
    <b:Year>March 2016</b:Year>
    <b:Publisher>Department of Health</b:Publisher>
    <b:RefOrder>14</b:RefOrder>
  </b:Source>
  <b:Source>
    <b:Tag>Beo19</b:Tag>
    <b:SourceType>Report</b:SourceType>
    <b:Guid>{5A1DE9E3-B686-474D-937D-6E2F6235DC9D}</b:Guid>
    <b:Author>
      <b:Author>
        <b:NameList>
          <b:Person>
            <b:Last>Beovu PSD</b:Last>
          </b:Person>
        </b:NameList>
      </b:Author>
    </b:Author>
    <b:Title>BROLUCIZUMAB, Solution for intravitreal injection 19.8 mg in 0.165 mL, pre-filled syringe, Beovu®, Novartis Australia Pty Ltd.</b:Title>
    <b:Year>2019</b:Year>
    <b:Publisher>Department of Health</b:Publisher>
    <b:RefOrder>15</b:RefOrder>
  </b:Source>
  <b:Source>
    <b:Tag>Spo18</b:Tag>
    <b:SourceType>JournalArticle</b:SourceType>
    <b:Guid>{61BE8C98-E071-41CE-A159-E7A5E5CF7ED9}</b:Guid>
    <b:Title>The burden of neovascular age-related macular degeneration: a patient’s perspective</b:Title>
    <b:Year>2018</b:Year>
    <b:Author>
      <b:Author>
        <b:NameList>
          <b:Person>
            <b:Last>Spooner KL</b:Last>
            <b:First>Mhlanga</b:First>
            <b:Middle>CT, Hong TH, et al.</b:Middle>
          </b:Person>
        </b:NameList>
      </b:Author>
    </b:Author>
    <b:JournalName>Clinical Ophthalmology</b:JournalName>
    <b:Pages>12: 2483-2491</b:Pages>
    <b:RefOrder>8</b:RefOrder>
  </b:Source>
  <b:Source>
    <b:Tag>The21</b:Tag>
    <b:SourceType>Report</b:SourceType>
    <b:Guid>{ECBB46CE-ACFC-4BB9-95BF-3C829FA584B7}</b:Guid>
    <b:Author>
      <b:Author>
        <b:NameList>
          <b:Person>
            <b:Last>RANZCO</b:Last>
          </b:Person>
        </b:NameList>
      </b:Author>
    </b:Author>
    <b:Title>Pre-Budget Submission 2021-2022</b:Title>
    <b:Year>2021</b:Year>
    <b:Publisher>Department of Health</b:Publisher>
    <b:RefOrder>13</b:RefOrder>
  </b:Source>
  <b:Source>
    <b:Tag>Dep19</b:Tag>
    <b:SourceType>Report</b:SourceType>
    <b:Guid>{83677B83-EFBB-4C6B-88F7-4225098A5731}</b:Guid>
    <b:Author>
      <b:Author>
        <b:Corporate>DoH</b:Corporate>
      </b:Author>
    </b:Author>
    <b:Title>National Strategic Action Plan for Macular Disease</b:Title>
    <b:Year>2019</b:Year>
    <b:Publisher>Department of Health</b:Publisher>
    <b:RefOrder>11</b:RefOrder>
  </b:Source>
  <b:Source>
    <b:Tag>Dep18</b:Tag>
    <b:SourceType>Report</b:SourceType>
    <b:Guid>{AAE4D2D7-8A57-43EE-8432-093556A78DB8}</b:Guid>
    <b:Author>
      <b:Author>
        <b:Corporate>DoH</b:Corporate>
      </b:Author>
    </b:Author>
    <b:Title>Australia's Future Health Workforce - Ophthalmology</b:Title>
    <b:Year>2018</b:Year>
    <b:Publisher>Department of Health</b:Publisher>
    <b:RefOrder>12</b:RefOrder>
  </b:Source>
  <b:Source>
    <b:Tag>DoH19</b:Tag>
    <b:SourceType>InternetSite</b:SourceType>
    <b:Guid>{CA461A27-6023-41DE-BBD2-D6A0B850B820}</b:Guid>
    <b:Title>Therapeutic Relativity Sheets</b:Title>
    <b:Year>2019</b:Year>
    <b:Author>
      <b:Author>
        <b:Corporate>DoH</b:Corporate>
      </b:Author>
    </b:Author>
    <b:InternetSiteTitle>www.pbs.gov.au</b:InternetSiteTitle>
    <b:Month>November</b:Month>
    <b:Day>1</b:Day>
    <b:URL>https://www.pbs.gov.au/info/industry/pricing/pbs-items/therapeutic-relativity-sheets</b:URL>
    <b:RefOrder>16</b:RefOrder>
  </b:Source>
  <b:Source>
    <b:Tag>DUS15</b:Tag>
    <b:SourceType>Report</b:SourceType>
    <b:Guid>{001B4BF1-AA6F-4A8D-A53D-17E915706D11}</b:Guid>
    <b:Author>
      <b:Author>
        <b:Corporate>DUSC</b:Corporate>
      </b:Author>
    </b:Author>
    <b:Title>Age Related Macular Degeneration</b:Title>
    <b:Year>2015</b:Year>
    <b:Publisher>Department of Health</b:Publisher>
    <b:RefOrder>17</b:RefOrder>
  </b:Source>
  <b:Source>
    <b:Tag>DUS18</b:Tag>
    <b:SourceType>Report</b:SourceType>
    <b:Guid>{2574F8C2-0ECA-4536-AAD9-54ECBE0E8C7B}</b:Guid>
    <b:Author>
      <b:Author>
        <b:Corporate>DUSC</b:Corporate>
      </b:Author>
    </b:Author>
    <b:Title>Ranibizumab and aflibercept: analysis of use for AMD, DMO, BRVO and CRVO</b:Title>
    <b:Year>2018</b:Year>
    <b:Publisher>Department of Health</b:Publisher>
    <b:RefOrder>7</b:RefOrder>
  </b:Source>
  <b:Source>
    <b:Tag>DoH21</b:Tag>
    <b:SourceType>InternetSite</b:SourceType>
    <b:Guid>{DB6E3D23-D056-4AE8-93EF-1BA4FD137AA3}</b:Guid>
    <b:Title>MBS item #42738</b:Title>
    <b:Year>2021</b:Year>
    <b:Author>
      <b:Author>
        <b:Corporate>DoH</b:Corporate>
      </b:Author>
    </b:Author>
    <b:InternetSiteTitle>Medical Costs Finder</b:InternetSiteTitle>
    <b:Month>July</b:Month>
    <b:Day>1</b:Day>
    <b:URL>https://www.health.gov.au/resources/apps-and-tools/medical-costs-finder/medical-costs-finder#/oh-result/42738</b:URL>
    <b:RefOrder>9</b:RefOrder>
  </b:Source>
  <b:Source>
    <b:Tag>Ker20</b:Tag>
    <b:SourceType>JournalArticle</b:SourceType>
    <b:Guid>{E6B0E696-C6A2-403A-9F68-0D445307819D}</b:Guid>
    <b:Author>
      <b:Author>
        <b:NameList>
          <b:Person>
            <b:Last>Kertes PJ</b:Last>
            <b:First>Galic</b:First>
            <b:Middle>IJ, Greve M, et al.</b:Middle>
          </b:Person>
        </b:NameList>
      </b:Author>
    </b:Author>
    <b:Title>Efficacy of a Treat-and-Extend Regimen With Ranibizumab in Patients With Neovascular Age-Related Macular Disease</b:Title>
    <b:Year>2020</b:Year>
    <b:JournalName>JAMA Ophthalmology</b:JournalName>
    <b:Pages>138(3):244-250</b:Pages>
    <b:RefOrder>4</b:RefOrder>
  </b:Source>
  <b:Source>
    <b:Tag>Gil20</b:Tag>
    <b:SourceType>JournalArticle</b:SourceType>
    <b:Guid>{9537B283-BD22-4F31-951D-77748B563F68}</b:Guid>
    <b:Author>
      <b:Author>
        <b:NameList>
          <b:Person>
            <b:Last>Gillies MC</b:Last>
            <b:First>Hunyor</b:First>
            <b:Middle>AP, Arnold JJ,</b:Middle>
          </b:Person>
        </b:NameList>
      </b:Author>
    </b:Author>
    <b:Title>A Randomised Clinical Trial Comparing Ranibizumab and Aflibercept (RIVAL study)</b:Title>
    <b:JournalName>American Academy of Ophthalmology</b:JournalName>
    <b:Year>2020b</b:Year>
    <b:Pages>127:198-210</b:Pages>
    <b:LCID>en-AU</b:LCID>
    <b:RefOrder>6</b:RefOrder>
  </b:Source>
  <b:Source>
    <b:Tag>Gil19</b:Tag>
    <b:SourceType>JournalArticle</b:SourceType>
    <b:Guid>{DF962436-EF3D-48F9-AF6A-FB4BC1B3BE6D}</b:Guid>
    <b:Title>Effect of ranibizumab and aflibercept on Best-Corrected Visual Acuity in Treat and Extend for neovascular age related macular degeneration</b:Title>
    <b:Year>2019a</b:Year>
    <b:Author>
      <b:Author>
        <b:NameList>
          <b:Person>
            <b:Last>Gillies MC</b:Last>
            <b:First>Hunyor</b:First>
            <b:Middle>AP, Arnold JJ</b:Middle>
          </b:Person>
        </b:NameList>
      </b:Author>
    </b:Author>
    <b:JournalName>JAMA Ophthalmology</b:JournalName>
    <b:Pages>137(4): 372-379</b:Pages>
    <b:RefOrder>5</b:RefOrder>
  </b:Source>
</b:Sources>
</file>

<file path=customXml/itemProps1.xml><?xml version="1.0" encoding="utf-8"?>
<ds:datastoreItem xmlns:ds="http://schemas.openxmlformats.org/officeDocument/2006/customXml" ds:itemID="{A478FC75-1402-4ACB-9BE4-9622F50B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10068</Words>
  <Characters>57394</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2021-11-15T23:27:00Z</dcterms:created>
  <dcterms:modified xsi:type="dcterms:W3CDTF">2021-11-15T23:28:00Z</dcterms:modified>
</cp:coreProperties>
</file>