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B3FEE" w14:textId="020A8A0B" w:rsidR="006E5FB2" w:rsidRPr="00024D8C" w:rsidRDefault="006E5FB2" w:rsidP="00024D8C">
      <w:pPr>
        <w:spacing w:before="0" w:after="0"/>
        <w:jc w:val="center"/>
        <w:rPr>
          <w:rFonts w:ascii="Arial" w:hAnsi="Arial" w:cs="Arial"/>
          <w:b/>
          <w:noProof/>
          <w:color w:val="000080"/>
          <w:sz w:val="36"/>
          <w:szCs w:val="36"/>
          <w:lang w:eastAsia="en-AU"/>
        </w:rPr>
      </w:pPr>
      <w:r w:rsidRPr="005C2492">
        <w:rPr>
          <w:rFonts w:ascii="Arial" w:hAnsi="Arial" w:cs="Arial"/>
          <w:b/>
          <w:noProof/>
          <w:color w:val="000080"/>
          <w:sz w:val="36"/>
          <w:szCs w:val="36"/>
          <w:lang w:eastAsia="en-AU"/>
        </w:rPr>
        <w:t xml:space="preserve">Medical Services Advisory Committee (MSAC) </w:t>
      </w:r>
    </w:p>
    <w:p w14:paraId="2176174F" w14:textId="16157B00" w:rsidR="00C34B06" w:rsidRPr="00491694" w:rsidRDefault="00024D8C" w:rsidP="00491694">
      <w:pPr>
        <w:keepNext/>
        <w:keepLines/>
        <w:spacing w:before="0" w:after="360" w:line="240" w:lineRule="auto"/>
        <w:jc w:val="center"/>
        <w:outlineLvl w:val="0"/>
        <w:rPr>
          <w:rFonts w:ascii="Arial" w:eastAsiaTheme="majorEastAsia" w:hAnsi="Arial" w:cs="Arial"/>
          <w:b/>
          <w:bCs/>
          <w:color w:val="000080"/>
          <w:sz w:val="36"/>
          <w:szCs w:val="36"/>
        </w:rPr>
      </w:pPr>
      <w:r>
        <w:rPr>
          <w:rFonts w:ascii="Arial" w:eastAsiaTheme="majorEastAsia" w:hAnsi="Arial" w:cs="Arial"/>
          <w:b/>
          <w:bCs/>
          <w:color w:val="000080"/>
          <w:sz w:val="36"/>
          <w:szCs w:val="36"/>
        </w:rPr>
        <w:t>Public Summary Document</w:t>
      </w:r>
    </w:p>
    <w:p w14:paraId="7A128FDE" w14:textId="10853F71" w:rsidR="00772829" w:rsidRPr="00CE28E3" w:rsidRDefault="00772829" w:rsidP="00772829">
      <w:pPr>
        <w:pStyle w:val="Subtitle"/>
      </w:pPr>
      <w:r w:rsidRPr="00CE28E3">
        <w:t xml:space="preserve">Application No. </w:t>
      </w:r>
      <w:r w:rsidR="00E04380" w:rsidRPr="00E04380">
        <w:t>1595.1</w:t>
      </w:r>
      <w:r w:rsidRPr="00E04380">
        <w:t xml:space="preserve"> – </w:t>
      </w:r>
      <w:r w:rsidR="00E04380" w:rsidRPr="00E04380">
        <w:t>Closed loop upper airway stimulation for moderate to severe obstructive sleep apnoea, in patients who have failed or are intolerant to, continuous positive airway pressure therapy</w:t>
      </w:r>
    </w:p>
    <w:p w14:paraId="35263561" w14:textId="10EE8E69" w:rsidR="00772829" w:rsidRPr="00CE28E3" w:rsidRDefault="00772829" w:rsidP="00772829">
      <w:pPr>
        <w:tabs>
          <w:tab w:val="left" w:pos="3686"/>
        </w:tabs>
        <w:spacing w:after="240"/>
        <w:rPr>
          <w:rFonts w:ascii="Arial" w:hAnsi="Arial" w:cs="Arial"/>
          <w:b/>
          <w:szCs w:val="24"/>
        </w:rPr>
      </w:pPr>
      <w:r w:rsidRPr="00CE28E3">
        <w:rPr>
          <w:rFonts w:ascii="Arial" w:hAnsi="Arial" w:cs="Arial"/>
          <w:b/>
          <w:szCs w:val="24"/>
        </w:rPr>
        <w:t>Applicant:</w:t>
      </w:r>
      <w:r w:rsidRPr="00CE28E3">
        <w:rPr>
          <w:rFonts w:ascii="Arial" w:hAnsi="Arial" w:cs="Arial"/>
          <w:b/>
          <w:szCs w:val="24"/>
        </w:rPr>
        <w:tab/>
      </w:r>
      <w:r w:rsidR="00FF4007" w:rsidRPr="00FF4007">
        <w:rPr>
          <w:rFonts w:ascii="Arial" w:hAnsi="Arial" w:cs="Arial"/>
          <w:b/>
          <w:szCs w:val="24"/>
        </w:rPr>
        <w:t>Inspire Medical Systems Inc</w:t>
      </w:r>
      <w:r w:rsidR="00FF4007">
        <w:rPr>
          <w:rFonts w:ascii="Arial" w:hAnsi="Arial" w:cs="Arial"/>
          <w:b/>
          <w:szCs w:val="24"/>
        </w:rPr>
        <w:t>.</w:t>
      </w:r>
    </w:p>
    <w:p w14:paraId="2D3BCF94" w14:textId="5C2B0DBD" w:rsidR="00037D7D" w:rsidRPr="00037D7D" w:rsidRDefault="00772829" w:rsidP="00037D7D">
      <w:pPr>
        <w:tabs>
          <w:tab w:val="left" w:pos="3686"/>
        </w:tabs>
        <w:spacing w:after="360"/>
        <w:rPr>
          <w:rFonts w:ascii="Arial" w:hAnsi="Arial" w:cs="Arial"/>
          <w:b/>
          <w:szCs w:val="24"/>
        </w:rPr>
      </w:pPr>
      <w:r w:rsidRPr="00CE28E3">
        <w:rPr>
          <w:rFonts w:ascii="Arial" w:hAnsi="Arial" w:cs="Arial"/>
          <w:b/>
          <w:szCs w:val="24"/>
        </w:rPr>
        <w:t xml:space="preserve">Date of </w:t>
      </w:r>
      <w:r w:rsidR="00024D8C">
        <w:rPr>
          <w:rFonts w:ascii="Arial" w:hAnsi="Arial" w:cs="Arial"/>
          <w:b/>
          <w:szCs w:val="24"/>
        </w:rPr>
        <w:t>MSAC</w:t>
      </w:r>
      <w:r w:rsidRPr="00CE28E3">
        <w:rPr>
          <w:rFonts w:ascii="Arial" w:hAnsi="Arial" w:cs="Arial"/>
          <w:b/>
          <w:szCs w:val="24"/>
        </w:rPr>
        <w:t xml:space="preserve"> consideration:</w:t>
      </w:r>
      <w:r w:rsidRPr="00CE28E3">
        <w:rPr>
          <w:rFonts w:ascii="Arial" w:hAnsi="Arial" w:cs="Arial"/>
          <w:b/>
          <w:szCs w:val="24"/>
        </w:rPr>
        <w:tab/>
      </w:r>
      <w:r w:rsidR="00024D8C">
        <w:rPr>
          <w:rFonts w:ascii="Arial" w:hAnsi="Arial" w:cs="Arial"/>
          <w:b/>
          <w:szCs w:val="24"/>
        </w:rPr>
        <w:t>30-31 March</w:t>
      </w:r>
      <w:r w:rsidR="00C770AD">
        <w:rPr>
          <w:rFonts w:ascii="Arial" w:hAnsi="Arial" w:cs="Arial"/>
          <w:b/>
          <w:szCs w:val="24"/>
        </w:rPr>
        <w:t xml:space="preserve"> 2023</w:t>
      </w:r>
    </w:p>
    <w:p w14:paraId="75593C2F" w14:textId="12B1FA5D" w:rsidR="00037D7D" w:rsidRPr="00037D7D" w:rsidRDefault="00037D7D" w:rsidP="00037D7D">
      <w:pPr>
        <w:tabs>
          <w:tab w:val="left" w:pos="3686"/>
        </w:tabs>
        <w:spacing w:after="360"/>
        <w:rPr>
          <w:rFonts w:ascii="Arial" w:hAnsi="Arial" w:cs="Arial"/>
          <w:bCs/>
          <w:szCs w:val="24"/>
        </w:rPr>
      </w:pPr>
      <w:r>
        <w:t xml:space="preserve">Context for decision: MSAC makes its advice in accordance with its Terms of Reference, </w:t>
      </w:r>
      <w:hyperlink r:id="rId8" w:tooltip="Link to Medical Services Advisory Committee website" w:history="1">
        <w:r w:rsidRPr="00F715D1">
          <w:rPr>
            <w:rStyle w:val="Hyperlink"/>
            <w:szCs w:val="24"/>
          </w:rPr>
          <w:t>visit the MSAC website</w:t>
        </w:r>
      </w:hyperlink>
      <w:r>
        <w:rPr>
          <w:rStyle w:val="Hyperlink"/>
          <w:szCs w:val="24"/>
        </w:rPr>
        <w:t>.</w:t>
      </w:r>
    </w:p>
    <w:p w14:paraId="7EAA7262" w14:textId="77335A16" w:rsidR="00772829" w:rsidRPr="00CE28E3" w:rsidRDefault="00C36633" w:rsidP="00C36633">
      <w:pPr>
        <w:pStyle w:val="Heading2"/>
        <w:numPr>
          <w:ilvl w:val="0"/>
          <w:numId w:val="0"/>
        </w:numPr>
      </w:pPr>
      <w:bookmarkStart w:id="0" w:name="_Toc69491415"/>
      <w:r>
        <w:t>1.</w:t>
      </w:r>
      <w:r>
        <w:tab/>
      </w:r>
      <w:r w:rsidR="00772829" w:rsidRPr="00CE28E3">
        <w:t xml:space="preserve">Purpose </w:t>
      </w:r>
      <w:r w:rsidR="00772829" w:rsidRPr="00CE28E3">
        <w:rPr>
          <w:szCs w:val="32"/>
        </w:rPr>
        <w:t>of</w:t>
      </w:r>
      <w:r w:rsidR="00772829" w:rsidRPr="00CE28E3">
        <w:t xml:space="preserve"> application</w:t>
      </w:r>
      <w:bookmarkEnd w:id="0"/>
    </w:p>
    <w:p w14:paraId="6BF31FF2" w14:textId="7B28AEDB" w:rsidR="00772829" w:rsidRDefault="00772829" w:rsidP="00772829">
      <w:pPr>
        <w:spacing w:after="240"/>
      </w:pPr>
      <w:bookmarkStart w:id="1" w:name="_Hlk69734469"/>
      <w:r>
        <w:t>An application requesting Medicare Benefits Schedule (MBS) listing</w:t>
      </w:r>
      <w:r w:rsidR="005E39CF">
        <w:t>, with a subsequent request for listing on the Prostheses List (PL)</w:t>
      </w:r>
      <w:r w:rsidR="1900829C">
        <w:t>,</w:t>
      </w:r>
      <w:r w:rsidR="005E39CF">
        <w:t xml:space="preserve"> </w:t>
      </w:r>
      <w:r>
        <w:t xml:space="preserve">of </w:t>
      </w:r>
      <w:r w:rsidR="005E39CF">
        <w:t xml:space="preserve">closed loop upper airway stimulation (UAS) </w:t>
      </w:r>
      <w:r>
        <w:t>for</w:t>
      </w:r>
      <w:r w:rsidR="005E39CF">
        <w:t xml:space="preserve"> the</w:t>
      </w:r>
      <w:r>
        <w:t xml:space="preserve"> </w:t>
      </w:r>
      <w:r w:rsidR="005E39CF">
        <w:t xml:space="preserve">treatment of moderate to severe sleep apnoea (OSA) in patients who have failed or are intolerant of continuous positive airway pressure (CPAP) </w:t>
      </w:r>
      <w:r>
        <w:t xml:space="preserve">was received from </w:t>
      </w:r>
      <w:r w:rsidR="005E39CF">
        <w:t>Inspire Medical Systems Inc.</w:t>
      </w:r>
      <w:r>
        <w:t xml:space="preserve"> by the Department of Health</w:t>
      </w:r>
      <w:r w:rsidR="00043E46">
        <w:t xml:space="preserve"> and Aged Care.</w:t>
      </w:r>
    </w:p>
    <w:p w14:paraId="12117BFE" w14:textId="02EC1A3F" w:rsidR="00037D7D" w:rsidRDefault="00037D7D" w:rsidP="00037D7D">
      <w:pPr>
        <w:pStyle w:val="Heading2"/>
        <w:numPr>
          <w:ilvl w:val="0"/>
          <w:numId w:val="0"/>
        </w:numPr>
      </w:pPr>
      <w:r>
        <w:t>2.</w:t>
      </w:r>
      <w:r>
        <w:tab/>
        <w:t>MSAC’s advice to the Minister</w:t>
      </w:r>
    </w:p>
    <w:p w14:paraId="12641903" w14:textId="77777777" w:rsidR="006850EB" w:rsidRDefault="006850EB" w:rsidP="006850EB">
      <w:pPr>
        <w:rPr>
          <w:szCs w:val="24"/>
        </w:rPr>
      </w:pPr>
      <w:r w:rsidRPr="00D81A81">
        <w:t>After considering the strength of the available evidence in relation to comparative safety, clinical effectiveness</w:t>
      </w:r>
      <w:r>
        <w:t xml:space="preserve">, </w:t>
      </w:r>
      <w:r w:rsidRPr="00D81A81">
        <w:t>cost-effectiveness</w:t>
      </w:r>
      <w:r>
        <w:t xml:space="preserve"> and total cost</w:t>
      </w:r>
      <w:r w:rsidRPr="00D81A81">
        <w:t xml:space="preserve">, </w:t>
      </w:r>
      <w:r w:rsidRPr="00E43529">
        <w:t xml:space="preserve">MSAC did not support the creation of new Medicare Benefits Schedule (MBS) items for </w:t>
      </w:r>
      <w:r w:rsidRPr="00E43529">
        <w:rPr>
          <w:rFonts w:eastAsia="Franklin Gothic Book" w:cs="Franklin Gothic Book"/>
        </w:rPr>
        <w:t>closed loop upper airway stimulation (UAS) for moderate to severe obstructive sleep apnoea (OSA) in patients who have failed, or are intolerant to, continuous positive airway pressure (CPAP) therapy. MSAC considered that the primary evidence base for the treatment was unchanged from MSAC’s previous consideration in November 2020, had a high risk of bias, and it was uncertain whether better evidence is currently available. MSAC considered the available evidence indicated inferior safety outcomes for UAS relative to no active treatment</w:t>
      </w:r>
      <w:r>
        <w:rPr>
          <w:rFonts w:eastAsia="Franklin Gothic Book" w:cs="Franklin Gothic Book"/>
        </w:rPr>
        <w:t>. B</w:t>
      </w:r>
      <w:r w:rsidRPr="00E43529">
        <w:rPr>
          <w:rFonts w:eastAsia="Franklin Gothic Book" w:cs="Franklin Gothic Book"/>
        </w:rPr>
        <w:t>enefits in terms of effectiveness were uncertain</w:t>
      </w:r>
      <w:r>
        <w:rPr>
          <w:rFonts w:eastAsia="Franklin Gothic Book" w:cs="Franklin Gothic Book"/>
        </w:rPr>
        <w:t>,</w:t>
      </w:r>
      <w:r w:rsidRPr="00E43529">
        <w:rPr>
          <w:rFonts w:eastAsia="Franklin Gothic Book" w:cs="Franklin Gothic Book"/>
        </w:rPr>
        <w:t xml:space="preserve"> with some </w:t>
      </w:r>
      <w:r w:rsidRPr="3C47F81C">
        <w:rPr>
          <w:rFonts w:eastAsia="Franklin Gothic Book" w:cs="Franklin Gothic Book"/>
        </w:rPr>
        <w:t xml:space="preserve">improvements </w:t>
      </w:r>
      <w:r w:rsidRPr="220CB05A">
        <w:rPr>
          <w:rFonts w:eastAsia="Franklin Gothic Book" w:cs="Franklin Gothic Book"/>
        </w:rPr>
        <w:t xml:space="preserve">in </w:t>
      </w:r>
      <w:r w:rsidRPr="00E43529">
        <w:rPr>
          <w:rFonts w:eastAsia="Franklin Gothic Book" w:cs="Franklin Gothic Book"/>
        </w:rPr>
        <w:t>surrogate outcomes but no evidence of benefit for cardiovascular outcomes. MSAC considered that the inadequacy of the evidence base, particularly on cardiovascular outcomes, affected the robustness of the economic modelling and hence the reported ICER. MSAC considered that the size of the population likely to qualify for this procedure under the proposed item descriptors remained uncertain</w:t>
      </w:r>
      <w:r>
        <w:rPr>
          <w:rFonts w:eastAsia="Franklin Gothic Book" w:cs="Franklin Gothic Book"/>
        </w:rPr>
        <w:t>,</w:t>
      </w:r>
      <w:r w:rsidRPr="00E43529">
        <w:rPr>
          <w:rFonts w:eastAsia="Franklin Gothic Book" w:cs="Franklin Gothic Book"/>
        </w:rPr>
        <w:t xml:space="preserve"> as OSA is a highly prevalent condition</w:t>
      </w:r>
      <w:r>
        <w:rPr>
          <w:rFonts w:eastAsia="Franklin Gothic Book" w:cs="Franklin Gothic Book"/>
        </w:rPr>
        <w:t>,</w:t>
      </w:r>
      <w:r w:rsidRPr="00E43529">
        <w:rPr>
          <w:rFonts w:eastAsia="Franklin Gothic Book" w:cs="Franklin Gothic Book"/>
        </w:rPr>
        <w:t xml:space="preserve"> and failure or intolerance of CPAP is common</w:t>
      </w:r>
      <w:r>
        <w:rPr>
          <w:rFonts w:eastAsia="Franklin Gothic Book" w:cs="Franklin Gothic Book"/>
        </w:rPr>
        <w:t>. As a result,</w:t>
      </w:r>
      <w:r w:rsidRPr="00E43529">
        <w:rPr>
          <w:rFonts w:eastAsia="Franklin Gothic Book" w:cs="Franklin Gothic Book"/>
        </w:rPr>
        <w:t xml:space="preserve"> </w:t>
      </w:r>
      <w:r w:rsidRPr="40830311">
        <w:rPr>
          <w:rFonts w:eastAsia="Franklin Gothic Book" w:cs="Franklin Gothic Book"/>
        </w:rPr>
        <w:t xml:space="preserve">the </w:t>
      </w:r>
      <w:r w:rsidRPr="00E43529">
        <w:rPr>
          <w:rFonts w:eastAsia="Franklin Gothic Book" w:cs="Franklin Gothic Book"/>
        </w:rPr>
        <w:t>subpopulation needs to be better defined</w:t>
      </w:r>
      <w:r w:rsidRPr="54C35BA0">
        <w:rPr>
          <w:rFonts w:eastAsia="Franklin Gothic Book" w:cs="Franklin Gothic Book"/>
        </w:rPr>
        <w:t>.</w:t>
      </w:r>
      <w:r w:rsidRPr="00E43529">
        <w:rPr>
          <w:rFonts w:eastAsia="Franklin Gothic Book" w:cs="Franklin Gothic Book"/>
        </w:rPr>
        <w:t xml:space="preserve"> MSAC considered that this risk of </w:t>
      </w:r>
      <w:r>
        <w:rPr>
          <w:rFonts w:eastAsia="Franklin Gothic Book" w:cs="Franklin Gothic Book"/>
        </w:rPr>
        <w:t>“</w:t>
      </w:r>
      <w:r w:rsidRPr="00E43529">
        <w:rPr>
          <w:rFonts w:eastAsia="Franklin Gothic Book" w:cs="Franklin Gothic Book"/>
        </w:rPr>
        <w:t>leakage</w:t>
      </w:r>
      <w:r>
        <w:rPr>
          <w:rFonts w:eastAsia="Franklin Gothic Book" w:cs="Franklin Gothic Book"/>
        </w:rPr>
        <w:t>”</w:t>
      </w:r>
      <w:r w:rsidRPr="00E43529">
        <w:rPr>
          <w:rFonts w:eastAsia="Franklin Gothic Book" w:cs="Franklin Gothic Book"/>
        </w:rPr>
        <w:t xml:space="preserve"> also affected the robustness of the estimates of the financial costs of listing. MSAC considered that the cost of the proposed item needs to be better justified, including the role of drug-induced sleep endoscopy (DISE) and out</w:t>
      </w:r>
      <w:r>
        <w:rPr>
          <w:rFonts w:eastAsia="Franklin Gothic Book" w:cs="Franklin Gothic Book"/>
        </w:rPr>
        <w:t>-</w:t>
      </w:r>
      <w:r w:rsidRPr="00E43529">
        <w:rPr>
          <w:rFonts w:eastAsia="Franklin Gothic Book" w:cs="Franklin Gothic Book"/>
        </w:rPr>
        <w:t>of</w:t>
      </w:r>
      <w:r>
        <w:rPr>
          <w:rFonts w:eastAsia="Franklin Gothic Book" w:cs="Franklin Gothic Book"/>
        </w:rPr>
        <w:t>-</w:t>
      </w:r>
      <w:r w:rsidRPr="00E43529">
        <w:rPr>
          <w:rFonts w:eastAsia="Franklin Gothic Book" w:cs="Franklin Gothic Book"/>
        </w:rPr>
        <w:t>pocket costs for patients</w:t>
      </w:r>
      <w:r>
        <w:rPr>
          <w:rFonts w:eastAsia="Franklin Gothic Book" w:cs="Franklin Gothic Book"/>
        </w:rPr>
        <w:t>.</w:t>
      </w:r>
    </w:p>
    <w:tbl>
      <w:tblPr>
        <w:tblStyle w:val="TableGrid"/>
        <w:tblW w:w="0" w:type="auto"/>
        <w:tblLook w:val="04A0" w:firstRow="1" w:lastRow="0" w:firstColumn="1" w:lastColumn="0" w:noHBand="0" w:noVBand="1"/>
        <w:tblDescription w:val="Consumer summary of MSAC consideration"/>
      </w:tblPr>
      <w:tblGrid>
        <w:gridCol w:w="9016"/>
      </w:tblGrid>
      <w:tr w:rsidR="006850EB" w:rsidRPr="00AF46D8" w14:paraId="615A92AE" w14:textId="77777777" w:rsidTr="6C895130">
        <w:trPr>
          <w:tblHeader/>
        </w:trPr>
        <w:tc>
          <w:tcPr>
            <w:tcW w:w="9016" w:type="dxa"/>
          </w:tcPr>
          <w:p w14:paraId="25204096" w14:textId="77777777" w:rsidR="006850EB" w:rsidRPr="00AF46D8" w:rsidRDefault="006850EB" w:rsidP="008340DE">
            <w:pPr>
              <w:pStyle w:val="Heading3"/>
              <w:spacing w:before="120" w:after="120"/>
              <w:outlineLvl w:val="2"/>
              <w:rPr>
                <w:rFonts w:eastAsiaTheme="minorHAnsi" w:cstheme="minorBidi"/>
                <w:iCs/>
              </w:rPr>
            </w:pPr>
            <w:r w:rsidRPr="00AF46D8">
              <w:lastRenderedPageBreak/>
              <w:t>Consumer summary</w:t>
            </w:r>
          </w:p>
        </w:tc>
      </w:tr>
      <w:tr w:rsidR="006850EB" w:rsidRPr="00AF46D8" w14:paraId="6A490545" w14:textId="77777777" w:rsidTr="6C895130">
        <w:tc>
          <w:tcPr>
            <w:tcW w:w="9016" w:type="dxa"/>
          </w:tcPr>
          <w:p w14:paraId="6ABA1565" w14:textId="77777777" w:rsidR="006850EB" w:rsidRDefault="006850EB" w:rsidP="005035C4">
            <w:r w:rsidRPr="00AF46D8">
              <w:t xml:space="preserve">This is an application from </w:t>
            </w:r>
            <w:r>
              <w:t>Inspire Medical Systems</w:t>
            </w:r>
            <w:r w:rsidRPr="00AF46D8">
              <w:t xml:space="preserve"> requesting Medicare Benefits Schedule (MBS) listing of</w:t>
            </w:r>
            <w:r>
              <w:t xml:space="preserve"> c</w:t>
            </w:r>
            <w:r w:rsidRPr="0088351F">
              <w:t>losed loop upper airway stimulation for moderate to severe obstructive sleep apnoea, in patients who have failed or are intolerant to, continuous positive airway pressure therapy</w:t>
            </w:r>
            <w:r>
              <w:t xml:space="preserve"> (often referred to as CPAP therapy). </w:t>
            </w:r>
          </w:p>
          <w:p w14:paraId="7FD3AB04" w14:textId="77777777" w:rsidR="006850EB" w:rsidRDefault="006850EB" w:rsidP="005035C4">
            <w:r>
              <w:t>Obstructive sleep apnoea is a sleep disorder where a person’s upper airway becomes completely or partially blocked during sleep. “Apnoea” is when breathing stops for 10 seconds or more. In moderate to severe sleep apnoea, people have between 15 and 65 episodes of airway blockage every hour, which leads to poor sleep.</w:t>
            </w:r>
          </w:p>
          <w:p w14:paraId="7654A4CC" w14:textId="0473AA27" w:rsidR="006850EB" w:rsidRDefault="006850EB" w:rsidP="005035C4">
            <w:r>
              <w:t xml:space="preserve">Closed loop upper airway stimulation aims to </w:t>
            </w:r>
            <w:r w:rsidR="00D95FF8">
              <w:t xml:space="preserve">send electrical </w:t>
            </w:r>
            <w:r w:rsidR="00DE1AA5">
              <w:t>signals</w:t>
            </w:r>
            <w:r w:rsidR="00D95FF8">
              <w:t xml:space="preserve"> to </w:t>
            </w:r>
            <w:r>
              <w:t xml:space="preserve">a person’s hypoglossal nerve when they are asleep. The hypoglossal nerve controls muscles in the upper airway </w:t>
            </w:r>
            <w:r w:rsidR="007170DA">
              <w:t>(</w:t>
            </w:r>
            <w:r w:rsidR="00CC581C">
              <w:t>throat</w:t>
            </w:r>
            <w:r w:rsidR="007170DA">
              <w:t>)</w:t>
            </w:r>
            <w:r w:rsidR="00CC581C">
              <w:t xml:space="preserve"> </w:t>
            </w:r>
            <w:r>
              <w:t xml:space="preserve">and tongue. </w:t>
            </w:r>
            <w:r w:rsidR="007170DA">
              <w:t xml:space="preserve">Sending electrical </w:t>
            </w:r>
            <w:r w:rsidR="00DE1AA5">
              <w:t>signals</w:t>
            </w:r>
            <w:r w:rsidR="007170DA">
              <w:t xml:space="preserve"> to </w:t>
            </w:r>
            <w:r>
              <w:t>the nerve affects the muscles, which allow</w:t>
            </w:r>
            <w:r w:rsidR="007170DA">
              <w:t>s</w:t>
            </w:r>
            <w:r>
              <w:t xml:space="preserve"> the airway to open and the person to breathe normally. The upper airway stimulation system is a device that has to be inserted during surgery. It has a</w:t>
            </w:r>
            <w:r w:rsidR="007170DA">
              <w:t>n electrical</w:t>
            </w:r>
            <w:r>
              <w:t xml:space="preserve"> lead that senses the person’s breathing</w:t>
            </w:r>
            <w:r w:rsidR="00401B1F">
              <w:t xml:space="preserve"> while they sleep</w:t>
            </w:r>
            <w:r>
              <w:t xml:space="preserve">. When breathing stops, the device sends a mild electrical signal through another </w:t>
            </w:r>
            <w:r w:rsidR="00623076">
              <w:t>electrical</w:t>
            </w:r>
            <w:r>
              <w:t xml:space="preserve"> lead to the hypoglossal nerve, which stimulates the nerve and opens the airways.</w:t>
            </w:r>
          </w:p>
          <w:p w14:paraId="28431920" w14:textId="466058F5" w:rsidR="006850EB" w:rsidRDefault="006850EB" w:rsidP="005035C4">
            <w:r>
              <w:t>MSAC felt that the evidence in the application did not</w:t>
            </w:r>
            <w:r w:rsidR="2790FB82">
              <w:t xml:space="preserve"> sufficiently establish the long-term safety of </w:t>
            </w:r>
            <w:r>
              <w:t>closed loop upper airway stimulation</w:t>
            </w:r>
            <w:r w:rsidR="0B2CA1B0">
              <w:t xml:space="preserve">. MSAC also felt that </w:t>
            </w:r>
            <w:r w:rsidR="3375A8ED">
              <w:t>al</w:t>
            </w:r>
            <w:r w:rsidR="0B2CA1B0">
              <w:t xml:space="preserve">though the evidence </w:t>
            </w:r>
            <w:r w:rsidR="60DB79A5">
              <w:t xml:space="preserve">showed </w:t>
            </w:r>
            <w:r w:rsidR="253FD807">
              <w:t xml:space="preserve">that closed loop upper airway stimulation led to some improvements in patient reported outcomes it was unable to satisfactorily demonstrate </w:t>
            </w:r>
            <w:r w:rsidR="4E506EE0">
              <w:t xml:space="preserve">concrete improvements in </w:t>
            </w:r>
            <w:r w:rsidR="522DA4B1">
              <w:t>health</w:t>
            </w:r>
            <w:r w:rsidR="4AB31E2E">
              <w:t xml:space="preserve"> (e</w:t>
            </w:r>
            <w:r w:rsidR="58BFE99F">
              <w:t>.</w:t>
            </w:r>
            <w:r w:rsidR="4AB31E2E">
              <w:t>g</w:t>
            </w:r>
            <w:r w:rsidR="58BFE99F">
              <w:t>.</w:t>
            </w:r>
            <w:r w:rsidR="4AB31E2E">
              <w:t xml:space="preserve"> blood pressure</w:t>
            </w:r>
            <w:r w:rsidR="005F6ED6">
              <w:t>, heart attack and stroke rates</w:t>
            </w:r>
            <w:r w:rsidR="522DA4B1">
              <w:t>)</w:t>
            </w:r>
            <w:r>
              <w:t xml:space="preserve">. </w:t>
            </w:r>
            <w:r w:rsidR="161C0F72">
              <w:t>MSAC was also concerned that the</w:t>
            </w:r>
            <w:r w:rsidR="58FA8A19">
              <w:t xml:space="preserve"> </w:t>
            </w:r>
            <w:r w:rsidR="39E8D189">
              <w:t xml:space="preserve">patient group that would be </w:t>
            </w:r>
            <w:r w:rsidR="58FA8A19">
              <w:t>eligib</w:t>
            </w:r>
            <w:r w:rsidR="39E8D189">
              <w:t>le</w:t>
            </w:r>
            <w:r w:rsidR="58FA8A19">
              <w:t xml:space="preserve"> for </w:t>
            </w:r>
            <w:r w:rsidR="0F478621">
              <w:t xml:space="preserve">treatment with upper airway stimulation was not </w:t>
            </w:r>
            <w:r w:rsidR="3F7E7840">
              <w:t xml:space="preserve">defined </w:t>
            </w:r>
            <w:r w:rsidR="006E6B62">
              <w:t xml:space="preserve">well </w:t>
            </w:r>
            <w:r w:rsidR="3F7E7840">
              <w:t xml:space="preserve">enough and this might lead to </w:t>
            </w:r>
            <w:r w:rsidR="00940B44">
              <w:t xml:space="preserve">additional </w:t>
            </w:r>
            <w:r w:rsidR="795B650F">
              <w:t xml:space="preserve">people </w:t>
            </w:r>
            <w:r w:rsidR="006E6B62">
              <w:t>who are not eligible</w:t>
            </w:r>
            <w:r w:rsidR="00BE262E">
              <w:t xml:space="preserve"> also</w:t>
            </w:r>
            <w:r w:rsidR="006E6B62">
              <w:t xml:space="preserve"> </w:t>
            </w:r>
            <w:r w:rsidR="795B650F">
              <w:t xml:space="preserve">getting the service </w:t>
            </w:r>
            <w:r w:rsidR="3F7E7840">
              <w:t xml:space="preserve">since </w:t>
            </w:r>
            <w:r w:rsidR="39E8D189">
              <w:t>obstructive</w:t>
            </w:r>
            <w:r w:rsidR="3F7E7840">
              <w:t xml:space="preserve"> sleep apnoea is a very common condition</w:t>
            </w:r>
            <w:r w:rsidR="450D5007">
              <w:t>.</w:t>
            </w:r>
            <w:r w:rsidR="3F7E7840">
              <w:t xml:space="preserve"> </w:t>
            </w:r>
          </w:p>
          <w:p w14:paraId="3127B392" w14:textId="4E49DAAA" w:rsidR="006850EB" w:rsidRDefault="006850EB" w:rsidP="005035C4">
            <w:r>
              <w:t>MSAC also felt there were some issues with the economic model that made it very uncertain if upper airway stimulation would be good value for money</w:t>
            </w:r>
            <w:r w:rsidR="21AE9740">
              <w:t>.</w:t>
            </w:r>
          </w:p>
          <w:p w14:paraId="5B20C4CD" w14:textId="0D85C301" w:rsidR="006850EB" w:rsidRPr="00AF46D8" w:rsidRDefault="006850EB" w:rsidP="005035C4">
            <w:pPr>
              <w:pStyle w:val="Heading3"/>
              <w:outlineLvl w:val="2"/>
            </w:pPr>
            <w:r w:rsidRPr="00AF46D8">
              <w:t>MSAC’s advice to the Commonwealth Minister for Health</w:t>
            </w:r>
            <w:r w:rsidR="00C656A7">
              <w:t xml:space="preserve"> and Aged Care</w:t>
            </w:r>
          </w:p>
          <w:p w14:paraId="132AC15F" w14:textId="7C0C18B1" w:rsidR="006850EB" w:rsidRPr="00AF46D8" w:rsidRDefault="006850EB" w:rsidP="005035C4">
            <w:r w:rsidRPr="003E2BF7">
              <w:t xml:space="preserve">MSAC did not support MBS funding for closed loop </w:t>
            </w:r>
            <w:r>
              <w:t xml:space="preserve">upper airway stimulation </w:t>
            </w:r>
            <w:r w:rsidRPr="003E2BF7">
              <w:t xml:space="preserve">for people with moderate to severe </w:t>
            </w:r>
            <w:r>
              <w:t>obstructive sleep apnoea</w:t>
            </w:r>
            <w:r w:rsidRPr="003E2BF7">
              <w:t>.</w:t>
            </w:r>
            <w:r>
              <w:t xml:space="preserve"> This is because MSAC was not convinced that upper airway stimulation was safe and effective for everyone, and was </w:t>
            </w:r>
            <w:r w:rsidR="009C3284">
              <w:t>uncertain</w:t>
            </w:r>
            <w:r>
              <w:t xml:space="preserve"> if it would be good value for money.</w:t>
            </w:r>
          </w:p>
        </w:tc>
      </w:tr>
    </w:tbl>
    <w:p w14:paraId="7CB4A855" w14:textId="792E84E2" w:rsidR="00037D7D" w:rsidRDefault="00037D7D" w:rsidP="00037D7D">
      <w:pPr>
        <w:pStyle w:val="Heading2"/>
        <w:numPr>
          <w:ilvl w:val="0"/>
          <w:numId w:val="0"/>
        </w:numPr>
      </w:pPr>
      <w:r>
        <w:t>3.</w:t>
      </w:r>
      <w:r>
        <w:tab/>
        <w:t>Summary of consideration and rationale for MSAC’s advice</w:t>
      </w:r>
    </w:p>
    <w:p w14:paraId="6194D952" w14:textId="11C4236B" w:rsidR="001B05E3" w:rsidRPr="001B05E3" w:rsidRDefault="003A208E" w:rsidP="001B05E3">
      <w:bookmarkStart w:id="2" w:name="_Toc69491416"/>
      <w:bookmarkEnd w:id="1"/>
      <w:r w:rsidRPr="006E7E8B">
        <w:t xml:space="preserve">MSAC noted </w:t>
      </w:r>
      <w:r w:rsidRPr="006E7E8B">
        <w:rPr>
          <w:rStyle w:val="Strong"/>
          <w:b w:val="0"/>
          <w:bCs w:val="0"/>
        </w:rPr>
        <w:t>that this was a resubmission to request Medicare Benefits Schedule (MBS) listing of</w:t>
      </w:r>
      <w:r w:rsidRPr="00A46E2F">
        <w:rPr>
          <w:rStyle w:val="Strong"/>
        </w:rPr>
        <w:t xml:space="preserve"> </w:t>
      </w:r>
      <w:r w:rsidRPr="002939F5">
        <w:rPr>
          <w:rStyle w:val="Strong"/>
          <w:b w:val="0"/>
          <w:bCs w:val="0"/>
        </w:rPr>
        <w:t>c</w:t>
      </w:r>
      <w:r w:rsidRPr="002939F5">
        <w:t>l</w:t>
      </w:r>
      <w:r w:rsidRPr="00A46E2F">
        <w:t>osed loop</w:t>
      </w:r>
      <w:r>
        <w:t xml:space="preserve"> upper airway stimulation (UAS) for moderate to severe obstructive sleep apnoea (OSA), in patients who have failed or are intolerant to, continuous positive airway pressure (CPAP) therapy. The previous submission had been considered by </w:t>
      </w:r>
      <w:hyperlink r:id="rId9" w:history="1">
        <w:r>
          <w:rPr>
            <w:rStyle w:val="Hyperlink"/>
          </w:rPr>
          <w:t>MSAC in November 2020</w:t>
        </w:r>
      </w:hyperlink>
      <w:r>
        <w:t>, and MSAC had not recommended MBS funding. MSAC’s requirements for a resubmission are shown in Table 1.</w:t>
      </w:r>
      <w:r w:rsidR="001B05E3">
        <w:rPr>
          <w:rFonts w:ascii="Arial Narrow" w:hAnsi="Arial Narrow"/>
          <w:b/>
          <w:sz w:val="20"/>
        </w:rPr>
        <w:br w:type="page"/>
      </w:r>
    </w:p>
    <w:p w14:paraId="6B02486A" w14:textId="5EBF07A3" w:rsidR="003A208E" w:rsidRDefault="003A208E" w:rsidP="003A208E">
      <w:pPr>
        <w:keepNext/>
        <w:spacing w:before="240"/>
        <w:rPr>
          <w:rFonts w:ascii="Arial Narrow" w:hAnsi="Arial Narrow"/>
          <w:b/>
          <w:sz w:val="20"/>
        </w:rPr>
      </w:pPr>
      <w:r>
        <w:rPr>
          <w:rFonts w:ascii="Arial Narrow" w:hAnsi="Arial Narrow"/>
          <w:b/>
          <w:sz w:val="20"/>
        </w:rPr>
        <w:lastRenderedPageBreak/>
        <w:t>Table 1</w:t>
      </w:r>
      <w:r>
        <w:rPr>
          <w:rFonts w:ascii="Arial Narrow" w:hAnsi="Arial Narrow"/>
          <w:b/>
          <w:sz w:val="20"/>
        </w:rPr>
        <w:tab/>
        <w:t>Requirements for a resubmission for application 1595</w:t>
      </w:r>
    </w:p>
    <w:tbl>
      <w:tblPr>
        <w:tblStyle w:val="TableGrid"/>
        <w:tblW w:w="0" w:type="auto"/>
        <w:tblLook w:val="04A0" w:firstRow="1" w:lastRow="0" w:firstColumn="1" w:lastColumn="0" w:noHBand="0" w:noVBand="1"/>
        <w:tblDescription w:val="Requirements for a resubmission"/>
      </w:tblPr>
      <w:tblGrid>
        <w:gridCol w:w="2547"/>
        <w:gridCol w:w="6469"/>
      </w:tblGrid>
      <w:tr w:rsidR="003A208E" w14:paraId="39015A8D" w14:textId="77777777" w:rsidTr="005035C4">
        <w:trPr>
          <w:tblHeader/>
        </w:trPr>
        <w:tc>
          <w:tcPr>
            <w:tcW w:w="2547" w:type="dxa"/>
            <w:tcBorders>
              <w:top w:val="single" w:sz="4" w:space="0" w:color="auto"/>
              <w:left w:val="single" w:sz="4" w:space="0" w:color="auto"/>
              <w:bottom w:val="single" w:sz="4" w:space="0" w:color="auto"/>
              <w:right w:val="single" w:sz="4" w:space="0" w:color="auto"/>
            </w:tcBorders>
            <w:hideMark/>
          </w:tcPr>
          <w:p w14:paraId="51A0F98D" w14:textId="77777777" w:rsidR="003A208E" w:rsidRDefault="003A208E" w:rsidP="005035C4">
            <w:pPr>
              <w:pStyle w:val="Tabletext0"/>
              <w:ind w:left="994" w:hanging="994"/>
              <w:rPr>
                <w:b/>
              </w:rPr>
            </w:pPr>
            <w:r>
              <w:rPr>
                <w:b/>
              </w:rPr>
              <w:t>Item</w:t>
            </w:r>
          </w:p>
        </w:tc>
        <w:tc>
          <w:tcPr>
            <w:tcW w:w="6469" w:type="dxa"/>
            <w:tcBorders>
              <w:top w:val="single" w:sz="4" w:space="0" w:color="auto"/>
              <w:left w:val="single" w:sz="4" w:space="0" w:color="auto"/>
              <w:bottom w:val="single" w:sz="4" w:space="0" w:color="auto"/>
              <w:right w:val="single" w:sz="4" w:space="0" w:color="auto"/>
            </w:tcBorders>
            <w:hideMark/>
          </w:tcPr>
          <w:p w14:paraId="2792778E" w14:textId="77777777" w:rsidR="003A208E" w:rsidRDefault="003A208E" w:rsidP="005035C4">
            <w:pPr>
              <w:pStyle w:val="Tabletext0"/>
              <w:ind w:left="994" w:hanging="994"/>
              <w:rPr>
                <w:b/>
              </w:rPr>
            </w:pPr>
            <w:r>
              <w:rPr>
                <w:b/>
              </w:rPr>
              <w:t>MSAC advice</w:t>
            </w:r>
          </w:p>
        </w:tc>
      </w:tr>
      <w:tr w:rsidR="003A208E" w14:paraId="7ACC5CA8"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03FBB682" w14:textId="77777777" w:rsidR="003A208E" w:rsidRDefault="003A208E" w:rsidP="005035C4">
            <w:pPr>
              <w:pStyle w:val="Tabletext0"/>
              <w:ind w:left="990" w:hanging="990"/>
            </w:pPr>
            <w:r>
              <w:t>Use of DISE as a prior test</w:t>
            </w:r>
          </w:p>
        </w:tc>
        <w:tc>
          <w:tcPr>
            <w:tcW w:w="6469" w:type="dxa"/>
            <w:tcBorders>
              <w:top w:val="single" w:sz="4" w:space="0" w:color="auto"/>
              <w:left w:val="single" w:sz="4" w:space="0" w:color="auto"/>
              <w:bottom w:val="single" w:sz="4" w:space="0" w:color="auto"/>
              <w:right w:val="single" w:sz="4" w:space="0" w:color="auto"/>
            </w:tcBorders>
            <w:hideMark/>
          </w:tcPr>
          <w:p w14:paraId="6A954030" w14:textId="77777777" w:rsidR="003A208E" w:rsidRDefault="003A208E" w:rsidP="005035C4">
            <w:pPr>
              <w:pStyle w:val="TableText1"/>
              <w:rPr>
                <w:rFonts w:cs="Arial"/>
                <w:sz w:val="20"/>
                <w:szCs w:val="20"/>
              </w:rPr>
            </w:pPr>
            <w:r>
              <w:rPr>
                <w:rFonts w:cs="Arial"/>
                <w:sz w:val="20"/>
                <w:szCs w:val="20"/>
              </w:rPr>
              <w:t>Address the uncertainty regarding the use of DISE as raised by ESC</w:t>
            </w:r>
          </w:p>
        </w:tc>
      </w:tr>
      <w:tr w:rsidR="003A208E" w14:paraId="33AD9AC5"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0D0B9677" w14:textId="77777777" w:rsidR="003A208E" w:rsidRDefault="003A208E" w:rsidP="005035C4">
            <w:pPr>
              <w:pStyle w:val="Tabletext0"/>
              <w:ind w:left="990" w:hanging="990"/>
              <w:rPr>
                <w:rFonts w:cs="Times New Roman"/>
                <w:szCs w:val="24"/>
              </w:rPr>
            </w:pPr>
            <w:r>
              <w:t>Population and clinical place</w:t>
            </w:r>
          </w:p>
        </w:tc>
        <w:tc>
          <w:tcPr>
            <w:tcW w:w="6469" w:type="dxa"/>
            <w:tcBorders>
              <w:top w:val="single" w:sz="4" w:space="0" w:color="auto"/>
              <w:left w:val="single" w:sz="4" w:space="0" w:color="auto"/>
              <w:bottom w:val="single" w:sz="4" w:space="0" w:color="auto"/>
              <w:right w:val="single" w:sz="4" w:space="0" w:color="auto"/>
            </w:tcBorders>
            <w:hideMark/>
          </w:tcPr>
          <w:p w14:paraId="10980968" w14:textId="77777777" w:rsidR="003A208E" w:rsidRDefault="003A208E" w:rsidP="005035C4">
            <w:pPr>
              <w:pStyle w:val="TableText1"/>
              <w:rPr>
                <w:rFonts w:cs="Arial"/>
                <w:sz w:val="20"/>
                <w:szCs w:val="20"/>
              </w:rPr>
            </w:pPr>
            <w:r>
              <w:rPr>
                <w:rFonts w:cs="Arial"/>
                <w:sz w:val="20"/>
                <w:szCs w:val="20"/>
              </w:rPr>
              <w:t>There may be a subpopulation of patients who have failed all other medical management options where UAS therapy may be appropriate. The resubmission would need to define this subpopulation using the appropriate eligibility criteria.</w:t>
            </w:r>
          </w:p>
        </w:tc>
      </w:tr>
      <w:tr w:rsidR="003A208E" w14:paraId="6EE2E4C0"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2617560E" w14:textId="77777777" w:rsidR="003A208E" w:rsidRDefault="003A208E" w:rsidP="005035C4">
            <w:pPr>
              <w:pStyle w:val="Tabletext0"/>
              <w:ind w:left="990" w:hanging="990"/>
              <w:rPr>
                <w:rFonts w:cs="Times New Roman"/>
                <w:szCs w:val="24"/>
              </w:rPr>
            </w:pPr>
            <w:r>
              <w:t>Clinical evidence</w:t>
            </w:r>
          </w:p>
        </w:tc>
        <w:tc>
          <w:tcPr>
            <w:tcW w:w="6469" w:type="dxa"/>
            <w:tcBorders>
              <w:top w:val="single" w:sz="4" w:space="0" w:color="auto"/>
              <w:left w:val="single" w:sz="4" w:space="0" w:color="auto"/>
              <w:bottom w:val="single" w:sz="4" w:space="0" w:color="auto"/>
              <w:right w:val="single" w:sz="4" w:space="0" w:color="auto"/>
            </w:tcBorders>
            <w:hideMark/>
          </w:tcPr>
          <w:p w14:paraId="684D0C6F" w14:textId="77777777" w:rsidR="003A208E" w:rsidRDefault="003A208E" w:rsidP="005035C4">
            <w:pPr>
              <w:pStyle w:val="TableText1"/>
              <w:rPr>
                <w:rFonts w:cs="Arial"/>
                <w:sz w:val="20"/>
                <w:szCs w:val="20"/>
              </w:rPr>
            </w:pPr>
            <w:r>
              <w:rPr>
                <w:rFonts w:cs="Arial"/>
                <w:sz w:val="20"/>
                <w:szCs w:val="20"/>
              </w:rPr>
              <w:t>Provide evidence to support use of UAS in this refined population</w:t>
            </w:r>
          </w:p>
        </w:tc>
      </w:tr>
      <w:tr w:rsidR="003A208E" w14:paraId="0634A63B"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116E7F35" w14:textId="77777777" w:rsidR="003A208E" w:rsidRDefault="003A208E" w:rsidP="005035C4">
            <w:pPr>
              <w:pStyle w:val="Tabletext0"/>
              <w:ind w:left="990" w:hanging="990"/>
              <w:rPr>
                <w:rFonts w:cs="Times New Roman"/>
                <w:szCs w:val="24"/>
              </w:rPr>
            </w:pPr>
            <w:r>
              <w:t>Economic evaluation</w:t>
            </w:r>
          </w:p>
        </w:tc>
        <w:tc>
          <w:tcPr>
            <w:tcW w:w="6469" w:type="dxa"/>
            <w:tcBorders>
              <w:top w:val="single" w:sz="4" w:space="0" w:color="auto"/>
              <w:left w:val="single" w:sz="4" w:space="0" w:color="auto"/>
              <w:bottom w:val="single" w:sz="4" w:space="0" w:color="auto"/>
              <w:right w:val="single" w:sz="4" w:space="0" w:color="auto"/>
            </w:tcBorders>
            <w:hideMark/>
          </w:tcPr>
          <w:p w14:paraId="5712C5A1" w14:textId="77777777" w:rsidR="003A208E" w:rsidRDefault="003A208E" w:rsidP="005035C4">
            <w:pPr>
              <w:pStyle w:val="TableText1"/>
              <w:rPr>
                <w:rFonts w:cs="Arial"/>
                <w:sz w:val="20"/>
                <w:szCs w:val="20"/>
              </w:rPr>
            </w:pPr>
            <w:r>
              <w:rPr>
                <w:rFonts w:cs="Arial"/>
                <w:sz w:val="20"/>
                <w:szCs w:val="20"/>
              </w:rPr>
              <w:t>Improve the economic model to address the uncertainties regarding the model structure, time horizon (and device replacement due to end battery life), effect size (AHI/mortality) estimate as raised by ESC. The resubmission should also reduce the cost of the device in order to ensure cost-effectiveness</w:t>
            </w:r>
          </w:p>
        </w:tc>
      </w:tr>
      <w:tr w:rsidR="003A208E" w14:paraId="684E0D08"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2CD9D8C3" w14:textId="77777777" w:rsidR="003A208E" w:rsidRDefault="003A208E" w:rsidP="005035C4">
            <w:pPr>
              <w:pStyle w:val="Tabletext0"/>
              <w:ind w:left="990" w:hanging="990"/>
              <w:rPr>
                <w:rFonts w:cs="Times New Roman"/>
                <w:szCs w:val="24"/>
              </w:rPr>
            </w:pPr>
            <w:r>
              <w:t>Financial estimates</w:t>
            </w:r>
          </w:p>
        </w:tc>
        <w:tc>
          <w:tcPr>
            <w:tcW w:w="6469" w:type="dxa"/>
            <w:tcBorders>
              <w:top w:val="single" w:sz="4" w:space="0" w:color="auto"/>
              <w:left w:val="single" w:sz="4" w:space="0" w:color="auto"/>
              <w:bottom w:val="single" w:sz="4" w:space="0" w:color="auto"/>
              <w:right w:val="single" w:sz="4" w:space="0" w:color="auto"/>
            </w:tcBorders>
            <w:hideMark/>
          </w:tcPr>
          <w:p w14:paraId="3C5D7493" w14:textId="77777777" w:rsidR="003A208E" w:rsidRDefault="003A208E" w:rsidP="005035C4">
            <w:pPr>
              <w:pStyle w:val="TableText1"/>
              <w:rPr>
                <w:rFonts w:cs="Arial"/>
                <w:sz w:val="20"/>
                <w:szCs w:val="20"/>
              </w:rPr>
            </w:pPr>
            <w:r>
              <w:rPr>
                <w:rFonts w:cs="Arial"/>
                <w:sz w:val="20"/>
                <w:szCs w:val="20"/>
              </w:rPr>
              <w:t>Update, as required (see above)</w:t>
            </w:r>
          </w:p>
        </w:tc>
      </w:tr>
    </w:tbl>
    <w:p w14:paraId="1556DFC0" w14:textId="77777777" w:rsidR="003A208E" w:rsidRDefault="003A208E" w:rsidP="003A208E">
      <w:pPr>
        <w:pStyle w:val="Tablenotes1"/>
        <w:rPr>
          <w:szCs w:val="20"/>
        </w:rPr>
      </w:pPr>
      <w:r>
        <w:t>Abbreviations: AHI=apnoea hypopnoea index; DISE=drug induced sleep endoscopy; UAS=upper airway stimulation</w:t>
      </w:r>
    </w:p>
    <w:p w14:paraId="40D2752F" w14:textId="77777777" w:rsidR="003A208E" w:rsidRDefault="003A208E" w:rsidP="003A208E">
      <w:pPr>
        <w:pStyle w:val="Tablenotes1"/>
        <w:rPr>
          <w:sz w:val="24"/>
        </w:rPr>
      </w:pPr>
      <w:r>
        <w:t xml:space="preserve">Source: </w:t>
      </w:r>
      <w:hyperlink r:id="rId10" w:history="1">
        <w:r>
          <w:rPr>
            <w:rStyle w:val="Hyperlink"/>
          </w:rPr>
          <w:t>Public Summary Document for application 1595, page 4</w:t>
        </w:r>
      </w:hyperlink>
    </w:p>
    <w:p w14:paraId="7B1C00B6" w14:textId="088D452B" w:rsidR="00E5162C" w:rsidRDefault="003A208E" w:rsidP="003A208E">
      <w:r>
        <w:t>MSAC noted that the proposed item descriptor had been updated to define “failed or intolerant to CPAP therapy”, as requested by PASC. The updated item descriptor specified</w:t>
      </w:r>
      <w:r w:rsidR="00743102">
        <w:t xml:space="preserve"> that t</w:t>
      </w:r>
      <w:r w:rsidR="00F40A90">
        <w:t xml:space="preserve">his treatment was suitable for </w:t>
      </w:r>
      <w:r>
        <w:t xml:space="preserve"> “(i) patients who have failed CPAP </w:t>
      </w:r>
      <w:r w:rsidRPr="002939F5">
        <w:t>where CPAP failure is defined as continued</w:t>
      </w:r>
      <w:r>
        <w:t xml:space="preserve"> apnoea hypopnoea index</w:t>
      </w:r>
      <w:r w:rsidRPr="002939F5">
        <w:t xml:space="preserve"> </w:t>
      </w:r>
      <w:r>
        <w:t>(</w:t>
      </w:r>
      <w:r w:rsidRPr="002939F5">
        <w:t>AHI</w:t>
      </w:r>
      <w:r>
        <w:t>) </w:t>
      </w:r>
      <w:r w:rsidRPr="002939F5">
        <w:t>&gt; 20 despite appropriate CPAP usage</w:t>
      </w:r>
      <w:r>
        <w:t>,</w:t>
      </w:r>
      <w:r w:rsidRPr="002939F5">
        <w:t xml:space="preserve"> or</w:t>
      </w:r>
      <w:r>
        <w:t xml:space="preserve"> (ii) </w:t>
      </w:r>
      <w:r w:rsidRPr="002939F5">
        <w:t>who are intolerant of CPAP where CPAP intolerance is defined as inability to use CPAP (&gt;5 nights per week of usage: usage defined as &gt;4 hours of use per night</w:t>
      </w:r>
      <w:r>
        <w:t>)</w:t>
      </w:r>
      <w:r w:rsidRPr="002939F5">
        <w:t xml:space="preserve"> or unwillingness to use CPAP</w:t>
      </w:r>
      <w:r>
        <w:t>,</w:t>
      </w:r>
      <w:r w:rsidRPr="002939F5">
        <w:t xml:space="preserve"> or </w:t>
      </w:r>
      <w:r>
        <w:t>(iii) p</w:t>
      </w:r>
      <w:r w:rsidRPr="002939F5">
        <w:t>atients who are unsuitable for, or have unsuccessfully attempted all other appropriate interventions and who are currently untreated</w:t>
      </w:r>
      <w:r>
        <w:t xml:space="preserve">”. </w:t>
      </w:r>
      <w:r w:rsidR="00E5162C">
        <w:t xml:space="preserve">MSAC considered that it was still unclear from this revised description </w:t>
      </w:r>
      <w:r w:rsidR="00696B04">
        <w:t>what the reference to ‘all other appropriate interventions’ specifically referred to (e.g. do all these patients have to undergo surgery and what if they choose not to?).  MSAC also considered that the item descriptor made use of an excessive number of ‘or’ conditions (as described above</w:t>
      </w:r>
      <w:r w:rsidR="00687B0C">
        <w:t>)</w:t>
      </w:r>
      <w:r w:rsidR="00CA5F4E">
        <w:t xml:space="preserve">. </w:t>
      </w:r>
      <w:r w:rsidR="00B519D6">
        <w:t xml:space="preserve">The use of the </w:t>
      </w:r>
      <w:r w:rsidR="00E05585">
        <w:t xml:space="preserve">term ‘unwillingness to use CPAP’ may be too subjective and open-ended, creating a risk of leakage under the proposed item descriptor given that OSA is a highly prevalent condition. </w:t>
      </w:r>
      <w:r w:rsidR="00696B04">
        <w:t xml:space="preserve"> MSAC noted that the terms “no active treatment”, “adjunctive therapy” and “mainstay therapy” were used </w:t>
      </w:r>
      <w:r w:rsidR="00E5162C">
        <w:t xml:space="preserve">interchangeably </w:t>
      </w:r>
      <w:r w:rsidR="00696B04">
        <w:t>throughout the application, leading to a lack of clarity regarding the proposed population.</w:t>
      </w:r>
    </w:p>
    <w:p w14:paraId="07AC2FEF" w14:textId="701E3A34" w:rsidR="00E5162C" w:rsidRDefault="00E5162C" w:rsidP="00E5162C">
      <w:r>
        <w:t xml:space="preserve">MSAC considered that these issues meant that even though in its pre-MSAC response the applicant indicated that it </w:t>
      </w:r>
      <w:r w:rsidR="00870655">
        <w:t>w</w:t>
      </w:r>
      <w:r w:rsidR="00870655" w:rsidRPr="00870655">
        <w:t xml:space="preserve">as </w:t>
      </w:r>
      <w:r w:rsidR="00870655">
        <w:t xml:space="preserve">willing to further amend its item descriptor as originally </w:t>
      </w:r>
      <w:r w:rsidR="00870655" w:rsidRPr="00870655">
        <w:t>requested by PASC</w:t>
      </w:r>
      <w:r>
        <w:t xml:space="preserve">, </w:t>
      </w:r>
      <w:r w:rsidR="0009233E">
        <w:t xml:space="preserve">further clarity was required regarding the terms </w:t>
      </w:r>
      <w:r w:rsidR="0076478C">
        <w:t>“intolerant” of CPAP</w:t>
      </w:r>
      <w:r>
        <w:t xml:space="preserve"> and </w:t>
      </w:r>
      <w:r w:rsidR="0076478C">
        <w:t>‘unwillingness to use CPAP</w:t>
      </w:r>
      <w:r w:rsidR="0012061E">
        <w:t>’</w:t>
      </w:r>
      <w:r w:rsidR="0076478C">
        <w:t>.</w:t>
      </w:r>
      <w:r>
        <w:t xml:space="preserve"> </w:t>
      </w:r>
    </w:p>
    <w:p w14:paraId="743A06B0" w14:textId="1F8E3572" w:rsidR="003A208E" w:rsidRDefault="003A208E" w:rsidP="003A208E">
      <w:pPr>
        <w:keepNext/>
      </w:pPr>
      <w:r>
        <w:t xml:space="preserve">MSAC noted </w:t>
      </w:r>
      <w:r w:rsidR="00C600D2">
        <w:t xml:space="preserve">while </w:t>
      </w:r>
      <w:r>
        <w:t>the applicant’s pre-MSAC response had addressed many of the issues raised by ESC</w:t>
      </w:r>
      <w:r w:rsidR="00C600D2">
        <w:t xml:space="preserve">, other issues which </w:t>
      </w:r>
      <w:r>
        <w:t>remained outstanding and had not been adequately addressed</w:t>
      </w:r>
      <w:r w:rsidR="002E016C">
        <w:t xml:space="preserve"> were</w:t>
      </w:r>
      <w:r>
        <w:t>:</w:t>
      </w:r>
    </w:p>
    <w:p w14:paraId="711F85AC" w14:textId="7E520B2A" w:rsidR="003A208E" w:rsidRDefault="003113EC" w:rsidP="003A208E">
      <w:pPr>
        <w:pStyle w:val="ListParagraph"/>
        <w:numPr>
          <w:ilvl w:val="0"/>
          <w:numId w:val="31"/>
        </w:numPr>
        <w:spacing w:before="0" w:after="0" w:line="240" w:lineRule="auto"/>
      </w:pPr>
      <w:r>
        <w:t>T</w:t>
      </w:r>
      <w:r w:rsidR="003A208E">
        <w:t xml:space="preserve">he use of </w:t>
      </w:r>
      <w:r w:rsidR="00FC05C5">
        <w:t>drug induced sleep endoscope (</w:t>
      </w:r>
      <w:r w:rsidR="003A208E">
        <w:t>DISE</w:t>
      </w:r>
      <w:r w:rsidR="00FC05C5">
        <w:t>)</w:t>
      </w:r>
      <w:r w:rsidR="003A208E">
        <w:t xml:space="preserve"> as a prior test</w:t>
      </w:r>
      <w:r w:rsidR="00EA4326">
        <w:t xml:space="preserve">. While </w:t>
      </w:r>
      <w:r w:rsidR="003A208E">
        <w:t>the applicant had confirmed that DISE should be mandatory before undergoing UAS, MSAC again noted that DISE is not commonly performed in Australia</w:t>
      </w:r>
      <w:r w:rsidR="00032B6A">
        <w:t xml:space="preserve"> and were unc</w:t>
      </w:r>
      <w:r w:rsidR="00DB4968">
        <w:t>onvinced</w:t>
      </w:r>
      <w:r w:rsidR="00032B6A">
        <w:t xml:space="preserve"> about the </w:t>
      </w:r>
      <w:r w:rsidR="00EA4326">
        <w:t xml:space="preserve">clinical </w:t>
      </w:r>
      <w:r w:rsidR="00BF079A">
        <w:t>need</w:t>
      </w:r>
      <w:r w:rsidR="00F329BC">
        <w:t xml:space="preserve">, </w:t>
      </w:r>
      <w:r w:rsidR="00BF079A">
        <w:t>place</w:t>
      </w:r>
      <w:r w:rsidR="00F329BC">
        <w:t xml:space="preserve"> and provision</w:t>
      </w:r>
      <w:r w:rsidR="00BF079A">
        <w:t xml:space="preserve"> of this procedure </w:t>
      </w:r>
      <w:r w:rsidR="00D00735">
        <w:t xml:space="preserve">as part of the proposed clinical algorithm for upper airway stimulation. </w:t>
      </w:r>
    </w:p>
    <w:p w14:paraId="0758BD51" w14:textId="73664E94" w:rsidR="003A208E" w:rsidRDefault="003113EC" w:rsidP="003A208E">
      <w:pPr>
        <w:pStyle w:val="ListParagraph"/>
        <w:numPr>
          <w:ilvl w:val="0"/>
          <w:numId w:val="31"/>
        </w:numPr>
        <w:spacing w:before="0" w:after="0" w:line="240" w:lineRule="auto"/>
      </w:pPr>
      <w:r>
        <w:t>T</w:t>
      </w:r>
      <w:r w:rsidR="003A208E">
        <w:t>he proposed cost of the device – MSAC considered that this should be aligned with the cost of similar devices for vagus nerve stimulation. Because both UAS and vagus nerve stimulators are neuromodulators, MSAC expect</w:t>
      </w:r>
      <w:r w:rsidR="00D77058">
        <w:t>ed</w:t>
      </w:r>
      <w:r w:rsidR="003A208E">
        <w:t xml:space="preserve"> that these devices would be in the same subcategory of the Prostheses List (PL) and therefore have comparable costs</w:t>
      </w:r>
      <w:r w:rsidR="00D77058">
        <w:t>.</w:t>
      </w:r>
    </w:p>
    <w:p w14:paraId="72636F0A" w14:textId="2C8335A2" w:rsidR="003A208E" w:rsidRDefault="003113EC" w:rsidP="003A208E">
      <w:pPr>
        <w:pStyle w:val="ListParagraph"/>
        <w:numPr>
          <w:ilvl w:val="0"/>
          <w:numId w:val="31"/>
        </w:numPr>
        <w:spacing w:before="0" w:after="0" w:line="240" w:lineRule="auto"/>
      </w:pPr>
      <w:r>
        <w:t>O</w:t>
      </w:r>
      <w:r w:rsidR="003A208E">
        <w:t>ut-of-pocket costs for patients – MSAC considered that out-of-pocket costs would be substantial if the device was not listed on the PL</w:t>
      </w:r>
      <w:r w:rsidR="00EC5525">
        <w:t xml:space="preserve"> and that there were also uncertainties about potential out of pocket costs associated with </w:t>
      </w:r>
      <w:r w:rsidR="00963203">
        <w:t>the use of DISE (which the applicant ha</w:t>
      </w:r>
      <w:r w:rsidR="00AF1920">
        <w:t>s confirmed should be mandatory)</w:t>
      </w:r>
      <w:r w:rsidR="00E463F2">
        <w:t>.</w:t>
      </w:r>
    </w:p>
    <w:p w14:paraId="6BA7CFB0" w14:textId="40AD4691" w:rsidR="003A208E" w:rsidRDefault="003A208E" w:rsidP="003A208E">
      <w:r>
        <w:lastRenderedPageBreak/>
        <w:t xml:space="preserve">MSAC noted the issues with the clinical evidence base and literature review that were identified by ESC and the commentary; in particular, that more recent studies had not been integrated into the resubmission, </w:t>
      </w:r>
      <w:r w:rsidR="004A5844">
        <w:t xml:space="preserve">and </w:t>
      </w:r>
      <w:r w:rsidR="0065257C">
        <w:t xml:space="preserve">studies included in the ADAR </w:t>
      </w:r>
      <w:r>
        <w:t xml:space="preserve">did not </w:t>
      </w:r>
      <w:r w:rsidR="009D126B">
        <w:t>align with</w:t>
      </w:r>
      <w:r>
        <w:t xml:space="preserve"> the PICO criteria and did not include a risk of bias assessment. </w:t>
      </w:r>
      <w:r w:rsidR="002D003C">
        <w:t xml:space="preserve">MSAC </w:t>
      </w:r>
      <w:r w:rsidR="001F4726">
        <w:t xml:space="preserve">also </w:t>
      </w:r>
      <w:r w:rsidR="002D003C">
        <w:t xml:space="preserve">noted that while the commentary had identified </w:t>
      </w:r>
      <w:r w:rsidR="006E3ABF">
        <w:t>other studies</w:t>
      </w:r>
      <w:r w:rsidR="0079259A">
        <w:t xml:space="preserve">, </w:t>
      </w:r>
      <w:r w:rsidR="001F4726">
        <w:t>many were industry sponsored and at high risk of bias.</w:t>
      </w:r>
    </w:p>
    <w:p w14:paraId="1FD772EC" w14:textId="2BEBE90A" w:rsidR="003A208E" w:rsidRDefault="003A208E" w:rsidP="003A208E">
      <w:r>
        <w:t>MSAC agreed with the concerns raised by ESC</w:t>
      </w:r>
      <w:r w:rsidR="00426D71">
        <w:t xml:space="preserve"> that there was no data on long term comparative safety identified in the ADAR</w:t>
      </w:r>
      <w:r>
        <w:t>. MSAC considered that the procedure presented a low risk, but noted the significant side effects from the intervention, such as discomfort due to electrical stimulation (reported by 40–60% of patients) and tongue abrasion (reported by 27% of patients). MSAC therefore considered that UAS had inferior safety to the comparator.</w:t>
      </w:r>
    </w:p>
    <w:p w14:paraId="27609570" w14:textId="0587C582" w:rsidR="003A208E" w:rsidRDefault="003A208E" w:rsidP="003A208E">
      <w:r>
        <w:t xml:space="preserve">MSAC agreed with the concerns raised by ESC and the commentary regarding comparative clinical effectiveness. MSAC considered that the clinical claim of superior effectiveness may be supported for surrogate outcomes (AHI, </w:t>
      </w:r>
      <w:r w:rsidRPr="007B10B9">
        <w:t>oxygen desaturation threshold index</w:t>
      </w:r>
      <w:r>
        <w:t>, quality of life), but was not supported for cardiovascular outcomes based on blood pressure endpoints, and there is no evidence of superior effectiveness for long-term health outcomes.</w:t>
      </w:r>
    </w:p>
    <w:p w14:paraId="2CC14FCA" w14:textId="527903CA" w:rsidR="0072782B" w:rsidRDefault="003A208E" w:rsidP="003A208E">
      <w:r>
        <w:t xml:space="preserve">MSAC noted the economic evaluation and agreed with the concerns raised by ESC and the commentary. The model was particularly sensitive to changes in the time horizon. The base case ICER using a lifetime time horizon ($47,662) increased to $63,899 using a 15-year time horizon, and $113,845 using a 5-year time horizon. </w:t>
      </w:r>
      <w:r w:rsidR="00D34A13">
        <w:t xml:space="preserve">MSAC noted that the model was also sensitive to assumptions on utility gains and whether changes in surrogate outcomes translated into changes in </w:t>
      </w:r>
      <w:r w:rsidR="003D6998">
        <w:t>cardiovascular</w:t>
      </w:r>
      <w:r w:rsidR="00D34A13">
        <w:t xml:space="preserve"> outcomes. </w:t>
      </w:r>
      <w:r w:rsidR="00D400E7">
        <w:t>Regarding</w:t>
      </w:r>
      <w:r w:rsidR="007C3AF6">
        <w:t xml:space="preserve"> utility gains, MSAC noted that the model assumed that UAS-treated patients would achieve the same health related quality of life (HRQoL) as patients treated with CPAP. This assumption was based on the STAR trial’s findings on improvements in values for </w:t>
      </w:r>
      <w:r w:rsidR="00803776">
        <w:t>the Epworth Sleepiness Scale (</w:t>
      </w:r>
      <w:r w:rsidR="007C3AF6">
        <w:t>ESS</w:t>
      </w:r>
      <w:r w:rsidR="00803776">
        <w:t>)</w:t>
      </w:r>
      <w:r w:rsidR="007C3AF6">
        <w:t xml:space="preserve"> and the</w:t>
      </w:r>
      <w:r w:rsidR="0075060E">
        <w:t xml:space="preserve"> Functional Outcomes on Sleep Questionnaire (</w:t>
      </w:r>
      <w:r w:rsidR="007C3AF6">
        <w:t>FOSQ</w:t>
      </w:r>
      <w:r w:rsidR="0075060E">
        <w:t>)</w:t>
      </w:r>
      <w:r w:rsidR="007C3AF6">
        <w:t xml:space="preserve"> and was extremely favourable to the intervention (e.g. reducing the gain in HRQOL to 50% increases the ICER to $73,565/QALY gained).  </w:t>
      </w:r>
      <w:r w:rsidR="00C50851">
        <w:t>Regarding</w:t>
      </w:r>
      <w:r w:rsidR="007C3AF6">
        <w:t xml:space="preserve"> changes in surrogate outcomes, </w:t>
      </w:r>
      <w:r w:rsidR="0051110C">
        <w:t>MSAC noted that the model assumed that a reduction in AHI would lead to a reduction in cardiovascular risk. However</w:t>
      </w:r>
      <w:r w:rsidR="00C50851">
        <w:t>,</w:t>
      </w:r>
      <w:r w:rsidR="0051110C">
        <w:t xml:space="preserve"> if no</w:t>
      </w:r>
      <w:r w:rsidR="00254ACE">
        <w:t xml:space="preserve"> reduction in cardiovascular risk from UAS is assumed, th</w:t>
      </w:r>
      <w:r w:rsidR="007A0166">
        <w:t>i</w:t>
      </w:r>
      <w:r w:rsidR="00254ACE">
        <w:t>s increases the ICER to $76,340</w:t>
      </w:r>
      <w:r w:rsidR="0072782B">
        <w:t>/QALY gained</w:t>
      </w:r>
      <w:r w:rsidR="02618F6D">
        <w:t>.</w:t>
      </w:r>
      <w:r w:rsidR="0051110C">
        <w:t xml:space="preserve"> </w:t>
      </w:r>
    </w:p>
    <w:p w14:paraId="28351744" w14:textId="0793316E" w:rsidR="0072782B" w:rsidRDefault="003A208E" w:rsidP="003A208E">
      <w:r>
        <w:t xml:space="preserve">MSAC noted that the applicant had reduced the cost of the device by 16.7%; however, this cost was still higher than the cost of </w:t>
      </w:r>
      <w:r w:rsidR="003113EC">
        <w:t>the</w:t>
      </w:r>
      <w:r w:rsidR="00772F08">
        <w:t xml:space="preserve"> comparable</w:t>
      </w:r>
      <w:r w:rsidR="004E5C02">
        <w:t xml:space="preserve"> </w:t>
      </w:r>
      <w:r>
        <w:t xml:space="preserve">device for vagus nerve stimulation. MSAC noted that aligning the cost of UAS with the cost of vagus nerve stimulation, over a 15-year time horizon, reduced the ICER to $35,867. </w:t>
      </w:r>
    </w:p>
    <w:p w14:paraId="0DB65126" w14:textId="226CB0EB" w:rsidR="00404D43" w:rsidRDefault="00404D43" w:rsidP="003A208E">
      <w:r>
        <w:t>MSAC considered that the key uncertainties in the economic model were</w:t>
      </w:r>
    </w:p>
    <w:p w14:paraId="3268B106" w14:textId="2FC44BC9" w:rsidR="00404D43" w:rsidRDefault="003113EC" w:rsidP="00404D43">
      <w:pPr>
        <w:pStyle w:val="ListParagraph"/>
        <w:numPr>
          <w:ilvl w:val="0"/>
          <w:numId w:val="34"/>
        </w:numPr>
      </w:pPr>
      <w:r>
        <w:t>T</w:t>
      </w:r>
      <w:r w:rsidR="00635496">
        <w:t>he use of a lifetime time horizon.</w:t>
      </w:r>
      <w:r w:rsidR="007B7536">
        <w:t xml:space="preserve"> A shorter time horizon would significantly increase the ICER as noted above but the applicant’s pre-MSAC response contended that if a shorter</w:t>
      </w:r>
      <w:r w:rsidR="00422507">
        <w:t xml:space="preserve"> (15 year</w:t>
      </w:r>
      <w:r w:rsidR="00FC510E">
        <w:t>)</w:t>
      </w:r>
      <w:r w:rsidR="007B7536">
        <w:t xml:space="preserve"> time horizon </w:t>
      </w:r>
      <w:r w:rsidR="008A4707">
        <w:t xml:space="preserve">was used this would bias the results unfavourably against UAS </w:t>
      </w:r>
      <w:r w:rsidR="00422507">
        <w:t>if the assumption that devices needed battery replacement every 11 years was retained.</w:t>
      </w:r>
    </w:p>
    <w:p w14:paraId="64B5EDDD" w14:textId="189C33BD" w:rsidR="00422507" w:rsidRDefault="00EE472E" w:rsidP="00404D43">
      <w:pPr>
        <w:pStyle w:val="ListParagraph"/>
        <w:numPr>
          <w:ilvl w:val="0"/>
          <w:numId w:val="34"/>
        </w:numPr>
      </w:pPr>
      <w:r>
        <w:t>The assumptions that the effectiveness of UAS was maintained over a patient’s lifetime</w:t>
      </w:r>
      <w:r w:rsidR="00CA2FA2">
        <w:t xml:space="preserve"> while there were no improvements in health in the comparator arm</w:t>
      </w:r>
      <w:r w:rsidR="00FC510E">
        <w:t>.</w:t>
      </w:r>
      <w:r>
        <w:t xml:space="preserve"> </w:t>
      </w:r>
      <w:r w:rsidR="00FC510E">
        <w:t>In addition</w:t>
      </w:r>
      <w:r>
        <w:t xml:space="preserve"> </w:t>
      </w:r>
      <w:r w:rsidR="00E66910">
        <w:t>that improvements in surrogate outcomes from UAS would translate into improvements in cardiovascular outcomes were un</w:t>
      </w:r>
      <w:r w:rsidR="00FB7EC5">
        <w:t>supported by the published literature</w:t>
      </w:r>
      <w:r w:rsidR="00FC510E">
        <w:t>.</w:t>
      </w:r>
    </w:p>
    <w:p w14:paraId="3F51AB06" w14:textId="2490DBD4" w:rsidR="003A208E" w:rsidRDefault="003113EC" w:rsidP="004D2111">
      <w:pPr>
        <w:pStyle w:val="ListParagraph"/>
        <w:numPr>
          <w:ilvl w:val="0"/>
          <w:numId w:val="34"/>
        </w:numPr>
      </w:pPr>
      <w:r>
        <w:t>T</w:t>
      </w:r>
      <w:r w:rsidR="00FB7EC5">
        <w:t>he economic model did not account for non-responders (15</w:t>
      </w:r>
      <w:r w:rsidR="00F62F1F">
        <w:t>% of</w:t>
      </w:r>
      <w:r w:rsidR="00FB7EC5">
        <w:t> patients in the STAR trial)</w:t>
      </w:r>
      <w:r w:rsidR="00FC510E">
        <w:t>.</w:t>
      </w:r>
    </w:p>
    <w:p w14:paraId="3B1AEE01" w14:textId="77777777" w:rsidR="003A208E" w:rsidRDefault="003A208E" w:rsidP="003A208E">
      <w:r>
        <w:t xml:space="preserve">MSAC noted the financial and budgetary impacts, and agreed with the concerns raised by ESC and the commentary. MSAC noted that access to UAS would be severely limited based on the capacity of centres and trained surgeons to perform the procedure, which raises equity issues. </w:t>
      </w:r>
      <w:r>
        <w:lastRenderedPageBreak/>
        <w:t>MSAC noted that the commentary had estimated the total cost to the MBS over 6 years as $1,334,488, and the cost to the PL would be up to $6,096,000.</w:t>
      </w:r>
    </w:p>
    <w:p w14:paraId="13297AA0" w14:textId="7B4F7B32" w:rsidR="003A208E" w:rsidRDefault="003A208E" w:rsidP="003A208E">
      <w:r>
        <w:t>MSAC noted that there was no information about the outcomes that patients value from UAS and how any benefits compare to any safety issues they experience. Although this would be accounted for in the quality of life estimates using the</w:t>
      </w:r>
      <w:r w:rsidR="001C0D1B">
        <w:t xml:space="preserve"> </w:t>
      </w:r>
      <w:r w:rsidR="0084561E">
        <w:t>ESS</w:t>
      </w:r>
      <w:r>
        <w:t xml:space="preserve">, MSAC considered that this could be addressed with a more clearly defined patient population in which the potential benefits might outweigh the inferior safety aspects of UAS. </w:t>
      </w:r>
    </w:p>
    <w:p w14:paraId="395212EF" w14:textId="77777777" w:rsidR="003A208E" w:rsidRDefault="003A208E" w:rsidP="003A208E">
      <w:r>
        <w:t>MSAC clarified the following queries from the department:</w:t>
      </w:r>
    </w:p>
    <w:p w14:paraId="39C7A694" w14:textId="0E5CF3A0" w:rsidR="003A208E" w:rsidRDefault="003A208E" w:rsidP="003A208E">
      <w:pPr>
        <w:pStyle w:val="ListParagraph"/>
        <w:numPr>
          <w:ilvl w:val="0"/>
          <w:numId w:val="33"/>
        </w:numPr>
        <w:spacing w:before="0" w:after="0" w:line="240" w:lineRule="auto"/>
      </w:pPr>
      <w:r>
        <w:t xml:space="preserve">If </w:t>
      </w:r>
      <w:r w:rsidR="002600CD">
        <w:t xml:space="preserve">MBS funding of UAS were </w:t>
      </w:r>
      <w:r>
        <w:t>supported,</w:t>
      </w:r>
    </w:p>
    <w:p w14:paraId="1A50987D" w14:textId="34E6206D" w:rsidR="00076C4B" w:rsidRDefault="00D31AAE" w:rsidP="003A208E">
      <w:pPr>
        <w:pStyle w:val="ListParagraph"/>
        <w:numPr>
          <w:ilvl w:val="1"/>
          <w:numId w:val="33"/>
        </w:numPr>
        <w:spacing w:before="0" w:after="0" w:line="240" w:lineRule="auto"/>
      </w:pPr>
      <w:r>
        <w:t>a</w:t>
      </w:r>
      <w:r w:rsidR="006100D8">
        <w:t xml:space="preserve">n item should be included specifically for replacement of the battery in the device (to align with </w:t>
      </w:r>
      <w:r w:rsidR="00526FC3">
        <w:t>items for vagus nerve stimulation) to allow for tracking of battery life</w:t>
      </w:r>
    </w:p>
    <w:p w14:paraId="3B4E5DEC" w14:textId="57DED2FA" w:rsidR="003A208E" w:rsidRDefault="003A208E" w:rsidP="003A208E">
      <w:pPr>
        <w:pStyle w:val="ListParagraph"/>
        <w:numPr>
          <w:ilvl w:val="1"/>
          <w:numId w:val="33"/>
        </w:numPr>
        <w:spacing w:before="0" w:after="0" w:line="240" w:lineRule="auto"/>
      </w:pPr>
      <w:r>
        <w:t xml:space="preserve">an item </w:t>
      </w:r>
      <w:r w:rsidRPr="00CC1027">
        <w:t xml:space="preserve">should be included for repositioning or removal of the leads (to align with </w:t>
      </w:r>
      <w:r>
        <w:t>vagus</w:t>
      </w:r>
      <w:r w:rsidRPr="00CC1027">
        <w:t xml:space="preserve"> nerve stimulation item 40705 for repositioning or removal of the lead)</w:t>
      </w:r>
    </w:p>
    <w:p w14:paraId="4875FEA0" w14:textId="77777777" w:rsidR="003A208E" w:rsidRDefault="003A208E" w:rsidP="003A208E">
      <w:pPr>
        <w:pStyle w:val="ListParagraph"/>
        <w:numPr>
          <w:ilvl w:val="1"/>
          <w:numId w:val="33"/>
        </w:numPr>
        <w:spacing w:before="0" w:after="0" w:line="240" w:lineRule="auto"/>
      </w:pPr>
      <w:r>
        <w:t>surgical assistance (implantation) is required, but it remained unclear whether anaesthesia is required for device replacement</w:t>
      </w:r>
    </w:p>
    <w:p w14:paraId="71B61C6F" w14:textId="08BE68C3" w:rsidR="003A208E" w:rsidRDefault="003A208E" w:rsidP="003A208E">
      <w:pPr>
        <w:pStyle w:val="ListParagraph"/>
        <w:numPr>
          <w:ilvl w:val="1"/>
          <w:numId w:val="33"/>
        </w:numPr>
        <w:spacing w:before="0" w:after="0" w:line="240" w:lineRule="auto"/>
      </w:pPr>
      <w:r>
        <w:t>the device implantation item should be restricted to once per lifetime</w:t>
      </w:r>
      <w:r w:rsidR="0003637D">
        <w:t xml:space="preserve"> (but other items do not require this restriction)</w:t>
      </w:r>
    </w:p>
    <w:p w14:paraId="726DC622" w14:textId="77777777" w:rsidR="003A208E" w:rsidRDefault="003A208E" w:rsidP="003A208E">
      <w:pPr>
        <w:pStyle w:val="ListParagraph"/>
        <w:numPr>
          <w:ilvl w:val="1"/>
          <w:numId w:val="33"/>
        </w:numPr>
        <w:spacing w:before="0" w:after="0" w:line="240" w:lineRule="auto"/>
      </w:pPr>
      <w:r>
        <w:t>selected co-claiming restrictions are required</w:t>
      </w:r>
    </w:p>
    <w:p w14:paraId="7856F145" w14:textId="7B76B369" w:rsidR="003A208E" w:rsidRDefault="003A208E" w:rsidP="003A208E">
      <w:pPr>
        <w:pStyle w:val="ListParagraph"/>
        <w:numPr>
          <w:ilvl w:val="1"/>
          <w:numId w:val="33"/>
        </w:numPr>
        <w:spacing w:before="0" w:after="0" w:line="240" w:lineRule="auto"/>
      </w:pPr>
      <w:r>
        <w:t>the procedure would be a Type B procedure</w:t>
      </w:r>
    </w:p>
    <w:p w14:paraId="7BC848DD" w14:textId="302C7640" w:rsidR="003C4EF8" w:rsidRDefault="00565835" w:rsidP="003A208E">
      <w:pPr>
        <w:pStyle w:val="ListParagraph"/>
        <w:numPr>
          <w:ilvl w:val="1"/>
          <w:numId w:val="33"/>
        </w:numPr>
        <w:spacing w:before="0" w:after="0" w:line="240" w:lineRule="auto"/>
      </w:pPr>
      <w:r>
        <w:t xml:space="preserve">The </w:t>
      </w:r>
      <w:r w:rsidRPr="00565835">
        <w:t xml:space="preserve">required expertise and management with a multidisciplinary environment </w:t>
      </w:r>
      <w:r w:rsidR="00E83D0F">
        <w:t xml:space="preserve">should be </w:t>
      </w:r>
      <w:r w:rsidRPr="00565835">
        <w:t xml:space="preserve">addressed in the item descriptor </w:t>
      </w:r>
    </w:p>
    <w:p w14:paraId="3A72EC10" w14:textId="77777777" w:rsidR="003A208E" w:rsidRDefault="003A208E" w:rsidP="003A208E">
      <w:pPr>
        <w:keepNext/>
      </w:pPr>
      <w:r>
        <w:t>MSAC considered that any potential resubmission for UAS should address the following:</w:t>
      </w:r>
    </w:p>
    <w:p w14:paraId="65D6EF5C" w14:textId="1B232167" w:rsidR="003A208E" w:rsidRDefault="003A208E" w:rsidP="003A208E">
      <w:pPr>
        <w:pStyle w:val="ListParagraph"/>
        <w:numPr>
          <w:ilvl w:val="0"/>
          <w:numId w:val="32"/>
        </w:numPr>
        <w:spacing w:before="0" w:after="0" w:line="240" w:lineRule="auto"/>
      </w:pPr>
      <w:r>
        <w:t>safety – address the uncertainties regarding long-term safety</w:t>
      </w:r>
      <w:r w:rsidR="00E21948">
        <w:t>.</w:t>
      </w:r>
    </w:p>
    <w:p w14:paraId="01A99C8E" w14:textId="2DC53F4A" w:rsidR="003A208E" w:rsidRDefault="003A208E" w:rsidP="003A208E">
      <w:pPr>
        <w:pStyle w:val="ListParagraph"/>
        <w:numPr>
          <w:ilvl w:val="0"/>
          <w:numId w:val="32"/>
        </w:numPr>
        <w:spacing w:before="0" w:after="0" w:line="240" w:lineRule="auto"/>
      </w:pPr>
      <w:r>
        <w:t>effectiveness – ensure the evidence base is complete and up to date, provide clarity regarding the use of DISE as a prior test in the Australian context, and clearly identify a subpopulation of patients for whom UAS might be appropriate</w:t>
      </w:r>
      <w:r w:rsidR="00E21948">
        <w:t>.</w:t>
      </w:r>
    </w:p>
    <w:p w14:paraId="62E797ED" w14:textId="0319CFAE" w:rsidR="003A208E" w:rsidRDefault="003A208E" w:rsidP="003A208E">
      <w:pPr>
        <w:pStyle w:val="ListParagraph"/>
        <w:numPr>
          <w:ilvl w:val="0"/>
          <w:numId w:val="32"/>
        </w:numPr>
        <w:spacing w:before="0" w:after="0" w:line="240" w:lineRule="auto"/>
      </w:pPr>
      <w:r>
        <w:t>cost-effectiveness – address uncertainties regarding the time horizon, device/battery replacement, non-responders, DISE costs and out-of-pocket costs for patients</w:t>
      </w:r>
      <w:r w:rsidR="00E21948">
        <w:t>.</w:t>
      </w:r>
    </w:p>
    <w:p w14:paraId="69BC3C9B" w14:textId="1040F8DE" w:rsidR="003A208E" w:rsidRDefault="003A208E" w:rsidP="003A208E">
      <w:pPr>
        <w:pStyle w:val="ListParagraph"/>
        <w:numPr>
          <w:ilvl w:val="0"/>
          <w:numId w:val="32"/>
        </w:numPr>
        <w:spacing w:before="0" w:after="0" w:line="240" w:lineRule="auto"/>
      </w:pPr>
      <w:r>
        <w:t>financial and budgetary impact – align the device cost with other devices in the same subcategory on the PL (such as vagus nerve stimulation), and address uncertainties regarding the risk of leakage to a broader population</w:t>
      </w:r>
      <w:r w:rsidR="00E21948">
        <w:t>.</w:t>
      </w:r>
    </w:p>
    <w:p w14:paraId="756E05FC" w14:textId="77777777" w:rsidR="003A208E" w:rsidRDefault="003A208E" w:rsidP="003A208E">
      <w:pPr>
        <w:pStyle w:val="ListParagraph"/>
        <w:numPr>
          <w:ilvl w:val="0"/>
          <w:numId w:val="32"/>
        </w:numPr>
        <w:spacing w:before="0" w:after="0" w:line="240" w:lineRule="auto"/>
      </w:pPr>
      <w:r>
        <w:t>item descriptor – further clarify the eligible population to minimise the risk of leakage.</w:t>
      </w:r>
    </w:p>
    <w:p w14:paraId="6710B69D" w14:textId="0C0A9E67" w:rsidR="00772829" w:rsidRPr="00CE28E3" w:rsidRDefault="00037D7D" w:rsidP="002A18BE">
      <w:pPr>
        <w:pStyle w:val="Heading2"/>
        <w:numPr>
          <w:ilvl w:val="0"/>
          <w:numId w:val="0"/>
        </w:numPr>
      </w:pPr>
      <w:r>
        <w:t>4</w:t>
      </w:r>
      <w:r w:rsidR="00C36633">
        <w:t>.</w:t>
      </w:r>
      <w:r w:rsidR="00C36633">
        <w:tab/>
      </w:r>
      <w:r w:rsidR="00772829" w:rsidRPr="00CE28E3">
        <w:t>Background</w:t>
      </w:r>
      <w:bookmarkEnd w:id="2"/>
    </w:p>
    <w:p w14:paraId="6119BD93" w14:textId="29D733F5" w:rsidR="007C27DB" w:rsidRDefault="0025026D" w:rsidP="007C27DB">
      <w:bookmarkStart w:id="3" w:name="_Hlk69734494"/>
      <w:r>
        <w:t>This is a resubmission, a</w:t>
      </w:r>
      <w:r w:rsidR="007C27DB" w:rsidRPr="001E50E9">
        <w:t>n applicant</w:t>
      </w:r>
      <w:r w:rsidR="001604EF">
        <w:t xml:space="preserve"> </w:t>
      </w:r>
      <w:r w:rsidR="007C27DB" w:rsidRPr="001E50E9">
        <w:t xml:space="preserve">developed assessment report (ADAR) for closed loop </w:t>
      </w:r>
      <w:r w:rsidR="00FB05EB">
        <w:t>UAS</w:t>
      </w:r>
      <w:r w:rsidR="007C27DB" w:rsidRPr="001E50E9">
        <w:t xml:space="preserve"> for the treatment of moderate to severe OS</w:t>
      </w:r>
      <w:r>
        <w:t>A</w:t>
      </w:r>
      <w:r w:rsidR="007C27DB" w:rsidRPr="001E50E9">
        <w:t xml:space="preserve"> was considered by MSAC in November 2020 (Application 1595).</w:t>
      </w:r>
      <w:r w:rsidR="007C27DB" w:rsidRPr="007C27DB">
        <w:t xml:space="preserve"> </w:t>
      </w:r>
      <w:r w:rsidR="007C27DB">
        <w:t>MSAC did not recommend publicly funding closed loop UAS.</w:t>
      </w:r>
    </w:p>
    <w:p w14:paraId="0E700EBE" w14:textId="5AF5E184" w:rsidR="00BB23D4" w:rsidRDefault="00BB23D4" w:rsidP="007C27DB">
      <w:r>
        <w:t xml:space="preserve">MSAC Application 1630 is for hypoglossal nerve stimulation using the Geno System for the treatment of moderate to severe </w:t>
      </w:r>
      <w:r w:rsidR="00FB05EB">
        <w:t>OSA</w:t>
      </w:r>
      <w:r>
        <w:t xml:space="preserve"> in patients who have failed or are intolerant to </w:t>
      </w:r>
      <w:r w:rsidR="00FB05EB">
        <w:t>CPAP</w:t>
      </w:r>
      <w:r>
        <w:t xml:space="preserve">. The application is expedited, bypassing PASC. A third system, </w:t>
      </w:r>
      <w:r w:rsidRPr="00C2183D">
        <w:t>LivaNova THN Sleep Therapy system</w:t>
      </w:r>
      <w:r>
        <w:t xml:space="preserve"> is currently in clinical trials. Although these systems are both UAS systems, neither are ‘closed loop’ defined by the respiratory sensing lead.</w:t>
      </w:r>
    </w:p>
    <w:p w14:paraId="4A6B618C" w14:textId="5D3583B6" w:rsidR="00BB23D4" w:rsidRDefault="00BB23D4" w:rsidP="007C27DB">
      <w:r>
        <w:t xml:space="preserve">The PICO Confirmation for MSAC application 1595.1 was considered by the PICO Confirmation Advisory Sub-Committee (PASC) at their meeting in August 2021. Key issues raised by MSAC and </w:t>
      </w:r>
      <w:r w:rsidR="006F0DE5">
        <w:t xml:space="preserve">the </w:t>
      </w:r>
      <w:r w:rsidR="006F0DE5" w:rsidRPr="0001102F">
        <w:t>Evaluation Sub-Committee</w:t>
      </w:r>
      <w:r w:rsidR="006F0DE5">
        <w:t xml:space="preserve"> (</w:t>
      </w:r>
      <w:r>
        <w:t>ESC</w:t>
      </w:r>
      <w:r w:rsidR="006F0DE5">
        <w:t>)</w:t>
      </w:r>
      <w:r>
        <w:t xml:space="preserve">, following the assessment of Application 1595, and </w:t>
      </w:r>
      <w:r w:rsidR="00275EF3">
        <w:t>those raised by PASC considering the resubmission are outlined in</w:t>
      </w:r>
      <w:r w:rsidR="00242E01">
        <w:t xml:space="preserve"> Table 2</w:t>
      </w:r>
      <w:r w:rsidR="00275EF3">
        <w:t>.</w:t>
      </w:r>
    </w:p>
    <w:p w14:paraId="6EC12EDF" w14:textId="690AC9B0" w:rsidR="0068682C" w:rsidRPr="00CE28E3" w:rsidRDefault="0068682C" w:rsidP="0068682C">
      <w:pPr>
        <w:pStyle w:val="Caption"/>
      </w:pPr>
      <w:bookmarkStart w:id="4" w:name="_Ref69480768"/>
      <w:bookmarkStart w:id="5" w:name="_Hlk69734557"/>
      <w:bookmarkEnd w:id="3"/>
      <w:r w:rsidRPr="00CE28E3">
        <w:lastRenderedPageBreak/>
        <w:t>Table</w:t>
      </w:r>
      <w:r w:rsidR="004A4FDF">
        <w:t> </w:t>
      </w:r>
      <w:r w:rsidR="00242E01">
        <w:t>2</w:t>
      </w:r>
      <w:bookmarkEnd w:id="4"/>
      <w:r w:rsidRPr="00CE28E3">
        <w:tab/>
        <w:t>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key matters of concern"/>
        <w:tblDescription w:val="Summarises the concerns of the ESC, MSAC and PASC and how the current assessment report addresses these"/>
      </w:tblPr>
      <w:tblGrid>
        <w:gridCol w:w="2998"/>
        <w:gridCol w:w="2990"/>
        <w:gridCol w:w="3028"/>
      </w:tblGrid>
      <w:tr w:rsidR="00F57885" w:rsidRPr="00CE28E3" w14:paraId="2BDCC27B" w14:textId="77777777" w:rsidTr="009A06F4">
        <w:trPr>
          <w:cantSplit/>
          <w:tblHeader/>
        </w:trPr>
        <w:tc>
          <w:tcPr>
            <w:tcW w:w="1663" w:type="pct"/>
            <w:shd w:val="clear" w:color="auto" w:fill="auto"/>
          </w:tcPr>
          <w:p w14:paraId="58F6A808" w14:textId="77777777" w:rsidR="00F57885" w:rsidRPr="00CE28E3" w:rsidRDefault="00F57885" w:rsidP="00824458">
            <w:pPr>
              <w:pStyle w:val="In-tableHeading"/>
            </w:pPr>
            <w:bookmarkStart w:id="6" w:name="ColumnTitle_Table1"/>
            <w:bookmarkStart w:id="7" w:name="_Hlk68275590"/>
            <w:bookmarkEnd w:id="6"/>
            <w:r w:rsidRPr="00CE28E3">
              <w:t>Component</w:t>
            </w:r>
          </w:p>
        </w:tc>
        <w:tc>
          <w:tcPr>
            <w:tcW w:w="1658" w:type="pct"/>
            <w:shd w:val="clear" w:color="auto" w:fill="auto"/>
          </w:tcPr>
          <w:p w14:paraId="09992FB9" w14:textId="77777777" w:rsidR="00F57885" w:rsidRPr="00CE28E3" w:rsidRDefault="00F57885" w:rsidP="00824458">
            <w:pPr>
              <w:pStyle w:val="In-tableHeading"/>
            </w:pPr>
            <w:r w:rsidRPr="00CE28E3">
              <w:t>Matter of concern</w:t>
            </w:r>
          </w:p>
        </w:tc>
        <w:tc>
          <w:tcPr>
            <w:tcW w:w="1679" w:type="pct"/>
            <w:shd w:val="clear" w:color="auto" w:fill="auto"/>
          </w:tcPr>
          <w:p w14:paraId="54C88680" w14:textId="77777777" w:rsidR="00F57885" w:rsidRPr="00CE28E3" w:rsidRDefault="00F57885" w:rsidP="00824458">
            <w:pPr>
              <w:pStyle w:val="In-tableHeading"/>
            </w:pPr>
            <w:r w:rsidRPr="00CE28E3">
              <w:t>How the current assessment report addresses it</w:t>
            </w:r>
          </w:p>
        </w:tc>
      </w:tr>
      <w:tr w:rsidR="00F57885" w:rsidRPr="00CE28E3" w14:paraId="0D0A7682" w14:textId="77777777" w:rsidTr="009A06F4">
        <w:trPr>
          <w:cantSplit/>
        </w:trPr>
        <w:tc>
          <w:tcPr>
            <w:tcW w:w="1663" w:type="pct"/>
          </w:tcPr>
          <w:p w14:paraId="4F1DA453" w14:textId="798F703B" w:rsidR="00F57885" w:rsidRPr="00CE28E3" w:rsidRDefault="00BB23D4" w:rsidP="00824458">
            <w:pPr>
              <w:pStyle w:val="TableText"/>
            </w:pPr>
            <w:r w:rsidRPr="001B4E2C">
              <w:rPr>
                <w:szCs w:val="20"/>
              </w:rPr>
              <w:t>Item descriptor</w:t>
            </w:r>
          </w:p>
        </w:tc>
        <w:tc>
          <w:tcPr>
            <w:tcW w:w="1658" w:type="pct"/>
          </w:tcPr>
          <w:p w14:paraId="2502C1C6" w14:textId="77777777" w:rsidR="00BB23D4" w:rsidRDefault="00BB23D4" w:rsidP="00BB23D4">
            <w:pPr>
              <w:rPr>
                <w:rFonts w:ascii="Arial Narrow" w:hAnsi="Arial Narrow"/>
                <w:sz w:val="20"/>
                <w:szCs w:val="20"/>
              </w:rPr>
            </w:pPr>
            <w:r w:rsidRPr="001B4E2C">
              <w:rPr>
                <w:rFonts w:ascii="Arial Narrow" w:hAnsi="Arial Narrow"/>
                <w:sz w:val="20"/>
                <w:szCs w:val="20"/>
              </w:rPr>
              <w:t>ESC considered that for the MBS item descriptor:</w:t>
            </w:r>
          </w:p>
          <w:p w14:paraId="75D08133" w14:textId="14EC0900" w:rsidR="00BB23D4" w:rsidRPr="00BB23D4" w:rsidRDefault="00BB23D4" w:rsidP="000478CD">
            <w:pPr>
              <w:pStyle w:val="ListParagraph"/>
              <w:numPr>
                <w:ilvl w:val="0"/>
                <w:numId w:val="12"/>
              </w:numPr>
              <w:rPr>
                <w:rFonts w:ascii="Arial Narrow" w:hAnsi="Arial Narrow"/>
                <w:sz w:val="20"/>
                <w:szCs w:val="20"/>
              </w:rPr>
            </w:pPr>
            <w:r w:rsidRPr="00BB23D4">
              <w:rPr>
                <w:rFonts w:ascii="Arial Narrow" w:hAnsi="Arial Narrow"/>
                <w:sz w:val="20"/>
                <w:szCs w:val="20"/>
              </w:rPr>
              <w:t>CPAP failure and lack of tolerance to CPAP should be defined.</w:t>
            </w:r>
          </w:p>
          <w:p w14:paraId="42D65CB6" w14:textId="0AE6A0C0" w:rsidR="00BB23D4" w:rsidRDefault="00BB23D4" w:rsidP="000478CD">
            <w:pPr>
              <w:pStyle w:val="ListParagraph"/>
              <w:numPr>
                <w:ilvl w:val="0"/>
                <w:numId w:val="12"/>
              </w:numPr>
              <w:rPr>
                <w:rFonts w:ascii="Arial Narrow" w:hAnsi="Arial Narrow"/>
                <w:sz w:val="20"/>
                <w:szCs w:val="20"/>
              </w:rPr>
            </w:pPr>
            <w:r w:rsidRPr="00BB23D4">
              <w:rPr>
                <w:rFonts w:ascii="Arial Narrow" w:hAnsi="Arial Narrow"/>
                <w:sz w:val="20"/>
                <w:szCs w:val="20"/>
              </w:rPr>
              <w:t>Once per lifetime per patient was appropriate for surgical repositioning or removal of the device, but not for replacement of the device.</w:t>
            </w:r>
          </w:p>
          <w:p w14:paraId="6898D62C" w14:textId="26E0C19B" w:rsidR="00F57885" w:rsidRPr="00BB23D4" w:rsidRDefault="00BB23D4" w:rsidP="000478CD">
            <w:pPr>
              <w:pStyle w:val="ListParagraph"/>
              <w:numPr>
                <w:ilvl w:val="0"/>
                <w:numId w:val="12"/>
              </w:numPr>
              <w:rPr>
                <w:rFonts w:ascii="Arial Narrow" w:hAnsi="Arial Narrow"/>
                <w:sz w:val="20"/>
                <w:szCs w:val="20"/>
              </w:rPr>
            </w:pPr>
            <w:r w:rsidRPr="00BB23D4">
              <w:rPr>
                <w:rFonts w:ascii="Arial Narrow" w:hAnsi="Arial Narrow"/>
                <w:sz w:val="20"/>
                <w:szCs w:val="20"/>
              </w:rPr>
              <w:t>Unnecessary patient descriptions should be removed from the descriptors for repositioning or removal, and replacement</w:t>
            </w:r>
            <w:r>
              <w:rPr>
                <w:rFonts w:ascii="Arial Narrow" w:hAnsi="Arial Narrow"/>
                <w:sz w:val="20"/>
                <w:szCs w:val="20"/>
              </w:rPr>
              <w:t>.</w:t>
            </w:r>
            <w:r w:rsidR="00275EF3">
              <w:rPr>
                <w:rFonts w:ascii="Arial Narrow" w:hAnsi="Arial Narrow"/>
                <w:sz w:val="20"/>
                <w:szCs w:val="20"/>
              </w:rPr>
              <w:t xml:space="preserve"> (PSD, p.</w:t>
            </w:r>
            <w:r w:rsidR="00C102DA">
              <w:rPr>
                <w:rFonts w:ascii="Arial Narrow" w:hAnsi="Arial Narrow"/>
                <w:sz w:val="20"/>
                <w:szCs w:val="20"/>
              </w:rPr>
              <w:t>24).</w:t>
            </w:r>
          </w:p>
          <w:p w14:paraId="73FB72BD" w14:textId="315D47A1" w:rsidR="00BB23D4" w:rsidRDefault="00BB23D4" w:rsidP="00BB23D4">
            <w:pPr>
              <w:pStyle w:val="TableText"/>
              <w:rPr>
                <w:szCs w:val="20"/>
              </w:rPr>
            </w:pPr>
            <w:r w:rsidRPr="00BB23D4">
              <w:rPr>
                <w:szCs w:val="20"/>
              </w:rPr>
              <w:t>PASC requested:</w:t>
            </w:r>
          </w:p>
          <w:p w14:paraId="6291B9C9" w14:textId="1B135A36" w:rsidR="00275EF3" w:rsidRPr="00BB23D4" w:rsidRDefault="00C102DA" w:rsidP="000478CD">
            <w:pPr>
              <w:pStyle w:val="TableText"/>
              <w:numPr>
                <w:ilvl w:val="0"/>
                <w:numId w:val="14"/>
              </w:numPr>
              <w:rPr>
                <w:szCs w:val="20"/>
              </w:rPr>
            </w:pPr>
            <w:r>
              <w:rPr>
                <w:szCs w:val="20"/>
              </w:rPr>
              <w:t>T</w:t>
            </w:r>
            <w:r w:rsidR="00275EF3" w:rsidRPr="00275EF3">
              <w:rPr>
                <w:szCs w:val="20"/>
              </w:rPr>
              <w:t>hat surgical repositioning or removal be only once per lifetime, instead of once per patient as stated in the proposed item descriptor.</w:t>
            </w:r>
            <w:r w:rsidR="00275EF3">
              <w:rPr>
                <w:szCs w:val="20"/>
              </w:rPr>
              <w:t xml:space="preserve"> (PICO Confirmation, p.</w:t>
            </w:r>
            <w:r>
              <w:rPr>
                <w:szCs w:val="20"/>
              </w:rPr>
              <w:t>17).</w:t>
            </w:r>
          </w:p>
          <w:p w14:paraId="3F35F478" w14:textId="113703FF" w:rsidR="00BB23D4" w:rsidRPr="00D1431C" w:rsidRDefault="00BB23D4" w:rsidP="000478CD">
            <w:pPr>
              <w:pStyle w:val="TableText"/>
              <w:numPr>
                <w:ilvl w:val="0"/>
                <w:numId w:val="13"/>
              </w:numPr>
              <w:rPr>
                <w:szCs w:val="20"/>
              </w:rPr>
            </w:pPr>
            <w:r w:rsidRPr="00BB23D4">
              <w:rPr>
                <w:szCs w:val="20"/>
              </w:rPr>
              <w:t>The addition of an MBS explanatory note that identified the required expertise and management within a multidisciplinary environment</w:t>
            </w:r>
            <w:r w:rsidR="00D1431C">
              <w:rPr>
                <w:szCs w:val="20"/>
              </w:rPr>
              <w:t xml:space="preserve"> (PICO Confirmation, p.18).</w:t>
            </w:r>
          </w:p>
        </w:tc>
        <w:tc>
          <w:tcPr>
            <w:tcW w:w="1679" w:type="pct"/>
          </w:tcPr>
          <w:p w14:paraId="6D761CCF" w14:textId="77777777" w:rsidR="00BB23D4" w:rsidRDefault="00F57885" w:rsidP="00824458">
            <w:pPr>
              <w:pStyle w:val="TableText"/>
            </w:pPr>
            <w:r w:rsidRPr="00BC4972">
              <w:t>Not adequately addressed</w:t>
            </w:r>
          </w:p>
          <w:p w14:paraId="7ACEE5EA" w14:textId="77777777" w:rsidR="00275EF3" w:rsidRDefault="00BB23D4" w:rsidP="00BB23D4">
            <w:pPr>
              <w:pStyle w:val="TableText"/>
            </w:pPr>
            <w:r w:rsidRPr="00BB23D4">
              <w:t>The ESC requests are addressed</w:t>
            </w:r>
            <w:r>
              <w:t xml:space="preserve"> in a revised item descriptor approved by PASC. </w:t>
            </w:r>
          </w:p>
          <w:p w14:paraId="2C8CC804" w14:textId="54D361A5" w:rsidR="00D1431C" w:rsidRDefault="00BB23D4" w:rsidP="00BB23D4">
            <w:pPr>
              <w:pStyle w:val="TableText"/>
            </w:pPr>
            <w:r>
              <w:t>T</w:t>
            </w:r>
            <w:r w:rsidR="00D1431C">
              <w:t>he change to ‘once per lifetime’ has been made.</w:t>
            </w:r>
            <w:r w:rsidR="00063508">
              <w:t xml:space="preserve"> </w:t>
            </w:r>
          </w:p>
          <w:p w14:paraId="13F08427" w14:textId="2D856002" w:rsidR="00F57885" w:rsidRPr="00BB23D4" w:rsidRDefault="00D1431C" w:rsidP="00BB23D4">
            <w:pPr>
              <w:pStyle w:val="TableText"/>
            </w:pPr>
            <w:r>
              <w:t>An explanatory note has not been included or discussed.</w:t>
            </w:r>
            <w:r w:rsidR="00BB23D4">
              <w:t xml:space="preserve"> </w:t>
            </w:r>
          </w:p>
        </w:tc>
      </w:tr>
      <w:tr w:rsidR="00F57885" w:rsidRPr="00CE28E3" w14:paraId="4C3B6A2C" w14:textId="77777777" w:rsidTr="009A06F4">
        <w:trPr>
          <w:cantSplit/>
        </w:trPr>
        <w:tc>
          <w:tcPr>
            <w:tcW w:w="1663" w:type="pct"/>
          </w:tcPr>
          <w:p w14:paraId="3ADC1FC4" w14:textId="520858FD" w:rsidR="00F57885" w:rsidRPr="00CE28E3" w:rsidRDefault="00275EF3" w:rsidP="00824458">
            <w:pPr>
              <w:pStyle w:val="TableText"/>
            </w:pPr>
            <w:r>
              <w:t xml:space="preserve">Use of </w:t>
            </w:r>
            <w:r w:rsidR="00E3365A">
              <w:t>DISE</w:t>
            </w:r>
            <w:r>
              <w:t xml:space="preserve"> as a prior test</w:t>
            </w:r>
          </w:p>
        </w:tc>
        <w:tc>
          <w:tcPr>
            <w:tcW w:w="1658" w:type="pct"/>
          </w:tcPr>
          <w:p w14:paraId="792386CA" w14:textId="72C76917" w:rsidR="00FB7902" w:rsidRPr="00FB7902" w:rsidRDefault="00FB7902" w:rsidP="00FB7902">
            <w:pPr>
              <w:pStyle w:val="TableText"/>
              <w:rPr>
                <w:szCs w:val="20"/>
              </w:rPr>
            </w:pPr>
            <w:r w:rsidRPr="00FB7902">
              <w:rPr>
                <w:szCs w:val="20"/>
              </w:rPr>
              <w:t>p2</w:t>
            </w:r>
            <w:r w:rsidR="00576244">
              <w:rPr>
                <w:szCs w:val="20"/>
              </w:rPr>
              <w:t>4</w:t>
            </w:r>
            <w:r w:rsidRPr="00FB7902">
              <w:rPr>
                <w:szCs w:val="20"/>
              </w:rPr>
              <w:t xml:space="preserve"> of the PSD: ESC noted that DISE is not a well</w:t>
            </w:r>
            <w:r w:rsidR="00B95C8A">
              <w:rPr>
                <w:szCs w:val="20"/>
              </w:rPr>
              <w:t xml:space="preserve"> </w:t>
            </w:r>
            <w:r w:rsidRPr="00FB7902">
              <w:rPr>
                <w:szCs w:val="20"/>
              </w:rPr>
              <w:t>described test, and</w:t>
            </w:r>
            <w:r>
              <w:rPr>
                <w:szCs w:val="20"/>
              </w:rPr>
              <w:t xml:space="preserve"> </w:t>
            </w:r>
            <w:r w:rsidRPr="00FB7902">
              <w:rPr>
                <w:szCs w:val="20"/>
              </w:rPr>
              <w:t>current funding for, and utilisation of, DISE are</w:t>
            </w:r>
            <w:r>
              <w:rPr>
                <w:szCs w:val="20"/>
              </w:rPr>
              <w:t xml:space="preserve"> </w:t>
            </w:r>
            <w:r w:rsidRPr="00FB7902">
              <w:rPr>
                <w:szCs w:val="20"/>
              </w:rPr>
              <w:t>uncertain.</w:t>
            </w:r>
          </w:p>
          <w:p w14:paraId="29BB6916" w14:textId="227087DC" w:rsidR="00F57885" w:rsidRPr="00FB7902" w:rsidRDefault="00FB7902" w:rsidP="00FB7902">
            <w:pPr>
              <w:pStyle w:val="TableText"/>
              <w:rPr>
                <w:szCs w:val="20"/>
              </w:rPr>
            </w:pPr>
            <w:r w:rsidRPr="00FB7902">
              <w:rPr>
                <w:szCs w:val="20"/>
              </w:rPr>
              <w:t>Table 1 of the PSD: MSAC advised that the</w:t>
            </w:r>
            <w:r>
              <w:rPr>
                <w:szCs w:val="20"/>
              </w:rPr>
              <w:t xml:space="preserve"> </w:t>
            </w:r>
            <w:r w:rsidRPr="00FB7902">
              <w:rPr>
                <w:szCs w:val="20"/>
              </w:rPr>
              <w:t>uncertainty regarding the use of DISE as raised by</w:t>
            </w:r>
            <w:r>
              <w:rPr>
                <w:szCs w:val="20"/>
              </w:rPr>
              <w:t xml:space="preserve"> </w:t>
            </w:r>
            <w:r w:rsidRPr="00FB7902">
              <w:rPr>
                <w:szCs w:val="20"/>
              </w:rPr>
              <w:t>ESC should be addressed in a resubmission.</w:t>
            </w:r>
          </w:p>
        </w:tc>
        <w:tc>
          <w:tcPr>
            <w:tcW w:w="1679" w:type="pct"/>
          </w:tcPr>
          <w:p w14:paraId="1D829C89" w14:textId="77777777" w:rsidR="00FB7902" w:rsidRDefault="00FB7902" w:rsidP="00FB7902">
            <w:pPr>
              <w:pStyle w:val="TableText"/>
            </w:pPr>
            <w:r w:rsidRPr="00BC4972">
              <w:t>Not adequately addressed</w:t>
            </w:r>
          </w:p>
          <w:p w14:paraId="7CE9FC1D" w14:textId="238C86D0" w:rsidR="00905ECE" w:rsidRDefault="00FB7902" w:rsidP="00824458">
            <w:pPr>
              <w:pStyle w:val="TableText"/>
            </w:pPr>
            <w:r>
              <w:t xml:space="preserve">The ADAR describes scenarios where DISE is used but they are not referenced, and no source is acknowledged. </w:t>
            </w:r>
            <w:r w:rsidR="00905ECE">
              <w:t xml:space="preserve">However the </w:t>
            </w:r>
            <w:r w:rsidR="008333F0">
              <w:t xml:space="preserve">applicant’s </w:t>
            </w:r>
            <w:r w:rsidR="00905ECE">
              <w:t xml:space="preserve">pre-ESC response notes that the ADAR </w:t>
            </w:r>
            <w:r w:rsidR="00905ECE" w:rsidRPr="00905ECE">
              <w:t>has referenced the Australasian Sleep Association position statement on surgical management which lists sleep nas</w:t>
            </w:r>
            <w:r w:rsidR="005A4D9A">
              <w:t>o</w:t>
            </w:r>
            <w:r w:rsidR="00905ECE" w:rsidRPr="00905ECE">
              <w:t>endoscopy as an optional investigation of OSA</w:t>
            </w:r>
            <w:r w:rsidR="00905ECE">
              <w:t>.</w:t>
            </w:r>
          </w:p>
          <w:p w14:paraId="5A88358F" w14:textId="77777777" w:rsidR="00905ECE" w:rsidRDefault="00905ECE" w:rsidP="00824458">
            <w:pPr>
              <w:pStyle w:val="TableText"/>
            </w:pPr>
          </w:p>
          <w:p w14:paraId="15BB4464" w14:textId="3779E663" w:rsidR="00F57885" w:rsidRPr="00CE28E3" w:rsidRDefault="00FB7902" w:rsidP="00824458">
            <w:pPr>
              <w:pStyle w:val="TableText"/>
              <w:rPr>
                <w:rFonts w:eastAsia="Times New Roman" w:cs="Arial"/>
                <w:bCs/>
                <w:snapToGrid w:val="0"/>
                <w:szCs w:val="20"/>
              </w:rPr>
            </w:pPr>
            <w:r>
              <w:t xml:space="preserve">The ADAR does not provide any additional information on the </w:t>
            </w:r>
            <w:r w:rsidR="00056B21">
              <w:t xml:space="preserve">current and proposed </w:t>
            </w:r>
            <w:r>
              <w:t xml:space="preserve">role of DISE </w:t>
            </w:r>
            <w:r w:rsidR="00056B21">
              <w:t>although it is included in the clinical algorithm</w:t>
            </w:r>
            <w:r>
              <w:t>.</w:t>
            </w:r>
            <w:r w:rsidR="00905ECE">
              <w:t xml:space="preserve"> </w:t>
            </w:r>
          </w:p>
        </w:tc>
      </w:tr>
      <w:tr w:rsidR="00F57885" w:rsidRPr="00CE28E3" w14:paraId="3B9AD9C3" w14:textId="77777777" w:rsidTr="009A06F4">
        <w:trPr>
          <w:cantSplit/>
        </w:trPr>
        <w:tc>
          <w:tcPr>
            <w:tcW w:w="1663" w:type="pct"/>
          </w:tcPr>
          <w:p w14:paraId="23382853" w14:textId="2E94EF87" w:rsidR="00F57885" w:rsidRPr="00CE28E3" w:rsidRDefault="00576244" w:rsidP="00824458">
            <w:pPr>
              <w:pStyle w:val="TableText"/>
            </w:pPr>
            <w:r w:rsidRPr="0075347E">
              <w:rPr>
                <w:szCs w:val="20"/>
              </w:rPr>
              <w:lastRenderedPageBreak/>
              <w:t>Population and clinical place</w:t>
            </w:r>
          </w:p>
        </w:tc>
        <w:tc>
          <w:tcPr>
            <w:tcW w:w="1658" w:type="pct"/>
          </w:tcPr>
          <w:p w14:paraId="3C6FBFDC" w14:textId="034F7D95" w:rsidR="00F57885" w:rsidRPr="00CE28E3" w:rsidRDefault="00576244" w:rsidP="00576244">
            <w:pPr>
              <w:pStyle w:val="TableText"/>
            </w:pPr>
            <w:r>
              <w:t>Table 1 of the PSD: MSAC advised there may be a subpopulation of patients who have failed all other medical management options where UAS therapy may be appropriate. The resubmission would need to define this subpopulation using the appropriate eligibility criteria.</w:t>
            </w:r>
          </w:p>
        </w:tc>
        <w:tc>
          <w:tcPr>
            <w:tcW w:w="1679" w:type="pct"/>
          </w:tcPr>
          <w:p w14:paraId="35BCFAA9" w14:textId="77777777" w:rsidR="00F57885" w:rsidRDefault="00576244" w:rsidP="00824458">
            <w:pPr>
              <w:pStyle w:val="TableText"/>
            </w:pPr>
            <w:r>
              <w:rPr>
                <w:rFonts w:eastAsia="Times New Roman" w:cs="Arial"/>
                <w:snapToGrid w:val="0"/>
                <w:szCs w:val="20"/>
              </w:rPr>
              <w:t>Not adequately a</w:t>
            </w:r>
            <w:r w:rsidR="00F57885" w:rsidRPr="00CE28E3">
              <w:rPr>
                <w:rFonts w:eastAsia="Times New Roman" w:cs="Arial"/>
                <w:snapToGrid w:val="0"/>
                <w:szCs w:val="20"/>
              </w:rPr>
              <w:t xml:space="preserve">ddressed. </w:t>
            </w:r>
            <w:r w:rsidR="00F57885" w:rsidRPr="00CE28E3">
              <w:rPr>
                <w:rFonts w:eastAsia="Times New Roman" w:cs="Arial"/>
                <w:snapToGrid w:val="0"/>
                <w:szCs w:val="20"/>
              </w:rPr>
              <w:br/>
            </w:r>
            <w:r>
              <w:t>No active treatment or care remains poorly defined. In particular, the role of upper airway surgery is not described and not included in the clinical management algorithms.</w:t>
            </w:r>
          </w:p>
          <w:p w14:paraId="26202E3E" w14:textId="2DE8E9CE" w:rsidR="00E801E8" w:rsidRPr="00CE28E3" w:rsidRDefault="00E801E8" w:rsidP="00824458">
            <w:pPr>
              <w:pStyle w:val="TableText"/>
              <w:rPr>
                <w:rFonts w:eastAsia="Times New Roman" w:cs="Arial"/>
                <w:bCs/>
                <w:snapToGrid w:val="0"/>
                <w:szCs w:val="20"/>
              </w:rPr>
            </w:pPr>
            <w:r>
              <w:t>A specific subpopulation of patients who have failed other options and is eligible for UAS has not been clearly defined.</w:t>
            </w:r>
          </w:p>
        </w:tc>
      </w:tr>
      <w:tr w:rsidR="00576244" w:rsidRPr="00CE28E3" w14:paraId="778168E0" w14:textId="77777777" w:rsidTr="009A06F4">
        <w:trPr>
          <w:cantSplit/>
        </w:trPr>
        <w:tc>
          <w:tcPr>
            <w:tcW w:w="1663" w:type="pct"/>
          </w:tcPr>
          <w:p w14:paraId="64BE535A" w14:textId="4308C99D" w:rsidR="00576244" w:rsidRPr="0075347E" w:rsidRDefault="00576244" w:rsidP="00824458">
            <w:pPr>
              <w:pStyle w:val="TableText"/>
              <w:rPr>
                <w:szCs w:val="20"/>
              </w:rPr>
            </w:pPr>
            <w:r>
              <w:rPr>
                <w:szCs w:val="20"/>
              </w:rPr>
              <w:t>Clinical evidence</w:t>
            </w:r>
          </w:p>
        </w:tc>
        <w:tc>
          <w:tcPr>
            <w:tcW w:w="1658" w:type="pct"/>
          </w:tcPr>
          <w:p w14:paraId="788A711E" w14:textId="0B2CFEB8" w:rsidR="00576244" w:rsidRDefault="00576244" w:rsidP="00576244">
            <w:pPr>
              <w:pStyle w:val="TableText"/>
            </w:pPr>
            <w:r>
              <w:t>p1 of the PSD: MSAC considered that the evidence did not demonstrate that the safety and effectiveness of UAS in the proposed MBS population had been established.</w:t>
            </w:r>
          </w:p>
          <w:p w14:paraId="7490883F" w14:textId="7A82827B" w:rsidR="00576244" w:rsidRDefault="00576244" w:rsidP="00576244">
            <w:pPr>
              <w:pStyle w:val="TableText"/>
            </w:pPr>
            <w:r>
              <w:t xml:space="preserve">Table 1 of the PSD: The resubmission was required to provide evidence to support the use of UAS in a subpopulation of patients who have failed all other medical management options and where UAS therapy may be appropriate. </w:t>
            </w:r>
          </w:p>
        </w:tc>
        <w:tc>
          <w:tcPr>
            <w:tcW w:w="1679" w:type="pct"/>
          </w:tcPr>
          <w:p w14:paraId="643BD810" w14:textId="77777777" w:rsidR="00576244" w:rsidRDefault="00576244" w:rsidP="00824458">
            <w:pPr>
              <w:pStyle w:val="TableText"/>
              <w:rPr>
                <w:rFonts w:eastAsia="Times New Roman" w:cs="Arial"/>
                <w:snapToGrid w:val="0"/>
                <w:szCs w:val="20"/>
              </w:rPr>
            </w:pPr>
            <w:r>
              <w:rPr>
                <w:rFonts w:eastAsia="Times New Roman" w:cs="Arial"/>
                <w:snapToGrid w:val="0"/>
                <w:szCs w:val="20"/>
              </w:rPr>
              <w:t>Not adequately addressed.</w:t>
            </w:r>
          </w:p>
          <w:p w14:paraId="58BB9AA0" w14:textId="54424659" w:rsidR="00576244" w:rsidRPr="00576244" w:rsidRDefault="00576244" w:rsidP="00576244">
            <w:pPr>
              <w:pStyle w:val="TableText"/>
              <w:rPr>
                <w:rFonts w:eastAsia="Times New Roman" w:cs="Arial"/>
                <w:snapToGrid w:val="0"/>
                <w:szCs w:val="20"/>
              </w:rPr>
            </w:pPr>
            <w:r w:rsidRPr="00576244">
              <w:rPr>
                <w:rFonts w:eastAsia="Times New Roman" w:cs="Arial"/>
                <w:snapToGrid w:val="0"/>
                <w:szCs w:val="20"/>
              </w:rPr>
              <w:t>The resubmission has re</w:t>
            </w:r>
            <w:r w:rsidR="00B95C8A">
              <w:rPr>
                <w:rFonts w:eastAsia="Times New Roman" w:cs="Arial"/>
                <w:snapToGrid w:val="0"/>
                <w:szCs w:val="20"/>
              </w:rPr>
              <w:t>-presented</w:t>
            </w:r>
            <w:r w:rsidRPr="00576244">
              <w:rPr>
                <w:rFonts w:eastAsia="Times New Roman" w:cs="Arial"/>
                <w:snapToGrid w:val="0"/>
                <w:szCs w:val="20"/>
              </w:rPr>
              <w:t xml:space="preserve"> evidence from Application 1595 and not synthesised it with new studies. </w:t>
            </w:r>
            <w:r>
              <w:rPr>
                <w:rFonts w:eastAsia="Times New Roman" w:cs="Arial"/>
                <w:snapToGrid w:val="0"/>
                <w:szCs w:val="20"/>
              </w:rPr>
              <w:t>It relies on the STAR study</w:t>
            </w:r>
            <w:r w:rsidR="003A4396">
              <w:rPr>
                <w:rStyle w:val="FootnoteReference"/>
                <w:rFonts w:eastAsia="Times New Roman" w:cs="Arial"/>
                <w:snapToGrid w:val="0"/>
                <w:szCs w:val="20"/>
              </w:rPr>
              <w:footnoteReference w:id="2"/>
            </w:r>
            <w:r>
              <w:rPr>
                <w:rFonts w:eastAsia="Times New Roman" w:cs="Arial"/>
                <w:snapToGrid w:val="0"/>
                <w:szCs w:val="20"/>
              </w:rPr>
              <w:t xml:space="preserve"> which was the basis of Application 1595.</w:t>
            </w:r>
          </w:p>
          <w:p w14:paraId="3027D553" w14:textId="6DC18CBA" w:rsidR="00576244" w:rsidRPr="00576244" w:rsidRDefault="00576244" w:rsidP="00576244">
            <w:pPr>
              <w:pStyle w:val="TableText"/>
              <w:rPr>
                <w:rFonts w:eastAsia="Times New Roman" w:cs="Arial"/>
                <w:snapToGrid w:val="0"/>
                <w:szCs w:val="20"/>
              </w:rPr>
            </w:pPr>
            <w:r w:rsidRPr="00576244">
              <w:rPr>
                <w:rFonts w:eastAsia="Times New Roman" w:cs="Arial"/>
                <w:snapToGrid w:val="0"/>
                <w:szCs w:val="20"/>
              </w:rPr>
              <w:t xml:space="preserve">A single study </w:t>
            </w:r>
            <w:r w:rsidR="003D5248">
              <w:rPr>
                <w:rFonts w:eastAsia="Times New Roman" w:cs="Arial"/>
                <w:snapToGrid w:val="0"/>
                <w:szCs w:val="20"/>
              </w:rPr>
              <w:t>that</w:t>
            </w:r>
            <w:r w:rsidR="003D5248" w:rsidRPr="00576244">
              <w:rPr>
                <w:rFonts w:eastAsia="Times New Roman" w:cs="Arial"/>
                <w:snapToGrid w:val="0"/>
                <w:szCs w:val="20"/>
              </w:rPr>
              <w:t xml:space="preserve"> </w:t>
            </w:r>
            <w:r w:rsidRPr="00576244">
              <w:rPr>
                <w:rFonts w:eastAsia="Times New Roman" w:cs="Arial"/>
                <w:snapToGrid w:val="0"/>
                <w:szCs w:val="20"/>
              </w:rPr>
              <w:t>compares UAS with no active care (Mehra, 2020</w:t>
            </w:r>
            <w:r w:rsidR="003A4396">
              <w:rPr>
                <w:rStyle w:val="FootnoteReference"/>
                <w:rFonts w:eastAsia="Times New Roman" w:cs="Arial"/>
                <w:snapToGrid w:val="0"/>
                <w:szCs w:val="20"/>
              </w:rPr>
              <w:footnoteReference w:id="3"/>
            </w:r>
            <w:r w:rsidRPr="00576244">
              <w:rPr>
                <w:rFonts w:eastAsia="Times New Roman" w:cs="Arial"/>
                <w:snapToGrid w:val="0"/>
                <w:szCs w:val="20"/>
              </w:rPr>
              <w:t>) was identified but not used in the clinical evaluation.</w:t>
            </w:r>
          </w:p>
          <w:p w14:paraId="56E22264" w14:textId="6E600300" w:rsidR="00576244" w:rsidRPr="00576244" w:rsidRDefault="00576244" w:rsidP="00576244">
            <w:pPr>
              <w:pStyle w:val="TableText"/>
              <w:rPr>
                <w:rFonts w:eastAsia="Times New Roman" w:cs="Arial"/>
                <w:snapToGrid w:val="0"/>
                <w:szCs w:val="20"/>
              </w:rPr>
            </w:pPr>
            <w:r w:rsidRPr="00576244">
              <w:rPr>
                <w:rFonts w:eastAsia="Times New Roman" w:cs="Arial"/>
                <w:snapToGrid w:val="0"/>
                <w:szCs w:val="20"/>
              </w:rPr>
              <w:t>The PICO Confirmation noted ‘there are two new randomised trials that will be available in 2021.</w:t>
            </w:r>
            <w:r w:rsidR="00C102DA">
              <w:rPr>
                <w:rFonts w:eastAsia="Times New Roman" w:cs="Arial"/>
                <w:snapToGrid w:val="0"/>
                <w:szCs w:val="20"/>
              </w:rPr>
              <w:t>’</w:t>
            </w:r>
            <w:r w:rsidRPr="00576244">
              <w:rPr>
                <w:rFonts w:eastAsia="Times New Roman" w:cs="Arial"/>
                <w:snapToGrid w:val="0"/>
                <w:szCs w:val="20"/>
              </w:rPr>
              <w:t xml:space="preserve">  The EFFECT trial</w:t>
            </w:r>
            <w:r w:rsidR="003A4396">
              <w:rPr>
                <w:rStyle w:val="FootnoteReference"/>
                <w:rFonts w:eastAsia="Times New Roman" w:cs="Arial"/>
                <w:snapToGrid w:val="0"/>
                <w:szCs w:val="20"/>
              </w:rPr>
              <w:footnoteReference w:id="4"/>
            </w:r>
            <w:r w:rsidRPr="00576244">
              <w:rPr>
                <w:rFonts w:eastAsia="Times New Roman" w:cs="Arial"/>
                <w:snapToGrid w:val="0"/>
                <w:szCs w:val="20"/>
              </w:rPr>
              <w:t xml:space="preserve"> has recently been published and it is anticipated that the CARDIOSA-12 trial is likely to be published later this year, which will be used to support superiority of Inspire over usual care (i.e., no active treatment). Neither trial is used to support the clinical claim. </w:t>
            </w:r>
          </w:p>
          <w:p w14:paraId="67C7CFF2" w14:textId="3C4E4AFF" w:rsidR="00576244" w:rsidRDefault="00576244" w:rsidP="00576244">
            <w:pPr>
              <w:pStyle w:val="TableText"/>
              <w:rPr>
                <w:rFonts w:eastAsia="Times New Roman" w:cs="Arial"/>
                <w:snapToGrid w:val="0"/>
                <w:szCs w:val="20"/>
              </w:rPr>
            </w:pPr>
            <w:r w:rsidRPr="00576244">
              <w:rPr>
                <w:rFonts w:eastAsia="Times New Roman" w:cs="Arial"/>
                <w:snapToGrid w:val="0"/>
                <w:szCs w:val="20"/>
              </w:rPr>
              <w:t>The clinical evidence has not been adequately presented in the ADAR.</w:t>
            </w:r>
          </w:p>
        </w:tc>
      </w:tr>
      <w:tr w:rsidR="00576244" w:rsidRPr="00CE28E3" w14:paraId="760224E4" w14:textId="77777777" w:rsidTr="009A06F4">
        <w:trPr>
          <w:cantSplit/>
        </w:trPr>
        <w:tc>
          <w:tcPr>
            <w:tcW w:w="1663" w:type="pct"/>
          </w:tcPr>
          <w:p w14:paraId="36CA8BAE" w14:textId="45B79AC3" w:rsidR="00576244" w:rsidRDefault="00576244" w:rsidP="00824458">
            <w:pPr>
              <w:pStyle w:val="TableText"/>
              <w:rPr>
                <w:szCs w:val="20"/>
              </w:rPr>
            </w:pPr>
            <w:r w:rsidRPr="00863CF2">
              <w:rPr>
                <w:szCs w:val="20"/>
              </w:rPr>
              <w:t>Economic evaluation</w:t>
            </w:r>
          </w:p>
        </w:tc>
        <w:tc>
          <w:tcPr>
            <w:tcW w:w="1658" w:type="pct"/>
          </w:tcPr>
          <w:p w14:paraId="17A9F474" w14:textId="77777777" w:rsidR="00576244" w:rsidRDefault="00576244" w:rsidP="00576244">
            <w:pPr>
              <w:pStyle w:val="TableText"/>
            </w:pPr>
            <w:r>
              <w:t xml:space="preserve">Table 1 of the PSD: Improve the economic model to address the uncertainties regarding the model structure, time horizon and effect size as raised by ESC. </w:t>
            </w:r>
          </w:p>
          <w:p w14:paraId="135D5174" w14:textId="692807C9" w:rsidR="00576244" w:rsidRDefault="00576244" w:rsidP="00576244">
            <w:pPr>
              <w:pStyle w:val="TableText"/>
            </w:pPr>
            <w:r>
              <w:t>The resubmission should also reduce the cost of the device in order to ensure cost-effectiveness</w:t>
            </w:r>
            <w:r w:rsidR="00DE4669">
              <w:t>.</w:t>
            </w:r>
          </w:p>
        </w:tc>
        <w:tc>
          <w:tcPr>
            <w:tcW w:w="1679" w:type="pct"/>
          </w:tcPr>
          <w:p w14:paraId="6662B186" w14:textId="64081DA8" w:rsidR="00576244" w:rsidRDefault="00576244" w:rsidP="00576244">
            <w:pPr>
              <w:pStyle w:val="TableText"/>
              <w:rPr>
                <w:rFonts w:eastAsia="Times New Roman" w:cs="Arial"/>
                <w:snapToGrid w:val="0"/>
                <w:szCs w:val="20"/>
              </w:rPr>
            </w:pPr>
            <w:r>
              <w:rPr>
                <w:rFonts w:eastAsia="Times New Roman" w:cs="Arial"/>
                <w:snapToGrid w:val="0"/>
                <w:szCs w:val="20"/>
              </w:rPr>
              <w:t>Not adequately addressed.</w:t>
            </w:r>
          </w:p>
          <w:p w14:paraId="64D86F04" w14:textId="6E2D9965" w:rsidR="00576244" w:rsidRPr="00576244" w:rsidRDefault="00576244" w:rsidP="00576244">
            <w:pPr>
              <w:pStyle w:val="TableText"/>
              <w:rPr>
                <w:rFonts w:eastAsia="Times New Roman" w:cs="Arial"/>
                <w:snapToGrid w:val="0"/>
                <w:szCs w:val="20"/>
              </w:rPr>
            </w:pPr>
            <w:r w:rsidRPr="00576244">
              <w:rPr>
                <w:rFonts w:eastAsia="Times New Roman" w:cs="Arial"/>
                <w:snapToGrid w:val="0"/>
                <w:szCs w:val="20"/>
              </w:rPr>
              <w:t>The time horizon of the base case has not been altered in the resubmission.</w:t>
            </w:r>
          </w:p>
          <w:p w14:paraId="11C65786" w14:textId="255A7F31" w:rsidR="00576244" w:rsidRDefault="00576244" w:rsidP="00576244">
            <w:pPr>
              <w:pStyle w:val="TableText"/>
              <w:rPr>
                <w:rFonts w:eastAsia="Times New Roman" w:cs="Arial"/>
                <w:snapToGrid w:val="0"/>
                <w:szCs w:val="20"/>
              </w:rPr>
            </w:pPr>
            <w:r w:rsidRPr="00576244">
              <w:rPr>
                <w:rFonts w:eastAsia="Times New Roman" w:cs="Arial"/>
                <w:snapToGrid w:val="0"/>
                <w:szCs w:val="20"/>
              </w:rPr>
              <w:t>A more complex model has been presented; however</w:t>
            </w:r>
            <w:r w:rsidR="00B95C8A">
              <w:rPr>
                <w:rFonts w:eastAsia="Times New Roman" w:cs="Arial"/>
                <w:snapToGrid w:val="0"/>
                <w:szCs w:val="20"/>
              </w:rPr>
              <w:t>,</w:t>
            </w:r>
            <w:r w:rsidRPr="00576244">
              <w:rPr>
                <w:rFonts w:eastAsia="Times New Roman" w:cs="Arial"/>
                <w:snapToGrid w:val="0"/>
                <w:szCs w:val="20"/>
              </w:rPr>
              <w:t xml:space="preserve"> this does introduce further parameter uncertainty as most inputs are not taken from studies </w:t>
            </w:r>
            <w:r w:rsidR="00C17AD3">
              <w:rPr>
                <w:rFonts w:eastAsia="Times New Roman" w:cs="Arial"/>
                <w:snapToGrid w:val="0"/>
                <w:szCs w:val="20"/>
              </w:rPr>
              <w:t>that</w:t>
            </w:r>
            <w:r w:rsidR="00C17AD3" w:rsidRPr="00576244">
              <w:rPr>
                <w:rFonts w:eastAsia="Times New Roman" w:cs="Arial"/>
                <w:snapToGrid w:val="0"/>
                <w:szCs w:val="20"/>
              </w:rPr>
              <w:t xml:space="preserve"> </w:t>
            </w:r>
            <w:r w:rsidRPr="00576244">
              <w:rPr>
                <w:rFonts w:eastAsia="Times New Roman" w:cs="Arial"/>
                <w:snapToGrid w:val="0"/>
                <w:szCs w:val="20"/>
              </w:rPr>
              <w:t>directly relate to the specified PICO.</w:t>
            </w:r>
          </w:p>
          <w:p w14:paraId="7E0A8E4D" w14:textId="725FBCEC" w:rsidR="00CB3B9E" w:rsidRDefault="00CB3B9E" w:rsidP="00576244">
            <w:pPr>
              <w:pStyle w:val="TableText"/>
              <w:rPr>
                <w:rFonts w:eastAsia="Times New Roman" w:cs="Arial"/>
                <w:snapToGrid w:val="0"/>
                <w:szCs w:val="20"/>
              </w:rPr>
            </w:pPr>
            <w:r>
              <w:rPr>
                <w:rFonts w:eastAsia="Times New Roman" w:cs="Arial"/>
                <w:snapToGrid w:val="0"/>
                <w:szCs w:val="20"/>
              </w:rPr>
              <w:t>The cost of the device has been reduced</w:t>
            </w:r>
            <w:r w:rsidR="001717AE">
              <w:rPr>
                <w:rFonts w:eastAsia="Times New Roman" w:cs="Arial"/>
                <w:snapToGrid w:val="0"/>
                <w:szCs w:val="20"/>
              </w:rPr>
              <w:t xml:space="preserve"> by </w:t>
            </w:r>
            <w:r w:rsidR="00056B21">
              <w:rPr>
                <w:rFonts w:eastAsia="Times New Roman" w:cs="Arial"/>
                <w:snapToGrid w:val="0"/>
                <w:szCs w:val="20"/>
              </w:rPr>
              <w:t>16.7</w:t>
            </w:r>
            <w:r w:rsidR="001717AE">
              <w:rPr>
                <w:rFonts w:eastAsia="Times New Roman" w:cs="Arial"/>
                <w:snapToGrid w:val="0"/>
                <w:szCs w:val="20"/>
              </w:rPr>
              <w:t>%</w:t>
            </w:r>
            <w:r>
              <w:rPr>
                <w:rFonts w:eastAsia="Times New Roman" w:cs="Arial"/>
                <w:snapToGrid w:val="0"/>
                <w:szCs w:val="20"/>
              </w:rPr>
              <w:t>.</w:t>
            </w:r>
          </w:p>
        </w:tc>
      </w:tr>
      <w:tr w:rsidR="00576244" w:rsidRPr="00CE28E3" w14:paraId="1C34695A" w14:textId="77777777" w:rsidTr="009A06F4">
        <w:trPr>
          <w:cantSplit/>
        </w:trPr>
        <w:tc>
          <w:tcPr>
            <w:tcW w:w="1663" w:type="pct"/>
          </w:tcPr>
          <w:p w14:paraId="3B52E641" w14:textId="6E14E6B0" w:rsidR="00576244" w:rsidRPr="00863CF2" w:rsidRDefault="00CB3B9E" w:rsidP="00824458">
            <w:pPr>
              <w:pStyle w:val="TableText"/>
              <w:rPr>
                <w:szCs w:val="20"/>
              </w:rPr>
            </w:pPr>
            <w:r w:rsidRPr="00863CF2">
              <w:rPr>
                <w:szCs w:val="20"/>
              </w:rPr>
              <w:lastRenderedPageBreak/>
              <w:t>Financial estimates</w:t>
            </w:r>
          </w:p>
        </w:tc>
        <w:tc>
          <w:tcPr>
            <w:tcW w:w="1658" w:type="pct"/>
          </w:tcPr>
          <w:p w14:paraId="76581BA2" w14:textId="040E6EB5" w:rsidR="00576244" w:rsidRDefault="00CB3B9E" w:rsidP="00576244">
            <w:pPr>
              <w:pStyle w:val="TableText"/>
            </w:pPr>
            <w:r w:rsidRPr="00CB3B9E">
              <w:t>Table 1 of the PSD: Update to address the subpopulation of patients who have failed all other medical management options.</w:t>
            </w:r>
          </w:p>
        </w:tc>
        <w:tc>
          <w:tcPr>
            <w:tcW w:w="1679" w:type="pct"/>
          </w:tcPr>
          <w:p w14:paraId="1CFB1446" w14:textId="63182139" w:rsidR="00CB3B9E" w:rsidRDefault="00CB3B9E" w:rsidP="00824458">
            <w:pPr>
              <w:pStyle w:val="TableText"/>
            </w:pPr>
            <w:r>
              <w:t>Not adequately addressed.</w:t>
            </w:r>
          </w:p>
          <w:p w14:paraId="2D2915C1" w14:textId="7250B34A" w:rsidR="00576244" w:rsidRDefault="00CB3B9E" w:rsidP="00824458">
            <w:pPr>
              <w:pStyle w:val="TableText"/>
              <w:rPr>
                <w:rFonts w:eastAsia="Times New Roman" w:cs="Arial"/>
                <w:snapToGrid w:val="0"/>
                <w:szCs w:val="20"/>
              </w:rPr>
            </w:pPr>
            <w:r>
              <w:t>The estimate of number of patients treated is not altered from Application 1595 and is based on limited access rather than eligible patient population.</w:t>
            </w:r>
          </w:p>
        </w:tc>
      </w:tr>
    </w:tbl>
    <w:p w14:paraId="3A6C4561" w14:textId="259E294B" w:rsidR="00063508" w:rsidRPr="00CE28E3" w:rsidRDefault="00C83696" w:rsidP="003A4396">
      <w:pPr>
        <w:pStyle w:val="TableFigureFooter"/>
        <w:spacing w:after="0"/>
      </w:pPr>
      <w:bookmarkStart w:id="8" w:name="_Hlk68275617"/>
      <w:bookmarkEnd w:id="7"/>
      <w:r>
        <w:rPr>
          <w:szCs w:val="20"/>
        </w:rPr>
        <w:t xml:space="preserve">ADAR = Applicant Developed Assessment Report; </w:t>
      </w:r>
      <w:r w:rsidR="00E3365A">
        <w:rPr>
          <w:szCs w:val="20"/>
        </w:rPr>
        <w:t xml:space="preserve">DISE = drug-induced sleep endoscopy; </w:t>
      </w:r>
      <w:r w:rsidR="00F57885" w:rsidRPr="00CE28E3">
        <w:rPr>
          <w:szCs w:val="20"/>
        </w:rPr>
        <w:t>E</w:t>
      </w:r>
      <w:r w:rsidR="00860E7F">
        <w:rPr>
          <w:szCs w:val="20"/>
        </w:rPr>
        <w:t>SC</w:t>
      </w:r>
      <w:r w:rsidR="00F57885" w:rsidRPr="00CE28E3">
        <w:t xml:space="preserve"> = E</w:t>
      </w:r>
      <w:r w:rsidR="00860E7F">
        <w:t>conomic Sub-committee</w:t>
      </w:r>
      <w:r w:rsidR="00F57885" w:rsidRPr="00CE28E3">
        <w:t>; MSAC = Medical Services Advisory Committee;</w:t>
      </w:r>
      <w:r>
        <w:t xml:space="preserve"> PICO = Population, Intervention, Comparator, Outcome;</w:t>
      </w:r>
      <w:r w:rsidR="00F57885" w:rsidRPr="00CE28E3">
        <w:t xml:space="preserve"> PSD = Public Summary Document</w:t>
      </w:r>
      <w:r w:rsidR="00860E7F">
        <w:t>; UAS = upper airway stimulation</w:t>
      </w:r>
      <w:r w:rsidR="0087277A">
        <w:t>.</w:t>
      </w:r>
      <w:r w:rsidR="00DC4F64">
        <w:t xml:space="preserve"> </w:t>
      </w:r>
      <w:r w:rsidR="00063508">
        <w:t>Source: Table 2 of MSAC Application 1595.1</w:t>
      </w:r>
      <w:r w:rsidR="003A4396">
        <w:t xml:space="preserve"> adapted by the </w:t>
      </w:r>
      <w:r w:rsidR="00C102DA">
        <w:t>c</w:t>
      </w:r>
      <w:r w:rsidR="003A4396">
        <w:t>ommentary</w:t>
      </w:r>
      <w:r w:rsidR="00951F31">
        <w:t xml:space="preserve">, references to </w:t>
      </w:r>
      <w:r w:rsidR="00004E0B">
        <w:t xml:space="preserve">the PSD are to the PSD for Application </w:t>
      </w:r>
      <w:r w:rsidR="00643716">
        <w:t>1595.</w:t>
      </w:r>
    </w:p>
    <w:p w14:paraId="6F52500A" w14:textId="4A2104C6" w:rsidR="00772829" w:rsidRPr="00CE28E3" w:rsidRDefault="00EE4112" w:rsidP="002A18BE">
      <w:pPr>
        <w:pStyle w:val="Heading2"/>
        <w:numPr>
          <w:ilvl w:val="0"/>
          <w:numId w:val="0"/>
        </w:numPr>
      </w:pPr>
      <w:bookmarkStart w:id="9" w:name="_Toc69491417"/>
      <w:bookmarkEnd w:id="5"/>
      <w:bookmarkEnd w:id="8"/>
      <w:r>
        <w:t>5</w:t>
      </w:r>
      <w:r w:rsidR="00C36633">
        <w:t>.</w:t>
      </w:r>
      <w:r w:rsidR="00C36633">
        <w:tab/>
      </w:r>
      <w:r w:rsidR="00772829" w:rsidRPr="00CE28E3">
        <w:t>Prerequisites to implementation of any funding advice</w:t>
      </w:r>
      <w:bookmarkEnd w:id="9"/>
    </w:p>
    <w:p w14:paraId="2F7A460E" w14:textId="00CB40B7" w:rsidR="00C83696" w:rsidRDefault="00C83696" w:rsidP="00C83696">
      <w:r>
        <w:t>The proposed service requires the provision of an active implantable device, the Inspire</w:t>
      </w:r>
      <w:r w:rsidRPr="000147BC">
        <w:rPr>
          <w:vertAlign w:val="superscript"/>
        </w:rPr>
        <w:t>®</w:t>
      </w:r>
      <w:r>
        <w:t xml:space="preserve"> System. There are five registered components of the Inspire</w:t>
      </w:r>
      <w:r w:rsidRPr="000147BC">
        <w:rPr>
          <w:vertAlign w:val="superscript"/>
        </w:rPr>
        <w:t>®</w:t>
      </w:r>
      <w:r>
        <w:t xml:space="preserve"> System, all of which are included on the </w:t>
      </w:r>
      <w:r w:rsidR="00FB05EB">
        <w:t>Australian Register of Therapeutic Good (</w:t>
      </w:r>
      <w:r>
        <w:t>ARTG</w:t>
      </w:r>
      <w:r w:rsidR="00FB05EB">
        <w:t>)</w:t>
      </w:r>
      <w:r>
        <w:t>. Please see</w:t>
      </w:r>
      <w:r w:rsidR="002F3360">
        <w:t xml:space="preserve"> Table 3</w:t>
      </w:r>
      <w:r>
        <w:t>. The system was included on the ARTG on 6 August 2020,</w:t>
      </w:r>
    </w:p>
    <w:p w14:paraId="00DE5816" w14:textId="580C5004" w:rsidR="00C83696" w:rsidRDefault="00C83696" w:rsidP="00C83696">
      <w:pPr>
        <w:pStyle w:val="Caption"/>
      </w:pPr>
      <w:bookmarkStart w:id="10" w:name="_Ref113445429"/>
      <w:bookmarkStart w:id="11" w:name="_Ref113445417"/>
      <w:bookmarkStart w:id="12" w:name="_Toc115874326"/>
      <w:r>
        <w:t>Table</w:t>
      </w:r>
      <w:bookmarkEnd w:id="10"/>
      <w:r w:rsidR="002F3360">
        <w:t xml:space="preserve"> 3</w:t>
      </w:r>
      <w:r>
        <w:t>: Inspire</w:t>
      </w:r>
      <w:r w:rsidRPr="000147BC">
        <w:rPr>
          <w:vertAlign w:val="superscript"/>
        </w:rPr>
        <w:t>®</w:t>
      </w:r>
      <w:r>
        <w:t xml:space="preserve"> System Components ARTG numbers</w:t>
      </w:r>
      <w:bookmarkEnd w:id="11"/>
      <w:bookmarkEnd w:id="12"/>
    </w:p>
    <w:tbl>
      <w:tblPr>
        <w:tblStyle w:val="TableGrid"/>
        <w:tblW w:w="0" w:type="auto"/>
        <w:tblInd w:w="-5" w:type="dxa"/>
        <w:tblLook w:val="04A0" w:firstRow="1" w:lastRow="0" w:firstColumn="1" w:lastColumn="0" w:noHBand="0" w:noVBand="1"/>
        <w:tblCaption w:val="Inspire® System Components ARTG numbers"/>
        <w:tblDescription w:val="Provides the ARTG numbers for the five components of the Inspire System "/>
      </w:tblPr>
      <w:tblGrid>
        <w:gridCol w:w="4513"/>
        <w:gridCol w:w="2150"/>
      </w:tblGrid>
      <w:tr w:rsidR="00C83696" w14:paraId="10685BEB" w14:textId="77777777" w:rsidTr="00056B21">
        <w:trPr>
          <w:tblHeader/>
        </w:trPr>
        <w:tc>
          <w:tcPr>
            <w:tcW w:w="4513" w:type="dxa"/>
            <w:shd w:val="pct20" w:color="auto" w:fill="auto"/>
          </w:tcPr>
          <w:p w14:paraId="6CE60507" w14:textId="77777777" w:rsidR="00C83696" w:rsidRDefault="00C83696" w:rsidP="00BA7847">
            <w:pPr>
              <w:pStyle w:val="TableHeadingCA"/>
            </w:pPr>
            <w:r>
              <w:t>Component</w:t>
            </w:r>
          </w:p>
        </w:tc>
        <w:tc>
          <w:tcPr>
            <w:tcW w:w="2150" w:type="dxa"/>
            <w:shd w:val="pct20" w:color="auto" w:fill="auto"/>
          </w:tcPr>
          <w:p w14:paraId="4F5BD0DC" w14:textId="77777777" w:rsidR="00C83696" w:rsidRDefault="00C83696" w:rsidP="00BA7847">
            <w:pPr>
              <w:pStyle w:val="TableHeadingCA"/>
            </w:pPr>
            <w:r>
              <w:t>ARTG Number</w:t>
            </w:r>
          </w:p>
        </w:tc>
      </w:tr>
      <w:tr w:rsidR="00C83696" w14:paraId="6B100C97" w14:textId="77777777" w:rsidTr="002F4235">
        <w:tc>
          <w:tcPr>
            <w:tcW w:w="4513" w:type="dxa"/>
          </w:tcPr>
          <w:p w14:paraId="0E9B119A" w14:textId="77777777" w:rsidR="00C83696" w:rsidRDefault="00C83696" w:rsidP="00BA7847">
            <w:pPr>
              <w:pStyle w:val="TableText"/>
              <w:jc w:val="center"/>
            </w:pPr>
            <w:r w:rsidRPr="00E90A29">
              <w:t>Inspire Sleep Remote Model 2500</w:t>
            </w:r>
          </w:p>
        </w:tc>
        <w:tc>
          <w:tcPr>
            <w:tcW w:w="2150" w:type="dxa"/>
          </w:tcPr>
          <w:p w14:paraId="6DFF0281" w14:textId="77777777" w:rsidR="00C83696" w:rsidRDefault="00C83696" w:rsidP="00BA7847">
            <w:pPr>
              <w:pStyle w:val="TableText"/>
              <w:jc w:val="center"/>
            </w:pPr>
            <w:r>
              <w:t>340934</w:t>
            </w:r>
          </w:p>
        </w:tc>
      </w:tr>
      <w:tr w:rsidR="00C83696" w14:paraId="1FFF2BE5" w14:textId="77777777" w:rsidTr="002F4235">
        <w:tc>
          <w:tcPr>
            <w:tcW w:w="4513" w:type="dxa"/>
          </w:tcPr>
          <w:p w14:paraId="61BFF543" w14:textId="77777777" w:rsidR="00C83696" w:rsidRDefault="00C83696" w:rsidP="00BA7847">
            <w:pPr>
              <w:pStyle w:val="TableText"/>
              <w:jc w:val="center"/>
            </w:pPr>
            <w:r w:rsidRPr="00E90A29">
              <w:t>Inspire Physician Programmer Model 2740</w:t>
            </w:r>
          </w:p>
        </w:tc>
        <w:tc>
          <w:tcPr>
            <w:tcW w:w="2150" w:type="dxa"/>
          </w:tcPr>
          <w:p w14:paraId="1C3107A6" w14:textId="77777777" w:rsidR="00C83696" w:rsidRDefault="00C83696" w:rsidP="00BA7847">
            <w:pPr>
              <w:pStyle w:val="TableText"/>
              <w:jc w:val="center"/>
            </w:pPr>
            <w:r>
              <w:t>340933</w:t>
            </w:r>
          </w:p>
        </w:tc>
      </w:tr>
      <w:tr w:rsidR="00C83696" w14:paraId="4637E8FE" w14:textId="77777777" w:rsidTr="002F4235">
        <w:tc>
          <w:tcPr>
            <w:tcW w:w="4513" w:type="dxa"/>
          </w:tcPr>
          <w:p w14:paraId="1B43B9B3" w14:textId="77777777" w:rsidR="00C83696" w:rsidRDefault="00C83696" w:rsidP="00BA7847">
            <w:pPr>
              <w:pStyle w:val="TableText"/>
              <w:jc w:val="center"/>
            </w:pPr>
            <w:r w:rsidRPr="00E90A29">
              <w:t>Inspire Respiratory Sensing Lead Model 4340</w:t>
            </w:r>
          </w:p>
        </w:tc>
        <w:tc>
          <w:tcPr>
            <w:tcW w:w="2150" w:type="dxa"/>
          </w:tcPr>
          <w:p w14:paraId="1037C2C6" w14:textId="77777777" w:rsidR="00C83696" w:rsidRDefault="00C83696" w:rsidP="00BA7847">
            <w:pPr>
              <w:pStyle w:val="TableText"/>
              <w:jc w:val="center"/>
            </w:pPr>
            <w:r>
              <w:t>340932</w:t>
            </w:r>
          </w:p>
        </w:tc>
      </w:tr>
      <w:tr w:rsidR="00C83696" w14:paraId="15D6E4CF" w14:textId="77777777" w:rsidTr="002F4235">
        <w:tc>
          <w:tcPr>
            <w:tcW w:w="4513" w:type="dxa"/>
          </w:tcPr>
          <w:p w14:paraId="69F2218D" w14:textId="77777777" w:rsidR="00C83696" w:rsidRDefault="00C83696" w:rsidP="00BA7847">
            <w:pPr>
              <w:pStyle w:val="TableText"/>
              <w:jc w:val="center"/>
            </w:pPr>
            <w:r w:rsidRPr="00E90A29">
              <w:t>Inspire Stimulation Lead Model 4063</w:t>
            </w:r>
          </w:p>
        </w:tc>
        <w:tc>
          <w:tcPr>
            <w:tcW w:w="2150" w:type="dxa"/>
          </w:tcPr>
          <w:p w14:paraId="08FE10CB" w14:textId="77777777" w:rsidR="00C83696" w:rsidRDefault="00C83696" w:rsidP="00BA7847">
            <w:pPr>
              <w:pStyle w:val="TableText"/>
              <w:jc w:val="center"/>
            </w:pPr>
            <w:r>
              <w:t>340931</w:t>
            </w:r>
          </w:p>
        </w:tc>
      </w:tr>
      <w:tr w:rsidR="00C83696" w14:paraId="3BCFE3AE" w14:textId="77777777" w:rsidTr="002F4235">
        <w:tc>
          <w:tcPr>
            <w:tcW w:w="4513" w:type="dxa"/>
          </w:tcPr>
          <w:p w14:paraId="7014A15A" w14:textId="77777777" w:rsidR="00C83696" w:rsidRDefault="00C83696" w:rsidP="00BA7847">
            <w:pPr>
              <w:pStyle w:val="TableText"/>
              <w:jc w:val="center"/>
            </w:pPr>
            <w:r w:rsidRPr="00E90A29">
              <w:t>Inspire IV Implantable Pulse Generator</w:t>
            </w:r>
          </w:p>
        </w:tc>
        <w:tc>
          <w:tcPr>
            <w:tcW w:w="2150" w:type="dxa"/>
          </w:tcPr>
          <w:p w14:paraId="627EF6D3" w14:textId="77777777" w:rsidR="00C83696" w:rsidRDefault="00C83696" w:rsidP="00BA7847">
            <w:pPr>
              <w:pStyle w:val="TableText"/>
              <w:jc w:val="center"/>
            </w:pPr>
            <w:r>
              <w:t>340930</w:t>
            </w:r>
          </w:p>
        </w:tc>
      </w:tr>
    </w:tbl>
    <w:p w14:paraId="315E5AAF" w14:textId="4C76C914" w:rsidR="00C83696" w:rsidRDefault="003A4396" w:rsidP="003A4396">
      <w:pPr>
        <w:pStyle w:val="TableFigureFooter"/>
      </w:pPr>
      <w:r>
        <w:t>Source: Table 3 of MSAC Application 1595.1</w:t>
      </w:r>
    </w:p>
    <w:p w14:paraId="0BC9C890" w14:textId="5136578E" w:rsidR="00C83696" w:rsidRPr="008861A4" w:rsidRDefault="00C83696" w:rsidP="00C83696">
      <w:r>
        <w:t>Should the MSAC recommend public funding for the implantation of the Inspire</w:t>
      </w:r>
      <w:r w:rsidRPr="000147BC">
        <w:rPr>
          <w:vertAlign w:val="superscript"/>
        </w:rPr>
        <w:t>®</w:t>
      </w:r>
      <w:r>
        <w:t xml:space="preserve"> System, then an application will be made to include the device on the P</w:t>
      </w:r>
      <w:r w:rsidR="006F0DE5">
        <w:t>L</w:t>
      </w:r>
      <w:r>
        <w:t>.</w:t>
      </w:r>
    </w:p>
    <w:p w14:paraId="3801933C" w14:textId="1395BADB" w:rsidR="00C83696" w:rsidRPr="00330A0A" w:rsidRDefault="000147BC" w:rsidP="000147BC">
      <w:r>
        <w:t xml:space="preserve">A training program and </w:t>
      </w:r>
      <w:r>
        <w:rPr>
          <w:bCs/>
        </w:rPr>
        <w:t>in-theatre support for each implant</w:t>
      </w:r>
      <w:r>
        <w:t xml:space="preserve"> for the initial 18-months is provided by the </w:t>
      </w:r>
      <w:r w:rsidR="006F0DE5">
        <w:t>a</w:t>
      </w:r>
      <w:r>
        <w:t>pplicant.</w:t>
      </w:r>
    </w:p>
    <w:p w14:paraId="44C3B242" w14:textId="57356384" w:rsidR="00772829" w:rsidRPr="00CE28E3" w:rsidRDefault="00EE4112" w:rsidP="002A18BE">
      <w:pPr>
        <w:pStyle w:val="Heading2"/>
        <w:numPr>
          <w:ilvl w:val="0"/>
          <w:numId w:val="0"/>
        </w:numPr>
      </w:pPr>
      <w:bookmarkStart w:id="13" w:name="_Toc69491418"/>
      <w:r>
        <w:t>6</w:t>
      </w:r>
      <w:r w:rsidR="00C36633">
        <w:t>.</w:t>
      </w:r>
      <w:r w:rsidR="00C36633">
        <w:tab/>
      </w:r>
      <w:r w:rsidR="00772829" w:rsidRPr="00CE28E3">
        <w:t>Proposal for public funding</w:t>
      </w:r>
      <w:bookmarkEnd w:id="13"/>
    </w:p>
    <w:p w14:paraId="2988AFB2" w14:textId="6EEE5227" w:rsidR="005820C6" w:rsidRDefault="005820C6" w:rsidP="005820C6">
      <w:r>
        <w:t xml:space="preserve">The </w:t>
      </w:r>
      <w:r w:rsidR="006F0DE5">
        <w:t>a</w:t>
      </w:r>
      <w:r>
        <w:t>pplicant proposed the creation of new MBS item numbers for closed loop UAS</w:t>
      </w:r>
      <w:r w:rsidR="00DF7867">
        <w:t xml:space="preserve">. </w:t>
      </w:r>
      <w:r w:rsidR="00DF7867" w:rsidRPr="00DF7867">
        <w:t>The proposed fee has been based on the item numbers for placement of a vagal nerve stimulator</w:t>
      </w:r>
      <w:r w:rsidR="00DF7867">
        <w:t xml:space="preserve">. </w:t>
      </w:r>
    </w:p>
    <w:p w14:paraId="46D47E3A" w14:textId="66971105" w:rsidR="00DF7867" w:rsidRDefault="00DF7867" w:rsidP="00DF7867">
      <w:r>
        <w:t>The proposed new MBS item for placement of a closed loop UAS is presented in</w:t>
      </w:r>
      <w:r w:rsidR="004A35A6">
        <w:t xml:space="preserve"> </w:t>
      </w:r>
      <w:r w:rsidR="00E06CB2">
        <w:t xml:space="preserve">Table </w:t>
      </w:r>
      <w:r w:rsidR="004A35A6">
        <w:t>4</w:t>
      </w:r>
      <w:r w:rsidR="007E1076">
        <w:t xml:space="preserve">, taken from </w:t>
      </w:r>
      <w:r>
        <w:t xml:space="preserve">the PICO Confirmation </w:t>
      </w:r>
      <w:r w:rsidR="00F11B75">
        <w:t>(</w:t>
      </w:r>
      <w:r>
        <w:t>the ADAR presented the proposal for Application 1595</w:t>
      </w:r>
      <w:r w:rsidR="00F11B75">
        <w:t>)</w:t>
      </w:r>
      <w:r>
        <w:t xml:space="preserve">. The fee requested in the resubmission is the same as in Application 1595. It is calculated based on existing item numbers for </w:t>
      </w:r>
      <w:r w:rsidR="00C102DA">
        <w:t>v</w:t>
      </w:r>
      <w:r>
        <w:t>agal nerve stimulation:</w:t>
      </w:r>
    </w:p>
    <w:p w14:paraId="60FB582D" w14:textId="2DCC5BBD" w:rsidR="00DF7867" w:rsidRDefault="00DF7867" w:rsidP="000478CD">
      <w:pPr>
        <w:pStyle w:val="ListParagraph"/>
        <w:numPr>
          <w:ilvl w:val="1"/>
          <w:numId w:val="14"/>
        </w:numPr>
      </w:pPr>
      <w:r>
        <w:t>Item 40701 subcutaneous placement of IPG - MBS fee $360.05</w:t>
      </w:r>
    </w:p>
    <w:p w14:paraId="25729FC6" w14:textId="3A9822A2" w:rsidR="00DF7867" w:rsidRDefault="00DF7867" w:rsidP="000478CD">
      <w:pPr>
        <w:pStyle w:val="ListParagraph"/>
        <w:numPr>
          <w:ilvl w:val="1"/>
          <w:numId w:val="14"/>
        </w:numPr>
      </w:pPr>
      <w:r>
        <w:t>Item 40704 placement of lead – MBS fee $712.65 (claimed twice, once for the stimulation lead and once for the respiratory sensing lead)</w:t>
      </w:r>
    </w:p>
    <w:p w14:paraId="6539F3AB" w14:textId="4C74DE8F" w:rsidR="00DF7867" w:rsidRDefault="617528C4" w:rsidP="00DF7867">
      <w:r>
        <w:lastRenderedPageBreak/>
        <w:t>These have then been combined into a single item number according to the multiple operation rule. Using current fees for these item numbers</w:t>
      </w:r>
      <w:r w:rsidR="12B76C40">
        <w:t>,</w:t>
      </w:r>
      <w:r>
        <w:t xml:space="preserve"> the total proposed fee should be $1,</w:t>
      </w:r>
      <w:r w:rsidR="00CB7B0D">
        <w:t>158</w:t>
      </w:r>
      <w:r>
        <w:t>.</w:t>
      </w:r>
      <w:r w:rsidR="00CB7B0D">
        <w:t>99</w:t>
      </w:r>
      <w:r>
        <w:t xml:space="preserve"> </w:t>
      </w:r>
      <w:r w:rsidR="002A0525">
        <w:t>(40704 + 50% 40704 + 25% 40701).</w:t>
      </w:r>
    </w:p>
    <w:p w14:paraId="39392CFD" w14:textId="3A8AE373" w:rsidR="003328A9" w:rsidRPr="00CE28E3" w:rsidRDefault="00310C3F" w:rsidP="00AA3335">
      <w:pPr>
        <w:pStyle w:val="Caption"/>
        <w:spacing w:before="240"/>
        <w:rPr>
          <w:rFonts w:cs="Arial"/>
        </w:rPr>
      </w:pPr>
      <w:bookmarkStart w:id="14" w:name="_Ref69481033"/>
      <w:r>
        <w:t>Table</w:t>
      </w:r>
      <w:r w:rsidR="004A4FDF">
        <w:t> </w:t>
      </w:r>
      <w:bookmarkEnd w:id="14"/>
      <w:r w:rsidR="004A35A6">
        <w:t>4</w:t>
      </w:r>
      <w:r w:rsidR="003328A9" w:rsidRPr="00CE28E3">
        <w:rPr>
          <w:rFonts w:cs="Arial"/>
        </w:rPr>
        <w:tab/>
      </w:r>
      <w:r w:rsidR="00DF7867">
        <w:rPr>
          <w:rFonts w:cs="Arial"/>
        </w:rPr>
        <w:t>P</w:t>
      </w:r>
      <w:r w:rsidR="00B26622" w:rsidRPr="00CE28E3">
        <w:rPr>
          <w:rFonts w:cs="Arial"/>
        </w:rPr>
        <w:t xml:space="preserve">roposed </w:t>
      </w:r>
      <w:r w:rsidR="00DF7867">
        <w:rPr>
          <w:rFonts w:cs="Arial"/>
        </w:rPr>
        <w:t xml:space="preserve">new </w:t>
      </w:r>
      <w:r w:rsidR="00B26622" w:rsidRPr="00CE28E3">
        <w:rPr>
          <w:rFonts w:cs="Arial"/>
        </w:rPr>
        <w:t>MBS item</w:t>
      </w:r>
      <w:r w:rsidR="003328A9" w:rsidRPr="00CE28E3">
        <w:rPr>
          <w:rFonts w:cs="Arial"/>
        </w:rPr>
        <w:t xml:space="preserve"> </w:t>
      </w:r>
      <w:r w:rsidR="00DF7867">
        <w:rPr>
          <w:rFonts w:cs="Arial"/>
        </w:rPr>
        <w:t>for placement of closed loop UAS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new MBS item for placement of closed loop UAS"/>
        <w:tblDescription w:val="Proposed new MBS item for placement of closed loop UAS"/>
      </w:tblPr>
      <w:tblGrid>
        <w:gridCol w:w="9016"/>
      </w:tblGrid>
      <w:tr w:rsidR="003328A9" w:rsidRPr="00CE28E3" w14:paraId="7A70B700" w14:textId="77777777" w:rsidTr="00170D5B">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17FAF30" w14:textId="09FA4F73" w:rsidR="003328A9" w:rsidRPr="00CE28E3" w:rsidRDefault="003328A9" w:rsidP="00824458">
            <w:pPr>
              <w:pStyle w:val="TableText"/>
              <w:rPr>
                <w:sz w:val="24"/>
              </w:rPr>
            </w:pPr>
            <w:r w:rsidRPr="00CE28E3">
              <w:t xml:space="preserve">Category </w:t>
            </w:r>
            <w:r w:rsidR="00DF7867">
              <w:t>3</w:t>
            </w:r>
            <w:r w:rsidRPr="00CE28E3">
              <w:t xml:space="preserve"> – </w:t>
            </w:r>
            <w:r w:rsidR="00DF7867">
              <w:t>THERAPEUTIC PROCEDURES</w:t>
            </w:r>
          </w:p>
        </w:tc>
      </w:tr>
      <w:tr w:rsidR="003328A9" w:rsidRPr="00CE28E3" w14:paraId="05A9B76F" w14:textId="77777777" w:rsidTr="00824458">
        <w:tc>
          <w:tcPr>
            <w:tcW w:w="5000" w:type="pct"/>
            <w:tcBorders>
              <w:top w:val="single" w:sz="4" w:space="0" w:color="000000"/>
              <w:left w:val="single" w:sz="4" w:space="0" w:color="000000"/>
              <w:bottom w:val="single" w:sz="4" w:space="0" w:color="000000"/>
              <w:right w:val="single" w:sz="4" w:space="0" w:color="000000"/>
            </w:tcBorders>
            <w:hideMark/>
          </w:tcPr>
          <w:p w14:paraId="562DD428" w14:textId="1AA3D6B4" w:rsidR="00E3330E" w:rsidRPr="00170D5B" w:rsidRDefault="00E3330E" w:rsidP="00170D5B">
            <w:pPr>
              <w:spacing w:after="120" w:line="240" w:lineRule="auto"/>
              <w:rPr>
                <w:rFonts w:ascii="Arial Narrow" w:hAnsi="Arial Narrow"/>
                <w:sz w:val="20"/>
                <w:szCs w:val="20"/>
                <w:lang w:val="en-US" w:eastAsia="ja-JP"/>
              </w:rPr>
            </w:pPr>
            <w:r w:rsidRPr="00170D5B">
              <w:rPr>
                <w:rFonts w:ascii="Arial Narrow" w:hAnsi="Arial Narrow"/>
                <w:sz w:val="20"/>
                <w:szCs w:val="20"/>
                <w:lang w:val="en-US" w:eastAsia="ja-JP"/>
              </w:rPr>
              <w:t>MBS item *XXXX</w:t>
            </w:r>
          </w:p>
          <w:p w14:paraId="2F8B77DC" w14:textId="26308C24" w:rsidR="00DF7867" w:rsidRPr="00DF7867" w:rsidRDefault="00DF7867" w:rsidP="00DF7867">
            <w:p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Unilateral closed-loop hypoglossal nerve stimulation therapy through stimulation of the hypoglossal nerve, including:</w:t>
            </w:r>
          </w:p>
          <w:p w14:paraId="512F5248" w14:textId="77777777" w:rsidR="00DF7867" w:rsidRDefault="00DF7867" w:rsidP="000478CD">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 xml:space="preserve">subcutaneous placement of electrical pulse generator, </w:t>
            </w:r>
          </w:p>
          <w:p w14:paraId="33CCCE8A" w14:textId="77777777" w:rsidR="00DF7867" w:rsidRDefault="00DF7867" w:rsidP="000478CD">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surgical placement of lead including connection of the lead to the hypoglossal nerve and intra-operative test stimulation</w:t>
            </w:r>
          </w:p>
          <w:p w14:paraId="1B36B975" w14:textId="77777777" w:rsidR="00DF7867" w:rsidRDefault="00DF7867" w:rsidP="000478CD">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surgical placement of respiratory lead and intra-operative test stimulation for management of moderate to severe obstructive sleep apnoea in a patient who:</w:t>
            </w:r>
          </w:p>
          <w:p w14:paraId="0EB761F9" w14:textId="77777777" w:rsidR="00DF7867" w:rsidRDefault="00DF7867" w:rsidP="000478CD">
            <w:pPr>
              <w:pStyle w:val="ListParagraph"/>
              <w:numPr>
                <w:ilvl w:val="1"/>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has an Apnoea Hypopnoea Index of greater than or equal to 15 and less than or equal to 65; and</w:t>
            </w:r>
          </w:p>
          <w:p w14:paraId="71E20100" w14:textId="77777777" w:rsidR="00DF7867" w:rsidRDefault="00DF7867" w:rsidP="000478CD">
            <w:pPr>
              <w:pStyle w:val="ListParagraph"/>
              <w:numPr>
                <w:ilvl w:val="1"/>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is aged 18 and over; and</w:t>
            </w:r>
          </w:p>
          <w:p w14:paraId="6C7B5F3A" w14:textId="103D8DC4" w:rsidR="00DF7867" w:rsidRDefault="00DF7867" w:rsidP="000478CD">
            <w:pPr>
              <w:pStyle w:val="ListParagraph"/>
              <w:numPr>
                <w:ilvl w:val="1"/>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has failed or is intolerant of continuous positive airway pressure or bi</w:t>
            </w:r>
            <w:r w:rsidR="00B95C8A">
              <w:rPr>
                <w:rFonts w:ascii="Arial Narrow" w:hAnsi="Arial Narrow"/>
                <w:sz w:val="20"/>
                <w:szCs w:val="20"/>
                <w:lang w:val="en-US" w:eastAsia="ja-JP"/>
              </w:rPr>
              <w:t>-level</w:t>
            </w:r>
            <w:r w:rsidRPr="00DF7867">
              <w:rPr>
                <w:rFonts w:ascii="Arial Narrow" w:hAnsi="Arial Narrow"/>
                <w:sz w:val="20"/>
                <w:szCs w:val="20"/>
                <w:lang w:val="en-US" w:eastAsia="ja-JP"/>
              </w:rPr>
              <w:t xml:space="preserve"> airway pressure; and</w:t>
            </w:r>
          </w:p>
          <w:p w14:paraId="17A0793D" w14:textId="334BB4EA" w:rsidR="00DF7867" w:rsidRDefault="00DF7867" w:rsidP="000478CD">
            <w:pPr>
              <w:pStyle w:val="ListParagraph"/>
              <w:numPr>
                <w:ilvl w:val="1"/>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 xml:space="preserve">has a BMI less than or equal to 32 kg/m² and </w:t>
            </w:r>
          </w:p>
          <w:p w14:paraId="1EC44FDB" w14:textId="77777777" w:rsidR="00DF7867" w:rsidRDefault="00DF7867" w:rsidP="000478CD">
            <w:pPr>
              <w:pStyle w:val="ListParagraph"/>
              <w:numPr>
                <w:ilvl w:val="1"/>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does not have complete concentric collapse of the upper airway</w:t>
            </w:r>
          </w:p>
          <w:p w14:paraId="0B76DDB6" w14:textId="77777777" w:rsidR="00DF7867" w:rsidRDefault="00DF7867" w:rsidP="000478CD">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who have failed CPAP where CPAP failure is defined as continued AHI&gt; 20 despite appropriate CPAP usage or</w:t>
            </w:r>
          </w:p>
          <w:p w14:paraId="5B0F6AA5" w14:textId="77777777" w:rsidR="00DF7867" w:rsidRDefault="00DF7867" w:rsidP="000478CD">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 xml:space="preserve">who are intolerant of CPAP where CPAP intolerance is defined as inability to use CPAP (&gt; 5 nights per week of usage: usage defined as &gt; 4 hours of use per night or unwillingness to use CPAP or Patients who are unsuitable for, or </w:t>
            </w:r>
          </w:p>
          <w:p w14:paraId="61532BC7" w14:textId="6647F4D8" w:rsidR="00DF7867" w:rsidRPr="00DB03E9" w:rsidRDefault="00DF7867" w:rsidP="00DF7867">
            <w:pPr>
              <w:pStyle w:val="ListParagraph"/>
              <w:numPr>
                <w:ilvl w:val="0"/>
                <w:numId w:val="19"/>
              </w:num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have unsuccessfully attempted all other appropriate interventions and who are currently untreated.</w:t>
            </w:r>
          </w:p>
          <w:p w14:paraId="4EC36E33" w14:textId="77777777" w:rsidR="00DF7867" w:rsidRPr="00DF7867" w:rsidRDefault="00DF7867" w:rsidP="00DB03E9">
            <w:pPr>
              <w:spacing w:before="360" w:after="120" w:line="240" w:lineRule="auto"/>
              <w:rPr>
                <w:rFonts w:ascii="Arial Narrow" w:hAnsi="Arial Narrow"/>
                <w:sz w:val="20"/>
                <w:szCs w:val="20"/>
                <w:lang w:val="en-US" w:eastAsia="ja-JP"/>
              </w:rPr>
            </w:pPr>
            <w:r w:rsidRPr="00DF7867">
              <w:rPr>
                <w:rFonts w:ascii="Arial Narrow" w:hAnsi="Arial Narrow"/>
                <w:sz w:val="20"/>
                <w:szCs w:val="20"/>
                <w:lang w:val="en-US" w:eastAsia="ja-JP"/>
              </w:rPr>
              <w:t>Once per lifetime</w:t>
            </w:r>
          </w:p>
          <w:p w14:paraId="3A676C80" w14:textId="77777777" w:rsidR="00DF7867" w:rsidRPr="00DF7867" w:rsidRDefault="00DF7867" w:rsidP="00DF7867">
            <w:p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Multiple Operation Rule</w:t>
            </w:r>
          </w:p>
          <w:p w14:paraId="3EEC2DE6" w14:textId="2CBA3967" w:rsidR="003328A9" w:rsidRPr="00170D5B" w:rsidRDefault="00DF7867" w:rsidP="00DF7867">
            <w:pPr>
              <w:spacing w:after="120" w:line="240" w:lineRule="auto"/>
              <w:rPr>
                <w:rFonts w:ascii="Arial Narrow" w:hAnsi="Arial Narrow"/>
                <w:sz w:val="20"/>
                <w:szCs w:val="20"/>
                <w:lang w:val="en-US" w:eastAsia="ja-JP"/>
              </w:rPr>
            </w:pPr>
            <w:r w:rsidRPr="00DF7867">
              <w:rPr>
                <w:rFonts w:ascii="Arial Narrow" w:hAnsi="Arial Narrow"/>
                <w:sz w:val="20"/>
                <w:szCs w:val="20"/>
                <w:lang w:val="en-US" w:eastAsia="ja-JP"/>
              </w:rPr>
              <w:t>(Anaes.)</w:t>
            </w:r>
          </w:p>
        </w:tc>
      </w:tr>
      <w:tr w:rsidR="003328A9" w:rsidRPr="005D749D" w14:paraId="190EE027" w14:textId="77777777" w:rsidTr="00170D5B">
        <w:tc>
          <w:tcPr>
            <w:tcW w:w="5000" w:type="pct"/>
            <w:tcBorders>
              <w:top w:val="single" w:sz="4" w:space="0" w:color="000000"/>
              <w:left w:val="single" w:sz="4" w:space="0" w:color="000000"/>
              <w:bottom w:val="single" w:sz="4" w:space="0" w:color="000000"/>
              <w:right w:val="single" w:sz="4" w:space="0" w:color="000000"/>
            </w:tcBorders>
            <w:vAlign w:val="center"/>
            <w:hideMark/>
          </w:tcPr>
          <w:p w14:paraId="55514370" w14:textId="77777777" w:rsidR="00DF7867" w:rsidRDefault="00DF7867" w:rsidP="00DF7867">
            <w:pPr>
              <w:pStyle w:val="Tabletext0"/>
              <w:spacing w:line="312" w:lineRule="auto"/>
              <w:rPr>
                <w:rFonts w:cstheme="minorHAnsi"/>
              </w:rPr>
            </w:pPr>
            <w:r>
              <w:t xml:space="preserve">MBS </w:t>
            </w:r>
            <w:r w:rsidRPr="00C03585">
              <w:t xml:space="preserve">Fee: </w:t>
            </w:r>
            <w:r>
              <w:t xml:space="preserve">$943.00 </w:t>
            </w:r>
            <w:r>
              <w:tab/>
            </w:r>
            <w:r w:rsidRPr="000938E1">
              <w:rPr>
                <w:rFonts w:cstheme="minorHAnsi"/>
              </w:rPr>
              <w:t>Benefit 75% = $707.25 (in-hospital/admitted patient only)</w:t>
            </w:r>
          </w:p>
          <w:p w14:paraId="5AEEDFDC" w14:textId="034065CE" w:rsidR="003328A9" w:rsidRPr="005D749D" w:rsidRDefault="00DF7867" w:rsidP="00DF7867">
            <w:pPr>
              <w:pStyle w:val="TableText"/>
              <w:rPr>
                <w:szCs w:val="20"/>
              </w:rPr>
            </w:pPr>
            <w:r>
              <w:rPr>
                <w:rStyle w:val="CommentaryemphasisTablesmid-paragraph"/>
              </w:rPr>
              <w:t>MBS Fee (based on existing items): $1,</w:t>
            </w:r>
            <w:r w:rsidR="00CB7B0D">
              <w:rPr>
                <w:rStyle w:val="CommentaryemphasisTablesmid-paragraph"/>
              </w:rPr>
              <w:t>158</w:t>
            </w:r>
            <w:r>
              <w:rPr>
                <w:rStyle w:val="CommentaryemphasisTablesmid-paragraph"/>
              </w:rPr>
              <w:t>.</w:t>
            </w:r>
            <w:r w:rsidR="00CB7B0D">
              <w:rPr>
                <w:rStyle w:val="CommentaryemphasisTablesmid-paragraph"/>
              </w:rPr>
              <w:t>99</w:t>
            </w:r>
            <w:r>
              <w:rPr>
                <w:rStyle w:val="CommentaryemphasisTablesmid-paragraph"/>
              </w:rPr>
              <w:t xml:space="preserve"> Benefit 75% = $8</w:t>
            </w:r>
            <w:r w:rsidR="00CB7B0D">
              <w:rPr>
                <w:rStyle w:val="CommentaryemphasisTablesmid-paragraph"/>
              </w:rPr>
              <w:t>69</w:t>
            </w:r>
            <w:r>
              <w:rPr>
                <w:rStyle w:val="CommentaryemphasisTablesmid-paragraph"/>
              </w:rPr>
              <w:t>.</w:t>
            </w:r>
            <w:r w:rsidR="00CB7B0D">
              <w:rPr>
                <w:rStyle w:val="CommentaryemphasisTablesmid-paragraph"/>
              </w:rPr>
              <w:t>24</w:t>
            </w:r>
          </w:p>
        </w:tc>
      </w:tr>
    </w:tbl>
    <w:p w14:paraId="53C2280C" w14:textId="5ADEFB1A" w:rsidR="00DF7867" w:rsidRDefault="00DF7867" w:rsidP="00DF7867">
      <w:pPr>
        <w:pStyle w:val="TableFigureFooter"/>
        <w:spacing w:after="0"/>
        <w:rPr>
          <w:szCs w:val="20"/>
        </w:rPr>
      </w:pPr>
      <w:r>
        <w:rPr>
          <w:szCs w:val="20"/>
        </w:rPr>
        <w:t>Source: Ratified PICO Confirmation, Section 1, page 17.</w:t>
      </w:r>
    </w:p>
    <w:p w14:paraId="5A872CB3" w14:textId="77777777" w:rsidR="00DF7867" w:rsidRPr="00DD2215" w:rsidRDefault="00DF7867" w:rsidP="00AA3335">
      <w:pPr>
        <w:pStyle w:val="TableFigureFooter"/>
        <w:spacing w:before="0" w:after="240"/>
        <w:rPr>
          <w:szCs w:val="20"/>
        </w:rPr>
      </w:pPr>
      <w:r w:rsidRPr="00DD2215">
        <w:rPr>
          <w:szCs w:val="20"/>
        </w:rPr>
        <w:t>Note: A</w:t>
      </w:r>
      <w:r>
        <w:rPr>
          <w:szCs w:val="20"/>
        </w:rPr>
        <w:t>ssessment Group suggested a</w:t>
      </w:r>
      <w:r w:rsidRPr="00DD2215">
        <w:rPr>
          <w:szCs w:val="20"/>
        </w:rPr>
        <w:t xml:space="preserve">mendments are shown in </w:t>
      </w:r>
      <w:r w:rsidRPr="0095520B">
        <w:rPr>
          <w:b/>
          <w:bCs/>
          <w:color w:val="5B9BD5" w:themeColor="accent1"/>
          <w:szCs w:val="20"/>
        </w:rPr>
        <w:t>blue text</w:t>
      </w:r>
      <w:r w:rsidRPr="00DD2215">
        <w:rPr>
          <w:szCs w:val="20"/>
        </w:rPr>
        <w:t>.</w:t>
      </w:r>
    </w:p>
    <w:p w14:paraId="6C92B8A3" w14:textId="36068C7E" w:rsidR="00DF7867" w:rsidRDefault="00AA59A9" w:rsidP="00AA59A9">
      <w:r>
        <w:t xml:space="preserve">The </w:t>
      </w:r>
      <w:r w:rsidRPr="00AA59A9">
        <w:t>proposed new MBS item for</w:t>
      </w:r>
      <w:r>
        <w:t xml:space="preserve"> repositioning or removal of the pulse generator is presented in</w:t>
      </w:r>
      <w:r w:rsidR="004A35A6">
        <w:t xml:space="preserve"> Table 5</w:t>
      </w:r>
      <w:r>
        <w:t xml:space="preserve">. The commentary questions why no item has been proposed </w:t>
      </w:r>
      <w:r w:rsidR="00EE137B">
        <w:t xml:space="preserve">that </w:t>
      </w:r>
      <w:r>
        <w:t xml:space="preserve">aligns with </w:t>
      </w:r>
      <w:r w:rsidR="00C102DA">
        <w:t>v</w:t>
      </w:r>
      <w:r>
        <w:t>agal nerve stimulation item 40705 for repositioning or removal of the lead (fee $640)</w:t>
      </w:r>
      <w:r w:rsidR="003A4396">
        <w:t xml:space="preserve"> and why repositioning is ‘on</w:t>
      </w:r>
      <w:r w:rsidR="00E50EAC">
        <w:t>c</w:t>
      </w:r>
      <w:r w:rsidR="003A4396">
        <w:t>e per lifetime</w:t>
      </w:r>
      <w:r w:rsidR="00E3365A">
        <w:t>.’</w:t>
      </w:r>
      <w:r w:rsidR="0091158D">
        <w:t xml:space="preserve"> </w:t>
      </w:r>
      <w:r w:rsidR="003A4396">
        <w:t>Safety data demonstrates that a single patient can undergo multiple repositioning procedures.</w:t>
      </w:r>
    </w:p>
    <w:p w14:paraId="1FE073A3" w14:textId="34489345" w:rsidR="00AA59A9" w:rsidRPr="00CE28E3" w:rsidRDefault="00AA59A9" w:rsidP="00AA3335">
      <w:pPr>
        <w:pStyle w:val="Caption"/>
        <w:spacing w:before="240"/>
        <w:rPr>
          <w:rFonts w:cs="Arial"/>
        </w:rPr>
      </w:pPr>
      <w:bookmarkStart w:id="15" w:name="_Ref121235441"/>
      <w:bookmarkStart w:id="16" w:name="_Hlk121235621"/>
      <w:r>
        <w:t>Table </w:t>
      </w:r>
      <w:bookmarkEnd w:id="15"/>
      <w:r w:rsidR="004A35A6">
        <w:t>5</w:t>
      </w:r>
      <w:r w:rsidRPr="00CE28E3">
        <w:rPr>
          <w:rFonts w:cs="Arial"/>
        </w:rPr>
        <w:tab/>
      </w:r>
      <w:r>
        <w:rPr>
          <w:rFonts w:cs="Arial"/>
        </w:rPr>
        <w:t>P</w:t>
      </w:r>
      <w:r w:rsidRPr="00CE28E3">
        <w:rPr>
          <w:rFonts w:cs="Arial"/>
        </w:rPr>
        <w:t xml:space="preserve">roposed </w:t>
      </w:r>
      <w:r>
        <w:rPr>
          <w:rFonts w:cs="Arial"/>
        </w:rPr>
        <w:t xml:space="preserve">new </w:t>
      </w:r>
      <w:r w:rsidRPr="00CE28E3">
        <w:rPr>
          <w:rFonts w:cs="Arial"/>
        </w:rPr>
        <w:t xml:space="preserve">MBS item </w:t>
      </w:r>
      <w:r>
        <w:rPr>
          <w:rFonts w:cs="Arial"/>
        </w:rPr>
        <w:t xml:space="preserve">for </w:t>
      </w:r>
      <w:r w:rsidRPr="00AA59A9">
        <w:rPr>
          <w:rFonts w:cs="Arial"/>
        </w:rPr>
        <w:t>repositioning or removal of the pulse generator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new MBS item for repositioning or removal of the pulse generator"/>
        <w:tblDescription w:val="Proposed new MBS item for repositioning or removal of the pulse generator"/>
      </w:tblPr>
      <w:tblGrid>
        <w:gridCol w:w="9016"/>
      </w:tblGrid>
      <w:tr w:rsidR="00AA59A9" w:rsidRPr="00CE28E3" w14:paraId="0520507C" w14:textId="77777777" w:rsidTr="00BA7847">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00C0F269" w14:textId="77777777" w:rsidR="00AA59A9" w:rsidRPr="00CE28E3" w:rsidRDefault="00AA59A9" w:rsidP="00BA7847">
            <w:pPr>
              <w:pStyle w:val="TableText"/>
              <w:rPr>
                <w:sz w:val="24"/>
              </w:rPr>
            </w:pPr>
            <w:r w:rsidRPr="00CE28E3">
              <w:t xml:space="preserve">Category </w:t>
            </w:r>
            <w:r>
              <w:t>3</w:t>
            </w:r>
            <w:r w:rsidRPr="00CE28E3">
              <w:t xml:space="preserve"> – </w:t>
            </w:r>
            <w:r>
              <w:t>THERAPEUTIC PROCEDURES</w:t>
            </w:r>
          </w:p>
        </w:tc>
      </w:tr>
      <w:tr w:rsidR="00AA59A9" w:rsidRPr="00CE28E3" w14:paraId="430E2D73" w14:textId="77777777" w:rsidTr="00BA7847">
        <w:tc>
          <w:tcPr>
            <w:tcW w:w="5000" w:type="pct"/>
            <w:tcBorders>
              <w:top w:val="single" w:sz="4" w:space="0" w:color="000000"/>
              <w:left w:val="single" w:sz="4" w:space="0" w:color="000000"/>
              <w:bottom w:val="single" w:sz="4" w:space="0" w:color="000000"/>
              <w:right w:val="single" w:sz="4" w:space="0" w:color="000000"/>
            </w:tcBorders>
            <w:hideMark/>
          </w:tcPr>
          <w:p w14:paraId="348B79F2" w14:textId="2F7D1539" w:rsidR="00AA59A9" w:rsidRPr="00AA59A9" w:rsidRDefault="00AA59A9" w:rsidP="00AA59A9">
            <w:pPr>
              <w:spacing w:after="120" w:line="240" w:lineRule="auto"/>
              <w:rPr>
                <w:rFonts w:ascii="Arial Narrow" w:hAnsi="Arial Narrow"/>
                <w:sz w:val="20"/>
                <w:szCs w:val="20"/>
                <w:lang w:val="en-US" w:eastAsia="ja-JP"/>
              </w:rPr>
            </w:pPr>
            <w:r w:rsidRPr="00AA59A9">
              <w:rPr>
                <w:rFonts w:ascii="Arial Narrow" w:hAnsi="Arial Narrow"/>
                <w:sz w:val="20"/>
                <w:szCs w:val="20"/>
                <w:lang w:val="en-US" w:eastAsia="ja-JP"/>
              </w:rPr>
              <w:t>Unilateral closed-loop hypoglossal nerve stimulation therapy through stimulation of the hypoglossal nerve, surgical repositioning or removal of electrical pulse generator for management of moderate to severe obstructive sleep apnoea</w:t>
            </w:r>
          </w:p>
          <w:p w14:paraId="65D2056A" w14:textId="6CA404DF" w:rsidR="00AA59A9" w:rsidRPr="00AA59A9" w:rsidRDefault="00AA59A9" w:rsidP="00AA59A9">
            <w:pPr>
              <w:spacing w:after="120" w:line="240" w:lineRule="auto"/>
              <w:rPr>
                <w:rFonts w:ascii="Arial Narrow" w:hAnsi="Arial Narrow"/>
                <w:sz w:val="20"/>
                <w:szCs w:val="20"/>
                <w:lang w:val="en-US" w:eastAsia="ja-JP"/>
              </w:rPr>
            </w:pPr>
            <w:r w:rsidRPr="00AA59A9">
              <w:rPr>
                <w:rFonts w:ascii="Arial Narrow" w:hAnsi="Arial Narrow"/>
                <w:sz w:val="20"/>
                <w:szCs w:val="20"/>
                <w:lang w:val="en-US" w:eastAsia="ja-JP"/>
              </w:rPr>
              <w:t>Only once per lifetime</w:t>
            </w:r>
          </w:p>
          <w:p w14:paraId="45269ECE" w14:textId="77777777" w:rsidR="00AA59A9" w:rsidRPr="00AA59A9" w:rsidRDefault="00AA59A9" w:rsidP="00AA59A9">
            <w:pPr>
              <w:spacing w:after="120" w:line="240" w:lineRule="auto"/>
              <w:rPr>
                <w:rFonts w:ascii="Arial Narrow" w:hAnsi="Arial Narrow"/>
                <w:sz w:val="20"/>
                <w:szCs w:val="20"/>
                <w:lang w:val="en-US" w:eastAsia="ja-JP"/>
              </w:rPr>
            </w:pPr>
            <w:r w:rsidRPr="00AA59A9">
              <w:rPr>
                <w:rFonts w:ascii="Arial Narrow" w:hAnsi="Arial Narrow"/>
                <w:sz w:val="20"/>
                <w:szCs w:val="20"/>
                <w:lang w:val="en-US" w:eastAsia="ja-JP"/>
              </w:rPr>
              <w:t>Multiple Operation Rule</w:t>
            </w:r>
          </w:p>
          <w:p w14:paraId="1BC0807E" w14:textId="75A722DE" w:rsidR="00AA59A9" w:rsidRPr="00170D5B" w:rsidRDefault="00AA59A9" w:rsidP="00AA59A9">
            <w:pPr>
              <w:spacing w:after="120" w:line="240" w:lineRule="auto"/>
              <w:rPr>
                <w:rFonts w:ascii="Arial Narrow" w:hAnsi="Arial Narrow"/>
                <w:sz w:val="20"/>
                <w:szCs w:val="20"/>
                <w:lang w:val="en-US" w:eastAsia="ja-JP"/>
              </w:rPr>
            </w:pPr>
            <w:r w:rsidRPr="00AA59A9">
              <w:rPr>
                <w:rFonts w:ascii="Arial Narrow" w:hAnsi="Arial Narrow"/>
                <w:sz w:val="20"/>
                <w:szCs w:val="20"/>
                <w:lang w:val="en-US" w:eastAsia="ja-JP"/>
              </w:rPr>
              <w:t>(Anaes.)</w:t>
            </w:r>
          </w:p>
        </w:tc>
      </w:tr>
      <w:tr w:rsidR="00AA59A9" w:rsidRPr="005D749D" w14:paraId="5316D758" w14:textId="77777777" w:rsidTr="00BA7847">
        <w:tc>
          <w:tcPr>
            <w:tcW w:w="5000" w:type="pct"/>
            <w:tcBorders>
              <w:top w:val="single" w:sz="4" w:space="0" w:color="000000"/>
              <w:left w:val="single" w:sz="4" w:space="0" w:color="000000"/>
              <w:bottom w:val="single" w:sz="4" w:space="0" w:color="000000"/>
              <w:right w:val="single" w:sz="4" w:space="0" w:color="000000"/>
            </w:tcBorders>
            <w:vAlign w:val="center"/>
            <w:hideMark/>
          </w:tcPr>
          <w:p w14:paraId="1F2B16CF" w14:textId="10E1B5D8" w:rsidR="00AA59A9" w:rsidRPr="00AA59A9" w:rsidRDefault="00AA59A9" w:rsidP="00AA59A9">
            <w:pPr>
              <w:pStyle w:val="Tabletext0"/>
              <w:spacing w:line="312" w:lineRule="auto"/>
              <w:rPr>
                <w:rFonts w:cstheme="minorHAnsi"/>
              </w:rPr>
            </w:pPr>
            <w:r w:rsidRPr="00E16370">
              <w:t>MBS Fee: $16</w:t>
            </w:r>
            <w:r>
              <w:t>8.5</w:t>
            </w:r>
            <w:r w:rsidRPr="00E16370">
              <w:t>5</w:t>
            </w:r>
            <w:r w:rsidRPr="00E16370">
              <w:tab/>
            </w:r>
            <w:r w:rsidRPr="00E16370">
              <w:rPr>
                <w:rFonts w:cstheme="minorHAnsi"/>
              </w:rPr>
              <w:t>Benefit 75% = $12</w:t>
            </w:r>
            <w:r>
              <w:rPr>
                <w:rFonts w:cstheme="minorHAnsi"/>
              </w:rPr>
              <w:t>6</w:t>
            </w:r>
            <w:r w:rsidRPr="00E16370">
              <w:rPr>
                <w:rFonts w:cstheme="minorHAnsi"/>
              </w:rPr>
              <w:t>.50 (in-hospital/admitted patient only)</w:t>
            </w:r>
          </w:p>
        </w:tc>
      </w:tr>
    </w:tbl>
    <w:p w14:paraId="2E502423" w14:textId="65FDD4B1" w:rsidR="00AA59A9" w:rsidRDefault="00AA59A9" w:rsidP="00AA59A9">
      <w:pPr>
        <w:pStyle w:val="TableFigureFooter"/>
        <w:spacing w:after="0"/>
        <w:rPr>
          <w:szCs w:val="20"/>
        </w:rPr>
      </w:pPr>
      <w:r>
        <w:rPr>
          <w:szCs w:val="20"/>
        </w:rPr>
        <w:t>Source: ADAR, Section 1, Table 9.</w:t>
      </w:r>
    </w:p>
    <w:bookmarkEnd w:id="16"/>
    <w:p w14:paraId="63FA9985" w14:textId="644C9D15" w:rsidR="00AA59A9" w:rsidRDefault="00AA59A9" w:rsidP="00AA59A9">
      <w:r>
        <w:lastRenderedPageBreak/>
        <w:t xml:space="preserve">The </w:t>
      </w:r>
      <w:r w:rsidRPr="00AA59A9">
        <w:t>proposed new MBS item for</w:t>
      </w:r>
      <w:r>
        <w:t xml:space="preserve"> replacement of the pulse generator is presented in</w:t>
      </w:r>
      <w:r w:rsidR="00C21730">
        <w:t xml:space="preserve"> Table 6</w:t>
      </w:r>
      <w:r>
        <w:t>.</w:t>
      </w:r>
      <w:r w:rsidR="0091158D" w:rsidRPr="0091158D">
        <w:t xml:space="preserve"> </w:t>
      </w:r>
      <w:r w:rsidR="0091158D">
        <w:t xml:space="preserve">The commentary states that the </w:t>
      </w:r>
      <w:r w:rsidR="0091158D" w:rsidRPr="0091158D">
        <w:t xml:space="preserve">proposed </w:t>
      </w:r>
      <w:r w:rsidR="00C102DA">
        <w:t>i</w:t>
      </w:r>
      <w:r w:rsidR="0091158D" w:rsidRPr="0091158D">
        <w:t xml:space="preserve">tem should be specifically for battery replacement if it is to align with </w:t>
      </w:r>
      <w:r w:rsidR="00C102DA">
        <w:t>i</w:t>
      </w:r>
      <w:r w:rsidR="0091158D" w:rsidRPr="0091158D">
        <w:t>tem 40708</w:t>
      </w:r>
      <w:r w:rsidR="0091158D">
        <w:t xml:space="preserve"> (vagal nerve stimulation battery replacement)</w:t>
      </w:r>
      <w:r w:rsidR="0091158D" w:rsidRPr="0091158D">
        <w:t xml:space="preserve">, and not be a duplicate with the proposed item for both repositioning and replacement. This would also provide a means of tracking battery longevity to confirm it aligns with the </w:t>
      </w:r>
      <w:r w:rsidR="006F0DE5">
        <w:t>a</w:t>
      </w:r>
      <w:r w:rsidR="0091158D" w:rsidRPr="0091158D">
        <w:t>pplicant’s claims.</w:t>
      </w:r>
    </w:p>
    <w:p w14:paraId="46207D9A" w14:textId="6A33240A" w:rsidR="00AA59A9" w:rsidRPr="00CE28E3" w:rsidRDefault="00AA59A9" w:rsidP="00AA59A9">
      <w:pPr>
        <w:pStyle w:val="Caption"/>
        <w:rPr>
          <w:rFonts w:cs="Arial"/>
        </w:rPr>
      </w:pPr>
      <w:bookmarkStart w:id="17" w:name="_Ref121235634"/>
      <w:r>
        <w:t>Table </w:t>
      </w:r>
      <w:r w:rsidR="00C21730">
        <w:t>6</w:t>
      </w:r>
      <w:bookmarkEnd w:id="17"/>
      <w:r w:rsidRPr="00CE28E3">
        <w:rPr>
          <w:rFonts w:cs="Arial"/>
        </w:rPr>
        <w:tab/>
      </w:r>
      <w:r>
        <w:rPr>
          <w:rFonts w:cs="Arial"/>
        </w:rPr>
        <w:t>P</w:t>
      </w:r>
      <w:r w:rsidRPr="00CE28E3">
        <w:rPr>
          <w:rFonts w:cs="Arial"/>
        </w:rPr>
        <w:t xml:space="preserve">roposed </w:t>
      </w:r>
      <w:r>
        <w:rPr>
          <w:rFonts w:cs="Arial"/>
        </w:rPr>
        <w:t xml:space="preserve">new </w:t>
      </w:r>
      <w:r w:rsidRPr="00CE28E3">
        <w:rPr>
          <w:rFonts w:cs="Arial"/>
        </w:rPr>
        <w:t xml:space="preserve">MBS item </w:t>
      </w:r>
      <w:r>
        <w:rPr>
          <w:rFonts w:cs="Arial"/>
        </w:rPr>
        <w:t xml:space="preserve">for </w:t>
      </w:r>
      <w:r w:rsidR="0091158D" w:rsidRPr="0091158D">
        <w:rPr>
          <w:rFonts w:cs="Arial"/>
        </w:rPr>
        <w:t>battery replacement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roposed new MBS item for battery replacement"/>
        <w:tblDescription w:val="Proposed new MBS item for battery replacement"/>
      </w:tblPr>
      <w:tblGrid>
        <w:gridCol w:w="9016"/>
      </w:tblGrid>
      <w:tr w:rsidR="00AA59A9" w:rsidRPr="00CE28E3" w14:paraId="196B0321" w14:textId="77777777" w:rsidTr="00BA7847">
        <w:trPr>
          <w:trHeight w:val="351"/>
          <w:tblHeader/>
        </w:trPr>
        <w:tc>
          <w:tcPr>
            <w:tcW w:w="5000" w:type="pct"/>
            <w:tcBorders>
              <w:top w:val="single" w:sz="4" w:space="0" w:color="000000"/>
              <w:left w:val="single" w:sz="4" w:space="0" w:color="000000"/>
              <w:bottom w:val="single" w:sz="4" w:space="0" w:color="000000"/>
              <w:right w:val="single" w:sz="4" w:space="0" w:color="000000"/>
            </w:tcBorders>
            <w:hideMark/>
          </w:tcPr>
          <w:p w14:paraId="677F4AF2" w14:textId="77777777" w:rsidR="00AA59A9" w:rsidRPr="00CE28E3" w:rsidRDefault="00AA59A9" w:rsidP="00BA7847">
            <w:pPr>
              <w:pStyle w:val="TableText"/>
              <w:rPr>
                <w:sz w:val="24"/>
              </w:rPr>
            </w:pPr>
            <w:r w:rsidRPr="00CE28E3">
              <w:t xml:space="preserve">Category </w:t>
            </w:r>
            <w:r>
              <w:t>3</w:t>
            </w:r>
            <w:r w:rsidRPr="00CE28E3">
              <w:t xml:space="preserve"> – </w:t>
            </w:r>
            <w:r>
              <w:t>THERAPEUTIC PROCEDURES</w:t>
            </w:r>
          </w:p>
        </w:tc>
      </w:tr>
      <w:tr w:rsidR="00AA59A9" w:rsidRPr="00CE28E3" w14:paraId="09643979" w14:textId="77777777" w:rsidTr="00BA7847">
        <w:tc>
          <w:tcPr>
            <w:tcW w:w="5000" w:type="pct"/>
            <w:tcBorders>
              <w:top w:val="single" w:sz="4" w:space="0" w:color="000000"/>
              <w:left w:val="single" w:sz="4" w:space="0" w:color="000000"/>
              <w:bottom w:val="single" w:sz="4" w:space="0" w:color="000000"/>
              <w:right w:val="single" w:sz="4" w:space="0" w:color="000000"/>
            </w:tcBorders>
            <w:hideMark/>
          </w:tcPr>
          <w:p w14:paraId="40BC4157" w14:textId="77777777" w:rsidR="0091158D" w:rsidRPr="00E16370" w:rsidRDefault="0091158D" w:rsidP="0091158D">
            <w:pPr>
              <w:spacing w:after="120"/>
              <w:rPr>
                <w:rFonts w:ascii="Arial Narrow" w:hAnsi="Arial Narrow"/>
              </w:rPr>
            </w:pPr>
            <w:r w:rsidRPr="00E16370">
              <w:rPr>
                <w:rFonts w:ascii="Arial Narrow" w:hAnsi="Arial Narrow"/>
              </w:rPr>
              <w:t xml:space="preserve">Unilateral closed loop hypoglossal nerve stimulation therapy through stimulation of the hypoglossal nerve, surgical replacement of </w:t>
            </w:r>
            <w:r w:rsidRPr="00A708B4">
              <w:rPr>
                <w:rStyle w:val="CommentaryTabletextleftChar"/>
                <w:sz w:val="20"/>
              </w:rPr>
              <w:t>battery in</w:t>
            </w:r>
            <w:r>
              <w:rPr>
                <w:rFonts w:ascii="Arial Narrow" w:hAnsi="Arial Narrow"/>
              </w:rPr>
              <w:t xml:space="preserve"> </w:t>
            </w:r>
            <w:r w:rsidRPr="00E16370">
              <w:rPr>
                <w:rFonts w:ascii="Arial Narrow" w:hAnsi="Arial Narrow"/>
              </w:rPr>
              <w:t>electrical pulse generator</w:t>
            </w:r>
          </w:p>
          <w:p w14:paraId="087B9DDF" w14:textId="11236D31" w:rsidR="00AA59A9" w:rsidRPr="00170D5B" w:rsidRDefault="0091158D" w:rsidP="0091158D">
            <w:pPr>
              <w:spacing w:after="120" w:line="240" w:lineRule="auto"/>
              <w:rPr>
                <w:rFonts w:ascii="Arial Narrow" w:hAnsi="Arial Narrow"/>
                <w:sz w:val="20"/>
                <w:szCs w:val="20"/>
                <w:lang w:val="en-US" w:eastAsia="ja-JP"/>
              </w:rPr>
            </w:pPr>
            <w:r w:rsidRPr="00E16370">
              <w:rPr>
                <w:rFonts w:ascii="Arial Narrow" w:hAnsi="Arial Narrow" w:cstheme="minorHAnsi"/>
              </w:rPr>
              <w:t>Multiple Operation Rule</w:t>
            </w:r>
          </w:p>
        </w:tc>
      </w:tr>
      <w:tr w:rsidR="00AA59A9" w:rsidRPr="005D749D" w14:paraId="6FE51CC6" w14:textId="77777777" w:rsidTr="00BA7847">
        <w:tc>
          <w:tcPr>
            <w:tcW w:w="5000" w:type="pct"/>
            <w:tcBorders>
              <w:top w:val="single" w:sz="4" w:space="0" w:color="000000"/>
              <w:left w:val="single" w:sz="4" w:space="0" w:color="000000"/>
              <w:bottom w:val="single" w:sz="4" w:space="0" w:color="000000"/>
              <w:right w:val="single" w:sz="4" w:space="0" w:color="000000"/>
            </w:tcBorders>
            <w:vAlign w:val="center"/>
            <w:hideMark/>
          </w:tcPr>
          <w:p w14:paraId="64FD990B" w14:textId="77777777" w:rsidR="00AA59A9" w:rsidRPr="00AA59A9" w:rsidRDefault="00AA59A9" w:rsidP="00BA7847">
            <w:pPr>
              <w:pStyle w:val="Tabletext0"/>
              <w:spacing w:line="312" w:lineRule="auto"/>
              <w:rPr>
                <w:rFonts w:cstheme="minorHAnsi"/>
              </w:rPr>
            </w:pPr>
            <w:r w:rsidRPr="00E16370">
              <w:t>MBS Fee: $16</w:t>
            </w:r>
            <w:r>
              <w:t>8.5</w:t>
            </w:r>
            <w:r w:rsidRPr="00E16370">
              <w:t>5</w:t>
            </w:r>
            <w:r w:rsidRPr="00E16370">
              <w:tab/>
            </w:r>
            <w:r w:rsidRPr="00E16370">
              <w:rPr>
                <w:rFonts w:cstheme="minorHAnsi"/>
              </w:rPr>
              <w:t>Benefit 75% = $12</w:t>
            </w:r>
            <w:r>
              <w:rPr>
                <w:rFonts w:cstheme="minorHAnsi"/>
              </w:rPr>
              <w:t>6</w:t>
            </w:r>
            <w:r w:rsidRPr="00E16370">
              <w:rPr>
                <w:rFonts w:cstheme="minorHAnsi"/>
              </w:rPr>
              <w:t>.50 (in-hospital/admitted patient only)</w:t>
            </w:r>
          </w:p>
        </w:tc>
      </w:tr>
    </w:tbl>
    <w:p w14:paraId="438DD9B5" w14:textId="72FBD780" w:rsidR="00AA59A9" w:rsidRDefault="00AA59A9" w:rsidP="00AA59A9">
      <w:pPr>
        <w:pStyle w:val="TableFigureFooter"/>
        <w:spacing w:after="0"/>
        <w:rPr>
          <w:szCs w:val="20"/>
        </w:rPr>
      </w:pPr>
      <w:r>
        <w:rPr>
          <w:szCs w:val="20"/>
        </w:rPr>
        <w:t xml:space="preserve">Source: ADAR, Section 1, Table </w:t>
      </w:r>
      <w:r w:rsidR="0091158D">
        <w:rPr>
          <w:szCs w:val="20"/>
        </w:rPr>
        <w:t>10</w:t>
      </w:r>
      <w:r>
        <w:rPr>
          <w:szCs w:val="20"/>
        </w:rPr>
        <w:t>.</w:t>
      </w:r>
    </w:p>
    <w:p w14:paraId="5C42C334" w14:textId="77777777" w:rsidR="0091158D" w:rsidRPr="00DD2215" w:rsidRDefault="0091158D" w:rsidP="0091158D">
      <w:pPr>
        <w:pStyle w:val="TableFigureFooter"/>
        <w:spacing w:before="0"/>
        <w:rPr>
          <w:szCs w:val="20"/>
        </w:rPr>
      </w:pPr>
      <w:r w:rsidRPr="00DD2215">
        <w:rPr>
          <w:szCs w:val="20"/>
        </w:rPr>
        <w:t>Note: A</w:t>
      </w:r>
      <w:r>
        <w:rPr>
          <w:szCs w:val="20"/>
        </w:rPr>
        <w:t>ssessment Group suggested a</w:t>
      </w:r>
      <w:r w:rsidRPr="00DD2215">
        <w:rPr>
          <w:szCs w:val="20"/>
        </w:rPr>
        <w:t xml:space="preserve">mendments are shown in </w:t>
      </w:r>
      <w:r w:rsidRPr="0095520B">
        <w:rPr>
          <w:b/>
          <w:bCs/>
          <w:color w:val="5B9BD5" w:themeColor="accent1"/>
          <w:szCs w:val="20"/>
        </w:rPr>
        <w:t>blue text</w:t>
      </w:r>
      <w:r w:rsidRPr="00DD2215">
        <w:rPr>
          <w:szCs w:val="20"/>
        </w:rPr>
        <w:t>.</w:t>
      </w:r>
    </w:p>
    <w:p w14:paraId="42875132" w14:textId="658CBA2F" w:rsidR="0091158D" w:rsidRDefault="0091158D" w:rsidP="0091158D">
      <w:r>
        <w:t xml:space="preserve">The ADAR also proposed two new MBS items for closed loop UAS case conferences. </w:t>
      </w:r>
      <w:r w:rsidRPr="0091158D">
        <w:t>Department advice</w:t>
      </w:r>
      <w:r>
        <w:t xml:space="preserve"> is</w:t>
      </w:r>
      <w:r w:rsidRPr="0091158D">
        <w:t xml:space="preserve"> that specific case conference items for UAS should not be created as alternative appropriate case conference items are already available on the MBS. Therefore, PASC considered that the item descriptors for UAS should specify the requirement for a case conference and that there needs to be clarification and agreement of the multidisciplinary clinical expertise required for the case conference. It was noted that multidisciplinary expertise required for the case conference could be specified in an explanatory note.</w:t>
      </w:r>
      <w:r>
        <w:t xml:space="preserve"> The commentary notes that this advice from PASC was not address</w:t>
      </w:r>
      <w:r w:rsidR="0028000C">
        <w:t>ed</w:t>
      </w:r>
      <w:r>
        <w:t xml:space="preserve"> in the ADAR.</w:t>
      </w:r>
      <w:r w:rsidR="00BB2AA5" w:rsidRPr="00BB2AA5">
        <w:t xml:space="preserve"> </w:t>
      </w:r>
      <w:r w:rsidR="00BB2AA5">
        <w:t xml:space="preserve">The </w:t>
      </w:r>
      <w:r w:rsidR="008333F0">
        <w:t xml:space="preserve">applicant’s </w:t>
      </w:r>
      <w:r w:rsidR="00BB2AA5">
        <w:t>pre-ESC response</w:t>
      </w:r>
      <w:r w:rsidR="007F33A8">
        <w:t xml:space="preserve"> acknowledged this but</w:t>
      </w:r>
      <w:r w:rsidR="00BB2AA5">
        <w:t xml:space="preserve"> clarified that p. 31 of the </w:t>
      </w:r>
      <w:r w:rsidR="00BB2AA5" w:rsidRPr="00BB2AA5">
        <w:t>ADAR notes that at a minimum, a case conference should include a sleep physician and ear, nose and throat surgeon</w:t>
      </w:r>
      <w:r w:rsidR="00BB2AA5">
        <w:t xml:space="preserve">; and that a </w:t>
      </w:r>
      <w:r w:rsidR="00BB2AA5" w:rsidRPr="00BB2AA5">
        <w:t>dentist, orthodontist and sleep psychologist may be included as appropriate</w:t>
      </w:r>
      <w:r w:rsidR="00BB2AA5">
        <w:t xml:space="preserve">. </w:t>
      </w:r>
    </w:p>
    <w:p w14:paraId="34E0B08F" w14:textId="0FD05FB2" w:rsidR="00772829" w:rsidRPr="00CE28E3" w:rsidRDefault="00EE4112" w:rsidP="002A18BE">
      <w:pPr>
        <w:pStyle w:val="Heading2"/>
        <w:numPr>
          <w:ilvl w:val="0"/>
          <w:numId w:val="0"/>
        </w:numPr>
      </w:pPr>
      <w:bookmarkStart w:id="18" w:name="_Toc69491419"/>
      <w:r>
        <w:t>7</w:t>
      </w:r>
      <w:r w:rsidR="00C36633">
        <w:t>.</w:t>
      </w:r>
      <w:r w:rsidR="00C36633">
        <w:tab/>
      </w:r>
      <w:r w:rsidR="00772829" w:rsidRPr="00CE28E3">
        <w:t>Population</w:t>
      </w:r>
      <w:bookmarkEnd w:id="18"/>
      <w:r w:rsidR="00772829" w:rsidRPr="00CE28E3">
        <w:t xml:space="preserve"> </w:t>
      </w:r>
    </w:p>
    <w:p w14:paraId="3C4080EC" w14:textId="0AB42243" w:rsidR="0086442B" w:rsidRDefault="0086442B" w:rsidP="0086442B">
      <w:r>
        <w:t xml:space="preserve">The population specified in the Ratified PICO Confirmation and in the ADAR </w:t>
      </w:r>
      <w:r w:rsidRPr="0086442B">
        <w:t>i</w:t>
      </w:r>
      <w:r>
        <w:t>s</w:t>
      </w:r>
      <w:r w:rsidRPr="0086442B">
        <w:t xml:space="preserve"> patients aged ≥ 18 years with a </w:t>
      </w:r>
      <w:r w:rsidR="00FB05EB">
        <w:t xml:space="preserve">body mass </w:t>
      </w:r>
      <w:r w:rsidR="006F0DE5">
        <w:t>index</w:t>
      </w:r>
      <w:r w:rsidR="00FB05EB">
        <w:t xml:space="preserve"> (</w:t>
      </w:r>
      <w:r w:rsidRPr="0086442B">
        <w:t>BMI</w:t>
      </w:r>
      <w:r w:rsidR="00FB05EB">
        <w:t>)</w:t>
      </w:r>
      <w:r w:rsidRPr="0086442B">
        <w:t xml:space="preserve"> &lt; 32 kg/m</w:t>
      </w:r>
      <w:r w:rsidRPr="00BE5857">
        <w:rPr>
          <w:vertAlign w:val="superscript"/>
        </w:rPr>
        <w:t>2</w:t>
      </w:r>
      <w:r w:rsidRPr="0086442B">
        <w:t xml:space="preserve"> and moderate to severe OSA, defined as having an A</w:t>
      </w:r>
      <w:r w:rsidR="00FB05EB">
        <w:t>HI</w:t>
      </w:r>
      <w:r w:rsidRPr="0086442B">
        <w:t xml:space="preserve"> ≥ 15 and ≤ 65, and who have been confirmed to have failed or cannot tolerate CPAP therapy or bi-level positive airway pressure (BIPAP) therapy. Patients with complete concentric collapse at the soft palate level are not eligible. Patients are receiving no active treatment, have </w:t>
      </w:r>
      <w:r w:rsidR="005C3EB5" w:rsidRPr="0086442B">
        <w:t>trialled</w:t>
      </w:r>
      <w:r w:rsidRPr="0086442B">
        <w:t xml:space="preserve"> or are not suitable for all other treatment options.</w:t>
      </w:r>
    </w:p>
    <w:p w14:paraId="1945BDA7" w14:textId="2B773D2C" w:rsidR="0086442B" w:rsidRDefault="0086442B" w:rsidP="0086442B">
      <w:r>
        <w:t xml:space="preserve">PASC stated that </w:t>
      </w:r>
      <w:r w:rsidRPr="0086442B">
        <w:t>“in clinical practice UAS is a niche therapy considered as a last resort for patients after excluding more common therapies for OSA, involves multidisciplinary team assessment of individual patient eligibility including CPAP failure, which should be demonstrated in an expert centre where the proposed intervention would be appropriate.”</w:t>
      </w:r>
      <w:r w:rsidR="00827F5A">
        <w:t xml:space="preserve"> Therefore, the proposed service would be used where no </w:t>
      </w:r>
      <w:r w:rsidR="001F097F">
        <w:t>alternative</w:t>
      </w:r>
      <w:r w:rsidR="00827F5A">
        <w:t xml:space="preserve"> technology is available. However, PASC also noted that “</w:t>
      </w:r>
      <w:r w:rsidR="00827F5A" w:rsidRPr="00827F5A">
        <w:t>there may be unwillingness to undergo CPAP, and the threshold for unwillingness could be low as cost is entirely born</w:t>
      </w:r>
      <w:r w:rsidR="00F22EDE">
        <w:t>e</w:t>
      </w:r>
      <w:r w:rsidR="00827F5A" w:rsidRPr="00827F5A">
        <w:t xml:space="preserve"> by patients, and the market is unchecked with care not always delivered by health practitioners.</w:t>
      </w:r>
      <w:r w:rsidR="00827F5A">
        <w:t>”</w:t>
      </w:r>
      <w:r w:rsidR="00827F5A" w:rsidRPr="00827F5A">
        <w:t xml:space="preserve"> </w:t>
      </w:r>
    </w:p>
    <w:p w14:paraId="1872840C" w14:textId="1F847BD7" w:rsidR="00E801E8" w:rsidRDefault="00E801E8" w:rsidP="0086442B">
      <w:r>
        <w:t xml:space="preserve">The ADAR fails to clearly define the subpopulation for which UAS is an appropriate therapy. </w:t>
      </w:r>
      <w:r w:rsidRPr="00E801E8">
        <w:t xml:space="preserve">It is not specified which treatments should have been attempted, what level of investigation is required to define failure of these treatments, the role of multidisciplinary assessment for </w:t>
      </w:r>
      <w:r w:rsidRPr="00E801E8">
        <w:lastRenderedPageBreak/>
        <w:t>eligibility or whether there are any other prerequisites to eligibility for UAS given PASC defined it as a niche therapy.</w:t>
      </w:r>
    </w:p>
    <w:p w14:paraId="0184881A" w14:textId="434522FE" w:rsidR="00E50EAC" w:rsidRDefault="00E50EAC" w:rsidP="0086442B">
      <w:r>
        <w:t xml:space="preserve">The commentary considers that the role of upper airway surgery in the clinical algorithm is not well described in the ADAR. Upper airway surgery is a mainstream therapy for OSA but its role is not shown in the clinical management algorithms and whether UAS would substitute for upper airway surgery, or conversely increase in volume as patients pursue surgery in order to access UAS, is not discussed. </w:t>
      </w:r>
    </w:p>
    <w:p w14:paraId="66BDFCC1" w14:textId="720771A1" w:rsidR="00772829" w:rsidRPr="00CE28E3" w:rsidRDefault="00EE4112" w:rsidP="002A18BE">
      <w:pPr>
        <w:pStyle w:val="Heading2"/>
        <w:numPr>
          <w:ilvl w:val="0"/>
          <w:numId w:val="0"/>
        </w:numPr>
      </w:pPr>
      <w:bookmarkStart w:id="19" w:name="_Toc69491420"/>
      <w:r>
        <w:t>8</w:t>
      </w:r>
      <w:r w:rsidR="00C36633">
        <w:t>.</w:t>
      </w:r>
      <w:r w:rsidR="00C36633">
        <w:tab/>
      </w:r>
      <w:r w:rsidR="00772829" w:rsidRPr="00CE28E3">
        <w:t>Comparator</w:t>
      </w:r>
      <w:bookmarkEnd w:id="19"/>
    </w:p>
    <w:p w14:paraId="33EC28D3" w14:textId="66B212D7" w:rsidR="00047B47" w:rsidRDefault="00047B47" w:rsidP="00047B47">
      <w:r>
        <w:t>The ADAR defines the comparator as ‘usual care in the last line of therapy</w:t>
      </w:r>
      <w:r w:rsidR="00E3365A">
        <w:t>.’</w:t>
      </w:r>
      <w:r>
        <w:t xml:space="preserve"> Last line of therapy has been defined as ‘patients have </w:t>
      </w:r>
      <w:r w:rsidR="004D28BC">
        <w:t>trialled</w:t>
      </w:r>
      <w:r>
        <w:t xml:space="preserve"> or are not suitable for all other treatment options</w:t>
      </w:r>
      <w:r w:rsidR="00E3365A">
        <w:t>.’</w:t>
      </w:r>
      <w:r>
        <w:t xml:space="preserve"> Usual care consists of sleep hygiene, weight and alcohol management or other lifestyle interventions.</w:t>
      </w:r>
    </w:p>
    <w:p w14:paraId="7EB372BE" w14:textId="3362A8DD" w:rsidR="00047B47" w:rsidRDefault="00047B47" w:rsidP="00047B47">
      <w:r>
        <w:t>The main comparator in MSAC Application 1595 was conservative medical management</w:t>
      </w:r>
      <w:r w:rsidR="00A91DF7">
        <w:t>,</w:t>
      </w:r>
      <w:r>
        <w:t xml:space="preserve"> which MSAC indicated was appropriate.</w:t>
      </w:r>
    </w:p>
    <w:p w14:paraId="6B935635" w14:textId="2EB787BD" w:rsidR="00047B47" w:rsidRDefault="00047B47" w:rsidP="00047B47">
      <w:r w:rsidRPr="00047B47">
        <w:t>PASC “considered that ‘last line of therapy</w:t>
      </w:r>
      <w:r w:rsidR="00E3365A">
        <w:t>,’</w:t>
      </w:r>
      <w:r w:rsidRPr="00047B47">
        <w:t xml:space="preserve"> ‘usual care’ and ‘no active treatment’ need to be clearly defined and consistently applied, along with explicit clarification of the differences between no active treatment versus conservative medical management</w:t>
      </w:r>
      <w:r w:rsidR="00E3365A">
        <w:t>.”</w:t>
      </w:r>
      <w:r w:rsidRPr="00047B47">
        <w:t xml:space="preserve"> The</w:t>
      </w:r>
      <w:r>
        <w:t xml:space="preserve"> commentary considers that the</w:t>
      </w:r>
      <w:r w:rsidRPr="00047B47">
        <w:t xml:space="preserve"> resubmission fails to do this.</w:t>
      </w:r>
      <w:r w:rsidR="003A3984">
        <w:t xml:space="preserve"> The </w:t>
      </w:r>
      <w:r w:rsidR="008333F0">
        <w:t xml:space="preserve">applicant’s </w:t>
      </w:r>
      <w:r w:rsidR="003A3984">
        <w:t>p</w:t>
      </w:r>
      <w:r w:rsidR="007F44E0">
        <w:t>re-</w:t>
      </w:r>
      <w:r w:rsidR="003A3984">
        <w:t xml:space="preserve">ESC response clarified that the term ‘active treatment’ </w:t>
      </w:r>
      <w:r w:rsidR="009A0069">
        <w:t xml:space="preserve">was detailed in </w:t>
      </w:r>
      <w:r w:rsidR="003A3984">
        <w:t>the ADAR</w:t>
      </w:r>
      <w:r w:rsidR="009A0069">
        <w:t xml:space="preserve"> (in the paragraph below Figure 4)</w:t>
      </w:r>
      <w:r w:rsidR="003A3984">
        <w:t xml:space="preserve"> as </w:t>
      </w:r>
      <w:r w:rsidR="007F44E0">
        <w:t xml:space="preserve">consisting of </w:t>
      </w:r>
      <w:r w:rsidR="007F44E0">
        <w:rPr>
          <w:lang w:val="en-US"/>
        </w:rPr>
        <w:t>‘</w:t>
      </w:r>
      <w:r w:rsidR="007F44E0" w:rsidRPr="007F44E0">
        <w:rPr>
          <w:lang w:val="en-US"/>
        </w:rPr>
        <w:t xml:space="preserve">Continuous positive airway pressure </w:t>
      </w:r>
      <w:r w:rsidR="007F44E0">
        <w:rPr>
          <w:lang w:val="en-US"/>
        </w:rPr>
        <w:t>(CPAP), m</w:t>
      </w:r>
      <w:r w:rsidR="007F44E0" w:rsidRPr="007F44E0">
        <w:rPr>
          <w:lang w:val="en-US"/>
        </w:rPr>
        <w:t xml:space="preserve">andibular advancement splint </w:t>
      </w:r>
      <w:r w:rsidR="007F44E0">
        <w:rPr>
          <w:lang w:val="en-US"/>
        </w:rPr>
        <w:t>(MAS) and surgical options.’</w:t>
      </w:r>
      <w:r w:rsidR="009A0069">
        <w:rPr>
          <w:lang w:val="en-US"/>
        </w:rPr>
        <w:t xml:space="preserve"> The ADAR has defined “no active treatment” as lifestyle interventions such as weight management, sleep hygiene, alcohol consumption management or positional therapies. </w:t>
      </w:r>
    </w:p>
    <w:p w14:paraId="4215DC15" w14:textId="0948C9CA" w:rsidR="00C862D6" w:rsidRDefault="00047B47" w:rsidP="00C862D6">
      <w:r w:rsidRPr="00047B47">
        <w:t>Application 1595 has a supplementary comparator of upper airway surgery represented by uvulopalatopharyngoplasty (UP</w:t>
      </w:r>
      <w:r w:rsidR="00E50EAC">
        <w:t>P</w:t>
      </w:r>
      <w:r w:rsidRPr="00047B47">
        <w:t>P) which has been removed as a comparator in the resubmission. PASC considered this reasonable but “indicated this would need to be articulated and justified in the resubmission assessment report.” Th</w:t>
      </w:r>
      <w:r>
        <w:t>e commentary considers that this</w:t>
      </w:r>
      <w:r w:rsidRPr="00047B47">
        <w:t xml:space="preserve"> has not been done.</w:t>
      </w:r>
      <w:r w:rsidR="00C862D6">
        <w:t xml:space="preserve"> While acknowledging this point, the </w:t>
      </w:r>
      <w:r w:rsidR="008333F0">
        <w:t xml:space="preserve">applicant’s </w:t>
      </w:r>
      <w:r w:rsidR="00C862D6">
        <w:t xml:space="preserve">pre-ESC response noted that the </w:t>
      </w:r>
      <w:r w:rsidR="00C862D6" w:rsidRPr="00436497">
        <w:t>patient population</w:t>
      </w:r>
      <w:r w:rsidR="00C862D6">
        <w:t xml:space="preserve"> definition already rules out upper airway surgery </w:t>
      </w:r>
      <w:r w:rsidR="00C862D6" w:rsidRPr="00436497">
        <w:t>as a comparator</w:t>
      </w:r>
      <w:r w:rsidR="00C862D6">
        <w:t xml:space="preserve"> as the definition refers to patients ‘</w:t>
      </w:r>
      <w:r w:rsidR="00C862D6" w:rsidRPr="00436497">
        <w:t>receiving no active treatment, have tria</w:t>
      </w:r>
      <w:r w:rsidR="00C862D6">
        <w:t>l</w:t>
      </w:r>
      <w:r w:rsidR="00C862D6" w:rsidRPr="00436497">
        <w:t>led or are not suitable for all other treatments’.  Under this scenario patients would either have had unsuccessful surgery, or not be suitable for surgery</w:t>
      </w:r>
      <w:r w:rsidR="00C862D6">
        <w:t xml:space="preserve"> and therefore upper airway surgery would not be a comparator to UAS.</w:t>
      </w:r>
    </w:p>
    <w:p w14:paraId="47BC3A84" w14:textId="2D088A15" w:rsidR="00772829" w:rsidRPr="00CE28E3" w:rsidRDefault="00BB67A5" w:rsidP="002A18BE">
      <w:pPr>
        <w:pStyle w:val="Heading2"/>
        <w:numPr>
          <w:ilvl w:val="0"/>
          <w:numId w:val="0"/>
        </w:numPr>
      </w:pPr>
      <w:bookmarkStart w:id="20" w:name="_Toc69491421"/>
      <w:r>
        <w:t>9</w:t>
      </w:r>
      <w:r w:rsidR="00C36633">
        <w:t>.</w:t>
      </w:r>
      <w:r w:rsidR="00C36633">
        <w:tab/>
      </w:r>
      <w:r w:rsidR="00772829" w:rsidRPr="00CE28E3">
        <w:t xml:space="preserve">Summary of public consultation </w:t>
      </w:r>
      <w:r w:rsidR="0052575D">
        <w:t>input</w:t>
      </w:r>
      <w:bookmarkEnd w:id="20"/>
    </w:p>
    <w:p w14:paraId="53E95EFD" w14:textId="77777777" w:rsidR="00AB3AB1" w:rsidRDefault="0029394A" w:rsidP="00AB3AB1">
      <w:r w:rsidRPr="00FA15C8">
        <w:t xml:space="preserve">Consultation feedback further to this resubmission was received from </w:t>
      </w:r>
      <w:r w:rsidR="00AB3AB1">
        <w:t>five</w:t>
      </w:r>
      <w:r w:rsidR="00AB3AB1" w:rsidRPr="00FA15C8">
        <w:t xml:space="preserve"> organisations</w:t>
      </w:r>
      <w:r w:rsidR="00AB3AB1">
        <w:t xml:space="preserve"> and seven </w:t>
      </w:r>
      <w:r w:rsidR="00AB3AB1" w:rsidRPr="00FA15C8">
        <w:t xml:space="preserve">individual </w:t>
      </w:r>
      <w:r w:rsidR="00AB3AB1">
        <w:t>health professionals including a GP, specialists and surgeons</w:t>
      </w:r>
      <w:r w:rsidR="00AB3AB1" w:rsidRPr="00FA15C8">
        <w:t>.</w:t>
      </w:r>
      <w:r w:rsidR="00AB3AB1">
        <w:t xml:space="preserve"> The organisations that submitted input were: </w:t>
      </w:r>
    </w:p>
    <w:p w14:paraId="3AEE02B3" w14:textId="77777777" w:rsidR="00AB3AB1" w:rsidRDefault="00AB3AB1" w:rsidP="00AB3AB1">
      <w:pPr>
        <w:pStyle w:val="ListParagraph"/>
        <w:numPr>
          <w:ilvl w:val="0"/>
          <w:numId w:val="27"/>
        </w:numPr>
        <w:spacing w:before="0"/>
      </w:pPr>
      <w:r>
        <w:t>Sleep Health Foundation</w:t>
      </w:r>
    </w:p>
    <w:p w14:paraId="57EA715B" w14:textId="77777777" w:rsidR="00AB3AB1" w:rsidRDefault="00AB3AB1" w:rsidP="00AB3AB1">
      <w:pPr>
        <w:pStyle w:val="ListParagraph"/>
        <w:numPr>
          <w:ilvl w:val="0"/>
          <w:numId w:val="27"/>
        </w:numPr>
        <w:spacing w:before="0" w:after="200" w:line="276" w:lineRule="auto"/>
      </w:pPr>
      <w:r>
        <w:t>The Australian Society of Otolaryngology Head and Neck Surgery (ASOHNS)</w:t>
      </w:r>
    </w:p>
    <w:p w14:paraId="580B9237" w14:textId="77777777" w:rsidR="00AB3AB1" w:rsidRDefault="00AB3AB1" w:rsidP="00AB3AB1">
      <w:pPr>
        <w:pStyle w:val="ListParagraph"/>
        <w:numPr>
          <w:ilvl w:val="0"/>
          <w:numId w:val="27"/>
        </w:numPr>
        <w:spacing w:before="0" w:after="200" w:line="276" w:lineRule="auto"/>
      </w:pPr>
      <w:r>
        <w:t>Australia and New Zealand Sleep Science Association (ANZSSA)</w:t>
      </w:r>
    </w:p>
    <w:p w14:paraId="4394B596" w14:textId="77777777" w:rsidR="00AB3AB1" w:rsidRDefault="00AB3AB1" w:rsidP="00AB3AB1">
      <w:pPr>
        <w:pStyle w:val="ListParagraph"/>
        <w:numPr>
          <w:ilvl w:val="0"/>
          <w:numId w:val="27"/>
        </w:numPr>
        <w:spacing w:before="0" w:after="200" w:line="276" w:lineRule="auto"/>
      </w:pPr>
      <w:r>
        <w:t xml:space="preserve">Australian Hypoglossal Implant Centre (AHI-C) </w:t>
      </w:r>
    </w:p>
    <w:p w14:paraId="0C10EAAA" w14:textId="1E6FD6EB" w:rsidR="0029394A" w:rsidRDefault="00AB3AB1" w:rsidP="00AB3AB1">
      <w:pPr>
        <w:pStyle w:val="ListParagraph"/>
        <w:numPr>
          <w:ilvl w:val="0"/>
          <w:numId w:val="27"/>
        </w:numPr>
        <w:spacing w:before="0" w:after="200" w:line="276" w:lineRule="auto"/>
      </w:pPr>
      <w:r>
        <w:t>The Australasian Sleep Association (ASA)</w:t>
      </w:r>
      <w:r w:rsidR="0029394A">
        <w:t xml:space="preserve"> </w:t>
      </w:r>
    </w:p>
    <w:p w14:paraId="000734EF" w14:textId="77777777" w:rsidR="0029394A" w:rsidRDefault="0029394A" w:rsidP="0029394A">
      <w:r>
        <w:lastRenderedPageBreak/>
        <w:t xml:space="preserve">All input received indicated support for public funding for the service which was considered to be needed and clinically relevant for the proposed population. </w:t>
      </w:r>
    </w:p>
    <w:p w14:paraId="2F8658A4" w14:textId="44F1167E" w:rsidR="0029394A" w:rsidRDefault="0029394A" w:rsidP="0029394A">
      <w:r>
        <w:t>One of the organisations considered that the service would be an important addition to the area of treating obstructive sleep apnoea. One of the organisations also considered that since there are many alternative devices to the closed loop system approved internationally, the assessment should be broader in its scope and not just consider “closed loop” devices,</w:t>
      </w:r>
      <w:r w:rsidR="001E0BC1">
        <w:t xml:space="preserve"> </w:t>
      </w:r>
      <w:r>
        <w:t xml:space="preserve">but be open to the use of any “hypoglossal nerve stimulation device”. </w:t>
      </w:r>
    </w:p>
    <w:p w14:paraId="50035EAD" w14:textId="51DF1C4D" w:rsidR="0029394A" w:rsidRDefault="0029394A" w:rsidP="0029394A">
      <w:r>
        <w:t xml:space="preserve">The individual surgeons and specialists were all very supportive of the service, however they shared concern regarding leakage to the general population and use in other indications outside the target patient population. They supported all efforts to carefully select patients to limit this service to those that stand to benefit the most and have exhausted all available publicly funded options for treatment. It was noted that these patients may develop other health conditions as a consequence of their sleep apnoea not being adequately treated, so having this service publicly funded will ensure that these patients are afforded a last line option which may prevent them developing comorbidities and may also reduce the cost on the health system in future. </w:t>
      </w:r>
    </w:p>
    <w:p w14:paraId="03C7A1F1" w14:textId="0E7DDDE5" w:rsidR="00772829" w:rsidRPr="00CE28E3" w:rsidRDefault="00EE4112" w:rsidP="002A18BE">
      <w:pPr>
        <w:pStyle w:val="Heading2"/>
        <w:numPr>
          <w:ilvl w:val="0"/>
          <w:numId w:val="0"/>
        </w:numPr>
      </w:pPr>
      <w:bookmarkStart w:id="21" w:name="_Toc69491422"/>
      <w:r>
        <w:t>10</w:t>
      </w:r>
      <w:r w:rsidR="00C36633">
        <w:t>.</w:t>
      </w:r>
      <w:r w:rsidR="00C36633">
        <w:tab/>
      </w:r>
      <w:r w:rsidR="00772829" w:rsidRPr="00CE28E3">
        <w:t>Characteristics of the evidence base</w:t>
      </w:r>
      <w:bookmarkEnd w:id="21"/>
    </w:p>
    <w:p w14:paraId="3AA5277C" w14:textId="12C09B45" w:rsidR="00AF06D6" w:rsidRDefault="00AF06D6" w:rsidP="00AF06D6">
      <w:r>
        <w:t xml:space="preserve">The </w:t>
      </w:r>
      <w:r w:rsidR="006F0DE5">
        <w:t>a</w:t>
      </w:r>
      <w:r>
        <w:t>pplicant undertook a literature search to update the evidence presented in Application 1595. The search identified seven studies (11 records) for inclusion. Six of the studies were not included in Application 1595</w:t>
      </w:r>
      <w:r w:rsidR="00BC364A">
        <w:t>;</w:t>
      </w:r>
      <w:r>
        <w:t xml:space="preserve"> none of these were included in the clinical evaluation except in the section ‘Extended Assessment of Harms.’ The clinical evaluation almost exclusively reported the outcomes of the STAR trial</w:t>
      </w:r>
      <w:r w:rsidR="00BC364A">
        <w:t>,</w:t>
      </w:r>
      <w:r>
        <w:t xml:space="preserve"> which is the same study reported in Application 1595.</w:t>
      </w:r>
    </w:p>
    <w:p w14:paraId="4F2635A7" w14:textId="6E461F6F" w:rsidR="00AF06D6" w:rsidRDefault="00AF06D6" w:rsidP="00AF06D6">
      <w:r w:rsidRPr="00AF06D6">
        <w:t>A targeted, rapid search of the literature</w:t>
      </w:r>
      <w:r>
        <w:t xml:space="preserve"> undertaken for the commentary</w:t>
      </w:r>
      <w:r w:rsidRPr="00AF06D6">
        <w:t xml:space="preserve"> identified multiple studies </w:t>
      </w:r>
      <w:r w:rsidR="000665C2">
        <w:t>that</w:t>
      </w:r>
      <w:r w:rsidR="000665C2" w:rsidRPr="00AF06D6">
        <w:t xml:space="preserve"> </w:t>
      </w:r>
      <w:r>
        <w:t>were</w:t>
      </w:r>
      <w:r w:rsidRPr="00AF06D6">
        <w:t xml:space="preserve"> not included in the literature review</w:t>
      </w:r>
      <w:r>
        <w:t xml:space="preserve"> or</w:t>
      </w:r>
      <w:r w:rsidRPr="00AF06D6">
        <w:t xml:space="preserve"> listed in the excluded studies list and could provide additional relevant information.</w:t>
      </w:r>
      <w:r w:rsidR="00480F77">
        <w:t xml:space="preserve"> The commentary has extracted data from the following studies to supplement that from the STAR trial presented by the </w:t>
      </w:r>
      <w:r w:rsidR="006F0DE5">
        <w:t>a</w:t>
      </w:r>
      <w:r w:rsidR="00480F77">
        <w:t>pplicant:</w:t>
      </w:r>
    </w:p>
    <w:p w14:paraId="2E598AD3" w14:textId="03B93717" w:rsidR="00480F77" w:rsidRDefault="00480F77" w:rsidP="00C102DA">
      <w:pPr>
        <w:pStyle w:val="ListParagraph"/>
        <w:numPr>
          <w:ilvl w:val="0"/>
          <w:numId w:val="18"/>
        </w:numPr>
      </w:pPr>
      <w:r>
        <w:t xml:space="preserve">Mehra (2020) – an analysis from the </w:t>
      </w:r>
      <w:r w:rsidR="00FB05EB">
        <w:t>Adherence and Outcome of Upper Airway</w:t>
      </w:r>
      <w:r w:rsidR="00C102DA">
        <w:t xml:space="preserve"> </w:t>
      </w:r>
      <w:r w:rsidR="00FB05EB">
        <w:t>Stimulation for OSA International (</w:t>
      </w:r>
      <w:r>
        <w:t>ADHERE</w:t>
      </w:r>
      <w:r w:rsidR="00FB05EB">
        <w:t>)</w:t>
      </w:r>
      <w:r>
        <w:t xml:space="preserve"> registry comparing UAS against usual care identified in the </w:t>
      </w:r>
      <w:r w:rsidR="006F0DE5">
        <w:t>a</w:t>
      </w:r>
      <w:r>
        <w:t>pplicant’s updated literature search but not reported on</w:t>
      </w:r>
    </w:p>
    <w:p w14:paraId="6B60A53C" w14:textId="0430B51B" w:rsidR="00480F77" w:rsidRDefault="00480F77" w:rsidP="000478CD">
      <w:pPr>
        <w:pStyle w:val="ListParagraph"/>
        <w:numPr>
          <w:ilvl w:val="0"/>
          <w:numId w:val="18"/>
        </w:numPr>
      </w:pPr>
      <w:r>
        <w:t xml:space="preserve">EFFECT – identified in the </w:t>
      </w:r>
      <w:r w:rsidR="006F0DE5">
        <w:t>a</w:t>
      </w:r>
      <w:r>
        <w:t xml:space="preserve">pplicant’s updated literature search but not reported on </w:t>
      </w:r>
    </w:p>
    <w:p w14:paraId="244BD2A1" w14:textId="34FF1DDE" w:rsidR="00480F77" w:rsidRDefault="00480F77" w:rsidP="000478CD">
      <w:pPr>
        <w:pStyle w:val="ListParagraph"/>
        <w:numPr>
          <w:ilvl w:val="0"/>
          <w:numId w:val="18"/>
        </w:numPr>
      </w:pPr>
      <w:r>
        <w:t xml:space="preserve">ADHERE registry for safety outcomes </w:t>
      </w:r>
      <w:r w:rsidRPr="00480F77">
        <w:t>(Thaler, 2019</w:t>
      </w:r>
      <w:r>
        <w:t xml:space="preserve"> and</w:t>
      </w:r>
      <w:r w:rsidRPr="00480F77">
        <w:t xml:space="preserve"> Suurna, 2020</w:t>
      </w:r>
      <w:r w:rsidR="00E50EAC">
        <w:rPr>
          <w:rStyle w:val="FootnoteReference"/>
        </w:rPr>
        <w:footnoteReference w:id="5"/>
      </w:r>
      <w:r w:rsidRPr="00480F77">
        <w:t>)</w:t>
      </w:r>
      <w:r w:rsidR="000E4FE2" w:rsidRPr="000E4FE2">
        <w:t xml:space="preserve"> </w:t>
      </w:r>
      <w:r w:rsidR="000E4FE2">
        <w:t xml:space="preserve">– identified in the </w:t>
      </w:r>
      <w:r w:rsidR="006F0DE5">
        <w:t>a</w:t>
      </w:r>
      <w:r w:rsidR="000E4FE2">
        <w:t>pplicant’s updated literature search but not reported on</w:t>
      </w:r>
    </w:p>
    <w:p w14:paraId="0DEE7570" w14:textId="6AE8B9A2" w:rsidR="00480F77" w:rsidRDefault="00480F77" w:rsidP="000478CD">
      <w:pPr>
        <w:pStyle w:val="ListParagraph"/>
        <w:numPr>
          <w:ilvl w:val="0"/>
          <w:numId w:val="18"/>
        </w:numPr>
      </w:pPr>
      <w:r>
        <w:t>German post</w:t>
      </w:r>
      <w:r w:rsidR="00E3365A">
        <w:t>-market</w:t>
      </w:r>
      <w:r>
        <w:t xml:space="preserve"> study (Steffen, 2019</w:t>
      </w:r>
      <w:r w:rsidR="00DF6731">
        <w:rPr>
          <w:rStyle w:val="FootnoteReference"/>
        </w:rPr>
        <w:footnoteReference w:id="6"/>
      </w:r>
      <w:r>
        <w:t>) for safety outcomes</w:t>
      </w:r>
      <w:r w:rsidR="000E4FE2">
        <w:t xml:space="preserve">– identified in the </w:t>
      </w:r>
      <w:r w:rsidR="006F0DE5">
        <w:t>a</w:t>
      </w:r>
      <w:r w:rsidR="000E4FE2">
        <w:t>pplicant’s updated literature search but not reported on</w:t>
      </w:r>
    </w:p>
    <w:p w14:paraId="224B927F" w14:textId="444A66AF" w:rsidR="000E4FE2" w:rsidRDefault="000E4FE2" w:rsidP="000478CD">
      <w:pPr>
        <w:pStyle w:val="ListParagraph"/>
        <w:numPr>
          <w:ilvl w:val="0"/>
          <w:numId w:val="18"/>
        </w:numPr>
      </w:pPr>
      <w:r w:rsidRPr="000E4FE2">
        <w:t>Lorenz and Goyal</w:t>
      </w:r>
      <w:r>
        <w:t xml:space="preserve"> (</w:t>
      </w:r>
      <w:r w:rsidRPr="000E4FE2">
        <w:t>2022</w:t>
      </w:r>
      <w:r w:rsidR="00DF6731">
        <w:rPr>
          <w:rStyle w:val="FootnoteReference"/>
        </w:rPr>
        <w:footnoteReference w:id="7"/>
      </w:r>
      <w:r>
        <w:t>)</w:t>
      </w:r>
      <w:r w:rsidRPr="000E4FE2">
        <w:t xml:space="preserve"> </w:t>
      </w:r>
      <w:r>
        <w:t xml:space="preserve">for safety outcomes – not identified by the </w:t>
      </w:r>
      <w:r w:rsidR="006F0DE5">
        <w:t>a</w:t>
      </w:r>
      <w:r>
        <w:t>pplicant</w:t>
      </w:r>
    </w:p>
    <w:p w14:paraId="6E4FF928" w14:textId="6A5FF69C" w:rsidR="000E4FE2" w:rsidRDefault="000E4FE2" w:rsidP="000478CD">
      <w:pPr>
        <w:pStyle w:val="ListParagraph"/>
        <w:numPr>
          <w:ilvl w:val="0"/>
          <w:numId w:val="18"/>
        </w:numPr>
      </w:pPr>
      <w:r>
        <w:lastRenderedPageBreak/>
        <w:t>Walia (2020</w:t>
      </w:r>
      <w:r w:rsidR="00DF6731">
        <w:rPr>
          <w:rStyle w:val="FootnoteReference"/>
        </w:rPr>
        <w:footnoteReference w:id="8"/>
      </w:r>
      <w:r>
        <w:t xml:space="preserve">) for cardiovascular outcomes - not identified by the </w:t>
      </w:r>
      <w:r w:rsidR="006F0DE5">
        <w:t>a</w:t>
      </w:r>
      <w:r>
        <w:t>pplicant.</w:t>
      </w:r>
    </w:p>
    <w:p w14:paraId="6543C454" w14:textId="3390F23C" w:rsidR="00203B7E" w:rsidRPr="003251C2" w:rsidRDefault="00203B7E" w:rsidP="00203B7E">
      <w:r>
        <w:t xml:space="preserve">With the exception of Lorenz and Goyal (2022), all studies in </w:t>
      </w:r>
      <w:r w:rsidR="00C21730">
        <w:t>Table 7</w:t>
      </w:r>
      <w:r>
        <w:t xml:space="preserve"> are</w:t>
      </w:r>
      <w:r w:rsidR="00D74558">
        <w:t xml:space="preserve"> funded by Inspire Medical Systems or the authors received consultancy fees and/or expenses from Inspire Medical Systems</w:t>
      </w:r>
      <w:r>
        <w:t xml:space="preserve">. </w:t>
      </w:r>
    </w:p>
    <w:p w14:paraId="692BCA4B" w14:textId="5AA9B80B" w:rsidR="00956ACE" w:rsidRPr="00330A0A" w:rsidRDefault="00956ACE" w:rsidP="009A06F4">
      <w:pPr>
        <w:pStyle w:val="Caption"/>
        <w:rPr>
          <w:color w:val="538135" w:themeColor="accent6" w:themeShade="BF"/>
          <w:sz w:val="16"/>
          <w:szCs w:val="16"/>
        </w:rPr>
      </w:pPr>
      <w:bookmarkStart w:id="22" w:name="_Ref69725651"/>
      <w:r w:rsidRPr="00CE28E3">
        <w:t>Table</w:t>
      </w:r>
      <w:r w:rsidR="004A4FDF">
        <w:t> </w:t>
      </w:r>
      <w:r w:rsidR="00C21730">
        <w:t>7</w:t>
      </w:r>
      <w:bookmarkEnd w:id="22"/>
      <w:r w:rsidRPr="00CE28E3">
        <w:tab/>
        <w:t>Key features of the included evidence</w:t>
      </w:r>
      <w:r w:rsidRPr="00330A0A">
        <w:rPr>
          <w:color w:val="538135" w:themeColor="accent6" w:themeShade="BF"/>
        </w:rPr>
        <w:t xml:space="preserve"> </w:t>
      </w:r>
      <w:r w:rsidR="000E4FE2" w:rsidRPr="000E4FE2">
        <w:t xml:space="preserve">for </w:t>
      </w:r>
      <w:r w:rsidR="000E4FE2">
        <w:t xml:space="preserve">closed loop </w:t>
      </w:r>
      <w:r w:rsidR="000E4FE2" w:rsidRPr="000E4FE2">
        <w:t>UAS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for closed loop UAS"/>
        <w:tblDescription w:val="Presents the study design, risk of bias, patient population and outcomes of the key studies included in the assessment"/>
      </w:tblPr>
      <w:tblGrid>
        <w:gridCol w:w="1274"/>
        <w:gridCol w:w="904"/>
        <w:gridCol w:w="1399"/>
        <w:gridCol w:w="1109"/>
        <w:gridCol w:w="1535"/>
        <w:gridCol w:w="1113"/>
        <w:gridCol w:w="1682"/>
      </w:tblGrid>
      <w:tr w:rsidR="00956ACE" w:rsidRPr="00CE28E3" w14:paraId="475D8C60" w14:textId="77777777" w:rsidTr="004257B9">
        <w:trPr>
          <w:cantSplit/>
          <w:tblHeader/>
        </w:trPr>
        <w:tc>
          <w:tcPr>
            <w:tcW w:w="707" w:type="pct"/>
            <w:shd w:val="clear" w:color="auto" w:fill="auto"/>
            <w:vAlign w:val="center"/>
          </w:tcPr>
          <w:p w14:paraId="4FFC981B" w14:textId="77777777" w:rsidR="00956ACE" w:rsidRPr="00CE28E3" w:rsidRDefault="00956ACE" w:rsidP="00824458">
            <w:pPr>
              <w:pStyle w:val="In-tableHeading"/>
            </w:pPr>
            <w:bookmarkStart w:id="23" w:name="ColumnTitle_Table3"/>
            <w:bookmarkStart w:id="24" w:name="_Hlk68276112"/>
            <w:bookmarkEnd w:id="23"/>
            <w:r w:rsidRPr="00CE28E3">
              <w:t>References</w:t>
            </w:r>
          </w:p>
        </w:tc>
        <w:tc>
          <w:tcPr>
            <w:tcW w:w="501" w:type="pct"/>
            <w:shd w:val="clear" w:color="auto" w:fill="auto"/>
            <w:vAlign w:val="center"/>
          </w:tcPr>
          <w:p w14:paraId="28641D20" w14:textId="77777777" w:rsidR="00956ACE" w:rsidRPr="00CE28E3" w:rsidRDefault="00956ACE" w:rsidP="00824458">
            <w:pPr>
              <w:pStyle w:val="In-tableHeading"/>
              <w:jc w:val="center"/>
            </w:pPr>
            <w:r w:rsidRPr="00CE28E3">
              <w:t>N</w:t>
            </w:r>
          </w:p>
        </w:tc>
        <w:tc>
          <w:tcPr>
            <w:tcW w:w="776" w:type="pct"/>
            <w:shd w:val="clear" w:color="auto" w:fill="auto"/>
            <w:vAlign w:val="center"/>
          </w:tcPr>
          <w:p w14:paraId="23BE1BE2" w14:textId="0DE3768C" w:rsidR="00956ACE" w:rsidRPr="00CE28E3" w:rsidRDefault="00956ACE" w:rsidP="00824458">
            <w:pPr>
              <w:pStyle w:val="In-tableHeading"/>
              <w:jc w:val="center"/>
            </w:pPr>
            <w:r w:rsidRPr="00CE28E3">
              <w:t>Design/duration</w:t>
            </w:r>
          </w:p>
        </w:tc>
        <w:tc>
          <w:tcPr>
            <w:tcW w:w="615" w:type="pct"/>
            <w:shd w:val="clear" w:color="auto" w:fill="auto"/>
            <w:vAlign w:val="center"/>
          </w:tcPr>
          <w:p w14:paraId="4F407CF9" w14:textId="77777777" w:rsidR="00956ACE" w:rsidRPr="00CE28E3" w:rsidRDefault="00956ACE" w:rsidP="00824458">
            <w:pPr>
              <w:pStyle w:val="In-tableHeading"/>
              <w:jc w:val="center"/>
            </w:pPr>
            <w:r w:rsidRPr="00CE28E3">
              <w:t>Risk of bias</w:t>
            </w:r>
          </w:p>
        </w:tc>
        <w:tc>
          <w:tcPr>
            <w:tcW w:w="851" w:type="pct"/>
            <w:shd w:val="clear" w:color="auto" w:fill="auto"/>
            <w:vAlign w:val="center"/>
          </w:tcPr>
          <w:p w14:paraId="78074E6B" w14:textId="77777777" w:rsidR="00956ACE" w:rsidRPr="00CE28E3" w:rsidRDefault="00956ACE" w:rsidP="00824458">
            <w:pPr>
              <w:pStyle w:val="In-tableHeading"/>
              <w:jc w:val="center"/>
            </w:pPr>
            <w:r w:rsidRPr="00CE28E3">
              <w:t>Patient population</w:t>
            </w:r>
          </w:p>
        </w:tc>
        <w:tc>
          <w:tcPr>
            <w:tcW w:w="617" w:type="pct"/>
            <w:shd w:val="clear" w:color="auto" w:fill="auto"/>
            <w:vAlign w:val="center"/>
          </w:tcPr>
          <w:p w14:paraId="4B5869A3" w14:textId="77777777" w:rsidR="00956ACE" w:rsidRPr="00CE28E3" w:rsidRDefault="00956ACE" w:rsidP="00824458">
            <w:pPr>
              <w:pStyle w:val="In-tableHeading"/>
              <w:jc w:val="center"/>
            </w:pPr>
            <w:r w:rsidRPr="00CE28E3">
              <w:t>Outcome(s)</w:t>
            </w:r>
          </w:p>
        </w:tc>
        <w:tc>
          <w:tcPr>
            <w:tcW w:w="933" w:type="pct"/>
            <w:shd w:val="clear" w:color="auto" w:fill="auto"/>
            <w:vAlign w:val="center"/>
          </w:tcPr>
          <w:p w14:paraId="19D97B58" w14:textId="77777777" w:rsidR="00956ACE" w:rsidRPr="00CE28E3" w:rsidRDefault="00956ACE" w:rsidP="00824458">
            <w:pPr>
              <w:pStyle w:val="In-tableHeading"/>
              <w:jc w:val="center"/>
            </w:pPr>
            <w:r w:rsidRPr="00CE28E3">
              <w:t>Use in modelled evaluation</w:t>
            </w:r>
          </w:p>
        </w:tc>
      </w:tr>
      <w:tr w:rsidR="00956ACE" w:rsidRPr="00CE28E3" w14:paraId="0C31313E" w14:textId="77777777" w:rsidTr="00824458">
        <w:trPr>
          <w:cantSplit/>
        </w:trPr>
        <w:tc>
          <w:tcPr>
            <w:tcW w:w="5000" w:type="pct"/>
            <w:gridSpan w:val="7"/>
            <w:shd w:val="clear" w:color="auto" w:fill="auto"/>
            <w:vAlign w:val="center"/>
          </w:tcPr>
          <w:p w14:paraId="6ADF1B8F" w14:textId="6D8D3A8F" w:rsidR="00956ACE" w:rsidRPr="00CE28E3" w:rsidRDefault="000E4FE2" w:rsidP="00824458">
            <w:pPr>
              <w:pStyle w:val="In-tableHeading"/>
            </w:pPr>
            <w:bookmarkStart w:id="25" w:name="_Hlk121253168"/>
            <w:r>
              <w:t>Closed loop UAS</w:t>
            </w:r>
            <w:r w:rsidR="00956ACE" w:rsidRPr="00CE28E3">
              <w:t xml:space="preserve"> vs </w:t>
            </w:r>
            <w:r>
              <w:t>usual care</w:t>
            </w:r>
          </w:p>
        </w:tc>
      </w:tr>
      <w:bookmarkEnd w:id="25"/>
      <w:tr w:rsidR="00956ACE" w:rsidRPr="00CE28E3" w14:paraId="7E776818" w14:textId="77777777" w:rsidTr="004257B9">
        <w:trPr>
          <w:cantSplit/>
        </w:trPr>
        <w:tc>
          <w:tcPr>
            <w:tcW w:w="707" w:type="pct"/>
            <w:shd w:val="clear" w:color="auto" w:fill="auto"/>
            <w:vAlign w:val="center"/>
          </w:tcPr>
          <w:p w14:paraId="563AC767" w14:textId="3543D89C" w:rsidR="00956ACE" w:rsidRPr="00CE28E3" w:rsidRDefault="000E4FE2" w:rsidP="00824458">
            <w:pPr>
              <w:pStyle w:val="TableText"/>
              <w:rPr>
                <w:lang w:val="en-US"/>
              </w:rPr>
            </w:pPr>
            <w:r>
              <w:rPr>
                <w:lang w:val="en-US"/>
              </w:rPr>
              <w:t>Mehra (2020)</w:t>
            </w:r>
            <w:r w:rsidR="00445E31">
              <w:rPr>
                <w:lang w:val="en-US"/>
              </w:rPr>
              <w:t xml:space="preserve"> (ADHERE Sub</w:t>
            </w:r>
            <w:r w:rsidR="00E3365A">
              <w:rPr>
                <w:lang w:val="en-US"/>
              </w:rPr>
              <w:t>study</w:t>
            </w:r>
            <w:r w:rsidR="00445E31">
              <w:rPr>
                <w:lang w:val="en-US"/>
              </w:rPr>
              <w:t>)</w:t>
            </w:r>
          </w:p>
        </w:tc>
        <w:tc>
          <w:tcPr>
            <w:tcW w:w="501" w:type="pct"/>
            <w:shd w:val="clear" w:color="auto" w:fill="auto"/>
            <w:vAlign w:val="center"/>
          </w:tcPr>
          <w:p w14:paraId="1FAF9D05" w14:textId="7F8C1C8F" w:rsidR="00956ACE" w:rsidRDefault="000E4FE2" w:rsidP="00824458">
            <w:pPr>
              <w:pStyle w:val="TableText"/>
              <w:jc w:val="center"/>
              <w:rPr>
                <w:lang w:val="en-US"/>
              </w:rPr>
            </w:pPr>
            <w:r>
              <w:rPr>
                <w:lang w:val="en-US"/>
              </w:rPr>
              <w:t>UAS = 250</w:t>
            </w:r>
          </w:p>
          <w:p w14:paraId="280096E2" w14:textId="47991763" w:rsidR="000E4FE2" w:rsidRPr="00CE28E3" w:rsidRDefault="000E4FE2" w:rsidP="00824458">
            <w:pPr>
              <w:pStyle w:val="TableText"/>
              <w:jc w:val="center"/>
              <w:rPr>
                <w:lang w:val="en-US"/>
              </w:rPr>
            </w:pPr>
            <w:r>
              <w:rPr>
                <w:lang w:val="en-US"/>
              </w:rPr>
              <w:t>No intervention = 100</w:t>
            </w:r>
          </w:p>
        </w:tc>
        <w:tc>
          <w:tcPr>
            <w:tcW w:w="776" w:type="pct"/>
            <w:shd w:val="clear" w:color="auto" w:fill="auto"/>
            <w:vAlign w:val="center"/>
          </w:tcPr>
          <w:p w14:paraId="39A9151F" w14:textId="56C042F2" w:rsidR="00956ACE" w:rsidRPr="00CE28E3" w:rsidRDefault="000E4FE2" w:rsidP="00824458">
            <w:pPr>
              <w:pStyle w:val="TableText"/>
              <w:jc w:val="center"/>
              <w:rPr>
                <w:lang w:val="en-US"/>
              </w:rPr>
            </w:pPr>
            <w:r>
              <w:rPr>
                <w:lang w:val="en-US"/>
              </w:rPr>
              <w:t>MC</w:t>
            </w:r>
            <w:r w:rsidR="009B49B0">
              <w:rPr>
                <w:lang w:val="en-US"/>
              </w:rPr>
              <w:t xml:space="preserve">; PS, OB </w:t>
            </w:r>
          </w:p>
        </w:tc>
        <w:tc>
          <w:tcPr>
            <w:tcW w:w="615" w:type="pct"/>
            <w:shd w:val="clear" w:color="auto" w:fill="auto"/>
            <w:vAlign w:val="center"/>
          </w:tcPr>
          <w:p w14:paraId="269C28DF" w14:textId="49B60FD6" w:rsidR="00956ACE" w:rsidRPr="00CE28E3" w:rsidRDefault="004257B9" w:rsidP="00824458">
            <w:pPr>
              <w:pStyle w:val="TableText"/>
              <w:jc w:val="center"/>
              <w:rPr>
                <w:i/>
                <w:lang w:val="en-US"/>
              </w:rPr>
            </w:pPr>
            <w:r>
              <w:rPr>
                <w:i/>
                <w:lang w:val="en-US"/>
              </w:rPr>
              <w:t>High</w:t>
            </w:r>
          </w:p>
        </w:tc>
        <w:tc>
          <w:tcPr>
            <w:tcW w:w="851" w:type="pct"/>
            <w:shd w:val="clear" w:color="auto" w:fill="auto"/>
            <w:vAlign w:val="center"/>
          </w:tcPr>
          <w:p w14:paraId="4FD8A7FC" w14:textId="1BAF7956" w:rsidR="00956ACE" w:rsidRPr="00CE28E3" w:rsidRDefault="004257B9" w:rsidP="002F426A">
            <w:pPr>
              <w:pStyle w:val="TableText"/>
              <w:jc w:val="center"/>
              <w:rPr>
                <w:lang w:val="en-US"/>
              </w:rPr>
            </w:pPr>
            <w:r w:rsidRPr="004257B9">
              <w:rPr>
                <w:lang w:val="en-US"/>
              </w:rPr>
              <w:t>OSA and PAP intolerance meeting UAS</w:t>
            </w:r>
            <w:r w:rsidR="002F426A">
              <w:rPr>
                <w:lang w:val="en-US"/>
              </w:rPr>
              <w:t xml:space="preserve"> </w:t>
            </w:r>
            <w:r w:rsidRPr="004257B9">
              <w:rPr>
                <w:lang w:val="en-US"/>
              </w:rPr>
              <w:t>implantation criteria</w:t>
            </w:r>
            <w:r w:rsidR="009B49B0" w:rsidRPr="009B49B0">
              <w:rPr>
                <w:vertAlign w:val="superscript"/>
                <w:lang w:val="en-US"/>
              </w:rPr>
              <w:t>a</w:t>
            </w:r>
            <w:r w:rsidRPr="004257B9">
              <w:rPr>
                <w:lang w:val="en-US"/>
              </w:rPr>
              <w:t xml:space="preserve"> who</w:t>
            </w:r>
            <w:r w:rsidR="002F426A">
              <w:rPr>
                <w:lang w:val="en-US"/>
              </w:rPr>
              <w:t xml:space="preserve"> </w:t>
            </w:r>
            <w:r w:rsidRPr="004257B9">
              <w:rPr>
                <w:lang w:val="en-US"/>
              </w:rPr>
              <w:t>requested</w:t>
            </w:r>
            <w:r w:rsidR="002F426A">
              <w:rPr>
                <w:lang w:val="en-US"/>
              </w:rPr>
              <w:t xml:space="preserve"> </w:t>
            </w:r>
            <w:r w:rsidRPr="004257B9">
              <w:rPr>
                <w:lang w:val="en-US"/>
              </w:rPr>
              <w:t>insurance preapproval for surgery</w:t>
            </w:r>
          </w:p>
        </w:tc>
        <w:tc>
          <w:tcPr>
            <w:tcW w:w="617" w:type="pct"/>
            <w:shd w:val="clear" w:color="auto" w:fill="auto"/>
            <w:vAlign w:val="center"/>
          </w:tcPr>
          <w:p w14:paraId="07CCA189" w14:textId="41887154" w:rsidR="00956ACE" w:rsidRDefault="004257B9" w:rsidP="00824458">
            <w:pPr>
              <w:pStyle w:val="TableText"/>
              <w:jc w:val="center"/>
              <w:rPr>
                <w:lang w:val="en-US"/>
              </w:rPr>
            </w:pPr>
            <w:r>
              <w:rPr>
                <w:lang w:val="en-US"/>
              </w:rPr>
              <w:t>AHI</w:t>
            </w:r>
          </w:p>
          <w:p w14:paraId="2A70818D" w14:textId="5B0151BB" w:rsidR="004257B9" w:rsidRDefault="004257B9" w:rsidP="00824458">
            <w:pPr>
              <w:pStyle w:val="TableText"/>
              <w:jc w:val="center"/>
              <w:rPr>
                <w:lang w:val="en-US"/>
              </w:rPr>
            </w:pPr>
            <w:r>
              <w:rPr>
                <w:lang w:val="en-US"/>
              </w:rPr>
              <w:t>ODI</w:t>
            </w:r>
          </w:p>
          <w:p w14:paraId="68C77902" w14:textId="77777777" w:rsidR="004257B9" w:rsidRDefault="004257B9" w:rsidP="00824458">
            <w:pPr>
              <w:pStyle w:val="TableText"/>
              <w:jc w:val="center"/>
              <w:rPr>
                <w:lang w:val="en-US"/>
              </w:rPr>
            </w:pPr>
            <w:r>
              <w:rPr>
                <w:lang w:val="en-US"/>
              </w:rPr>
              <w:t>ESS</w:t>
            </w:r>
          </w:p>
          <w:p w14:paraId="45B1587F" w14:textId="102025C9" w:rsidR="004257B9" w:rsidRPr="00CE28E3" w:rsidRDefault="004257B9" w:rsidP="00824458">
            <w:pPr>
              <w:pStyle w:val="TableText"/>
              <w:jc w:val="center"/>
              <w:rPr>
                <w:lang w:val="en-US"/>
              </w:rPr>
            </w:pPr>
            <w:r>
              <w:rPr>
                <w:lang w:val="en-US"/>
              </w:rPr>
              <w:t>FOSQ-10</w:t>
            </w:r>
          </w:p>
        </w:tc>
        <w:tc>
          <w:tcPr>
            <w:tcW w:w="933" w:type="pct"/>
            <w:shd w:val="clear" w:color="auto" w:fill="auto"/>
            <w:vAlign w:val="center"/>
          </w:tcPr>
          <w:p w14:paraId="3F9CD3D5" w14:textId="77777777" w:rsidR="00956ACE" w:rsidRPr="00CE28E3" w:rsidRDefault="00956ACE" w:rsidP="00824458">
            <w:pPr>
              <w:pStyle w:val="TableText"/>
              <w:jc w:val="center"/>
              <w:rPr>
                <w:lang w:val="en-US"/>
              </w:rPr>
            </w:pPr>
            <w:r w:rsidRPr="00CE28E3">
              <w:rPr>
                <w:lang w:val="en-US"/>
              </w:rPr>
              <w:t>Not used</w:t>
            </w:r>
          </w:p>
        </w:tc>
      </w:tr>
      <w:tr w:rsidR="004257B9" w:rsidRPr="00CE28E3" w14:paraId="0ABCECC4" w14:textId="77777777" w:rsidTr="00BA7847">
        <w:trPr>
          <w:cantSplit/>
        </w:trPr>
        <w:tc>
          <w:tcPr>
            <w:tcW w:w="5000" w:type="pct"/>
            <w:gridSpan w:val="7"/>
            <w:shd w:val="clear" w:color="auto" w:fill="auto"/>
            <w:vAlign w:val="center"/>
          </w:tcPr>
          <w:p w14:paraId="19FC9A6C" w14:textId="411583FB" w:rsidR="004257B9" w:rsidRPr="00CE28E3" w:rsidRDefault="004257B9" w:rsidP="00BA7847">
            <w:pPr>
              <w:pStyle w:val="In-tableHeading"/>
            </w:pPr>
            <w:bookmarkStart w:id="26" w:name="_Hlk121253559"/>
            <w:r>
              <w:t>Closed loop UAS stimulation</w:t>
            </w:r>
            <w:r w:rsidRPr="00CE28E3">
              <w:t xml:space="preserve"> vs </w:t>
            </w:r>
            <w:r>
              <w:t>sham</w:t>
            </w:r>
            <w:r w:rsidR="00445E31">
              <w:t>/no</w:t>
            </w:r>
            <w:r>
              <w:t xml:space="preserve"> closed loop UAS</w:t>
            </w:r>
          </w:p>
        </w:tc>
      </w:tr>
      <w:bookmarkEnd w:id="26"/>
      <w:tr w:rsidR="004257B9" w:rsidRPr="00CE28E3" w14:paraId="01CE6FA4" w14:textId="77777777" w:rsidTr="004257B9">
        <w:trPr>
          <w:cantSplit/>
        </w:trPr>
        <w:tc>
          <w:tcPr>
            <w:tcW w:w="707" w:type="pct"/>
            <w:shd w:val="clear" w:color="auto" w:fill="auto"/>
            <w:vAlign w:val="center"/>
          </w:tcPr>
          <w:p w14:paraId="41BDB06D" w14:textId="055C6D7E" w:rsidR="004257B9" w:rsidRPr="00CE28E3" w:rsidRDefault="004257B9" w:rsidP="00824458">
            <w:pPr>
              <w:pStyle w:val="TableText"/>
              <w:rPr>
                <w:lang w:val="en-US"/>
              </w:rPr>
            </w:pPr>
            <w:r>
              <w:rPr>
                <w:lang w:val="en-US"/>
              </w:rPr>
              <w:t>STAR (Woodson, 2014)</w:t>
            </w:r>
          </w:p>
        </w:tc>
        <w:tc>
          <w:tcPr>
            <w:tcW w:w="501" w:type="pct"/>
            <w:shd w:val="clear" w:color="auto" w:fill="auto"/>
            <w:vAlign w:val="center"/>
          </w:tcPr>
          <w:p w14:paraId="25260C68" w14:textId="799118FC" w:rsidR="004257B9" w:rsidRPr="00CE28E3" w:rsidRDefault="004257B9" w:rsidP="00824458">
            <w:pPr>
              <w:pStyle w:val="TableText"/>
              <w:jc w:val="center"/>
              <w:rPr>
                <w:lang w:val="en-US"/>
              </w:rPr>
            </w:pPr>
            <w:r>
              <w:rPr>
                <w:lang w:val="en-US"/>
              </w:rPr>
              <w:t>46</w:t>
            </w:r>
          </w:p>
        </w:tc>
        <w:tc>
          <w:tcPr>
            <w:tcW w:w="776" w:type="pct"/>
            <w:shd w:val="clear" w:color="auto" w:fill="auto"/>
            <w:vAlign w:val="center"/>
          </w:tcPr>
          <w:p w14:paraId="3FB6C9AC" w14:textId="68DC0288" w:rsidR="004257B9" w:rsidRPr="00CE28E3" w:rsidRDefault="004257B9" w:rsidP="00824458">
            <w:pPr>
              <w:pStyle w:val="TableText"/>
              <w:jc w:val="center"/>
              <w:rPr>
                <w:lang w:val="en-US"/>
              </w:rPr>
            </w:pPr>
            <w:r>
              <w:rPr>
                <w:lang w:val="en-US"/>
              </w:rPr>
              <w:t>R therapy withdrawal</w:t>
            </w:r>
          </w:p>
        </w:tc>
        <w:tc>
          <w:tcPr>
            <w:tcW w:w="615" w:type="pct"/>
            <w:shd w:val="clear" w:color="auto" w:fill="auto"/>
            <w:vAlign w:val="center"/>
          </w:tcPr>
          <w:p w14:paraId="6263A7CB" w14:textId="1DD8A020" w:rsidR="004257B9" w:rsidRPr="00CE28E3" w:rsidRDefault="004257B9" w:rsidP="00824458">
            <w:pPr>
              <w:pStyle w:val="TableText"/>
              <w:jc w:val="center"/>
              <w:rPr>
                <w:i/>
                <w:lang w:val="en-US"/>
              </w:rPr>
            </w:pPr>
            <w:r>
              <w:rPr>
                <w:i/>
                <w:lang w:val="en-US"/>
              </w:rPr>
              <w:t>High</w:t>
            </w:r>
          </w:p>
        </w:tc>
        <w:tc>
          <w:tcPr>
            <w:tcW w:w="851" w:type="pct"/>
            <w:shd w:val="clear" w:color="auto" w:fill="auto"/>
            <w:vAlign w:val="center"/>
          </w:tcPr>
          <w:p w14:paraId="24290E8F" w14:textId="6AE2ACE1" w:rsidR="004257B9" w:rsidRPr="00CE28E3" w:rsidRDefault="004257B9" w:rsidP="00824458">
            <w:pPr>
              <w:pStyle w:val="TableText"/>
              <w:jc w:val="center"/>
              <w:rPr>
                <w:lang w:val="en-US"/>
              </w:rPr>
            </w:pPr>
            <w:r>
              <w:rPr>
                <w:lang w:val="en-US"/>
              </w:rPr>
              <w:t>UAS therapy responders 12-months post-implantation</w:t>
            </w:r>
          </w:p>
        </w:tc>
        <w:tc>
          <w:tcPr>
            <w:tcW w:w="617" w:type="pct"/>
            <w:shd w:val="clear" w:color="auto" w:fill="auto"/>
            <w:vAlign w:val="center"/>
          </w:tcPr>
          <w:p w14:paraId="392E0BD6" w14:textId="77777777" w:rsidR="004257B9" w:rsidRDefault="004257B9" w:rsidP="004257B9">
            <w:pPr>
              <w:pStyle w:val="TableText"/>
              <w:jc w:val="center"/>
              <w:rPr>
                <w:lang w:val="en-US"/>
              </w:rPr>
            </w:pPr>
            <w:r>
              <w:rPr>
                <w:lang w:val="en-US"/>
              </w:rPr>
              <w:t>AHI</w:t>
            </w:r>
          </w:p>
          <w:p w14:paraId="3688ED48" w14:textId="77777777" w:rsidR="004257B9" w:rsidRDefault="004257B9" w:rsidP="004257B9">
            <w:pPr>
              <w:pStyle w:val="TableText"/>
              <w:jc w:val="center"/>
              <w:rPr>
                <w:lang w:val="en-US"/>
              </w:rPr>
            </w:pPr>
            <w:r>
              <w:rPr>
                <w:lang w:val="en-US"/>
              </w:rPr>
              <w:t>ODI</w:t>
            </w:r>
          </w:p>
          <w:p w14:paraId="3E03A325" w14:textId="77777777" w:rsidR="004257B9" w:rsidRDefault="004257B9" w:rsidP="004257B9">
            <w:pPr>
              <w:pStyle w:val="TableText"/>
              <w:jc w:val="center"/>
              <w:rPr>
                <w:lang w:val="en-US"/>
              </w:rPr>
            </w:pPr>
            <w:r>
              <w:rPr>
                <w:lang w:val="en-US"/>
              </w:rPr>
              <w:t>ESS</w:t>
            </w:r>
          </w:p>
          <w:p w14:paraId="7F2C65A1" w14:textId="77777777" w:rsidR="004257B9" w:rsidRDefault="004257B9" w:rsidP="004257B9">
            <w:pPr>
              <w:pStyle w:val="TableText"/>
              <w:jc w:val="center"/>
              <w:rPr>
                <w:lang w:val="en-US"/>
              </w:rPr>
            </w:pPr>
            <w:r>
              <w:rPr>
                <w:lang w:val="en-US"/>
              </w:rPr>
              <w:t>FOSQ-10</w:t>
            </w:r>
          </w:p>
          <w:p w14:paraId="5620486F" w14:textId="7EAAF2D1" w:rsidR="004257B9" w:rsidRPr="00CE28E3" w:rsidRDefault="004257B9" w:rsidP="004257B9">
            <w:pPr>
              <w:pStyle w:val="TableText"/>
              <w:jc w:val="center"/>
              <w:rPr>
                <w:lang w:val="en-US"/>
              </w:rPr>
            </w:pPr>
            <w:r>
              <w:rPr>
                <w:lang w:val="en-US"/>
              </w:rPr>
              <w:t>Systolic and diastolic blood pressure</w:t>
            </w:r>
          </w:p>
        </w:tc>
        <w:tc>
          <w:tcPr>
            <w:tcW w:w="933" w:type="pct"/>
            <w:shd w:val="clear" w:color="auto" w:fill="auto"/>
            <w:vAlign w:val="center"/>
          </w:tcPr>
          <w:p w14:paraId="2F87A4EA" w14:textId="6DD847E2" w:rsidR="004257B9" w:rsidRPr="00CE28E3" w:rsidRDefault="004257B9" w:rsidP="00824458">
            <w:pPr>
              <w:pStyle w:val="TableText"/>
              <w:jc w:val="center"/>
              <w:rPr>
                <w:lang w:val="en-US"/>
              </w:rPr>
            </w:pPr>
            <w:r w:rsidRPr="00CE28E3">
              <w:rPr>
                <w:lang w:val="en-US"/>
              </w:rPr>
              <w:t>Not used</w:t>
            </w:r>
          </w:p>
        </w:tc>
      </w:tr>
      <w:tr w:rsidR="00956ACE" w:rsidRPr="00CE28E3" w14:paraId="6E4E23A7" w14:textId="77777777" w:rsidTr="004257B9">
        <w:trPr>
          <w:cantSplit/>
        </w:trPr>
        <w:tc>
          <w:tcPr>
            <w:tcW w:w="707" w:type="pct"/>
            <w:shd w:val="clear" w:color="auto" w:fill="auto"/>
            <w:vAlign w:val="center"/>
          </w:tcPr>
          <w:p w14:paraId="45E15921" w14:textId="5DEEAA06" w:rsidR="00956ACE" w:rsidRPr="00CE28E3" w:rsidRDefault="00445E31" w:rsidP="00824458">
            <w:pPr>
              <w:pStyle w:val="TableText"/>
              <w:rPr>
                <w:lang w:val="en-US"/>
              </w:rPr>
            </w:pPr>
            <w:r>
              <w:rPr>
                <w:lang w:val="en-US"/>
              </w:rPr>
              <w:t>EFFECT (Heiser, 2021)</w:t>
            </w:r>
          </w:p>
        </w:tc>
        <w:tc>
          <w:tcPr>
            <w:tcW w:w="501" w:type="pct"/>
            <w:shd w:val="clear" w:color="auto" w:fill="auto"/>
            <w:vAlign w:val="center"/>
          </w:tcPr>
          <w:p w14:paraId="71251CEE" w14:textId="24F26416" w:rsidR="00956ACE" w:rsidRPr="00CE28E3" w:rsidRDefault="00445E31" w:rsidP="00824458">
            <w:pPr>
              <w:pStyle w:val="TableText"/>
              <w:jc w:val="center"/>
              <w:rPr>
                <w:lang w:val="en-US"/>
              </w:rPr>
            </w:pPr>
            <w:r>
              <w:rPr>
                <w:lang w:val="en-US"/>
              </w:rPr>
              <w:t>89</w:t>
            </w:r>
          </w:p>
        </w:tc>
        <w:tc>
          <w:tcPr>
            <w:tcW w:w="776" w:type="pct"/>
            <w:shd w:val="clear" w:color="auto" w:fill="auto"/>
            <w:vAlign w:val="center"/>
          </w:tcPr>
          <w:p w14:paraId="37D3BD6A" w14:textId="300FCA98" w:rsidR="00956ACE" w:rsidRPr="00CE28E3" w:rsidRDefault="00445E31" w:rsidP="00824458">
            <w:pPr>
              <w:pStyle w:val="TableText"/>
              <w:jc w:val="center"/>
              <w:rPr>
                <w:lang w:val="en-US"/>
              </w:rPr>
            </w:pPr>
            <w:r>
              <w:rPr>
                <w:lang w:val="en-US"/>
              </w:rPr>
              <w:t>R crossover therapy withdrawal</w:t>
            </w:r>
          </w:p>
        </w:tc>
        <w:tc>
          <w:tcPr>
            <w:tcW w:w="615" w:type="pct"/>
            <w:shd w:val="clear" w:color="auto" w:fill="auto"/>
            <w:vAlign w:val="center"/>
          </w:tcPr>
          <w:p w14:paraId="51165529" w14:textId="77777777" w:rsidR="00956ACE" w:rsidRPr="00CE28E3" w:rsidRDefault="00956ACE" w:rsidP="00824458">
            <w:pPr>
              <w:pStyle w:val="TableText"/>
              <w:jc w:val="center"/>
              <w:rPr>
                <w:i/>
                <w:lang w:val="en-US"/>
              </w:rPr>
            </w:pPr>
            <w:r w:rsidRPr="00CE28E3">
              <w:rPr>
                <w:i/>
                <w:lang w:val="en-US"/>
              </w:rPr>
              <w:t>High</w:t>
            </w:r>
          </w:p>
        </w:tc>
        <w:tc>
          <w:tcPr>
            <w:tcW w:w="851" w:type="pct"/>
            <w:shd w:val="clear" w:color="auto" w:fill="auto"/>
            <w:vAlign w:val="center"/>
          </w:tcPr>
          <w:p w14:paraId="60CDF4F0" w14:textId="01237CD2" w:rsidR="00956ACE" w:rsidRPr="00CE28E3" w:rsidRDefault="00445E31" w:rsidP="00824458">
            <w:pPr>
              <w:pStyle w:val="TableText"/>
              <w:jc w:val="center"/>
              <w:rPr>
                <w:lang w:val="en-US"/>
              </w:rPr>
            </w:pPr>
            <w:r w:rsidRPr="00445E31">
              <w:rPr>
                <w:lang w:val="en-US"/>
              </w:rPr>
              <w:t>Moderate</w:t>
            </w:r>
            <w:r w:rsidR="003D0059">
              <w:rPr>
                <w:lang w:val="en-US"/>
              </w:rPr>
              <w:t xml:space="preserve"> </w:t>
            </w:r>
            <w:r w:rsidRPr="00445E31">
              <w:rPr>
                <w:lang w:val="en-US"/>
              </w:rPr>
              <w:t>to</w:t>
            </w:r>
            <w:r w:rsidR="003D0059">
              <w:rPr>
                <w:lang w:val="en-US"/>
              </w:rPr>
              <w:t xml:space="preserve"> </w:t>
            </w:r>
            <w:r w:rsidRPr="00445E31">
              <w:rPr>
                <w:lang w:val="en-US"/>
              </w:rPr>
              <w:t xml:space="preserve">severe OSA (AHI ≥ 15), CPAP intolerance, absence of </w:t>
            </w:r>
            <w:r w:rsidR="002F426A">
              <w:rPr>
                <w:lang w:val="en-US"/>
              </w:rPr>
              <w:t>CCC</w:t>
            </w:r>
            <w:r w:rsidRPr="00445E31">
              <w:rPr>
                <w:lang w:val="en-US"/>
              </w:rPr>
              <w:t xml:space="preserve"> during </w:t>
            </w:r>
            <w:r w:rsidR="002F426A">
              <w:rPr>
                <w:lang w:val="en-US"/>
              </w:rPr>
              <w:t>DISE</w:t>
            </w:r>
            <w:r w:rsidRPr="00445E31">
              <w:rPr>
                <w:lang w:val="en-US"/>
              </w:rPr>
              <w:t xml:space="preserve"> and received UAS at least 6 months prior to study</w:t>
            </w:r>
          </w:p>
        </w:tc>
        <w:tc>
          <w:tcPr>
            <w:tcW w:w="617" w:type="pct"/>
            <w:shd w:val="clear" w:color="auto" w:fill="auto"/>
            <w:vAlign w:val="center"/>
          </w:tcPr>
          <w:p w14:paraId="32F9957C" w14:textId="77777777" w:rsidR="00445E31" w:rsidRDefault="00445E31" w:rsidP="00445E31">
            <w:pPr>
              <w:pStyle w:val="TableText"/>
              <w:jc w:val="center"/>
              <w:rPr>
                <w:lang w:val="en-US"/>
              </w:rPr>
            </w:pPr>
            <w:r>
              <w:rPr>
                <w:lang w:val="en-US"/>
              </w:rPr>
              <w:t>AHI</w:t>
            </w:r>
          </w:p>
          <w:p w14:paraId="2BE88865" w14:textId="77777777" w:rsidR="00445E31" w:rsidRDefault="00445E31" w:rsidP="00445E31">
            <w:pPr>
              <w:pStyle w:val="TableText"/>
              <w:jc w:val="center"/>
              <w:rPr>
                <w:lang w:val="en-US"/>
              </w:rPr>
            </w:pPr>
            <w:r>
              <w:rPr>
                <w:lang w:val="en-US"/>
              </w:rPr>
              <w:t>ODI</w:t>
            </w:r>
          </w:p>
          <w:p w14:paraId="12C55613" w14:textId="77777777" w:rsidR="00445E31" w:rsidRDefault="00445E31" w:rsidP="00445E31">
            <w:pPr>
              <w:pStyle w:val="TableText"/>
              <w:jc w:val="center"/>
              <w:rPr>
                <w:lang w:val="en-US"/>
              </w:rPr>
            </w:pPr>
            <w:r>
              <w:rPr>
                <w:lang w:val="en-US"/>
              </w:rPr>
              <w:t>ESS</w:t>
            </w:r>
          </w:p>
          <w:p w14:paraId="583A7C5E" w14:textId="5CEB1DFE" w:rsidR="00956ACE" w:rsidRPr="00CE28E3" w:rsidRDefault="00445E31" w:rsidP="00445E31">
            <w:pPr>
              <w:pStyle w:val="TableText"/>
              <w:jc w:val="center"/>
              <w:rPr>
                <w:lang w:val="en-US"/>
              </w:rPr>
            </w:pPr>
            <w:r>
              <w:rPr>
                <w:lang w:val="en-US"/>
              </w:rPr>
              <w:t>FOSQ-10</w:t>
            </w:r>
          </w:p>
        </w:tc>
        <w:tc>
          <w:tcPr>
            <w:tcW w:w="933" w:type="pct"/>
            <w:shd w:val="clear" w:color="auto" w:fill="auto"/>
            <w:vAlign w:val="center"/>
          </w:tcPr>
          <w:p w14:paraId="56C2128A" w14:textId="77777777" w:rsidR="00956ACE" w:rsidRPr="00CE28E3" w:rsidRDefault="00956ACE" w:rsidP="00824458">
            <w:pPr>
              <w:pStyle w:val="TableText"/>
              <w:jc w:val="center"/>
              <w:rPr>
                <w:lang w:val="en-US"/>
              </w:rPr>
            </w:pPr>
            <w:r w:rsidRPr="00CE28E3">
              <w:rPr>
                <w:lang w:val="en-US"/>
              </w:rPr>
              <w:t>Not used</w:t>
            </w:r>
          </w:p>
        </w:tc>
      </w:tr>
      <w:tr w:rsidR="00445E31" w:rsidRPr="00CE28E3" w14:paraId="108EA32F" w14:textId="77777777" w:rsidTr="00BA7847">
        <w:trPr>
          <w:cantSplit/>
        </w:trPr>
        <w:tc>
          <w:tcPr>
            <w:tcW w:w="5000" w:type="pct"/>
            <w:gridSpan w:val="7"/>
            <w:shd w:val="clear" w:color="auto" w:fill="auto"/>
            <w:vAlign w:val="center"/>
          </w:tcPr>
          <w:p w14:paraId="43B4F7AE" w14:textId="55BDAFD1" w:rsidR="00445E31" w:rsidRPr="00CE28E3" w:rsidRDefault="00445E31" w:rsidP="00BA7847">
            <w:pPr>
              <w:pStyle w:val="In-tableHeading"/>
            </w:pPr>
            <w:bookmarkStart w:id="27" w:name="_Hlk121254024"/>
            <w:r>
              <w:t>Closed loop UAS</w:t>
            </w:r>
            <w:r w:rsidRPr="00CE28E3">
              <w:t xml:space="preserve"> vs </w:t>
            </w:r>
            <w:r>
              <w:t>PAP</w:t>
            </w:r>
          </w:p>
        </w:tc>
      </w:tr>
      <w:bookmarkEnd w:id="27"/>
      <w:tr w:rsidR="00956ACE" w:rsidRPr="00CE28E3" w14:paraId="764EB7FF" w14:textId="77777777" w:rsidTr="004257B9">
        <w:trPr>
          <w:cantSplit/>
        </w:trPr>
        <w:tc>
          <w:tcPr>
            <w:tcW w:w="707" w:type="pct"/>
            <w:shd w:val="clear" w:color="auto" w:fill="auto"/>
            <w:vAlign w:val="center"/>
          </w:tcPr>
          <w:p w14:paraId="46BAB09C" w14:textId="66DBF1B1" w:rsidR="00956ACE" w:rsidRPr="00CE28E3" w:rsidRDefault="00445E31" w:rsidP="00824458">
            <w:pPr>
              <w:pStyle w:val="TableText"/>
              <w:rPr>
                <w:lang w:val="en-US"/>
              </w:rPr>
            </w:pPr>
            <w:r>
              <w:rPr>
                <w:lang w:val="en-US"/>
              </w:rPr>
              <w:t>Walia (2020) (ADHERE sub</w:t>
            </w:r>
            <w:r w:rsidR="00E3365A">
              <w:rPr>
                <w:lang w:val="en-US"/>
              </w:rPr>
              <w:t>study</w:t>
            </w:r>
            <w:r>
              <w:rPr>
                <w:lang w:val="en-US"/>
              </w:rPr>
              <w:t>)</w:t>
            </w:r>
          </w:p>
        </w:tc>
        <w:tc>
          <w:tcPr>
            <w:tcW w:w="501" w:type="pct"/>
            <w:shd w:val="clear" w:color="auto" w:fill="auto"/>
            <w:vAlign w:val="center"/>
          </w:tcPr>
          <w:p w14:paraId="03161CBA" w14:textId="37FE55E0" w:rsidR="00956ACE" w:rsidRPr="00CE28E3" w:rsidRDefault="00445E31" w:rsidP="00824458">
            <w:pPr>
              <w:pStyle w:val="TableText"/>
              <w:jc w:val="center"/>
              <w:rPr>
                <w:lang w:val="en-US"/>
              </w:rPr>
            </w:pPr>
            <w:r>
              <w:rPr>
                <w:lang w:val="en-US"/>
              </w:rPr>
              <w:t>201 per arm</w:t>
            </w:r>
          </w:p>
        </w:tc>
        <w:tc>
          <w:tcPr>
            <w:tcW w:w="776" w:type="pct"/>
            <w:shd w:val="clear" w:color="auto" w:fill="auto"/>
            <w:vAlign w:val="center"/>
          </w:tcPr>
          <w:p w14:paraId="0258CD10" w14:textId="7A98FE10" w:rsidR="00956ACE" w:rsidRPr="00CE28E3" w:rsidRDefault="009B49B0" w:rsidP="00824458">
            <w:pPr>
              <w:pStyle w:val="TableText"/>
              <w:jc w:val="center"/>
              <w:rPr>
                <w:lang w:val="en-US"/>
              </w:rPr>
            </w:pPr>
            <w:r>
              <w:rPr>
                <w:lang w:val="en-US"/>
              </w:rPr>
              <w:t xml:space="preserve">MC; PS, OB; </w:t>
            </w:r>
            <w:r w:rsidR="00445E31">
              <w:rPr>
                <w:lang w:val="en-US"/>
              </w:rPr>
              <w:t xml:space="preserve">Propensity matched </w:t>
            </w:r>
          </w:p>
        </w:tc>
        <w:tc>
          <w:tcPr>
            <w:tcW w:w="615" w:type="pct"/>
            <w:shd w:val="clear" w:color="auto" w:fill="auto"/>
            <w:vAlign w:val="center"/>
          </w:tcPr>
          <w:p w14:paraId="23BF88DA" w14:textId="0609EBDF" w:rsidR="00956ACE" w:rsidRPr="00CE28E3" w:rsidRDefault="00445E31" w:rsidP="00824458">
            <w:pPr>
              <w:pStyle w:val="TableText"/>
              <w:jc w:val="center"/>
              <w:rPr>
                <w:i/>
                <w:lang w:val="en-US"/>
              </w:rPr>
            </w:pPr>
            <w:r>
              <w:rPr>
                <w:i/>
                <w:lang w:val="en-US"/>
              </w:rPr>
              <w:t>High</w:t>
            </w:r>
          </w:p>
        </w:tc>
        <w:tc>
          <w:tcPr>
            <w:tcW w:w="851" w:type="pct"/>
            <w:shd w:val="clear" w:color="auto" w:fill="auto"/>
            <w:vAlign w:val="center"/>
          </w:tcPr>
          <w:p w14:paraId="1BE86379" w14:textId="069D5FD4" w:rsidR="00956ACE" w:rsidRPr="009B49B0" w:rsidRDefault="00445E31" w:rsidP="00C102DA">
            <w:pPr>
              <w:pStyle w:val="TableText"/>
              <w:jc w:val="center"/>
              <w:rPr>
                <w:lang w:val="en-US"/>
              </w:rPr>
            </w:pPr>
            <w:r>
              <w:rPr>
                <w:lang w:val="en-US"/>
              </w:rPr>
              <w:t>UAS: ADHERE registry (</w:t>
            </w:r>
            <w:r w:rsidRPr="00445E31">
              <w:rPr>
                <w:lang w:val="en-US"/>
              </w:rPr>
              <w:t>patients receiving UAS who met</w:t>
            </w:r>
            <w:r w:rsidR="00C102DA">
              <w:rPr>
                <w:lang w:val="en-US"/>
              </w:rPr>
              <w:t xml:space="preserve"> </w:t>
            </w:r>
            <w:r w:rsidRPr="00445E31">
              <w:rPr>
                <w:lang w:val="en-US"/>
              </w:rPr>
              <w:t>inclusion criteria</w:t>
            </w:r>
            <w:r w:rsidR="009B49B0" w:rsidRPr="009B49B0">
              <w:rPr>
                <w:vertAlign w:val="superscript"/>
                <w:lang w:val="en-US"/>
              </w:rPr>
              <w:t>a</w:t>
            </w:r>
            <w:r w:rsidR="009B49B0">
              <w:rPr>
                <w:lang w:val="en-US"/>
              </w:rPr>
              <w:t>)</w:t>
            </w:r>
          </w:p>
          <w:p w14:paraId="266F1509" w14:textId="7872D889" w:rsidR="00445E31" w:rsidRPr="00445E31" w:rsidRDefault="00445E31" w:rsidP="00445E31">
            <w:pPr>
              <w:pStyle w:val="TableText"/>
              <w:jc w:val="center"/>
              <w:rPr>
                <w:lang w:val="en-US"/>
              </w:rPr>
            </w:pPr>
            <w:r>
              <w:rPr>
                <w:lang w:val="en-US"/>
              </w:rPr>
              <w:t xml:space="preserve">PAP: </w:t>
            </w:r>
            <w:r w:rsidRPr="00445E31">
              <w:rPr>
                <w:lang w:val="en-US"/>
              </w:rPr>
              <w:t>consecutive patients with OSA</w:t>
            </w:r>
          </w:p>
          <w:p w14:paraId="05F1D9DA" w14:textId="3FBF8C2D" w:rsidR="00445E31" w:rsidRPr="00CE28E3" w:rsidRDefault="00445E31" w:rsidP="00445E31">
            <w:pPr>
              <w:pStyle w:val="TableText"/>
              <w:jc w:val="center"/>
              <w:rPr>
                <w:lang w:val="en-US"/>
              </w:rPr>
            </w:pPr>
            <w:r w:rsidRPr="00445E31">
              <w:rPr>
                <w:lang w:val="en-US"/>
              </w:rPr>
              <w:t>who initiated their first PAP treatment</w:t>
            </w:r>
            <w:r>
              <w:rPr>
                <w:lang w:val="en-US"/>
              </w:rPr>
              <w:t xml:space="preserve"> at Cleveland Clinic</w:t>
            </w:r>
          </w:p>
        </w:tc>
        <w:tc>
          <w:tcPr>
            <w:tcW w:w="617" w:type="pct"/>
            <w:shd w:val="clear" w:color="auto" w:fill="auto"/>
            <w:vAlign w:val="center"/>
          </w:tcPr>
          <w:p w14:paraId="53D8979E" w14:textId="77777777" w:rsidR="00956ACE" w:rsidRDefault="00445E31" w:rsidP="00824458">
            <w:pPr>
              <w:pStyle w:val="TableText"/>
              <w:jc w:val="center"/>
              <w:rPr>
                <w:lang w:val="en-US"/>
              </w:rPr>
            </w:pPr>
            <w:r>
              <w:rPr>
                <w:lang w:val="en-US"/>
              </w:rPr>
              <w:t>Blood pressure</w:t>
            </w:r>
          </w:p>
          <w:p w14:paraId="2A3F370B" w14:textId="4BBED72A" w:rsidR="00445E31" w:rsidRPr="00CE28E3" w:rsidRDefault="00445E31" w:rsidP="00824458">
            <w:pPr>
              <w:pStyle w:val="TableText"/>
              <w:jc w:val="center"/>
              <w:rPr>
                <w:lang w:val="en-US"/>
              </w:rPr>
            </w:pPr>
            <w:r>
              <w:rPr>
                <w:lang w:val="en-US"/>
              </w:rPr>
              <w:t>ESS</w:t>
            </w:r>
          </w:p>
        </w:tc>
        <w:tc>
          <w:tcPr>
            <w:tcW w:w="933" w:type="pct"/>
            <w:shd w:val="clear" w:color="auto" w:fill="auto"/>
            <w:vAlign w:val="center"/>
          </w:tcPr>
          <w:p w14:paraId="562F7956" w14:textId="77777777" w:rsidR="00956ACE" w:rsidRPr="00CE28E3" w:rsidRDefault="00956ACE" w:rsidP="00824458">
            <w:pPr>
              <w:pStyle w:val="TableText"/>
              <w:jc w:val="center"/>
              <w:rPr>
                <w:lang w:val="en-US"/>
              </w:rPr>
            </w:pPr>
            <w:r w:rsidRPr="00CE28E3">
              <w:rPr>
                <w:lang w:val="en-US"/>
              </w:rPr>
              <w:t>Not used</w:t>
            </w:r>
          </w:p>
        </w:tc>
      </w:tr>
      <w:tr w:rsidR="00445E31" w:rsidRPr="00CE28E3" w14:paraId="441A9752" w14:textId="77777777" w:rsidTr="00BA7847">
        <w:trPr>
          <w:cantSplit/>
        </w:trPr>
        <w:tc>
          <w:tcPr>
            <w:tcW w:w="5000" w:type="pct"/>
            <w:gridSpan w:val="7"/>
            <w:shd w:val="clear" w:color="auto" w:fill="auto"/>
            <w:vAlign w:val="center"/>
          </w:tcPr>
          <w:p w14:paraId="0E072B73" w14:textId="6F389D99" w:rsidR="00445E31" w:rsidRPr="00CE28E3" w:rsidRDefault="00445E31" w:rsidP="00BA7847">
            <w:pPr>
              <w:pStyle w:val="In-tableHeading"/>
            </w:pPr>
            <w:r>
              <w:lastRenderedPageBreak/>
              <w:t>Closed loop UAS</w:t>
            </w:r>
          </w:p>
        </w:tc>
      </w:tr>
      <w:tr w:rsidR="00956ACE" w:rsidRPr="00CE28E3" w14:paraId="4C0FCC71" w14:textId="77777777" w:rsidTr="004257B9">
        <w:trPr>
          <w:cantSplit/>
        </w:trPr>
        <w:tc>
          <w:tcPr>
            <w:tcW w:w="707" w:type="pct"/>
            <w:shd w:val="clear" w:color="auto" w:fill="auto"/>
            <w:vAlign w:val="center"/>
          </w:tcPr>
          <w:p w14:paraId="6D249FDD" w14:textId="075DB9FD" w:rsidR="00956ACE" w:rsidRPr="00CE28E3" w:rsidRDefault="00347FA0" w:rsidP="00824458">
            <w:pPr>
              <w:pStyle w:val="TableText"/>
              <w:rPr>
                <w:lang w:val="en-US"/>
              </w:rPr>
            </w:pPr>
            <w:r>
              <w:rPr>
                <w:lang w:val="en-US"/>
              </w:rPr>
              <w:t xml:space="preserve">STAR (Strollo, 2014; Woodson, 2018) </w:t>
            </w:r>
          </w:p>
        </w:tc>
        <w:tc>
          <w:tcPr>
            <w:tcW w:w="501" w:type="pct"/>
            <w:shd w:val="clear" w:color="auto" w:fill="auto"/>
            <w:vAlign w:val="center"/>
          </w:tcPr>
          <w:p w14:paraId="3115E3F6" w14:textId="68961E19" w:rsidR="00956ACE" w:rsidRPr="00CE28E3" w:rsidRDefault="00347FA0" w:rsidP="00824458">
            <w:pPr>
              <w:pStyle w:val="TableText"/>
              <w:jc w:val="center"/>
              <w:rPr>
                <w:lang w:val="en-US"/>
              </w:rPr>
            </w:pPr>
            <w:r>
              <w:rPr>
                <w:lang w:val="en-US"/>
              </w:rPr>
              <w:t>126</w:t>
            </w:r>
          </w:p>
        </w:tc>
        <w:tc>
          <w:tcPr>
            <w:tcW w:w="776" w:type="pct"/>
            <w:shd w:val="clear" w:color="auto" w:fill="auto"/>
            <w:vAlign w:val="center"/>
          </w:tcPr>
          <w:p w14:paraId="2FD725D1" w14:textId="7DF7444A" w:rsidR="00956ACE" w:rsidRPr="00CE28E3" w:rsidRDefault="009B49B0" w:rsidP="00824458">
            <w:pPr>
              <w:pStyle w:val="TableText"/>
              <w:jc w:val="center"/>
              <w:rPr>
                <w:lang w:val="en-US"/>
              </w:rPr>
            </w:pPr>
            <w:r>
              <w:rPr>
                <w:lang w:val="en-US"/>
              </w:rPr>
              <w:t xml:space="preserve">MC; PS, OB </w:t>
            </w:r>
          </w:p>
        </w:tc>
        <w:tc>
          <w:tcPr>
            <w:tcW w:w="615" w:type="pct"/>
            <w:shd w:val="clear" w:color="auto" w:fill="auto"/>
            <w:vAlign w:val="center"/>
          </w:tcPr>
          <w:p w14:paraId="6BD28768" w14:textId="5EFF0E72" w:rsidR="00956ACE" w:rsidRPr="00CE28E3" w:rsidRDefault="00347FA0" w:rsidP="00824458">
            <w:pPr>
              <w:pStyle w:val="TableText"/>
              <w:jc w:val="center"/>
              <w:rPr>
                <w:lang w:val="en-US"/>
              </w:rPr>
            </w:pPr>
            <w:r>
              <w:rPr>
                <w:i/>
                <w:lang w:val="en-US"/>
              </w:rPr>
              <w:t>High</w:t>
            </w:r>
          </w:p>
        </w:tc>
        <w:tc>
          <w:tcPr>
            <w:tcW w:w="851" w:type="pct"/>
            <w:shd w:val="clear" w:color="auto" w:fill="auto"/>
            <w:vAlign w:val="center"/>
          </w:tcPr>
          <w:p w14:paraId="1E272A7F" w14:textId="0DAB42A5" w:rsidR="00347FA0" w:rsidRPr="00347FA0" w:rsidRDefault="00347FA0" w:rsidP="00347FA0">
            <w:pPr>
              <w:pStyle w:val="TableText"/>
              <w:jc w:val="center"/>
              <w:rPr>
                <w:lang w:val="en-US"/>
              </w:rPr>
            </w:pPr>
            <w:r w:rsidRPr="00347FA0">
              <w:rPr>
                <w:lang w:val="en-US"/>
              </w:rPr>
              <w:t>moderate</w:t>
            </w:r>
            <w:r w:rsidR="003D0059">
              <w:rPr>
                <w:lang w:val="en-US"/>
              </w:rPr>
              <w:t xml:space="preserve"> </w:t>
            </w:r>
            <w:r w:rsidRPr="00347FA0">
              <w:rPr>
                <w:lang w:val="en-US"/>
              </w:rPr>
              <w:t>to</w:t>
            </w:r>
            <w:r w:rsidR="003D0059">
              <w:rPr>
                <w:lang w:val="en-US"/>
              </w:rPr>
              <w:t xml:space="preserve"> </w:t>
            </w:r>
            <w:r w:rsidRPr="00347FA0">
              <w:rPr>
                <w:lang w:val="en-US"/>
              </w:rPr>
              <w:t xml:space="preserve">severe </w:t>
            </w:r>
            <w:r>
              <w:rPr>
                <w:lang w:val="en-US"/>
              </w:rPr>
              <w:t>OSA (AHI &gt;20 and &lt;50) with</w:t>
            </w:r>
          </w:p>
          <w:p w14:paraId="5F96166A" w14:textId="1F054D83" w:rsidR="00347FA0" w:rsidRPr="00347FA0" w:rsidRDefault="00347FA0" w:rsidP="00347FA0">
            <w:pPr>
              <w:pStyle w:val="TableText"/>
              <w:jc w:val="center"/>
              <w:rPr>
                <w:lang w:val="en-US"/>
              </w:rPr>
            </w:pPr>
            <w:r w:rsidRPr="00347FA0">
              <w:rPr>
                <w:lang w:val="en-US"/>
              </w:rPr>
              <w:t>difficulty accepting or adhering to</w:t>
            </w:r>
          </w:p>
          <w:p w14:paraId="06A1A1BD" w14:textId="6AEFACF7" w:rsidR="00956ACE" w:rsidRPr="00CE28E3" w:rsidRDefault="00347FA0" w:rsidP="00347FA0">
            <w:pPr>
              <w:pStyle w:val="TableText"/>
              <w:jc w:val="center"/>
              <w:rPr>
                <w:lang w:val="en-US"/>
              </w:rPr>
            </w:pPr>
            <w:r w:rsidRPr="00347FA0">
              <w:rPr>
                <w:lang w:val="en-US"/>
              </w:rPr>
              <w:t>CPAP treatment</w:t>
            </w:r>
            <w:r>
              <w:rPr>
                <w:lang w:val="en-US"/>
              </w:rPr>
              <w:t xml:space="preserve">, </w:t>
            </w:r>
            <w:r w:rsidRPr="00347FA0">
              <w:rPr>
                <w:lang w:val="en-US"/>
              </w:rPr>
              <w:t>BMI</w:t>
            </w:r>
            <w:r>
              <w:rPr>
                <w:lang w:val="en-US"/>
              </w:rPr>
              <w:t xml:space="preserve"> ≤ </w:t>
            </w:r>
            <w:r w:rsidRPr="00347FA0">
              <w:rPr>
                <w:lang w:val="en-US"/>
              </w:rPr>
              <w:t>32.0</w:t>
            </w:r>
            <w:r>
              <w:rPr>
                <w:lang w:val="en-US"/>
              </w:rPr>
              <w:t>. No anatomic abnormalities preventing UAS or complete concentric collapse of the palate</w:t>
            </w:r>
          </w:p>
        </w:tc>
        <w:tc>
          <w:tcPr>
            <w:tcW w:w="617" w:type="pct"/>
            <w:shd w:val="clear" w:color="auto" w:fill="auto"/>
            <w:vAlign w:val="center"/>
          </w:tcPr>
          <w:p w14:paraId="5BE86F26" w14:textId="77777777" w:rsidR="00347FA0" w:rsidRDefault="00347FA0" w:rsidP="00347FA0">
            <w:pPr>
              <w:pStyle w:val="TableText"/>
              <w:jc w:val="center"/>
              <w:rPr>
                <w:lang w:val="en-US"/>
              </w:rPr>
            </w:pPr>
            <w:r>
              <w:rPr>
                <w:lang w:val="en-US"/>
              </w:rPr>
              <w:t>AHI</w:t>
            </w:r>
          </w:p>
          <w:p w14:paraId="7EFCF09F" w14:textId="77777777" w:rsidR="00347FA0" w:rsidRDefault="00347FA0" w:rsidP="00347FA0">
            <w:pPr>
              <w:pStyle w:val="TableText"/>
              <w:jc w:val="center"/>
              <w:rPr>
                <w:lang w:val="en-US"/>
              </w:rPr>
            </w:pPr>
            <w:r>
              <w:rPr>
                <w:lang w:val="en-US"/>
              </w:rPr>
              <w:t>ODI</w:t>
            </w:r>
          </w:p>
          <w:p w14:paraId="48A81293" w14:textId="77777777" w:rsidR="00347FA0" w:rsidRDefault="00347FA0" w:rsidP="00347FA0">
            <w:pPr>
              <w:pStyle w:val="TableText"/>
              <w:jc w:val="center"/>
              <w:rPr>
                <w:lang w:val="en-US"/>
              </w:rPr>
            </w:pPr>
            <w:r>
              <w:rPr>
                <w:lang w:val="en-US"/>
              </w:rPr>
              <w:t>ESS</w:t>
            </w:r>
          </w:p>
          <w:p w14:paraId="01C67401" w14:textId="409A5974" w:rsidR="00956ACE" w:rsidRPr="00CE28E3" w:rsidRDefault="00347FA0" w:rsidP="00347FA0">
            <w:pPr>
              <w:pStyle w:val="TableText"/>
              <w:jc w:val="center"/>
              <w:rPr>
                <w:lang w:val="en-US"/>
              </w:rPr>
            </w:pPr>
            <w:r>
              <w:rPr>
                <w:lang w:val="en-US"/>
              </w:rPr>
              <w:t>FOSQ-10</w:t>
            </w:r>
          </w:p>
        </w:tc>
        <w:tc>
          <w:tcPr>
            <w:tcW w:w="933" w:type="pct"/>
            <w:shd w:val="clear" w:color="auto" w:fill="auto"/>
            <w:vAlign w:val="center"/>
          </w:tcPr>
          <w:p w14:paraId="2972D570" w14:textId="77777777" w:rsidR="00956ACE" w:rsidRDefault="00347FA0" w:rsidP="00824458">
            <w:pPr>
              <w:pStyle w:val="TableText"/>
              <w:jc w:val="center"/>
              <w:rPr>
                <w:lang w:val="en-US"/>
              </w:rPr>
            </w:pPr>
            <w:r>
              <w:rPr>
                <w:lang w:val="en-US"/>
              </w:rPr>
              <w:t>AHI</w:t>
            </w:r>
          </w:p>
          <w:p w14:paraId="355D0183" w14:textId="1D216222" w:rsidR="00347FA0" w:rsidRPr="00CE28E3" w:rsidRDefault="00347FA0" w:rsidP="00824458">
            <w:pPr>
              <w:pStyle w:val="TableText"/>
              <w:jc w:val="center"/>
              <w:rPr>
                <w:lang w:val="en-US"/>
              </w:rPr>
            </w:pPr>
            <w:r>
              <w:rPr>
                <w:lang w:val="en-US"/>
              </w:rPr>
              <w:t>ESS</w:t>
            </w:r>
          </w:p>
        </w:tc>
      </w:tr>
      <w:tr w:rsidR="00956ACE" w:rsidRPr="00CE28E3" w14:paraId="74CD02CE" w14:textId="77777777" w:rsidTr="004257B9">
        <w:trPr>
          <w:cantSplit/>
        </w:trPr>
        <w:tc>
          <w:tcPr>
            <w:tcW w:w="707" w:type="pct"/>
            <w:shd w:val="clear" w:color="auto" w:fill="auto"/>
            <w:vAlign w:val="center"/>
          </w:tcPr>
          <w:p w14:paraId="1522F155" w14:textId="136AB0D0" w:rsidR="00956ACE" w:rsidRPr="00CE28E3" w:rsidRDefault="00250CFD" w:rsidP="00824458">
            <w:pPr>
              <w:pStyle w:val="TableText"/>
              <w:rPr>
                <w:lang w:val="en-US"/>
              </w:rPr>
            </w:pPr>
            <w:r>
              <w:rPr>
                <w:lang w:val="en-US"/>
              </w:rPr>
              <w:t>ADHERE (</w:t>
            </w:r>
            <w:r w:rsidRPr="00250CFD">
              <w:rPr>
                <w:lang w:val="en-US"/>
              </w:rPr>
              <w:t>Thaler, 2019 and Suurna, 2020)</w:t>
            </w:r>
          </w:p>
        </w:tc>
        <w:tc>
          <w:tcPr>
            <w:tcW w:w="501" w:type="pct"/>
            <w:shd w:val="clear" w:color="auto" w:fill="auto"/>
            <w:vAlign w:val="center"/>
          </w:tcPr>
          <w:p w14:paraId="7890FB07" w14:textId="2FEB355F" w:rsidR="00956ACE" w:rsidRPr="00CE28E3" w:rsidRDefault="002F426A" w:rsidP="00824458">
            <w:pPr>
              <w:pStyle w:val="TableText"/>
              <w:jc w:val="center"/>
              <w:rPr>
                <w:lang w:val="en-US"/>
              </w:rPr>
            </w:pPr>
            <w:r>
              <w:rPr>
                <w:lang w:val="en-US"/>
              </w:rPr>
              <w:t>823</w:t>
            </w:r>
          </w:p>
        </w:tc>
        <w:tc>
          <w:tcPr>
            <w:tcW w:w="776" w:type="pct"/>
            <w:shd w:val="clear" w:color="auto" w:fill="auto"/>
            <w:vAlign w:val="center"/>
          </w:tcPr>
          <w:p w14:paraId="6CFB41BD" w14:textId="1C022F5B" w:rsidR="00956ACE" w:rsidRPr="00CE28E3" w:rsidRDefault="009B49B0" w:rsidP="00824458">
            <w:pPr>
              <w:pStyle w:val="TableText"/>
              <w:jc w:val="center"/>
              <w:rPr>
                <w:lang w:val="en-US"/>
              </w:rPr>
            </w:pPr>
            <w:r>
              <w:rPr>
                <w:lang w:val="en-US"/>
              </w:rPr>
              <w:t>MC; PS, OB</w:t>
            </w:r>
          </w:p>
        </w:tc>
        <w:tc>
          <w:tcPr>
            <w:tcW w:w="615" w:type="pct"/>
            <w:shd w:val="clear" w:color="auto" w:fill="auto"/>
            <w:vAlign w:val="center"/>
          </w:tcPr>
          <w:p w14:paraId="7E15D5C9" w14:textId="3C337028" w:rsidR="00956ACE" w:rsidRPr="00CE28E3" w:rsidRDefault="002F426A" w:rsidP="00824458">
            <w:pPr>
              <w:pStyle w:val="TableText"/>
              <w:jc w:val="center"/>
              <w:rPr>
                <w:lang w:val="en-US"/>
              </w:rPr>
            </w:pPr>
            <w:r>
              <w:rPr>
                <w:i/>
                <w:lang w:val="en-US"/>
              </w:rPr>
              <w:t>High</w:t>
            </w:r>
          </w:p>
        </w:tc>
        <w:tc>
          <w:tcPr>
            <w:tcW w:w="851" w:type="pct"/>
            <w:shd w:val="clear" w:color="auto" w:fill="auto"/>
            <w:vAlign w:val="center"/>
          </w:tcPr>
          <w:p w14:paraId="081213FD" w14:textId="7B8C6F3C" w:rsidR="002F426A" w:rsidRPr="00445E31" w:rsidRDefault="002F426A" w:rsidP="002F426A">
            <w:pPr>
              <w:pStyle w:val="TableText"/>
              <w:jc w:val="center"/>
              <w:rPr>
                <w:lang w:val="en-US"/>
              </w:rPr>
            </w:pPr>
            <w:r>
              <w:rPr>
                <w:lang w:val="en-US"/>
              </w:rPr>
              <w:t>P</w:t>
            </w:r>
            <w:r w:rsidRPr="00445E31">
              <w:rPr>
                <w:lang w:val="en-US"/>
              </w:rPr>
              <w:t>atients receiving UAS who met</w:t>
            </w:r>
          </w:p>
          <w:p w14:paraId="389597F1" w14:textId="4601FC3D" w:rsidR="009B49B0" w:rsidRPr="00CE28E3" w:rsidRDefault="002F426A" w:rsidP="009B49B0">
            <w:pPr>
              <w:pStyle w:val="TableText"/>
              <w:jc w:val="center"/>
              <w:rPr>
                <w:lang w:val="en-US"/>
              </w:rPr>
            </w:pPr>
            <w:r w:rsidRPr="00445E31">
              <w:rPr>
                <w:lang w:val="en-US"/>
              </w:rPr>
              <w:t>inclusion criteria</w:t>
            </w:r>
            <w:r w:rsidR="009B49B0" w:rsidRPr="009B49B0">
              <w:rPr>
                <w:vertAlign w:val="superscript"/>
                <w:lang w:val="en-US"/>
              </w:rPr>
              <w:t>a</w:t>
            </w:r>
            <w:r w:rsidRPr="00445E31">
              <w:rPr>
                <w:lang w:val="en-US"/>
              </w:rPr>
              <w:t xml:space="preserve"> </w:t>
            </w:r>
          </w:p>
          <w:p w14:paraId="26B7700A" w14:textId="4CBFA789" w:rsidR="00956ACE" w:rsidRPr="00CE28E3" w:rsidRDefault="00956ACE" w:rsidP="002F426A">
            <w:pPr>
              <w:pStyle w:val="TableText"/>
              <w:jc w:val="center"/>
              <w:rPr>
                <w:lang w:val="en-US"/>
              </w:rPr>
            </w:pPr>
          </w:p>
        </w:tc>
        <w:tc>
          <w:tcPr>
            <w:tcW w:w="617" w:type="pct"/>
            <w:shd w:val="clear" w:color="auto" w:fill="auto"/>
            <w:vAlign w:val="center"/>
          </w:tcPr>
          <w:p w14:paraId="6651F863" w14:textId="4F12109F" w:rsidR="00956ACE" w:rsidRPr="00CE28E3" w:rsidRDefault="002F426A" w:rsidP="00824458">
            <w:pPr>
              <w:pStyle w:val="TableText"/>
              <w:jc w:val="center"/>
              <w:rPr>
                <w:lang w:val="en-US"/>
              </w:rPr>
            </w:pPr>
            <w:r>
              <w:rPr>
                <w:lang w:val="en-US"/>
              </w:rPr>
              <w:t>Procedural and device related AEs</w:t>
            </w:r>
          </w:p>
        </w:tc>
        <w:tc>
          <w:tcPr>
            <w:tcW w:w="933" w:type="pct"/>
            <w:shd w:val="clear" w:color="auto" w:fill="auto"/>
            <w:vAlign w:val="center"/>
          </w:tcPr>
          <w:p w14:paraId="71B2D61D" w14:textId="4FF2AC19" w:rsidR="00956ACE" w:rsidRPr="00CE28E3" w:rsidRDefault="002F426A" w:rsidP="00824458">
            <w:pPr>
              <w:pStyle w:val="TableText"/>
              <w:jc w:val="center"/>
              <w:rPr>
                <w:lang w:val="en-US"/>
              </w:rPr>
            </w:pPr>
            <w:r>
              <w:rPr>
                <w:lang w:val="en-US"/>
              </w:rPr>
              <w:t>Not used</w:t>
            </w:r>
          </w:p>
        </w:tc>
      </w:tr>
      <w:tr w:rsidR="002F426A" w:rsidRPr="00CE28E3" w14:paraId="584F2F15" w14:textId="77777777" w:rsidTr="004257B9">
        <w:trPr>
          <w:cantSplit/>
        </w:trPr>
        <w:tc>
          <w:tcPr>
            <w:tcW w:w="707" w:type="pct"/>
            <w:shd w:val="clear" w:color="auto" w:fill="auto"/>
            <w:vAlign w:val="center"/>
          </w:tcPr>
          <w:p w14:paraId="760799FF" w14:textId="150C432B" w:rsidR="002F426A" w:rsidRDefault="002F426A" w:rsidP="00824458">
            <w:pPr>
              <w:pStyle w:val="TableText"/>
              <w:rPr>
                <w:lang w:val="en-US"/>
              </w:rPr>
            </w:pPr>
            <w:r w:rsidRPr="002F426A">
              <w:rPr>
                <w:lang w:val="en-US"/>
              </w:rPr>
              <w:t>G-PMS (Steffen, 2019)</w:t>
            </w:r>
          </w:p>
        </w:tc>
        <w:tc>
          <w:tcPr>
            <w:tcW w:w="501" w:type="pct"/>
            <w:shd w:val="clear" w:color="auto" w:fill="auto"/>
            <w:vAlign w:val="center"/>
          </w:tcPr>
          <w:p w14:paraId="1CABB450" w14:textId="43B8F367" w:rsidR="002F426A" w:rsidRDefault="002F426A" w:rsidP="00824458">
            <w:pPr>
              <w:pStyle w:val="TableText"/>
              <w:jc w:val="center"/>
              <w:rPr>
                <w:lang w:val="en-US"/>
              </w:rPr>
            </w:pPr>
            <w:r>
              <w:rPr>
                <w:lang w:val="en-US"/>
              </w:rPr>
              <w:t>60</w:t>
            </w:r>
          </w:p>
        </w:tc>
        <w:tc>
          <w:tcPr>
            <w:tcW w:w="776" w:type="pct"/>
            <w:shd w:val="clear" w:color="auto" w:fill="auto"/>
            <w:vAlign w:val="center"/>
          </w:tcPr>
          <w:p w14:paraId="02313177" w14:textId="1ADF8735" w:rsidR="002F426A" w:rsidRPr="00CE28E3" w:rsidRDefault="009B49B0" w:rsidP="00824458">
            <w:pPr>
              <w:pStyle w:val="TableText"/>
              <w:jc w:val="center"/>
              <w:rPr>
                <w:lang w:val="en-US"/>
              </w:rPr>
            </w:pPr>
            <w:r>
              <w:rPr>
                <w:lang w:val="en-US"/>
              </w:rPr>
              <w:t>MC; PS, OB</w:t>
            </w:r>
          </w:p>
        </w:tc>
        <w:tc>
          <w:tcPr>
            <w:tcW w:w="615" w:type="pct"/>
            <w:shd w:val="clear" w:color="auto" w:fill="auto"/>
            <w:vAlign w:val="center"/>
          </w:tcPr>
          <w:p w14:paraId="344351E3" w14:textId="2B9A7F1C" w:rsidR="002F426A" w:rsidRDefault="002F426A" w:rsidP="00824458">
            <w:pPr>
              <w:pStyle w:val="TableText"/>
              <w:jc w:val="center"/>
              <w:rPr>
                <w:i/>
                <w:lang w:val="en-US"/>
              </w:rPr>
            </w:pPr>
            <w:r>
              <w:rPr>
                <w:i/>
                <w:lang w:val="en-US"/>
              </w:rPr>
              <w:t>High</w:t>
            </w:r>
          </w:p>
        </w:tc>
        <w:tc>
          <w:tcPr>
            <w:tcW w:w="851" w:type="pct"/>
            <w:shd w:val="clear" w:color="auto" w:fill="auto"/>
            <w:vAlign w:val="center"/>
          </w:tcPr>
          <w:p w14:paraId="15A93907" w14:textId="64DC64AC" w:rsidR="002F426A" w:rsidRDefault="002F426A" w:rsidP="002F426A">
            <w:pPr>
              <w:pStyle w:val="TableText"/>
              <w:jc w:val="center"/>
              <w:rPr>
                <w:lang w:val="en-US"/>
              </w:rPr>
            </w:pPr>
            <w:r w:rsidRPr="002F426A">
              <w:rPr>
                <w:lang w:val="en-US"/>
              </w:rPr>
              <w:t>Patients with a previous diagnosis or likely to have a diagnosis of moderate</w:t>
            </w:r>
            <w:r w:rsidR="003D0059">
              <w:rPr>
                <w:lang w:val="en-US"/>
              </w:rPr>
              <w:t xml:space="preserve"> </w:t>
            </w:r>
            <w:r w:rsidRPr="002F426A">
              <w:rPr>
                <w:lang w:val="en-US"/>
              </w:rPr>
              <w:t>to</w:t>
            </w:r>
            <w:r w:rsidR="003D0059">
              <w:rPr>
                <w:lang w:val="en-US"/>
              </w:rPr>
              <w:t xml:space="preserve"> </w:t>
            </w:r>
            <w:r w:rsidRPr="002F426A">
              <w:rPr>
                <w:lang w:val="en-US"/>
              </w:rPr>
              <w:t>severe OSA (AHI between 15 and 65/h) and intolerance to PAP.</w:t>
            </w:r>
            <w:r w:rsidRPr="00D03552">
              <w:t xml:space="preserve"> BMI </w:t>
            </w:r>
            <w:r>
              <w:t>≤</w:t>
            </w:r>
            <w:r w:rsidRPr="00D03552">
              <w:t xml:space="preserve"> 35 kg/m</w:t>
            </w:r>
            <w:r w:rsidRPr="00C102DA">
              <w:rPr>
                <w:vertAlign w:val="superscript"/>
              </w:rPr>
              <w:t>2</w:t>
            </w:r>
          </w:p>
        </w:tc>
        <w:tc>
          <w:tcPr>
            <w:tcW w:w="617" w:type="pct"/>
            <w:shd w:val="clear" w:color="auto" w:fill="auto"/>
            <w:vAlign w:val="center"/>
          </w:tcPr>
          <w:p w14:paraId="17FD7792" w14:textId="526B114B" w:rsidR="002F426A" w:rsidRDefault="002F426A" w:rsidP="00824458">
            <w:pPr>
              <w:pStyle w:val="TableText"/>
              <w:jc w:val="center"/>
              <w:rPr>
                <w:lang w:val="en-US"/>
              </w:rPr>
            </w:pPr>
            <w:r>
              <w:rPr>
                <w:lang w:val="en-US"/>
              </w:rPr>
              <w:t>Serious AEs</w:t>
            </w:r>
          </w:p>
        </w:tc>
        <w:tc>
          <w:tcPr>
            <w:tcW w:w="933" w:type="pct"/>
            <w:shd w:val="clear" w:color="auto" w:fill="auto"/>
            <w:vAlign w:val="center"/>
          </w:tcPr>
          <w:p w14:paraId="71E0CE17" w14:textId="4266D4D2" w:rsidR="002F426A" w:rsidRDefault="002F426A" w:rsidP="00824458">
            <w:pPr>
              <w:pStyle w:val="TableText"/>
              <w:jc w:val="center"/>
              <w:rPr>
                <w:lang w:val="en-US"/>
              </w:rPr>
            </w:pPr>
            <w:r>
              <w:rPr>
                <w:lang w:val="en-US"/>
              </w:rPr>
              <w:t>Not used</w:t>
            </w:r>
          </w:p>
        </w:tc>
      </w:tr>
      <w:tr w:rsidR="00DF6731" w:rsidRPr="00CE28E3" w14:paraId="16939336" w14:textId="77777777" w:rsidTr="004257B9">
        <w:trPr>
          <w:cantSplit/>
        </w:trPr>
        <w:tc>
          <w:tcPr>
            <w:tcW w:w="707" w:type="pct"/>
            <w:shd w:val="clear" w:color="auto" w:fill="auto"/>
            <w:vAlign w:val="center"/>
          </w:tcPr>
          <w:p w14:paraId="59A7A388" w14:textId="36F89909" w:rsidR="00DF6731" w:rsidRPr="002F426A" w:rsidRDefault="00DF6731" w:rsidP="00824458">
            <w:pPr>
              <w:pStyle w:val="TableText"/>
              <w:rPr>
                <w:lang w:val="en-US"/>
              </w:rPr>
            </w:pPr>
            <w:r w:rsidRPr="00DF6731">
              <w:rPr>
                <w:lang w:val="en-US"/>
              </w:rPr>
              <w:t>Lorenz and Goyal (2022</w:t>
            </w:r>
            <w:r>
              <w:rPr>
                <w:lang w:val="en-US"/>
              </w:rPr>
              <w:t>)</w:t>
            </w:r>
          </w:p>
        </w:tc>
        <w:tc>
          <w:tcPr>
            <w:tcW w:w="501" w:type="pct"/>
            <w:shd w:val="clear" w:color="auto" w:fill="auto"/>
            <w:vAlign w:val="center"/>
          </w:tcPr>
          <w:p w14:paraId="0F398AD3" w14:textId="5B0773E3" w:rsidR="00DF6731" w:rsidRDefault="00DF6731" w:rsidP="00824458">
            <w:pPr>
              <w:pStyle w:val="TableText"/>
              <w:jc w:val="center"/>
              <w:rPr>
                <w:lang w:val="en-US"/>
              </w:rPr>
            </w:pPr>
            <w:r>
              <w:rPr>
                <w:lang w:val="en-US"/>
              </w:rPr>
              <w:t>1813</w:t>
            </w:r>
          </w:p>
        </w:tc>
        <w:tc>
          <w:tcPr>
            <w:tcW w:w="776" w:type="pct"/>
            <w:shd w:val="clear" w:color="auto" w:fill="auto"/>
            <w:vAlign w:val="center"/>
          </w:tcPr>
          <w:p w14:paraId="2D8F8224" w14:textId="456E1061" w:rsidR="00DF6731" w:rsidRDefault="00DF6731" w:rsidP="00824458">
            <w:pPr>
              <w:pStyle w:val="TableText"/>
              <w:jc w:val="center"/>
              <w:rPr>
                <w:lang w:val="en-US"/>
              </w:rPr>
            </w:pPr>
            <w:r>
              <w:rPr>
                <w:lang w:val="en-US"/>
              </w:rPr>
              <w:t>MC; OB</w:t>
            </w:r>
          </w:p>
        </w:tc>
        <w:tc>
          <w:tcPr>
            <w:tcW w:w="615" w:type="pct"/>
            <w:shd w:val="clear" w:color="auto" w:fill="auto"/>
            <w:vAlign w:val="center"/>
          </w:tcPr>
          <w:p w14:paraId="75806F79" w14:textId="77783A1A" w:rsidR="00DF6731" w:rsidRDefault="00DF6731" w:rsidP="00824458">
            <w:pPr>
              <w:pStyle w:val="TableText"/>
              <w:jc w:val="center"/>
              <w:rPr>
                <w:i/>
                <w:lang w:val="en-US"/>
              </w:rPr>
            </w:pPr>
            <w:r>
              <w:rPr>
                <w:i/>
                <w:lang w:val="en-US"/>
              </w:rPr>
              <w:t>High</w:t>
            </w:r>
          </w:p>
        </w:tc>
        <w:tc>
          <w:tcPr>
            <w:tcW w:w="851" w:type="pct"/>
            <w:shd w:val="clear" w:color="auto" w:fill="auto"/>
            <w:vAlign w:val="center"/>
          </w:tcPr>
          <w:p w14:paraId="127ABEB6" w14:textId="3DD9FC36" w:rsidR="00DF6731" w:rsidRPr="00DF6731" w:rsidRDefault="00DF6731" w:rsidP="00DF6731">
            <w:pPr>
              <w:pStyle w:val="TableText"/>
              <w:jc w:val="center"/>
              <w:rPr>
                <w:lang w:val="en-US"/>
              </w:rPr>
            </w:pPr>
            <w:r>
              <w:rPr>
                <w:lang w:val="en-US"/>
              </w:rPr>
              <w:t>P</w:t>
            </w:r>
            <w:r w:rsidRPr="00DF6731">
              <w:rPr>
                <w:lang w:val="en-US"/>
              </w:rPr>
              <w:t>atients with</w:t>
            </w:r>
          </w:p>
          <w:p w14:paraId="5B417156" w14:textId="5137808C" w:rsidR="00DF6731" w:rsidRPr="002F426A" w:rsidRDefault="00DF6731" w:rsidP="00DF6731">
            <w:pPr>
              <w:pStyle w:val="TableText"/>
              <w:jc w:val="center"/>
              <w:rPr>
                <w:lang w:val="en-US"/>
              </w:rPr>
            </w:pPr>
            <w:r>
              <w:rPr>
                <w:lang w:val="en-US"/>
              </w:rPr>
              <w:t>OSA</w:t>
            </w:r>
            <w:r w:rsidRPr="00DF6731">
              <w:rPr>
                <w:lang w:val="en-US"/>
              </w:rPr>
              <w:t xml:space="preserve"> who underwent </w:t>
            </w:r>
            <w:r>
              <w:rPr>
                <w:lang w:val="en-US"/>
              </w:rPr>
              <w:t>UAS</w:t>
            </w:r>
            <w:r w:rsidRPr="00DF6731">
              <w:rPr>
                <w:lang w:val="en-US"/>
              </w:rPr>
              <w:t xml:space="preserve"> implantation</w:t>
            </w:r>
          </w:p>
        </w:tc>
        <w:tc>
          <w:tcPr>
            <w:tcW w:w="617" w:type="pct"/>
            <w:shd w:val="clear" w:color="auto" w:fill="auto"/>
            <w:vAlign w:val="center"/>
          </w:tcPr>
          <w:p w14:paraId="78A5DE29" w14:textId="75E9E0C4" w:rsidR="00DF6731" w:rsidRDefault="00DF6731" w:rsidP="00824458">
            <w:pPr>
              <w:pStyle w:val="TableText"/>
              <w:jc w:val="center"/>
              <w:rPr>
                <w:lang w:val="en-US"/>
              </w:rPr>
            </w:pPr>
            <w:r>
              <w:rPr>
                <w:lang w:val="en-US"/>
              </w:rPr>
              <w:t>Serious AEs</w:t>
            </w:r>
          </w:p>
        </w:tc>
        <w:tc>
          <w:tcPr>
            <w:tcW w:w="933" w:type="pct"/>
            <w:shd w:val="clear" w:color="auto" w:fill="auto"/>
            <w:vAlign w:val="center"/>
          </w:tcPr>
          <w:p w14:paraId="0E48B6A5" w14:textId="4DD77A61" w:rsidR="00DF6731" w:rsidRDefault="00DF6731" w:rsidP="00824458">
            <w:pPr>
              <w:pStyle w:val="TableText"/>
              <w:jc w:val="center"/>
              <w:rPr>
                <w:lang w:val="en-US"/>
              </w:rPr>
            </w:pPr>
            <w:r>
              <w:rPr>
                <w:lang w:val="en-US"/>
              </w:rPr>
              <w:t>Not used</w:t>
            </w:r>
          </w:p>
        </w:tc>
      </w:tr>
    </w:tbl>
    <w:p w14:paraId="037A4274" w14:textId="5C84A66A" w:rsidR="006B215A" w:rsidRDefault="009B49B0" w:rsidP="006B215A">
      <w:pPr>
        <w:pStyle w:val="TableFigureFooter"/>
        <w:spacing w:after="0"/>
      </w:pPr>
      <w:bookmarkStart w:id="28" w:name="_Hlk68276176"/>
      <w:bookmarkEnd w:id="24"/>
      <w:r>
        <w:t xml:space="preserve">AE = adverse event; AHI = </w:t>
      </w:r>
      <w:r w:rsidR="00E50EAC">
        <w:t>Apnoea</w:t>
      </w:r>
      <w:r w:rsidRPr="009B49B0">
        <w:t xml:space="preserve"> Hypopnea Index</w:t>
      </w:r>
      <w:r>
        <w:t>;</w:t>
      </w:r>
      <w:r w:rsidR="006B215A">
        <w:t xml:space="preserve"> BMI = body mass index; ccc = complete concentric collapse of the palate; DISE = drug</w:t>
      </w:r>
      <w:r w:rsidR="001604EF">
        <w:t>-</w:t>
      </w:r>
      <w:r w:rsidR="006B215A">
        <w:t>induced sleep endoscopy; ESS = Epworth Sleepiness Scale;</w:t>
      </w:r>
      <w:r w:rsidRPr="009B49B0">
        <w:t xml:space="preserve"> </w:t>
      </w:r>
      <w:r w:rsidR="00956ACE" w:rsidRPr="00CE28E3">
        <w:t xml:space="preserve">MC = multicentre; </w:t>
      </w:r>
      <w:r>
        <w:t xml:space="preserve">OB = Observational; </w:t>
      </w:r>
      <w:r w:rsidR="006B215A">
        <w:t xml:space="preserve">ODI = oxygen desaturation index; </w:t>
      </w:r>
      <w:r w:rsidR="006B215A" w:rsidRPr="006B215A">
        <w:t xml:space="preserve">FOSQ </w:t>
      </w:r>
      <w:r w:rsidR="006B215A">
        <w:t xml:space="preserve">= </w:t>
      </w:r>
      <w:r w:rsidR="00C102DA">
        <w:t>F</w:t>
      </w:r>
      <w:r w:rsidR="006B215A" w:rsidRPr="006B215A">
        <w:t xml:space="preserve">unctional </w:t>
      </w:r>
      <w:r w:rsidR="00C102DA">
        <w:t>O</w:t>
      </w:r>
      <w:r w:rsidR="006B215A" w:rsidRPr="006B215A">
        <w:t xml:space="preserve">utcomes of </w:t>
      </w:r>
      <w:r w:rsidR="00C102DA">
        <w:t>S</w:t>
      </w:r>
      <w:r w:rsidR="006B215A" w:rsidRPr="006B215A">
        <w:t xml:space="preserve">leep </w:t>
      </w:r>
      <w:r w:rsidR="00C102DA">
        <w:t>Q</w:t>
      </w:r>
      <w:r w:rsidR="006B215A" w:rsidRPr="006B215A">
        <w:t>uestionnaire</w:t>
      </w:r>
      <w:r w:rsidR="006B215A">
        <w:t xml:space="preserve">; </w:t>
      </w:r>
      <w:r>
        <w:t xml:space="preserve">OSA = obstructive sleep </w:t>
      </w:r>
      <w:r w:rsidR="00E50EAC">
        <w:t>Apnoea</w:t>
      </w:r>
      <w:r>
        <w:t xml:space="preserve">; </w:t>
      </w:r>
      <w:r w:rsidR="00E45BC8">
        <w:t xml:space="preserve">PAP = positive airway pressure; </w:t>
      </w:r>
      <w:r>
        <w:t xml:space="preserve">PS = Prospective; </w:t>
      </w:r>
      <w:r w:rsidR="00956ACE" w:rsidRPr="00CE28E3">
        <w:t>R = randomised</w:t>
      </w:r>
      <w:r w:rsidR="006B215A">
        <w:t>; UAS = upper airway stimulation</w:t>
      </w:r>
      <w:r w:rsidR="00956ACE" w:rsidRPr="00CE28E3">
        <w:t>.</w:t>
      </w:r>
      <w:r w:rsidR="002F426A">
        <w:t xml:space="preserve"> </w:t>
      </w:r>
    </w:p>
    <w:p w14:paraId="77F184CE" w14:textId="2A774211" w:rsidR="00956ACE" w:rsidRDefault="002F426A" w:rsidP="00FD34D0">
      <w:pPr>
        <w:pStyle w:val="TableFigureFooter"/>
        <w:spacing w:before="0" w:after="0"/>
      </w:pPr>
      <w:r>
        <w:t xml:space="preserve">Notes: </w:t>
      </w:r>
      <w:r w:rsidR="009B49B0">
        <w:t xml:space="preserve">a. </w:t>
      </w:r>
      <w:r>
        <w:t xml:space="preserve">ADHERE inclusion criteria:  intolerance or suboptimal adherence to </w:t>
      </w:r>
      <w:r w:rsidR="001F097F">
        <w:t>C</w:t>
      </w:r>
      <w:r>
        <w:t>PA</w:t>
      </w:r>
      <w:r w:rsidR="001F097F">
        <w:t>P</w:t>
      </w:r>
      <w:r>
        <w:t>, history of moderate to severe OSA [AHI ≥15], and for whom there was observed absence of CCC with DISE</w:t>
      </w:r>
      <w:r w:rsidR="006B215A">
        <w:t>.</w:t>
      </w:r>
    </w:p>
    <w:p w14:paraId="3C2E3E13" w14:textId="1435E9BD" w:rsidR="00DF6731" w:rsidRPr="002F426A" w:rsidRDefault="00DF6731" w:rsidP="00FD34D0">
      <w:pPr>
        <w:pStyle w:val="TableFigureFooter"/>
        <w:spacing w:before="0"/>
      </w:pPr>
      <w:r>
        <w:t xml:space="preserve">Source: compiled for the </w:t>
      </w:r>
      <w:r w:rsidR="00377FF6">
        <w:t>c</w:t>
      </w:r>
      <w:r>
        <w:t>ommentary executive summary based on information in MSAC Application 1595.1 and the in-line commentary</w:t>
      </w:r>
    </w:p>
    <w:p w14:paraId="3B9FC2AD" w14:textId="14D47F0A" w:rsidR="00772829" w:rsidRPr="00CE28E3" w:rsidRDefault="00EE4112" w:rsidP="002A18BE">
      <w:pPr>
        <w:pStyle w:val="Heading2"/>
        <w:numPr>
          <w:ilvl w:val="0"/>
          <w:numId w:val="0"/>
        </w:numPr>
      </w:pPr>
      <w:bookmarkStart w:id="29" w:name="_Toc69491423"/>
      <w:bookmarkEnd w:id="28"/>
      <w:r>
        <w:t>11</w:t>
      </w:r>
      <w:r w:rsidR="00C36633">
        <w:t>.</w:t>
      </w:r>
      <w:r w:rsidR="00C36633">
        <w:tab/>
      </w:r>
      <w:r w:rsidR="00772829" w:rsidRPr="00CE28E3">
        <w:t>Comparative safety</w:t>
      </w:r>
      <w:bookmarkEnd w:id="29"/>
    </w:p>
    <w:p w14:paraId="16F099CB" w14:textId="72C0646B" w:rsidR="00345B81" w:rsidRDefault="00345B81" w:rsidP="00345B81">
      <w:r>
        <w:t>No comparative safety data w</w:t>
      </w:r>
      <w:r w:rsidR="00895A3B">
        <w:t>ere</w:t>
      </w:r>
      <w:r>
        <w:t xml:space="preserve"> presented in the ADAR or identified by the commentary. The ADAR presented the 12-month safety data from the STAR study. The safety data extracted by the commentary is presented in</w:t>
      </w:r>
      <w:r w:rsidR="00C21730">
        <w:t xml:space="preserve"> Table 8</w:t>
      </w:r>
      <w:r>
        <w:t>.</w:t>
      </w:r>
    </w:p>
    <w:p w14:paraId="601227E1" w14:textId="605F1782" w:rsidR="00BF0F94" w:rsidRDefault="00BF0F94" w:rsidP="00345B81">
      <w:r>
        <w:t>Non-serious device</w:t>
      </w:r>
      <w:r w:rsidR="001604EF">
        <w:t xml:space="preserve"> </w:t>
      </w:r>
      <w:r>
        <w:t>related</w:t>
      </w:r>
      <w:r w:rsidRPr="00BF0F94">
        <w:t xml:space="preserve"> adverse events affect a substantial number of patients</w:t>
      </w:r>
      <w:r>
        <w:t xml:space="preserve"> with discomfort due to the electrical stimulation and tongue abrasion being most common. P</w:t>
      </w:r>
      <w:r w:rsidRPr="00BF0F94">
        <w:t>rocedure related data demonstrates a relatively low risk of complications</w:t>
      </w:r>
      <w:r>
        <w:t xml:space="preserve">. </w:t>
      </w:r>
    </w:p>
    <w:p w14:paraId="02A0FE84" w14:textId="54CA7732" w:rsidR="00BF0F94" w:rsidRDefault="00BF0F94" w:rsidP="00345B81">
      <w:r>
        <w:t>A</w:t>
      </w:r>
      <w:r w:rsidRPr="00BF0F94">
        <w:t>s a permanently implanted medical device, there is an ongoing risk of complications with revision and explant rates likely to increase over time</w:t>
      </w:r>
      <w:r>
        <w:t xml:space="preserve">. The commentary considers that the long-term follow-up data on such outcomes remains poorly reported. </w:t>
      </w:r>
    </w:p>
    <w:p w14:paraId="323E9B86" w14:textId="01B50096" w:rsidR="00345B81" w:rsidRDefault="00345B81" w:rsidP="00345B81">
      <w:pPr>
        <w:pStyle w:val="Caption"/>
      </w:pPr>
      <w:bookmarkStart w:id="30" w:name="_Ref121258221"/>
      <w:r>
        <w:lastRenderedPageBreak/>
        <w:t>Table</w:t>
      </w:r>
      <w:r w:rsidR="00C21730">
        <w:t xml:space="preserve"> 8</w:t>
      </w:r>
      <w:bookmarkEnd w:id="30"/>
      <w:r>
        <w:tab/>
        <w:t>Summary of safety outcomes</w:t>
      </w:r>
    </w:p>
    <w:tbl>
      <w:tblPr>
        <w:tblStyle w:val="TableGrid"/>
        <w:tblW w:w="0" w:type="auto"/>
        <w:tblLook w:val="04A0" w:firstRow="1" w:lastRow="0" w:firstColumn="1" w:lastColumn="0" w:noHBand="0" w:noVBand="1"/>
        <w:tblCaption w:val="Summary of safety outcomes"/>
        <w:tblDescription w:val="Presents a summary of safety data identified by the commentary"/>
      </w:tblPr>
      <w:tblGrid>
        <w:gridCol w:w="1773"/>
        <w:gridCol w:w="2741"/>
        <w:gridCol w:w="2122"/>
        <w:gridCol w:w="2380"/>
      </w:tblGrid>
      <w:tr w:rsidR="00345B81" w14:paraId="1E82D2A3" w14:textId="77777777" w:rsidTr="00BA7847">
        <w:tc>
          <w:tcPr>
            <w:tcW w:w="0" w:type="auto"/>
          </w:tcPr>
          <w:p w14:paraId="7BC26A59" w14:textId="665D9A4A" w:rsidR="00345B81" w:rsidRDefault="00345B81" w:rsidP="00345B81">
            <w:pPr>
              <w:pStyle w:val="In-tableHeading"/>
            </w:pPr>
            <w:r>
              <w:t xml:space="preserve">Study </w:t>
            </w:r>
            <w:r w:rsidR="00DE4669">
              <w:t>r</w:t>
            </w:r>
            <w:r>
              <w:t>eference</w:t>
            </w:r>
          </w:p>
          <w:p w14:paraId="6C76CF8A" w14:textId="77777777" w:rsidR="00345B81" w:rsidRDefault="00345B81" w:rsidP="00345B81">
            <w:pPr>
              <w:pStyle w:val="In-tableHeading"/>
            </w:pPr>
            <w:r>
              <w:t>Follow-up (N)</w:t>
            </w:r>
          </w:p>
        </w:tc>
        <w:tc>
          <w:tcPr>
            <w:tcW w:w="0" w:type="auto"/>
          </w:tcPr>
          <w:p w14:paraId="2504E10A" w14:textId="77777777" w:rsidR="00345B81" w:rsidRDefault="00345B81" w:rsidP="00345B81">
            <w:pPr>
              <w:pStyle w:val="In-tableHeading"/>
            </w:pPr>
            <w:r>
              <w:t>Serious Adverse event (No. of events, %)</w:t>
            </w:r>
          </w:p>
          <w:p w14:paraId="4739F282" w14:textId="77777777" w:rsidR="00345B81" w:rsidRDefault="00345B81" w:rsidP="00345B81">
            <w:pPr>
              <w:pStyle w:val="In-tableHeading"/>
            </w:pPr>
          </w:p>
        </w:tc>
        <w:tc>
          <w:tcPr>
            <w:tcW w:w="0" w:type="auto"/>
          </w:tcPr>
          <w:p w14:paraId="15192FB5" w14:textId="77777777" w:rsidR="00345B81" w:rsidRDefault="00345B81" w:rsidP="00345B81">
            <w:pPr>
              <w:pStyle w:val="In-tableHeading"/>
            </w:pPr>
            <w:r>
              <w:t>Procedure related non-serious adverse event</w:t>
            </w:r>
          </w:p>
        </w:tc>
        <w:tc>
          <w:tcPr>
            <w:tcW w:w="0" w:type="auto"/>
          </w:tcPr>
          <w:p w14:paraId="0247FB5D" w14:textId="77777777" w:rsidR="00345B81" w:rsidRDefault="00345B81" w:rsidP="00345B81">
            <w:pPr>
              <w:pStyle w:val="In-tableHeading"/>
            </w:pPr>
            <w:r>
              <w:t>Device related non-serious adverse event</w:t>
            </w:r>
          </w:p>
        </w:tc>
      </w:tr>
      <w:tr w:rsidR="00345B81" w14:paraId="039ED335" w14:textId="77777777" w:rsidTr="00BA7847">
        <w:tc>
          <w:tcPr>
            <w:tcW w:w="0" w:type="auto"/>
          </w:tcPr>
          <w:p w14:paraId="1BD7855F" w14:textId="77777777" w:rsidR="00345B81" w:rsidRDefault="00345B81" w:rsidP="00345B81">
            <w:pPr>
              <w:pStyle w:val="TableText"/>
            </w:pPr>
            <w:r>
              <w:t>STAR (Strollo, 2014, Woodson, 2018)</w:t>
            </w:r>
          </w:p>
          <w:p w14:paraId="362442F0" w14:textId="77777777" w:rsidR="00345B81" w:rsidRDefault="00345B81" w:rsidP="00345B81">
            <w:pPr>
              <w:pStyle w:val="TableText"/>
            </w:pPr>
            <w:r>
              <w:t>12 months (124)</w:t>
            </w:r>
          </w:p>
          <w:p w14:paraId="2828B839" w14:textId="77777777" w:rsidR="00345B81" w:rsidRDefault="00345B81" w:rsidP="00345B81">
            <w:pPr>
              <w:pStyle w:val="TableText"/>
            </w:pPr>
            <w:r>
              <w:t>5-years (97)</w:t>
            </w:r>
          </w:p>
        </w:tc>
        <w:tc>
          <w:tcPr>
            <w:tcW w:w="0" w:type="auto"/>
          </w:tcPr>
          <w:p w14:paraId="3D301DAD" w14:textId="77777777" w:rsidR="00345B81" w:rsidRDefault="00345B81" w:rsidP="00345B81">
            <w:pPr>
              <w:pStyle w:val="TableText"/>
              <w:rPr>
                <w:b/>
                <w:bCs/>
              </w:rPr>
            </w:pPr>
            <w:r>
              <w:rPr>
                <w:b/>
                <w:bCs/>
              </w:rPr>
              <w:t>Follow-up period</w:t>
            </w:r>
          </w:p>
          <w:p w14:paraId="79EF4DCF" w14:textId="77777777" w:rsidR="00345B81" w:rsidRDefault="00345B81" w:rsidP="00345B81">
            <w:pPr>
              <w:pStyle w:val="TableText"/>
            </w:pPr>
            <w:r>
              <w:t>Lead or device reposition or replacement (9 events, 8 patients, 6%)</w:t>
            </w:r>
          </w:p>
          <w:p w14:paraId="6C8907D7" w14:textId="77777777" w:rsidR="00345B81" w:rsidRDefault="00345B81" w:rsidP="00345B81">
            <w:pPr>
              <w:pStyle w:val="TableText"/>
            </w:pPr>
            <w:r>
              <w:t>Device explant (3, 2%)</w:t>
            </w:r>
          </w:p>
          <w:p w14:paraId="5FFEB6DE" w14:textId="77777777" w:rsidR="00345B81" w:rsidRDefault="00345B81" w:rsidP="00345B81">
            <w:pPr>
              <w:pStyle w:val="TableText"/>
            </w:pPr>
            <w:r>
              <w:t>Death, unrelated (5, 4%)</w:t>
            </w:r>
          </w:p>
        </w:tc>
        <w:tc>
          <w:tcPr>
            <w:tcW w:w="0" w:type="auto"/>
          </w:tcPr>
          <w:p w14:paraId="49BA54EA" w14:textId="253DFDA6" w:rsidR="00345B81" w:rsidRDefault="00345B81" w:rsidP="00345B81">
            <w:pPr>
              <w:pStyle w:val="TableText"/>
            </w:pPr>
            <w:r>
              <w:t>Post</w:t>
            </w:r>
            <w:r w:rsidR="00B95C8A">
              <w:t>-operative</w:t>
            </w:r>
            <w:r>
              <w:t xml:space="preserve"> discomfort or symptoms (142, 80%)</w:t>
            </w:r>
          </w:p>
          <w:p w14:paraId="0C586EED" w14:textId="77777777" w:rsidR="00345B81" w:rsidRDefault="00345B81" w:rsidP="00345B81">
            <w:pPr>
              <w:pStyle w:val="TableText"/>
            </w:pPr>
            <w:r>
              <w:t>Tongue weakness (34, 18%)</w:t>
            </w:r>
          </w:p>
          <w:p w14:paraId="37A42C60" w14:textId="77777777" w:rsidR="00345B81" w:rsidRDefault="00345B81" w:rsidP="00345B81">
            <w:pPr>
              <w:pStyle w:val="TableText"/>
            </w:pPr>
            <w:r>
              <w:t>Mild infection (1, &lt;1%)</w:t>
            </w:r>
          </w:p>
        </w:tc>
        <w:tc>
          <w:tcPr>
            <w:tcW w:w="0" w:type="auto"/>
          </w:tcPr>
          <w:p w14:paraId="30473425" w14:textId="77777777" w:rsidR="00345B81" w:rsidRDefault="00345B81" w:rsidP="00345B81">
            <w:pPr>
              <w:pStyle w:val="TableText"/>
            </w:pPr>
            <w:r>
              <w:t>Discomfort due to electrical stimulation (142, 60%)</w:t>
            </w:r>
          </w:p>
          <w:p w14:paraId="36A83E0B" w14:textId="77777777" w:rsidR="00345B81" w:rsidRDefault="00345B81" w:rsidP="00345B81">
            <w:pPr>
              <w:pStyle w:val="TableText"/>
            </w:pPr>
            <w:r>
              <w:t>Tongue abrasion (49, 27%)</w:t>
            </w:r>
          </w:p>
          <w:p w14:paraId="6F60F439" w14:textId="77777777" w:rsidR="00345B81" w:rsidRDefault="00345B81" w:rsidP="00345B81">
            <w:pPr>
              <w:pStyle w:val="TableText"/>
            </w:pPr>
            <w:r>
              <w:t>Dry mouth (20, 15%)</w:t>
            </w:r>
          </w:p>
          <w:p w14:paraId="758632CD" w14:textId="77777777" w:rsidR="00345B81" w:rsidRDefault="00345B81" w:rsidP="00345B81">
            <w:pPr>
              <w:pStyle w:val="TableText"/>
            </w:pPr>
            <w:r>
              <w:t>Pain (14, 11%)</w:t>
            </w:r>
          </w:p>
          <w:p w14:paraId="3857EBAB" w14:textId="77777777" w:rsidR="00345B81" w:rsidRDefault="00345B81" w:rsidP="00345B81">
            <w:pPr>
              <w:pStyle w:val="TableText"/>
            </w:pPr>
            <w:r>
              <w:t>Device usability (70, 43%)</w:t>
            </w:r>
          </w:p>
          <w:p w14:paraId="1FF8C914" w14:textId="77777777" w:rsidR="00345B81" w:rsidRDefault="00345B81" w:rsidP="00345B81">
            <w:pPr>
              <w:pStyle w:val="TableText"/>
            </w:pPr>
            <w:r>
              <w:t>Infection (1, &lt;1%)</w:t>
            </w:r>
          </w:p>
          <w:p w14:paraId="2646C275" w14:textId="77777777" w:rsidR="00345B81" w:rsidRDefault="00345B81" w:rsidP="00345B81">
            <w:pPr>
              <w:pStyle w:val="TableText"/>
            </w:pPr>
            <w:r>
              <w:t>Other (39, 25%)</w:t>
            </w:r>
          </w:p>
        </w:tc>
      </w:tr>
      <w:tr w:rsidR="00345B81" w14:paraId="7BA179CC" w14:textId="77777777" w:rsidTr="00BA7847">
        <w:tc>
          <w:tcPr>
            <w:tcW w:w="0" w:type="auto"/>
          </w:tcPr>
          <w:p w14:paraId="7F193D6A" w14:textId="77777777" w:rsidR="00345B81" w:rsidRDefault="00345B81" w:rsidP="00345B81">
            <w:pPr>
              <w:pStyle w:val="TableText"/>
            </w:pPr>
            <w:r>
              <w:t>G-PMS (Steffen, 2019)</w:t>
            </w:r>
          </w:p>
          <w:p w14:paraId="06560F4F" w14:textId="77777777" w:rsidR="00345B81" w:rsidRDefault="00345B81" w:rsidP="00345B81">
            <w:pPr>
              <w:pStyle w:val="TableText"/>
            </w:pPr>
            <w:r>
              <w:t>32 months (60)</w:t>
            </w:r>
          </w:p>
        </w:tc>
        <w:tc>
          <w:tcPr>
            <w:tcW w:w="0" w:type="auto"/>
          </w:tcPr>
          <w:p w14:paraId="2E9610A8" w14:textId="77777777" w:rsidR="00345B81" w:rsidRDefault="00345B81" w:rsidP="00345B81">
            <w:pPr>
              <w:pStyle w:val="TableText"/>
              <w:rPr>
                <w:b/>
                <w:bCs/>
              </w:rPr>
            </w:pPr>
            <w:r>
              <w:rPr>
                <w:b/>
                <w:bCs/>
              </w:rPr>
              <w:t>Follow-up period</w:t>
            </w:r>
          </w:p>
          <w:p w14:paraId="4E09D765" w14:textId="77777777" w:rsidR="00345B81" w:rsidRDefault="00345B81" w:rsidP="00345B81">
            <w:pPr>
              <w:pStyle w:val="TableText"/>
            </w:pPr>
            <w:r>
              <w:t>Sensing lead replacement (2, 3%)</w:t>
            </w:r>
          </w:p>
          <w:p w14:paraId="6A9919C7" w14:textId="77777777" w:rsidR="00345B81" w:rsidRDefault="00345B81" w:rsidP="00345B81">
            <w:pPr>
              <w:pStyle w:val="TableText"/>
            </w:pPr>
            <w:r>
              <w:t>Device explant (2, 3%)</w:t>
            </w:r>
          </w:p>
          <w:p w14:paraId="0E7ECA34" w14:textId="77777777" w:rsidR="00345B81" w:rsidRDefault="00345B81" w:rsidP="00345B81">
            <w:pPr>
              <w:pStyle w:val="TableText"/>
            </w:pPr>
            <w:r>
              <w:t>Death, unrelated (1, &lt;1%)</w:t>
            </w:r>
          </w:p>
        </w:tc>
        <w:tc>
          <w:tcPr>
            <w:tcW w:w="0" w:type="auto"/>
          </w:tcPr>
          <w:p w14:paraId="311FD760" w14:textId="77777777" w:rsidR="00345B81" w:rsidRDefault="00345B81" w:rsidP="00345B81">
            <w:pPr>
              <w:pStyle w:val="TableText"/>
            </w:pPr>
            <w:r>
              <w:t>NR</w:t>
            </w:r>
          </w:p>
        </w:tc>
        <w:tc>
          <w:tcPr>
            <w:tcW w:w="0" w:type="auto"/>
          </w:tcPr>
          <w:p w14:paraId="2D965757" w14:textId="77777777" w:rsidR="00345B81" w:rsidRDefault="00345B81" w:rsidP="00345B81">
            <w:pPr>
              <w:pStyle w:val="TableText"/>
            </w:pPr>
            <w:r>
              <w:t>NR</w:t>
            </w:r>
          </w:p>
        </w:tc>
      </w:tr>
      <w:tr w:rsidR="00345B81" w14:paraId="18238E1A" w14:textId="77777777" w:rsidTr="00BA7847">
        <w:tc>
          <w:tcPr>
            <w:tcW w:w="0" w:type="auto"/>
          </w:tcPr>
          <w:p w14:paraId="7CCA751A" w14:textId="77777777" w:rsidR="00345B81" w:rsidRDefault="00345B81" w:rsidP="00345B81">
            <w:pPr>
              <w:pStyle w:val="TableText"/>
            </w:pPr>
            <w:r>
              <w:t xml:space="preserve">ADHERE </w:t>
            </w:r>
            <w:bookmarkStart w:id="31" w:name="_Hlk121252094"/>
            <w:r>
              <w:t>(Thaler, 2019, Suurna, 2020)</w:t>
            </w:r>
            <w:bookmarkEnd w:id="31"/>
            <w:r w:rsidRPr="00DA4A3F">
              <w:rPr>
                <w:vertAlign w:val="superscript"/>
              </w:rPr>
              <w:t>a</w:t>
            </w:r>
          </w:p>
          <w:p w14:paraId="7DFB5928" w14:textId="77777777" w:rsidR="00345B81" w:rsidRDefault="00345B81" w:rsidP="00345B81">
            <w:pPr>
              <w:pStyle w:val="TableText"/>
            </w:pPr>
            <w:r>
              <w:t>6 months (350)</w:t>
            </w:r>
          </w:p>
          <w:p w14:paraId="2E985755" w14:textId="77777777" w:rsidR="00345B81" w:rsidRDefault="00345B81" w:rsidP="00345B81">
            <w:pPr>
              <w:pStyle w:val="TableText"/>
            </w:pPr>
            <w:r>
              <w:t>12 months (353) (Thaler, 2019)</w:t>
            </w:r>
          </w:p>
          <w:p w14:paraId="255B1ED7" w14:textId="77777777" w:rsidR="00345B81" w:rsidRDefault="00345B81" w:rsidP="00345B81">
            <w:pPr>
              <w:pStyle w:val="TableText"/>
            </w:pPr>
            <w:r>
              <w:t>12 months (823) (Suurna, 2020)</w:t>
            </w:r>
          </w:p>
        </w:tc>
        <w:tc>
          <w:tcPr>
            <w:tcW w:w="0" w:type="auto"/>
          </w:tcPr>
          <w:p w14:paraId="33BAD21B" w14:textId="77777777" w:rsidR="00345B81" w:rsidRDefault="00345B81" w:rsidP="00345B81">
            <w:pPr>
              <w:pStyle w:val="TableText"/>
              <w:rPr>
                <w:b/>
                <w:bCs/>
              </w:rPr>
            </w:pPr>
            <w:r>
              <w:rPr>
                <w:b/>
                <w:bCs/>
              </w:rPr>
              <w:t>Intraoperative</w:t>
            </w:r>
          </w:p>
          <w:p w14:paraId="211B31E6" w14:textId="77777777" w:rsidR="00345B81" w:rsidRDefault="00345B81" w:rsidP="00345B81">
            <w:pPr>
              <w:pStyle w:val="TableText"/>
            </w:pPr>
            <w:r>
              <w:t>Hematoma (8, 0.43%)</w:t>
            </w:r>
          </w:p>
          <w:p w14:paraId="2B560119" w14:textId="77777777" w:rsidR="00345B81" w:rsidRDefault="00345B81" w:rsidP="00345B81">
            <w:pPr>
              <w:pStyle w:val="TableText"/>
            </w:pPr>
            <w:r>
              <w:t>Infection (2, 0.11%)</w:t>
            </w:r>
          </w:p>
          <w:p w14:paraId="1D74ECEF" w14:textId="77777777" w:rsidR="00345B81" w:rsidRDefault="00345B81" w:rsidP="00345B81">
            <w:pPr>
              <w:pStyle w:val="TableText"/>
            </w:pPr>
            <w:r>
              <w:t>Pneumothorax (1, 0.05%)</w:t>
            </w:r>
          </w:p>
          <w:p w14:paraId="29B23FED" w14:textId="77777777" w:rsidR="00345B81" w:rsidRDefault="00345B81" w:rsidP="00345B81">
            <w:pPr>
              <w:pStyle w:val="TableText"/>
            </w:pPr>
            <w:r>
              <w:t>Other (4, 0.16%)</w:t>
            </w:r>
          </w:p>
          <w:p w14:paraId="364B3C4B" w14:textId="77777777" w:rsidR="00345B81" w:rsidRDefault="00345B81" w:rsidP="00345B81">
            <w:pPr>
              <w:pStyle w:val="TableText"/>
              <w:rPr>
                <w:b/>
                <w:bCs/>
              </w:rPr>
            </w:pPr>
            <w:r>
              <w:rPr>
                <w:b/>
                <w:bCs/>
              </w:rPr>
              <w:t>Follow-up period</w:t>
            </w:r>
          </w:p>
          <w:p w14:paraId="7F54D0E0" w14:textId="77777777" w:rsidR="00345B81" w:rsidRDefault="00345B81" w:rsidP="00345B81">
            <w:pPr>
              <w:pStyle w:val="TableText"/>
            </w:pPr>
            <w:r>
              <w:t>System explant (1, 0.05%)</w:t>
            </w:r>
          </w:p>
          <w:p w14:paraId="73DE1416" w14:textId="77777777" w:rsidR="00345B81" w:rsidRDefault="00345B81" w:rsidP="00345B81">
            <w:pPr>
              <w:pStyle w:val="TableText"/>
            </w:pPr>
            <w:r>
              <w:t>System revision (3, 0.16%)</w:t>
            </w:r>
          </w:p>
          <w:p w14:paraId="29B593CB" w14:textId="77777777" w:rsidR="00345B81" w:rsidRDefault="00345B81" w:rsidP="00345B81">
            <w:pPr>
              <w:pStyle w:val="TableText"/>
            </w:pPr>
            <w:r>
              <w:t>Sensor lead revision (12, 0.70%)</w:t>
            </w:r>
          </w:p>
          <w:p w14:paraId="35F399B4" w14:textId="77777777" w:rsidR="00345B81" w:rsidRDefault="00345B81" w:rsidP="00345B81">
            <w:pPr>
              <w:pStyle w:val="TableText"/>
            </w:pPr>
            <w:r>
              <w:t>Stimulation lead revision (12, 0.64%)</w:t>
            </w:r>
          </w:p>
          <w:p w14:paraId="5D5C68C1" w14:textId="77777777" w:rsidR="00345B81" w:rsidRDefault="00345B81" w:rsidP="00345B81">
            <w:pPr>
              <w:pStyle w:val="TableText"/>
            </w:pPr>
            <w:r>
              <w:t>IPG pocket revision (2, 0.11%)</w:t>
            </w:r>
          </w:p>
          <w:p w14:paraId="3D2B9033" w14:textId="77777777" w:rsidR="00345B81" w:rsidRDefault="00345B81" w:rsidP="00345B81">
            <w:pPr>
              <w:pStyle w:val="TableText"/>
            </w:pPr>
            <w:r>
              <w:t>Other (4, 0.16%)</w:t>
            </w:r>
          </w:p>
        </w:tc>
        <w:tc>
          <w:tcPr>
            <w:tcW w:w="0" w:type="auto"/>
          </w:tcPr>
          <w:p w14:paraId="4B47D76F" w14:textId="4DB82078" w:rsidR="00345B81" w:rsidRDefault="00345B81" w:rsidP="00345B81">
            <w:pPr>
              <w:pStyle w:val="TableText"/>
            </w:pPr>
            <w:r>
              <w:t>Post</w:t>
            </w:r>
            <w:r w:rsidR="003D0059">
              <w:t>-</w:t>
            </w:r>
            <w:r>
              <w:t>operative discomfort or symptoms (42, 11%)</w:t>
            </w:r>
          </w:p>
          <w:p w14:paraId="1E208E2D" w14:textId="77777777" w:rsidR="00345B81" w:rsidRDefault="00345B81" w:rsidP="00345B81">
            <w:pPr>
              <w:pStyle w:val="TableText"/>
            </w:pPr>
            <w:r>
              <w:t>Tongue weakness (3, &lt;1%)</w:t>
            </w:r>
          </w:p>
          <w:p w14:paraId="61FB0772" w14:textId="77777777" w:rsidR="00345B81" w:rsidRDefault="00345B81" w:rsidP="00345B81">
            <w:pPr>
              <w:pStyle w:val="TableText"/>
            </w:pPr>
            <w:r>
              <w:t>Infection (2, &lt;1%)</w:t>
            </w:r>
          </w:p>
          <w:p w14:paraId="76599BF8" w14:textId="77777777" w:rsidR="00345B81" w:rsidRDefault="00345B81" w:rsidP="00345B81">
            <w:pPr>
              <w:pStyle w:val="TableText"/>
            </w:pPr>
            <w:r>
              <w:t>Other (5, 1%)</w:t>
            </w:r>
          </w:p>
        </w:tc>
        <w:tc>
          <w:tcPr>
            <w:tcW w:w="0" w:type="auto"/>
          </w:tcPr>
          <w:p w14:paraId="66C16716" w14:textId="77777777" w:rsidR="00345B81" w:rsidRDefault="00345B81" w:rsidP="00345B81">
            <w:pPr>
              <w:pStyle w:val="TableText"/>
            </w:pPr>
            <w:r>
              <w:t>Discomfort due to electrical stimulation (69, 20%)</w:t>
            </w:r>
          </w:p>
          <w:p w14:paraId="249CA9B6" w14:textId="77777777" w:rsidR="00345B81" w:rsidRDefault="00345B81" w:rsidP="00345B81">
            <w:pPr>
              <w:pStyle w:val="TableText"/>
            </w:pPr>
            <w:r>
              <w:t>Tongue abrasion (26, 7%)</w:t>
            </w:r>
          </w:p>
          <w:p w14:paraId="2927621E" w14:textId="77777777" w:rsidR="00345B81" w:rsidRDefault="00345B81" w:rsidP="00345B81">
            <w:pPr>
              <w:pStyle w:val="TableText"/>
            </w:pPr>
            <w:r>
              <w:t>Device discomfort (15, 4%)</w:t>
            </w:r>
          </w:p>
          <w:p w14:paraId="66EBD8CF" w14:textId="77777777" w:rsidR="00345B81" w:rsidRDefault="00345B81" w:rsidP="00345B81">
            <w:pPr>
              <w:pStyle w:val="TableText"/>
            </w:pPr>
            <w:r>
              <w:t>Insomnia/arousal (27, 8%)</w:t>
            </w:r>
          </w:p>
          <w:p w14:paraId="00E97B15" w14:textId="77777777" w:rsidR="00345B81" w:rsidRDefault="00345B81" w:rsidP="00345B81">
            <w:pPr>
              <w:pStyle w:val="TableText"/>
            </w:pPr>
            <w:r>
              <w:t>Other (discomfort, activation) (80, 23%)</w:t>
            </w:r>
          </w:p>
        </w:tc>
      </w:tr>
      <w:tr w:rsidR="00345B81" w14:paraId="35B77610" w14:textId="77777777" w:rsidTr="00BA7847">
        <w:tc>
          <w:tcPr>
            <w:tcW w:w="0" w:type="auto"/>
          </w:tcPr>
          <w:p w14:paraId="270F3B23" w14:textId="77777777" w:rsidR="00345B81" w:rsidRDefault="00345B81" w:rsidP="00345B81">
            <w:pPr>
              <w:pStyle w:val="TableText"/>
            </w:pPr>
            <w:r>
              <w:t>Lorenz and Goyal (2022)</w:t>
            </w:r>
          </w:p>
          <w:p w14:paraId="0E5C7BD5" w14:textId="77777777" w:rsidR="00345B81" w:rsidRDefault="00345B81" w:rsidP="00345B81">
            <w:pPr>
              <w:pStyle w:val="TableText"/>
            </w:pPr>
            <w:r>
              <w:t>NR – range 8 years to 1 month (1,813)</w:t>
            </w:r>
          </w:p>
        </w:tc>
        <w:tc>
          <w:tcPr>
            <w:tcW w:w="0" w:type="auto"/>
          </w:tcPr>
          <w:p w14:paraId="0D074880" w14:textId="77777777" w:rsidR="00345B81" w:rsidRDefault="00345B81" w:rsidP="00345B81">
            <w:pPr>
              <w:pStyle w:val="TableText"/>
              <w:rPr>
                <w:b/>
                <w:bCs/>
              </w:rPr>
            </w:pPr>
            <w:r>
              <w:rPr>
                <w:b/>
                <w:bCs/>
              </w:rPr>
              <w:t>Intraoperative (to 3 months)</w:t>
            </w:r>
          </w:p>
          <w:p w14:paraId="6B75157A" w14:textId="77777777" w:rsidR="00345B81" w:rsidRDefault="00345B81" w:rsidP="00345B81">
            <w:pPr>
              <w:pStyle w:val="TableText"/>
            </w:pPr>
            <w:r>
              <w:t>Pneumothorax 44 (2.4%)</w:t>
            </w:r>
          </w:p>
          <w:p w14:paraId="05C5C9A5" w14:textId="77777777" w:rsidR="00345B81" w:rsidRDefault="00345B81" w:rsidP="00345B81">
            <w:pPr>
              <w:pStyle w:val="TableText"/>
            </w:pPr>
            <w:r>
              <w:t>Pleural effusion 11 (0.6%)</w:t>
            </w:r>
          </w:p>
          <w:p w14:paraId="0FD5726C" w14:textId="77777777" w:rsidR="00345B81" w:rsidRDefault="00345B81" w:rsidP="00345B81">
            <w:pPr>
              <w:pStyle w:val="TableText"/>
            </w:pPr>
            <w:r>
              <w:t>Infection 17 (0.9%)</w:t>
            </w:r>
          </w:p>
          <w:p w14:paraId="0A93448C" w14:textId="77777777" w:rsidR="00345B81" w:rsidRDefault="00345B81" w:rsidP="00345B81">
            <w:pPr>
              <w:pStyle w:val="TableText"/>
              <w:rPr>
                <w:b/>
                <w:bCs/>
              </w:rPr>
            </w:pPr>
            <w:r>
              <w:rPr>
                <w:b/>
                <w:bCs/>
              </w:rPr>
              <w:t>Follow-up period</w:t>
            </w:r>
          </w:p>
          <w:p w14:paraId="4EB961E3" w14:textId="77777777" w:rsidR="00345B81" w:rsidRDefault="00345B81" w:rsidP="00345B81">
            <w:pPr>
              <w:pStyle w:val="TableText"/>
              <w:rPr>
                <w:b/>
                <w:bCs/>
              </w:rPr>
            </w:pPr>
            <w:r>
              <w:t>Revisions or replacements 25 (1.4%) Explants 22 (1.2%)</w:t>
            </w:r>
          </w:p>
        </w:tc>
        <w:tc>
          <w:tcPr>
            <w:tcW w:w="0" w:type="auto"/>
          </w:tcPr>
          <w:p w14:paraId="38ED0FB1" w14:textId="6E8A6F0B" w:rsidR="00345B81" w:rsidRDefault="00345B81" w:rsidP="00345B81">
            <w:pPr>
              <w:pStyle w:val="TableText"/>
            </w:pPr>
            <w:r>
              <w:t>NR</w:t>
            </w:r>
          </w:p>
        </w:tc>
        <w:tc>
          <w:tcPr>
            <w:tcW w:w="0" w:type="auto"/>
          </w:tcPr>
          <w:p w14:paraId="797FC50D" w14:textId="6BDA0968" w:rsidR="00345B81" w:rsidRDefault="00345B81" w:rsidP="00345B81">
            <w:pPr>
              <w:pStyle w:val="TableText"/>
            </w:pPr>
            <w:r>
              <w:t>NR</w:t>
            </w:r>
          </w:p>
        </w:tc>
      </w:tr>
    </w:tbl>
    <w:p w14:paraId="44DA0A1A" w14:textId="1BCE4642" w:rsidR="00345B81" w:rsidRPr="003251C2" w:rsidRDefault="00FD34D0" w:rsidP="00FD34D0">
      <w:pPr>
        <w:pStyle w:val="TableFigureFooter"/>
      </w:pPr>
      <w:r w:rsidRPr="00FD34D0">
        <w:t>Note: a. The denominator for the ADHERE safety data is unclear; percentages are reported as per the study. In Thaler (reporting non-serious AEs), there were 640 patients who completed 6-month follow</w:t>
      </w:r>
      <w:r w:rsidR="001604EF">
        <w:t>-</w:t>
      </w:r>
      <w:r w:rsidRPr="00FD34D0">
        <w:t>up and 382 for 12-month follow</w:t>
      </w:r>
      <w:r w:rsidR="001604EF">
        <w:t>-</w:t>
      </w:r>
      <w:r w:rsidRPr="00FD34D0">
        <w:t>up, however</w:t>
      </w:r>
      <w:r w:rsidR="00B95C8A">
        <w:t>,</w:t>
      </w:r>
      <w:r w:rsidRPr="00FD34D0">
        <w:t xml:space="preserve"> safety data was reported only for those patients who completed the visit form. This number is not reported in the study and has been estimated from the rates presented in the paper. In Suurna (reporting serious AEs), total number of patients enrolled was (1,849) and 823 completed the 12-month follow-up (the number who completed the visit form is NR). </w:t>
      </w:r>
      <w:r>
        <w:t>Source: Commentary Table 5 of MSAC Application 1595.1</w:t>
      </w:r>
    </w:p>
    <w:p w14:paraId="3717AA01" w14:textId="07F06726" w:rsidR="00772829" w:rsidRPr="00CE28E3" w:rsidRDefault="00C36633" w:rsidP="002A18BE">
      <w:pPr>
        <w:pStyle w:val="Heading2"/>
        <w:numPr>
          <w:ilvl w:val="0"/>
          <w:numId w:val="0"/>
        </w:numPr>
      </w:pPr>
      <w:bookmarkStart w:id="32" w:name="_Toc69491424"/>
      <w:r>
        <w:t>1</w:t>
      </w:r>
      <w:r w:rsidR="00EE4112">
        <w:t>2</w:t>
      </w:r>
      <w:r>
        <w:t>.</w:t>
      </w:r>
      <w:r>
        <w:tab/>
      </w:r>
      <w:r w:rsidR="00772829" w:rsidRPr="00CE28E3">
        <w:t>Comparative effectiveness</w:t>
      </w:r>
      <w:bookmarkEnd w:id="32"/>
    </w:p>
    <w:p w14:paraId="497DBA35" w14:textId="3ADEB225" w:rsidR="00502FA9" w:rsidRDefault="00502FA9" w:rsidP="00502FA9">
      <w:pPr>
        <w:pStyle w:val="Heading3"/>
      </w:pPr>
      <w:r>
        <w:t>Apnoea hypo</w:t>
      </w:r>
      <w:r w:rsidR="00C36975">
        <w:t>p</w:t>
      </w:r>
      <w:r>
        <w:t>nea index (AHI)</w:t>
      </w:r>
    </w:p>
    <w:p w14:paraId="13AE2473" w14:textId="7E3DA590" w:rsidR="00502FA9" w:rsidRDefault="00502FA9" w:rsidP="00502FA9">
      <w:r>
        <w:t xml:space="preserve">Mean change in AHI is a key input into the economic model and therefore a critical effectiveness outcome. </w:t>
      </w:r>
      <w:r w:rsidRPr="00502FA9">
        <w:t>The ADAR has not defined a clinically important change in AHI, although the threshold for moderate OSA is ≥15. Although AHI is diagnostic for OSA, it is a surrogate measure for health outcomes.</w:t>
      </w:r>
      <w:r>
        <w:t xml:space="preserve"> </w:t>
      </w:r>
    </w:p>
    <w:p w14:paraId="1E059002" w14:textId="5762C119" w:rsidR="00502FA9" w:rsidRDefault="00502FA9" w:rsidP="00502FA9">
      <w:r>
        <w:lastRenderedPageBreak/>
        <w:t>The ADAR reported the mean change at 5</w:t>
      </w:r>
      <w:r w:rsidR="00BC3A7F">
        <w:t xml:space="preserve"> </w:t>
      </w:r>
      <w:r>
        <w:t xml:space="preserve">years from the STAR study of </w:t>
      </w:r>
      <w:r w:rsidRPr="00502FA9">
        <w:t>-17.1</w:t>
      </w:r>
      <w:r w:rsidR="002C4017">
        <w:t>±</w:t>
      </w:r>
      <w:r w:rsidRPr="00502FA9">
        <w:t>1.7 (95%</w:t>
      </w:r>
      <w:r w:rsidR="006F0DE5">
        <w:t xml:space="preserve"> confidence interval (</w:t>
      </w:r>
      <w:r w:rsidRPr="00502FA9">
        <w:t>CI</w:t>
      </w:r>
      <w:r w:rsidR="006F0DE5">
        <w:t>)</w:t>
      </w:r>
      <w:r w:rsidRPr="00502FA9">
        <w:t xml:space="preserve"> -20.5 to -13.6)</w:t>
      </w:r>
      <w:r w:rsidR="002C4017">
        <w:t>. It also reported on t</w:t>
      </w:r>
      <w:r>
        <w:t>he STAR therapy withdrawal trial (</w:t>
      </w:r>
      <w:r w:rsidR="00672E75">
        <w:t>Table 10</w:t>
      </w:r>
      <w:r>
        <w:t>)</w:t>
      </w:r>
      <w:r w:rsidRPr="00502FA9">
        <w:t>.</w:t>
      </w:r>
    </w:p>
    <w:p w14:paraId="0557B150" w14:textId="028529DA" w:rsidR="00502FA9" w:rsidRPr="00502FA9" w:rsidRDefault="00502FA9" w:rsidP="00502FA9">
      <w:r>
        <w:t xml:space="preserve">The commentary provided additional evidence from the </w:t>
      </w:r>
      <w:r w:rsidR="001634EF">
        <w:t xml:space="preserve">Mehra (2020) </w:t>
      </w:r>
      <w:r>
        <w:t>non-randomised comparative study (</w:t>
      </w:r>
      <w:r w:rsidR="00660A4F">
        <w:t>Table 9</w:t>
      </w:r>
      <w:r>
        <w:t>) and the EFFECT trial (</w:t>
      </w:r>
      <w:r w:rsidR="00660A4F">
        <w:t>Table 10</w:t>
      </w:r>
      <w:r>
        <w:t xml:space="preserve">). All show a statistically significant difference in mean change in AHI from baseline for UAS compared </w:t>
      </w:r>
      <w:r w:rsidR="00D47756">
        <w:t xml:space="preserve">with </w:t>
      </w:r>
      <w:r>
        <w:t>either usual care or sham/no treatment.</w:t>
      </w:r>
    </w:p>
    <w:p w14:paraId="53D00DDD" w14:textId="19257B1E" w:rsidR="00334FEC" w:rsidRDefault="00334FEC" w:rsidP="00334FEC">
      <w:pPr>
        <w:pStyle w:val="Caption"/>
      </w:pPr>
      <w:bookmarkStart w:id="33" w:name="_Ref121339279"/>
      <w:r>
        <w:t>Table</w:t>
      </w:r>
      <w:r w:rsidR="00660A4F">
        <w:t xml:space="preserve"> 9</w:t>
      </w:r>
      <w:bookmarkEnd w:id="33"/>
      <w:r>
        <w:tab/>
      </w:r>
      <w:r w:rsidRPr="00334FEC">
        <w:t>Change in AHI for the non-randomised comparative study (UAS vs usual care)</w:t>
      </w:r>
    </w:p>
    <w:tbl>
      <w:tblPr>
        <w:tblStyle w:val="TableGrid"/>
        <w:tblW w:w="0" w:type="auto"/>
        <w:tblLook w:val="04A0" w:firstRow="1" w:lastRow="0" w:firstColumn="1" w:lastColumn="0" w:noHBand="0" w:noVBand="1"/>
        <w:tblCaption w:val="Change in AHI for the non-randomised comparative study (UAS vs usual care)"/>
        <w:tblDescription w:val="Presents outcomes for the Mehra study for AHI"/>
      </w:tblPr>
      <w:tblGrid>
        <w:gridCol w:w="859"/>
        <w:gridCol w:w="758"/>
        <w:gridCol w:w="1573"/>
        <w:gridCol w:w="1224"/>
        <w:gridCol w:w="1129"/>
        <w:gridCol w:w="1151"/>
        <w:gridCol w:w="1579"/>
        <w:gridCol w:w="743"/>
      </w:tblGrid>
      <w:tr w:rsidR="00334FEC" w:rsidRPr="00F93EA8" w14:paraId="22A4A22A" w14:textId="77777777" w:rsidTr="00547D6C">
        <w:tc>
          <w:tcPr>
            <w:tcW w:w="0" w:type="auto"/>
            <w:tcBorders>
              <w:bottom w:val="single" w:sz="4" w:space="0" w:color="auto"/>
            </w:tcBorders>
          </w:tcPr>
          <w:p w14:paraId="5702D7D2" w14:textId="77777777" w:rsidR="00334FEC" w:rsidRPr="00F93EA8" w:rsidRDefault="00334FEC" w:rsidP="00334FEC">
            <w:pPr>
              <w:pStyle w:val="In-tableHeading"/>
            </w:pPr>
            <w:r>
              <w:t>Study ID</w:t>
            </w:r>
          </w:p>
        </w:tc>
        <w:tc>
          <w:tcPr>
            <w:tcW w:w="0" w:type="auto"/>
            <w:tcBorders>
              <w:bottom w:val="single" w:sz="4" w:space="0" w:color="auto"/>
            </w:tcBorders>
          </w:tcPr>
          <w:p w14:paraId="231E6A5C" w14:textId="77777777" w:rsidR="00334FEC" w:rsidRPr="00F93EA8" w:rsidRDefault="00334FEC" w:rsidP="00334FEC">
            <w:pPr>
              <w:pStyle w:val="In-tableHeading"/>
            </w:pPr>
            <w:r>
              <w:t>Risk of Bias</w:t>
            </w:r>
          </w:p>
        </w:tc>
        <w:tc>
          <w:tcPr>
            <w:tcW w:w="0" w:type="auto"/>
            <w:tcBorders>
              <w:bottom w:val="single" w:sz="4" w:space="0" w:color="auto"/>
            </w:tcBorders>
          </w:tcPr>
          <w:p w14:paraId="60E30172" w14:textId="77777777" w:rsidR="00334FEC" w:rsidRDefault="00334FEC" w:rsidP="00334FEC">
            <w:pPr>
              <w:pStyle w:val="In-tableHeading"/>
            </w:pPr>
            <w:r>
              <w:t>Study arm</w:t>
            </w:r>
          </w:p>
        </w:tc>
        <w:tc>
          <w:tcPr>
            <w:tcW w:w="0" w:type="auto"/>
            <w:tcBorders>
              <w:bottom w:val="single" w:sz="4" w:space="0" w:color="auto"/>
            </w:tcBorders>
          </w:tcPr>
          <w:p w14:paraId="7FBB4AD3" w14:textId="77777777" w:rsidR="00334FEC" w:rsidRPr="00F93EA8" w:rsidRDefault="00334FEC" w:rsidP="00334FEC">
            <w:pPr>
              <w:pStyle w:val="In-tableHeading"/>
            </w:pPr>
            <w:r>
              <w:t>Baseline (mean ± SD)</w:t>
            </w:r>
          </w:p>
        </w:tc>
        <w:tc>
          <w:tcPr>
            <w:tcW w:w="0" w:type="auto"/>
            <w:tcBorders>
              <w:bottom w:val="single" w:sz="4" w:space="0" w:color="auto"/>
            </w:tcBorders>
          </w:tcPr>
          <w:p w14:paraId="4F328DBE" w14:textId="77777777" w:rsidR="00334FEC" w:rsidRPr="00F93EA8" w:rsidRDefault="00334FEC" w:rsidP="00334FEC">
            <w:pPr>
              <w:pStyle w:val="In-tableHeading"/>
            </w:pPr>
            <w:r>
              <w:t>Final Visit (mean ± SD)</w:t>
            </w:r>
          </w:p>
        </w:tc>
        <w:tc>
          <w:tcPr>
            <w:tcW w:w="0" w:type="auto"/>
            <w:tcBorders>
              <w:bottom w:val="single" w:sz="4" w:space="0" w:color="auto"/>
            </w:tcBorders>
          </w:tcPr>
          <w:p w14:paraId="61748D0F" w14:textId="77777777" w:rsidR="00334FEC" w:rsidRPr="00F93EA8" w:rsidRDefault="00334FEC" w:rsidP="00334FEC">
            <w:pPr>
              <w:pStyle w:val="In-tableHeading"/>
            </w:pPr>
            <w:r>
              <w:t>Change (mean ± SD)</w:t>
            </w:r>
          </w:p>
        </w:tc>
        <w:tc>
          <w:tcPr>
            <w:tcW w:w="0" w:type="auto"/>
            <w:tcBorders>
              <w:bottom w:val="single" w:sz="4" w:space="0" w:color="auto"/>
            </w:tcBorders>
          </w:tcPr>
          <w:p w14:paraId="4F546CE3" w14:textId="77777777" w:rsidR="00334FEC" w:rsidRPr="00F93EA8" w:rsidRDefault="00334FEC" w:rsidP="00334FEC">
            <w:pPr>
              <w:pStyle w:val="In-tableHeading"/>
            </w:pPr>
            <w:r>
              <w:t>Absolute difference (mean ± SD)</w:t>
            </w:r>
          </w:p>
        </w:tc>
        <w:tc>
          <w:tcPr>
            <w:tcW w:w="0" w:type="auto"/>
            <w:tcBorders>
              <w:bottom w:val="single" w:sz="4" w:space="0" w:color="auto"/>
            </w:tcBorders>
          </w:tcPr>
          <w:p w14:paraId="74E224A4" w14:textId="77777777" w:rsidR="00334FEC" w:rsidRPr="00F93EA8" w:rsidRDefault="00334FEC" w:rsidP="00334FEC">
            <w:pPr>
              <w:pStyle w:val="In-tableHeading"/>
            </w:pPr>
            <w:r>
              <w:t>P Value</w:t>
            </w:r>
          </w:p>
        </w:tc>
      </w:tr>
      <w:tr w:rsidR="00334FEC" w14:paraId="4AE2ED9B" w14:textId="77777777" w:rsidTr="00547D6C">
        <w:tc>
          <w:tcPr>
            <w:tcW w:w="0" w:type="auto"/>
            <w:tcBorders>
              <w:bottom w:val="nil"/>
            </w:tcBorders>
          </w:tcPr>
          <w:p w14:paraId="20EDDF08" w14:textId="77777777" w:rsidR="00334FEC" w:rsidRDefault="00334FEC" w:rsidP="00334FEC">
            <w:pPr>
              <w:pStyle w:val="TableText"/>
            </w:pPr>
            <w:r>
              <w:t>Mehra (2020)</w:t>
            </w:r>
          </w:p>
        </w:tc>
        <w:tc>
          <w:tcPr>
            <w:tcW w:w="0" w:type="auto"/>
            <w:tcBorders>
              <w:bottom w:val="nil"/>
            </w:tcBorders>
          </w:tcPr>
          <w:p w14:paraId="6091EB1B" w14:textId="77777777" w:rsidR="00334FEC" w:rsidRDefault="00334FEC" w:rsidP="00334FEC">
            <w:pPr>
              <w:pStyle w:val="TableText"/>
            </w:pPr>
            <w:r>
              <w:t>High</w:t>
            </w:r>
          </w:p>
        </w:tc>
        <w:tc>
          <w:tcPr>
            <w:tcW w:w="0" w:type="auto"/>
            <w:tcBorders>
              <w:bottom w:val="dotted" w:sz="4" w:space="0" w:color="auto"/>
            </w:tcBorders>
          </w:tcPr>
          <w:p w14:paraId="58F5434C" w14:textId="77777777" w:rsidR="00334FEC" w:rsidRPr="00F93EA8" w:rsidRDefault="00334FEC" w:rsidP="00334FEC">
            <w:pPr>
              <w:pStyle w:val="TableText"/>
            </w:pPr>
            <w:r>
              <w:t>Intervention (UAS, n=228)</w:t>
            </w:r>
          </w:p>
        </w:tc>
        <w:tc>
          <w:tcPr>
            <w:tcW w:w="0" w:type="auto"/>
            <w:tcBorders>
              <w:bottom w:val="dotted" w:sz="4" w:space="0" w:color="auto"/>
            </w:tcBorders>
          </w:tcPr>
          <w:p w14:paraId="5423A84E" w14:textId="77777777" w:rsidR="00334FEC" w:rsidRDefault="00334FEC" w:rsidP="00334FEC">
            <w:pPr>
              <w:pStyle w:val="TableText"/>
            </w:pPr>
            <w:r w:rsidRPr="00F93EA8">
              <w:t xml:space="preserve">33.7 </w:t>
            </w:r>
            <w:r>
              <w:t>±</w:t>
            </w:r>
            <w:r w:rsidRPr="00F93EA8">
              <w:t xml:space="preserve"> 13.4</w:t>
            </w:r>
          </w:p>
        </w:tc>
        <w:tc>
          <w:tcPr>
            <w:tcW w:w="0" w:type="auto"/>
            <w:tcBorders>
              <w:bottom w:val="dotted" w:sz="4" w:space="0" w:color="auto"/>
            </w:tcBorders>
          </w:tcPr>
          <w:p w14:paraId="76FC8F2D" w14:textId="77777777" w:rsidR="00334FEC" w:rsidRDefault="00334FEC" w:rsidP="00334FEC">
            <w:pPr>
              <w:pStyle w:val="TableText"/>
            </w:pPr>
            <w:r w:rsidRPr="00F93EA8">
              <w:t xml:space="preserve">14.7 </w:t>
            </w:r>
            <w:r>
              <w:t>±</w:t>
            </w:r>
            <w:r w:rsidRPr="00F93EA8">
              <w:t xml:space="preserve"> 13.8</w:t>
            </w:r>
          </w:p>
        </w:tc>
        <w:tc>
          <w:tcPr>
            <w:tcW w:w="0" w:type="auto"/>
            <w:tcBorders>
              <w:bottom w:val="dotted" w:sz="4" w:space="0" w:color="auto"/>
            </w:tcBorders>
          </w:tcPr>
          <w:p w14:paraId="520D9F31" w14:textId="77777777" w:rsidR="00334FEC" w:rsidRDefault="00334FEC" w:rsidP="00334FEC">
            <w:pPr>
              <w:pStyle w:val="TableText"/>
            </w:pPr>
            <w:r>
              <w:t>-</w:t>
            </w:r>
            <w:r w:rsidRPr="00F93EA8">
              <w:t xml:space="preserve">19.1 </w:t>
            </w:r>
            <w:r>
              <w:t>±-</w:t>
            </w:r>
            <w:r w:rsidRPr="00F93EA8">
              <w:t>15.8</w:t>
            </w:r>
          </w:p>
        </w:tc>
        <w:tc>
          <w:tcPr>
            <w:tcW w:w="0" w:type="auto"/>
            <w:tcBorders>
              <w:bottom w:val="dotted" w:sz="4" w:space="0" w:color="auto"/>
            </w:tcBorders>
          </w:tcPr>
          <w:p w14:paraId="6FA0FFBA" w14:textId="77777777" w:rsidR="00334FEC" w:rsidRDefault="00334FEC" w:rsidP="00334FEC">
            <w:pPr>
              <w:pStyle w:val="TableText"/>
            </w:pPr>
          </w:p>
        </w:tc>
        <w:tc>
          <w:tcPr>
            <w:tcW w:w="0" w:type="auto"/>
            <w:tcBorders>
              <w:bottom w:val="dotted" w:sz="4" w:space="0" w:color="auto"/>
            </w:tcBorders>
          </w:tcPr>
          <w:p w14:paraId="0E7F761D" w14:textId="77777777" w:rsidR="00334FEC" w:rsidRDefault="00334FEC" w:rsidP="00334FEC">
            <w:pPr>
              <w:pStyle w:val="TableText"/>
            </w:pPr>
          </w:p>
        </w:tc>
      </w:tr>
      <w:tr w:rsidR="00334FEC" w14:paraId="31EEBA06" w14:textId="77777777" w:rsidTr="00547D6C">
        <w:tc>
          <w:tcPr>
            <w:tcW w:w="0" w:type="auto"/>
            <w:tcBorders>
              <w:top w:val="nil"/>
            </w:tcBorders>
          </w:tcPr>
          <w:p w14:paraId="7EC2408D" w14:textId="77777777" w:rsidR="00334FEC" w:rsidRDefault="00334FEC" w:rsidP="00334FEC">
            <w:pPr>
              <w:pStyle w:val="TableText"/>
            </w:pPr>
          </w:p>
        </w:tc>
        <w:tc>
          <w:tcPr>
            <w:tcW w:w="0" w:type="auto"/>
            <w:tcBorders>
              <w:top w:val="nil"/>
            </w:tcBorders>
          </w:tcPr>
          <w:p w14:paraId="7D335AFA" w14:textId="77777777" w:rsidR="00334FEC" w:rsidRDefault="00334FEC" w:rsidP="00334FEC">
            <w:pPr>
              <w:pStyle w:val="TableText"/>
            </w:pPr>
          </w:p>
        </w:tc>
        <w:tc>
          <w:tcPr>
            <w:tcW w:w="0" w:type="auto"/>
            <w:tcBorders>
              <w:top w:val="dotted" w:sz="4" w:space="0" w:color="auto"/>
            </w:tcBorders>
          </w:tcPr>
          <w:p w14:paraId="36362F78" w14:textId="77777777" w:rsidR="00334FEC" w:rsidRDefault="00334FEC" w:rsidP="00334FEC">
            <w:pPr>
              <w:pStyle w:val="TableText"/>
            </w:pPr>
            <w:r>
              <w:t>Comparator (Usual care, n=100)</w:t>
            </w:r>
          </w:p>
        </w:tc>
        <w:tc>
          <w:tcPr>
            <w:tcW w:w="0" w:type="auto"/>
            <w:tcBorders>
              <w:top w:val="dotted" w:sz="4" w:space="0" w:color="auto"/>
            </w:tcBorders>
          </w:tcPr>
          <w:p w14:paraId="57C7D1CE" w14:textId="77777777" w:rsidR="00334FEC" w:rsidRDefault="00334FEC" w:rsidP="00334FEC">
            <w:pPr>
              <w:pStyle w:val="TableText"/>
            </w:pPr>
            <w:r w:rsidRPr="007C4E0E">
              <w:t xml:space="preserve">34.9 </w:t>
            </w:r>
            <w:r>
              <w:t>±</w:t>
            </w:r>
            <w:r w:rsidRPr="007C4E0E">
              <w:t xml:space="preserve"> 16.4 </w:t>
            </w:r>
          </w:p>
        </w:tc>
        <w:tc>
          <w:tcPr>
            <w:tcW w:w="0" w:type="auto"/>
            <w:tcBorders>
              <w:top w:val="dotted" w:sz="4" w:space="0" w:color="auto"/>
            </w:tcBorders>
          </w:tcPr>
          <w:p w14:paraId="27C8A30E" w14:textId="77777777" w:rsidR="00334FEC" w:rsidRDefault="00334FEC" w:rsidP="00334FEC">
            <w:pPr>
              <w:pStyle w:val="TableText"/>
            </w:pPr>
            <w:r w:rsidRPr="007C4E0E">
              <w:t xml:space="preserve">26.8 </w:t>
            </w:r>
            <w:r>
              <w:t>±</w:t>
            </w:r>
            <w:r w:rsidRPr="007C4E0E">
              <w:t xml:space="preserve"> 17.6</w:t>
            </w:r>
          </w:p>
        </w:tc>
        <w:tc>
          <w:tcPr>
            <w:tcW w:w="0" w:type="auto"/>
            <w:tcBorders>
              <w:top w:val="dotted" w:sz="4" w:space="0" w:color="auto"/>
            </w:tcBorders>
          </w:tcPr>
          <w:p w14:paraId="5724140B" w14:textId="77777777" w:rsidR="00334FEC" w:rsidRDefault="00334FEC" w:rsidP="00334FEC">
            <w:pPr>
              <w:pStyle w:val="TableText"/>
            </w:pPr>
            <w:r>
              <w:t>-</w:t>
            </w:r>
            <w:r w:rsidRPr="007C4E0E">
              <w:t xml:space="preserve">8.1 </w:t>
            </w:r>
            <w:r>
              <w:t>±</w:t>
            </w:r>
            <w:r w:rsidRPr="007C4E0E">
              <w:t xml:space="preserve"> </w:t>
            </w:r>
            <w:r>
              <w:t>-</w:t>
            </w:r>
            <w:r w:rsidRPr="007C4E0E">
              <w:t>20.9</w:t>
            </w:r>
          </w:p>
        </w:tc>
        <w:tc>
          <w:tcPr>
            <w:tcW w:w="0" w:type="auto"/>
            <w:tcBorders>
              <w:top w:val="dotted" w:sz="4" w:space="0" w:color="auto"/>
            </w:tcBorders>
          </w:tcPr>
          <w:p w14:paraId="1E21E089" w14:textId="77777777" w:rsidR="00334FEC" w:rsidRDefault="00334FEC" w:rsidP="00334FEC">
            <w:pPr>
              <w:pStyle w:val="TableText"/>
            </w:pPr>
            <w:r>
              <w:t>11.0 ± NR</w:t>
            </w:r>
          </w:p>
        </w:tc>
        <w:tc>
          <w:tcPr>
            <w:tcW w:w="0" w:type="auto"/>
            <w:tcBorders>
              <w:top w:val="dotted" w:sz="4" w:space="0" w:color="auto"/>
            </w:tcBorders>
          </w:tcPr>
          <w:p w14:paraId="14AFA8E3" w14:textId="77777777" w:rsidR="00334FEC" w:rsidRDefault="00334FEC" w:rsidP="00334FEC">
            <w:pPr>
              <w:pStyle w:val="TableText"/>
            </w:pPr>
            <w:r w:rsidRPr="007C4E0E">
              <w:t xml:space="preserve">P </w:t>
            </w:r>
            <w:r>
              <w:t>&lt;</w:t>
            </w:r>
            <w:r w:rsidRPr="007C4E0E">
              <w:t xml:space="preserve"> 0.001</w:t>
            </w:r>
          </w:p>
        </w:tc>
      </w:tr>
    </w:tbl>
    <w:p w14:paraId="7E43D046" w14:textId="77777777" w:rsidR="00374F35" w:rsidRDefault="00334FEC" w:rsidP="00374F35">
      <w:pPr>
        <w:pStyle w:val="TableFigureFooter"/>
        <w:spacing w:after="0"/>
      </w:pPr>
      <w:r>
        <w:t xml:space="preserve">Abbreviations: AHI, </w:t>
      </w:r>
      <w:r w:rsidRPr="006D5D6D">
        <w:t>Apnoea hypopnoea index</w:t>
      </w:r>
      <w:r>
        <w:t xml:space="preserve">; NR, not reported; SD, standard deviation; UAS, upper airway stimulation. </w:t>
      </w:r>
      <w:r w:rsidRPr="003B385D">
        <w:t xml:space="preserve"> </w:t>
      </w:r>
    </w:p>
    <w:p w14:paraId="2E633C71" w14:textId="14FDEF30" w:rsidR="00334FEC" w:rsidRDefault="00334FEC" w:rsidP="00374F35">
      <w:pPr>
        <w:pStyle w:val="TableFigureFooter"/>
        <w:spacing w:before="0"/>
      </w:pPr>
      <w:r w:rsidRPr="003B385D">
        <w:t xml:space="preserve">Source: </w:t>
      </w:r>
      <w:r w:rsidR="00FD34D0">
        <w:t>Commentary Table 6 of MSAC Application 1595.1</w:t>
      </w:r>
    </w:p>
    <w:p w14:paraId="55C34865" w14:textId="2DF0CE82" w:rsidR="00334FEC" w:rsidRDefault="00334FEC" w:rsidP="00334FEC">
      <w:pPr>
        <w:pStyle w:val="Caption"/>
      </w:pPr>
      <w:bookmarkStart w:id="34" w:name="_Ref121339300"/>
      <w:r>
        <w:t>Table</w:t>
      </w:r>
      <w:r w:rsidR="00975F8B">
        <w:t xml:space="preserve"> </w:t>
      </w:r>
      <w:r w:rsidR="00660A4F">
        <w:t xml:space="preserve">10 </w:t>
      </w:r>
      <w:bookmarkEnd w:id="34"/>
      <w:r>
        <w:tab/>
      </w:r>
      <w:r w:rsidRPr="00334FEC">
        <w:t>Change in AHI for the randomised controlled therapy withdrawal trials</w:t>
      </w:r>
    </w:p>
    <w:tbl>
      <w:tblPr>
        <w:tblStyle w:val="TableGrid"/>
        <w:tblW w:w="0" w:type="auto"/>
        <w:tblLook w:val="04A0" w:firstRow="1" w:lastRow="0" w:firstColumn="1" w:lastColumn="0" w:noHBand="0" w:noVBand="1"/>
        <w:tblCaption w:val="Change in AHI for the randomised controlled therapy withdrawal trials"/>
        <w:tblDescription w:val="Presents outcomes for the STAR and EFFECT studies for AHI"/>
      </w:tblPr>
      <w:tblGrid>
        <w:gridCol w:w="1127"/>
        <w:gridCol w:w="1127"/>
        <w:gridCol w:w="1127"/>
        <w:gridCol w:w="1127"/>
        <w:gridCol w:w="1127"/>
        <w:gridCol w:w="1127"/>
        <w:gridCol w:w="1127"/>
        <w:gridCol w:w="1127"/>
      </w:tblGrid>
      <w:tr w:rsidR="00334FEC" w14:paraId="7C1D2FB4" w14:textId="77777777" w:rsidTr="00547D6C">
        <w:tc>
          <w:tcPr>
            <w:tcW w:w="1127" w:type="dxa"/>
            <w:tcBorders>
              <w:bottom w:val="single" w:sz="4" w:space="0" w:color="auto"/>
            </w:tcBorders>
          </w:tcPr>
          <w:p w14:paraId="4ECFF537" w14:textId="77777777" w:rsidR="00334FEC" w:rsidRDefault="00334FEC" w:rsidP="00334FEC">
            <w:pPr>
              <w:pStyle w:val="In-tableHeading"/>
            </w:pPr>
            <w:r w:rsidRPr="00C61EA0">
              <w:t>Study ID</w:t>
            </w:r>
          </w:p>
        </w:tc>
        <w:tc>
          <w:tcPr>
            <w:tcW w:w="1127" w:type="dxa"/>
            <w:tcBorders>
              <w:bottom w:val="single" w:sz="4" w:space="0" w:color="auto"/>
            </w:tcBorders>
          </w:tcPr>
          <w:p w14:paraId="1AFF0C16" w14:textId="77777777" w:rsidR="00334FEC" w:rsidRDefault="00334FEC" w:rsidP="00334FEC">
            <w:pPr>
              <w:pStyle w:val="In-tableHeading"/>
            </w:pPr>
            <w:r w:rsidRPr="00C61EA0">
              <w:t>Risk of Bias</w:t>
            </w:r>
          </w:p>
        </w:tc>
        <w:tc>
          <w:tcPr>
            <w:tcW w:w="1127" w:type="dxa"/>
            <w:tcBorders>
              <w:bottom w:val="single" w:sz="4" w:space="0" w:color="auto"/>
            </w:tcBorders>
          </w:tcPr>
          <w:p w14:paraId="457F57F2" w14:textId="77777777" w:rsidR="00334FEC" w:rsidRDefault="00334FEC" w:rsidP="00334FEC">
            <w:pPr>
              <w:pStyle w:val="In-tableHeading"/>
            </w:pPr>
            <w:r w:rsidRPr="00C61EA0">
              <w:t>Study arm</w:t>
            </w:r>
          </w:p>
        </w:tc>
        <w:tc>
          <w:tcPr>
            <w:tcW w:w="1127" w:type="dxa"/>
            <w:tcBorders>
              <w:bottom w:val="single" w:sz="4" w:space="0" w:color="auto"/>
            </w:tcBorders>
          </w:tcPr>
          <w:p w14:paraId="415DC258" w14:textId="77777777" w:rsidR="00334FEC" w:rsidRDefault="00334FEC" w:rsidP="00334FEC">
            <w:pPr>
              <w:pStyle w:val="In-tableHeading"/>
            </w:pPr>
            <w:r w:rsidRPr="00C61EA0">
              <w:t>Baseline (mean ± SD)</w:t>
            </w:r>
          </w:p>
        </w:tc>
        <w:tc>
          <w:tcPr>
            <w:tcW w:w="1127" w:type="dxa"/>
            <w:tcBorders>
              <w:bottom w:val="single" w:sz="4" w:space="0" w:color="auto"/>
            </w:tcBorders>
          </w:tcPr>
          <w:p w14:paraId="44F5853B" w14:textId="77777777" w:rsidR="00334FEC" w:rsidRDefault="00334FEC" w:rsidP="00334FEC">
            <w:pPr>
              <w:pStyle w:val="In-tableHeading"/>
            </w:pPr>
            <w:r>
              <w:t>Follow-up/ 1 week</w:t>
            </w:r>
            <w:r w:rsidRPr="00C61EA0">
              <w:t xml:space="preserve"> (mean ± SD)</w:t>
            </w:r>
          </w:p>
        </w:tc>
        <w:tc>
          <w:tcPr>
            <w:tcW w:w="1127" w:type="dxa"/>
            <w:tcBorders>
              <w:bottom w:val="single" w:sz="4" w:space="0" w:color="auto"/>
            </w:tcBorders>
          </w:tcPr>
          <w:p w14:paraId="1A050B6B" w14:textId="606068BB" w:rsidR="00334FEC" w:rsidRDefault="00334FEC" w:rsidP="00334FEC">
            <w:pPr>
              <w:pStyle w:val="In-tableHeading"/>
            </w:pPr>
            <w:r w:rsidRPr="00C61EA0">
              <w:t xml:space="preserve">Change (mean </w:t>
            </w:r>
            <w:r>
              <w:t>(95% CI</w:t>
            </w:r>
            <w:r w:rsidR="001F097F">
              <w:t xml:space="preserve"> or </w:t>
            </w:r>
            <w:r w:rsidR="001F097F" w:rsidRPr="00C61EA0">
              <w:t>± SD</w:t>
            </w:r>
            <w:r>
              <w:t>)</w:t>
            </w:r>
            <w:r w:rsidRPr="00C61EA0">
              <w:t>)</w:t>
            </w:r>
          </w:p>
        </w:tc>
        <w:tc>
          <w:tcPr>
            <w:tcW w:w="1127" w:type="dxa"/>
            <w:tcBorders>
              <w:bottom w:val="single" w:sz="4" w:space="0" w:color="auto"/>
            </w:tcBorders>
          </w:tcPr>
          <w:p w14:paraId="4E93B953" w14:textId="77777777" w:rsidR="00334FEC" w:rsidRDefault="00334FEC" w:rsidP="00334FEC">
            <w:pPr>
              <w:pStyle w:val="In-tableHeading"/>
            </w:pPr>
            <w:r w:rsidRPr="00C61EA0">
              <w:t>Absolute difference (mean</w:t>
            </w:r>
            <w:r>
              <w:t xml:space="preserve"> (95% CI)</w:t>
            </w:r>
            <w:r w:rsidRPr="00C61EA0">
              <w:t>)</w:t>
            </w:r>
          </w:p>
        </w:tc>
        <w:tc>
          <w:tcPr>
            <w:tcW w:w="1127" w:type="dxa"/>
            <w:tcBorders>
              <w:bottom w:val="single" w:sz="4" w:space="0" w:color="auto"/>
            </w:tcBorders>
          </w:tcPr>
          <w:p w14:paraId="14397A80" w14:textId="2C483622" w:rsidR="00334FEC" w:rsidRDefault="00334FEC" w:rsidP="00334FEC">
            <w:pPr>
              <w:pStyle w:val="In-tableHeading"/>
            </w:pPr>
            <w:r>
              <w:t>P Value (on vs off at follow</w:t>
            </w:r>
            <w:r w:rsidR="001604EF">
              <w:t>-</w:t>
            </w:r>
            <w:r>
              <w:t>up)</w:t>
            </w:r>
          </w:p>
        </w:tc>
      </w:tr>
      <w:tr w:rsidR="00334FEC" w14:paraId="4F9A4B92" w14:textId="77777777" w:rsidTr="00547D6C">
        <w:tc>
          <w:tcPr>
            <w:tcW w:w="1127" w:type="dxa"/>
            <w:tcBorders>
              <w:bottom w:val="nil"/>
            </w:tcBorders>
          </w:tcPr>
          <w:p w14:paraId="06BBF6DE" w14:textId="77777777" w:rsidR="00334FEC" w:rsidRPr="003B385D" w:rsidRDefault="00334FEC" w:rsidP="00334FEC">
            <w:pPr>
              <w:pStyle w:val="Tabletext0"/>
            </w:pPr>
            <w:r w:rsidRPr="009B7DE0">
              <w:rPr>
                <w:b/>
                <w:bCs/>
              </w:rPr>
              <w:t>STAR</w:t>
            </w:r>
            <w:r>
              <w:rPr>
                <w:b/>
                <w:bCs/>
              </w:rPr>
              <w:t xml:space="preserve"> </w:t>
            </w:r>
            <w:r>
              <w:t>(Woodson, 2014)</w:t>
            </w:r>
          </w:p>
        </w:tc>
        <w:tc>
          <w:tcPr>
            <w:tcW w:w="1127" w:type="dxa"/>
            <w:tcBorders>
              <w:bottom w:val="nil"/>
            </w:tcBorders>
          </w:tcPr>
          <w:p w14:paraId="73FA5A78" w14:textId="77777777" w:rsidR="00334FEC" w:rsidRDefault="00334FEC" w:rsidP="00334FEC">
            <w:pPr>
              <w:pStyle w:val="Tabletext0"/>
            </w:pPr>
            <w:r>
              <w:t>High</w:t>
            </w:r>
          </w:p>
        </w:tc>
        <w:tc>
          <w:tcPr>
            <w:tcW w:w="1127" w:type="dxa"/>
            <w:tcBorders>
              <w:bottom w:val="dotted" w:sz="4" w:space="0" w:color="auto"/>
            </w:tcBorders>
          </w:tcPr>
          <w:p w14:paraId="666D93CB" w14:textId="77777777" w:rsidR="00334FEC" w:rsidRDefault="00334FEC" w:rsidP="00334FEC">
            <w:pPr>
              <w:pStyle w:val="Tabletext0"/>
            </w:pPr>
            <w:r>
              <w:t>‘on’ therapy (n=23)</w:t>
            </w:r>
          </w:p>
        </w:tc>
        <w:tc>
          <w:tcPr>
            <w:tcW w:w="1127" w:type="dxa"/>
            <w:tcBorders>
              <w:bottom w:val="dotted" w:sz="4" w:space="0" w:color="auto"/>
            </w:tcBorders>
          </w:tcPr>
          <w:p w14:paraId="14CBC9A9" w14:textId="77777777" w:rsidR="00334FEC" w:rsidRDefault="00334FEC" w:rsidP="00334FEC">
            <w:pPr>
              <w:pStyle w:val="Tabletext0"/>
            </w:pPr>
            <w:r w:rsidRPr="00C037F4">
              <w:t>7.2 ± 5.0</w:t>
            </w:r>
          </w:p>
        </w:tc>
        <w:tc>
          <w:tcPr>
            <w:tcW w:w="1127" w:type="dxa"/>
            <w:tcBorders>
              <w:bottom w:val="dotted" w:sz="4" w:space="0" w:color="auto"/>
            </w:tcBorders>
          </w:tcPr>
          <w:p w14:paraId="690415FC" w14:textId="77777777" w:rsidR="00334FEC" w:rsidRDefault="00334FEC" w:rsidP="00334FEC">
            <w:pPr>
              <w:pStyle w:val="Tabletext0"/>
            </w:pPr>
            <w:r w:rsidRPr="00C037F4">
              <w:t>8.9 ± 9.1</w:t>
            </w:r>
          </w:p>
        </w:tc>
        <w:tc>
          <w:tcPr>
            <w:tcW w:w="1127" w:type="dxa"/>
            <w:tcBorders>
              <w:bottom w:val="dotted" w:sz="4" w:space="0" w:color="auto"/>
            </w:tcBorders>
          </w:tcPr>
          <w:p w14:paraId="5CCC4A39" w14:textId="77777777" w:rsidR="00334FEC" w:rsidRDefault="00334FEC" w:rsidP="00334FEC">
            <w:pPr>
              <w:pStyle w:val="Tabletext0"/>
            </w:pPr>
            <w:r>
              <w:t xml:space="preserve">1.7 ± </w:t>
            </w:r>
            <w:r w:rsidRPr="00C97A84">
              <w:t>6.4</w:t>
            </w:r>
          </w:p>
        </w:tc>
        <w:tc>
          <w:tcPr>
            <w:tcW w:w="1127" w:type="dxa"/>
            <w:tcBorders>
              <w:bottom w:val="dotted" w:sz="4" w:space="0" w:color="auto"/>
            </w:tcBorders>
          </w:tcPr>
          <w:p w14:paraId="24485935" w14:textId="77777777" w:rsidR="00334FEC" w:rsidRDefault="00334FEC" w:rsidP="00334FEC">
            <w:pPr>
              <w:pStyle w:val="Tabletext0"/>
            </w:pPr>
          </w:p>
        </w:tc>
        <w:tc>
          <w:tcPr>
            <w:tcW w:w="1127" w:type="dxa"/>
            <w:tcBorders>
              <w:bottom w:val="dotted" w:sz="4" w:space="0" w:color="auto"/>
            </w:tcBorders>
          </w:tcPr>
          <w:p w14:paraId="0692FA55" w14:textId="77777777" w:rsidR="00334FEC" w:rsidRDefault="00334FEC" w:rsidP="00334FEC">
            <w:pPr>
              <w:pStyle w:val="Tabletext0"/>
            </w:pPr>
          </w:p>
        </w:tc>
      </w:tr>
      <w:tr w:rsidR="00334FEC" w14:paraId="0EA21BDD" w14:textId="77777777" w:rsidTr="00547D6C">
        <w:tc>
          <w:tcPr>
            <w:tcW w:w="1127" w:type="dxa"/>
            <w:tcBorders>
              <w:top w:val="nil"/>
              <w:bottom w:val="single" w:sz="4" w:space="0" w:color="auto"/>
            </w:tcBorders>
          </w:tcPr>
          <w:p w14:paraId="6D51FED2" w14:textId="77777777" w:rsidR="00334FEC" w:rsidRPr="009B7DE0" w:rsidRDefault="00334FEC" w:rsidP="00334FEC">
            <w:pPr>
              <w:pStyle w:val="Tabletext0"/>
              <w:rPr>
                <w:b/>
                <w:bCs/>
              </w:rPr>
            </w:pPr>
          </w:p>
        </w:tc>
        <w:tc>
          <w:tcPr>
            <w:tcW w:w="1127" w:type="dxa"/>
            <w:tcBorders>
              <w:top w:val="nil"/>
              <w:bottom w:val="single" w:sz="4" w:space="0" w:color="auto"/>
            </w:tcBorders>
          </w:tcPr>
          <w:p w14:paraId="7DA9B5DF" w14:textId="77777777" w:rsidR="00334FEC" w:rsidRDefault="00334FEC" w:rsidP="00334FEC">
            <w:pPr>
              <w:pStyle w:val="Tabletext0"/>
            </w:pPr>
          </w:p>
        </w:tc>
        <w:tc>
          <w:tcPr>
            <w:tcW w:w="1127" w:type="dxa"/>
            <w:tcBorders>
              <w:top w:val="dotted" w:sz="4" w:space="0" w:color="auto"/>
              <w:bottom w:val="single" w:sz="4" w:space="0" w:color="auto"/>
            </w:tcBorders>
          </w:tcPr>
          <w:p w14:paraId="72B32851" w14:textId="77777777" w:rsidR="00334FEC" w:rsidRDefault="00334FEC" w:rsidP="00334FEC">
            <w:pPr>
              <w:pStyle w:val="Tabletext0"/>
            </w:pPr>
            <w:r>
              <w:t>‘off’ therapy (n=23)</w:t>
            </w:r>
          </w:p>
        </w:tc>
        <w:tc>
          <w:tcPr>
            <w:tcW w:w="1127" w:type="dxa"/>
            <w:tcBorders>
              <w:top w:val="dotted" w:sz="4" w:space="0" w:color="auto"/>
              <w:bottom w:val="single" w:sz="4" w:space="0" w:color="auto"/>
            </w:tcBorders>
          </w:tcPr>
          <w:p w14:paraId="5E1E9273" w14:textId="77777777" w:rsidR="00334FEC" w:rsidRDefault="00334FEC" w:rsidP="00334FEC">
            <w:pPr>
              <w:pStyle w:val="Tabletext0"/>
            </w:pPr>
            <w:r w:rsidRPr="00C037F4">
              <w:t>7.6 ± 4.0</w:t>
            </w:r>
          </w:p>
        </w:tc>
        <w:tc>
          <w:tcPr>
            <w:tcW w:w="1127" w:type="dxa"/>
            <w:tcBorders>
              <w:top w:val="dotted" w:sz="4" w:space="0" w:color="auto"/>
              <w:bottom w:val="single" w:sz="4" w:space="0" w:color="auto"/>
            </w:tcBorders>
          </w:tcPr>
          <w:p w14:paraId="55E53CB0" w14:textId="77777777" w:rsidR="00334FEC" w:rsidRDefault="00334FEC" w:rsidP="00334FEC">
            <w:pPr>
              <w:pStyle w:val="Tabletext0"/>
            </w:pPr>
            <w:r w:rsidRPr="00C037F4">
              <w:t>25.8 ± 16.2</w:t>
            </w:r>
          </w:p>
        </w:tc>
        <w:tc>
          <w:tcPr>
            <w:tcW w:w="1127" w:type="dxa"/>
            <w:tcBorders>
              <w:top w:val="dotted" w:sz="4" w:space="0" w:color="auto"/>
              <w:bottom w:val="single" w:sz="4" w:space="0" w:color="auto"/>
            </w:tcBorders>
          </w:tcPr>
          <w:p w14:paraId="56560FE4" w14:textId="77777777" w:rsidR="00334FEC" w:rsidRDefault="00334FEC" w:rsidP="00334FEC">
            <w:pPr>
              <w:pStyle w:val="Tabletext0"/>
            </w:pPr>
            <w:r>
              <w:t xml:space="preserve">18.2 ± </w:t>
            </w:r>
            <w:r w:rsidRPr="00C97A84">
              <w:t>15.6</w:t>
            </w:r>
          </w:p>
        </w:tc>
        <w:tc>
          <w:tcPr>
            <w:tcW w:w="1127" w:type="dxa"/>
            <w:tcBorders>
              <w:top w:val="dotted" w:sz="4" w:space="0" w:color="auto"/>
              <w:bottom w:val="single" w:sz="4" w:space="0" w:color="auto"/>
            </w:tcBorders>
          </w:tcPr>
          <w:p w14:paraId="3EAC8382" w14:textId="77777777" w:rsidR="00334FEC" w:rsidRDefault="00334FEC" w:rsidP="00334FEC">
            <w:pPr>
              <w:pStyle w:val="Tabletext0"/>
            </w:pPr>
            <w:r>
              <w:t>-16.5 ± NR</w:t>
            </w:r>
          </w:p>
        </w:tc>
        <w:tc>
          <w:tcPr>
            <w:tcW w:w="1127" w:type="dxa"/>
            <w:tcBorders>
              <w:top w:val="dotted" w:sz="4" w:space="0" w:color="auto"/>
              <w:bottom w:val="single" w:sz="4" w:space="0" w:color="auto"/>
            </w:tcBorders>
          </w:tcPr>
          <w:p w14:paraId="7B3DD85B" w14:textId="77777777" w:rsidR="00334FEC" w:rsidRDefault="00334FEC" w:rsidP="00334FEC">
            <w:pPr>
              <w:pStyle w:val="Tabletext0"/>
            </w:pPr>
            <w:r>
              <w:t>&lt;0</w:t>
            </w:r>
            <w:r w:rsidRPr="00487044">
              <w:t>.001</w:t>
            </w:r>
          </w:p>
        </w:tc>
      </w:tr>
      <w:tr w:rsidR="00334FEC" w14:paraId="49FB364D" w14:textId="77777777" w:rsidTr="00547D6C">
        <w:tc>
          <w:tcPr>
            <w:tcW w:w="1127" w:type="dxa"/>
            <w:tcBorders>
              <w:bottom w:val="nil"/>
            </w:tcBorders>
          </w:tcPr>
          <w:p w14:paraId="7C13AA0C" w14:textId="77777777" w:rsidR="00334FEC" w:rsidRPr="003B385D" w:rsidRDefault="00334FEC" w:rsidP="00334FEC">
            <w:pPr>
              <w:pStyle w:val="Tabletext0"/>
            </w:pPr>
            <w:r w:rsidRPr="009B7DE0">
              <w:rPr>
                <w:b/>
                <w:bCs/>
              </w:rPr>
              <w:t>EFFECT</w:t>
            </w:r>
            <w:r>
              <w:rPr>
                <w:b/>
                <w:bCs/>
              </w:rPr>
              <w:t xml:space="preserve"> </w:t>
            </w:r>
            <w:r>
              <w:t>(Heiser, 2021)</w:t>
            </w:r>
          </w:p>
        </w:tc>
        <w:tc>
          <w:tcPr>
            <w:tcW w:w="1127" w:type="dxa"/>
            <w:tcBorders>
              <w:bottom w:val="nil"/>
            </w:tcBorders>
          </w:tcPr>
          <w:p w14:paraId="196F9A7A" w14:textId="77777777" w:rsidR="00334FEC" w:rsidRDefault="00334FEC" w:rsidP="00334FEC">
            <w:pPr>
              <w:pStyle w:val="Tabletext0"/>
            </w:pPr>
            <w:r>
              <w:t>High</w:t>
            </w:r>
          </w:p>
        </w:tc>
        <w:tc>
          <w:tcPr>
            <w:tcW w:w="1127" w:type="dxa"/>
            <w:tcBorders>
              <w:bottom w:val="dotted" w:sz="4" w:space="0" w:color="auto"/>
            </w:tcBorders>
          </w:tcPr>
          <w:p w14:paraId="69860792" w14:textId="77777777" w:rsidR="00334FEC" w:rsidRDefault="00334FEC" w:rsidP="00334FEC">
            <w:pPr>
              <w:pStyle w:val="Tabletext0"/>
            </w:pPr>
            <w:r>
              <w:t>Stim (n=86)</w:t>
            </w:r>
          </w:p>
        </w:tc>
        <w:tc>
          <w:tcPr>
            <w:tcW w:w="1127" w:type="dxa"/>
            <w:tcBorders>
              <w:bottom w:val="dotted" w:sz="4" w:space="0" w:color="auto"/>
            </w:tcBorders>
          </w:tcPr>
          <w:p w14:paraId="55DD504B" w14:textId="77777777" w:rsidR="00334FEC" w:rsidRDefault="00334FEC" w:rsidP="00334FEC">
            <w:pPr>
              <w:pStyle w:val="Tabletext0"/>
            </w:pPr>
            <w:r w:rsidRPr="00DC0C74">
              <w:t xml:space="preserve">8.3 </w:t>
            </w:r>
            <w:r>
              <w:t>±</w:t>
            </w:r>
            <w:r w:rsidRPr="00DC0C74">
              <w:t xml:space="preserve"> 8.9</w:t>
            </w:r>
          </w:p>
        </w:tc>
        <w:tc>
          <w:tcPr>
            <w:tcW w:w="1127" w:type="dxa"/>
            <w:tcBorders>
              <w:bottom w:val="dotted" w:sz="4" w:space="0" w:color="auto"/>
            </w:tcBorders>
          </w:tcPr>
          <w:p w14:paraId="265E2870" w14:textId="77777777" w:rsidR="00334FEC" w:rsidRPr="00334FEC" w:rsidRDefault="00334FEC" w:rsidP="00334FEC">
            <w:pPr>
              <w:pStyle w:val="Tabletext0"/>
            </w:pPr>
            <w:r w:rsidRPr="00334FEC">
              <w:t>8.9 ± NR</w:t>
            </w:r>
          </w:p>
        </w:tc>
        <w:tc>
          <w:tcPr>
            <w:tcW w:w="1127" w:type="dxa"/>
            <w:tcBorders>
              <w:bottom w:val="dotted" w:sz="4" w:space="0" w:color="auto"/>
            </w:tcBorders>
          </w:tcPr>
          <w:p w14:paraId="05420657" w14:textId="43BD80DC" w:rsidR="00334FEC" w:rsidRPr="00334FEC" w:rsidRDefault="00334FEC" w:rsidP="00DF0057">
            <w:pPr>
              <w:pStyle w:val="Tabletext0"/>
              <w:jc w:val="left"/>
            </w:pPr>
            <w:r w:rsidRPr="00334FEC">
              <w:t>0.6</w:t>
            </w:r>
            <w:r>
              <w:t xml:space="preserve"> </w:t>
            </w:r>
            <w:r w:rsidRPr="00334FEC">
              <w:t>(-1.8, 2.9)</w:t>
            </w:r>
          </w:p>
        </w:tc>
        <w:tc>
          <w:tcPr>
            <w:tcW w:w="1127" w:type="dxa"/>
            <w:tcBorders>
              <w:bottom w:val="dotted" w:sz="4" w:space="0" w:color="auto"/>
            </w:tcBorders>
          </w:tcPr>
          <w:p w14:paraId="50F9ED2E" w14:textId="77777777" w:rsidR="00334FEC" w:rsidRDefault="00334FEC" w:rsidP="00334FEC">
            <w:pPr>
              <w:pStyle w:val="Tabletext0"/>
            </w:pPr>
          </w:p>
        </w:tc>
        <w:tc>
          <w:tcPr>
            <w:tcW w:w="1127" w:type="dxa"/>
            <w:tcBorders>
              <w:bottom w:val="dotted" w:sz="4" w:space="0" w:color="auto"/>
            </w:tcBorders>
          </w:tcPr>
          <w:p w14:paraId="1F0CD2AF" w14:textId="77777777" w:rsidR="00334FEC" w:rsidRDefault="00334FEC" w:rsidP="00334FEC">
            <w:pPr>
              <w:pStyle w:val="Tabletext0"/>
            </w:pPr>
          </w:p>
        </w:tc>
      </w:tr>
      <w:tr w:rsidR="00334FEC" w14:paraId="1C30F146" w14:textId="77777777" w:rsidTr="00547D6C">
        <w:tc>
          <w:tcPr>
            <w:tcW w:w="1127" w:type="dxa"/>
            <w:tcBorders>
              <w:top w:val="nil"/>
            </w:tcBorders>
          </w:tcPr>
          <w:p w14:paraId="455F00B0" w14:textId="77777777" w:rsidR="00334FEC" w:rsidRDefault="00334FEC" w:rsidP="00334FEC">
            <w:pPr>
              <w:pStyle w:val="Tabletext0"/>
            </w:pPr>
          </w:p>
        </w:tc>
        <w:tc>
          <w:tcPr>
            <w:tcW w:w="1127" w:type="dxa"/>
            <w:tcBorders>
              <w:top w:val="nil"/>
            </w:tcBorders>
          </w:tcPr>
          <w:p w14:paraId="68AA3C2C" w14:textId="77777777" w:rsidR="00334FEC" w:rsidRDefault="00334FEC" w:rsidP="00334FEC">
            <w:pPr>
              <w:pStyle w:val="Tabletext0"/>
            </w:pPr>
          </w:p>
        </w:tc>
        <w:tc>
          <w:tcPr>
            <w:tcW w:w="1127" w:type="dxa"/>
            <w:tcBorders>
              <w:top w:val="dotted" w:sz="4" w:space="0" w:color="auto"/>
            </w:tcBorders>
          </w:tcPr>
          <w:p w14:paraId="65D354D3" w14:textId="77777777" w:rsidR="00334FEC" w:rsidRDefault="00334FEC" w:rsidP="00334FEC">
            <w:pPr>
              <w:pStyle w:val="Tabletext0"/>
            </w:pPr>
            <w:r>
              <w:t>Sham (n=86)</w:t>
            </w:r>
          </w:p>
        </w:tc>
        <w:tc>
          <w:tcPr>
            <w:tcW w:w="1127" w:type="dxa"/>
            <w:tcBorders>
              <w:top w:val="dotted" w:sz="4" w:space="0" w:color="auto"/>
            </w:tcBorders>
          </w:tcPr>
          <w:p w14:paraId="776A119E" w14:textId="77777777" w:rsidR="00334FEC" w:rsidRDefault="00334FEC" w:rsidP="00334FEC">
            <w:pPr>
              <w:pStyle w:val="Tabletext0"/>
            </w:pPr>
            <w:r w:rsidRPr="00DC0C74">
              <w:t xml:space="preserve">8.3 </w:t>
            </w:r>
            <w:r>
              <w:t>±</w:t>
            </w:r>
            <w:r w:rsidRPr="00DC0C74">
              <w:t xml:space="preserve"> 8.9</w:t>
            </w:r>
            <w:r w:rsidRPr="003B385D">
              <w:rPr>
                <w:vertAlign w:val="superscript"/>
              </w:rPr>
              <w:t>a</w:t>
            </w:r>
          </w:p>
        </w:tc>
        <w:tc>
          <w:tcPr>
            <w:tcW w:w="1127" w:type="dxa"/>
            <w:tcBorders>
              <w:top w:val="dotted" w:sz="4" w:space="0" w:color="auto"/>
            </w:tcBorders>
          </w:tcPr>
          <w:p w14:paraId="3B32DAFA" w14:textId="77777777" w:rsidR="00334FEC" w:rsidRDefault="00334FEC" w:rsidP="00334FEC">
            <w:pPr>
              <w:pStyle w:val="Tabletext0"/>
            </w:pPr>
            <w:r>
              <w:t>24.4 ± NR</w:t>
            </w:r>
          </w:p>
        </w:tc>
        <w:tc>
          <w:tcPr>
            <w:tcW w:w="1127" w:type="dxa"/>
            <w:tcBorders>
              <w:top w:val="dotted" w:sz="4" w:space="0" w:color="auto"/>
            </w:tcBorders>
          </w:tcPr>
          <w:p w14:paraId="290776F9" w14:textId="77777777" w:rsidR="00334FEC" w:rsidRDefault="00334FEC" w:rsidP="00DF0057">
            <w:pPr>
              <w:pStyle w:val="Tabletext0"/>
              <w:jc w:val="left"/>
            </w:pPr>
            <w:r w:rsidRPr="00DC0C74">
              <w:t>16.1 (13.7, 18.4)</w:t>
            </w:r>
          </w:p>
        </w:tc>
        <w:tc>
          <w:tcPr>
            <w:tcW w:w="1127" w:type="dxa"/>
            <w:tcBorders>
              <w:top w:val="dotted" w:sz="4" w:space="0" w:color="auto"/>
            </w:tcBorders>
          </w:tcPr>
          <w:p w14:paraId="1E6BF33E" w14:textId="77777777" w:rsidR="00334FEC" w:rsidRDefault="00334FEC" w:rsidP="00334FEC">
            <w:pPr>
              <w:pStyle w:val="Tabletext0"/>
            </w:pPr>
            <w:r>
              <w:t>-</w:t>
            </w:r>
            <w:r w:rsidRPr="00DC0C74">
              <w:t>15.5 (</w:t>
            </w:r>
            <w:r>
              <w:t>-</w:t>
            </w:r>
            <w:r w:rsidRPr="00DC0C74">
              <w:t xml:space="preserve">18.3, </w:t>
            </w:r>
            <w:r>
              <w:t>-</w:t>
            </w:r>
            <w:r w:rsidRPr="00DC0C74">
              <w:t>12.8)</w:t>
            </w:r>
          </w:p>
        </w:tc>
        <w:tc>
          <w:tcPr>
            <w:tcW w:w="1127" w:type="dxa"/>
            <w:tcBorders>
              <w:top w:val="dotted" w:sz="4" w:space="0" w:color="auto"/>
            </w:tcBorders>
          </w:tcPr>
          <w:p w14:paraId="2E5F61A0" w14:textId="77777777" w:rsidR="00334FEC" w:rsidRDefault="00334FEC" w:rsidP="00334FEC">
            <w:pPr>
              <w:pStyle w:val="Tabletext0"/>
            </w:pPr>
            <w:r w:rsidRPr="00DC0C74">
              <w:t>&lt;0.001</w:t>
            </w:r>
          </w:p>
        </w:tc>
      </w:tr>
    </w:tbl>
    <w:p w14:paraId="1CA4BC1C" w14:textId="77777777" w:rsidR="00334FEC" w:rsidRDefault="00334FEC" w:rsidP="00334FEC">
      <w:pPr>
        <w:pStyle w:val="TableFigureFooter"/>
        <w:spacing w:after="0"/>
      </w:pPr>
      <w:r>
        <w:t xml:space="preserve">Abbreviations: AHI, </w:t>
      </w:r>
      <w:r w:rsidRPr="006D5D6D">
        <w:t>Apnoea hypopnoea index</w:t>
      </w:r>
      <w:r>
        <w:t xml:space="preserve">; CI, confidence interval; NR, not reported; SD, standard deviation; UAS, upper airway stimulation. </w:t>
      </w:r>
      <w:r w:rsidRPr="003B385D">
        <w:t xml:space="preserve"> </w:t>
      </w:r>
    </w:p>
    <w:p w14:paraId="76D1420E" w14:textId="669281F0" w:rsidR="00334FEC" w:rsidRDefault="00334FEC" w:rsidP="00374F35">
      <w:pPr>
        <w:pStyle w:val="TableFigureFooter"/>
        <w:spacing w:before="0" w:after="0"/>
      </w:pPr>
      <w:r>
        <w:t>Notes:</w:t>
      </w:r>
      <w:r w:rsidR="001F097F">
        <w:t xml:space="preserve"> a.</w:t>
      </w:r>
      <w:r>
        <w:t xml:space="preserve"> Baseline AHI is the same for stim and sham arms of the EFFECT trial due to the cross over design. All patients received stim for 1 week and sham for 1 week with the order randomised. The analysis presented is for the total participant</w:t>
      </w:r>
      <w:r w:rsidR="001F097F">
        <w:t>s</w:t>
      </w:r>
      <w:r>
        <w:t xml:space="preserve"> (n=89), each contributing to both the sham and the stim arm.</w:t>
      </w:r>
    </w:p>
    <w:p w14:paraId="54E002A7" w14:textId="174ED826" w:rsidR="00334FEC" w:rsidRDefault="00334FEC" w:rsidP="00374F35">
      <w:pPr>
        <w:pStyle w:val="TableFigureFooter"/>
        <w:spacing w:before="0"/>
      </w:pPr>
      <w:r>
        <w:t xml:space="preserve">Source: </w:t>
      </w:r>
      <w:r w:rsidR="00FD34D0">
        <w:t>Commentary Table 7 of MSAC Application 1595.1</w:t>
      </w:r>
    </w:p>
    <w:p w14:paraId="4096ED09" w14:textId="3FEE101B" w:rsidR="00502FA9" w:rsidRDefault="00502FA9" w:rsidP="00502FA9">
      <w:r w:rsidRPr="00502FA9">
        <w:t>The primary outcome of the EFFECT trial was the number of responders (</w:t>
      </w:r>
      <w:r w:rsidR="005F7254">
        <w:t xml:space="preserve">defined as </w:t>
      </w:r>
      <w:r w:rsidRPr="00502FA9">
        <w:t xml:space="preserve">AHI ≤15) which was 73.3% (33/45) in the </w:t>
      </w:r>
      <w:r w:rsidR="001F097F">
        <w:t>UAS stimulation</w:t>
      </w:r>
      <w:r w:rsidRPr="00502FA9">
        <w:t xml:space="preserve"> group and 29.5% (13/44) in the </w:t>
      </w:r>
      <w:r w:rsidR="001F097F">
        <w:t xml:space="preserve">UAS </w:t>
      </w:r>
      <w:r w:rsidRPr="00502FA9">
        <w:t>sham</w:t>
      </w:r>
      <w:r w:rsidR="001F097F">
        <w:t xml:space="preserve"> stimulation</w:t>
      </w:r>
      <w:r w:rsidRPr="00502FA9">
        <w:t xml:space="preserve"> group, a difference of 43.8% (95% CI 25.1–62.5, p &lt; 0.001) between the parallel randomised groups based on intention-to-treat analysis.</w:t>
      </w:r>
      <w:r>
        <w:t xml:space="preserve"> </w:t>
      </w:r>
    </w:p>
    <w:p w14:paraId="397C31CD" w14:textId="62D92CC2" w:rsidR="00502FA9" w:rsidRDefault="00502FA9" w:rsidP="00502FA9">
      <w:r>
        <w:t xml:space="preserve">The additional evidence is of a similar magnitude and direction to the STAR study. </w:t>
      </w:r>
    </w:p>
    <w:p w14:paraId="6C8F5EB6" w14:textId="096055E2" w:rsidR="00502FA9" w:rsidRDefault="00502FA9" w:rsidP="00502FA9">
      <w:r>
        <w:t xml:space="preserve">The comparative non-randomised study </w:t>
      </w:r>
      <w:r w:rsidR="003B5280">
        <w:t xml:space="preserve">(Mehra, 2020) </w:t>
      </w:r>
      <w:r>
        <w:t>is at high risk of bias due to differences in the selection of patients in the two arms but is the most applicable study</w:t>
      </w:r>
      <w:r w:rsidR="001F097F">
        <w:t xml:space="preserve"> with respect to the specified population and comparator</w:t>
      </w:r>
      <w:r w:rsidR="00FC2B51">
        <w:t xml:space="preserve"> and therefore should have been </w:t>
      </w:r>
      <w:r w:rsidR="00BE4AF2">
        <w:t>considered</w:t>
      </w:r>
      <w:r w:rsidR="00FC2B51">
        <w:t xml:space="preserve"> in the </w:t>
      </w:r>
      <w:r w:rsidR="00FC2B51">
        <w:lastRenderedPageBreak/>
        <w:t>economic analysis</w:t>
      </w:r>
      <w:r>
        <w:t>.</w:t>
      </w:r>
      <w:r w:rsidR="00601E57">
        <w:t xml:space="preserve"> The </w:t>
      </w:r>
      <w:r w:rsidR="009A0069">
        <w:t xml:space="preserve">applicant’s </w:t>
      </w:r>
      <w:r w:rsidR="00601E57">
        <w:t>pre-ESC response</w:t>
      </w:r>
      <w:r w:rsidR="00FC2B51">
        <w:t xml:space="preserve"> indicated that they believed that the current analysis is justified and more appropriate than using an analysis based on Mehra et al. study data. The applicants</w:t>
      </w:r>
      <w:r w:rsidR="00601E57">
        <w:t xml:space="preserve"> noted that use of the Mehra et al. 2020 data would have led to a more favourable result for effectiveness as the mean change in AHI was greater than in the STAR trial data used. Furthermore – different from the STAR trial - no long-term follow-up is available from the Mehra et al. study. </w:t>
      </w:r>
    </w:p>
    <w:p w14:paraId="73BA639D" w14:textId="46FA7D8B" w:rsidR="00502FA9" w:rsidRDefault="00502FA9" w:rsidP="00502FA9">
      <w:r>
        <w:t>The two randomised therapy withdrawal trials are less relevant to the PICO, are in highly selected patients who have already been implanted with a device</w:t>
      </w:r>
      <w:r w:rsidR="002C4017">
        <w:t xml:space="preserve"> and</w:t>
      </w:r>
      <w:r w:rsidR="005458A6">
        <w:t>,</w:t>
      </w:r>
      <w:r w:rsidR="002C4017">
        <w:t xml:space="preserve"> in the case of the STAR study</w:t>
      </w:r>
      <w:r w:rsidR="005458A6">
        <w:t>,</w:t>
      </w:r>
      <w:r w:rsidR="002C4017">
        <w:t xml:space="preserve"> are known responders</w:t>
      </w:r>
      <w:r>
        <w:t xml:space="preserve">. </w:t>
      </w:r>
      <w:r w:rsidR="005458A6">
        <w:t xml:space="preserve">Both </w:t>
      </w:r>
      <w:r w:rsidR="00A115F8">
        <w:t>trials</w:t>
      </w:r>
      <w:r w:rsidR="005458A6">
        <w:t xml:space="preserve"> </w:t>
      </w:r>
      <w:r>
        <w:t>have insufficient follow-up for a long-term device.</w:t>
      </w:r>
    </w:p>
    <w:p w14:paraId="6E1BD703" w14:textId="3198B292" w:rsidR="00334FEC" w:rsidRDefault="002C4017" w:rsidP="002C4017">
      <w:r>
        <w:t xml:space="preserve">Mean change in </w:t>
      </w:r>
      <w:r w:rsidR="00FB05EB">
        <w:t>ODI</w:t>
      </w:r>
      <w:r>
        <w:t xml:space="preserve"> was reported for the same studies and also shows a statistically significant effect for UAS. </w:t>
      </w:r>
    </w:p>
    <w:p w14:paraId="0CF90337" w14:textId="6770C3BF" w:rsidR="002C4017" w:rsidRDefault="002C4017" w:rsidP="002C4017">
      <w:pPr>
        <w:pStyle w:val="Heading3"/>
      </w:pPr>
      <w:r>
        <w:t>Health Related Quality of Life</w:t>
      </w:r>
    </w:p>
    <w:p w14:paraId="6EFA8623" w14:textId="4D9902FC" w:rsidR="002C4017" w:rsidRDefault="005778A8" w:rsidP="002C4017">
      <w:r>
        <w:t xml:space="preserve">Health related quality of life was measured using the </w:t>
      </w:r>
      <w:r w:rsidRPr="005778A8">
        <w:t>Epworth Sleepiness Scale</w:t>
      </w:r>
      <w:r>
        <w:t xml:space="preserve"> (ESS), which measures self-reported sleepiness</w:t>
      </w:r>
      <w:r w:rsidRPr="005778A8">
        <w:t>, and by the Functional Outcomes of Sleep Questionnaire</w:t>
      </w:r>
      <w:r>
        <w:t xml:space="preserve"> (FOSQ),</w:t>
      </w:r>
      <w:r w:rsidRPr="005778A8">
        <w:t xml:space="preserve"> </w:t>
      </w:r>
      <w:r>
        <w:t xml:space="preserve">which measures </w:t>
      </w:r>
      <w:r w:rsidRPr="005778A8">
        <w:t>disease specific quality of life</w:t>
      </w:r>
      <w:r>
        <w:t xml:space="preserve">. </w:t>
      </w:r>
    </w:p>
    <w:p w14:paraId="5C726EC8" w14:textId="138D83FE" w:rsidR="005778A8" w:rsidRPr="002C4017" w:rsidRDefault="005778A8" w:rsidP="002C4017">
      <w:r>
        <w:t xml:space="preserve">The ADAR reported ESS for the STAR trial only. The commentary has provided additional data in </w:t>
      </w:r>
      <w:r w:rsidR="00660A4F">
        <w:t xml:space="preserve">Table 11 </w:t>
      </w:r>
      <w:r>
        <w:t>and</w:t>
      </w:r>
      <w:r w:rsidR="00660A4F">
        <w:t xml:space="preserve"> Table 12</w:t>
      </w:r>
      <w:r w:rsidR="00A115F8">
        <w:t>,</w:t>
      </w:r>
      <w:r>
        <w:t xml:space="preserve"> all of which demonstrate a statistically significant effect for UAS. A statistically significant effect was also found across all studies for FOSQ. </w:t>
      </w:r>
      <w:r w:rsidRPr="005778A8">
        <w:t>In none of the studies was it possible to blind patients to the intervention they were receiving, and therefore these subjective outcomes are at a higher risk of bias than the other outcomes.</w:t>
      </w:r>
    </w:p>
    <w:p w14:paraId="5195716C" w14:textId="18D4CD1A" w:rsidR="002C4017" w:rsidRDefault="002C4017" w:rsidP="002C4017">
      <w:pPr>
        <w:pStyle w:val="Caption"/>
      </w:pPr>
      <w:bookmarkStart w:id="35" w:name="_Ref121340421"/>
      <w:r>
        <w:t>Table</w:t>
      </w:r>
      <w:r w:rsidR="00660A4F">
        <w:t xml:space="preserve"> 11</w:t>
      </w:r>
      <w:bookmarkEnd w:id="35"/>
      <w:r>
        <w:tab/>
      </w:r>
      <w:r w:rsidRPr="002C4017">
        <w:t>Change in ESS for the non-randomised comparative study (UAS vs usual care)</w:t>
      </w:r>
    </w:p>
    <w:tbl>
      <w:tblPr>
        <w:tblStyle w:val="TableGrid"/>
        <w:tblW w:w="0" w:type="auto"/>
        <w:tblLook w:val="04A0" w:firstRow="1" w:lastRow="0" w:firstColumn="1" w:lastColumn="0" w:noHBand="0" w:noVBand="1"/>
        <w:tblCaption w:val="Change in ESS for the non-randomised comparative study (UAS vs usual care)"/>
        <w:tblDescription w:val="Presents outcomes from the Mehra study for ESS"/>
      </w:tblPr>
      <w:tblGrid>
        <w:gridCol w:w="861"/>
        <w:gridCol w:w="760"/>
        <w:gridCol w:w="1548"/>
        <w:gridCol w:w="1228"/>
        <w:gridCol w:w="1134"/>
        <w:gridCol w:w="1155"/>
        <w:gridCol w:w="1586"/>
        <w:gridCol w:w="744"/>
      </w:tblGrid>
      <w:tr w:rsidR="002C4017" w:rsidRPr="002C4017" w14:paraId="36D38FE4" w14:textId="77777777" w:rsidTr="003F51CD">
        <w:tc>
          <w:tcPr>
            <w:tcW w:w="0" w:type="auto"/>
            <w:tcBorders>
              <w:bottom w:val="single" w:sz="4" w:space="0" w:color="auto"/>
            </w:tcBorders>
          </w:tcPr>
          <w:p w14:paraId="1BF8DE29" w14:textId="77777777" w:rsidR="002C4017" w:rsidRPr="002C4017" w:rsidRDefault="002C4017" w:rsidP="002C4017">
            <w:pPr>
              <w:pStyle w:val="In-tableHeading"/>
            </w:pPr>
            <w:r w:rsidRPr="002C4017">
              <w:t>Study ID</w:t>
            </w:r>
          </w:p>
        </w:tc>
        <w:tc>
          <w:tcPr>
            <w:tcW w:w="0" w:type="auto"/>
            <w:tcBorders>
              <w:bottom w:val="single" w:sz="4" w:space="0" w:color="auto"/>
            </w:tcBorders>
          </w:tcPr>
          <w:p w14:paraId="356F7EAC" w14:textId="77777777" w:rsidR="002C4017" w:rsidRPr="002C4017" w:rsidRDefault="002C4017" w:rsidP="002C4017">
            <w:pPr>
              <w:pStyle w:val="In-tableHeading"/>
            </w:pPr>
            <w:r w:rsidRPr="002C4017">
              <w:t>Risk of Bias</w:t>
            </w:r>
          </w:p>
        </w:tc>
        <w:tc>
          <w:tcPr>
            <w:tcW w:w="0" w:type="auto"/>
            <w:tcBorders>
              <w:bottom w:val="single" w:sz="4" w:space="0" w:color="auto"/>
            </w:tcBorders>
          </w:tcPr>
          <w:p w14:paraId="115B53AB" w14:textId="77777777" w:rsidR="002C4017" w:rsidRPr="002C4017" w:rsidRDefault="002C4017" w:rsidP="002C4017">
            <w:pPr>
              <w:pStyle w:val="In-tableHeading"/>
            </w:pPr>
            <w:r w:rsidRPr="002C4017">
              <w:t>Study arm</w:t>
            </w:r>
          </w:p>
        </w:tc>
        <w:tc>
          <w:tcPr>
            <w:tcW w:w="0" w:type="auto"/>
            <w:tcBorders>
              <w:bottom w:val="single" w:sz="4" w:space="0" w:color="auto"/>
            </w:tcBorders>
          </w:tcPr>
          <w:p w14:paraId="77A59006" w14:textId="77777777" w:rsidR="002C4017" w:rsidRPr="002C4017" w:rsidRDefault="002C4017" w:rsidP="002C4017">
            <w:pPr>
              <w:pStyle w:val="In-tableHeading"/>
            </w:pPr>
            <w:r w:rsidRPr="002C4017">
              <w:t>Baseline (mean ± SD)</w:t>
            </w:r>
          </w:p>
        </w:tc>
        <w:tc>
          <w:tcPr>
            <w:tcW w:w="0" w:type="auto"/>
            <w:tcBorders>
              <w:bottom w:val="single" w:sz="4" w:space="0" w:color="auto"/>
            </w:tcBorders>
          </w:tcPr>
          <w:p w14:paraId="25932C45" w14:textId="77777777" w:rsidR="002C4017" w:rsidRPr="002C4017" w:rsidRDefault="002C4017" w:rsidP="002C4017">
            <w:pPr>
              <w:pStyle w:val="In-tableHeading"/>
            </w:pPr>
            <w:r w:rsidRPr="002C4017">
              <w:t>Final Visit (mean ± SD)</w:t>
            </w:r>
          </w:p>
        </w:tc>
        <w:tc>
          <w:tcPr>
            <w:tcW w:w="0" w:type="auto"/>
            <w:tcBorders>
              <w:bottom w:val="single" w:sz="4" w:space="0" w:color="auto"/>
            </w:tcBorders>
          </w:tcPr>
          <w:p w14:paraId="1A1610BC" w14:textId="77777777" w:rsidR="002C4017" w:rsidRPr="002C4017" w:rsidRDefault="002C4017" w:rsidP="002C4017">
            <w:pPr>
              <w:pStyle w:val="In-tableHeading"/>
            </w:pPr>
            <w:r w:rsidRPr="002C4017">
              <w:t>Change (mean ± SD)</w:t>
            </w:r>
          </w:p>
        </w:tc>
        <w:tc>
          <w:tcPr>
            <w:tcW w:w="0" w:type="auto"/>
            <w:tcBorders>
              <w:bottom w:val="single" w:sz="4" w:space="0" w:color="auto"/>
            </w:tcBorders>
          </w:tcPr>
          <w:p w14:paraId="5B8CC294" w14:textId="77777777" w:rsidR="002C4017" w:rsidRPr="002C4017" w:rsidRDefault="002C4017" w:rsidP="002C4017">
            <w:pPr>
              <w:pStyle w:val="In-tableHeading"/>
            </w:pPr>
            <w:r w:rsidRPr="002C4017">
              <w:t>Absolute difference (mean ± SD)</w:t>
            </w:r>
          </w:p>
        </w:tc>
        <w:tc>
          <w:tcPr>
            <w:tcW w:w="0" w:type="auto"/>
            <w:tcBorders>
              <w:bottom w:val="single" w:sz="4" w:space="0" w:color="auto"/>
            </w:tcBorders>
          </w:tcPr>
          <w:p w14:paraId="42119024" w14:textId="77777777" w:rsidR="002C4017" w:rsidRPr="002C4017" w:rsidRDefault="002C4017" w:rsidP="002C4017">
            <w:pPr>
              <w:pStyle w:val="In-tableHeading"/>
            </w:pPr>
            <w:r w:rsidRPr="002C4017">
              <w:t>P Value</w:t>
            </w:r>
          </w:p>
        </w:tc>
      </w:tr>
      <w:tr w:rsidR="002C4017" w:rsidRPr="002C4017" w14:paraId="7FF287E8" w14:textId="77777777" w:rsidTr="003F51CD">
        <w:tc>
          <w:tcPr>
            <w:tcW w:w="0" w:type="auto"/>
            <w:tcBorders>
              <w:bottom w:val="nil"/>
            </w:tcBorders>
          </w:tcPr>
          <w:p w14:paraId="6D43FD5C" w14:textId="77777777" w:rsidR="002C4017" w:rsidRPr="002C4017" w:rsidRDefault="002C4017" w:rsidP="002C4017">
            <w:pPr>
              <w:pStyle w:val="TableText"/>
            </w:pPr>
            <w:r w:rsidRPr="002C4017">
              <w:t>Mehra (2020)</w:t>
            </w:r>
          </w:p>
        </w:tc>
        <w:tc>
          <w:tcPr>
            <w:tcW w:w="0" w:type="auto"/>
            <w:tcBorders>
              <w:bottom w:val="nil"/>
            </w:tcBorders>
          </w:tcPr>
          <w:p w14:paraId="645BA2F6" w14:textId="77777777" w:rsidR="002C4017" w:rsidRPr="002C4017" w:rsidRDefault="002C4017" w:rsidP="002C4017">
            <w:pPr>
              <w:pStyle w:val="TableText"/>
            </w:pPr>
            <w:r w:rsidRPr="002C4017">
              <w:t>High</w:t>
            </w:r>
          </w:p>
        </w:tc>
        <w:tc>
          <w:tcPr>
            <w:tcW w:w="0" w:type="auto"/>
            <w:tcBorders>
              <w:bottom w:val="dotted" w:sz="4" w:space="0" w:color="auto"/>
            </w:tcBorders>
          </w:tcPr>
          <w:p w14:paraId="2A87B0FA" w14:textId="77777777" w:rsidR="002C4017" w:rsidRPr="002C4017" w:rsidRDefault="002C4017" w:rsidP="002C4017">
            <w:pPr>
              <w:pStyle w:val="TableText"/>
            </w:pPr>
            <w:r w:rsidRPr="002C4017">
              <w:t>Intervention (UAS, n=226)</w:t>
            </w:r>
          </w:p>
        </w:tc>
        <w:tc>
          <w:tcPr>
            <w:tcW w:w="0" w:type="auto"/>
            <w:tcBorders>
              <w:bottom w:val="dotted" w:sz="4" w:space="0" w:color="auto"/>
            </w:tcBorders>
          </w:tcPr>
          <w:p w14:paraId="329D3918" w14:textId="77777777" w:rsidR="002C4017" w:rsidRPr="002C4017" w:rsidRDefault="002C4017" w:rsidP="002C4017">
            <w:pPr>
              <w:pStyle w:val="TableText"/>
            </w:pPr>
            <w:r w:rsidRPr="002C4017">
              <w:t>12.3 ± 5.5</w:t>
            </w:r>
          </w:p>
        </w:tc>
        <w:tc>
          <w:tcPr>
            <w:tcW w:w="0" w:type="auto"/>
            <w:tcBorders>
              <w:bottom w:val="dotted" w:sz="4" w:space="0" w:color="auto"/>
            </w:tcBorders>
          </w:tcPr>
          <w:p w14:paraId="54A41221" w14:textId="77777777" w:rsidR="002C4017" w:rsidRPr="002C4017" w:rsidRDefault="002C4017" w:rsidP="002C4017">
            <w:pPr>
              <w:pStyle w:val="TableText"/>
            </w:pPr>
            <w:r w:rsidRPr="002C4017">
              <w:t>7.2 ± 4.8</w:t>
            </w:r>
          </w:p>
        </w:tc>
        <w:tc>
          <w:tcPr>
            <w:tcW w:w="0" w:type="auto"/>
            <w:tcBorders>
              <w:bottom w:val="dotted" w:sz="4" w:space="0" w:color="auto"/>
            </w:tcBorders>
          </w:tcPr>
          <w:p w14:paraId="35584F9C" w14:textId="77777777" w:rsidR="002C4017" w:rsidRPr="002C4017" w:rsidRDefault="002C4017" w:rsidP="002C4017">
            <w:pPr>
              <w:pStyle w:val="TableText"/>
            </w:pPr>
            <w:r w:rsidRPr="002C4017">
              <w:t>-5.1 ± 5.5</w:t>
            </w:r>
          </w:p>
        </w:tc>
        <w:tc>
          <w:tcPr>
            <w:tcW w:w="0" w:type="auto"/>
            <w:tcBorders>
              <w:bottom w:val="dotted" w:sz="4" w:space="0" w:color="auto"/>
            </w:tcBorders>
          </w:tcPr>
          <w:p w14:paraId="17F2E26D" w14:textId="77777777" w:rsidR="002C4017" w:rsidRPr="002C4017" w:rsidRDefault="002C4017" w:rsidP="002C4017">
            <w:pPr>
              <w:pStyle w:val="TableText"/>
            </w:pPr>
          </w:p>
        </w:tc>
        <w:tc>
          <w:tcPr>
            <w:tcW w:w="0" w:type="auto"/>
            <w:tcBorders>
              <w:bottom w:val="dotted" w:sz="4" w:space="0" w:color="auto"/>
            </w:tcBorders>
          </w:tcPr>
          <w:p w14:paraId="5BE51F67" w14:textId="77777777" w:rsidR="002C4017" w:rsidRPr="002C4017" w:rsidRDefault="002C4017" w:rsidP="002C4017">
            <w:pPr>
              <w:pStyle w:val="TableText"/>
            </w:pPr>
          </w:p>
        </w:tc>
      </w:tr>
      <w:tr w:rsidR="002C4017" w:rsidRPr="002C4017" w14:paraId="755DAD53" w14:textId="77777777" w:rsidTr="003F51CD">
        <w:tc>
          <w:tcPr>
            <w:tcW w:w="0" w:type="auto"/>
            <w:tcBorders>
              <w:top w:val="nil"/>
            </w:tcBorders>
          </w:tcPr>
          <w:p w14:paraId="1654D927" w14:textId="77777777" w:rsidR="002C4017" w:rsidRPr="002C4017" w:rsidRDefault="002C4017" w:rsidP="002C4017">
            <w:pPr>
              <w:pStyle w:val="TableText"/>
            </w:pPr>
          </w:p>
        </w:tc>
        <w:tc>
          <w:tcPr>
            <w:tcW w:w="0" w:type="auto"/>
            <w:tcBorders>
              <w:top w:val="nil"/>
            </w:tcBorders>
          </w:tcPr>
          <w:p w14:paraId="501B6909" w14:textId="77777777" w:rsidR="002C4017" w:rsidRPr="002C4017" w:rsidRDefault="002C4017" w:rsidP="002C4017">
            <w:pPr>
              <w:pStyle w:val="TableText"/>
            </w:pPr>
          </w:p>
        </w:tc>
        <w:tc>
          <w:tcPr>
            <w:tcW w:w="0" w:type="auto"/>
            <w:tcBorders>
              <w:top w:val="dotted" w:sz="4" w:space="0" w:color="auto"/>
            </w:tcBorders>
          </w:tcPr>
          <w:p w14:paraId="46995D21" w14:textId="77777777" w:rsidR="002C4017" w:rsidRPr="002C4017" w:rsidRDefault="002C4017" w:rsidP="002C4017">
            <w:pPr>
              <w:pStyle w:val="TableText"/>
            </w:pPr>
            <w:r w:rsidRPr="002C4017">
              <w:t>Comparator (Usual care, n=90)</w:t>
            </w:r>
          </w:p>
        </w:tc>
        <w:tc>
          <w:tcPr>
            <w:tcW w:w="0" w:type="auto"/>
            <w:tcBorders>
              <w:top w:val="dotted" w:sz="4" w:space="0" w:color="auto"/>
            </w:tcBorders>
          </w:tcPr>
          <w:p w14:paraId="0496932F" w14:textId="77777777" w:rsidR="002C4017" w:rsidRPr="002C4017" w:rsidRDefault="002C4017" w:rsidP="002C4017">
            <w:pPr>
              <w:pStyle w:val="TableText"/>
            </w:pPr>
            <w:r w:rsidRPr="002C4017">
              <w:t>10.9 ± 5.4</w:t>
            </w:r>
          </w:p>
        </w:tc>
        <w:tc>
          <w:tcPr>
            <w:tcW w:w="0" w:type="auto"/>
            <w:tcBorders>
              <w:top w:val="dotted" w:sz="4" w:space="0" w:color="auto"/>
            </w:tcBorders>
          </w:tcPr>
          <w:p w14:paraId="1F991D89" w14:textId="77777777" w:rsidR="002C4017" w:rsidRPr="002C4017" w:rsidRDefault="002C4017" w:rsidP="002C4017">
            <w:pPr>
              <w:pStyle w:val="TableText"/>
            </w:pPr>
            <w:r w:rsidRPr="002C4017">
              <w:t>12.8 ± 5.2</w:t>
            </w:r>
          </w:p>
        </w:tc>
        <w:tc>
          <w:tcPr>
            <w:tcW w:w="0" w:type="auto"/>
            <w:tcBorders>
              <w:top w:val="dotted" w:sz="4" w:space="0" w:color="auto"/>
            </w:tcBorders>
          </w:tcPr>
          <w:p w14:paraId="500ED1BB" w14:textId="77777777" w:rsidR="002C4017" w:rsidRPr="002C4017" w:rsidRDefault="002C4017" w:rsidP="002C4017">
            <w:pPr>
              <w:pStyle w:val="TableText"/>
            </w:pPr>
            <w:r w:rsidRPr="002C4017">
              <w:t>1.8 ± 3.7</w:t>
            </w:r>
          </w:p>
        </w:tc>
        <w:tc>
          <w:tcPr>
            <w:tcW w:w="0" w:type="auto"/>
            <w:tcBorders>
              <w:top w:val="dotted" w:sz="4" w:space="0" w:color="auto"/>
            </w:tcBorders>
          </w:tcPr>
          <w:p w14:paraId="6390DF47" w14:textId="77777777" w:rsidR="002C4017" w:rsidRPr="002C4017" w:rsidRDefault="002C4017" w:rsidP="002C4017">
            <w:pPr>
              <w:pStyle w:val="TableText"/>
            </w:pPr>
            <w:r w:rsidRPr="002C4017">
              <w:t>6.9 ± NR</w:t>
            </w:r>
          </w:p>
        </w:tc>
        <w:tc>
          <w:tcPr>
            <w:tcW w:w="0" w:type="auto"/>
            <w:tcBorders>
              <w:top w:val="dotted" w:sz="4" w:space="0" w:color="auto"/>
            </w:tcBorders>
          </w:tcPr>
          <w:p w14:paraId="47D299A8" w14:textId="77777777" w:rsidR="002C4017" w:rsidRPr="002C4017" w:rsidRDefault="002C4017" w:rsidP="002C4017">
            <w:pPr>
              <w:pStyle w:val="TableText"/>
            </w:pPr>
            <w:r w:rsidRPr="002C4017">
              <w:t>P &lt; 0.001</w:t>
            </w:r>
          </w:p>
        </w:tc>
      </w:tr>
    </w:tbl>
    <w:p w14:paraId="25CF4D8D" w14:textId="77777777" w:rsidR="002C4017" w:rsidRPr="002C4017" w:rsidRDefault="002C4017" w:rsidP="002C4017">
      <w:pPr>
        <w:pStyle w:val="TableFooter"/>
      </w:pPr>
      <w:r w:rsidRPr="002C4017">
        <w:t xml:space="preserve">Abbreviations: ESS, Epworth Sleepiness Scale, NR, not reported; SD, standard deviation; UAS, upper airway stimulation.  </w:t>
      </w:r>
    </w:p>
    <w:p w14:paraId="0468425A" w14:textId="77D20A99" w:rsidR="008035F4" w:rsidRPr="008035F4" w:rsidRDefault="002C4017" w:rsidP="008035F4">
      <w:pPr>
        <w:pStyle w:val="TableFooter"/>
      </w:pPr>
      <w:r w:rsidRPr="002C4017">
        <w:t xml:space="preserve">Source: </w:t>
      </w:r>
      <w:r w:rsidR="003B1F86">
        <w:t>Commentary Table 10 of MSAC Application 1595.1</w:t>
      </w:r>
      <w:bookmarkStart w:id="36" w:name="_Ref121340433"/>
      <w:r w:rsidR="008035F4">
        <w:br w:type="page"/>
      </w:r>
    </w:p>
    <w:p w14:paraId="4EA89997" w14:textId="65017812" w:rsidR="002C4017" w:rsidRDefault="002C4017" w:rsidP="002C4017">
      <w:pPr>
        <w:pStyle w:val="Caption"/>
      </w:pPr>
      <w:r>
        <w:lastRenderedPageBreak/>
        <w:t>Table</w:t>
      </w:r>
      <w:r w:rsidR="00660A4F">
        <w:t xml:space="preserve"> 12</w:t>
      </w:r>
      <w:bookmarkEnd w:id="36"/>
      <w:r>
        <w:tab/>
      </w:r>
      <w:r w:rsidRPr="002C4017">
        <w:t>Change in ESS for the randomised controlled therapy withdrawal trials</w:t>
      </w:r>
    </w:p>
    <w:tbl>
      <w:tblPr>
        <w:tblStyle w:val="TableGrid"/>
        <w:tblW w:w="0" w:type="auto"/>
        <w:tblLook w:val="04A0" w:firstRow="1" w:lastRow="0" w:firstColumn="1" w:lastColumn="0" w:noHBand="0" w:noVBand="1"/>
        <w:tblCaption w:val="Change in ESS for the randomised controlled therapy withdrawal trials"/>
        <w:tblDescription w:val="Presents outcomes from the STAR and EFFECT study for ESS"/>
      </w:tblPr>
      <w:tblGrid>
        <w:gridCol w:w="1127"/>
        <w:gridCol w:w="1127"/>
        <w:gridCol w:w="1127"/>
        <w:gridCol w:w="1127"/>
        <w:gridCol w:w="1127"/>
        <w:gridCol w:w="1127"/>
        <w:gridCol w:w="1127"/>
        <w:gridCol w:w="1127"/>
      </w:tblGrid>
      <w:tr w:rsidR="002C4017" w:rsidRPr="002C4017" w14:paraId="54D3D8AE" w14:textId="77777777" w:rsidTr="003F51CD">
        <w:tc>
          <w:tcPr>
            <w:tcW w:w="1127" w:type="dxa"/>
            <w:tcBorders>
              <w:bottom w:val="single" w:sz="4" w:space="0" w:color="auto"/>
            </w:tcBorders>
          </w:tcPr>
          <w:p w14:paraId="272C2330" w14:textId="77777777" w:rsidR="002C4017" w:rsidRPr="002C4017" w:rsidRDefault="002C4017" w:rsidP="002C4017">
            <w:pPr>
              <w:pStyle w:val="In-tableHeading"/>
            </w:pPr>
            <w:r w:rsidRPr="002C4017">
              <w:t>Study ID</w:t>
            </w:r>
          </w:p>
        </w:tc>
        <w:tc>
          <w:tcPr>
            <w:tcW w:w="1127" w:type="dxa"/>
            <w:tcBorders>
              <w:bottom w:val="single" w:sz="4" w:space="0" w:color="auto"/>
            </w:tcBorders>
          </w:tcPr>
          <w:p w14:paraId="634E9EC2" w14:textId="77777777" w:rsidR="002C4017" w:rsidRPr="002C4017" w:rsidRDefault="002C4017" w:rsidP="002C4017">
            <w:pPr>
              <w:pStyle w:val="In-tableHeading"/>
            </w:pPr>
            <w:r w:rsidRPr="002C4017">
              <w:t>Risk of Bias</w:t>
            </w:r>
          </w:p>
        </w:tc>
        <w:tc>
          <w:tcPr>
            <w:tcW w:w="1127" w:type="dxa"/>
            <w:tcBorders>
              <w:bottom w:val="single" w:sz="4" w:space="0" w:color="auto"/>
            </w:tcBorders>
          </w:tcPr>
          <w:p w14:paraId="5A2D6CC4" w14:textId="77777777" w:rsidR="002C4017" w:rsidRPr="002C4017" w:rsidRDefault="002C4017" w:rsidP="002C4017">
            <w:pPr>
              <w:pStyle w:val="In-tableHeading"/>
            </w:pPr>
            <w:r w:rsidRPr="002C4017">
              <w:t>Study arm</w:t>
            </w:r>
          </w:p>
        </w:tc>
        <w:tc>
          <w:tcPr>
            <w:tcW w:w="1127" w:type="dxa"/>
            <w:tcBorders>
              <w:bottom w:val="single" w:sz="4" w:space="0" w:color="auto"/>
            </w:tcBorders>
          </w:tcPr>
          <w:p w14:paraId="1BB27173" w14:textId="77777777" w:rsidR="002C4017" w:rsidRPr="002C4017" w:rsidRDefault="002C4017" w:rsidP="002C4017">
            <w:pPr>
              <w:pStyle w:val="In-tableHeading"/>
            </w:pPr>
            <w:r w:rsidRPr="002C4017">
              <w:t>Baseline (mean ± SD)</w:t>
            </w:r>
          </w:p>
        </w:tc>
        <w:tc>
          <w:tcPr>
            <w:tcW w:w="1127" w:type="dxa"/>
            <w:tcBorders>
              <w:bottom w:val="single" w:sz="4" w:space="0" w:color="auto"/>
            </w:tcBorders>
          </w:tcPr>
          <w:p w14:paraId="27B6FEE1" w14:textId="77777777" w:rsidR="002C4017" w:rsidRPr="002C4017" w:rsidRDefault="002C4017" w:rsidP="002C4017">
            <w:pPr>
              <w:pStyle w:val="In-tableHeading"/>
            </w:pPr>
            <w:r w:rsidRPr="002C4017">
              <w:t>Follow-up/ 1 week (mean ± SD)</w:t>
            </w:r>
          </w:p>
        </w:tc>
        <w:tc>
          <w:tcPr>
            <w:tcW w:w="1127" w:type="dxa"/>
            <w:tcBorders>
              <w:bottom w:val="single" w:sz="4" w:space="0" w:color="auto"/>
            </w:tcBorders>
          </w:tcPr>
          <w:p w14:paraId="325CB6C3" w14:textId="77777777" w:rsidR="002C4017" w:rsidRPr="002C4017" w:rsidRDefault="002C4017" w:rsidP="002C4017">
            <w:pPr>
              <w:pStyle w:val="In-tableHeading"/>
            </w:pPr>
            <w:r w:rsidRPr="002C4017">
              <w:t>Change (mean (95% CI))</w:t>
            </w:r>
          </w:p>
        </w:tc>
        <w:tc>
          <w:tcPr>
            <w:tcW w:w="1127" w:type="dxa"/>
            <w:tcBorders>
              <w:bottom w:val="single" w:sz="4" w:space="0" w:color="auto"/>
            </w:tcBorders>
          </w:tcPr>
          <w:p w14:paraId="29DC1315" w14:textId="77777777" w:rsidR="002C4017" w:rsidRPr="002C4017" w:rsidRDefault="002C4017" w:rsidP="002C4017">
            <w:pPr>
              <w:pStyle w:val="In-tableHeading"/>
            </w:pPr>
            <w:r w:rsidRPr="002C4017">
              <w:t>Absolute difference (mean (95% CI))</w:t>
            </w:r>
          </w:p>
        </w:tc>
        <w:tc>
          <w:tcPr>
            <w:tcW w:w="1127" w:type="dxa"/>
            <w:tcBorders>
              <w:bottom w:val="single" w:sz="4" w:space="0" w:color="auto"/>
            </w:tcBorders>
          </w:tcPr>
          <w:p w14:paraId="7AD4E7F7" w14:textId="18C73189" w:rsidR="002C4017" w:rsidRPr="002C4017" w:rsidRDefault="002C4017" w:rsidP="002C4017">
            <w:pPr>
              <w:pStyle w:val="In-tableHeading"/>
            </w:pPr>
            <w:r w:rsidRPr="002C4017">
              <w:t>P Value (on vs off at follow</w:t>
            </w:r>
            <w:r w:rsidR="001604EF">
              <w:t>-</w:t>
            </w:r>
            <w:r w:rsidRPr="002C4017">
              <w:t>up)</w:t>
            </w:r>
          </w:p>
        </w:tc>
      </w:tr>
      <w:tr w:rsidR="002C4017" w:rsidRPr="002C4017" w14:paraId="34B690C7" w14:textId="77777777" w:rsidTr="003F51CD">
        <w:tc>
          <w:tcPr>
            <w:tcW w:w="1127" w:type="dxa"/>
            <w:tcBorders>
              <w:bottom w:val="nil"/>
            </w:tcBorders>
          </w:tcPr>
          <w:p w14:paraId="5E2C5F0E" w14:textId="77777777" w:rsidR="002C4017" w:rsidRPr="002C4017" w:rsidRDefault="002C4017" w:rsidP="002C4017">
            <w:pPr>
              <w:pStyle w:val="TableText"/>
            </w:pPr>
            <w:r w:rsidRPr="002C4017">
              <w:rPr>
                <w:b/>
                <w:bCs/>
              </w:rPr>
              <w:t xml:space="preserve">STAR </w:t>
            </w:r>
            <w:r w:rsidRPr="002C4017">
              <w:t>(Woodson, 2014)</w:t>
            </w:r>
          </w:p>
        </w:tc>
        <w:tc>
          <w:tcPr>
            <w:tcW w:w="1127" w:type="dxa"/>
            <w:tcBorders>
              <w:bottom w:val="nil"/>
            </w:tcBorders>
          </w:tcPr>
          <w:p w14:paraId="67477FBD" w14:textId="77777777" w:rsidR="002C4017" w:rsidRPr="002C4017" w:rsidRDefault="002C4017" w:rsidP="002C4017">
            <w:pPr>
              <w:pStyle w:val="TableText"/>
            </w:pPr>
            <w:r w:rsidRPr="002C4017">
              <w:t>High</w:t>
            </w:r>
          </w:p>
        </w:tc>
        <w:tc>
          <w:tcPr>
            <w:tcW w:w="1127" w:type="dxa"/>
            <w:tcBorders>
              <w:bottom w:val="dotted" w:sz="4" w:space="0" w:color="auto"/>
            </w:tcBorders>
          </w:tcPr>
          <w:p w14:paraId="3CFC65D4" w14:textId="77777777" w:rsidR="002C4017" w:rsidRPr="002C4017" w:rsidRDefault="002C4017" w:rsidP="002C4017">
            <w:pPr>
              <w:pStyle w:val="TableText"/>
            </w:pPr>
            <w:r w:rsidRPr="002C4017">
              <w:t>‘on’ therapy (n=23)</w:t>
            </w:r>
          </w:p>
        </w:tc>
        <w:tc>
          <w:tcPr>
            <w:tcW w:w="1127" w:type="dxa"/>
            <w:tcBorders>
              <w:bottom w:val="dotted" w:sz="4" w:space="0" w:color="auto"/>
            </w:tcBorders>
          </w:tcPr>
          <w:p w14:paraId="39DB4CA2" w14:textId="77777777" w:rsidR="002C4017" w:rsidRPr="002C4017" w:rsidRDefault="002C4017" w:rsidP="002C4017">
            <w:pPr>
              <w:pStyle w:val="TableText"/>
            </w:pPr>
            <w:r w:rsidRPr="002C4017">
              <w:t>5.9 ± 3.4</w:t>
            </w:r>
          </w:p>
        </w:tc>
        <w:tc>
          <w:tcPr>
            <w:tcW w:w="1127" w:type="dxa"/>
            <w:tcBorders>
              <w:bottom w:val="dotted" w:sz="4" w:space="0" w:color="auto"/>
            </w:tcBorders>
          </w:tcPr>
          <w:p w14:paraId="2D17BBCB" w14:textId="77777777" w:rsidR="002C4017" w:rsidRPr="002C4017" w:rsidRDefault="002C4017" w:rsidP="002C4017">
            <w:pPr>
              <w:pStyle w:val="TableText"/>
            </w:pPr>
            <w:r w:rsidRPr="002C4017">
              <w:t>5.6 ± 3.9</w:t>
            </w:r>
          </w:p>
        </w:tc>
        <w:tc>
          <w:tcPr>
            <w:tcW w:w="1127" w:type="dxa"/>
            <w:tcBorders>
              <w:bottom w:val="dotted" w:sz="4" w:space="0" w:color="auto"/>
            </w:tcBorders>
          </w:tcPr>
          <w:p w14:paraId="028C2587" w14:textId="77777777" w:rsidR="002C4017" w:rsidRPr="002C4017" w:rsidRDefault="002C4017" w:rsidP="002C4017">
            <w:pPr>
              <w:pStyle w:val="TableText"/>
            </w:pPr>
            <w:r w:rsidRPr="002C4017">
              <w:t>- 0.3 ± 1.8</w:t>
            </w:r>
          </w:p>
        </w:tc>
        <w:tc>
          <w:tcPr>
            <w:tcW w:w="1127" w:type="dxa"/>
            <w:tcBorders>
              <w:bottom w:val="dotted" w:sz="4" w:space="0" w:color="auto"/>
            </w:tcBorders>
          </w:tcPr>
          <w:p w14:paraId="55886A28" w14:textId="77777777" w:rsidR="002C4017" w:rsidRPr="002C4017" w:rsidRDefault="002C4017" w:rsidP="002C4017">
            <w:pPr>
              <w:pStyle w:val="TableText"/>
            </w:pPr>
          </w:p>
        </w:tc>
        <w:tc>
          <w:tcPr>
            <w:tcW w:w="1127" w:type="dxa"/>
            <w:tcBorders>
              <w:bottom w:val="dotted" w:sz="4" w:space="0" w:color="auto"/>
            </w:tcBorders>
          </w:tcPr>
          <w:p w14:paraId="6D5D70A0" w14:textId="77777777" w:rsidR="002C4017" w:rsidRPr="002C4017" w:rsidRDefault="002C4017" w:rsidP="002C4017">
            <w:pPr>
              <w:pStyle w:val="TableText"/>
            </w:pPr>
          </w:p>
        </w:tc>
      </w:tr>
      <w:tr w:rsidR="002C4017" w:rsidRPr="002C4017" w14:paraId="11FFCD2D" w14:textId="77777777" w:rsidTr="003F51CD">
        <w:tc>
          <w:tcPr>
            <w:tcW w:w="1127" w:type="dxa"/>
            <w:tcBorders>
              <w:top w:val="nil"/>
              <w:bottom w:val="single" w:sz="4" w:space="0" w:color="auto"/>
            </w:tcBorders>
          </w:tcPr>
          <w:p w14:paraId="5ADCF670" w14:textId="77777777" w:rsidR="002C4017" w:rsidRPr="002C4017" w:rsidRDefault="002C4017" w:rsidP="002C4017">
            <w:pPr>
              <w:pStyle w:val="TableText"/>
              <w:rPr>
                <w:b/>
                <w:bCs/>
              </w:rPr>
            </w:pPr>
          </w:p>
        </w:tc>
        <w:tc>
          <w:tcPr>
            <w:tcW w:w="1127" w:type="dxa"/>
            <w:tcBorders>
              <w:top w:val="nil"/>
              <w:bottom w:val="single" w:sz="4" w:space="0" w:color="auto"/>
            </w:tcBorders>
          </w:tcPr>
          <w:p w14:paraId="69E6FFDA" w14:textId="77777777" w:rsidR="002C4017" w:rsidRPr="002C4017" w:rsidRDefault="002C4017" w:rsidP="002C4017">
            <w:pPr>
              <w:pStyle w:val="TableText"/>
            </w:pPr>
          </w:p>
        </w:tc>
        <w:tc>
          <w:tcPr>
            <w:tcW w:w="1127" w:type="dxa"/>
            <w:tcBorders>
              <w:top w:val="dotted" w:sz="4" w:space="0" w:color="auto"/>
              <w:bottom w:val="single" w:sz="4" w:space="0" w:color="auto"/>
            </w:tcBorders>
          </w:tcPr>
          <w:p w14:paraId="5DF22DE1" w14:textId="77777777" w:rsidR="002C4017" w:rsidRPr="002C4017" w:rsidRDefault="002C4017" w:rsidP="002C4017">
            <w:pPr>
              <w:pStyle w:val="TableText"/>
            </w:pPr>
            <w:r w:rsidRPr="002C4017">
              <w:t>‘off’ therapy (n=23)</w:t>
            </w:r>
          </w:p>
        </w:tc>
        <w:tc>
          <w:tcPr>
            <w:tcW w:w="1127" w:type="dxa"/>
            <w:tcBorders>
              <w:top w:val="dotted" w:sz="4" w:space="0" w:color="auto"/>
              <w:bottom w:val="single" w:sz="4" w:space="0" w:color="auto"/>
            </w:tcBorders>
          </w:tcPr>
          <w:p w14:paraId="2ED6E8DB" w14:textId="77777777" w:rsidR="002C4017" w:rsidRPr="002C4017" w:rsidRDefault="002C4017" w:rsidP="002C4017">
            <w:pPr>
              <w:pStyle w:val="TableText"/>
            </w:pPr>
            <w:r w:rsidRPr="002C4017">
              <w:t>6.9 ± 4.6</w:t>
            </w:r>
          </w:p>
        </w:tc>
        <w:tc>
          <w:tcPr>
            <w:tcW w:w="1127" w:type="dxa"/>
            <w:tcBorders>
              <w:top w:val="dotted" w:sz="4" w:space="0" w:color="auto"/>
              <w:bottom w:val="single" w:sz="4" w:space="0" w:color="auto"/>
            </w:tcBorders>
          </w:tcPr>
          <w:p w14:paraId="05AFE46A" w14:textId="77777777" w:rsidR="002C4017" w:rsidRPr="002C4017" w:rsidRDefault="002C4017" w:rsidP="002C4017">
            <w:pPr>
              <w:pStyle w:val="TableText"/>
            </w:pPr>
            <w:r w:rsidRPr="002C4017">
              <w:t>10.0 ± 6.0</w:t>
            </w:r>
          </w:p>
        </w:tc>
        <w:tc>
          <w:tcPr>
            <w:tcW w:w="1127" w:type="dxa"/>
            <w:tcBorders>
              <w:top w:val="dotted" w:sz="4" w:space="0" w:color="auto"/>
              <w:bottom w:val="single" w:sz="4" w:space="0" w:color="auto"/>
            </w:tcBorders>
          </w:tcPr>
          <w:p w14:paraId="47DA7B97" w14:textId="77777777" w:rsidR="002C4017" w:rsidRPr="002C4017" w:rsidRDefault="002C4017" w:rsidP="002C4017">
            <w:pPr>
              <w:pStyle w:val="TableText"/>
            </w:pPr>
            <w:r w:rsidRPr="002C4017">
              <w:t>–3.8 ± 4.6</w:t>
            </w:r>
          </w:p>
        </w:tc>
        <w:tc>
          <w:tcPr>
            <w:tcW w:w="1127" w:type="dxa"/>
            <w:tcBorders>
              <w:top w:val="dotted" w:sz="4" w:space="0" w:color="auto"/>
              <w:bottom w:val="single" w:sz="4" w:space="0" w:color="auto"/>
            </w:tcBorders>
          </w:tcPr>
          <w:p w14:paraId="23C43BD4" w14:textId="77777777" w:rsidR="002C4017" w:rsidRPr="002C4017" w:rsidRDefault="002C4017" w:rsidP="002C4017">
            <w:pPr>
              <w:pStyle w:val="TableText"/>
            </w:pPr>
            <w:r w:rsidRPr="002C4017">
              <w:t>3.5 ± NR</w:t>
            </w:r>
          </w:p>
        </w:tc>
        <w:tc>
          <w:tcPr>
            <w:tcW w:w="1127" w:type="dxa"/>
            <w:tcBorders>
              <w:top w:val="dotted" w:sz="4" w:space="0" w:color="auto"/>
              <w:bottom w:val="single" w:sz="4" w:space="0" w:color="auto"/>
            </w:tcBorders>
          </w:tcPr>
          <w:p w14:paraId="3A38040A" w14:textId="77777777" w:rsidR="002C4017" w:rsidRPr="002C4017" w:rsidRDefault="002C4017" w:rsidP="002C4017">
            <w:pPr>
              <w:pStyle w:val="TableText"/>
            </w:pPr>
            <w:r w:rsidRPr="002C4017">
              <w:t>.005</w:t>
            </w:r>
          </w:p>
        </w:tc>
      </w:tr>
      <w:tr w:rsidR="002C4017" w:rsidRPr="002C4017" w14:paraId="1F0D7D1C" w14:textId="77777777" w:rsidTr="003F51CD">
        <w:tc>
          <w:tcPr>
            <w:tcW w:w="1127" w:type="dxa"/>
            <w:tcBorders>
              <w:bottom w:val="nil"/>
            </w:tcBorders>
          </w:tcPr>
          <w:p w14:paraId="1D6EED26" w14:textId="77777777" w:rsidR="002C4017" w:rsidRPr="002C4017" w:rsidRDefault="002C4017" w:rsidP="002C4017">
            <w:pPr>
              <w:pStyle w:val="TableText"/>
            </w:pPr>
            <w:r w:rsidRPr="002C4017">
              <w:rPr>
                <w:b/>
                <w:bCs/>
              </w:rPr>
              <w:t xml:space="preserve">EFFECT </w:t>
            </w:r>
            <w:r w:rsidRPr="002C4017">
              <w:t>(Heiser, 2021)</w:t>
            </w:r>
          </w:p>
        </w:tc>
        <w:tc>
          <w:tcPr>
            <w:tcW w:w="1127" w:type="dxa"/>
            <w:tcBorders>
              <w:bottom w:val="nil"/>
            </w:tcBorders>
          </w:tcPr>
          <w:p w14:paraId="438C8E51" w14:textId="77777777" w:rsidR="002C4017" w:rsidRPr="002C4017" w:rsidRDefault="002C4017" w:rsidP="002C4017">
            <w:pPr>
              <w:pStyle w:val="TableText"/>
            </w:pPr>
            <w:r w:rsidRPr="002C4017">
              <w:t>High</w:t>
            </w:r>
          </w:p>
        </w:tc>
        <w:tc>
          <w:tcPr>
            <w:tcW w:w="1127" w:type="dxa"/>
            <w:tcBorders>
              <w:bottom w:val="dotted" w:sz="4" w:space="0" w:color="auto"/>
            </w:tcBorders>
          </w:tcPr>
          <w:p w14:paraId="023C8628" w14:textId="77777777" w:rsidR="002C4017" w:rsidRPr="002C4017" w:rsidRDefault="002C4017" w:rsidP="002C4017">
            <w:pPr>
              <w:pStyle w:val="TableText"/>
            </w:pPr>
            <w:r w:rsidRPr="002C4017">
              <w:t>Stim (n=86)</w:t>
            </w:r>
          </w:p>
        </w:tc>
        <w:tc>
          <w:tcPr>
            <w:tcW w:w="1127" w:type="dxa"/>
            <w:tcBorders>
              <w:bottom w:val="dotted" w:sz="4" w:space="0" w:color="auto"/>
            </w:tcBorders>
          </w:tcPr>
          <w:p w14:paraId="66F36001" w14:textId="77777777" w:rsidR="002C4017" w:rsidRPr="002C4017" w:rsidRDefault="002C4017" w:rsidP="002C4017">
            <w:pPr>
              <w:pStyle w:val="TableText"/>
            </w:pPr>
            <w:r w:rsidRPr="002C4017">
              <w:t>7.0 ± 4.4</w:t>
            </w:r>
          </w:p>
        </w:tc>
        <w:tc>
          <w:tcPr>
            <w:tcW w:w="1127" w:type="dxa"/>
            <w:tcBorders>
              <w:bottom w:val="dotted" w:sz="4" w:space="0" w:color="auto"/>
            </w:tcBorders>
          </w:tcPr>
          <w:p w14:paraId="21B6FE67" w14:textId="77777777" w:rsidR="002C4017" w:rsidRPr="002C4017" w:rsidRDefault="002C4017" w:rsidP="002C4017">
            <w:pPr>
              <w:pStyle w:val="TableText"/>
            </w:pPr>
            <w:r w:rsidRPr="002C4017">
              <w:t>NR</w:t>
            </w:r>
          </w:p>
        </w:tc>
        <w:tc>
          <w:tcPr>
            <w:tcW w:w="1127" w:type="dxa"/>
            <w:tcBorders>
              <w:bottom w:val="dotted" w:sz="4" w:space="0" w:color="auto"/>
            </w:tcBorders>
          </w:tcPr>
          <w:p w14:paraId="044A7F73" w14:textId="77777777" w:rsidR="002C4017" w:rsidRPr="002C4017" w:rsidRDefault="002C4017" w:rsidP="002C4017">
            <w:pPr>
              <w:pStyle w:val="TableText"/>
            </w:pPr>
            <w:r w:rsidRPr="002C4017">
              <w:t>-0.2 (-0.7, 1.1)</w:t>
            </w:r>
          </w:p>
        </w:tc>
        <w:tc>
          <w:tcPr>
            <w:tcW w:w="1127" w:type="dxa"/>
            <w:tcBorders>
              <w:bottom w:val="dotted" w:sz="4" w:space="0" w:color="auto"/>
            </w:tcBorders>
          </w:tcPr>
          <w:p w14:paraId="390823F0" w14:textId="77777777" w:rsidR="002C4017" w:rsidRPr="002C4017" w:rsidRDefault="002C4017" w:rsidP="002C4017">
            <w:pPr>
              <w:pStyle w:val="TableText"/>
            </w:pPr>
          </w:p>
        </w:tc>
        <w:tc>
          <w:tcPr>
            <w:tcW w:w="1127" w:type="dxa"/>
            <w:tcBorders>
              <w:bottom w:val="dotted" w:sz="4" w:space="0" w:color="auto"/>
            </w:tcBorders>
          </w:tcPr>
          <w:p w14:paraId="08577AC5" w14:textId="77777777" w:rsidR="002C4017" w:rsidRPr="002C4017" w:rsidRDefault="002C4017" w:rsidP="002C4017">
            <w:pPr>
              <w:pStyle w:val="TableText"/>
            </w:pPr>
          </w:p>
        </w:tc>
      </w:tr>
      <w:tr w:rsidR="002C4017" w:rsidRPr="002C4017" w14:paraId="095030A0" w14:textId="77777777" w:rsidTr="003F51CD">
        <w:tc>
          <w:tcPr>
            <w:tcW w:w="1127" w:type="dxa"/>
            <w:tcBorders>
              <w:top w:val="nil"/>
            </w:tcBorders>
          </w:tcPr>
          <w:p w14:paraId="63854EB8" w14:textId="77777777" w:rsidR="002C4017" w:rsidRPr="002C4017" w:rsidRDefault="002C4017" w:rsidP="002C4017">
            <w:pPr>
              <w:pStyle w:val="TableText"/>
            </w:pPr>
          </w:p>
        </w:tc>
        <w:tc>
          <w:tcPr>
            <w:tcW w:w="1127" w:type="dxa"/>
            <w:tcBorders>
              <w:top w:val="nil"/>
            </w:tcBorders>
          </w:tcPr>
          <w:p w14:paraId="0C29E7DA" w14:textId="77777777" w:rsidR="002C4017" w:rsidRPr="002C4017" w:rsidRDefault="002C4017" w:rsidP="002C4017">
            <w:pPr>
              <w:pStyle w:val="TableText"/>
            </w:pPr>
          </w:p>
        </w:tc>
        <w:tc>
          <w:tcPr>
            <w:tcW w:w="1127" w:type="dxa"/>
            <w:tcBorders>
              <w:top w:val="dotted" w:sz="4" w:space="0" w:color="auto"/>
            </w:tcBorders>
          </w:tcPr>
          <w:p w14:paraId="3EB0451A" w14:textId="77777777" w:rsidR="002C4017" w:rsidRPr="002C4017" w:rsidRDefault="002C4017" w:rsidP="002C4017">
            <w:pPr>
              <w:pStyle w:val="TableText"/>
            </w:pPr>
            <w:r w:rsidRPr="002C4017">
              <w:t>Sham (n=86)</w:t>
            </w:r>
          </w:p>
        </w:tc>
        <w:tc>
          <w:tcPr>
            <w:tcW w:w="1127" w:type="dxa"/>
            <w:tcBorders>
              <w:top w:val="dotted" w:sz="4" w:space="0" w:color="auto"/>
            </w:tcBorders>
          </w:tcPr>
          <w:p w14:paraId="0B57C50C" w14:textId="77777777" w:rsidR="002C4017" w:rsidRPr="002C4017" w:rsidRDefault="002C4017" w:rsidP="002C4017">
            <w:pPr>
              <w:pStyle w:val="TableText"/>
            </w:pPr>
            <w:r w:rsidRPr="002C4017">
              <w:t>7.0 ± 4.4</w:t>
            </w:r>
          </w:p>
        </w:tc>
        <w:tc>
          <w:tcPr>
            <w:tcW w:w="1127" w:type="dxa"/>
            <w:tcBorders>
              <w:top w:val="dotted" w:sz="4" w:space="0" w:color="auto"/>
            </w:tcBorders>
          </w:tcPr>
          <w:p w14:paraId="412F2597" w14:textId="77777777" w:rsidR="002C4017" w:rsidRPr="002C4017" w:rsidRDefault="002C4017" w:rsidP="002C4017">
            <w:pPr>
              <w:pStyle w:val="TableText"/>
            </w:pPr>
            <w:r w:rsidRPr="002C4017">
              <w:t>NR</w:t>
            </w:r>
          </w:p>
        </w:tc>
        <w:tc>
          <w:tcPr>
            <w:tcW w:w="1127" w:type="dxa"/>
            <w:tcBorders>
              <w:top w:val="dotted" w:sz="4" w:space="0" w:color="auto"/>
            </w:tcBorders>
          </w:tcPr>
          <w:p w14:paraId="48C1EF97" w14:textId="77777777" w:rsidR="002C4017" w:rsidRPr="002C4017" w:rsidRDefault="002C4017" w:rsidP="002C4017">
            <w:pPr>
              <w:pStyle w:val="TableText"/>
            </w:pPr>
            <w:r w:rsidRPr="002C4017">
              <w:t>-3.5 (2.6, 4.4)</w:t>
            </w:r>
          </w:p>
        </w:tc>
        <w:tc>
          <w:tcPr>
            <w:tcW w:w="1127" w:type="dxa"/>
            <w:tcBorders>
              <w:top w:val="dotted" w:sz="4" w:space="0" w:color="auto"/>
            </w:tcBorders>
          </w:tcPr>
          <w:p w14:paraId="5311569C" w14:textId="77777777" w:rsidR="002C4017" w:rsidRPr="002C4017" w:rsidRDefault="002C4017" w:rsidP="002C4017">
            <w:pPr>
              <w:pStyle w:val="TableText"/>
            </w:pPr>
            <w:r w:rsidRPr="002C4017">
              <w:t>3.3 (4.4, 2.2)</w:t>
            </w:r>
          </w:p>
        </w:tc>
        <w:tc>
          <w:tcPr>
            <w:tcW w:w="1127" w:type="dxa"/>
            <w:tcBorders>
              <w:top w:val="dotted" w:sz="4" w:space="0" w:color="auto"/>
            </w:tcBorders>
          </w:tcPr>
          <w:p w14:paraId="5B3487F2" w14:textId="77777777" w:rsidR="002C4017" w:rsidRPr="002C4017" w:rsidRDefault="002C4017" w:rsidP="002C4017">
            <w:pPr>
              <w:pStyle w:val="TableText"/>
            </w:pPr>
            <w:r w:rsidRPr="002C4017">
              <w:t>&lt;0.001</w:t>
            </w:r>
          </w:p>
        </w:tc>
      </w:tr>
    </w:tbl>
    <w:p w14:paraId="64661834" w14:textId="77777777" w:rsidR="002C4017" w:rsidRPr="002C4017" w:rsidRDefault="002C4017" w:rsidP="002C4017">
      <w:pPr>
        <w:pStyle w:val="TableFooter"/>
      </w:pPr>
      <w:r w:rsidRPr="002C4017">
        <w:t xml:space="preserve">Abbreviations: CI, confidence interval; ESS, Epworth Sleepiness Scale, NR, not reported; SD, standard deviation; UAS, upper airway stimulation.  </w:t>
      </w:r>
    </w:p>
    <w:p w14:paraId="3BBB77EE" w14:textId="78AEA9C8" w:rsidR="002C4017" w:rsidRPr="002C4017" w:rsidRDefault="002C4017" w:rsidP="002C4017">
      <w:pPr>
        <w:pStyle w:val="TableFooter"/>
      </w:pPr>
      <w:r w:rsidRPr="002C4017">
        <w:t xml:space="preserve">Source: </w:t>
      </w:r>
      <w:r w:rsidR="003B1F86">
        <w:t>Commentary Table 12 of MSAC Application 1595.1</w:t>
      </w:r>
    </w:p>
    <w:p w14:paraId="1CCA423D" w14:textId="5C45FB07" w:rsidR="002C4017" w:rsidRDefault="005778A8" w:rsidP="005778A8">
      <w:pPr>
        <w:pStyle w:val="Heading3"/>
      </w:pPr>
      <w:r>
        <w:t>Cardiovascular outcomes</w:t>
      </w:r>
    </w:p>
    <w:p w14:paraId="03BC30CF" w14:textId="6F4822DB" w:rsidR="005778A8" w:rsidRDefault="005778A8" w:rsidP="005778A8">
      <w:r w:rsidRPr="005778A8">
        <w:t xml:space="preserve">Cardiovascular outcomes were requested in the PICO </w:t>
      </w:r>
      <w:r w:rsidR="000D1540">
        <w:t>C</w:t>
      </w:r>
      <w:r w:rsidRPr="005778A8">
        <w:t xml:space="preserve">onfirmation but </w:t>
      </w:r>
      <w:r>
        <w:t xml:space="preserve">were </w:t>
      </w:r>
      <w:r w:rsidRPr="005778A8">
        <w:t xml:space="preserve">not reported in the </w:t>
      </w:r>
      <w:r>
        <w:t>ADAR</w:t>
      </w:r>
      <w:r w:rsidRPr="005778A8">
        <w:t>. These outcomes are important because they are health outcomes whereas AHI and ODI are surrogate measures.</w:t>
      </w:r>
    </w:p>
    <w:p w14:paraId="7ACCD8CC" w14:textId="0D059E93" w:rsidR="005778A8" w:rsidRDefault="005778A8" w:rsidP="005778A8">
      <w:r>
        <w:t xml:space="preserve">The STAR trial reported change in blood pressure and found no significant difference in the randomised </w:t>
      </w:r>
      <w:r w:rsidR="000478CD">
        <w:t>controlled therapy withdrawal trial and at 12-months in the single arm study.</w:t>
      </w:r>
    </w:p>
    <w:p w14:paraId="57A4F1FB" w14:textId="1FE400BE" w:rsidR="000478CD" w:rsidRDefault="000478CD" w:rsidP="000478CD">
      <w:r>
        <w:t xml:space="preserve">The commentary identified a study </w:t>
      </w:r>
      <w:r w:rsidR="00682342">
        <w:t xml:space="preserve">that </w:t>
      </w:r>
      <w:r>
        <w:t xml:space="preserve">reports on changes in blood pressure following UAS (Walia, 2020). The study is a propensity matched cohort comparing UAS and </w:t>
      </w:r>
      <w:r w:rsidR="00E45BC8">
        <w:t>positive airway pressure (</w:t>
      </w:r>
      <w:r>
        <w:t>PAP</w:t>
      </w:r>
      <w:r w:rsidR="00E45BC8">
        <w:t>)</w:t>
      </w:r>
      <w:r>
        <w:t xml:space="preserve"> using data from the ADHERE registry for the UAS arm. The mean follow-up for the PAP group was 108 days (SD, 36), and the UAS group follow-up was 134 days (SD, 76). </w:t>
      </w:r>
    </w:p>
    <w:p w14:paraId="16D0CC15" w14:textId="388E62FF" w:rsidR="000478CD" w:rsidRDefault="000478CD" w:rsidP="000478CD">
      <w:r>
        <w:t>There was a statistically significant improvement in diastolic BP and mean arterial pressure in the PAP group but not the UAS group. Change in systolic BP was not significant for either group. Comparing the two groups, there was a statistically significant greater improvement in diastolic BP and mean arterial pressure in favour of the PAP group.</w:t>
      </w:r>
    </w:p>
    <w:p w14:paraId="7D559D32" w14:textId="703EE2C6" w:rsidR="000478CD" w:rsidRDefault="000478CD" w:rsidP="000478CD">
      <w:r>
        <w:t xml:space="preserve">PASC included cardiovascular outcomes </w:t>
      </w:r>
      <w:r w:rsidR="00173B60">
        <w:t xml:space="preserve">in the PICO </w:t>
      </w:r>
      <w:r>
        <w:t>as the applicant intended to include evidence from the CARDIOSA-12 trial</w:t>
      </w:r>
      <w:r w:rsidR="00173B60">
        <w:t>,</w:t>
      </w:r>
      <w:r>
        <w:t xml:space="preserve"> which aims to assess the impact </w:t>
      </w:r>
      <w:r w:rsidR="004B3F3D">
        <w:t>UAS</w:t>
      </w:r>
      <w:r>
        <w:t xml:space="preserve"> on blood pressure and other cardiovascular endpoints. </w:t>
      </w:r>
      <w:r w:rsidR="00B63A53">
        <w:t xml:space="preserve">This was a double-blinded, sham-controlled, randomised therapy crossover trial with 53 subjects randomised to </w:t>
      </w:r>
      <w:r w:rsidR="00CF6C35">
        <w:t>four weeks in each arm;</w:t>
      </w:r>
      <w:r w:rsidR="004D6049">
        <w:t xml:space="preserve"> “active” or “sham</w:t>
      </w:r>
      <w:r w:rsidR="00E3365A">
        <w:t>.”</w:t>
      </w:r>
      <w:r w:rsidR="00B63A53">
        <w:t xml:space="preserve"> </w:t>
      </w:r>
      <w:r>
        <w:t>The ADAR does not mention this trial</w:t>
      </w:r>
      <w:r w:rsidR="00173B60">
        <w:t>,</w:t>
      </w:r>
      <w:r>
        <w:t xml:space="preserve"> but the commentary has identified an abstract of the findings. </w:t>
      </w:r>
      <w:r w:rsidR="00CF6C35">
        <w:t>Results were also published on clinicaltrials.gov on 6th December 2022.</w:t>
      </w:r>
    </w:p>
    <w:p w14:paraId="587C94DA" w14:textId="7E0D0B98" w:rsidR="000478CD" w:rsidRDefault="000478CD" w:rsidP="000478CD">
      <w:r>
        <w:t>The abstract</w:t>
      </w:r>
      <w:r w:rsidR="003B1F86">
        <w:rPr>
          <w:rStyle w:val="FootnoteReference"/>
        </w:rPr>
        <w:footnoteReference w:id="9"/>
      </w:r>
      <w:r>
        <w:t xml:space="preserve"> reports that:</w:t>
      </w:r>
    </w:p>
    <w:p w14:paraId="3E675B9E" w14:textId="3AB5659A" w:rsidR="000478CD" w:rsidRDefault="000478CD" w:rsidP="000478CD">
      <w:pPr>
        <w:pStyle w:val="ListParagraph"/>
        <w:numPr>
          <w:ilvl w:val="0"/>
          <w:numId w:val="20"/>
        </w:numPr>
      </w:pPr>
      <w:r>
        <w:t xml:space="preserve">There was no significant difference in mean 24-hour systolic BP between “active” and “sham” UAS (122.4 mmHg [12.2] </w:t>
      </w:r>
      <w:r w:rsidR="00B95C8A">
        <w:t>vs</w:t>
      </w:r>
      <w:r>
        <w:t xml:space="preserve"> 122.4 mmHg [11.2], respectively</w:t>
      </w:r>
      <w:r w:rsidR="00C102DA">
        <w:t>)</w:t>
      </w:r>
      <w:r>
        <w:t xml:space="preserve"> </w:t>
      </w:r>
    </w:p>
    <w:p w14:paraId="1E328FDF" w14:textId="27A901A1" w:rsidR="000478CD" w:rsidRDefault="000478CD" w:rsidP="000478CD">
      <w:pPr>
        <w:pStyle w:val="ListParagraph"/>
        <w:numPr>
          <w:ilvl w:val="0"/>
          <w:numId w:val="20"/>
        </w:numPr>
      </w:pPr>
      <w:r>
        <w:lastRenderedPageBreak/>
        <w:t xml:space="preserve">There was no significant difference in mean systolic BP during sleep between “active” and “sham” UAS (115.0 mmHg [15.2] </w:t>
      </w:r>
      <w:r w:rsidR="00B95C8A">
        <w:t>vs</w:t>
      </w:r>
      <w:r>
        <w:t xml:space="preserve"> 115.2 mmHg [14.4], respectively</w:t>
      </w:r>
      <w:r w:rsidR="00C102DA">
        <w:t>)</w:t>
      </w:r>
    </w:p>
    <w:p w14:paraId="6FB4B511" w14:textId="7766536B" w:rsidR="000478CD" w:rsidRPr="005778A8" w:rsidRDefault="000478CD" w:rsidP="000478CD">
      <w:r>
        <w:t>No other results were reported in the abstract. Without a full study report</w:t>
      </w:r>
      <w:r w:rsidR="00173B60">
        <w:t>,</w:t>
      </w:r>
      <w:r>
        <w:t xml:space="preserve"> the risk of bias cannot be assessed</w:t>
      </w:r>
      <w:r w:rsidR="00173B60">
        <w:t>;</w:t>
      </w:r>
      <w:r>
        <w:t xml:space="preserve"> however</w:t>
      </w:r>
      <w:r w:rsidR="00173B60">
        <w:t>,</w:t>
      </w:r>
      <w:r>
        <w:t xml:space="preserve"> the length of the intervention was longer than the </w:t>
      </w:r>
      <w:r w:rsidR="001F097F">
        <w:t xml:space="preserve">one-week withdrawal in the </w:t>
      </w:r>
      <w:r>
        <w:t>STAR and the EFFECT study and it was not industry sponsored.</w:t>
      </w:r>
    </w:p>
    <w:p w14:paraId="213924C6" w14:textId="11D5654C" w:rsidR="00772829" w:rsidRPr="00223664" w:rsidRDefault="00772829" w:rsidP="00223664">
      <w:pPr>
        <w:tabs>
          <w:tab w:val="left" w:pos="720"/>
          <w:tab w:val="left" w:pos="1140"/>
        </w:tabs>
        <w:spacing w:before="240" w:after="120"/>
        <w:rPr>
          <w:b/>
          <w:bCs/>
        </w:rPr>
      </w:pPr>
      <w:r w:rsidRPr="00223664">
        <w:rPr>
          <w:b/>
          <w:bCs/>
        </w:rPr>
        <w:t>Clinical claim</w:t>
      </w:r>
    </w:p>
    <w:p w14:paraId="7859D1E9" w14:textId="4FE43055" w:rsidR="000478CD" w:rsidRDefault="001473EE" w:rsidP="000478CD">
      <w:bookmarkStart w:id="37" w:name="_Hlk121482540"/>
      <w:r>
        <w:t>Based on very low</w:t>
      </w:r>
      <w:r w:rsidR="001604EF">
        <w:t xml:space="preserve"> </w:t>
      </w:r>
      <w:r>
        <w:t>quality evidence,</w:t>
      </w:r>
      <w:r w:rsidR="000478CD" w:rsidRPr="000478CD">
        <w:t xml:space="preserve"> a claim</w:t>
      </w:r>
      <w:r>
        <w:t xml:space="preserve"> of superior effectiveness for</w:t>
      </w:r>
      <w:r w:rsidR="000478CD" w:rsidRPr="000478CD">
        <w:t xml:space="preserve"> UAS compared </w:t>
      </w:r>
      <w:r w:rsidR="00B57D51">
        <w:t>with</w:t>
      </w:r>
      <w:r w:rsidR="000478CD" w:rsidRPr="000478CD">
        <w:t xml:space="preserve"> no active treatment for patients with moderate to severe OSA who have failed or are unable to tolerate CPAP</w:t>
      </w:r>
      <w:r>
        <w:t xml:space="preserve"> may be supported in terms of surrogate outcomes (AHI and ODI) and </w:t>
      </w:r>
      <w:bookmarkStart w:id="38" w:name="_Hlk121479079"/>
      <w:r w:rsidR="00D74558">
        <w:t>subjective quality of life measures</w:t>
      </w:r>
      <w:r>
        <w:t>. However,</w:t>
      </w:r>
      <w:r w:rsidR="00D74558">
        <w:t xml:space="preserve"> the</w:t>
      </w:r>
      <w:r>
        <w:t xml:space="preserve"> clinical claim is not supported for cardiovascular outcomes based on blood pressure measures and</w:t>
      </w:r>
      <w:r w:rsidR="00D74558">
        <w:t xml:space="preserve"> </w:t>
      </w:r>
      <w:r>
        <w:t xml:space="preserve">there is </w:t>
      </w:r>
      <w:r w:rsidR="00D74558">
        <w:t>no evidence of superior effectiveness for long</w:t>
      </w:r>
      <w:r w:rsidR="001604EF">
        <w:t>-</w:t>
      </w:r>
      <w:r w:rsidR="00D74558">
        <w:t xml:space="preserve">term health outcomes. </w:t>
      </w:r>
      <w:bookmarkEnd w:id="38"/>
    </w:p>
    <w:bookmarkEnd w:id="37"/>
    <w:p w14:paraId="03C3FE3C" w14:textId="62D560E8" w:rsidR="000478CD" w:rsidRPr="003251C2" w:rsidRDefault="000478CD" w:rsidP="000478CD">
      <w:r w:rsidRPr="000478CD">
        <w:t xml:space="preserve">The evidence supports a claim that UAS has inferior safety compared </w:t>
      </w:r>
      <w:r w:rsidR="00DB230D">
        <w:t>with</w:t>
      </w:r>
      <w:r w:rsidRPr="000478CD">
        <w:t xml:space="preserve"> no active treatment for patients with moderate to severe OSA who have failed or are unable to tolerate CPAP</w:t>
      </w:r>
      <w:r w:rsidR="00D74558">
        <w:t xml:space="preserve">. </w:t>
      </w:r>
      <w:bookmarkStart w:id="39" w:name="_Hlk121478953"/>
      <w:r w:rsidR="00D74558">
        <w:t>This is consistent with MSAC advice for Application 1595 that the assumption is reasonable despite a lack of comparative evidence. Nevertheless,</w:t>
      </w:r>
      <w:r w:rsidRPr="000478CD">
        <w:t xml:space="preserve"> the evidence is of very low quality with insufficient follow-up for a long-term implantable device.</w:t>
      </w:r>
      <w:bookmarkEnd w:id="39"/>
    </w:p>
    <w:p w14:paraId="0D09C9E4" w14:textId="3ED1F1D6" w:rsidR="00772829" w:rsidRPr="00CE28E3" w:rsidRDefault="00C36633" w:rsidP="002A18BE">
      <w:pPr>
        <w:pStyle w:val="Heading2"/>
        <w:numPr>
          <w:ilvl w:val="0"/>
          <w:numId w:val="0"/>
        </w:numPr>
      </w:pPr>
      <w:bookmarkStart w:id="40" w:name="_Toc69491425"/>
      <w:r>
        <w:t>1</w:t>
      </w:r>
      <w:r w:rsidR="00EE4112">
        <w:t>3</w:t>
      </w:r>
      <w:r>
        <w:t>.</w:t>
      </w:r>
      <w:r>
        <w:tab/>
      </w:r>
      <w:r w:rsidR="00772829" w:rsidRPr="00CE28E3">
        <w:t>Economic evaluation</w:t>
      </w:r>
      <w:bookmarkEnd w:id="40"/>
    </w:p>
    <w:p w14:paraId="4017716C" w14:textId="2B1BE8E8" w:rsidR="00F56197" w:rsidRDefault="00F56197" w:rsidP="00F56197">
      <w:r>
        <w:t>A cost</w:t>
      </w:r>
      <w:r w:rsidR="001604EF">
        <w:t>-</w:t>
      </w:r>
      <w:r>
        <w:t xml:space="preserve">utility analysis is presented. </w:t>
      </w:r>
      <w:r w:rsidR="004A4B9B">
        <w:t>A summary of the economic analysis is provided in</w:t>
      </w:r>
      <w:r w:rsidR="00975F8B">
        <w:t xml:space="preserve"> Table 13</w:t>
      </w:r>
      <w:r w:rsidR="004A4B9B">
        <w:t>.</w:t>
      </w:r>
    </w:p>
    <w:p w14:paraId="4864D9DB" w14:textId="21D44156" w:rsidR="00F56197" w:rsidRDefault="004A4B9B" w:rsidP="00F56197">
      <w:r>
        <w:t xml:space="preserve">The economic evaluation has been updated from the previous submission in line with MSACs comments that the model in </w:t>
      </w:r>
      <w:r w:rsidR="006F0DE5">
        <w:t>A</w:t>
      </w:r>
      <w:r>
        <w:t>pplication 1595 was overly simplistic. The resubmission is based on a published model (Pietzsch; 2019</w:t>
      </w:r>
      <w:r w:rsidR="004B3F3D">
        <w:rPr>
          <w:rStyle w:val="FootnoteReference"/>
        </w:rPr>
        <w:footnoteReference w:id="10"/>
      </w:r>
      <w:r>
        <w:t>) which used changes in AHI to model cardiac outcomes. The resubmission has a lifetime time horizon</w:t>
      </w:r>
      <w:r w:rsidR="00950F5D">
        <w:t>,</w:t>
      </w:r>
      <w:r>
        <w:t xml:space="preserve"> which does not align with MSACs request for the resubmission to use a shorter time horizon</w:t>
      </w:r>
      <w:r w:rsidR="00915B87">
        <w:t xml:space="preserve"> (15 or 20 years)</w:t>
      </w:r>
      <w:r>
        <w:t>.</w:t>
      </w:r>
    </w:p>
    <w:p w14:paraId="2A059E9E" w14:textId="1F31A302" w:rsidR="00A6012B" w:rsidRPr="00A6012B" w:rsidRDefault="00F56197" w:rsidP="00A6012B">
      <w:r>
        <w:t>A</w:t>
      </w:r>
      <w:r w:rsidRPr="00F56197">
        <w:t xml:space="preserve"> Markov model is utili</w:t>
      </w:r>
      <w:r w:rsidR="00B95C8A">
        <w:t>s</w:t>
      </w:r>
      <w:r w:rsidRPr="00F56197">
        <w:t xml:space="preserve">ed to simulate disease progression. Events and outcomes </w:t>
      </w:r>
      <w:r w:rsidR="004A4B9B">
        <w:t xml:space="preserve">are modelled </w:t>
      </w:r>
      <w:r w:rsidRPr="00F56197">
        <w:t>for two patient cohorts with moderate</w:t>
      </w:r>
      <w:r w:rsidR="003D0059">
        <w:t xml:space="preserve"> </w:t>
      </w:r>
      <w:r w:rsidRPr="00F56197">
        <w:t>to</w:t>
      </w:r>
      <w:r w:rsidR="003D0059">
        <w:t xml:space="preserve"> </w:t>
      </w:r>
      <w:r w:rsidRPr="00F56197">
        <w:t xml:space="preserve">severe OSA: UAS-treated and a no active treatment </w:t>
      </w:r>
      <w:r w:rsidR="004A4B9B">
        <w:t>comparator</w:t>
      </w:r>
      <w:r w:rsidRPr="00F56197">
        <w:t>. The model projects three clinical events</w:t>
      </w:r>
      <w:r w:rsidR="00596C25">
        <w:t xml:space="preserve"> – </w:t>
      </w:r>
      <w:r w:rsidR="006F0DE5">
        <w:t>myocardial infarction</w:t>
      </w:r>
      <w:r w:rsidRPr="00F56197">
        <w:t>, stroke</w:t>
      </w:r>
      <w:r w:rsidR="00C102DA">
        <w:t xml:space="preserve"> and</w:t>
      </w:r>
      <w:r w:rsidRPr="00F56197">
        <w:t xml:space="preserve"> hypertension</w:t>
      </w:r>
      <w:r w:rsidR="00596C25">
        <w:t xml:space="preserve"> – </w:t>
      </w:r>
      <w:r w:rsidRPr="00F56197">
        <w:t>and the incidence of motor vehicle collisions. The choice of the</w:t>
      </w:r>
      <w:r w:rsidR="006C3E4E">
        <w:t xml:space="preserve"> </w:t>
      </w:r>
      <w:r w:rsidRPr="00F56197">
        <w:t>events was based on the relationships that have been documented between OSA severity and event incidence. The general structure had been previously published (Pietzsch, 2009</w:t>
      </w:r>
      <w:r w:rsidR="004B3F3D">
        <w:rPr>
          <w:rStyle w:val="FootnoteReference"/>
        </w:rPr>
        <w:footnoteReference w:id="11"/>
      </w:r>
      <w:r w:rsidRPr="00F56197">
        <w:t>; Pietzsch, 2015</w:t>
      </w:r>
      <w:r w:rsidR="004B3F3D">
        <w:rPr>
          <w:rStyle w:val="FootnoteReference"/>
        </w:rPr>
        <w:footnoteReference w:id="12"/>
      </w:r>
      <w:r w:rsidRPr="00F56197">
        <w:t xml:space="preserve">; Pietzsch, 2019). </w:t>
      </w:r>
      <w:r w:rsidR="006C3E4E">
        <w:t xml:space="preserve">The commentary notes that these are </w:t>
      </w:r>
      <w:r w:rsidR="006C3E4E" w:rsidRPr="006C3E4E">
        <w:t xml:space="preserve">applicant-funded cost-utility studies based on United States, German and UK costs. </w:t>
      </w:r>
      <w:bookmarkStart w:id="41" w:name="_Ref69725820"/>
      <w:r w:rsidR="00A6012B">
        <w:br w:type="page"/>
      </w:r>
    </w:p>
    <w:p w14:paraId="7832FEBA" w14:textId="70F960DB" w:rsidR="00C107C3" w:rsidRPr="00CE28E3" w:rsidRDefault="00C107C3" w:rsidP="00670650">
      <w:pPr>
        <w:pStyle w:val="Caption"/>
        <w:tabs>
          <w:tab w:val="left" w:pos="1134"/>
        </w:tabs>
        <w:ind w:left="1134" w:hanging="1134"/>
      </w:pPr>
      <w:r w:rsidRPr="00CE28E3">
        <w:lastRenderedPageBreak/>
        <w:t>Table</w:t>
      </w:r>
      <w:r w:rsidR="004A4FDF">
        <w:t> </w:t>
      </w:r>
      <w:r w:rsidR="00660A4F">
        <w:t>13</w:t>
      </w:r>
      <w:bookmarkEnd w:id="41"/>
      <w:r w:rsidRPr="00CE28E3">
        <w:tab/>
        <w:t xml:space="preserve">Summary of the economic evaluation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478"/>
        <w:gridCol w:w="7538"/>
      </w:tblGrid>
      <w:tr w:rsidR="005B5086" w:rsidRPr="00CE28E3" w14:paraId="3C0DF1BD" w14:textId="2726922C" w:rsidTr="005B5086">
        <w:trPr>
          <w:tblHeader/>
        </w:trPr>
        <w:tc>
          <w:tcPr>
            <w:tcW w:w="0" w:type="auto"/>
          </w:tcPr>
          <w:p w14:paraId="57632985" w14:textId="77777777" w:rsidR="005B5086" w:rsidRPr="000449D1" w:rsidRDefault="005B5086" w:rsidP="009E25CD">
            <w:pPr>
              <w:pStyle w:val="TableHeading"/>
              <w:spacing w:before="0" w:after="0"/>
              <w:rPr>
                <w:szCs w:val="20"/>
              </w:rPr>
            </w:pPr>
            <w:bookmarkStart w:id="42" w:name="Title_Table5"/>
            <w:bookmarkStart w:id="43" w:name="_Hlk68276446"/>
            <w:bookmarkEnd w:id="42"/>
            <w:r w:rsidRPr="000449D1">
              <w:rPr>
                <w:szCs w:val="20"/>
              </w:rPr>
              <w:t>Component</w:t>
            </w:r>
          </w:p>
        </w:tc>
        <w:tc>
          <w:tcPr>
            <w:tcW w:w="0" w:type="auto"/>
          </w:tcPr>
          <w:p w14:paraId="123CA837" w14:textId="77777777" w:rsidR="005B5086" w:rsidRPr="000449D1" w:rsidRDefault="005B5086" w:rsidP="009E25CD">
            <w:pPr>
              <w:pStyle w:val="TableHeading"/>
              <w:spacing w:before="0" w:after="0"/>
              <w:rPr>
                <w:szCs w:val="20"/>
              </w:rPr>
            </w:pPr>
            <w:r w:rsidRPr="000449D1">
              <w:rPr>
                <w:szCs w:val="20"/>
              </w:rPr>
              <w:t>Description</w:t>
            </w:r>
          </w:p>
        </w:tc>
      </w:tr>
      <w:tr w:rsidR="005B5086" w:rsidRPr="000449D1" w14:paraId="31113E27" w14:textId="755DAA21" w:rsidTr="005B5086">
        <w:tc>
          <w:tcPr>
            <w:tcW w:w="0" w:type="auto"/>
          </w:tcPr>
          <w:p w14:paraId="7DFFBC7E" w14:textId="77777777" w:rsidR="005B5086" w:rsidRPr="000449D1" w:rsidRDefault="005B5086" w:rsidP="009E25CD">
            <w:pPr>
              <w:pStyle w:val="TableText"/>
              <w:keepNext/>
              <w:spacing w:before="0" w:after="0"/>
              <w:rPr>
                <w:szCs w:val="20"/>
              </w:rPr>
            </w:pPr>
            <w:r w:rsidRPr="000449D1">
              <w:rPr>
                <w:szCs w:val="20"/>
              </w:rPr>
              <w:t>Perspective</w:t>
            </w:r>
          </w:p>
        </w:tc>
        <w:tc>
          <w:tcPr>
            <w:tcW w:w="0" w:type="auto"/>
          </w:tcPr>
          <w:p w14:paraId="56EF2FFF" w14:textId="0694820E" w:rsidR="005B5086" w:rsidRPr="000449D1" w:rsidRDefault="005B5086" w:rsidP="009E25CD">
            <w:pPr>
              <w:pStyle w:val="TableText"/>
              <w:keepNext/>
              <w:spacing w:before="0" w:after="0"/>
              <w:rPr>
                <w:szCs w:val="20"/>
              </w:rPr>
            </w:pPr>
            <w:r w:rsidRPr="000449D1">
              <w:rPr>
                <w:szCs w:val="20"/>
              </w:rPr>
              <w:t>Health care system perspective</w:t>
            </w:r>
          </w:p>
        </w:tc>
      </w:tr>
      <w:tr w:rsidR="005B5086" w:rsidRPr="000449D1" w14:paraId="3AE7C53E" w14:textId="3AF3CBC2" w:rsidTr="005B5086">
        <w:trPr>
          <w:tblHeader/>
        </w:trPr>
        <w:tc>
          <w:tcPr>
            <w:tcW w:w="0" w:type="auto"/>
          </w:tcPr>
          <w:p w14:paraId="7D8A22F3" w14:textId="77777777" w:rsidR="005B5086" w:rsidRPr="000449D1" w:rsidRDefault="005B5086" w:rsidP="009E25CD">
            <w:pPr>
              <w:pStyle w:val="TableText"/>
              <w:keepNext/>
              <w:spacing w:before="0" w:after="0"/>
              <w:rPr>
                <w:szCs w:val="20"/>
              </w:rPr>
            </w:pPr>
            <w:r w:rsidRPr="000449D1">
              <w:rPr>
                <w:szCs w:val="20"/>
              </w:rPr>
              <w:t>Population</w:t>
            </w:r>
          </w:p>
        </w:tc>
        <w:tc>
          <w:tcPr>
            <w:tcW w:w="0" w:type="auto"/>
          </w:tcPr>
          <w:p w14:paraId="376BBABD" w14:textId="6CEDDBED" w:rsidR="005B5086" w:rsidRPr="000449D1" w:rsidRDefault="005B5086" w:rsidP="009E25CD">
            <w:pPr>
              <w:pStyle w:val="TableText"/>
              <w:keepNext/>
              <w:spacing w:before="0" w:after="0"/>
              <w:rPr>
                <w:szCs w:val="20"/>
              </w:rPr>
            </w:pPr>
            <w:r>
              <w:t>P</w:t>
            </w:r>
            <w:r w:rsidRPr="0051349D">
              <w:t xml:space="preserve">atients </w:t>
            </w:r>
            <w:r w:rsidRPr="0051349D">
              <w:rPr>
                <w:rFonts w:cs="Calibri"/>
              </w:rPr>
              <w:t>≥</w:t>
            </w:r>
            <w:r w:rsidRPr="0051349D">
              <w:t xml:space="preserve"> 18 years of age, with a BMI </w:t>
            </w:r>
            <w:r w:rsidRPr="0051349D">
              <w:rPr>
                <w:u w:val="single"/>
              </w:rPr>
              <w:t>&lt;</w:t>
            </w:r>
            <w:r w:rsidRPr="0051349D">
              <w:t>32 kg/m</w:t>
            </w:r>
            <w:r w:rsidRPr="0051349D">
              <w:rPr>
                <w:vertAlign w:val="superscript"/>
              </w:rPr>
              <w:t>2</w:t>
            </w:r>
            <w:r w:rsidRPr="0051349D">
              <w:t xml:space="preserve">, confirmed moderate to severe </w:t>
            </w:r>
            <w:r w:rsidR="00FB05EB">
              <w:t>OSA</w:t>
            </w:r>
            <w:r w:rsidRPr="0051349D">
              <w:t xml:space="preserve"> (equivalent to having an </w:t>
            </w:r>
            <w:r w:rsidR="00FB05EB">
              <w:t>AHI</w:t>
            </w:r>
            <w:r w:rsidRPr="0051349D">
              <w:t xml:space="preserve"> score ≥ 15 and ≤ 65), and confirmed to either have unsuccessful or intolerable </w:t>
            </w:r>
            <w:r w:rsidR="00FB05EB">
              <w:t>CPAP</w:t>
            </w:r>
            <w:r w:rsidRPr="0051349D">
              <w:t xml:space="preserve"> therapy or </w:t>
            </w:r>
            <w:r w:rsidR="00FB05EB">
              <w:t>BIPAP</w:t>
            </w:r>
            <w:r w:rsidRPr="0051349D">
              <w:t xml:space="preserve"> therapy.  Patients with a complete concentric collapse of the soft palate, detected through a </w:t>
            </w:r>
            <w:r w:rsidR="00E3365A">
              <w:t>DISE</w:t>
            </w:r>
            <w:r w:rsidRPr="0051349D">
              <w:t>, are not eligible for UAS treatment. Patients are receiving no active treatment, have trial</w:t>
            </w:r>
            <w:r w:rsidR="00B95C8A">
              <w:t>led</w:t>
            </w:r>
            <w:r w:rsidRPr="0051349D">
              <w:t xml:space="preserve"> or are not suitable for all other treatment options.</w:t>
            </w:r>
          </w:p>
        </w:tc>
      </w:tr>
      <w:tr w:rsidR="005B5086" w:rsidRPr="000449D1" w14:paraId="35DC265A" w14:textId="6A15DD17" w:rsidTr="005B5086">
        <w:tc>
          <w:tcPr>
            <w:tcW w:w="0" w:type="auto"/>
          </w:tcPr>
          <w:p w14:paraId="6886BA88" w14:textId="77777777" w:rsidR="005B5086" w:rsidRPr="000449D1" w:rsidRDefault="005B5086" w:rsidP="009E25CD">
            <w:pPr>
              <w:pStyle w:val="TableText"/>
              <w:keepNext/>
              <w:spacing w:before="0" w:after="0"/>
              <w:rPr>
                <w:szCs w:val="20"/>
              </w:rPr>
            </w:pPr>
            <w:r w:rsidRPr="000449D1">
              <w:rPr>
                <w:szCs w:val="20"/>
              </w:rPr>
              <w:t>Prior testing</w:t>
            </w:r>
          </w:p>
        </w:tc>
        <w:tc>
          <w:tcPr>
            <w:tcW w:w="0" w:type="auto"/>
          </w:tcPr>
          <w:p w14:paraId="13AED989" w14:textId="22AF54E1" w:rsidR="005B5086" w:rsidRPr="000449D1" w:rsidRDefault="005B5086" w:rsidP="009E25CD">
            <w:pPr>
              <w:pStyle w:val="TableText"/>
              <w:keepNext/>
              <w:spacing w:before="0" w:after="0"/>
              <w:rPr>
                <w:szCs w:val="20"/>
              </w:rPr>
            </w:pPr>
            <w:r w:rsidRPr="0051349D">
              <w:rPr>
                <w:rFonts w:eastAsia="Calibri" w:cs="Courier New"/>
              </w:rPr>
              <w:t>D</w:t>
            </w:r>
            <w:r w:rsidR="00FB05EB">
              <w:rPr>
                <w:rFonts w:eastAsia="Calibri" w:cs="Courier New"/>
              </w:rPr>
              <w:t>ISE</w:t>
            </w:r>
            <w:r w:rsidRPr="0051349D">
              <w:rPr>
                <w:rFonts w:eastAsia="Calibri" w:cs="Courier New"/>
              </w:rPr>
              <w:t>, PSG</w:t>
            </w:r>
            <w:r w:rsidR="00C102DA">
              <w:rPr>
                <w:rFonts w:eastAsia="Calibri" w:cs="Courier New"/>
              </w:rPr>
              <w:t xml:space="preserve"> and</w:t>
            </w:r>
            <w:r w:rsidRPr="0051349D">
              <w:rPr>
                <w:rFonts w:eastAsia="Calibri" w:cs="Courier New"/>
              </w:rPr>
              <w:t xml:space="preserve"> multi</w:t>
            </w:r>
            <w:r w:rsidR="00B95C8A">
              <w:rPr>
                <w:rFonts w:eastAsia="Calibri" w:cs="Courier New"/>
              </w:rPr>
              <w:t>disciplinary</w:t>
            </w:r>
            <w:r w:rsidRPr="0051349D">
              <w:rPr>
                <w:rFonts w:eastAsia="Calibri" w:cs="Courier New"/>
              </w:rPr>
              <w:t xml:space="preserve"> meeting</w:t>
            </w:r>
          </w:p>
        </w:tc>
      </w:tr>
      <w:tr w:rsidR="005B5086" w:rsidRPr="000449D1" w14:paraId="750830A5" w14:textId="33978BE8" w:rsidTr="005B5086">
        <w:tc>
          <w:tcPr>
            <w:tcW w:w="0" w:type="auto"/>
          </w:tcPr>
          <w:p w14:paraId="59B80C68" w14:textId="77777777" w:rsidR="005B5086" w:rsidRPr="000449D1" w:rsidRDefault="005B5086" w:rsidP="009E25CD">
            <w:pPr>
              <w:pStyle w:val="TableText"/>
              <w:keepNext/>
              <w:spacing w:before="0" w:after="0"/>
              <w:rPr>
                <w:szCs w:val="20"/>
              </w:rPr>
            </w:pPr>
            <w:r w:rsidRPr="000449D1">
              <w:rPr>
                <w:szCs w:val="20"/>
              </w:rPr>
              <w:t>Comparator</w:t>
            </w:r>
          </w:p>
        </w:tc>
        <w:tc>
          <w:tcPr>
            <w:tcW w:w="0" w:type="auto"/>
          </w:tcPr>
          <w:p w14:paraId="04C0D717" w14:textId="1DE437BD" w:rsidR="005B5086" w:rsidRPr="000449D1" w:rsidRDefault="005B5086" w:rsidP="009E25CD">
            <w:pPr>
              <w:pStyle w:val="TableText"/>
              <w:keepNext/>
              <w:spacing w:before="0" w:after="0"/>
              <w:rPr>
                <w:szCs w:val="20"/>
              </w:rPr>
            </w:pPr>
            <w:r>
              <w:t>A</w:t>
            </w:r>
            <w:r w:rsidRPr="0051349D">
              <w:t xml:space="preserve"> patient cohort that does not receive the UAS intervention, but instead receives usual care in the last line of therapy, i.e., no active treatment.</w:t>
            </w:r>
          </w:p>
        </w:tc>
      </w:tr>
      <w:tr w:rsidR="005B5086" w:rsidRPr="000449D1" w14:paraId="352DFBB5" w14:textId="23E331A7" w:rsidTr="005B5086">
        <w:tc>
          <w:tcPr>
            <w:tcW w:w="0" w:type="auto"/>
          </w:tcPr>
          <w:p w14:paraId="563F18FC" w14:textId="77777777" w:rsidR="005B5086" w:rsidRPr="000449D1" w:rsidRDefault="005B5086" w:rsidP="009E25CD">
            <w:pPr>
              <w:pStyle w:val="TableText"/>
              <w:keepNext/>
              <w:spacing w:before="0" w:after="0"/>
              <w:rPr>
                <w:szCs w:val="20"/>
              </w:rPr>
            </w:pPr>
            <w:r w:rsidRPr="000449D1">
              <w:rPr>
                <w:szCs w:val="20"/>
              </w:rPr>
              <w:t>Type(s) of analysis</w:t>
            </w:r>
          </w:p>
        </w:tc>
        <w:tc>
          <w:tcPr>
            <w:tcW w:w="0" w:type="auto"/>
          </w:tcPr>
          <w:p w14:paraId="4DAE5CE1" w14:textId="76AA3340" w:rsidR="005B5086" w:rsidRPr="000449D1" w:rsidRDefault="005B5086" w:rsidP="009E25CD">
            <w:pPr>
              <w:pStyle w:val="TableText"/>
              <w:keepNext/>
              <w:spacing w:before="0" w:after="0"/>
              <w:rPr>
                <w:szCs w:val="20"/>
              </w:rPr>
            </w:pPr>
            <w:r w:rsidRPr="0051349D">
              <w:t>Cost-utility analysis.</w:t>
            </w:r>
          </w:p>
        </w:tc>
      </w:tr>
      <w:tr w:rsidR="005B5086" w:rsidRPr="000449D1" w14:paraId="6CB6FA6B" w14:textId="0CFF196E" w:rsidTr="005B5086">
        <w:tc>
          <w:tcPr>
            <w:tcW w:w="0" w:type="auto"/>
          </w:tcPr>
          <w:p w14:paraId="401E0BAC" w14:textId="77777777" w:rsidR="005B5086" w:rsidRPr="000449D1" w:rsidRDefault="005B5086" w:rsidP="009E25CD">
            <w:pPr>
              <w:pStyle w:val="TableText"/>
              <w:keepNext/>
              <w:spacing w:before="0" w:after="0"/>
              <w:rPr>
                <w:szCs w:val="20"/>
              </w:rPr>
            </w:pPr>
            <w:r w:rsidRPr="000449D1">
              <w:rPr>
                <w:szCs w:val="20"/>
              </w:rPr>
              <w:t>Outcomes</w:t>
            </w:r>
          </w:p>
        </w:tc>
        <w:tc>
          <w:tcPr>
            <w:tcW w:w="0" w:type="auto"/>
          </w:tcPr>
          <w:p w14:paraId="5BB292CF" w14:textId="1BC4BB90" w:rsidR="005B5086" w:rsidRPr="000449D1" w:rsidRDefault="005B5086" w:rsidP="009E25CD">
            <w:pPr>
              <w:pStyle w:val="TableText"/>
              <w:keepNext/>
              <w:spacing w:before="0" w:after="0"/>
              <w:rPr>
                <w:szCs w:val="20"/>
              </w:rPr>
            </w:pPr>
            <w:r w:rsidRPr="006C3E4E">
              <w:rPr>
                <w:szCs w:val="20"/>
              </w:rPr>
              <w:t>QALYs</w:t>
            </w:r>
            <w:r>
              <w:rPr>
                <w:szCs w:val="20"/>
              </w:rPr>
              <w:t xml:space="preserve"> and costs</w:t>
            </w:r>
            <w:r w:rsidRPr="006C3E4E">
              <w:rPr>
                <w:szCs w:val="20"/>
              </w:rPr>
              <w:t>.</w:t>
            </w:r>
          </w:p>
        </w:tc>
      </w:tr>
      <w:tr w:rsidR="005B5086" w:rsidRPr="000449D1" w14:paraId="643C0794" w14:textId="7BA4E085" w:rsidTr="005B5086">
        <w:tc>
          <w:tcPr>
            <w:tcW w:w="0" w:type="auto"/>
          </w:tcPr>
          <w:p w14:paraId="42B1D84D" w14:textId="77777777" w:rsidR="005B5086" w:rsidRPr="000449D1" w:rsidRDefault="005B5086" w:rsidP="009E25CD">
            <w:pPr>
              <w:pStyle w:val="TableText"/>
              <w:keepNext/>
              <w:spacing w:before="0" w:after="0"/>
              <w:rPr>
                <w:szCs w:val="20"/>
              </w:rPr>
            </w:pPr>
            <w:r w:rsidRPr="000449D1">
              <w:rPr>
                <w:szCs w:val="20"/>
              </w:rPr>
              <w:t>Time horizon</w:t>
            </w:r>
          </w:p>
        </w:tc>
        <w:tc>
          <w:tcPr>
            <w:tcW w:w="0" w:type="auto"/>
          </w:tcPr>
          <w:p w14:paraId="6A94C396" w14:textId="0704A87E" w:rsidR="005B5086" w:rsidRDefault="005B5086" w:rsidP="009E25CD">
            <w:pPr>
              <w:pStyle w:val="TableText"/>
              <w:keepNext/>
              <w:spacing w:before="0" w:after="0"/>
              <w:rPr>
                <w:szCs w:val="20"/>
              </w:rPr>
            </w:pPr>
            <w:r w:rsidRPr="00737DE8">
              <w:rPr>
                <w:szCs w:val="20"/>
              </w:rPr>
              <w:t>A life</w:t>
            </w:r>
            <w:r w:rsidR="00B95C8A">
              <w:rPr>
                <w:szCs w:val="20"/>
              </w:rPr>
              <w:t>time</w:t>
            </w:r>
            <w:r w:rsidRPr="00737DE8">
              <w:rPr>
                <w:szCs w:val="20"/>
              </w:rPr>
              <w:t xml:space="preserve"> time horizon is utili</w:t>
            </w:r>
            <w:r w:rsidR="00205220">
              <w:rPr>
                <w:szCs w:val="20"/>
              </w:rPr>
              <w:t>s</w:t>
            </w:r>
            <w:r w:rsidRPr="00737DE8">
              <w:rPr>
                <w:szCs w:val="20"/>
              </w:rPr>
              <w:t>ed.</w:t>
            </w:r>
          </w:p>
          <w:p w14:paraId="3BC3DE82" w14:textId="79F04C1E" w:rsidR="005B5086" w:rsidRPr="000449D1" w:rsidRDefault="005B5086" w:rsidP="009E25CD">
            <w:pPr>
              <w:pStyle w:val="TableText"/>
              <w:keepNext/>
              <w:spacing w:before="0" w:after="0"/>
              <w:rPr>
                <w:szCs w:val="20"/>
              </w:rPr>
            </w:pPr>
            <w:r w:rsidRPr="00737DE8">
              <w:rPr>
                <w:szCs w:val="20"/>
              </w:rPr>
              <w:t>The PSD for ADAR 1595 suggested a shorter time horizon of 15 years was appropriate for this intervention</w:t>
            </w:r>
            <w:r>
              <w:rPr>
                <w:szCs w:val="20"/>
              </w:rPr>
              <w:t>.</w:t>
            </w:r>
          </w:p>
        </w:tc>
      </w:tr>
      <w:tr w:rsidR="005B5086" w:rsidRPr="000449D1" w14:paraId="0949BCCC" w14:textId="4456977C" w:rsidTr="005B5086">
        <w:tc>
          <w:tcPr>
            <w:tcW w:w="0" w:type="auto"/>
          </w:tcPr>
          <w:p w14:paraId="6DFB973F" w14:textId="77777777" w:rsidR="005B5086" w:rsidRPr="000449D1" w:rsidRDefault="005B5086" w:rsidP="009E25CD">
            <w:pPr>
              <w:pStyle w:val="TableText"/>
              <w:keepNext/>
              <w:spacing w:before="0" w:after="0"/>
              <w:rPr>
                <w:szCs w:val="20"/>
              </w:rPr>
            </w:pPr>
            <w:r w:rsidRPr="000449D1">
              <w:rPr>
                <w:szCs w:val="20"/>
              </w:rPr>
              <w:t>Computational method</w:t>
            </w:r>
          </w:p>
        </w:tc>
        <w:tc>
          <w:tcPr>
            <w:tcW w:w="0" w:type="auto"/>
          </w:tcPr>
          <w:p w14:paraId="67E64DF6" w14:textId="6FE43E15" w:rsidR="005B5086" w:rsidRPr="000449D1" w:rsidRDefault="005B5086" w:rsidP="009E25CD">
            <w:pPr>
              <w:pStyle w:val="TableText"/>
              <w:keepNext/>
              <w:spacing w:before="0" w:after="0"/>
              <w:rPr>
                <w:szCs w:val="20"/>
              </w:rPr>
            </w:pPr>
            <w:r w:rsidRPr="00737DE8">
              <w:rPr>
                <w:szCs w:val="20"/>
              </w:rPr>
              <w:t>Markov model</w:t>
            </w:r>
          </w:p>
        </w:tc>
      </w:tr>
      <w:tr w:rsidR="005B5086" w:rsidRPr="000449D1" w14:paraId="780AB6C6" w14:textId="5D51678D" w:rsidTr="005B5086">
        <w:tc>
          <w:tcPr>
            <w:tcW w:w="0" w:type="auto"/>
          </w:tcPr>
          <w:p w14:paraId="6CDC9D32" w14:textId="77777777" w:rsidR="005B5086" w:rsidRPr="000449D1" w:rsidRDefault="005B5086" w:rsidP="009E25CD">
            <w:pPr>
              <w:pStyle w:val="TableText"/>
              <w:keepNext/>
              <w:spacing w:before="0" w:after="0"/>
              <w:rPr>
                <w:szCs w:val="20"/>
              </w:rPr>
            </w:pPr>
            <w:r w:rsidRPr="000449D1">
              <w:rPr>
                <w:szCs w:val="20"/>
              </w:rPr>
              <w:t>Generation of the base case</w:t>
            </w:r>
          </w:p>
        </w:tc>
        <w:tc>
          <w:tcPr>
            <w:tcW w:w="0" w:type="auto"/>
          </w:tcPr>
          <w:p w14:paraId="7057301C" w14:textId="77777777" w:rsidR="005B5086" w:rsidRDefault="005B5086" w:rsidP="009E25CD">
            <w:pPr>
              <w:pStyle w:val="TableText"/>
              <w:keepNext/>
              <w:spacing w:before="0" w:after="0"/>
              <w:rPr>
                <w:szCs w:val="20"/>
              </w:rPr>
            </w:pPr>
            <w:r w:rsidRPr="00AE1E00">
              <w:rPr>
                <w:szCs w:val="20"/>
              </w:rPr>
              <w:t xml:space="preserve">The base case assumes trial-observed effectiveness is maintained in patients remaining on UAS therapy. </w:t>
            </w:r>
          </w:p>
          <w:p w14:paraId="13856BB2" w14:textId="77777777" w:rsidR="005B5086" w:rsidRPr="00AE1E00" w:rsidRDefault="005B5086" w:rsidP="009E25CD">
            <w:pPr>
              <w:pStyle w:val="TableText"/>
              <w:spacing w:before="0" w:after="0"/>
            </w:pPr>
            <w:r w:rsidRPr="00AE1E00">
              <w:t>The base case transforms change in AHI into health outcomes.</w:t>
            </w:r>
          </w:p>
          <w:p w14:paraId="6687851E" w14:textId="6F586C07" w:rsidR="005B5086" w:rsidRPr="00AE1E00" w:rsidRDefault="005B5086" w:rsidP="009E25CD">
            <w:pPr>
              <w:pStyle w:val="TableText"/>
              <w:spacing w:before="0" w:after="0"/>
            </w:pPr>
            <w:r w:rsidRPr="00AE1E00">
              <w:t>The base case transforms change in ESS and FOS</w:t>
            </w:r>
            <w:r>
              <w:t>Q</w:t>
            </w:r>
            <w:r w:rsidRPr="00AE1E00">
              <w:t xml:space="preserve"> into utilities.</w:t>
            </w:r>
          </w:p>
        </w:tc>
      </w:tr>
      <w:tr w:rsidR="005B5086" w:rsidRPr="000449D1" w14:paraId="03A3B794" w14:textId="3A58F192" w:rsidTr="005B5086">
        <w:tc>
          <w:tcPr>
            <w:tcW w:w="0" w:type="auto"/>
          </w:tcPr>
          <w:p w14:paraId="4E12B2D4" w14:textId="77777777" w:rsidR="005B5086" w:rsidRPr="000449D1" w:rsidRDefault="005B5086" w:rsidP="009E25CD">
            <w:pPr>
              <w:pStyle w:val="TableText"/>
              <w:keepNext/>
              <w:spacing w:before="0" w:after="0"/>
              <w:rPr>
                <w:szCs w:val="20"/>
              </w:rPr>
            </w:pPr>
            <w:r w:rsidRPr="000449D1">
              <w:rPr>
                <w:szCs w:val="20"/>
              </w:rPr>
              <w:t>Health states</w:t>
            </w:r>
          </w:p>
        </w:tc>
        <w:tc>
          <w:tcPr>
            <w:tcW w:w="0" w:type="auto"/>
          </w:tcPr>
          <w:p w14:paraId="3E63543F" w14:textId="3A07A58E" w:rsidR="005B5086" w:rsidRPr="0070509B" w:rsidRDefault="005B5086" w:rsidP="009E25CD">
            <w:pPr>
              <w:pStyle w:val="TableText"/>
              <w:spacing w:before="0" w:after="0"/>
            </w:pPr>
            <w:r w:rsidRPr="0070509B">
              <w:t>Well, Hypertensive, Post-MI, Post-stroke</w:t>
            </w:r>
            <w:r w:rsidR="00C102DA">
              <w:t xml:space="preserve"> and</w:t>
            </w:r>
            <w:r w:rsidRPr="0070509B">
              <w:t xml:space="preserve"> Death</w:t>
            </w:r>
          </w:p>
        </w:tc>
      </w:tr>
      <w:tr w:rsidR="005B5086" w:rsidRPr="000449D1" w14:paraId="0212C695" w14:textId="63F9F923" w:rsidTr="005B5086">
        <w:tc>
          <w:tcPr>
            <w:tcW w:w="0" w:type="auto"/>
          </w:tcPr>
          <w:p w14:paraId="3AC64F34" w14:textId="77777777" w:rsidR="005B5086" w:rsidRPr="000449D1" w:rsidRDefault="005B5086" w:rsidP="009E25CD">
            <w:pPr>
              <w:pStyle w:val="TableText"/>
              <w:keepNext/>
              <w:spacing w:before="0" w:after="0"/>
              <w:rPr>
                <w:szCs w:val="20"/>
              </w:rPr>
            </w:pPr>
            <w:r w:rsidRPr="000449D1">
              <w:rPr>
                <w:szCs w:val="20"/>
              </w:rPr>
              <w:t>Cycle length</w:t>
            </w:r>
          </w:p>
        </w:tc>
        <w:tc>
          <w:tcPr>
            <w:tcW w:w="0" w:type="auto"/>
          </w:tcPr>
          <w:p w14:paraId="64D95EB2" w14:textId="0D5533A5" w:rsidR="005B5086" w:rsidRPr="000449D1" w:rsidRDefault="005B5086" w:rsidP="009E25CD">
            <w:pPr>
              <w:pStyle w:val="TableText"/>
              <w:keepNext/>
              <w:spacing w:before="0" w:after="0"/>
              <w:rPr>
                <w:szCs w:val="20"/>
              </w:rPr>
            </w:pPr>
            <w:r>
              <w:rPr>
                <w:szCs w:val="20"/>
              </w:rPr>
              <w:t>One month</w:t>
            </w:r>
          </w:p>
        </w:tc>
      </w:tr>
      <w:tr w:rsidR="005B5086" w:rsidRPr="000449D1" w14:paraId="2976544F" w14:textId="76387CDF" w:rsidTr="005B5086">
        <w:tc>
          <w:tcPr>
            <w:tcW w:w="0" w:type="auto"/>
          </w:tcPr>
          <w:p w14:paraId="2558F588" w14:textId="77777777" w:rsidR="005B5086" w:rsidRPr="000449D1" w:rsidRDefault="005B5086" w:rsidP="009E25CD">
            <w:pPr>
              <w:pStyle w:val="TableText"/>
              <w:keepNext/>
              <w:spacing w:before="0" w:after="0"/>
              <w:rPr>
                <w:szCs w:val="20"/>
              </w:rPr>
            </w:pPr>
            <w:r w:rsidRPr="000449D1">
              <w:rPr>
                <w:szCs w:val="20"/>
              </w:rPr>
              <w:t>Transition probabilities</w:t>
            </w:r>
          </w:p>
        </w:tc>
        <w:tc>
          <w:tcPr>
            <w:tcW w:w="0" w:type="auto"/>
          </w:tcPr>
          <w:p w14:paraId="016CFB05" w14:textId="4DD46FBA" w:rsidR="005B5086" w:rsidRPr="0070509B" w:rsidRDefault="005B5086" w:rsidP="009E25CD">
            <w:pPr>
              <w:pStyle w:val="TableText"/>
              <w:spacing w:before="0" w:after="0"/>
            </w:pPr>
            <w:r w:rsidRPr="0070509B">
              <w:t>Transition probabilities were computed utili</w:t>
            </w:r>
            <w:r w:rsidR="00C976A2">
              <w:t>s</w:t>
            </w:r>
            <w:r w:rsidRPr="0070509B">
              <w:t xml:space="preserve">ing univariate and multivariate risk equations, sourced from cohort studies and published data. </w:t>
            </w:r>
          </w:p>
          <w:p w14:paraId="4CE6AE94" w14:textId="2B56D782" w:rsidR="005B5086" w:rsidRPr="0070509B" w:rsidRDefault="005B5086" w:rsidP="009E25CD">
            <w:pPr>
              <w:pStyle w:val="TableText"/>
              <w:spacing w:before="0" w:after="0"/>
            </w:pPr>
            <w:r w:rsidRPr="0070509B">
              <w:t>Incidence of hypertension, MI, and stroke was based on Australia-specific data in the general population, and subsequently adjusted for OSA using hazard ratios from published literature for moderate</w:t>
            </w:r>
            <w:r w:rsidR="003D0059">
              <w:t xml:space="preserve"> </w:t>
            </w:r>
            <w:r w:rsidRPr="0070509B">
              <w:t>to</w:t>
            </w:r>
            <w:r w:rsidR="003D0059">
              <w:t xml:space="preserve"> </w:t>
            </w:r>
            <w:r w:rsidRPr="0070509B">
              <w:t xml:space="preserve">severe OSA. The incidence of MVC was derived from New South Wales Department of Transportation data and adjusted for OSA using a hazard ratio from published literature. </w:t>
            </w:r>
          </w:p>
          <w:p w14:paraId="4363A169" w14:textId="65B51779" w:rsidR="005B5086" w:rsidRDefault="005B5086" w:rsidP="009E25CD">
            <w:pPr>
              <w:pStyle w:val="TableText"/>
              <w:spacing w:before="0" w:after="0"/>
            </w:pPr>
            <w:r w:rsidRPr="0070509B">
              <w:t>Subjects receiving no active treatment (including those that discontinued UAS therapy) were assumed to maintain the OSA-related elevated event risks for the remainder of their lifetime.</w:t>
            </w:r>
            <w:r>
              <w:t xml:space="preserve"> The commentary notes that this assumption implies the absence of alternative treatment approaches emerging over a lifetime horizon. It also implies a continued tolerance of UAS and persistence of treatment effect beyond the available data.</w:t>
            </w:r>
          </w:p>
          <w:p w14:paraId="0EA8B86F" w14:textId="77777777" w:rsidR="005B5086" w:rsidRDefault="005B5086" w:rsidP="009E25CD">
            <w:pPr>
              <w:pStyle w:val="TableText"/>
              <w:spacing w:before="0" w:after="0"/>
            </w:pPr>
            <w:r>
              <w:t xml:space="preserve">For patients on UAS therapy, a reduction of the OSA-related excess event risk was calculated for MI and stroke based on a regression analysis associating AHI and cardiovascular outcomes. The commentary notes that this approach assesses the mean AHI, with non-responders not addressed separately. </w:t>
            </w:r>
          </w:p>
          <w:p w14:paraId="56FF47C5" w14:textId="11E08452" w:rsidR="005B5086" w:rsidRDefault="005B5086" w:rsidP="009E25CD">
            <w:pPr>
              <w:pStyle w:val="TableText"/>
              <w:spacing w:before="0" w:after="0"/>
            </w:pPr>
            <w:r>
              <w:t>Elevated MVC risk was assumed to be reversed on UAS therapy, based on study</w:t>
            </w:r>
            <w:r w:rsidR="00B95C8A">
              <w:t xml:space="preserve"> </w:t>
            </w:r>
            <w:r>
              <w:t xml:space="preserve">reported ESS improvement that documented elimination of daytime sleepiness. The commentary considers more conversative data showing a risk reduction, but not elimination, is more current and is more appropriate to apply. </w:t>
            </w:r>
          </w:p>
          <w:p w14:paraId="1A7124CA" w14:textId="77777777" w:rsidR="005B5086" w:rsidRDefault="005B5086" w:rsidP="009E25CD">
            <w:pPr>
              <w:pStyle w:val="TableText"/>
              <w:spacing w:before="0" w:after="0"/>
            </w:pPr>
            <w:r>
              <w:t>Mortality was based on Australian lifetables, adjusted through condition/event-specific hazard ratios. Post-event survival was obtained from published literature.</w:t>
            </w:r>
          </w:p>
          <w:p w14:paraId="43B247B9" w14:textId="7324AE9D" w:rsidR="005B5086" w:rsidRPr="0070509B" w:rsidRDefault="005B5086" w:rsidP="009E25CD">
            <w:pPr>
              <w:pStyle w:val="TableText"/>
              <w:spacing w:before="0" w:after="0"/>
            </w:pPr>
            <w:r>
              <w:t xml:space="preserve">The assumptions underlying the base case scenario were further explored through sensitivity analyses. </w:t>
            </w:r>
          </w:p>
        </w:tc>
      </w:tr>
      <w:tr w:rsidR="005B5086" w:rsidRPr="000449D1" w14:paraId="0619B77B" w14:textId="65D0CC25" w:rsidTr="005B5086">
        <w:tc>
          <w:tcPr>
            <w:tcW w:w="0" w:type="auto"/>
          </w:tcPr>
          <w:p w14:paraId="3B8D14D8" w14:textId="77777777" w:rsidR="005B5086" w:rsidRPr="000449D1" w:rsidRDefault="005B5086" w:rsidP="009E25CD">
            <w:pPr>
              <w:pStyle w:val="TableText"/>
              <w:keepNext/>
              <w:spacing w:before="0" w:after="0"/>
              <w:rPr>
                <w:szCs w:val="20"/>
              </w:rPr>
            </w:pPr>
            <w:r w:rsidRPr="000449D1">
              <w:rPr>
                <w:szCs w:val="20"/>
              </w:rPr>
              <w:t>Discount rate</w:t>
            </w:r>
          </w:p>
        </w:tc>
        <w:tc>
          <w:tcPr>
            <w:tcW w:w="0" w:type="auto"/>
          </w:tcPr>
          <w:p w14:paraId="2E657A83" w14:textId="7C279A52" w:rsidR="005B5086" w:rsidRPr="000449D1" w:rsidRDefault="005B5086" w:rsidP="009E25CD">
            <w:pPr>
              <w:pStyle w:val="TableText"/>
              <w:keepNext/>
              <w:spacing w:before="0" w:after="0"/>
              <w:rPr>
                <w:szCs w:val="20"/>
              </w:rPr>
            </w:pPr>
            <w:r w:rsidRPr="000449D1">
              <w:rPr>
                <w:szCs w:val="20"/>
              </w:rPr>
              <w:t>5% for both costs and outcomes</w:t>
            </w:r>
          </w:p>
        </w:tc>
      </w:tr>
      <w:tr w:rsidR="005B5086" w:rsidRPr="000449D1" w14:paraId="507E6356" w14:textId="7BFC4306" w:rsidTr="005B5086">
        <w:tc>
          <w:tcPr>
            <w:tcW w:w="0" w:type="auto"/>
          </w:tcPr>
          <w:p w14:paraId="23A08C87" w14:textId="77777777" w:rsidR="005B5086" w:rsidRPr="000449D1" w:rsidRDefault="005B5086" w:rsidP="009E25CD">
            <w:pPr>
              <w:pStyle w:val="TableText"/>
              <w:keepNext/>
              <w:spacing w:before="0" w:after="0"/>
              <w:rPr>
                <w:szCs w:val="20"/>
              </w:rPr>
            </w:pPr>
            <w:r w:rsidRPr="000449D1">
              <w:rPr>
                <w:szCs w:val="20"/>
              </w:rPr>
              <w:t>Software</w:t>
            </w:r>
          </w:p>
        </w:tc>
        <w:tc>
          <w:tcPr>
            <w:tcW w:w="0" w:type="auto"/>
          </w:tcPr>
          <w:p w14:paraId="613BDC46" w14:textId="2E9BD2FD" w:rsidR="005B5086" w:rsidRPr="000449D1" w:rsidRDefault="005B5086" w:rsidP="009E25CD">
            <w:pPr>
              <w:pStyle w:val="TableText"/>
              <w:keepNext/>
              <w:spacing w:before="0" w:after="0"/>
              <w:rPr>
                <w:szCs w:val="20"/>
              </w:rPr>
            </w:pPr>
            <w:r w:rsidRPr="0070509B">
              <w:rPr>
                <w:szCs w:val="20"/>
              </w:rPr>
              <w:t>The analysis was conducted in TreeAge Pro, with MS Excel utili</w:t>
            </w:r>
            <w:r w:rsidR="00B95C8A">
              <w:rPr>
                <w:szCs w:val="20"/>
              </w:rPr>
              <w:t>s</w:t>
            </w:r>
            <w:r w:rsidRPr="0070509B">
              <w:rPr>
                <w:szCs w:val="20"/>
              </w:rPr>
              <w:t>ed to support data aggregation and the organi</w:t>
            </w:r>
            <w:r w:rsidR="00B95C8A">
              <w:rPr>
                <w:szCs w:val="20"/>
              </w:rPr>
              <w:t>s</w:t>
            </w:r>
            <w:r w:rsidRPr="0070509B">
              <w:rPr>
                <w:szCs w:val="20"/>
              </w:rPr>
              <w:t>ation of model inputs. Statistical analyses were performed in JMP Pro (SAS Institute).</w:t>
            </w:r>
          </w:p>
        </w:tc>
      </w:tr>
    </w:tbl>
    <w:p w14:paraId="77EB1C22" w14:textId="3EE753C3" w:rsidR="0037184A" w:rsidRDefault="0037184A" w:rsidP="00915B87">
      <w:pPr>
        <w:pStyle w:val="TableFigureFooter"/>
        <w:spacing w:after="0"/>
      </w:pPr>
      <w:bookmarkStart w:id="44" w:name="_Hlk68276459"/>
      <w:bookmarkEnd w:id="43"/>
      <w:r w:rsidRPr="0037184A">
        <w:t>AHI=Apnoea Hypopnea Index; AR DRG = Australian Refined Diagnosis-Related Group</w:t>
      </w:r>
      <w:r>
        <w:t>;</w:t>
      </w:r>
      <w:r w:rsidRPr="0037184A">
        <w:t xml:space="preserve"> BIPAP= bi-level positive airway pressure; CPAP= Continuous Positive airway pressure; DISE= drug-induced sleep endoscopy</w:t>
      </w:r>
      <w:r>
        <w:t xml:space="preserve">; </w:t>
      </w:r>
      <w:r w:rsidRPr="0037184A">
        <w:t>ESS= Epworth Sleepiness Scale; FOSQ= Functional Outcomes of Sleep Questionnaire; ICER= Incremental cost-effectiveness ratio; MBS = Medicare Benefits Schedule</w:t>
      </w:r>
      <w:r>
        <w:t>;</w:t>
      </w:r>
      <w:r w:rsidRPr="0037184A">
        <w:t xml:space="preserve"> MI=myocardial infarction;</w:t>
      </w:r>
      <w:r w:rsidR="006F0DE5">
        <w:t xml:space="preserve"> MVC = motor vehicle collisions;</w:t>
      </w:r>
      <w:r w:rsidRPr="0037184A">
        <w:t xml:space="preserve"> OSA=Obstructive Sleep Apnoea; ODI= Oxygen Desaturation Index; </w:t>
      </w:r>
      <w:r w:rsidR="00E3365A">
        <w:t xml:space="preserve">PSD = public summary document; </w:t>
      </w:r>
      <w:r w:rsidRPr="0037184A">
        <w:t>PSG = polysomnography</w:t>
      </w:r>
      <w:r>
        <w:t>;</w:t>
      </w:r>
      <w:r w:rsidRPr="0037184A">
        <w:t xml:space="preserve"> QALY=Quality-adjusted life year</w:t>
      </w:r>
      <w:r>
        <w:t xml:space="preserve">; </w:t>
      </w:r>
      <w:r w:rsidRPr="0037184A">
        <w:t>UAS=Upper Airway Simulation</w:t>
      </w:r>
      <w:r>
        <w:t>.</w:t>
      </w:r>
    </w:p>
    <w:p w14:paraId="4E37B74E" w14:textId="497A11B9" w:rsidR="00915B87" w:rsidRPr="0037184A" w:rsidRDefault="00915B87" w:rsidP="0037184A">
      <w:pPr>
        <w:pStyle w:val="TableFigureFooter"/>
      </w:pPr>
      <w:r>
        <w:t>Source: Table 22 of MSAC Application 1595.1 adapted for the Commentary executive summary</w:t>
      </w:r>
    </w:p>
    <w:bookmarkEnd w:id="44"/>
    <w:p w14:paraId="375D8932" w14:textId="77777777" w:rsidR="00736182" w:rsidRDefault="001B239B" w:rsidP="001B239B">
      <w:r>
        <w:lastRenderedPageBreak/>
        <w:t>The</w:t>
      </w:r>
      <w:r w:rsidR="00736182">
        <w:t xml:space="preserve"> ADAR did not present a stepped economic analysis</w:t>
      </w:r>
      <w:r>
        <w:t xml:space="preserve">. </w:t>
      </w:r>
    </w:p>
    <w:p w14:paraId="753550E3" w14:textId="136AEB77" w:rsidR="001B239B" w:rsidRDefault="001B239B" w:rsidP="001B239B">
      <w:r>
        <w:t>The commentary notes that the cost of the device ($30,480) is lower than that used in Application 1595 (</w:t>
      </w:r>
      <w:r w:rsidRPr="0051349D">
        <w:t>$36,600</w:t>
      </w:r>
      <w:r>
        <w:t>)</w:t>
      </w:r>
      <w:r w:rsidR="00736182">
        <w:t xml:space="preserve"> as requested by MSAC for a resubmission</w:t>
      </w:r>
      <w:r w:rsidRPr="001B239B">
        <w:t xml:space="preserve">. </w:t>
      </w:r>
      <w:r w:rsidR="00736182">
        <w:t>However, a</w:t>
      </w:r>
      <w:r w:rsidRPr="001B239B">
        <w:t xml:space="preserve"> vagal </w:t>
      </w:r>
      <w:r w:rsidR="00736182">
        <w:t>neuro</w:t>
      </w:r>
      <w:r w:rsidRPr="001B239B">
        <w:t>stimulator (PL Billing Code</w:t>
      </w:r>
      <w:r>
        <w:t xml:space="preserve"> </w:t>
      </w:r>
      <w:r w:rsidRPr="001B239B">
        <w:t>item SA174) is listed at $11,435 (</w:t>
      </w:r>
      <w:r w:rsidR="00EF0BCD">
        <w:t>PL</w:t>
      </w:r>
      <w:r w:rsidRPr="001B239B">
        <w:t>, Part A, November 2022). The MBS schedule fees were based on those for vagal stimulation, so it is worth considering if the price point chosen for the UAS device is appropriate.</w:t>
      </w:r>
      <w:r>
        <w:t xml:space="preserve"> </w:t>
      </w:r>
    </w:p>
    <w:p w14:paraId="266B21EB" w14:textId="7BBFAF4D" w:rsidR="001B239B" w:rsidRDefault="001B239B" w:rsidP="001B239B">
      <w:r>
        <w:t xml:space="preserve">The ADAR did not use the 100% MBS fees as requested by MSAC Guidelines. </w:t>
      </w:r>
    </w:p>
    <w:p w14:paraId="61C1A739" w14:textId="36B74801" w:rsidR="00794E9D" w:rsidRPr="003E06DD" w:rsidRDefault="00736182" w:rsidP="003E06DD">
      <w:r>
        <w:t xml:space="preserve">The base case presented in the ADAR (lifetime time horizon) is presented in </w:t>
      </w:r>
      <w:r w:rsidR="00F23D38">
        <w:t xml:space="preserve">Table </w:t>
      </w:r>
      <w:r w:rsidR="00660A4F">
        <w:t>14</w:t>
      </w:r>
      <w:r>
        <w:t xml:space="preserve">. The ADAR presented </w:t>
      </w:r>
      <w:r w:rsidR="003E06DD">
        <w:t xml:space="preserve">an additional analysis with a 10-year time horizon with the base </w:t>
      </w:r>
      <w:r w:rsidR="004A7691">
        <w:t>case;</w:t>
      </w:r>
      <w:r w:rsidR="003E06DD">
        <w:t xml:space="preserve"> </w:t>
      </w:r>
      <w:r w:rsidR="00915B87">
        <w:t>however,</w:t>
      </w:r>
      <w:r w:rsidR="003E06DD">
        <w:t xml:space="preserve"> the commentary prefers a 15-year time horizon as the base case as it accounts for an initial battery replacement (every 11 years) and is consistent with MSACs requests for the resubmission.</w:t>
      </w:r>
      <w:r w:rsidR="00794E9D" w:rsidRPr="00794E9D">
        <w:rPr>
          <w:rFonts w:ascii="Arial Narrow" w:eastAsia="Calibri" w:hAnsi="Arial Narrow" w:cs="Times New Roman"/>
          <w:b/>
          <w:sz w:val="20"/>
        </w:rPr>
        <w:tab/>
      </w:r>
    </w:p>
    <w:p w14:paraId="76DF1B25" w14:textId="56B87448" w:rsidR="00794E9D" w:rsidRDefault="00794E9D" w:rsidP="00794E9D">
      <w:pPr>
        <w:pStyle w:val="Caption"/>
      </w:pPr>
      <w:bookmarkStart w:id="45" w:name="_Ref121381162"/>
      <w:r>
        <w:t>Table</w:t>
      </w:r>
      <w:r w:rsidR="00660A4F">
        <w:t>14</w:t>
      </w:r>
      <w:bookmarkEnd w:id="45"/>
      <w:r>
        <w:tab/>
      </w:r>
      <w:r w:rsidRPr="00794E9D">
        <w:t>Health Outcomes and Incremental Cost-Effectiveness Results</w:t>
      </w:r>
    </w:p>
    <w:tbl>
      <w:tblPr>
        <w:tblStyle w:val="TableGrid"/>
        <w:tblW w:w="9134" w:type="dxa"/>
        <w:tblInd w:w="108" w:type="dxa"/>
        <w:tblLayout w:type="fixed"/>
        <w:tblLook w:val="04A0" w:firstRow="1" w:lastRow="0" w:firstColumn="1" w:lastColumn="0" w:noHBand="0" w:noVBand="1"/>
        <w:tblCaption w:val="Health Outcomes and Incremental Cost-Effectiveness Results"/>
        <w:tblDescription w:val="Presents and applicants and the commentaries base case cost effectiveness results"/>
      </w:tblPr>
      <w:tblGrid>
        <w:gridCol w:w="1982"/>
        <w:gridCol w:w="1430"/>
        <w:gridCol w:w="1430"/>
        <w:gridCol w:w="1431"/>
        <w:gridCol w:w="1430"/>
        <w:gridCol w:w="1431"/>
      </w:tblGrid>
      <w:tr w:rsidR="00794E9D" w:rsidRPr="00794E9D" w14:paraId="122E8695" w14:textId="77777777" w:rsidTr="00794E9D">
        <w:tc>
          <w:tcPr>
            <w:tcW w:w="1982" w:type="dxa"/>
            <w:shd w:val="clear" w:color="auto" w:fill="auto"/>
          </w:tcPr>
          <w:p w14:paraId="5D392BA5" w14:textId="77777777" w:rsidR="00794E9D" w:rsidRPr="00794E9D" w:rsidRDefault="00794E9D" w:rsidP="00794E9D">
            <w:pPr>
              <w:pStyle w:val="TableHeading0"/>
            </w:pPr>
            <w:r w:rsidRPr="00794E9D">
              <w:t>Lifetime</w:t>
            </w:r>
          </w:p>
        </w:tc>
        <w:tc>
          <w:tcPr>
            <w:tcW w:w="1430" w:type="dxa"/>
            <w:shd w:val="clear" w:color="auto" w:fill="auto"/>
          </w:tcPr>
          <w:p w14:paraId="754C2F08" w14:textId="77777777" w:rsidR="00794E9D" w:rsidRPr="00794E9D" w:rsidRDefault="00794E9D" w:rsidP="00794E9D">
            <w:pPr>
              <w:pStyle w:val="TableHeading0"/>
            </w:pPr>
            <w:r w:rsidRPr="00794E9D">
              <w:t>Cost ($) Discounted</w:t>
            </w:r>
          </w:p>
        </w:tc>
        <w:tc>
          <w:tcPr>
            <w:tcW w:w="1430" w:type="dxa"/>
            <w:shd w:val="clear" w:color="auto" w:fill="auto"/>
          </w:tcPr>
          <w:p w14:paraId="06B53ACC" w14:textId="77777777" w:rsidR="00794E9D" w:rsidRPr="00794E9D" w:rsidRDefault="00794E9D" w:rsidP="00794E9D">
            <w:pPr>
              <w:pStyle w:val="TableHeading0"/>
            </w:pPr>
            <w:r w:rsidRPr="00794E9D">
              <w:t>Incremental Cost (AUD)</w:t>
            </w:r>
          </w:p>
        </w:tc>
        <w:tc>
          <w:tcPr>
            <w:tcW w:w="1431" w:type="dxa"/>
            <w:shd w:val="clear" w:color="auto" w:fill="auto"/>
          </w:tcPr>
          <w:p w14:paraId="719D655F" w14:textId="77777777" w:rsidR="00794E9D" w:rsidRPr="00794E9D" w:rsidRDefault="00794E9D" w:rsidP="00794E9D">
            <w:pPr>
              <w:pStyle w:val="TableHeading0"/>
            </w:pPr>
            <w:r w:rsidRPr="00794E9D">
              <w:t>Effectiveness (QALY), Discounted</w:t>
            </w:r>
          </w:p>
        </w:tc>
        <w:tc>
          <w:tcPr>
            <w:tcW w:w="1430" w:type="dxa"/>
            <w:shd w:val="clear" w:color="auto" w:fill="auto"/>
          </w:tcPr>
          <w:p w14:paraId="3E46CF5E" w14:textId="77777777" w:rsidR="00794E9D" w:rsidRPr="00794E9D" w:rsidRDefault="00794E9D" w:rsidP="00794E9D">
            <w:pPr>
              <w:pStyle w:val="TableHeading0"/>
            </w:pPr>
            <w:r w:rsidRPr="00794E9D">
              <w:t>Incremental QALY</w:t>
            </w:r>
          </w:p>
        </w:tc>
        <w:tc>
          <w:tcPr>
            <w:tcW w:w="1431" w:type="dxa"/>
            <w:shd w:val="clear" w:color="auto" w:fill="auto"/>
          </w:tcPr>
          <w:p w14:paraId="3D8E2BAE" w14:textId="77777777" w:rsidR="00794E9D" w:rsidRPr="00794E9D" w:rsidRDefault="00794E9D" w:rsidP="00794E9D">
            <w:pPr>
              <w:pStyle w:val="TableHeading0"/>
            </w:pPr>
            <w:r w:rsidRPr="00794E9D">
              <w:t>ICER ($/QALY), Discounted</w:t>
            </w:r>
          </w:p>
        </w:tc>
      </w:tr>
      <w:tr w:rsidR="00794E9D" w:rsidRPr="00794E9D" w14:paraId="69015E15" w14:textId="77777777" w:rsidTr="00794E9D">
        <w:tc>
          <w:tcPr>
            <w:tcW w:w="1982" w:type="dxa"/>
            <w:shd w:val="clear" w:color="auto" w:fill="auto"/>
          </w:tcPr>
          <w:p w14:paraId="1DEDC9D6" w14:textId="77777777" w:rsidR="00794E9D" w:rsidRPr="00794E9D" w:rsidRDefault="00794E9D" w:rsidP="00794E9D">
            <w:pPr>
              <w:pStyle w:val="TableText"/>
              <w:rPr>
                <w:rFonts w:eastAsia="Times New Roman" w:cs="Tahoma"/>
                <w:szCs w:val="20"/>
                <w:lang w:eastAsia="en-AU"/>
              </w:rPr>
            </w:pPr>
            <w:r w:rsidRPr="00794E9D">
              <w:rPr>
                <w:rFonts w:eastAsia="Times New Roman" w:cs="Tahoma"/>
                <w:szCs w:val="20"/>
                <w:lang w:eastAsia="en-AU"/>
              </w:rPr>
              <w:t>No Active Treatment</w:t>
            </w:r>
          </w:p>
        </w:tc>
        <w:tc>
          <w:tcPr>
            <w:tcW w:w="1430" w:type="dxa"/>
            <w:shd w:val="clear" w:color="auto" w:fill="auto"/>
          </w:tcPr>
          <w:p w14:paraId="4664EA10" w14:textId="77777777" w:rsidR="00794E9D" w:rsidRPr="001473EE" w:rsidRDefault="00794E9D" w:rsidP="001473EE">
            <w:pPr>
              <w:pStyle w:val="TableText"/>
              <w:jc w:val="center"/>
            </w:pPr>
            <w:r w:rsidRPr="001473EE">
              <w:t>$31,042</w:t>
            </w:r>
          </w:p>
        </w:tc>
        <w:tc>
          <w:tcPr>
            <w:tcW w:w="1430" w:type="dxa"/>
            <w:shd w:val="clear" w:color="auto" w:fill="auto"/>
          </w:tcPr>
          <w:p w14:paraId="2874410E" w14:textId="77777777" w:rsidR="00794E9D" w:rsidRPr="001473EE" w:rsidRDefault="00794E9D" w:rsidP="001473EE">
            <w:pPr>
              <w:pStyle w:val="TableText"/>
              <w:jc w:val="center"/>
            </w:pPr>
          </w:p>
        </w:tc>
        <w:tc>
          <w:tcPr>
            <w:tcW w:w="1431" w:type="dxa"/>
            <w:shd w:val="clear" w:color="auto" w:fill="auto"/>
          </w:tcPr>
          <w:p w14:paraId="0EF07661" w14:textId="77777777" w:rsidR="00794E9D" w:rsidRPr="001473EE" w:rsidRDefault="00794E9D" w:rsidP="001473EE">
            <w:pPr>
              <w:pStyle w:val="TableText"/>
              <w:jc w:val="center"/>
            </w:pPr>
            <w:r w:rsidRPr="001473EE">
              <w:t>8.59</w:t>
            </w:r>
          </w:p>
        </w:tc>
        <w:tc>
          <w:tcPr>
            <w:tcW w:w="1430" w:type="dxa"/>
            <w:shd w:val="clear" w:color="auto" w:fill="auto"/>
          </w:tcPr>
          <w:p w14:paraId="39FA14DF" w14:textId="77777777" w:rsidR="00794E9D" w:rsidRPr="001473EE" w:rsidRDefault="00794E9D" w:rsidP="001473EE">
            <w:pPr>
              <w:pStyle w:val="TableText"/>
              <w:jc w:val="center"/>
            </w:pPr>
          </w:p>
        </w:tc>
        <w:tc>
          <w:tcPr>
            <w:tcW w:w="1431" w:type="dxa"/>
            <w:shd w:val="clear" w:color="auto" w:fill="auto"/>
          </w:tcPr>
          <w:p w14:paraId="49FF7A3D" w14:textId="77777777" w:rsidR="00794E9D" w:rsidRPr="001473EE" w:rsidRDefault="00794E9D" w:rsidP="001473EE">
            <w:pPr>
              <w:pStyle w:val="TableText"/>
              <w:jc w:val="center"/>
            </w:pPr>
          </w:p>
        </w:tc>
      </w:tr>
      <w:tr w:rsidR="00794E9D" w:rsidRPr="00794E9D" w14:paraId="3CF6E512" w14:textId="77777777" w:rsidTr="00794E9D">
        <w:tc>
          <w:tcPr>
            <w:tcW w:w="1982" w:type="dxa"/>
            <w:shd w:val="clear" w:color="auto" w:fill="auto"/>
          </w:tcPr>
          <w:p w14:paraId="7483495B" w14:textId="77777777" w:rsidR="00794E9D" w:rsidRPr="00794E9D" w:rsidRDefault="00794E9D" w:rsidP="00794E9D">
            <w:pPr>
              <w:pStyle w:val="TableText"/>
              <w:rPr>
                <w:rFonts w:eastAsia="Times New Roman" w:cs="Tahoma"/>
                <w:szCs w:val="20"/>
                <w:lang w:eastAsia="en-AU"/>
              </w:rPr>
            </w:pPr>
            <w:r w:rsidRPr="00794E9D">
              <w:rPr>
                <w:rFonts w:eastAsia="Times New Roman" w:cs="Tahoma"/>
                <w:szCs w:val="20"/>
                <w:lang w:eastAsia="en-AU"/>
              </w:rPr>
              <w:t>UAS Treatment</w:t>
            </w:r>
          </w:p>
        </w:tc>
        <w:tc>
          <w:tcPr>
            <w:tcW w:w="1430" w:type="dxa"/>
            <w:shd w:val="clear" w:color="auto" w:fill="auto"/>
          </w:tcPr>
          <w:p w14:paraId="45BEB1CC" w14:textId="77777777" w:rsidR="00794E9D" w:rsidRPr="001473EE" w:rsidRDefault="00794E9D" w:rsidP="001473EE">
            <w:pPr>
              <w:pStyle w:val="TableText"/>
              <w:jc w:val="center"/>
            </w:pPr>
            <w:r w:rsidRPr="001473EE">
              <w:t>$86,749</w:t>
            </w:r>
          </w:p>
        </w:tc>
        <w:tc>
          <w:tcPr>
            <w:tcW w:w="1430" w:type="dxa"/>
            <w:shd w:val="clear" w:color="auto" w:fill="auto"/>
          </w:tcPr>
          <w:p w14:paraId="03B5712E" w14:textId="77777777" w:rsidR="00794E9D" w:rsidRPr="001473EE" w:rsidRDefault="00794E9D" w:rsidP="001473EE">
            <w:pPr>
              <w:pStyle w:val="TableText"/>
              <w:jc w:val="center"/>
            </w:pPr>
            <w:r w:rsidRPr="001473EE">
              <w:t>$55,707</w:t>
            </w:r>
          </w:p>
        </w:tc>
        <w:tc>
          <w:tcPr>
            <w:tcW w:w="1431" w:type="dxa"/>
            <w:shd w:val="clear" w:color="auto" w:fill="auto"/>
          </w:tcPr>
          <w:p w14:paraId="62C3AF60" w14:textId="77777777" w:rsidR="00794E9D" w:rsidRPr="001473EE" w:rsidRDefault="00794E9D" w:rsidP="001473EE">
            <w:pPr>
              <w:pStyle w:val="TableText"/>
              <w:jc w:val="center"/>
            </w:pPr>
            <w:r w:rsidRPr="001473EE">
              <w:t>9.76</w:t>
            </w:r>
          </w:p>
        </w:tc>
        <w:tc>
          <w:tcPr>
            <w:tcW w:w="1430" w:type="dxa"/>
            <w:shd w:val="clear" w:color="auto" w:fill="auto"/>
          </w:tcPr>
          <w:p w14:paraId="082BE286" w14:textId="77777777" w:rsidR="00794E9D" w:rsidRPr="001473EE" w:rsidRDefault="00794E9D" w:rsidP="001473EE">
            <w:pPr>
              <w:pStyle w:val="TableText"/>
              <w:jc w:val="center"/>
            </w:pPr>
            <w:r w:rsidRPr="001473EE">
              <w:t>1.17</w:t>
            </w:r>
          </w:p>
        </w:tc>
        <w:tc>
          <w:tcPr>
            <w:tcW w:w="1431" w:type="dxa"/>
            <w:shd w:val="clear" w:color="auto" w:fill="auto"/>
          </w:tcPr>
          <w:p w14:paraId="4427911D" w14:textId="42B280A8" w:rsidR="00794E9D" w:rsidRPr="001473EE" w:rsidRDefault="009A7B1F" w:rsidP="001473EE">
            <w:pPr>
              <w:pStyle w:val="TableText"/>
              <w:jc w:val="center"/>
            </w:pPr>
            <w:r w:rsidRPr="001473EE">
              <w:t>$</w:t>
            </w:r>
            <w:r w:rsidR="00794E9D" w:rsidRPr="001473EE">
              <w:t>47,662</w:t>
            </w:r>
          </w:p>
        </w:tc>
      </w:tr>
      <w:tr w:rsidR="00794E9D" w:rsidRPr="00794E9D" w14:paraId="500CE054" w14:textId="77777777" w:rsidTr="00794E9D">
        <w:tc>
          <w:tcPr>
            <w:tcW w:w="1982" w:type="dxa"/>
            <w:shd w:val="clear" w:color="auto" w:fill="auto"/>
          </w:tcPr>
          <w:p w14:paraId="66BEADB7" w14:textId="3BB1EF50" w:rsidR="00794E9D" w:rsidRPr="00794E9D" w:rsidRDefault="00794E9D" w:rsidP="00794E9D">
            <w:pPr>
              <w:pStyle w:val="TableHeading0"/>
              <w:rPr>
                <w:lang w:eastAsia="en-AU"/>
              </w:rPr>
            </w:pPr>
            <w:r w:rsidRPr="00794E9D">
              <w:rPr>
                <w:lang w:eastAsia="en-AU"/>
              </w:rPr>
              <w:t>1</w:t>
            </w:r>
            <w:r>
              <w:rPr>
                <w:lang w:eastAsia="en-AU"/>
              </w:rPr>
              <w:t>5</w:t>
            </w:r>
            <w:r w:rsidRPr="00794E9D">
              <w:rPr>
                <w:lang w:eastAsia="en-AU"/>
              </w:rPr>
              <w:t>-Years</w:t>
            </w:r>
          </w:p>
        </w:tc>
        <w:tc>
          <w:tcPr>
            <w:tcW w:w="1430" w:type="dxa"/>
            <w:shd w:val="clear" w:color="auto" w:fill="auto"/>
          </w:tcPr>
          <w:p w14:paraId="3C1B3EF1" w14:textId="77777777" w:rsidR="00794E9D" w:rsidRPr="001473EE" w:rsidRDefault="00794E9D" w:rsidP="001473EE">
            <w:pPr>
              <w:pStyle w:val="TableText"/>
              <w:jc w:val="center"/>
            </w:pPr>
          </w:p>
        </w:tc>
        <w:tc>
          <w:tcPr>
            <w:tcW w:w="1430" w:type="dxa"/>
            <w:shd w:val="clear" w:color="auto" w:fill="auto"/>
          </w:tcPr>
          <w:p w14:paraId="7C4A67E2" w14:textId="77777777" w:rsidR="00794E9D" w:rsidRPr="001473EE" w:rsidRDefault="00794E9D" w:rsidP="001473EE">
            <w:pPr>
              <w:pStyle w:val="TableText"/>
              <w:jc w:val="center"/>
            </w:pPr>
          </w:p>
        </w:tc>
        <w:tc>
          <w:tcPr>
            <w:tcW w:w="1431" w:type="dxa"/>
            <w:shd w:val="clear" w:color="auto" w:fill="auto"/>
          </w:tcPr>
          <w:p w14:paraId="4D803C1E" w14:textId="77777777" w:rsidR="00794E9D" w:rsidRPr="001473EE" w:rsidRDefault="00794E9D" w:rsidP="001473EE">
            <w:pPr>
              <w:pStyle w:val="TableText"/>
              <w:jc w:val="center"/>
            </w:pPr>
          </w:p>
        </w:tc>
        <w:tc>
          <w:tcPr>
            <w:tcW w:w="1430" w:type="dxa"/>
            <w:shd w:val="clear" w:color="auto" w:fill="auto"/>
          </w:tcPr>
          <w:p w14:paraId="4B8F1DD8" w14:textId="77777777" w:rsidR="00794E9D" w:rsidRPr="001473EE" w:rsidRDefault="00794E9D" w:rsidP="001473EE">
            <w:pPr>
              <w:pStyle w:val="TableText"/>
              <w:jc w:val="center"/>
            </w:pPr>
          </w:p>
        </w:tc>
        <w:tc>
          <w:tcPr>
            <w:tcW w:w="1431" w:type="dxa"/>
            <w:shd w:val="clear" w:color="auto" w:fill="auto"/>
          </w:tcPr>
          <w:p w14:paraId="4C78C43B" w14:textId="77777777" w:rsidR="00794E9D" w:rsidRPr="001473EE" w:rsidRDefault="00794E9D" w:rsidP="001473EE">
            <w:pPr>
              <w:pStyle w:val="TableText"/>
              <w:jc w:val="center"/>
            </w:pPr>
          </w:p>
        </w:tc>
      </w:tr>
      <w:tr w:rsidR="00794E9D" w:rsidRPr="00794E9D" w14:paraId="64B50139" w14:textId="77777777" w:rsidTr="00794E9D">
        <w:tc>
          <w:tcPr>
            <w:tcW w:w="1982" w:type="dxa"/>
            <w:shd w:val="clear" w:color="auto" w:fill="auto"/>
          </w:tcPr>
          <w:p w14:paraId="1906C8A4" w14:textId="77777777" w:rsidR="00794E9D" w:rsidRPr="00794E9D" w:rsidRDefault="00794E9D" w:rsidP="00794E9D">
            <w:pPr>
              <w:pStyle w:val="TableText"/>
              <w:rPr>
                <w:rFonts w:eastAsia="Times New Roman" w:cs="Tahoma"/>
                <w:szCs w:val="20"/>
                <w:lang w:eastAsia="en-AU"/>
              </w:rPr>
            </w:pPr>
            <w:bookmarkStart w:id="46" w:name="_Hlk121479914"/>
            <w:r w:rsidRPr="00794E9D">
              <w:rPr>
                <w:rFonts w:eastAsia="Times New Roman" w:cs="Tahoma"/>
                <w:szCs w:val="20"/>
                <w:lang w:eastAsia="en-AU"/>
              </w:rPr>
              <w:t>No Active Treatment</w:t>
            </w:r>
          </w:p>
        </w:tc>
        <w:tc>
          <w:tcPr>
            <w:tcW w:w="1430" w:type="dxa"/>
            <w:shd w:val="clear" w:color="auto" w:fill="auto"/>
          </w:tcPr>
          <w:p w14:paraId="344BF20D" w14:textId="7AEBFDBA" w:rsidR="00794E9D" w:rsidRPr="001473EE" w:rsidRDefault="008503F7" w:rsidP="001473EE">
            <w:pPr>
              <w:pStyle w:val="TableText"/>
              <w:jc w:val="center"/>
            </w:pPr>
            <w:r w:rsidRPr="001473EE">
              <w:t>$16,</w:t>
            </w:r>
            <w:r w:rsidR="001E1D14" w:rsidRPr="001473EE">
              <w:t>142</w:t>
            </w:r>
          </w:p>
        </w:tc>
        <w:tc>
          <w:tcPr>
            <w:tcW w:w="1430" w:type="dxa"/>
            <w:shd w:val="clear" w:color="auto" w:fill="auto"/>
          </w:tcPr>
          <w:p w14:paraId="6091B895" w14:textId="77777777" w:rsidR="00794E9D" w:rsidRPr="001473EE" w:rsidRDefault="00794E9D" w:rsidP="001473EE">
            <w:pPr>
              <w:pStyle w:val="TableText"/>
              <w:jc w:val="center"/>
            </w:pPr>
          </w:p>
        </w:tc>
        <w:tc>
          <w:tcPr>
            <w:tcW w:w="1431" w:type="dxa"/>
            <w:shd w:val="clear" w:color="auto" w:fill="auto"/>
          </w:tcPr>
          <w:p w14:paraId="5163207E" w14:textId="5F12734E" w:rsidR="00794E9D" w:rsidRPr="001473EE" w:rsidRDefault="008503F7" w:rsidP="001473EE">
            <w:pPr>
              <w:pStyle w:val="TableText"/>
              <w:jc w:val="center"/>
            </w:pPr>
            <w:r w:rsidRPr="001473EE">
              <w:t>6.4</w:t>
            </w:r>
            <w:r w:rsidR="001E1D14" w:rsidRPr="001473EE">
              <w:t>1</w:t>
            </w:r>
          </w:p>
        </w:tc>
        <w:tc>
          <w:tcPr>
            <w:tcW w:w="1430" w:type="dxa"/>
            <w:shd w:val="clear" w:color="auto" w:fill="auto"/>
          </w:tcPr>
          <w:p w14:paraId="62E25EFC" w14:textId="77777777" w:rsidR="00794E9D" w:rsidRPr="001473EE" w:rsidRDefault="00794E9D" w:rsidP="001473EE">
            <w:pPr>
              <w:pStyle w:val="TableText"/>
              <w:jc w:val="center"/>
            </w:pPr>
          </w:p>
        </w:tc>
        <w:tc>
          <w:tcPr>
            <w:tcW w:w="1431" w:type="dxa"/>
            <w:shd w:val="clear" w:color="auto" w:fill="auto"/>
          </w:tcPr>
          <w:p w14:paraId="2162C1E4" w14:textId="77777777" w:rsidR="00794E9D" w:rsidRPr="001473EE" w:rsidRDefault="00794E9D" w:rsidP="001473EE">
            <w:pPr>
              <w:pStyle w:val="TableText"/>
              <w:jc w:val="center"/>
            </w:pPr>
          </w:p>
        </w:tc>
      </w:tr>
      <w:tr w:rsidR="00794E9D" w:rsidRPr="00794E9D" w14:paraId="21B90DAA" w14:textId="77777777" w:rsidTr="00794E9D">
        <w:tc>
          <w:tcPr>
            <w:tcW w:w="1982" w:type="dxa"/>
            <w:shd w:val="clear" w:color="auto" w:fill="auto"/>
          </w:tcPr>
          <w:p w14:paraId="0EFCC6CB" w14:textId="77777777" w:rsidR="00794E9D" w:rsidRPr="00794E9D" w:rsidRDefault="00794E9D" w:rsidP="00794E9D">
            <w:pPr>
              <w:pStyle w:val="TableText"/>
              <w:rPr>
                <w:rFonts w:eastAsia="Times New Roman" w:cs="Tahoma"/>
                <w:szCs w:val="20"/>
                <w:lang w:eastAsia="en-AU"/>
              </w:rPr>
            </w:pPr>
            <w:r w:rsidRPr="00794E9D">
              <w:rPr>
                <w:rFonts w:eastAsia="Times New Roman" w:cs="Tahoma"/>
                <w:szCs w:val="20"/>
                <w:lang w:eastAsia="en-AU"/>
              </w:rPr>
              <w:t>UAS Treatment</w:t>
            </w:r>
          </w:p>
        </w:tc>
        <w:tc>
          <w:tcPr>
            <w:tcW w:w="1430" w:type="dxa"/>
            <w:shd w:val="clear" w:color="auto" w:fill="auto"/>
          </w:tcPr>
          <w:p w14:paraId="1263207B" w14:textId="48EECC0A" w:rsidR="00794E9D" w:rsidRPr="001473EE" w:rsidRDefault="008503F7" w:rsidP="001473EE">
            <w:pPr>
              <w:pStyle w:val="TableText"/>
              <w:jc w:val="center"/>
            </w:pPr>
            <w:r w:rsidRPr="001473EE">
              <w:t>$65,</w:t>
            </w:r>
            <w:r w:rsidR="001E1D14" w:rsidRPr="001473EE">
              <w:t>196</w:t>
            </w:r>
          </w:p>
        </w:tc>
        <w:tc>
          <w:tcPr>
            <w:tcW w:w="1430" w:type="dxa"/>
            <w:shd w:val="clear" w:color="auto" w:fill="auto"/>
          </w:tcPr>
          <w:p w14:paraId="7FE1D423" w14:textId="197D71C3" w:rsidR="008503F7" w:rsidRPr="001473EE" w:rsidRDefault="008503F7" w:rsidP="001473EE">
            <w:pPr>
              <w:pStyle w:val="TableText"/>
              <w:jc w:val="center"/>
            </w:pPr>
            <w:r w:rsidRPr="001473EE">
              <w:t>$49,0</w:t>
            </w:r>
            <w:r w:rsidR="001E1D14" w:rsidRPr="001473EE">
              <w:t>53</w:t>
            </w:r>
          </w:p>
        </w:tc>
        <w:tc>
          <w:tcPr>
            <w:tcW w:w="1431" w:type="dxa"/>
            <w:shd w:val="clear" w:color="auto" w:fill="auto"/>
          </w:tcPr>
          <w:p w14:paraId="15945188" w14:textId="415CBCB3" w:rsidR="00794E9D" w:rsidRPr="001473EE" w:rsidRDefault="008503F7" w:rsidP="001473EE">
            <w:pPr>
              <w:pStyle w:val="TableText"/>
              <w:jc w:val="center"/>
            </w:pPr>
            <w:r w:rsidRPr="001473EE">
              <w:t>7.1</w:t>
            </w:r>
            <w:r w:rsidR="001E1D14" w:rsidRPr="001473EE">
              <w:t>8</w:t>
            </w:r>
          </w:p>
        </w:tc>
        <w:tc>
          <w:tcPr>
            <w:tcW w:w="1430" w:type="dxa"/>
            <w:shd w:val="clear" w:color="auto" w:fill="auto"/>
          </w:tcPr>
          <w:p w14:paraId="760889F9" w14:textId="386D692E" w:rsidR="00794E9D" w:rsidRPr="001473EE" w:rsidRDefault="006130EB" w:rsidP="001473EE">
            <w:pPr>
              <w:pStyle w:val="TableText"/>
              <w:jc w:val="center"/>
            </w:pPr>
            <w:r w:rsidRPr="001473EE">
              <w:t>0.77</w:t>
            </w:r>
          </w:p>
        </w:tc>
        <w:tc>
          <w:tcPr>
            <w:tcW w:w="1431" w:type="dxa"/>
            <w:shd w:val="clear" w:color="auto" w:fill="auto"/>
          </w:tcPr>
          <w:p w14:paraId="14234884" w14:textId="3572C1C5" w:rsidR="009A7B1F" w:rsidRPr="001473EE" w:rsidRDefault="00FB0A86" w:rsidP="001473EE">
            <w:pPr>
              <w:pStyle w:val="TableText"/>
              <w:jc w:val="center"/>
            </w:pPr>
            <w:r w:rsidRPr="001473EE">
              <w:t>$63</w:t>
            </w:r>
            <w:r w:rsidR="008503F7" w:rsidRPr="001473EE">
              <w:t>,</w:t>
            </w:r>
            <w:r w:rsidR="004135F6" w:rsidRPr="001473EE">
              <w:t>899</w:t>
            </w:r>
          </w:p>
          <w:p w14:paraId="40A1FECE" w14:textId="703B7A43" w:rsidR="009A7B1F" w:rsidRPr="001473EE" w:rsidRDefault="009A7B1F" w:rsidP="001473EE">
            <w:pPr>
              <w:pStyle w:val="TableText"/>
              <w:jc w:val="center"/>
            </w:pPr>
          </w:p>
        </w:tc>
      </w:tr>
    </w:tbl>
    <w:bookmarkEnd w:id="46"/>
    <w:p w14:paraId="534DEAA7" w14:textId="3ACF0359" w:rsidR="00794E9D" w:rsidRPr="003E06DD" w:rsidRDefault="00794E9D" w:rsidP="003E06DD">
      <w:pPr>
        <w:pStyle w:val="TableFigureFooter"/>
        <w:spacing w:after="0"/>
      </w:pPr>
      <w:r w:rsidRPr="003E06DD">
        <w:t>UAS; Upper Airway Stimulation; QALY=Quality</w:t>
      </w:r>
      <w:r w:rsidR="00B95C8A">
        <w:t>-</w:t>
      </w:r>
      <w:r w:rsidRPr="003E06DD">
        <w:t>Adjusted Life Year</w:t>
      </w:r>
    </w:p>
    <w:p w14:paraId="5D3FBA18" w14:textId="0763B7D8" w:rsidR="008503F7" w:rsidRDefault="003E06DD" w:rsidP="009774D2">
      <w:pPr>
        <w:pStyle w:val="TableFigureFooter"/>
        <w:spacing w:before="0" w:after="0"/>
      </w:pPr>
      <w:bookmarkStart w:id="47" w:name="_Hlk121480011"/>
      <w:r w:rsidRPr="003E06DD">
        <w:t xml:space="preserve">Note: Data shown are derived from the </w:t>
      </w:r>
      <w:r w:rsidR="00C102DA">
        <w:t>c</w:t>
      </w:r>
      <w:r w:rsidRPr="003E06DD">
        <w:t>ommentary.</w:t>
      </w:r>
      <w:r w:rsidR="008503F7">
        <w:t xml:space="preserve"> </w:t>
      </w:r>
      <w:r w:rsidR="004A7691">
        <w:t>T</w:t>
      </w:r>
      <w:r w:rsidR="008503F7">
        <w:t>he values have been recalculated based on sex-weighting, as the value shown in the ADAR was for males only.</w:t>
      </w:r>
    </w:p>
    <w:bookmarkEnd w:id="47"/>
    <w:p w14:paraId="667080E9" w14:textId="5D85E807" w:rsidR="009774D2" w:rsidRPr="003251C2" w:rsidRDefault="009774D2" w:rsidP="009774D2">
      <w:pPr>
        <w:pStyle w:val="TableFigureFooter"/>
        <w:spacing w:before="0"/>
      </w:pPr>
      <w:r>
        <w:t>Source: Table 35 of MSAC Application 1595.1 adapted for the Commentary executive summary</w:t>
      </w:r>
    </w:p>
    <w:p w14:paraId="1D5A4E67" w14:textId="580AAF7D" w:rsidR="00142DC8" w:rsidRPr="00142DC8" w:rsidRDefault="003570CB" w:rsidP="00142DC8">
      <w:r>
        <w:t>Key drivers of the model are the time horizon, reduction in cardiovascular risk and utility gain. These each have a high impact on the ICER and favour UAS (</w:t>
      </w:r>
      <w:r w:rsidR="00710997">
        <w:t xml:space="preserve">Table </w:t>
      </w:r>
      <w:r w:rsidR="00660A4F">
        <w:t>15</w:t>
      </w:r>
      <w:r>
        <w:t>).</w:t>
      </w:r>
      <w:bookmarkStart w:id="48" w:name="_Ref69726321"/>
      <w:r w:rsidR="00142DC8">
        <w:br w:type="page"/>
      </w:r>
    </w:p>
    <w:p w14:paraId="708EBBC4" w14:textId="1CA2671C" w:rsidR="002F32FB" w:rsidRPr="00CE28E3" w:rsidRDefault="002F32FB" w:rsidP="002F32FB">
      <w:pPr>
        <w:pStyle w:val="Caption"/>
      </w:pPr>
      <w:r w:rsidRPr="00CE28E3">
        <w:lastRenderedPageBreak/>
        <w:t>Table</w:t>
      </w:r>
      <w:r w:rsidR="003571C2">
        <w:t> </w:t>
      </w:r>
      <w:r w:rsidR="00660A4F">
        <w:t>15</w:t>
      </w:r>
      <w:bookmarkEnd w:id="48"/>
      <w:r w:rsidRPr="00CE28E3">
        <w:tab/>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Key drivers of the model"/>
        <w:tblDescription w:val="Presents a description of the key drivers of the economic model and their impact. These key drivers are extrapolation, transformation and utilities and all have a high impact and favour UAS."/>
      </w:tblPr>
      <w:tblGrid>
        <w:gridCol w:w="1271"/>
        <w:gridCol w:w="4961"/>
        <w:gridCol w:w="2784"/>
      </w:tblGrid>
      <w:tr w:rsidR="002F32FB" w:rsidRPr="00CE28E3" w14:paraId="11B0BC91" w14:textId="77777777" w:rsidTr="00E50C1A">
        <w:trPr>
          <w:tblHeader/>
        </w:trPr>
        <w:tc>
          <w:tcPr>
            <w:tcW w:w="705" w:type="pct"/>
            <w:shd w:val="clear" w:color="auto" w:fill="auto"/>
            <w:vAlign w:val="center"/>
          </w:tcPr>
          <w:p w14:paraId="2EC6365B" w14:textId="77777777" w:rsidR="002F32FB" w:rsidRPr="00CE28E3" w:rsidRDefault="002F32FB" w:rsidP="003B61B7">
            <w:pPr>
              <w:pStyle w:val="In-tableHeading"/>
              <w:jc w:val="center"/>
            </w:pPr>
            <w:bookmarkStart w:id="49" w:name="Title_Table10" w:colFirst="0" w:colLast="0"/>
            <w:bookmarkStart w:id="50" w:name="_Hlk68276626"/>
            <w:r w:rsidRPr="00CE28E3">
              <w:t>Description</w:t>
            </w:r>
          </w:p>
        </w:tc>
        <w:tc>
          <w:tcPr>
            <w:tcW w:w="2751" w:type="pct"/>
            <w:shd w:val="clear" w:color="auto" w:fill="auto"/>
            <w:vAlign w:val="center"/>
          </w:tcPr>
          <w:p w14:paraId="0520071F" w14:textId="77777777" w:rsidR="002F32FB" w:rsidRPr="00CE28E3" w:rsidRDefault="002F32FB" w:rsidP="003B61B7">
            <w:pPr>
              <w:pStyle w:val="In-tableHeading"/>
              <w:jc w:val="center"/>
            </w:pPr>
            <w:r w:rsidRPr="00CE28E3">
              <w:t>Method/Value</w:t>
            </w:r>
          </w:p>
        </w:tc>
        <w:tc>
          <w:tcPr>
            <w:tcW w:w="1544" w:type="pct"/>
            <w:shd w:val="clear" w:color="auto" w:fill="auto"/>
            <w:vAlign w:val="center"/>
          </w:tcPr>
          <w:p w14:paraId="38BDDD5F" w14:textId="77777777" w:rsidR="002F32FB" w:rsidRPr="00CE28E3" w:rsidRDefault="002F32FB" w:rsidP="003B61B7">
            <w:pPr>
              <w:pStyle w:val="In-tableHeading"/>
              <w:jc w:val="center"/>
            </w:pPr>
            <w:r w:rsidRPr="00CE28E3">
              <w:t>Impact</w:t>
            </w:r>
          </w:p>
          <w:p w14:paraId="5C169B9A" w14:textId="77777777" w:rsidR="002F32FB" w:rsidRDefault="002F32FB" w:rsidP="003251C2">
            <w:pPr>
              <w:pStyle w:val="In-tableHeading"/>
              <w:spacing w:after="160"/>
              <w:jc w:val="center"/>
              <w:rPr>
                <w:rFonts w:cs="Arial"/>
                <w:szCs w:val="20"/>
              </w:rPr>
            </w:pPr>
            <w:r w:rsidRPr="00CE28E3">
              <w:rPr>
                <w:rFonts w:cs="Arial"/>
                <w:szCs w:val="20"/>
              </w:rPr>
              <w:t>Base case: $</w:t>
            </w:r>
            <w:r w:rsidR="003E06DD">
              <w:rPr>
                <w:rFonts w:cs="Arial"/>
                <w:szCs w:val="20"/>
              </w:rPr>
              <w:t>47,662</w:t>
            </w:r>
            <w:r w:rsidRPr="00CE28E3">
              <w:rPr>
                <w:rFonts w:cs="Arial"/>
                <w:szCs w:val="20"/>
              </w:rPr>
              <w:t>/QALY gained</w:t>
            </w:r>
          </w:p>
          <w:p w14:paraId="66E24653" w14:textId="51C5AD88" w:rsidR="003E06DD" w:rsidRPr="00CE28E3" w:rsidRDefault="003E06DD" w:rsidP="003251C2">
            <w:pPr>
              <w:pStyle w:val="In-tableHeading"/>
              <w:spacing w:after="160"/>
              <w:jc w:val="center"/>
            </w:pPr>
            <w:r>
              <w:t>Commentary preferred base case: $6</w:t>
            </w:r>
            <w:r w:rsidR="004135F6">
              <w:t>3,</w:t>
            </w:r>
            <w:r w:rsidR="001E1D14">
              <w:t>899</w:t>
            </w:r>
          </w:p>
        </w:tc>
      </w:tr>
      <w:bookmarkEnd w:id="49"/>
      <w:tr w:rsidR="002F32FB" w:rsidRPr="00CE28E3" w14:paraId="65F2DB8D" w14:textId="77777777" w:rsidTr="00E50C1A">
        <w:tc>
          <w:tcPr>
            <w:tcW w:w="705" w:type="pct"/>
            <w:shd w:val="clear" w:color="auto" w:fill="auto"/>
            <w:vAlign w:val="center"/>
          </w:tcPr>
          <w:p w14:paraId="443EB50E" w14:textId="77777777" w:rsidR="002F32FB" w:rsidRPr="00CE28E3" w:rsidRDefault="002F32FB" w:rsidP="003B61B7">
            <w:pPr>
              <w:pStyle w:val="TableText"/>
              <w:jc w:val="center"/>
              <w:rPr>
                <w:lang w:val="en-US"/>
              </w:rPr>
            </w:pPr>
            <w:r w:rsidRPr="00CE28E3">
              <w:rPr>
                <w:lang w:val="en-US"/>
              </w:rPr>
              <w:t>Extrapolation</w:t>
            </w:r>
          </w:p>
        </w:tc>
        <w:tc>
          <w:tcPr>
            <w:tcW w:w="2751" w:type="pct"/>
            <w:shd w:val="clear" w:color="auto" w:fill="auto"/>
            <w:vAlign w:val="center"/>
          </w:tcPr>
          <w:p w14:paraId="0EB50894" w14:textId="3271723D" w:rsidR="002F32FB" w:rsidRPr="00CE28E3" w:rsidRDefault="002F32FB" w:rsidP="003B61B7">
            <w:pPr>
              <w:pStyle w:val="TableText"/>
              <w:rPr>
                <w:lang w:val="en-US"/>
              </w:rPr>
            </w:pPr>
            <w:r w:rsidRPr="00CE28E3">
              <w:rPr>
                <w:lang w:val="en-US"/>
              </w:rPr>
              <w:t xml:space="preserve">Treatment effect continued beyond </w:t>
            </w:r>
            <w:r w:rsidR="003E06DD">
              <w:rPr>
                <w:lang w:val="en-US"/>
              </w:rPr>
              <w:t>5</w:t>
            </w:r>
            <w:r w:rsidR="00EF1755">
              <w:rPr>
                <w:lang w:val="en-US"/>
              </w:rPr>
              <w:t>-</w:t>
            </w:r>
            <w:r w:rsidR="003E06DD">
              <w:rPr>
                <w:lang w:val="en-US"/>
              </w:rPr>
              <w:t>year</w:t>
            </w:r>
            <w:r w:rsidRPr="00CE28E3">
              <w:rPr>
                <w:lang w:val="en-US"/>
              </w:rPr>
              <w:t xml:space="preserve"> trial period </w:t>
            </w:r>
            <w:r w:rsidR="003E06DD">
              <w:rPr>
                <w:lang w:val="en-US"/>
              </w:rPr>
              <w:t>to lifetime horizon or 15 years. Similarly, no treatment arm assumed to have no effect over lifetime/15</w:t>
            </w:r>
            <w:r w:rsidR="007F69DB">
              <w:rPr>
                <w:lang w:val="en-US"/>
              </w:rPr>
              <w:t xml:space="preserve"> </w:t>
            </w:r>
            <w:r w:rsidR="003E06DD">
              <w:rPr>
                <w:lang w:val="en-US"/>
              </w:rPr>
              <w:t>years</w:t>
            </w:r>
          </w:p>
        </w:tc>
        <w:tc>
          <w:tcPr>
            <w:tcW w:w="1544" w:type="pct"/>
            <w:shd w:val="clear" w:color="auto" w:fill="auto"/>
            <w:vAlign w:val="center"/>
          </w:tcPr>
          <w:p w14:paraId="5216C472" w14:textId="19BDEBBB" w:rsidR="002F32FB" w:rsidRDefault="002F32FB" w:rsidP="003B61B7">
            <w:pPr>
              <w:pStyle w:val="TableText"/>
              <w:rPr>
                <w:i/>
                <w:lang w:val="en-US"/>
              </w:rPr>
            </w:pPr>
            <w:r w:rsidRPr="00CE28E3">
              <w:rPr>
                <w:i/>
                <w:lang w:val="en-US"/>
              </w:rPr>
              <w:t xml:space="preserve">High, favours </w:t>
            </w:r>
            <w:r w:rsidR="003E06DD">
              <w:rPr>
                <w:i/>
                <w:lang w:val="en-US"/>
              </w:rPr>
              <w:t>UAS</w:t>
            </w:r>
          </w:p>
          <w:p w14:paraId="260925E6" w14:textId="180F28F2" w:rsidR="00E50C1A" w:rsidRPr="00CE28E3" w:rsidRDefault="00E50C1A" w:rsidP="003B61B7">
            <w:pPr>
              <w:pStyle w:val="TableText"/>
              <w:rPr>
                <w:i/>
                <w:lang w:val="en-US"/>
              </w:rPr>
            </w:pPr>
            <w:r>
              <w:rPr>
                <w:i/>
                <w:lang w:val="en-US"/>
              </w:rPr>
              <w:t>A time horizon of 5</w:t>
            </w:r>
            <w:r w:rsidR="00E778E0">
              <w:rPr>
                <w:i/>
                <w:lang w:val="en-US"/>
              </w:rPr>
              <w:t xml:space="preserve"> </w:t>
            </w:r>
            <w:r>
              <w:rPr>
                <w:i/>
                <w:lang w:val="en-US"/>
              </w:rPr>
              <w:t>years increases the ICER to $113</w:t>
            </w:r>
            <w:r w:rsidR="00FE038E">
              <w:rPr>
                <w:i/>
                <w:lang w:val="en-US"/>
              </w:rPr>
              <w:t>,845</w:t>
            </w:r>
          </w:p>
          <w:p w14:paraId="4E7B2979" w14:textId="3E096A08" w:rsidR="002F32FB" w:rsidRPr="00CE28E3" w:rsidRDefault="002F32FB" w:rsidP="003251C2">
            <w:pPr>
              <w:pStyle w:val="TableText"/>
              <w:spacing w:after="160"/>
              <w:rPr>
                <w:i/>
                <w:lang w:val="en-US"/>
              </w:rPr>
            </w:pPr>
          </w:p>
        </w:tc>
      </w:tr>
      <w:tr w:rsidR="00E50C1A" w:rsidRPr="00CE28E3" w14:paraId="3D6B4D52" w14:textId="77777777" w:rsidTr="00E50C1A">
        <w:tc>
          <w:tcPr>
            <w:tcW w:w="705" w:type="pct"/>
            <w:shd w:val="clear" w:color="auto" w:fill="auto"/>
            <w:vAlign w:val="center"/>
          </w:tcPr>
          <w:p w14:paraId="35708DFF" w14:textId="0590BC0D" w:rsidR="00E50C1A" w:rsidRPr="00CE28E3" w:rsidRDefault="00E50C1A" w:rsidP="003B61B7">
            <w:pPr>
              <w:pStyle w:val="TableText"/>
              <w:jc w:val="center"/>
              <w:rPr>
                <w:lang w:val="en-US"/>
              </w:rPr>
            </w:pPr>
            <w:r>
              <w:rPr>
                <w:lang w:val="en-US"/>
              </w:rPr>
              <w:t>Transformation</w:t>
            </w:r>
          </w:p>
        </w:tc>
        <w:tc>
          <w:tcPr>
            <w:tcW w:w="2751" w:type="pct"/>
            <w:shd w:val="clear" w:color="auto" w:fill="auto"/>
            <w:vAlign w:val="center"/>
          </w:tcPr>
          <w:p w14:paraId="3A044DD3" w14:textId="20597568" w:rsidR="00E50C1A" w:rsidRPr="00CE28E3" w:rsidRDefault="00E50C1A" w:rsidP="003B61B7">
            <w:pPr>
              <w:pStyle w:val="TableText"/>
              <w:rPr>
                <w:lang w:val="en-US"/>
              </w:rPr>
            </w:pPr>
            <w:r>
              <w:rPr>
                <w:lang w:val="en-US"/>
              </w:rPr>
              <w:t>Reduction in AHI is assumed to lead to a reduction in cardiovascular risk for UAS. No change in blood pressure has been demonstrated in trials of UAS</w:t>
            </w:r>
          </w:p>
        </w:tc>
        <w:tc>
          <w:tcPr>
            <w:tcW w:w="1544" w:type="pct"/>
            <w:shd w:val="clear" w:color="auto" w:fill="auto"/>
            <w:vAlign w:val="center"/>
          </w:tcPr>
          <w:p w14:paraId="69B32842" w14:textId="77777777" w:rsidR="00E50C1A" w:rsidRDefault="00E50C1A" w:rsidP="003B61B7">
            <w:pPr>
              <w:pStyle w:val="TableText"/>
              <w:rPr>
                <w:i/>
                <w:lang w:val="en-US"/>
              </w:rPr>
            </w:pPr>
            <w:r>
              <w:rPr>
                <w:i/>
                <w:lang w:val="en-US"/>
              </w:rPr>
              <w:t>High, favours UAS</w:t>
            </w:r>
          </w:p>
          <w:p w14:paraId="522A577E" w14:textId="38F76C8D" w:rsidR="00E50C1A" w:rsidRPr="00CE28E3" w:rsidRDefault="00E50C1A" w:rsidP="003B61B7">
            <w:pPr>
              <w:pStyle w:val="TableText"/>
              <w:rPr>
                <w:i/>
                <w:lang w:val="en-US"/>
              </w:rPr>
            </w:pPr>
            <w:r>
              <w:rPr>
                <w:i/>
                <w:lang w:val="en-US"/>
              </w:rPr>
              <w:t>No reduction in CV risk from UAS increases the ICER to $</w:t>
            </w:r>
            <w:r w:rsidR="002A4B8D">
              <w:rPr>
                <w:i/>
                <w:lang w:val="en-US"/>
              </w:rPr>
              <w:t>76,340</w:t>
            </w:r>
          </w:p>
        </w:tc>
      </w:tr>
      <w:tr w:rsidR="002F32FB" w:rsidRPr="00CE28E3" w14:paraId="6395056A" w14:textId="77777777" w:rsidTr="00E50C1A">
        <w:tc>
          <w:tcPr>
            <w:tcW w:w="705" w:type="pct"/>
            <w:shd w:val="clear" w:color="auto" w:fill="auto"/>
            <w:vAlign w:val="center"/>
          </w:tcPr>
          <w:p w14:paraId="30DD8CD6" w14:textId="77777777" w:rsidR="002F32FB" w:rsidRPr="00CE28E3" w:rsidRDefault="002F32FB" w:rsidP="003B61B7">
            <w:pPr>
              <w:pStyle w:val="TableText"/>
              <w:jc w:val="center"/>
              <w:rPr>
                <w:lang w:val="en-US"/>
              </w:rPr>
            </w:pPr>
            <w:r w:rsidRPr="00CE28E3">
              <w:rPr>
                <w:lang w:val="en-US"/>
              </w:rPr>
              <w:t>Utilities</w:t>
            </w:r>
          </w:p>
        </w:tc>
        <w:tc>
          <w:tcPr>
            <w:tcW w:w="2751" w:type="pct"/>
            <w:shd w:val="clear" w:color="auto" w:fill="auto"/>
            <w:vAlign w:val="center"/>
          </w:tcPr>
          <w:p w14:paraId="3E70B4B3" w14:textId="13ED7A3A" w:rsidR="002F32FB" w:rsidRPr="00CE28E3" w:rsidRDefault="00E50C1A" w:rsidP="003B61B7">
            <w:pPr>
              <w:pStyle w:val="TableText"/>
              <w:rPr>
                <w:lang w:val="en-US"/>
              </w:rPr>
            </w:pPr>
            <w:r w:rsidRPr="00E50C1A">
              <w:rPr>
                <w:lang w:val="en-US"/>
              </w:rPr>
              <w:t xml:space="preserve">UAS-treated patients were assumed to achieve the same </w:t>
            </w:r>
            <w:r w:rsidR="00381E10">
              <w:rPr>
                <w:lang w:val="en-US"/>
              </w:rPr>
              <w:t>HRQoL</w:t>
            </w:r>
            <w:r w:rsidRPr="00E50C1A">
              <w:rPr>
                <w:lang w:val="en-US"/>
              </w:rPr>
              <w:t xml:space="preserve"> as patients treated with CPAP. This assumption was made based on the STAR trial-observed improvements in values for ESS and the FOSQ</w:t>
            </w:r>
          </w:p>
        </w:tc>
        <w:tc>
          <w:tcPr>
            <w:tcW w:w="1544" w:type="pct"/>
            <w:shd w:val="clear" w:color="auto" w:fill="auto"/>
            <w:vAlign w:val="center"/>
          </w:tcPr>
          <w:p w14:paraId="04D11165" w14:textId="677F3F13" w:rsidR="002F32FB" w:rsidRPr="003570CB" w:rsidRDefault="002F32FB" w:rsidP="003570CB">
            <w:pPr>
              <w:pStyle w:val="TableText"/>
            </w:pPr>
            <w:r w:rsidRPr="00CE28E3">
              <w:rPr>
                <w:i/>
                <w:lang w:val="en-US"/>
              </w:rPr>
              <w:t xml:space="preserve">High, favours </w:t>
            </w:r>
            <w:r w:rsidR="00E50C1A">
              <w:rPr>
                <w:i/>
                <w:lang w:val="en-US"/>
              </w:rPr>
              <w:t>UAS</w:t>
            </w:r>
            <w:r w:rsidR="00DC14AF">
              <w:rPr>
                <w:i/>
                <w:lang w:val="en-US"/>
              </w:rPr>
              <w:br/>
            </w:r>
            <w:r w:rsidRPr="00CE28E3">
              <w:rPr>
                <w:i/>
                <w:lang w:val="en-US"/>
              </w:rPr>
              <w:t xml:space="preserve">Use of </w:t>
            </w:r>
            <w:r w:rsidR="00E50C1A">
              <w:rPr>
                <w:i/>
                <w:lang w:val="en-US"/>
              </w:rPr>
              <w:t>a 50% gain in HRQoL</w:t>
            </w:r>
            <w:r w:rsidRPr="00CE28E3">
              <w:rPr>
                <w:i/>
                <w:lang w:val="en-US"/>
              </w:rPr>
              <w:t xml:space="preserve"> increase</w:t>
            </w:r>
            <w:r w:rsidR="00E778E0">
              <w:rPr>
                <w:i/>
                <w:lang w:val="en-US"/>
              </w:rPr>
              <w:t>s</w:t>
            </w:r>
            <w:r w:rsidRPr="00CE28E3">
              <w:rPr>
                <w:i/>
                <w:lang w:val="en-US"/>
              </w:rPr>
              <w:t xml:space="preserve"> the ICER to $</w:t>
            </w:r>
            <w:r w:rsidR="003570CB">
              <w:rPr>
                <w:i/>
                <w:lang w:val="en-US"/>
              </w:rPr>
              <w:t>7</w:t>
            </w:r>
            <w:r w:rsidR="002A4B8D">
              <w:rPr>
                <w:i/>
                <w:lang w:val="en-US"/>
              </w:rPr>
              <w:t>3,565</w:t>
            </w:r>
            <w:r w:rsidRPr="00CE28E3">
              <w:rPr>
                <w:i/>
                <w:lang w:val="en-US"/>
              </w:rPr>
              <w:t>/QALY gained.</w:t>
            </w:r>
            <w:r w:rsidRPr="003251C2">
              <w:rPr>
                <w:rFonts w:cs="Arial"/>
                <w:color w:val="538135" w:themeColor="accent6" w:themeShade="BF"/>
                <w:szCs w:val="20"/>
              </w:rPr>
              <w:t xml:space="preserve"> </w:t>
            </w:r>
          </w:p>
        </w:tc>
      </w:tr>
    </w:tbl>
    <w:p w14:paraId="3E5E6246" w14:textId="6F29C7DA" w:rsidR="009774D2" w:rsidRDefault="003570CB" w:rsidP="004A7691">
      <w:pPr>
        <w:pStyle w:val="TableFigureFooter"/>
        <w:spacing w:after="0"/>
      </w:pPr>
      <w:bookmarkStart w:id="51" w:name="_Hlk68276635"/>
      <w:bookmarkEnd w:id="50"/>
      <w:r>
        <w:t xml:space="preserve">CPAP = continuous positive airway pressure; </w:t>
      </w:r>
      <w:r w:rsidR="00381E10">
        <w:t xml:space="preserve">ESS = </w:t>
      </w:r>
      <w:r w:rsidR="004A7691">
        <w:t>Epworth Sleepiness Scale</w:t>
      </w:r>
      <w:r w:rsidR="00381E10">
        <w:t xml:space="preserve">; FOSQ = </w:t>
      </w:r>
      <w:r w:rsidR="0045093D" w:rsidRPr="00CE28E3">
        <w:t xml:space="preserve">ICER = incremental cost-effectiveness ratio; </w:t>
      </w:r>
      <w:r w:rsidR="00381E10">
        <w:t xml:space="preserve">HRQoL = </w:t>
      </w:r>
      <w:r w:rsidR="009774D2">
        <w:t>health related quality of life</w:t>
      </w:r>
      <w:r w:rsidR="00381E10">
        <w:t xml:space="preserve">; </w:t>
      </w:r>
      <w:r w:rsidR="0045093D" w:rsidRPr="00CE28E3">
        <w:t>QALY = quality-adjusted life year</w:t>
      </w:r>
      <w:r>
        <w:t>; UAS = upper airway stimulation.</w:t>
      </w:r>
    </w:p>
    <w:p w14:paraId="1C7F4130" w14:textId="30E4F713" w:rsidR="004A7691" w:rsidRDefault="004A7691" w:rsidP="001473EE">
      <w:pPr>
        <w:pStyle w:val="TableFigureFooter"/>
        <w:spacing w:before="0" w:after="0"/>
      </w:pPr>
      <w:r>
        <w:t>Note: The values have been recalculated based on sex-weighting, as the value shown in the ADAR was for males only.</w:t>
      </w:r>
    </w:p>
    <w:p w14:paraId="5AE75790" w14:textId="4EBE3BC7" w:rsidR="009774D2" w:rsidRDefault="009774D2" w:rsidP="009774D2">
      <w:pPr>
        <w:pStyle w:val="TableFigureFooter"/>
        <w:spacing w:before="0"/>
      </w:pPr>
      <w:r>
        <w:t>Source: developed for the Commentary Executive Summary based on information in Table 36 of MSAC Application 1595.1</w:t>
      </w:r>
    </w:p>
    <w:bookmarkEnd w:id="51"/>
    <w:p w14:paraId="41C12ECF" w14:textId="3FA2E84E" w:rsidR="0049629E" w:rsidRDefault="008B5B67" w:rsidP="00330A0A">
      <w:r w:rsidRPr="00CE28E3">
        <w:t xml:space="preserve">The results of </w:t>
      </w:r>
      <w:r w:rsidRPr="00122D5D">
        <w:t xml:space="preserve">key </w:t>
      </w:r>
      <w:r w:rsidRPr="00122D5D">
        <w:rPr>
          <w:rStyle w:val="InstructionaltextChar"/>
          <w:color w:val="auto"/>
        </w:rPr>
        <w:t>univariate</w:t>
      </w:r>
      <w:r w:rsidRPr="00330A0A">
        <w:rPr>
          <w:color w:val="538135" w:themeColor="accent6" w:themeShade="BF"/>
        </w:rPr>
        <w:t xml:space="preserve"> </w:t>
      </w:r>
      <w:r w:rsidRPr="00CE28E3">
        <w:t>sensitivity analyses are summarised</w:t>
      </w:r>
      <w:r w:rsidR="00122D5D">
        <w:t xml:space="preserve"> in </w:t>
      </w:r>
      <w:r w:rsidR="00A141F2">
        <w:t xml:space="preserve">Table </w:t>
      </w:r>
      <w:r w:rsidR="00660A4F">
        <w:t>16</w:t>
      </w:r>
      <w:r w:rsidRPr="00CE28E3">
        <w:t xml:space="preserve">. </w:t>
      </w:r>
    </w:p>
    <w:p w14:paraId="56EB7C23" w14:textId="205983D9" w:rsidR="00610ABA" w:rsidRDefault="0049629E" w:rsidP="00330A0A">
      <w:r>
        <w:t>Key concerns with the economic evaluation are the time horizon which is presented over a lifetime horizon by the applicant but the commentary considers 15-years an appropriate base case based on MSAC feedback from Application 1595, the length of follow-up available in the existing trials and the estimated time to battery replacement of 11 years.</w:t>
      </w:r>
      <w:r w:rsidR="00080B21">
        <w:t xml:space="preserve"> The </w:t>
      </w:r>
      <w:r w:rsidR="00FC2B51">
        <w:t xml:space="preserve">applicant’s </w:t>
      </w:r>
      <w:r w:rsidR="00080B21">
        <w:t>pre-ESC response argued that u</w:t>
      </w:r>
      <w:r w:rsidR="00080B21" w:rsidRPr="00080B21">
        <w:t>sing a 15-year time horizon introduces some bias</w:t>
      </w:r>
      <w:r w:rsidR="00080B21">
        <w:t xml:space="preserve"> because </w:t>
      </w:r>
      <w:r w:rsidR="00080B21" w:rsidRPr="00080B21">
        <w:t>if this shorter horizon is selected because of concern about lack of long-term therapy effect, it does not seem warranted to have the full cohort undergo a device replacement at year 11, an</w:t>
      </w:r>
      <w:r w:rsidR="00080B21">
        <w:t>d to the</w:t>
      </w:r>
      <w:r w:rsidR="00FC2B51">
        <w:t>n</w:t>
      </w:r>
      <w:r w:rsidR="00080B21">
        <w:t xml:space="preserve"> only</w:t>
      </w:r>
      <w:r w:rsidR="00080B21" w:rsidRPr="00080B21">
        <w:t xml:space="preserve"> consider 4 years of device benefit after that replacement. </w:t>
      </w:r>
      <w:r w:rsidR="00080B21">
        <w:t xml:space="preserve"> The pre-ESC response considered that if </w:t>
      </w:r>
      <w:r w:rsidR="00080B21" w:rsidRPr="00080B21">
        <w:t xml:space="preserve">the 15-year scenario is preferred, </w:t>
      </w:r>
      <w:r w:rsidR="00080B21">
        <w:t xml:space="preserve">the modelling scenario should not then assume that </w:t>
      </w:r>
      <w:r w:rsidR="00080B21" w:rsidRPr="00080B21">
        <w:t xml:space="preserve">device </w:t>
      </w:r>
      <w:r w:rsidR="00080B21">
        <w:t xml:space="preserve">replacement applies </w:t>
      </w:r>
      <w:r w:rsidR="00080B21" w:rsidRPr="00080B21">
        <w:t>to the full cohort</w:t>
      </w:r>
      <w:r w:rsidR="00080B21">
        <w:t xml:space="preserve">. </w:t>
      </w:r>
    </w:p>
    <w:p w14:paraId="26A33A18" w14:textId="56C6AA4A" w:rsidR="006A4802" w:rsidRDefault="0049629E" w:rsidP="00330A0A">
      <w:r>
        <w:t>Secondly, the model considers that the effectiveness of UAS is maintained over time and that the reduction observed in AHI in trial data directly drives a reduction in cardiovascular events. This is inconsistent with the published literature which has not found any impact of UAS on cardiovascular outcomes. The indirectness of health effects, and the reliance on literature-based data not sourced from patients treated with UAS to source transition probabilities, leads to substantial uncertainty.</w:t>
      </w:r>
      <w:r w:rsidR="009774D2">
        <w:t xml:space="preserve"> </w:t>
      </w:r>
      <w:r w:rsidR="006A4802">
        <w:t xml:space="preserve">However the </w:t>
      </w:r>
      <w:r w:rsidR="00FC2B51">
        <w:t xml:space="preserve">applicant’s </w:t>
      </w:r>
      <w:r w:rsidR="006A4802">
        <w:t xml:space="preserve">pre-ESC response considered that given that </w:t>
      </w:r>
      <w:r w:rsidR="006A4802" w:rsidRPr="006A4802">
        <w:t>it is well established that patients with increasing OSA severity incur a higher burden of cardiovascular events and all-cause mortality compared to those not suffering from OS</w:t>
      </w:r>
      <w:r w:rsidR="00FC2B51">
        <w:t>A</w:t>
      </w:r>
      <w:r w:rsidR="006A4802">
        <w:t xml:space="preserve">, it is </w:t>
      </w:r>
      <w:r w:rsidR="006A4802" w:rsidRPr="006A4802">
        <w:t>very plausible that a reversal of OSA, as measured through reduction in the number of apnea-hypopnea events per hour</w:t>
      </w:r>
      <w:r w:rsidR="006A4802">
        <w:t xml:space="preserve"> would </w:t>
      </w:r>
      <w:r w:rsidR="006A4802" w:rsidRPr="006A4802">
        <w:t>contribute to a gradual reduction of the excess event risk.</w:t>
      </w:r>
      <w:r w:rsidR="006A4802">
        <w:t xml:space="preserve"> In further support of this proposition the pre-ESC response cited </w:t>
      </w:r>
      <w:r w:rsidR="00D27DB5">
        <w:t>stud</w:t>
      </w:r>
      <w:r w:rsidR="00A20130">
        <w:t xml:space="preserve">ies </w:t>
      </w:r>
      <w:r w:rsidR="00D27DB5">
        <w:t>by Yaggi et al</w:t>
      </w:r>
      <w:r w:rsidR="00A20130">
        <w:t xml:space="preserve"> (2005)</w:t>
      </w:r>
      <w:r w:rsidR="00D27DB5">
        <w:rPr>
          <w:rStyle w:val="FootnoteReference"/>
        </w:rPr>
        <w:footnoteReference w:id="13"/>
      </w:r>
      <w:r w:rsidR="00A20130">
        <w:t xml:space="preserve"> and Buchner et al (2007)</w:t>
      </w:r>
      <w:r w:rsidR="00A20130">
        <w:rPr>
          <w:rStyle w:val="FootnoteReference"/>
        </w:rPr>
        <w:footnoteReference w:id="14"/>
      </w:r>
      <w:r w:rsidR="00A20130">
        <w:t xml:space="preserve">. The pre-ESC response noted that the survival benefit assumed in the </w:t>
      </w:r>
      <w:r w:rsidR="00A20130">
        <w:lastRenderedPageBreak/>
        <w:t xml:space="preserve">model from treating OSA was less than reported in </w:t>
      </w:r>
      <w:r w:rsidR="00AB0FAC">
        <w:t>these two studies</w:t>
      </w:r>
      <w:r w:rsidR="00A20130">
        <w:t xml:space="preserve"> and is therefore conservative by assumption. </w:t>
      </w:r>
      <w:r w:rsidR="005F2D09">
        <w:t xml:space="preserve">The pre-ESC response also noted that </w:t>
      </w:r>
      <w:r w:rsidR="005F2D09" w:rsidRPr="005F2D09">
        <w:t>the 10-year event risks</w:t>
      </w:r>
      <w:r w:rsidR="005F2D09">
        <w:t xml:space="preserve"> for stroke arising from OSA in the model are lower than reported in Yaggi et al (2005) and Young et al (2008)</w:t>
      </w:r>
      <w:r w:rsidR="005F2D09">
        <w:rPr>
          <w:rStyle w:val="FootnoteReference"/>
        </w:rPr>
        <w:footnoteReference w:id="15"/>
      </w:r>
      <w:r w:rsidR="005F2D09">
        <w:t xml:space="preserve"> </w:t>
      </w:r>
      <w:r w:rsidR="00E56831">
        <w:t xml:space="preserve">as </w:t>
      </w:r>
      <w:r w:rsidR="005F2D09">
        <w:t>further evidence that the ADAR</w:t>
      </w:r>
      <w:r w:rsidR="006E65BE">
        <w:t xml:space="preserve"> model</w:t>
      </w:r>
      <w:r w:rsidR="005F2D09">
        <w:t xml:space="preserve"> is conservative in its assumptions. </w:t>
      </w:r>
    </w:p>
    <w:p w14:paraId="1C26504B" w14:textId="51AAC054" w:rsidR="0049629E" w:rsidRDefault="009774D2" w:rsidP="00330A0A">
      <w:r>
        <w:t xml:space="preserve">The model also does not account for non-responders (19 patients (15%) in the STAR study), nor allow for any health gains within the comparator arm. </w:t>
      </w:r>
      <w:r w:rsidR="006E65BE">
        <w:t xml:space="preserve">However the </w:t>
      </w:r>
      <w:r w:rsidR="00E859FC">
        <w:t xml:space="preserve">applicant’s </w:t>
      </w:r>
      <w:r w:rsidR="006E65BE">
        <w:t>pre-ESC response noted that t</w:t>
      </w:r>
      <w:r w:rsidR="006E65BE" w:rsidRPr="006E65BE">
        <w:t>he mean effect for the full cohort</w:t>
      </w:r>
      <w:r w:rsidR="006E65BE">
        <w:t xml:space="preserve"> already</w:t>
      </w:r>
      <w:r w:rsidR="006E65BE" w:rsidRPr="006E65BE">
        <w:t xml:space="preserve"> takes into consideration the effect observed in the 15% non</w:t>
      </w:r>
      <w:r w:rsidR="006E65BE">
        <w:t>-</w:t>
      </w:r>
      <w:r w:rsidR="006E65BE" w:rsidRPr="006E65BE">
        <w:t>responders</w:t>
      </w:r>
      <w:r w:rsidR="006E65BE">
        <w:t>.</w:t>
      </w:r>
    </w:p>
    <w:p w14:paraId="235926AE" w14:textId="5C828ED0" w:rsidR="00DF1100" w:rsidRPr="00DF1100" w:rsidRDefault="0049629E" w:rsidP="00DF1100">
      <w:r>
        <w:t xml:space="preserve">Finally, the safety outcomes for UAS have been poorly reported and </w:t>
      </w:r>
      <w:r w:rsidR="002D720D">
        <w:t>not studie</w:t>
      </w:r>
      <w:r w:rsidR="00931BED">
        <w:t>d</w:t>
      </w:r>
      <w:r w:rsidR="002D720D">
        <w:t xml:space="preserve"> over longer time periods. The model relies on sponsor</w:t>
      </w:r>
      <w:r w:rsidR="00B95C8A">
        <w:t xml:space="preserve"> </w:t>
      </w:r>
      <w:r w:rsidR="002D720D">
        <w:t xml:space="preserve">provided rates of device replacement and battery life and actual rates may differ significantly. Furthermore, lead and pulse generator repositioning or revision are not included in the model, are not infrequently reported in the literature and would add to the cost of UAS. </w:t>
      </w:r>
      <w:r w:rsidR="0035547C">
        <w:t xml:space="preserve">However the </w:t>
      </w:r>
      <w:r w:rsidR="00E859FC">
        <w:t xml:space="preserve">applicant’s </w:t>
      </w:r>
      <w:r w:rsidR="0035547C">
        <w:t xml:space="preserve">pre-ESC </w:t>
      </w:r>
      <w:r w:rsidR="006A4802">
        <w:t xml:space="preserve">response </w:t>
      </w:r>
      <w:r w:rsidR="0035547C">
        <w:t xml:space="preserve">considered that the impact of the additional cost of </w:t>
      </w:r>
      <w:r w:rsidR="0035547C" w:rsidRPr="0035547C">
        <w:t>lead/device repositioning costs</w:t>
      </w:r>
      <w:r w:rsidR="0035547C">
        <w:t xml:space="preserve"> would be small </w:t>
      </w:r>
      <w:r w:rsidR="0035547C" w:rsidRPr="0035547C">
        <w:t>in light of very low event rates in contemporary practice</w:t>
      </w:r>
      <w:r w:rsidR="0035547C">
        <w:t xml:space="preserve">, citing an event rate of </w:t>
      </w:r>
      <w:r w:rsidR="0035547C" w:rsidRPr="0035547C">
        <w:t>around 1.5% revisions in the period through 24 months</w:t>
      </w:r>
      <w:r w:rsidR="00BB2ECA">
        <w:t xml:space="preserve"> based on</w:t>
      </w:r>
      <w:r w:rsidR="006A4802">
        <w:t xml:space="preserve"> </w:t>
      </w:r>
      <w:r w:rsidR="00BB2ECA">
        <w:t>safety data from the applicant</w:t>
      </w:r>
      <w:r w:rsidR="006A4802">
        <w:t xml:space="preserve">. The pre-ESC response also noted that based on </w:t>
      </w:r>
      <w:r w:rsidR="00E859FC">
        <w:t xml:space="preserve">the </w:t>
      </w:r>
      <w:r w:rsidR="006A4802">
        <w:t>applicant</w:t>
      </w:r>
      <w:r w:rsidR="00E859FC">
        <w:t>’s</w:t>
      </w:r>
      <w:r w:rsidR="006A4802">
        <w:t xml:space="preserve"> safety data, these event rates have been decreasing over time and that therefore evidence from published literature from some years ago will not properly reflect contemporary real-world data. </w:t>
      </w:r>
      <w:bookmarkStart w:id="52" w:name="_Ref69726347"/>
      <w:r w:rsidR="00DF1100">
        <w:br w:type="page"/>
      </w:r>
    </w:p>
    <w:p w14:paraId="2C785A4C" w14:textId="717B542D" w:rsidR="008B5B67" w:rsidRPr="00CE28E3" w:rsidRDefault="008B5B67" w:rsidP="00135FC9">
      <w:pPr>
        <w:pStyle w:val="Caption"/>
      </w:pPr>
      <w:r w:rsidRPr="00CE28E3">
        <w:lastRenderedPageBreak/>
        <w:t>Table</w:t>
      </w:r>
      <w:r w:rsidR="003571C2">
        <w:t> </w:t>
      </w:r>
      <w:r w:rsidR="00660A4F">
        <w:t>16</w:t>
      </w:r>
      <w:bookmarkEnd w:id="52"/>
      <w:r w:rsidRPr="00CE28E3">
        <w:tab/>
        <w:t>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ensitivity analyses"/>
        <w:tblDescription w:val="Presents key sensitivity analysis for the cost utility analysis of UAS"/>
      </w:tblPr>
      <w:tblGrid>
        <w:gridCol w:w="4039"/>
        <w:gridCol w:w="1659"/>
        <w:gridCol w:w="1659"/>
        <w:gridCol w:w="1659"/>
      </w:tblGrid>
      <w:tr w:rsidR="008B5B67" w:rsidRPr="00CE28E3" w14:paraId="69171B90" w14:textId="77777777" w:rsidTr="00B8535F">
        <w:trPr>
          <w:cantSplit/>
          <w:trHeight w:val="420"/>
          <w:tblHeader/>
        </w:trPr>
        <w:tc>
          <w:tcPr>
            <w:tcW w:w="2240" w:type="pct"/>
            <w:vAlign w:val="center"/>
          </w:tcPr>
          <w:p w14:paraId="202CD84C" w14:textId="77777777" w:rsidR="008B5B67" w:rsidRPr="00CE28E3" w:rsidRDefault="008B5B67" w:rsidP="00135FC9">
            <w:pPr>
              <w:pStyle w:val="In-tableHeading"/>
            </w:pPr>
            <w:bookmarkStart w:id="53" w:name="Title_Table11" w:colFirst="0" w:colLast="0"/>
            <w:bookmarkStart w:id="54" w:name="_Hlk68276702"/>
            <w:r w:rsidRPr="00CE28E3">
              <w:t>Analyses</w:t>
            </w:r>
          </w:p>
        </w:tc>
        <w:tc>
          <w:tcPr>
            <w:tcW w:w="920" w:type="pct"/>
            <w:vAlign w:val="center"/>
          </w:tcPr>
          <w:p w14:paraId="7372A868" w14:textId="77777777" w:rsidR="008B5B67" w:rsidRPr="00CE28E3" w:rsidRDefault="008B5B67" w:rsidP="00135FC9">
            <w:pPr>
              <w:pStyle w:val="In-tableHeading"/>
              <w:jc w:val="center"/>
            </w:pPr>
            <w:r w:rsidRPr="00CE28E3">
              <w:t>Incremental cost</w:t>
            </w:r>
          </w:p>
        </w:tc>
        <w:tc>
          <w:tcPr>
            <w:tcW w:w="920" w:type="pct"/>
            <w:vAlign w:val="center"/>
          </w:tcPr>
          <w:p w14:paraId="10B3A4F5" w14:textId="77777777" w:rsidR="008B5B67" w:rsidRPr="00CE28E3" w:rsidRDefault="008B5B67" w:rsidP="00135FC9">
            <w:pPr>
              <w:pStyle w:val="In-tableHeading"/>
              <w:jc w:val="center"/>
            </w:pPr>
            <w:r w:rsidRPr="00CE28E3">
              <w:t>Incremental QALY</w:t>
            </w:r>
          </w:p>
        </w:tc>
        <w:tc>
          <w:tcPr>
            <w:tcW w:w="920" w:type="pct"/>
            <w:vAlign w:val="center"/>
          </w:tcPr>
          <w:p w14:paraId="56CBF231" w14:textId="77777777" w:rsidR="008B5B67" w:rsidRPr="00CE28E3" w:rsidRDefault="008B5B67" w:rsidP="00135FC9">
            <w:pPr>
              <w:pStyle w:val="In-tableHeading"/>
              <w:jc w:val="center"/>
            </w:pPr>
            <w:r w:rsidRPr="00CE28E3">
              <w:t>ICER</w:t>
            </w:r>
          </w:p>
        </w:tc>
      </w:tr>
      <w:bookmarkEnd w:id="53"/>
      <w:tr w:rsidR="008B5B67" w:rsidRPr="00CE28E3" w14:paraId="451EB8ED" w14:textId="77777777" w:rsidTr="003B61B7">
        <w:trPr>
          <w:cantSplit/>
        </w:trPr>
        <w:tc>
          <w:tcPr>
            <w:tcW w:w="2240" w:type="pct"/>
          </w:tcPr>
          <w:p w14:paraId="36895461" w14:textId="77777777" w:rsidR="008B5B67" w:rsidRPr="00CE28E3" w:rsidRDefault="008B5B67" w:rsidP="00211DC3">
            <w:pPr>
              <w:pStyle w:val="TableText"/>
              <w:keepNext/>
              <w:rPr>
                <w:b/>
              </w:rPr>
            </w:pPr>
            <w:r w:rsidRPr="00CE28E3">
              <w:rPr>
                <w:b/>
              </w:rPr>
              <w:t>Base case</w:t>
            </w:r>
          </w:p>
        </w:tc>
        <w:tc>
          <w:tcPr>
            <w:tcW w:w="920" w:type="pct"/>
          </w:tcPr>
          <w:p w14:paraId="4D76EAC0" w14:textId="20A50F31" w:rsidR="00887AAA" w:rsidRPr="0056646A" w:rsidRDefault="00887AAA" w:rsidP="0056646A">
            <w:pPr>
              <w:pStyle w:val="TableText"/>
              <w:jc w:val="center"/>
              <w:rPr>
                <w:b/>
                <w:bCs/>
                <w:highlight w:val="black"/>
              </w:rPr>
            </w:pPr>
            <w:r w:rsidRPr="0056646A">
              <w:rPr>
                <w:b/>
                <w:bCs/>
              </w:rPr>
              <w:t>$55,707</w:t>
            </w:r>
          </w:p>
        </w:tc>
        <w:tc>
          <w:tcPr>
            <w:tcW w:w="920" w:type="pct"/>
          </w:tcPr>
          <w:p w14:paraId="66189599" w14:textId="28E6B69D" w:rsidR="008B5B67" w:rsidRPr="0056646A" w:rsidRDefault="00EF3A0F" w:rsidP="0056646A">
            <w:pPr>
              <w:pStyle w:val="TableText"/>
              <w:jc w:val="center"/>
              <w:rPr>
                <w:b/>
                <w:bCs/>
              </w:rPr>
            </w:pPr>
            <w:r w:rsidRPr="0056646A">
              <w:rPr>
                <w:b/>
                <w:bCs/>
              </w:rPr>
              <w:t>1.17</w:t>
            </w:r>
          </w:p>
        </w:tc>
        <w:tc>
          <w:tcPr>
            <w:tcW w:w="920" w:type="pct"/>
          </w:tcPr>
          <w:p w14:paraId="58300438" w14:textId="3F254E26" w:rsidR="00887AAA" w:rsidRPr="0056646A" w:rsidRDefault="00887AAA" w:rsidP="0056646A">
            <w:pPr>
              <w:pStyle w:val="TableText"/>
              <w:jc w:val="center"/>
              <w:rPr>
                <w:b/>
                <w:bCs/>
                <w:highlight w:val="black"/>
              </w:rPr>
            </w:pPr>
            <w:r w:rsidRPr="0056646A">
              <w:rPr>
                <w:b/>
                <w:bCs/>
              </w:rPr>
              <w:t>$47,662</w:t>
            </w:r>
          </w:p>
        </w:tc>
      </w:tr>
      <w:tr w:rsidR="00EF3A0F" w:rsidRPr="00CE28E3" w14:paraId="26F853C8" w14:textId="77777777" w:rsidTr="003B61B7">
        <w:trPr>
          <w:cantSplit/>
        </w:trPr>
        <w:tc>
          <w:tcPr>
            <w:tcW w:w="2240" w:type="pct"/>
          </w:tcPr>
          <w:p w14:paraId="0DD4E521" w14:textId="50354647" w:rsidR="00EF3A0F" w:rsidRPr="00CE28E3" w:rsidRDefault="00EF3A0F" w:rsidP="00211DC3">
            <w:pPr>
              <w:pStyle w:val="TableText"/>
              <w:keepNext/>
              <w:rPr>
                <w:b/>
              </w:rPr>
            </w:pPr>
            <w:r>
              <w:rPr>
                <w:b/>
              </w:rPr>
              <w:t>Commentary base case (15 years)</w:t>
            </w:r>
          </w:p>
        </w:tc>
        <w:tc>
          <w:tcPr>
            <w:tcW w:w="920" w:type="pct"/>
          </w:tcPr>
          <w:p w14:paraId="3B66D078" w14:textId="3C027F82" w:rsidR="008503F7" w:rsidRPr="0056646A" w:rsidRDefault="008503F7" w:rsidP="0056646A">
            <w:pPr>
              <w:pStyle w:val="TableText"/>
              <w:jc w:val="center"/>
              <w:rPr>
                <w:b/>
                <w:bCs/>
                <w:vertAlign w:val="superscript"/>
              </w:rPr>
            </w:pPr>
            <w:r w:rsidRPr="0056646A">
              <w:rPr>
                <w:b/>
                <w:bCs/>
              </w:rPr>
              <w:t>$49,0</w:t>
            </w:r>
            <w:r w:rsidR="001E1D14" w:rsidRPr="0056646A">
              <w:rPr>
                <w:b/>
                <w:bCs/>
              </w:rPr>
              <w:t>53</w:t>
            </w:r>
          </w:p>
        </w:tc>
        <w:tc>
          <w:tcPr>
            <w:tcW w:w="920" w:type="pct"/>
          </w:tcPr>
          <w:p w14:paraId="72586F3F" w14:textId="59CADB31" w:rsidR="00EF3A0F" w:rsidRPr="0056646A" w:rsidRDefault="00EF3A0F" w:rsidP="0056646A">
            <w:pPr>
              <w:pStyle w:val="TableText"/>
              <w:jc w:val="center"/>
              <w:rPr>
                <w:b/>
                <w:bCs/>
              </w:rPr>
            </w:pPr>
            <w:r w:rsidRPr="0056646A">
              <w:rPr>
                <w:b/>
                <w:bCs/>
              </w:rPr>
              <w:t>0.77</w:t>
            </w:r>
          </w:p>
        </w:tc>
        <w:tc>
          <w:tcPr>
            <w:tcW w:w="920" w:type="pct"/>
          </w:tcPr>
          <w:p w14:paraId="45B0B40E" w14:textId="3BE758CC" w:rsidR="008503F7" w:rsidRPr="0056646A" w:rsidRDefault="008503F7" w:rsidP="0056646A">
            <w:pPr>
              <w:pStyle w:val="TableText"/>
              <w:jc w:val="center"/>
              <w:rPr>
                <w:b/>
                <w:bCs/>
                <w:vertAlign w:val="superscript"/>
              </w:rPr>
            </w:pPr>
            <w:r w:rsidRPr="0056646A">
              <w:rPr>
                <w:b/>
                <w:bCs/>
              </w:rPr>
              <w:t>$63,</w:t>
            </w:r>
            <w:r w:rsidR="002647C5">
              <w:rPr>
                <w:b/>
                <w:bCs/>
              </w:rPr>
              <w:t>899</w:t>
            </w:r>
          </w:p>
        </w:tc>
      </w:tr>
      <w:tr w:rsidR="008B5B67" w:rsidRPr="00CE28E3" w14:paraId="654D60EF" w14:textId="77777777" w:rsidTr="003B61B7">
        <w:trPr>
          <w:cantSplit/>
        </w:trPr>
        <w:tc>
          <w:tcPr>
            <w:tcW w:w="5000" w:type="pct"/>
            <w:gridSpan w:val="4"/>
          </w:tcPr>
          <w:p w14:paraId="46A93B1B" w14:textId="22A859BD" w:rsidR="008B5B67" w:rsidRPr="00CE28E3" w:rsidRDefault="008B5B67" w:rsidP="0056646A">
            <w:pPr>
              <w:pStyle w:val="TableText"/>
            </w:pPr>
            <w:bookmarkStart w:id="55" w:name="_Hlk121384701"/>
            <w:r w:rsidRPr="00CE28E3">
              <w:t xml:space="preserve">Time horizon (base case </w:t>
            </w:r>
            <w:r w:rsidR="00EF3A0F">
              <w:t>lifetime</w:t>
            </w:r>
            <w:r w:rsidRPr="00CE28E3">
              <w:t>)</w:t>
            </w:r>
          </w:p>
        </w:tc>
      </w:tr>
      <w:bookmarkEnd w:id="55"/>
      <w:tr w:rsidR="008B5B67" w:rsidRPr="00CE28E3" w14:paraId="00742E59" w14:textId="77777777" w:rsidTr="003B61B7">
        <w:trPr>
          <w:cantSplit/>
        </w:trPr>
        <w:tc>
          <w:tcPr>
            <w:tcW w:w="2240" w:type="pct"/>
          </w:tcPr>
          <w:p w14:paraId="648CA0C4" w14:textId="0F9F828F" w:rsidR="008B5B67" w:rsidRPr="00CE28E3" w:rsidRDefault="00EF3A0F" w:rsidP="0048624F">
            <w:pPr>
              <w:pStyle w:val="TableText"/>
              <w:keepNext/>
              <w:ind w:left="720"/>
            </w:pPr>
            <w:r>
              <w:t>5</w:t>
            </w:r>
            <w:r w:rsidR="008B5B67" w:rsidRPr="00CE28E3">
              <w:t xml:space="preserve"> years</w:t>
            </w:r>
          </w:p>
        </w:tc>
        <w:tc>
          <w:tcPr>
            <w:tcW w:w="920" w:type="pct"/>
          </w:tcPr>
          <w:p w14:paraId="02006748" w14:textId="3FCA4538" w:rsidR="00166995" w:rsidRPr="00887AAA" w:rsidRDefault="00166995" w:rsidP="0056646A">
            <w:pPr>
              <w:pStyle w:val="TableText"/>
              <w:jc w:val="center"/>
              <w:rPr>
                <w:highlight w:val="black"/>
              </w:rPr>
            </w:pPr>
            <w:r w:rsidRPr="00887AAA">
              <w:t>$36,096</w:t>
            </w:r>
          </w:p>
        </w:tc>
        <w:tc>
          <w:tcPr>
            <w:tcW w:w="920" w:type="pct"/>
          </w:tcPr>
          <w:p w14:paraId="6486F418" w14:textId="58BD5FF3" w:rsidR="008B5B67" w:rsidRPr="00CE28E3" w:rsidRDefault="00EF3A0F" w:rsidP="0056646A">
            <w:pPr>
              <w:pStyle w:val="TableText"/>
              <w:jc w:val="center"/>
            </w:pPr>
            <w:r w:rsidRPr="00EF3A0F">
              <w:rPr>
                <w:rFonts w:eastAsia="Calibri"/>
              </w:rPr>
              <w:t>0.32</w:t>
            </w:r>
          </w:p>
        </w:tc>
        <w:tc>
          <w:tcPr>
            <w:tcW w:w="920" w:type="pct"/>
          </w:tcPr>
          <w:p w14:paraId="284F2CBE" w14:textId="345EBE14" w:rsidR="00166995" w:rsidRPr="00887AAA" w:rsidRDefault="00166995" w:rsidP="0056646A">
            <w:pPr>
              <w:pStyle w:val="TableText"/>
              <w:jc w:val="center"/>
            </w:pPr>
            <w:r w:rsidRPr="00887AAA">
              <w:t>$113,845</w:t>
            </w:r>
          </w:p>
        </w:tc>
      </w:tr>
      <w:tr w:rsidR="00EF3A0F" w:rsidRPr="00CE28E3" w14:paraId="20ADCDEF" w14:textId="77777777" w:rsidTr="00BA7847">
        <w:trPr>
          <w:cantSplit/>
        </w:trPr>
        <w:tc>
          <w:tcPr>
            <w:tcW w:w="5000" w:type="pct"/>
            <w:gridSpan w:val="4"/>
          </w:tcPr>
          <w:p w14:paraId="18C03494" w14:textId="1CADFFDF" w:rsidR="00EF3A0F" w:rsidRPr="00CE28E3" w:rsidRDefault="00EF3A0F" w:rsidP="0056646A">
            <w:pPr>
              <w:pStyle w:val="TableText"/>
            </w:pPr>
            <w:bookmarkStart w:id="56" w:name="_Hlk121384876"/>
            <w:r>
              <w:t xml:space="preserve">CV </w:t>
            </w:r>
            <w:r w:rsidR="00DE4669">
              <w:t>r</w:t>
            </w:r>
            <w:r>
              <w:t xml:space="preserve">isk </w:t>
            </w:r>
            <w:r w:rsidR="00DE4669">
              <w:t>r</w:t>
            </w:r>
            <w:r>
              <w:t>eduction</w:t>
            </w:r>
            <w:r w:rsidRPr="00CE28E3">
              <w:t xml:space="preserve"> (base case </w:t>
            </w:r>
            <w:r>
              <w:t>68%</w:t>
            </w:r>
            <w:r w:rsidRPr="00CE28E3">
              <w:t>)</w:t>
            </w:r>
          </w:p>
        </w:tc>
      </w:tr>
      <w:bookmarkEnd w:id="56"/>
      <w:tr w:rsidR="00EF3A0F" w:rsidRPr="00CE28E3" w14:paraId="3E7EDDC2" w14:textId="77777777" w:rsidTr="003B61B7">
        <w:trPr>
          <w:cantSplit/>
          <w:trHeight w:val="283"/>
        </w:trPr>
        <w:tc>
          <w:tcPr>
            <w:tcW w:w="2240" w:type="pct"/>
          </w:tcPr>
          <w:p w14:paraId="3E2EF224" w14:textId="5F34AEBA" w:rsidR="00EF3A0F" w:rsidRPr="00CE28E3" w:rsidRDefault="00EF3A0F" w:rsidP="0048624F">
            <w:pPr>
              <w:pStyle w:val="TableText"/>
              <w:keepNext/>
              <w:ind w:left="720"/>
            </w:pPr>
            <w:r>
              <w:t>50%</w:t>
            </w:r>
            <w:r w:rsidR="00931BED">
              <w:t xml:space="preserve"> (</w:t>
            </w:r>
            <w:r w:rsidR="00942C40">
              <w:t>l</w:t>
            </w:r>
            <w:r w:rsidR="00931BED">
              <w:t>ifetime horizon)</w:t>
            </w:r>
          </w:p>
        </w:tc>
        <w:tc>
          <w:tcPr>
            <w:tcW w:w="920" w:type="pct"/>
          </w:tcPr>
          <w:p w14:paraId="2A0C2805" w14:textId="05AD7FB5" w:rsidR="002A4B8D" w:rsidRPr="00887AAA" w:rsidRDefault="002A4B8D" w:rsidP="0056646A">
            <w:pPr>
              <w:pStyle w:val="TableText"/>
              <w:jc w:val="center"/>
            </w:pPr>
            <w:r w:rsidRPr="00887AAA">
              <w:t>$53,327</w:t>
            </w:r>
          </w:p>
        </w:tc>
        <w:tc>
          <w:tcPr>
            <w:tcW w:w="920" w:type="pct"/>
          </w:tcPr>
          <w:p w14:paraId="2F681299" w14:textId="66C08011" w:rsidR="002A4B8D" w:rsidRPr="00887AAA" w:rsidRDefault="002A4B8D" w:rsidP="0056646A">
            <w:pPr>
              <w:pStyle w:val="TableText"/>
              <w:jc w:val="center"/>
            </w:pPr>
            <w:r w:rsidRPr="00887AAA">
              <w:t>1.01</w:t>
            </w:r>
          </w:p>
        </w:tc>
        <w:tc>
          <w:tcPr>
            <w:tcW w:w="920" w:type="pct"/>
          </w:tcPr>
          <w:p w14:paraId="469E35B3" w14:textId="10840903" w:rsidR="002A4B8D" w:rsidRPr="00887AAA" w:rsidRDefault="002A4B8D" w:rsidP="0056646A">
            <w:pPr>
              <w:pStyle w:val="TableText"/>
              <w:jc w:val="center"/>
            </w:pPr>
            <w:r w:rsidRPr="00887AAA">
              <w:t>$52,576</w:t>
            </w:r>
          </w:p>
        </w:tc>
      </w:tr>
      <w:tr w:rsidR="00931BED" w:rsidRPr="00CE28E3" w14:paraId="65B16FC9" w14:textId="77777777" w:rsidTr="003B61B7">
        <w:trPr>
          <w:cantSplit/>
          <w:trHeight w:val="283"/>
        </w:trPr>
        <w:tc>
          <w:tcPr>
            <w:tcW w:w="2240" w:type="pct"/>
          </w:tcPr>
          <w:p w14:paraId="3D6A41F8" w14:textId="15C17A36" w:rsidR="00931BED" w:rsidRDefault="00931BED" w:rsidP="0048624F">
            <w:pPr>
              <w:pStyle w:val="TableText"/>
              <w:keepNext/>
              <w:ind w:left="720"/>
            </w:pPr>
            <w:r>
              <w:t>50% (</w:t>
            </w:r>
            <w:r w:rsidR="00942C40">
              <w:t>15-year</w:t>
            </w:r>
            <w:r>
              <w:t xml:space="preserve"> time horizon)</w:t>
            </w:r>
          </w:p>
        </w:tc>
        <w:tc>
          <w:tcPr>
            <w:tcW w:w="920" w:type="pct"/>
          </w:tcPr>
          <w:p w14:paraId="3071A9A0" w14:textId="109168FC" w:rsidR="00931BED" w:rsidRPr="00887AAA" w:rsidRDefault="008503F7" w:rsidP="0056646A">
            <w:pPr>
              <w:pStyle w:val="TableText"/>
              <w:jc w:val="center"/>
            </w:pPr>
            <w:r w:rsidRPr="00887AAA">
              <w:t>$48,3</w:t>
            </w:r>
            <w:r w:rsidR="001E1D14" w:rsidRPr="00887AAA">
              <w:t>26</w:t>
            </w:r>
          </w:p>
        </w:tc>
        <w:tc>
          <w:tcPr>
            <w:tcW w:w="920" w:type="pct"/>
          </w:tcPr>
          <w:p w14:paraId="1385337F" w14:textId="124CC3F4" w:rsidR="00931BED" w:rsidRPr="00887AAA" w:rsidRDefault="008503F7" w:rsidP="0056646A">
            <w:pPr>
              <w:pStyle w:val="TableText"/>
              <w:jc w:val="center"/>
            </w:pPr>
            <w:r w:rsidRPr="00887AAA">
              <w:t>0.73</w:t>
            </w:r>
          </w:p>
        </w:tc>
        <w:tc>
          <w:tcPr>
            <w:tcW w:w="920" w:type="pct"/>
          </w:tcPr>
          <w:p w14:paraId="781556D7" w14:textId="70044EA5" w:rsidR="00931BED" w:rsidRPr="00887AAA" w:rsidRDefault="008503F7" w:rsidP="0056646A">
            <w:pPr>
              <w:pStyle w:val="TableText"/>
              <w:jc w:val="center"/>
            </w:pPr>
            <w:r w:rsidRPr="00887AAA">
              <w:t>$66,2</w:t>
            </w:r>
            <w:r w:rsidR="001E1D14" w:rsidRPr="00887AAA">
              <w:t>58</w:t>
            </w:r>
          </w:p>
        </w:tc>
      </w:tr>
      <w:tr w:rsidR="008B5B67" w:rsidRPr="00CE28E3" w14:paraId="4520D3D7" w14:textId="77777777" w:rsidTr="003B61B7">
        <w:trPr>
          <w:cantSplit/>
          <w:trHeight w:val="283"/>
        </w:trPr>
        <w:tc>
          <w:tcPr>
            <w:tcW w:w="2240" w:type="pct"/>
          </w:tcPr>
          <w:p w14:paraId="0422BE17" w14:textId="69DB9338" w:rsidR="008B5B67" w:rsidRPr="00CE28E3" w:rsidRDefault="00EF3A0F" w:rsidP="0048624F">
            <w:pPr>
              <w:pStyle w:val="TableText"/>
              <w:keepNext/>
              <w:ind w:left="720"/>
            </w:pPr>
            <w:r>
              <w:t>No CV risk reduction benefit</w:t>
            </w:r>
            <w:r w:rsidR="00931BED">
              <w:t xml:space="preserve"> (</w:t>
            </w:r>
            <w:r w:rsidR="00942C40">
              <w:t>l</w:t>
            </w:r>
            <w:r w:rsidR="00931BED">
              <w:t xml:space="preserve">ifetime </w:t>
            </w:r>
            <w:r w:rsidR="00942C40">
              <w:t>h</w:t>
            </w:r>
            <w:r w:rsidR="00931BED">
              <w:t>orizon)</w:t>
            </w:r>
          </w:p>
        </w:tc>
        <w:tc>
          <w:tcPr>
            <w:tcW w:w="920" w:type="pct"/>
          </w:tcPr>
          <w:p w14:paraId="43E31CD9" w14:textId="25E6906A" w:rsidR="002A4B8D" w:rsidRPr="00887AAA" w:rsidRDefault="002A4B8D" w:rsidP="0056646A">
            <w:pPr>
              <w:pStyle w:val="TableText"/>
              <w:jc w:val="center"/>
              <w:rPr>
                <w:highlight w:val="black"/>
              </w:rPr>
            </w:pPr>
            <w:r w:rsidRPr="00887AAA">
              <w:t>$57,915</w:t>
            </w:r>
          </w:p>
        </w:tc>
        <w:tc>
          <w:tcPr>
            <w:tcW w:w="920" w:type="pct"/>
          </w:tcPr>
          <w:p w14:paraId="7AD68169" w14:textId="7E8617A8" w:rsidR="002A4B8D" w:rsidRPr="00887AAA" w:rsidRDefault="002A4B8D" w:rsidP="0056646A">
            <w:pPr>
              <w:pStyle w:val="TableText"/>
              <w:jc w:val="center"/>
            </w:pPr>
            <w:r w:rsidRPr="00887AAA">
              <w:t>0.76</w:t>
            </w:r>
          </w:p>
        </w:tc>
        <w:tc>
          <w:tcPr>
            <w:tcW w:w="920" w:type="pct"/>
          </w:tcPr>
          <w:p w14:paraId="122F8C2A" w14:textId="1B633FC3" w:rsidR="002A4B8D" w:rsidRPr="00887AAA" w:rsidRDefault="002A4B8D" w:rsidP="0056646A">
            <w:pPr>
              <w:pStyle w:val="TableText"/>
              <w:jc w:val="center"/>
              <w:rPr>
                <w:highlight w:val="black"/>
              </w:rPr>
            </w:pPr>
            <w:r w:rsidRPr="00887AAA">
              <w:t>$76,340</w:t>
            </w:r>
          </w:p>
        </w:tc>
      </w:tr>
      <w:tr w:rsidR="00931BED" w:rsidRPr="00CE28E3" w14:paraId="6FECE0A4" w14:textId="77777777" w:rsidTr="003B61B7">
        <w:trPr>
          <w:cantSplit/>
          <w:trHeight w:val="283"/>
        </w:trPr>
        <w:tc>
          <w:tcPr>
            <w:tcW w:w="2240" w:type="pct"/>
          </w:tcPr>
          <w:p w14:paraId="403D9539" w14:textId="03F2A2D5" w:rsidR="00931BED" w:rsidRDefault="00942C40" w:rsidP="0048624F">
            <w:pPr>
              <w:pStyle w:val="TableText"/>
              <w:keepNext/>
              <w:ind w:left="720"/>
            </w:pPr>
            <w:r>
              <w:t>No CV risk reduction benefit (15-year time horizon)</w:t>
            </w:r>
          </w:p>
        </w:tc>
        <w:tc>
          <w:tcPr>
            <w:tcW w:w="920" w:type="pct"/>
          </w:tcPr>
          <w:p w14:paraId="15928314" w14:textId="3081BC9D" w:rsidR="00931BED" w:rsidRPr="00887AAA" w:rsidRDefault="008503F7" w:rsidP="0056646A">
            <w:pPr>
              <w:pStyle w:val="TableText"/>
              <w:jc w:val="center"/>
            </w:pPr>
            <w:r w:rsidRPr="00887AAA">
              <w:t>$50,85</w:t>
            </w:r>
            <w:r w:rsidR="001E1D14" w:rsidRPr="00887AAA">
              <w:t>6</w:t>
            </w:r>
          </w:p>
        </w:tc>
        <w:tc>
          <w:tcPr>
            <w:tcW w:w="920" w:type="pct"/>
          </w:tcPr>
          <w:p w14:paraId="30BB41CD" w14:textId="5C9CC8B7" w:rsidR="00931BED" w:rsidRPr="00887AAA" w:rsidRDefault="008503F7" w:rsidP="0056646A">
            <w:pPr>
              <w:pStyle w:val="TableText"/>
              <w:jc w:val="center"/>
            </w:pPr>
            <w:r w:rsidRPr="00887AAA">
              <w:t>0.63</w:t>
            </w:r>
          </w:p>
        </w:tc>
        <w:tc>
          <w:tcPr>
            <w:tcW w:w="920" w:type="pct"/>
          </w:tcPr>
          <w:p w14:paraId="1AD81D68" w14:textId="3C4C4B93" w:rsidR="00931BED" w:rsidRPr="00887AAA" w:rsidRDefault="008503F7" w:rsidP="0056646A">
            <w:pPr>
              <w:pStyle w:val="TableText"/>
              <w:jc w:val="center"/>
            </w:pPr>
            <w:r w:rsidRPr="00887AAA">
              <w:t>$8</w:t>
            </w:r>
            <w:r w:rsidR="001E1D14" w:rsidRPr="00887AAA">
              <w:t>1</w:t>
            </w:r>
            <w:r w:rsidRPr="00887AAA">
              <w:t>,</w:t>
            </w:r>
            <w:r w:rsidR="001E1D14" w:rsidRPr="00887AAA">
              <w:t>210</w:t>
            </w:r>
          </w:p>
        </w:tc>
      </w:tr>
      <w:tr w:rsidR="00EF3A0F" w:rsidRPr="00CE28E3" w14:paraId="1F0AE0DB" w14:textId="77777777" w:rsidTr="00BA7847">
        <w:trPr>
          <w:cantSplit/>
        </w:trPr>
        <w:tc>
          <w:tcPr>
            <w:tcW w:w="5000" w:type="pct"/>
            <w:gridSpan w:val="4"/>
          </w:tcPr>
          <w:p w14:paraId="1382E153" w14:textId="726996D1" w:rsidR="00EF3A0F" w:rsidRPr="00CE28E3" w:rsidRDefault="00EF3A0F" w:rsidP="0056646A">
            <w:pPr>
              <w:pStyle w:val="TableText"/>
            </w:pPr>
            <w:r>
              <w:t xml:space="preserve">MVC </w:t>
            </w:r>
            <w:r w:rsidR="00DE4669">
              <w:t>r</w:t>
            </w:r>
            <w:r>
              <w:t xml:space="preserve">isk </w:t>
            </w:r>
            <w:r w:rsidR="00DE4669">
              <w:t>r</w:t>
            </w:r>
            <w:r>
              <w:t>eduction</w:t>
            </w:r>
            <w:r w:rsidRPr="00CE28E3">
              <w:t xml:space="preserve"> (base case </w:t>
            </w:r>
            <w:r>
              <w:t>100%</w:t>
            </w:r>
            <w:r w:rsidRPr="00CE28E3">
              <w:t>)</w:t>
            </w:r>
          </w:p>
        </w:tc>
      </w:tr>
      <w:tr w:rsidR="008B5B67" w:rsidRPr="00CE28E3" w14:paraId="607079A8" w14:textId="12BA454D" w:rsidTr="003B61B7">
        <w:trPr>
          <w:cantSplit/>
          <w:trHeight w:val="283"/>
        </w:trPr>
        <w:tc>
          <w:tcPr>
            <w:tcW w:w="2240" w:type="pct"/>
          </w:tcPr>
          <w:p w14:paraId="176BBBDF" w14:textId="7B127223" w:rsidR="008B5B67" w:rsidRPr="00CE28E3" w:rsidRDefault="00122D5D" w:rsidP="0048624F">
            <w:pPr>
              <w:pStyle w:val="TableText"/>
              <w:keepNext/>
              <w:ind w:left="720"/>
            </w:pPr>
            <w:r>
              <w:t>50%</w:t>
            </w:r>
            <w:r w:rsidR="00942C40">
              <w:t xml:space="preserve"> (lifetime horizon)</w:t>
            </w:r>
          </w:p>
        </w:tc>
        <w:tc>
          <w:tcPr>
            <w:tcW w:w="920" w:type="pct"/>
          </w:tcPr>
          <w:p w14:paraId="1B13088B" w14:textId="6E56F5F3" w:rsidR="002A4B8D" w:rsidRPr="00887AAA" w:rsidRDefault="002A4B8D" w:rsidP="0056646A">
            <w:pPr>
              <w:pStyle w:val="TableText"/>
              <w:jc w:val="center"/>
            </w:pPr>
            <w:r w:rsidRPr="00887AAA">
              <w:t>$57,637</w:t>
            </w:r>
          </w:p>
        </w:tc>
        <w:tc>
          <w:tcPr>
            <w:tcW w:w="920" w:type="pct"/>
          </w:tcPr>
          <w:p w14:paraId="443B8E9E" w14:textId="31ADBD54" w:rsidR="002A4B8D" w:rsidRPr="00887AAA" w:rsidRDefault="002A4B8D" w:rsidP="0056646A">
            <w:pPr>
              <w:pStyle w:val="TableText"/>
              <w:jc w:val="center"/>
            </w:pPr>
            <w:r w:rsidRPr="00887AAA">
              <w:t>1.15</w:t>
            </w:r>
          </w:p>
        </w:tc>
        <w:tc>
          <w:tcPr>
            <w:tcW w:w="920" w:type="pct"/>
          </w:tcPr>
          <w:p w14:paraId="3BDB203C" w14:textId="19D81BAF" w:rsidR="002A4B8D" w:rsidRPr="00887AAA" w:rsidRDefault="002A4B8D" w:rsidP="0056646A">
            <w:pPr>
              <w:pStyle w:val="TableText"/>
              <w:jc w:val="center"/>
            </w:pPr>
            <w:r w:rsidRPr="00887AAA">
              <w:t>$50,216</w:t>
            </w:r>
          </w:p>
        </w:tc>
      </w:tr>
      <w:tr w:rsidR="00942C40" w:rsidRPr="00CE28E3" w14:paraId="540894A7" w14:textId="77777777" w:rsidTr="003B61B7">
        <w:trPr>
          <w:cantSplit/>
          <w:trHeight w:val="283"/>
        </w:trPr>
        <w:tc>
          <w:tcPr>
            <w:tcW w:w="2240" w:type="pct"/>
          </w:tcPr>
          <w:p w14:paraId="73B1157B" w14:textId="1CA100A6" w:rsidR="00942C40" w:rsidRDefault="00942C40" w:rsidP="0048624F">
            <w:pPr>
              <w:pStyle w:val="TableText"/>
              <w:keepNext/>
              <w:ind w:left="720"/>
            </w:pPr>
            <w:r>
              <w:t>50% (15-year time horizon)</w:t>
            </w:r>
          </w:p>
        </w:tc>
        <w:tc>
          <w:tcPr>
            <w:tcW w:w="920" w:type="pct"/>
          </w:tcPr>
          <w:p w14:paraId="6B91F8E1" w14:textId="5359B5A3" w:rsidR="00942C40" w:rsidRPr="00122D5D" w:rsidRDefault="008503F7" w:rsidP="0056646A">
            <w:pPr>
              <w:pStyle w:val="TableText"/>
              <w:jc w:val="center"/>
              <w:rPr>
                <w:rFonts w:eastAsia="Calibri"/>
              </w:rPr>
            </w:pPr>
            <w:r>
              <w:rPr>
                <w:rFonts w:eastAsia="Calibri"/>
              </w:rPr>
              <w:t>$50,8</w:t>
            </w:r>
            <w:r w:rsidR="001E1D14">
              <w:rPr>
                <w:rFonts w:eastAsia="Calibri"/>
              </w:rPr>
              <w:t>36</w:t>
            </w:r>
          </w:p>
        </w:tc>
        <w:tc>
          <w:tcPr>
            <w:tcW w:w="920" w:type="pct"/>
          </w:tcPr>
          <w:p w14:paraId="5A05D0D7" w14:textId="48B8448F" w:rsidR="00942C40" w:rsidRPr="00122D5D" w:rsidRDefault="008503F7" w:rsidP="0056646A">
            <w:pPr>
              <w:pStyle w:val="TableText"/>
              <w:jc w:val="center"/>
              <w:rPr>
                <w:rFonts w:eastAsia="Calibri"/>
              </w:rPr>
            </w:pPr>
            <w:r>
              <w:rPr>
                <w:rFonts w:eastAsia="Calibri"/>
              </w:rPr>
              <w:t>0.76</w:t>
            </w:r>
          </w:p>
        </w:tc>
        <w:tc>
          <w:tcPr>
            <w:tcW w:w="920" w:type="pct"/>
          </w:tcPr>
          <w:p w14:paraId="2C29A0BF" w14:textId="10691B64" w:rsidR="00942C40" w:rsidRPr="00122D5D" w:rsidRDefault="008503F7" w:rsidP="0056646A">
            <w:pPr>
              <w:pStyle w:val="TableText"/>
              <w:jc w:val="center"/>
              <w:rPr>
                <w:rFonts w:eastAsia="Calibri"/>
              </w:rPr>
            </w:pPr>
            <w:r>
              <w:rPr>
                <w:rFonts w:eastAsia="Calibri"/>
              </w:rPr>
              <w:t>$66,6</w:t>
            </w:r>
            <w:r w:rsidR="001E1D14">
              <w:rPr>
                <w:rFonts w:eastAsia="Calibri"/>
              </w:rPr>
              <w:t>07</w:t>
            </w:r>
          </w:p>
        </w:tc>
      </w:tr>
      <w:tr w:rsidR="00EF3A0F" w:rsidRPr="00CE28E3" w14:paraId="1D4BB6F7" w14:textId="77777777" w:rsidTr="003B61B7">
        <w:trPr>
          <w:cantSplit/>
          <w:trHeight w:val="283"/>
        </w:trPr>
        <w:tc>
          <w:tcPr>
            <w:tcW w:w="2240" w:type="pct"/>
          </w:tcPr>
          <w:p w14:paraId="21307D34" w14:textId="40CC3A50" w:rsidR="00EF3A0F" w:rsidRDefault="00122D5D" w:rsidP="0048624F">
            <w:pPr>
              <w:pStyle w:val="TableText"/>
              <w:keepNext/>
              <w:ind w:left="720"/>
            </w:pPr>
            <w:r>
              <w:t>No MVC risk reduction benefit</w:t>
            </w:r>
            <w:r w:rsidR="00942C40">
              <w:t xml:space="preserve"> (lifetime horizon)</w:t>
            </w:r>
          </w:p>
        </w:tc>
        <w:tc>
          <w:tcPr>
            <w:tcW w:w="920" w:type="pct"/>
          </w:tcPr>
          <w:p w14:paraId="5C3FF59A" w14:textId="1A996621" w:rsidR="002A4B8D" w:rsidRPr="00887AAA" w:rsidRDefault="002A4B8D" w:rsidP="0056646A">
            <w:pPr>
              <w:pStyle w:val="TableText"/>
              <w:jc w:val="center"/>
            </w:pPr>
            <w:r w:rsidRPr="00887AAA">
              <w:t>$60,027</w:t>
            </w:r>
          </w:p>
        </w:tc>
        <w:tc>
          <w:tcPr>
            <w:tcW w:w="920" w:type="pct"/>
          </w:tcPr>
          <w:p w14:paraId="1CBDFA40" w14:textId="1ABEBB57" w:rsidR="002A4B8D" w:rsidRPr="00887AAA" w:rsidRDefault="002A4B8D" w:rsidP="0056646A">
            <w:pPr>
              <w:pStyle w:val="TableText"/>
              <w:jc w:val="center"/>
            </w:pPr>
            <w:r w:rsidRPr="00887AAA">
              <w:t>1.16</w:t>
            </w:r>
          </w:p>
        </w:tc>
        <w:tc>
          <w:tcPr>
            <w:tcW w:w="920" w:type="pct"/>
          </w:tcPr>
          <w:p w14:paraId="3F3632E8" w14:textId="532C62CC" w:rsidR="002A4B8D" w:rsidRPr="00887AAA" w:rsidRDefault="002A4B8D" w:rsidP="0056646A">
            <w:pPr>
              <w:pStyle w:val="TableText"/>
              <w:jc w:val="center"/>
            </w:pPr>
            <w:r w:rsidRPr="00887AAA">
              <w:t>$51,928</w:t>
            </w:r>
          </w:p>
        </w:tc>
      </w:tr>
      <w:tr w:rsidR="00942C40" w:rsidRPr="00CE28E3" w14:paraId="78C4DDF0" w14:textId="77777777" w:rsidTr="003B61B7">
        <w:trPr>
          <w:cantSplit/>
          <w:trHeight w:val="283"/>
        </w:trPr>
        <w:tc>
          <w:tcPr>
            <w:tcW w:w="2240" w:type="pct"/>
          </w:tcPr>
          <w:p w14:paraId="0F24B256" w14:textId="3E4D7F75" w:rsidR="00942C40" w:rsidRDefault="00942C40" w:rsidP="0048624F">
            <w:pPr>
              <w:pStyle w:val="TableText"/>
              <w:keepNext/>
              <w:ind w:left="720"/>
            </w:pPr>
            <w:r>
              <w:t>No MVC risk reduction benefit (15-year time horizon)</w:t>
            </w:r>
          </w:p>
        </w:tc>
        <w:tc>
          <w:tcPr>
            <w:tcW w:w="920" w:type="pct"/>
          </w:tcPr>
          <w:p w14:paraId="0DDA346F" w14:textId="176C49AC" w:rsidR="00942C40" w:rsidRPr="00887AAA" w:rsidRDefault="008503F7" w:rsidP="0056646A">
            <w:pPr>
              <w:pStyle w:val="TableText"/>
              <w:jc w:val="center"/>
            </w:pPr>
            <w:r w:rsidRPr="00887AAA">
              <w:t>$52,6</w:t>
            </w:r>
            <w:r w:rsidR="001E1D14" w:rsidRPr="00887AAA">
              <w:t>34</w:t>
            </w:r>
          </w:p>
        </w:tc>
        <w:tc>
          <w:tcPr>
            <w:tcW w:w="920" w:type="pct"/>
          </w:tcPr>
          <w:p w14:paraId="071A39BB" w14:textId="5035A3D0" w:rsidR="00942C40" w:rsidRPr="00887AAA" w:rsidRDefault="008503F7" w:rsidP="0056646A">
            <w:pPr>
              <w:pStyle w:val="TableText"/>
              <w:jc w:val="center"/>
            </w:pPr>
            <w:r w:rsidRPr="00887AAA">
              <w:t>0.76</w:t>
            </w:r>
          </w:p>
        </w:tc>
        <w:tc>
          <w:tcPr>
            <w:tcW w:w="920" w:type="pct"/>
          </w:tcPr>
          <w:p w14:paraId="14255F47" w14:textId="110320FB" w:rsidR="00942C40" w:rsidRPr="00887AAA" w:rsidRDefault="008503F7" w:rsidP="0056646A">
            <w:pPr>
              <w:pStyle w:val="TableText"/>
              <w:jc w:val="center"/>
            </w:pPr>
            <w:r w:rsidRPr="00887AAA">
              <w:t>$69,1</w:t>
            </w:r>
            <w:r w:rsidR="001E1D14" w:rsidRPr="00887AAA">
              <w:t>50</w:t>
            </w:r>
          </w:p>
        </w:tc>
      </w:tr>
      <w:tr w:rsidR="009774D2" w:rsidRPr="00CE28E3" w14:paraId="6689F84F" w14:textId="77777777" w:rsidTr="003B61B7">
        <w:trPr>
          <w:cantSplit/>
          <w:trHeight w:val="283"/>
        </w:trPr>
        <w:tc>
          <w:tcPr>
            <w:tcW w:w="2240" w:type="pct"/>
          </w:tcPr>
          <w:p w14:paraId="520FEF44" w14:textId="1D7C915B" w:rsidR="009774D2" w:rsidRDefault="0048624F" w:rsidP="00942C40">
            <w:pPr>
              <w:pStyle w:val="TableText"/>
              <w:keepNext/>
            </w:pPr>
            <w:r>
              <w:t>Device price (base case $30,480)</w:t>
            </w:r>
          </w:p>
        </w:tc>
        <w:tc>
          <w:tcPr>
            <w:tcW w:w="920" w:type="pct"/>
          </w:tcPr>
          <w:p w14:paraId="485AD7FF" w14:textId="77777777" w:rsidR="009774D2" w:rsidRPr="00887AAA" w:rsidRDefault="009774D2" w:rsidP="0056646A">
            <w:pPr>
              <w:pStyle w:val="TableText"/>
              <w:jc w:val="center"/>
            </w:pPr>
          </w:p>
        </w:tc>
        <w:tc>
          <w:tcPr>
            <w:tcW w:w="920" w:type="pct"/>
          </w:tcPr>
          <w:p w14:paraId="601D38BD" w14:textId="77777777" w:rsidR="009774D2" w:rsidRPr="00887AAA" w:rsidRDefault="009774D2" w:rsidP="0056646A">
            <w:pPr>
              <w:pStyle w:val="TableText"/>
              <w:jc w:val="center"/>
            </w:pPr>
          </w:p>
        </w:tc>
        <w:tc>
          <w:tcPr>
            <w:tcW w:w="920" w:type="pct"/>
          </w:tcPr>
          <w:p w14:paraId="5C16821A" w14:textId="77777777" w:rsidR="009774D2" w:rsidRPr="00887AAA" w:rsidRDefault="009774D2" w:rsidP="0056646A">
            <w:pPr>
              <w:pStyle w:val="TableText"/>
              <w:jc w:val="center"/>
            </w:pPr>
          </w:p>
        </w:tc>
      </w:tr>
      <w:tr w:rsidR="0048624F" w:rsidRPr="00CE28E3" w14:paraId="08F0AC24" w14:textId="77777777" w:rsidTr="003B61B7">
        <w:trPr>
          <w:cantSplit/>
          <w:trHeight w:val="283"/>
        </w:trPr>
        <w:tc>
          <w:tcPr>
            <w:tcW w:w="2240" w:type="pct"/>
          </w:tcPr>
          <w:p w14:paraId="02B6A31E" w14:textId="6F255CE5" w:rsidR="0048624F" w:rsidRDefault="0048624F" w:rsidP="0048624F">
            <w:pPr>
              <w:pStyle w:val="TableText"/>
              <w:keepNext/>
              <w:ind w:left="720"/>
            </w:pPr>
            <w:r>
              <w:t>Alignment with vagal neurostimulation ($14,504, 15-year time horizon)</w:t>
            </w:r>
          </w:p>
        </w:tc>
        <w:tc>
          <w:tcPr>
            <w:tcW w:w="920" w:type="pct"/>
          </w:tcPr>
          <w:p w14:paraId="339C78A9" w14:textId="020F11C9" w:rsidR="0048624F" w:rsidRPr="00887AAA" w:rsidRDefault="0048624F" w:rsidP="0056646A">
            <w:pPr>
              <w:pStyle w:val="TableText"/>
              <w:jc w:val="center"/>
            </w:pPr>
            <w:r w:rsidRPr="0048624F">
              <w:t>$27,534</w:t>
            </w:r>
          </w:p>
        </w:tc>
        <w:tc>
          <w:tcPr>
            <w:tcW w:w="920" w:type="pct"/>
          </w:tcPr>
          <w:p w14:paraId="14CDBF2B" w14:textId="54EC9C14" w:rsidR="0048624F" w:rsidRPr="00887AAA" w:rsidRDefault="0048624F" w:rsidP="0056646A">
            <w:pPr>
              <w:pStyle w:val="TableText"/>
              <w:jc w:val="center"/>
            </w:pPr>
            <w:r w:rsidRPr="0048624F">
              <w:t>0.77</w:t>
            </w:r>
          </w:p>
        </w:tc>
        <w:tc>
          <w:tcPr>
            <w:tcW w:w="920" w:type="pct"/>
          </w:tcPr>
          <w:p w14:paraId="342BA1F3" w14:textId="5ED5C1D1" w:rsidR="0048624F" w:rsidRPr="00887AAA" w:rsidRDefault="0048624F" w:rsidP="0056646A">
            <w:pPr>
              <w:pStyle w:val="TableText"/>
              <w:jc w:val="center"/>
            </w:pPr>
            <w:r>
              <w:t>$</w:t>
            </w:r>
            <w:r w:rsidRPr="0048624F">
              <w:t>35,867</w:t>
            </w:r>
          </w:p>
        </w:tc>
      </w:tr>
    </w:tbl>
    <w:p w14:paraId="1449AA11" w14:textId="3CF1C7E2" w:rsidR="008B5B67" w:rsidRDefault="00122D5D" w:rsidP="004A7691">
      <w:pPr>
        <w:pStyle w:val="TableFigureFooter"/>
        <w:spacing w:after="0"/>
        <w:rPr>
          <w:rFonts w:eastAsia="Calibri"/>
          <w:szCs w:val="20"/>
        </w:rPr>
      </w:pPr>
      <w:bookmarkStart w:id="57" w:name="_Hlk68276759"/>
      <w:bookmarkEnd w:id="54"/>
      <w:r>
        <w:rPr>
          <w:rFonts w:eastAsia="Calibri"/>
          <w:szCs w:val="20"/>
        </w:rPr>
        <w:t xml:space="preserve">CV = cardiovascular; </w:t>
      </w:r>
      <w:r w:rsidR="0045093D" w:rsidRPr="0045093D">
        <w:rPr>
          <w:rFonts w:eastAsia="Calibri"/>
          <w:szCs w:val="20"/>
        </w:rPr>
        <w:t xml:space="preserve">ICER = incremental cost-effectiveness ratio; </w:t>
      </w:r>
      <w:r>
        <w:rPr>
          <w:rFonts w:eastAsia="Calibri"/>
          <w:szCs w:val="20"/>
        </w:rPr>
        <w:t xml:space="preserve">MVS = motor vehicle collisions; </w:t>
      </w:r>
      <w:r w:rsidR="008B5B67" w:rsidRPr="00CE28E3">
        <w:rPr>
          <w:rFonts w:eastAsia="Calibri"/>
          <w:szCs w:val="20"/>
        </w:rPr>
        <w:t>QALY = quality</w:t>
      </w:r>
      <w:r w:rsidR="00B95C8A">
        <w:rPr>
          <w:rFonts w:eastAsia="Calibri"/>
          <w:szCs w:val="20"/>
        </w:rPr>
        <w:t>-</w:t>
      </w:r>
      <w:r w:rsidR="008B5B67" w:rsidRPr="00CE28E3">
        <w:rPr>
          <w:rFonts w:eastAsia="Calibri"/>
          <w:szCs w:val="20"/>
        </w:rPr>
        <w:t>adjusted life year.</w:t>
      </w:r>
      <w:r w:rsidR="0045093D">
        <w:rPr>
          <w:rFonts w:eastAsia="Calibri"/>
          <w:szCs w:val="20"/>
        </w:rPr>
        <w:t xml:space="preserve"> </w:t>
      </w:r>
    </w:p>
    <w:p w14:paraId="1F91BAF5" w14:textId="48531B15" w:rsidR="008503F7" w:rsidRDefault="0048624F" w:rsidP="0048624F">
      <w:pPr>
        <w:pStyle w:val="TableFigureFooter"/>
        <w:spacing w:before="0" w:after="0"/>
      </w:pPr>
      <w:r>
        <w:rPr>
          <w:rFonts w:eastAsia="Calibri"/>
          <w:szCs w:val="20"/>
        </w:rPr>
        <w:t xml:space="preserve">Notes: </w:t>
      </w:r>
      <w:r w:rsidR="008503F7">
        <w:t>The values have been recalculated</w:t>
      </w:r>
      <w:r w:rsidR="0056646A">
        <w:t xml:space="preserve"> from those presented in the ADAR</w:t>
      </w:r>
      <w:r w:rsidR="008503F7">
        <w:t xml:space="preserve"> based on sex-weighting, as the value</w:t>
      </w:r>
      <w:r w:rsidR="00887AAA">
        <w:t>s</w:t>
      </w:r>
      <w:r w:rsidR="008503F7">
        <w:t xml:space="preserve"> shown in the ADAR was for males only.</w:t>
      </w:r>
      <w:r w:rsidR="00887AAA">
        <w:t xml:space="preserve"> </w:t>
      </w:r>
    </w:p>
    <w:p w14:paraId="19D91E17" w14:textId="20B2639F" w:rsidR="0048624F" w:rsidRPr="00CE28E3" w:rsidRDefault="0048624F" w:rsidP="004F0061">
      <w:pPr>
        <w:pStyle w:val="TableFigureFooter"/>
        <w:spacing w:before="0" w:after="240"/>
        <w:rPr>
          <w:rFonts w:eastAsia="Calibri"/>
          <w:szCs w:val="20"/>
        </w:rPr>
      </w:pPr>
      <w:r>
        <w:t xml:space="preserve">Source: Table 37 </w:t>
      </w:r>
      <w:r w:rsidR="0056646A">
        <w:t>and Commentary Table 17</w:t>
      </w:r>
      <w:r>
        <w:t xml:space="preserve"> </w:t>
      </w:r>
      <w:r w:rsidR="0056646A">
        <w:t xml:space="preserve">of MSAC Application 1595.1 </w:t>
      </w:r>
      <w:r>
        <w:t xml:space="preserve">adapted for the </w:t>
      </w:r>
      <w:r w:rsidR="00C102DA">
        <w:t>c</w:t>
      </w:r>
      <w:r>
        <w:t>ommentary executive summary.</w:t>
      </w:r>
    </w:p>
    <w:p w14:paraId="25AE2BAC" w14:textId="42A185C3" w:rsidR="00772829" w:rsidRPr="00CE28E3" w:rsidRDefault="00C36633" w:rsidP="002A18BE">
      <w:pPr>
        <w:pStyle w:val="Heading2"/>
        <w:numPr>
          <w:ilvl w:val="0"/>
          <w:numId w:val="0"/>
        </w:numPr>
      </w:pPr>
      <w:bookmarkStart w:id="58" w:name="_Toc69491426"/>
      <w:bookmarkEnd w:id="57"/>
      <w:r>
        <w:t>1</w:t>
      </w:r>
      <w:r w:rsidR="00EE4112">
        <w:t>4</w:t>
      </w:r>
      <w:r>
        <w:t>.</w:t>
      </w:r>
      <w:r>
        <w:tab/>
      </w:r>
      <w:r w:rsidR="00772829" w:rsidRPr="00CE28E3">
        <w:t>Financial/budgetary impacts</w:t>
      </w:r>
      <w:bookmarkEnd w:id="58"/>
    </w:p>
    <w:p w14:paraId="59B01DD2" w14:textId="7140A00A" w:rsidR="00C11C94" w:rsidRDefault="00C11C94" w:rsidP="00330A0A">
      <w:r>
        <w:t>Although an epidemiological approach has been undertaken to estimate the eligible population, the financial implications use a market-based approach as device access is restricted due to limited access</w:t>
      </w:r>
      <w:r w:rsidR="00887AAA">
        <w:t xml:space="preserve"> to centres providing the service and trained surgeons within those centres</w:t>
      </w:r>
      <w:r>
        <w:t>. The estimated utilisation due to these limitations is a very small proportion of the potentially eligible population, noting that the potentially eligible population is difficult to estimate confidently and highly uncertain.</w:t>
      </w:r>
    </w:p>
    <w:p w14:paraId="4FE2390F" w14:textId="17ADB9C0" w:rsidR="0072578A" w:rsidRDefault="00D428B9" w:rsidP="00330A0A">
      <w:r w:rsidRPr="00CE28E3">
        <w:t xml:space="preserve">The financial implications to the </w:t>
      </w:r>
      <w:r w:rsidR="004B722B">
        <w:t>MBS and P</w:t>
      </w:r>
      <w:r w:rsidR="006F0DE5">
        <w:t>L</w:t>
      </w:r>
      <w:r w:rsidRPr="00CE28E3">
        <w:t xml:space="preserve"> resulting from the proposed listing of </w:t>
      </w:r>
      <w:r w:rsidR="004B722B">
        <w:t>closed loop UAS</w:t>
      </w:r>
      <w:r w:rsidRPr="00CE28E3">
        <w:t xml:space="preserve"> are summarised in</w:t>
      </w:r>
      <w:r w:rsidR="00BE30EB">
        <w:t xml:space="preserve"> Table </w:t>
      </w:r>
      <w:r w:rsidR="00660A4F">
        <w:t>17</w:t>
      </w:r>
      <w:r w:rsidR="00BE30EB">
        <w:t xml:space="preserve">. </w:t>
      </w:r>
      <w:r w:rsidR="0055123E">
        <w:t>The impact of listing UAS on the MBS on other technologies has not been included in the analysis.</w:t>
      </w:r>
      <w:r w:rsidR="0055123E" w:rsidRPr="0055123E">
        <w:t xml:space="preserve"> In Application 1595, a reduction </w:t>
      </w:r>
      <w:r w:rsidR="00A04AC0">
        <w:t xml:space="preserve">in </w:t>
      </w:r>
      <w:r w:rsidR="0055123E" w:rsidRPr="0055123E">
        <w:t>UPPP surgery as a result of the introduction of UAS was modelled</w:t>
      </w:r>
      <w:r w:rsidR="0055123E">
        <w:t xml:space="preserve"> but t</w:t>
      </w:r>
      <w:r w:rsidR="0055123E" w:rsidRPr="0055123E">
        <w:t>his has not been included in the resubmission</w:t>
      </w:r>
      <w:r w:rsidR="0055123E">
        <w:t>.</w:t>
      </w:r>
      <w:r w:rsidR="0055123E" w:rsidRPr="0055123E">
        <w:t xml:space="preserve"> </w:t>
      </w:r>
      <w:r w:rsidR="0055123E">
        <w:t>I</w:t>
      </w:r>
      <w:r w:rsidR="0055123E" w:rsidRPr="0055123E">
        <w:t>t is likely that the availability of UAS would impact on rates of surgery for OSA</w:t>
      </w:r>
      <w:r w:rsidR="0055123E">
        <w:t xml:space="preserve"> but in which direction and to what extent is uncertain</w:t>
      </w:r>
      <w:r w:rsidR="0055123E" w:rsidRPr="0055123E">
        <w:t>. It is possible that upper airway surgery could be used to treat complete concentric collapse of the palate and therefore enable patient eligibility for UAS</w:t>
      </w:r>
      <w:r w:rsidR="00A04AC0">
        <w:t>;</w:t>
      </w:r>
      <w:r w:rsidR="0055123E" w:rsidRPr="0055123E">
        <w:t xml:space="preserve"> this has not been considered in the ADAR.</w:t>
      </w:r>
    </w:p>
    <w:p w14:paraId="0790FC64" w14:textId="6CED904F" w:rsidR="00C11C94" w:rsidRPr="0071111D" w:rsidRDefault="00C11C94" w:rsidP="0055123E">
      <w:r>
        <w:t>The financial implications are presented over 6 years (</w:t>
      </w:r>
      <w:r w:rsidR="00F230DE">
        <w:t xml:space="preserve">Table </w:t>
      </w:r>
      <w:r w:rsidR="00660A4F">
        <w:t>17</w:t>
      </w:r>
      <w:r w:rsidR="0055123E" w:rsidRPr="0055123E">
        <w:t>)</w:t>
      </w:r>
      <w:r w:rsidR="0055123E">
        <w:t>.</w:t>
      </w:r>
      <w:r w:rsidR="0055123E" w:rsidRPr="0055123E">
        <w:t xml:space="preserve"> The</w:t>
      </w:r>
      <w:r w:rsidR="0055123E">
        <w:t xml:space="preserve"> </w:t>
      </w:r>
      <w:r w:rsidR="0055123E" w:rsidRPr="0055123E">
        <w:t>ADAR did not disaggregate the projected costs to show the impact of funding UAS to the MBS, P</w:t>
      </w:r>
      <w:r w:rsidR="006F0DE5">
        <w:t>L</w:t>
      </w:r>
      <w:r w:rsidR="0055123E" w:rsidRPr="0055123E">
        <w:t xml:space="preserve"> and other health budgets and included modelled savings from reduced downstream health impacts. These are very </w:t>
      </w:r>
      <w:r w:rsidR="0055123E" w:rsidRPr="0055123E">
        <w:lastRenderedPageBreak/>
        <w:t>uncertain based on the clinical evidence and therefore have not been included in the analysis undertaken by the commentary</w:t>
      </w:r>
      <w:r w:rsidR="00C61A1E">
        <w:t xml:space="preserve">. The commentary has added the cost of multidisciplinary case conferences, anaesthesia for DISE and screening patients with DISE who are then found ineligible for UAS. </w:t>
      </w:r>
    </w:p>
    <w:p w14:paraId="6131023C" w14:textId="70C61B23" w:rsidR="0055123E" w:rsidRDefault="0055123E" w:rsidP="0055123E">
      <w:r w:rsidRPr="0055123E">
        <w:t>The estimated cost to the MBS of implantation of the device is</w:t>
      </w:r>
      <w:r w:rsidR="00CB3AD4" w:rsidRPr="003F6E81">
        <w:t xml:space="preserve"> </w:t>
      </w:r>
      <w:r w:rsidR="00CB3AD4" w:rsidRPr="00F0012F">
        <w:t>$1,044,966</w:t>
      </w:r>
      <w:r w:rsidR="00CB3AD4">
        <w:t xml:space="preserve"> (</w:t>
      </w:r>
      <w:r w:rsidR="00CB3AD4" w:rsidRPr="003F6E81">
        <w:t>$</w:t>
      </w:r>
      <w:r w:rsidR="00CB3AD4">
        <w:t xml:space="preserve">52,248 in year 1 rising to </w:t>
      </w:r>
      <w:r w:rsidR="00CB3AD4" w:rsidRPr="003F6E81">
        <w:t>$</w:t>
      </w:r>
      <w:r w:rsidR="00CB3AD4">
        <w:t>348,322 in year 6)</w:t>
      </w:r>
      <w:r w:rsidRPr="0055123E">
        <w:t>. The estimated cost of post-implant care</w:t>
      </w:r>
      <w:r w:rsidR="0030133B">
        <w:t xml:space="preserve"> over six years</w:t>
      </w:r>
      <w:r w:rsidRPr="0055123E">
        <w:t xml:space="preserve"> </w:t>
      </w:r>
      <w:r w:rsidR="006B1577">
        <w:t>(</w:t>
      </w:r>
      <w:r w:rsidRPr="0055123E">
        <w:t>which includes programming, repositioning, replacement, and battery replacement</w:t>
      </w:r>
      <w:r w:rsidR="006B1577">
        <w:t>)</w:t>
      </w:r>
      <w:r w:rsidRPr="0055123E">
        <w:t xml:space="preserve"> is $174,498</w:t>
      </w:r>
      <w:r w:rsidR="006B1577">
        <w:t>;</w:t>
      </w:r>
      <w:r w:rsidRPr="0055123E">
        <w:t xml:space="preserve"> however</w:t>
      </w:r>
      <w:r w:rsidR="006B1577">
        <w:t>,</w:t>
      </w:r>
      <w:r w:rsidRPr="0055123E">
        <w:t xml:space="preserve"> these costs are far less certain. </w:t>
      </w:r>
      <w:r w:rsidR="0071111D">
        <w:t xml:space="preserve">The estimates of repositioning and replacement in </w:t>
      </w:r>
      <w:r w:rsidR="004E642A">
        <w:t xml:space="preserve">Table </w:t>
      </w:r>
      <w:r w:rsidR="001C6FA4">
        <w:t>17</w:t>
      </w:r>
      <w:r w:rsidR="004E642A">
        <w:t xml:space="preserve"> </w:t>
      </w:r>
      <w:r w:rsidR="0071111D">
        <w:t xml:space="preserve">are based on the rates of these services for vagal nerve stimulation since they were funded in 2017. </w:t>
      </w:r>
      <w:r w:rsidRPr="0055123E">
        <w:t>All devices would need battery replacement if implanted beyond the battery lifetime, so this item would be expected to have a greater budget impact &gt;10 years after UAS is initially funded.</w:t>
      </w:r>
    </w:p>
    <w:p w14:paraId="75E38DB0" w14:textId="21C4E23A" w:rsidR="00CB3AD4" w:rsidRDefault="00CB3AD4" w:rsidP="0055123E">
      <w:r>
        <w:t xml:space="preserve">The </w:t>
      </w:r>
      <w:r w:rsidR="00C102DA">
        <w:t>c</w:t>
      </w:r>
      <w:r>
        <w:t xml:space="preserve">ommentary estimated cost to the MBS of screening patients for eligibility for UAS is </w:t>
      </w:r>
      <w:r w:rsidRPr="00F0012F">
        <w:t xml:space="preserve">$115,024 </w:t>
      </w:r>
      <w:r>
        <w:t>($5,751 in year 1 rising to $38,341 in year 6). This is assuming that 75% of those screened with DISE are implanted (based on Strollo, 2014), however</w:t>
      </w:r>
      <w:r w:rsidR="00B95C8A">
        <w:t>,</w:t>
      </w:r>
      <w:r>
        <w:t xml:space="preserve"> this rate is uncertain. </w:t>
      </w:r>
    </w:p>
    <w:p w14:paraId="592CA18B" w14:textId="27789896" w:rsidR="00CB3AD4" w:rsidRDefault="00CB3AD4" w:rsidP="0055123E">
      <w:r w:rsidRPr="00CB3AD4">
        <w:t xml:space="preserve">The </w:t>
      </w:r>
      <w:r w:rsidR="00C102DA">
        <w:t>c</w:t>
      </w:r>
      <w:r w:rsidRPr="00CB3AD4">
        <w:t xml:space="preserve">ommentary estimates the total cost to the MBS over six years as </w:t>
      </w:r>
      <w:r w:rsidR="001F75A8" w:rsidRPr="001F75A8">
        <w:t>$1,334,488</w:t>
      </w:r>
      <w:r w:rsidRPr="00CB3AD4">
        <w:t xml:space="preserve"> based on the rates of uptake provided in the ADAR.</w:t>
      </w:r>
    </w:p>
    <w:p w14:paraId="2D04599A" w14:textId="212488CA" w:rsidR="0071111D" w:rsidRDefault="0071111D" w:rsidP="0055123E">
      <w:r>
        <w:t>The cost to the P</w:t>
      </w:r>
      <w:r w:rsidR="006F0DE5">
        <w:t>L</w:t>
      </w:r>
      <w:r>
        <w:t xml:space="preserve"> is much greater than to the MBS. At the </w:t>
      </w:r>
      <w:r w:rsidR="002773B2">
        <w:t>proposed cost</w:t>
      </w:r>
      <w:r>
        <w:t xml:space="preserve"> of </w:t>
      </w:r>
      <w:r w:rsidRPr="0071111D">
        <w:t>$30,480</w:t>
      </w:r>
      <w:r w:rsidR="00D52770">
        <w:t>,</w:t>
      </w:r>
      <w:r>
        <w:t xml:space="preserve"> the cost </w:t>
      </w:r>
      <w:r w:rsidR="002F150B">
        <w:t xml:space="preserve">to the PL </w:t>
      </w:r>
      <w:r>
        <w:t xml:space="preserve">is </w:t>
      </w:r>
      <w:r w:rsidRPr="0013446A">
        <w:t>$18.288</w:t>
      </w:r>
      <w:r>
        <w:t xml:space="preserve"> </w:t>
      </w:r>
      <w:r w:rsidRPr="0013446A">
        <w:t>million</w:t>
      </w:r>
      <w:r>
        <w:t xml:space="preserve"> over six years (</w:t>
      </w:r>
      <w:r w:rsidRPr="0013446A">
        <w:t>$914,400</w:t>
      </w:r>
      <w:r>
        <w:t xml:space="preserve"> in year 1 rising to </w:t>
      </w:r>
      <w:r w:rsidRPr="0013446A">
        <w:t>$6,096,000</w:t>
      </w:r>
      <w:r>
        <w:t xml:space="preserve"> in year 6). </w:t>
      </w:r>
    </w:p>
    <w:p w14:paraId="11A05E8A" w14:textId="29853B4E" w:rsidR="00EA362A" w:rsidRPr="0055123E" w:rsidRDefault="00EA362A" w:rsidP="0055123E">
      <w:r>
        <w:t xml:space="preserve">The </w:t>
      </w:r>
      <w:r w:rsidR="00E859FC">
        <w:t xml:space="preserve">applicant’s </w:t>
      </w:r>
      <w:r>
        <w:t xml:space="preserve">pre-ESC response noted that the applicant would be happy to </w:t>
      </w:r>
      <w:r w:rsidRPr="00EA362A">
        <w:t>support limitations on utilisation so the Australian government is able to accurately predict and control budget impact</w:t>
      </w:r>
      <w:r>
        <w:t xml:space="preserve">. </w:t>
      </w:r>
    </w:p>
    <w:p w14:paraId="1B34DBCD" w14:textId="7B0BF20A" w:rsidR="00AB7037" w:rsidRDefault="00AB7037" w:rsidP="00AB7037">
      <w:pPr>
        <w:pStyle w:val="Caption"/>
      </w:pPr>
      <w:bookmarkStart w:id="59" w:name="_Ref121402578"/>
      <w:bookmarkStart w:id="60" w:name="_Hlk68276814"/>
      <w:r>
        <w:t>Table</w:t>
      </w:r>
      <w:r w:rsidR="00DE4669">
        <w:t xml:space="preserve"> </w:t>
      </w:r>
      <w:r w:rsidR="00660A4F">
        <w:t>17</w:t>
      </w:r>
      <w:r w:rsidR="0045523F">
        <w:t xml:space="preserve"> </w:t>
      </w:r>
      <w:bookmarkEnd w:id="59"/>
      <w:r>
        <w:tab/>
        <w:t>Net financial implications of U</w:t>
      </w:r>
      <w:r w:rsidRPr="00AB7037">
        <w:t>AS to the MBS and Prostheses List</w:t>
      </w:r>
    </w:p>
    <w:tbl>
      <w:tblPr>
        <w:tblStyle w:val="TableGrid"/>
        <w:tblpPr w:leftFromText="180" w:rightFromText="180" w:vertAnchor="text" w:tblpXSpec="center" w:tblpY="1"/>
        <w:tblOverlap w:val="never"/>
        <w:tblW w:w="5000" w:type="pct"/>
        <w:jc w:val="center"/>
        <w:tblLayout w:type="fixed"/>
        <w:tblLook w:val="04A0" w:firstRow="1" w:lastRow="0" w:firstColumn="1" w:lastColumn="0" w:noHBand="0" w:noVBand="1"/>
        <w:tblCaption w:val="Net financial implications of UAS to the MBS and Prostheses List"/>
        <w:tblDescription w:val="Table showing diaggregated cost of the listing of UAS projected over six years"/>
      </w:tblPr>
      <w:tblGrid>
        <w:gridCol w:w="2688"/>
        <w:gridCol w:w="1055"/>
        <w:gridCol w:w="1055"/>
        <w:gridCol w:w="1055"/>
        <w:gridCol w:w="1055"/>
        <w:gridCol w:w="1055"/>
        <w:gridCol w:w="1053"/>
      </w:tblGrid>
      <w:tr w:rsidR="004B722B" w:rsidRPr="004B722B" w14:paraId="4BB467E2" w14:textId="77777777" w:rsidTr="00AB7037">
        <w:trPr>
          <w:trHeight w:val="300"/>
          <w:tblHeader/>
          <w:jc w:val="center"/>
        </w:trPr>
        <w:tc>
          <w:tcPr>
            <w:tcW w:w="1491" w:type="pct"/>
            <w:noWrap/>
            <w:hideMark/>
          </w:tcPr>
          <w:p w14:paraId="1B98E5DB" w14:textId="61385A84" w:rsidR="004B722B" w:rsidRPr="004B722B" w:rsidRDefault="004B722B" w:rsidP="004B722B">
            <w:pPr>
              <w:pStyle w:val="TableHeading0"/>
            </w:pPr>
            <w:r>
              <w:t>Parameter</w:t>
            </w:r>
          </w:p>
        </w:tc>
        <w:tc>
          <w:tcPr>
            <w:tcW w:w="585" w:type="pct"/>
            <w:noWrap/>
            <w:hideMark/>
          </w:tcPr>
          <w:p w14:paraId="53B6B13D" w14:textId="77777777" w:rsidR="004B722B" w:rsidRPr="004B722B" w:rsidRDefault="004B722B" w:rsidP="004B722B">
            <w:pPr>
              <w:pStyle w:val="TableHeading0"/>
            </w:pPr>
            <w:r w:rsidRPr="004B722B">
              <w:t>Year 1</w:t>
            </w:r>
          </w:p>
        </w:tc>
        <w:tc>
          <w:tcPr>
            <w:tcW w:w="585" w:type="pct"/>
            <w:noWrap/>
            <w:hideMark/>
          </w:tcPr>
          <w:p w14:paraId="22BA5138" w14:textId="77777777" w:rsidR="004B722B" w:rsidRPr="004B722B" w:rsidRDefault="004B722B" w:rsidP="004B722B">
            <w:pPr>
              <w:pStyle w:val="TableHeading0"/>
            </w:pPr>
            <w:r w:rsidRPr="004B722B">
              <w:t>Year 2</w:t>
            </w:r>
          </w:p>
        </w:tc>
        <w:tc>
          <w:tcPr>
            <w:tcW w:w="585" w:type="pct"/>
            <w:noWrap/>
            <w:hideMark/>
          </w:tcPr>
          <w:p w14:paraId="60CAA5F0" w14:textId="77777777" w:rsidR="004B722B" w:rsidRPr="004B722B" w:rsidRDefault="004B722B" w:rsidP="004B722B">
            <w:pPr>
              <w:pStyle w:val="TableHeading0"/>
            </w:pPr>
            <w:r w:rsidRPr="004B722B">
              <w:t>Year 3</w:t>
            </w:r>
          </w:p>
        </w:tc>
        <w:tc>
          <w:tcPr>
            <w:tcW w:w="585" w:type="pct"/>
            <w:noWrap/>
            <w:hideMark/>
          </w:tcPr>
          <w:p w14:paraId="594CC4CC" w14:textId="77777777" w:rsidR="004B722B" w:rsidRPr="004B722B" w:rsidRDefault="004B722B" w:rsidP="004B722B">
            <w:pPr>
              <w:pStyle w:val="TableHeading0"/>
            </w:pPr>
            <w:r w:rsidRPr="004B722B">
              <w:t>Year 4</w:t>
            </w:r>
          </w:p>
        </w:tc>
        <w:tc>
          <w:tcPr>
            <w:tcW w:w="585" w:type="pct"/>
            <w:noWrap/>
            <w:hideMark/>
          </w:tcPr>
          <w:p w14:paraId="7126B36D" w14:textId="77777777" w:rsidR="004B722B" w:rsidRPr="004B722B" w:rsidRDefault="004B722B" w:rsidP="004B722B">
            <w:pPr>
              <w:pStyle w:val="TableHeading0"/>
            </w:pPr>
            <w:r w:rsidRPr="004B722B">
              <w:t>Year 5</w:t>
            </w:r>
          </w:p>
        </w:tc>
        <w:tc>
          <w:tcPr>
            <w:tcW w:w="584" w:type="pct"/>
            <w:noWrap/>
            <w:hideMark/>
          </w:tcPr>
          <w:p w14:paraId="74BE5D52" w14:textId="77777777" w:rsidR="004B722B" w:rsidRPr="004B722B" w:rsidRDefault="004B722B" w:rsidP="004B722B">
            <w:pPr>
              <w:pStyle w:val="TableHeading0"/>
            </w:pPr>
            <w:r w:rsidRPr="004B722B">
              <w:t>Year 6</w:t>
            </w:r>
          </w:p>
        </w:tc>
      </w:tr>
      <w:tr w:rsidR="007D6FD7" w:rsidRPr="004B722B" w14:paraId="3F980B7E" w14:textId="77777777" w:rsidTr="00AB7037">
        <w:trPr>
          <w:trHeight w:val="300"/>
          <w:tblHeader/>
          <w:jc w:val="center"/>
        </w:trPr>
        <w:tc>
          <w:tcPr>
            <w:tcW w:w="1491" w:type="pct"/>
            <w:noWrap/>
          </w:tcPr>
          <w:p w14:paraId="50D95E78" w14:textId="4752F394" w:rsidR="007D6FD7" w:rsidRDefault="007D6FD7" w:rsidP="004B722B">
            <w:pPr>
              <w:pStyle w:val="TableHeading0"/>
            </w:pPr>
            <w:r w:rsidRPr="004B722B">
              <w:rPr>
                <w:bCs/>
              </w:rPr>
              <w:t>Estimated use and cost of the proposed health technology</w:t>
            </w:r>
          </w:p>
        </w:tc>
        <w:tc>
          <w:tcPr>
            <w:tcW w:w="585" w:type="pct"/>
            <w:noWrap/>
          </w:tcPr>
          <w:p w14:paraId="3E09FE0E" w14:textId="77777777" w:rsidR="007D6FD7" w:rsidRPr="004B722B" w:rsidRDefault="007D6FD7" w:rsidP="004B722B">
            <w:pPr>
              <w:pStyle w:val="TableHeading0"/>
            </w:pPr>
          </w:p>
        </w:tc>
        <w:tc>
          <w:tcPr>
            <w:tcW w:w="585" w:type="pct"/>
            <w:noWrap/>
          </w:tcPr>
          <w:p w14:paraId="20643E79" w14:textId="77777777" w:rsidR="007D6FD7" w:rsidRPr="004B722B" w:rsidRDefault="007D6FD7" w:rsidP="004B722B">
            <w:pPr>
              <w:pStyle w:val="TableHeading0"/>
            </w:pPr>
          </w:p>
        </w:tc>
        <w:tc>
          <w:tcPr>
            <w:tcW w:w="585" w:type="pct"/>
            <w:noWrap/>
          </w:tcPr>
          <w:p w14:paraId="40BD6433" w14:textId="77777777" w:rsidR="007D6FD7" w:rsidRPr="004B722B" w:rsidRDefault="007D6FD7" w:rsidP="004B722B">
            <w:pPr>
              <w:pStyle w:val="TableHeading0"/>
            </w:pPr>
          </w:p>
        </w:tc>
        <w:tc>
          <w:tcPr>
            <w:tcW w:w="585" w:type="pct"/>
            <w:noWrap/>
          </w:tcPr>
          <w:p w14:paraId="3CB9D3DE" w14:textId="77777777" w:rsidR="007D6FD7" w:rsidRPr="004B722B" w:rsidRDefault="007D6FD7" w:rsidP="004B722B">
            <w:pPr>
              <w:pStyle w:val="TableHeading0"/>
            </w:pPr>
          </w:p>
        </w:tc>
        <w:tc>
          <w:tcPr>
            <w:tcW w:w="585" w:type="pct"/>
            <w:noWrap/>
          </w:tcPr>
          <w:p w14:paraId="4001AF3C" w14:textId="77777777" w:rsidR="007D6FD7" w:rsidRPr="004B722B" w:rsidRDefault="007D6FD7" w:rsidP="004B722B">
            <w:pPr>
              <w:pStyle w:val="TableHeading0"/>
            </w:pPr>
          </w:p>
        </w:tc>
        <w:tc>
          <w:tcPr>
            <w:tcW w:w="584" w:type="pct"/>
            <w:noWrap/>
          </w:tcPr>
          <w:p w14:paraId="1BAC647F" w14:textId="77777777" w:rsidR="007D6FD7" w:rsidRPr="004B722B" w:rsidRDefault="007D6FD7" w:rsidP="004B722B">
            <w:pPr>
              <w:pStyle w:val="TableHeading0"/>
            </w:pPr>
          </w:p>
        </w:tc>
      </w:tr>
      <w:tr w:rsidR="004B722B" w:rsidRPr="004B722B" w14:paraId="166112EE" w14:textId="77777777" w:rsidTr="00AB7037">
        <w:trPr>
          <w:trHeight w:val="300"/>
          <w:jc w:val="center"/>
        </w:trPr>
        <w:tc>
          <w:tcPr>
            <w:tcW w:w="1491" w:type="pct"/>
            <w:noWrap/>
            <w:hideMark/>
          </w:tcPr>
          <w:p w14:paraId="78630F38" w14:textId="77777777" w:rsidR="004B722B" w:rsidRPr="00AB7037" w:rsidRDefault="004B722B" w:rsidP="00AB7037">
            <w:pPr>
              <w:pStyle w:val="TableText"/>
            </w:pPr>
            <w:r w:rsidRPr="00AB7037">
              <w:t>Number of people eligible for UAS</w:t>
            </w:r>
          </w:p>
        </w:tc>
        <w:tc>
          <w:tcPr>
            <w:tcW w:w="585" w:type="pct"/>
            <w:noWrap/>
            <w:hideMark/>
          </w:tcPr>
          <w:p w14:paraId="0B4BC0D9" w14:textId="77777777" w:rsidR="004B722B" w:rsidRPr="00AB7037" w:rsidRDefault="004B722B" w:rsidP="00AB7037">
            <w:pPr>
              <w:pStyle w:val="TableText"/>
            </w:pPr>
            <w:r w:rsidRPr="00AB7037">
              <w:t>45827</w:t>
            </w:r>
          </w:p>
        </w:tc>
        <w:tc>
          <w:tcPr>
            <w:tcW w:w="585" w:type="pct"/>
            <w:noWrap/>
            <w:hideMark/>
          </w:tcPr>
          <w:p w14:paraId="7431EEB7" w14:textId="77777777" w:rsidR="004B722B" w:rsidRPr="00AB7037" w:rsidRDefault="004B722B" w:rsidP="00AB7037">
            <w:pPr>
              <w:pStyle w:val="TableText"/>
            </w:pPr>
            <w:r w:rsidRPr="00AB7037">
              <w:t>46239</w:t>
            </w:r>
          </w:p>
        </w:tc>
        <w:tc>
          <w:tcPr>
            <w:tcW w:w="585" w:type="pct"/>
            <w:noWrap/>
            <w:hideMark/>
          </w:tcPr>
          <w:p w14:paraId="3A9FD0ED" w14:textId="77777777" w:rsidR="004B722B" w:rsidRPr="00AB7037" w:rsidRDefault="004B722B" w:rsidP="00AB7037">
            <w:pPr>
              <w:pStyle w:val="TableText"/>
            </w:pPr>
            <w:r w:rsidRPr="00AB7037">
              <w:t>46656</w:t>
            </w:r>
          </w:p>
        </w:tc>
        <w:tc>
          <w:tcPr>
            <w:tcW w:w="585" w:type="pct"/>
            <w:noWrap/>
            <w:hideMark/>
          </w:tcPr>
          <w:p w14:paraId="201EE40C" w14:textId="77777777" w:rsidR="004B722B" w:rsidRPr="00AB7037" w:rsidRDefault="004B722B" w:rsidP="00AB7037">
            <w:pPr>
              <w:pStyle w:val="TableText"/>
            </w:pPr>
            <w:r w:rsidRPr="00AB7037">
              <w:t>47075</w:t>
            </w:r>
          </w:p>
        </w:tc>
        <w:tc>
          <w:tcPr>
            <w:tcW w:w="585" w:type="pct"/>
            <w:noWrap/>
            <w:hideMark/>
          </w:tcPr>
          <w:p w14:paraId="5C1F72EE" w14:textId="77777777" w:rsidR="004B722B" w:rsidRPr="00AB7037" w:rsidRDefault="004B722B" w:rsidP="00AB7037">
            <w:pPr>
              <w:pStyle w:val="TableText"/>
            </w:pPr>
            <w:r w:rsidRPr="00AB7037">
              <w:t>47499</w:t>
            </w:r>
          </w:p>
        </w:tc>
        <w:tc>
          <w:tcPr>
            <w:tcW w:w="584" w:type="pct"/>
            <w:noWrap/>
            <w:hideMark/>
          </w:tcPr>
          <w:p w14:paraId="3D88F4BF" w14:textId="77777777" w:rsidR="004B722B" w:rsidRPr="00AB7037" w:rsidRDefault="004B722B" w:rsidP="00AB7037">
            <w:pPr>
              <w:pStyle w:val="TableText"/>
            </w:pPr>
            <w:r w:rsidRPr="00AB7037">
              <w:t>47927</w:t>
            </w:r>
          </w:p>
        </w:tc>
      </w:tr>
      <w:tr w:rsidR="004B722B" w:rsidRPr="004B722B" w14:paraId="17A19D2C" w14:textId="77777777" w:rsidTr="00AB7037">
        <w:trPr>
          <w:trHeight w:val="300"/>
          <w:jc w:val="center"/>
        </w:trPr>
        <w:tc>
          <w:tcPr>
            <w:tcW w:w="1491" w:type="pct"/>
            <w:noWrap/>
            <w:hideMark/>
          </w:tcPr>
          <w:p w14:paraId="251FFC8B" w14:textId="77777777" w:rsidR="004B722B" w:rsidRPr="00AB7037" w:rsidRDefault="004B722B" w:rsidP="00AB7037">
            <w:pPr>
              <w:pStyle w:val="TableText"/>
            </w:pPr>
            <w:r w:rsidRPr="00AB7037">
              <w:t>Number of treatment centres</w:t>
            </w:r>
          </w:p>
        </w:tc>
        <w:tc>
          <w:tcPr>
            <w:tcW w:w="585" w:type="pct"/>
            <w:noWrap/>
            <w:hideMark/>
          </w:tcPr>
          <w:p w14:paraId="5728304B" w14:textId="77777777" w:rsidR="004B722B" w:rsidRPr="00AB7037" w:rsidRDefault="004B722B" w:rsidP="00AB7037">
            <w:pPr>
              <w:pStyle w:val="TableText"/>
            </w:pPr>
            <w:r w:rsidRPr="00AB7037">
              <w:t>3</w:t>
            </w:r>
          </w:p>
        </w:tc>
        <w:tc>
          <w:tcPr>
            <w:tcW w:w="585" w:type="pct"/>
            <w:noWrap/>
            <w:hideMark/>
          </w:tcPr>
          <w:p w14:paraId="3BD1983F" w14:textId="77777777" w:rsidR="004B722B" w:rsidRPr="00AB7037" w:rsidRDefault="004B722B" w:rsidP="00AB7037">
            <w:pPr>
              <w:pStyle w:val="TableText"/>
            </w:pPr>
            <w:r w:rsidRPr="00AB7037">
              <w:t>5</w:t>
            </w:r>
          </w:p>
        </w:tc>
        <w:tc>
          <w:tcPr>
            <w:tcW w:w="585" w:type="pct"/>
            <w:noWrap/>
            <w:hideMark/>
          </w:tcPr>
          <w:p w14:paraId="72CA6B0C" w14:textId="77777777" w:rsidR="004B722B" w:rsidRPr="00AB7037" w:rsidRDefault="004B722B" w:rsidP="00AB7037">
            <w:pPr>
              <w:pStyle w:val="TableText"/>
            </w:pPr>
            <w:r w:rsidRPr="00AB7037">
              <w:t>7</w:t>
            </w:r>
          </w:p>
        </w:tc>
        <w:tc>
          <w:tcPr>
            <w:tcW w:w="585" w:type="pct"/>
            <w:noWrap/>
            <w:hideMark/>
          </w:tcPr>
          <w:p w14:paraId="5A79941C" w14:textId="77777777" w:rsidR="004B722B" w:rsidRPr="00AB7037" w:rsidRDefault="004B722B" w:rsidP="00AB7037">
            <w:pPr>
              <w:pStyle w:val="TableText"/>
            </w:pPr>
            <w:r w:rsidRPr="00AB7037">
              <w:t>10</w:t>
            </w:r>
          </w:p>
        </w:tc>
        <w:tc>
          <w:tcPr>
            <w:tcW w:w="585" w:type="pct"/>
            <w:noWrap/>
            <w:hideMark/>
          </w:tcPr>
          <w:p w14:paraId="0533CD9E" w14:textId="77777777" w:rsidR="004B722B" w:rsidRPr="00AB7037" w:rsidRDefault="004B722B" w:rsidP="00AB7037">
            <w:pPr>
              <w:pStyle w:val="TableText"/>
            </w:pPr>
            <w:r w:rsidRPr="00AB7037">
              <w:t>15</w:t>
            </w:r>
          </w:p>
        </w:tc>
        <w:tc>
          <w:tcPr>
            <w:tcW w:w="584" w:type="pct"/>
            <w:noWrap/>
            <w:hideMark/>
          </w:tcPr>
          <w:p w14:paraId="2F63D8E7" w14:textId="77777777" w:rsidR="004B722B" w:rsidRPr="00AB7037" w:rsidRDefault="004B722B" w:rsidP="00AB7037">
            <w:pPr>
              <w:pStyle w:val="TableText"/>
            </w:pPr>
            <w:r w:rsidRPr="00AB7037">
              <w:t>20</w:t>
            </w:r>
          </w:p>
        </w:tc>
      </w:tr>
      <w:tr w:rsidR="004B722B" w:rsidRPr="004B722B" w14:paraId="0AF68F9B" w14:textId="77777777" w:rsidTr="00AB7037">
        <w:trPr>
          <w:trHeight w:val="300"/>
          <w:jc w:val="center"/>
        </w:trPr>
        <w:tc>
          <w:tcPr>
            <w:tcW w:w="1491" w:type="pct"/>
            <w:noWrap/>
            <w:hideMark/>
          </w:tcPr>
          <w:p w14:paraId="2E176A57" w14:textId="77777777" w:rsidR="004B722B" w:rsidRPr="00AB7037" w:rsidRDefault="004B722B" w:rsidP="00AB7037">
            <w:pPr>
              <w:pStyle w:val="TableText"/>
            </w:pPr>
            <w:r w:rsidRPr="00AB7037">
              <w:t>Number of people who receive UAS</w:t>
            </w:r>
          </w:p>
        </w:tc>
        <w:tc>
          <w:tcPr>
            <w:tcW w:w="585" w:type="pct"/>
            <w:noWrap/>
            <w:hideMark/>
          </w:tcPr>
          <w:p w14:paraId="53575EC6" w14:textId="77777777" w:rsidR="004B722B" w:rsidRPr="00AB7037" w:rsidRDefault="004B722B" w:rsidP="00AB7037">
            <w:pPr>
              <w:pStyle w:val="TableText"/>
            </w:pPr>
            <w:r w:rsidRPr="00AB7037">
              <w:t>30</w:t>
            </w:r>
          </w:p>
        </w:tc>
        <w:tc>
          <w:tcPr>
            <w:tcW w:w="585" w:type="pct"/>
            <w:noWrap/>
            <w:hideMark/>
          </w:tcPr>
          <w:p w14:paraId="59DBC398" w14:textId="77777777" w:rsidR="004B722B" w:rsidRPr="00AB7037" w:rsidRDefault="004B722B" w:rsidP="00AB7037">
            <w:pPr>
              <w:pStyle w:val="TableText"/>
            </w:pPr>
            <w:r w:rsidRPr="00AB7037">
              <w:t>50</w:t>
            </w:r>
          </w:p>
        </w:tc>
        <w:tc>
          <w:tcPr>
            <w:tcW w:w="585" w:type="pct"/>
            <w:noWrap/>
            <w:hideMark/>
          </w:tcPr>
          <w:p w14:paraId="5EEB8D1C" w14:textId="77777777" w:rsidR="004B722B" w:rsidRPr="00AB7037" w:rsidRDefault="004B722B" w:rsidP="00AB7037">
            <w:pPr>
              <w:pStyle w:val="TableText"/>
            </w:pPr>
            <w:r w:rsidRPr="00AB7037">
              <w:t>70</w:t>
            </w:r>
          </w:p>
        </w:tc>
        <w:tc>
          <w:tcPr>
            <w:tcW w:w="585" w:type="pct"/>
            <w:noWrap/>
            <w:hideMark/>
          </w:tcPr>
          <w:p w14:paraId="0D9164C9" w14:textId="77777777" w:rsidR="004B722B" w:rsidRPr="00AB7037" w:rsidRDefault="004B722B" w:rsidP="00AB7037">
            <w:pPr>
              <w:pStyle w:val="TableText"/>
            </w:pPr>
            <w:r w:rsidRPr="00AB7037">
              <w:t>100</w:t>
            </w:r>
          </w:p>
        </w:tc>
        <w:tc>
          <w:tcPr>
            <w:tcW w:w="585" w:type="pct"/>
            <w:noWrap/>
            <w:hideMark/>
          </w:tcPr>
          <w:p w14:paraId="1DD41EEE" w14:textId="77777777" w:rsidR="004B722B" w:rsidRPr="00AB7037" w:rsidRDefault="004B722B" w:rsidP="00AB7037">
            <w:pPr>
              <w:pStyle w:val="TableText"/>
            </w:pPr>
            <w:r w:rsidRPr="00AB7037">
              <w:t>150</w:t>
            </w:r>
          </w:p>
        </w:tc>
        <w:tc>
          <w:tcPr>
            <w:tcW w:w="584" w:type="pct"/>
            <w:noWrap/>
            <w:hideMark/>
          </w:tcPr>
          <w:p w14:paraId="6DB354DE" w14:textId="77777777" w:rsidR="004B722B" w:rsidRPr="00AB7037" w:rsidRDefault="004B722B" w:rsidP="00AB7037">
            <w:pPr>
              <w:pStyle w:val="TableText"/>
            </w:pPr>
            <w:r w:rsidRPr="00AB7037">
              <w:t>200</w:t>
            </w:r>
          </w:p>
        </w:tc>
      </w:tr>
      <w:tr w:rsidR="004B722B" w:rsidRPr="004B722B" w14:paraId="4CA9BEBE" w14:textId="77777777" w:rsidTr="00AB7037">
        <w:trPr>
          <w:trHeight w:val="300"/>
          <w:jc w:val="center"/>
        </w:trPr>
        <w:tc>
          <w:tcPr>
            <w:tcW w:w="1491" w:type="pct"/>
            <w:noWrap/>
            <w:hideMark/>
          </w:tcPr>
          <w:p w14:paraId="2FEFDD1D" w14:textId="77777777" w:rsidR="004B722B" w:rsidRPr="00AB7037" w:rsidRDefault="004B722B" w:rsidP="00AB7037">
            <w:pPr>
              <w:pStyle w:val="TableText"/>
            </w:pPr>
            <w:r w:rsidRPr="00AB7037">
              <w:t>Number of services of UAS per patient</w:t>
            </w:r>
          </w:p>
        </w:tc>
        <w:tc>
          <w:tcPr>
            <w:tcW w:w="585" w:type="pct"/>
            <w:noWrap/>
            <w:hideMark/>
          </w:tcPr>
          <w:p w14:paraId="20027708" w14:textId="77777777" w:rsidR="004B722B" w:rsidRPr="00AB7037" w:rsidRDefault="004B722B" w:rsidP="00AB7037">
            <w:pPr>
              <w:pStyle w:val="TableText"/>
            </w:pPr>
            <w:r w:rsidRPr="00AB7037">
              <w:t>1</w:t>
            </w:r>
          </w:p>
        </w:tc>
        <w:tc>
          <w:tcPr>
            <w:tcW w:w="585" w:type="pct"/>
            <w:noWrap/>
            <w:hideMark/>
          </w:tcPr>
          <w:p w14:paraId="199D2B0D" w14:textId="77777777" w:rsidR="004B722B" w:rsidRPr="00AB7037" w:rsidRDefault="004B722B" w:rsidP="00AB7037">
            <w:pPr>
              <w:pStyle w:val="TableText"/>
            </w:pPr>
            <w:r w:rsidRPr="00AB7037">
              <w:t>1</w:t>
            </w:r>
          </w:p>
        </w:tc>
        <w:tc>
          <w:tcPr>
            <w:tcW w:w="585" w:type="pct"/>
            <w:noWrap/>
            <w:hideMark/>
          </w:tcPr>
          <w:p w14:paraId="3D894D97" w14:textId="77777777" w:rsidR="004B722B" w:rsidRPr="00AB7037" w:rsidRDefault="004B722B" w:rsidP="00AB7037">
            <w:pPr>
              <w:pStyle w:val="TableText"/>
            </w:pPr>
            <w:r w:rsidRPr="00AB7037">
              <w:t>1</w:t>
            </w:r>
          </w:p>
        </w:tc>
        <w:tc>
          <w:tcPr>
            <w:tcW w:w="585" w:type="pct"/>
            <w:noWrap/>
            <w:hideMark/>
          </w:tcPr>
          <w:p w14:paraId="577278B7" w14:textId="77777777" w:rsidR="004B722B" w:rsidRPr="00AB7037" w:rsidRDefault="004B722B" w:rsidP="00AB7037">
            <w:pPr>
              <w:pStyle w:val="TableText"/>
            </w:pPr>
            <w:r w:rsidRPr="00AB7037">
              <w:t>1</w:t>
            </w:r>
          </w:p>
        </w:tc>
        <w:tc>
          <w:tcPr>
            <w:tcW w:w="585" w:type="pct"/>
            <w:noWrap/>
            <w:hideMark/>
          </w:tcPr>
          <w:p w14:paraId="5D8DDCAB" w14:textId="77777777" w:rsidR="004B722B" w:rsidRPr="00AB7037" w:rsidRDefault="004B722B" w:rsidP="00AB7037">
            <w:pPr>
              <w:pStyle w:val="TableText"/>
            </w:pPr>
            <w:r w:rsidRPr="00AB7037">
              <w:t>1</w:t>
            </w:r>
          </w:p>
        </w:tc>
        <w:tc>
          <w:tcPr>
            <w:tcW w:w="584" w:type="pct"/>
            <w:noWrap/>
            <w:hideMark/>
          </w:tcPr>
          <w:p w14:paraId="2657844F" w14:textId="77777777" w:rsidR="004B722B" w:rsidRPr="00AB7037" w:rsidRDefault="004B722B" w:rsidP="00AB7037">
            <w:pPr>
              <w:pStyle w:val="TableText"/>
            </w:pPr>
            <w:r w:rsidRPr="00AB7037">
              <w:t>1</w:t>
            </w:r>
          </w:p>
        </w:tc>
      </w:tr>
      <w:tr w:rsidR="00D774F5" w:rsidRPr="004B722B" w14:paraId="1B084B6D" w14:textId="77777777" w:rsidTr="00AB7037">
        <w:trPr>
          <w:trHeight w:val="300"/>
          <w:jc w:val="center"/>
        </w:trPr>
        <w:tc>
          <w:tcPr>
            <w:tcW w:w="1491" w:type="pct"/>
            <w:noWrap/>
          </w:tcPr>
          <w:p w14:paraId="2D440EBF" w14:textId="1E0FB99D" w:rsidR="00D774F5" w:rsidRPr="00AB7037" w:rsidRDefault="00D774F5" w:rsidP="00AB7037">
            <w:pPr>
              <w:pStyle w:val="TableText"/>
            </w:pPr>
            <w:r w:rsidRPr="00AB7037">
              <w:rPr>
                <w:b/>
                <w:bCs/>
              </w:rPr>
              <w:t>Cost to the MBS</w:t>
            </w:r>
            <w:r>
              <w:rPr>
                <w:b/>
                <w:bCs/>
              </w:rPr>
              <w:t xml:space="preserve"> – Device implant</w:t>
            </w:r>
          </w:p>
        </w:tc>
        <w:tc>
          <w:tcPr>
            <w:tcW w:w="585" w:type="pct"/>
            <w:noWrap/>
          </w:tcPr>
          <w:p w14:paraId="26F682DD" w14:textId="77777777" w:rsidR="00D774F5" w:rsidRPr="00AB7037" w:rsidRDefault="00D774F5" w:rsidP="00AB7037">
            <w:pPr>
              <w:pStyle w:val="TableText"/>
            </w:pPr>
          </w:p>
        </w:tc>
        <w:tc>
          <w:tcPr>
            <w:tcW w:w="585" w:type="pct"/>
            <w:noWrap/>
          </w:tcPr>
          <w:p w14:paraId="5A072B14" w14:textId="77777777" w:rsidR="00D774F5" w:rsidRPr="00AB7037" w:rsidRDefault="00D774F5" w:rsidP="00AB7037">
            <w:pPr>
              <w:pStyle w:val="TableText"/>
            </w:pPr>
          </w:p>
        </w:tc>
        <w:tc>
          <w:tcPr>
            <w:tcW w:w="585" w:type="pct"/>
            <w:noWrap/>
          </w:tcPr>
          <w:p w14:paraId="600C9374" w14:textId="77777777" w:rsidR="00D774F5" w:rsidRPr="00AB7037" w:rsidRDefault="00D774F5" w:rsidP="00AB7037">
            <w:pPr>
              <w:pStyle w:val="TableText"/>
            </w:pPr>
          </w:p>
        </w:tc>
        <w:tc>
          <w:tcPr>
            <w:tcW w:w="585" w:type="pct"/>
            <w:noWrap/>
          </w:tcPr>
          <w:p w14:paraId="5D81A646" w14:textId="77777777" w:rsidR="00D774F5" w:rsidRPr="00AB7037" w:rsidRDefault="00D774F5" w:rsidP="00AB7037">
            <w:pPr>
              <w:pStyle w:val="TableText"/>
            </w:pPr>
          </w:p>
        </w:tc>
        <w:tc>
          <w:tcPr>
            <w:tcW w:w="585" w:type="pct"/>
            <w:noWrap/>
          </w:tcPr>
          <w:p w14:paraId="51D4C32A" w14:textId="77777777" w:rsidR="00D774F5" w:rsidRPr="00AB7037" w:rsidRDefault="00D774F5" w:rsidP="00AB7037">
            <w:pPr>
              <w:pStyle w:val="TableText"/>
            </w:pPr>
          </w:p>
        </w:tc>
        <w:tc>
          <w:tcPr>
            <w:tcW w:w="584" w:type="pct"/>
            <w:noWrap/>
          </w:tcPr>
          <w:p w14:paraId="6A500623" w14:textId="77777777" w:rsidR="00D774F5" w:rsidRPr="00AB7037" w:rsidRDefault="00D774F5" w:rsidP="00AB7037">
            <w:pPr>
              <w:pStyle w:val="TableText"/>
            </w:pPr>
          </w:p>
        </w:tc>
      </w:tr>
      <w:tr w:rsidR="00C61A1E" w:rsidRPr="004B722B" w14:paraId="00CA03D0" w14:textId="77777777" w:rsidTr="00AB7037">
        <w:trPr>
          <w:trHeight w:val="300"/>
          <w:jc w:val="center"/>
        </w:trPr>
        <w:tc>
          <w:tcPr>
            <w:tcW w:w="1491" w:type="pct"/>
            <w:noWrap/>
            <w:hideMark/>
          </w:tcPr>
          <w:p w14:paraId="56E2C409" w14:textId="6A175A79" w:rsidR="00C61A1E" w:rsidRPr="00AB7037" w:rsidRDefault="00C61A1E" w:rsidP="00C61A1E">
            <w:pPr>
              <w:pStyle w:val="TableText"/>
            </w:pPr>
            <w:r w:rsidRPr="002C098C">
              <w:t>DISE (MBS 41764 75% fee $97.40)</w:t>
            </w:r>
          </w:p>
        </w:tc>
        <w:tc>
          <w:tcPr>
            <w:tcW w:w="585" w:type="pct"/>
            <w:noWrap/>
            <w:hideMark/>
          </w:tcPr>
          <w:p w14:paraId="54878142" w14:textId="5EE03392" w:rsidR="00C61A1E" w:rsidRPr="00AB7037" w:rsidRDefault="00C61A1E" w:rsidP="00C61A1E">
            <w:pPr>
              <w:pStyle w:val="TableText"/>
            </w:pPr>
            <w:r w:rsidRPr="002C098C">
              <w:t xml:space="preserve"> $2,922 </w:t>
            </w:r>
          </w:p>
        </w:tc>
        <w:tc>
          <w:tcPr>
            <w:tcW w:w="585" w:type="pct"/>
            <w:noWrap/>
            <w:hideMark/>
          </w:tcPr>
          <w:p w14:paraId="6D76A1B5" w14:textId="7EAA34F8" w:rsidR="00C61A1E" w:rsidRPr="00AB7037" w:rsidRDefault="00C61A1E" w:rsidP="00C61A1E">
            <w:pPr>
              <w:pStyle w:val="TableText"/>
            </w:pPr>
            <w:r w:rsidRPr="002C098C">
              <w:t xml:space="preserve"> $4,870 </w:t>
            </w:r>
          </w:p>
        </w:tc>
        <w:tc>
          <w:tcPr>
            <w:tcW w:w="585" w:type="pct"/>
            <w:noWrap/>
            <w:hideMark/>
          </w:tcPr>
          <w:p w14:paraId="7B2689B2" w14:textId="07FADCB2" w:rsidR="00C61A1E" w:rsidRPr="00AB7037" w:rsidRDefault="00C61A1E" w:rsidP="00C61A1E">
            <w:pPr>
              <w:pStyle w:val="TableText"/>
            </w:pPr>
            <w:r w:rsidRPr="002C098C">
              <w:t xml:space="preserve"> $6,818 </w:t>
            </w:r>
          </w:p>
        </w:tc>
        <w:tc>
          <w:tcPr>
            <w:tcW w:w="585" w:type="pct"/>
            <w:noWrap/>
            <w:hideMark/>
          </w:tcPr>
          <w:p w14:paraId="107D7611" w14:textId="40560424" w:rsidR="00C61A1E" w:rsidRPr="00AB7037" w:rsidRDefault="00C61A1E" w:rsidP="00C61A1E">
            <w:pPr>
              <w:pStyle w:val="TableText"/>
            </w:pPr>
            <w:r w:rsidRPr="002C098C">
              <w:t xml:space="preserve"> $9,740</w:t>
            </w:r>
          </w:p>
        </w:tc>
        <w:tc>
          <w:tcPr>
            <w:tcW w:w="585" w:type="pct"/>
            <w:noWrap/>
            <w:hideMark/>
          </w:tcPr>
          <w:p w14:paraId="38271C27" w14:textId="6AF490EC" w:rsidR="00C61A1E" w:rsidRPr="00AB7037" w:rsidRDefault="00C61A1E" w:rsidP="00C61A1E">
            <w:pPr>
              <w:pStyle w:val="TableText"/>
            </w:pPr>
            <w:r w:rsidRPr="002C098C">
              <w:t xml:space="preserve"> $14,610 </w:t>
            </w:r>
          </w:p>
        </w:tc>
        <w:tc>
          <w:tcPr>
            <w:tcW w:w="584" w:type="pct"/>
            <w:noWrap/>
            <w:hideMark/>
          </w:tcPr>
          <w:p w14:paraId="4F6FE3ED" w14:textId="5C39F2C5" w:rsidR="00C61A1E" w:rsidRPr="00AB7037" w:rsidRDefault="00C61A1E" w:rsidP="00C61A1E">
            <w:pPr>
              <w:pStyle w:val="TableText"/>
            </w:pPr>
            <w:r w:rsidRPr="002C098C">
              <w:t xml:space="preserve"> $19,480</w:t>
            </w:r>
          </w:p>
        </w:tc>
      </w:tr>
      <w:tr w:rsidR="00C61A1E" w:rsidRPr="004B722B" w14:paraId="3C372539" w14:textId="77777777" w:rsidTr="00AB7037">
        <w:trPr>
          <w:trHeight w:val="300"/>
          <w:jc w:val="center"/>
        </w:trPr>
        <w:tc>
          <w:tcPr>
            <w:tcW w:w="1491" w:type="pct"/>
            <w:noWrap/>
            <w:hideMark/>
          </w:tcPr>
          <w:p w14:paraId="6100E1A8" w14:textId="4EFF60EE" w:rsidR="00C61A1E" w:rsidRPr="00AB7037" w:rsidRDefault="00C61A1E" w:rsidP="00C61A1E">
            <w:pPr>
              <w:pStyle w:val="TableText"/>
            </w:pPr>
            <w:r w:rsidRPr="002C098C">
              <w:t>Bronchoscopy (MBS 38419 75% fee $141.15, used by 50% of patients)</w:t>
            </w:r>
          </w:p>
        </w:tc>
        <w:tc>
          <w:tcPr>
            <w:tcW w:w="585" w:type="pct"/>
            <w:noWrap/>
            <w:hideMark/>
          </w:tcPr>
          <w:p w14:paraId="79DDD27B" w14:textId="074F4BBE" w:rsidR="00C61A1E" w:rsidRPr="00AB7037" w:rsidRDefault="00C61A1E" w:rsidP="00C61A1E">
            <w:pPr>
              <w:pStyle w:val="TableText"/>
            </w:pPr>
            <w:r w:rsidRPr="002C098C">
              <w:t xml:space="preserve"> $2,117 </w:t>
            </w:r>
          </w:p>
        </w:tc>
        <w:tc>
          <w:tcPr>
            <w:tcW w:w="585" w:type="pct"/>
            <w:noWrap/>
            <w:hideMark/>
          </w:tcPr>
          <w:p w14:paraId="4DE0A5EE" w14:textId="4D4381EB" w:rsidR="00C61A1E" w:rsidRPr="00AB7037" w:rsidRDefault="00C61A1E" w:rsidP="00C61A1E">
            <w:pPr>
              <w:pStyle w:val="TableText"/>
            </w:pPr>
            <w:r w:rsidRPr="002C098C">
              <w:t xml:space="preserve"> $3,52</w:t>
            </w:r>
            <w:r>
              <w:t>9</w:t>
            </w:r>
            <w:r w:rsidRPr="002C098C">
              <w:t xml:space="preserve"> </w:t>
            </w:r>
          </w:p>
        </w:tc>
        <w:tc>
          <w:tcPr>
            <w:tcW w:w="585" w:type="pct"/>
            <w:noWrap/>
            <w:hideMark/>
          </w:tcPr>
          <w:p w14:paraId="3E4A6F02" w14:textId="3B9084F5" w:rsidR="00C61A1E" w:rsidRPr="00AB7037" w:rsidRDefault="00C61A1E" w:rsidP="00C61A1E">
            <w:pPr>
              <w:pStyle w:val="TableText"/>
            </w:pPr>
            <w:r w:rsidRPr="002C098C">
              <w:t xml:space="preserve"> $4,9</w:t>
            </w:r>
            <w:r>
              <w:t>40</w:t>
            </w:r>
          </w:p>
        </w:tc>
        <w:tc>
          <w:tcPr>
            <w:tcW w:w="585" w:type="pct"/>
            <w:noWrap/>
            <w:hideMark/>
          </w:tcPr>
          <w:p w14:paraId="48916782" w14:textId="151E0440" w:rsidR="00C61A1E" w:rsidRPr="00AB7037" w:rsidRDefault="00C61A1E" w:rsidP="00C61A1E">
            <w:pPr>
              <w:pStyle w:val="TableText"/>
            </w:pPr>
            <w:r w:rsidRPr="002C098C">
              <w:t xml:space="preserve"> $7,057 </w:t>
            </w:r>
          </w:p>
        </w:tc>
        <w:tc>
          <w:tcPr>
            <w:tcW w:w="585" w:type="pct"/>
            <w:noWrap/>
            <w:hideMark/>
          </w:tcPr>
          <w:p w14:paraId="0D3CC085" w14:textId="2382609B" w:rsidR="00C61A1E" w:rsidRPr="00AB7037" w:rsidRDefault="00C61A1E" w:rsidP="00C61A1E">
            <w:pPr>
              <w:pStyle w:val="TableText"/>
            </w:pPr>
            <w:r w:rsidRPr="002C098C">
              <w:t xml:space="preserve"> $10,58</w:t>
            </w:r>
            <w:r>
              <w:t>6</w:t>
            </w:r>
            <w:r w:rsidRPr="002C098C">
              <w:t xml:space="preserve"> </w:t>
            </w:r>
          </w:p>
        </w:tc>
        <w:tc>
          <w:tcPr>
            <w:tcW w:w="584" w:type="pct"/>
            <w:noWrap/>
            <w:hideMark/>
          </w:tcPr>
          <w:p w14:paraId="6EB25D12" w14:textId="28279E49" w:rsidR="00C61A1E" w:rsidRPr="00AB7037" w:rsidRDefault="00C61A1E" w:rsidP="00C61A1E">
            <w:pPr>
              <w:pStyle w:val="TableText"/>
            </w:pPr>
            <w:r w:rsidRPr="002C098C">
              <w:t xml:space="preserve"> $14,114 </w:t>
            </w:r>
          </w:p>
        </w:tc>
      </w:tr>
      <w:tr w:rsidR="00C61A1E" w:rsidRPr="004B722B" w14:paraId="40E3602E" w14:textId="77777777" w:rsidTr="00AB7037">
        <w:trPr>
          <w:trHeight w:val="300"/>
          <w:jc w:val="center"/>
        </w:trPr>
        <w:tc>
          <w:tcPr>
            <w:tcW w:w="1491" w:type="pct"/>
            <w:noWrap/>
            <w:hideMark/>
          </w:tcPr>
          <w:p w14:paraId="2A9BDFAA" w14:textId="2F07CC53" w:rsidR="00C61A1E" w:rsidRPr="00AB7037" w:rsidRDefault="00C61A1E" w:rsidP="00C61A1E">
            <w:pPr>
              <w:pStyle w:val="TableText"/>
            </w:pPr>
            <w:r w:rsidRPr="002C098C">
              <w:t>Initiation of anaesthesia (MBS 20320 75% fee $94.30)</w:t>
            </w:r>
          </w:p>
        </w:tc>
        <w:tc>
          <w:tcPr>
            <w:tcW w:w="585" w:type="pct"/>
            <w:noWrap/>
            <w:hideMark/>
          </w:tcPr>
          <w:p w14:paraId="38E03C13" w14:textId="0661D408" w:rsidR="00C61A1E" w:rsidRPr="00AB7037" w:rsidRDefault="00C61A1E" w:rsidP="00C61A1E">
            <w:pPr>
              <w:pStyle w:val="TableText"/>
            </w:pPr>
            <w:r w:rsidRPr="002C098C">
              <w:t xml:space="preserve"> $2,829 </w:t>
            </w:r>
          </w:p>
        </w:tc>
        <w:tc>
          <w:tcPr>
            <w:tcW w:w="585" w:type="pct"/>
            <w:noWrap/>
            <w:hideMark/>
          </w:tcPr>
          <w:p w14:paraId="0D6D6B0A" w14:textId="49CA8789" w:rsidR="00C61A1E" w:rsidRPr="00AB7037" w:rsidRDefault="00C61A1E" w:rsidP="00C61A1E">
            <w:pPr>
              <w:pStyle w:val="TableText"/>
            </w:pPr>
            <w:r w:rsidRPr="002C098C">
              <w:t xml:space="preserve"> $4,715 </w:t>
            </w:r>
          </w:p>
        </w:tc>
        <w:tc>
          <w:tcPr>
            <w:tcW w:w="585" w:type="pct"/>
            <w:noWrap/>
            <w:hideMark/>
          </w:tcPr>
          <w:p w14:paraId="39B012B5" w14:textId="322709DD" w:rsidR="00C61A1E" w:rsidRPr="00AB7037" w:rsidRDefault="00C61A1E" w:rsidP="00C61A1E">
            <w:pPr>
              <w:pStyle w:val="TableText"/>
            </w:pPr>
            <w:r w:rsidRPr="002C098C">
              <w:t xml:space="preserve"> $6,601 </w:t>
            </w:r>
          </w:p>
        </w:tc>
        <w:tc>
          <w:tcPr>
            <w:tcW w:w="585" w:type="pct"/>
            <w:noWrap/>
            <w:hideMark/>
          </w:tcPr>
          <w:p w14:paraId="32CA8CCF" w14:textId="7B3E29E1" w:rsidR="00C61A1E" w:rsidRPr="00AB7037" w:rsidRDefault="00C61A1E" w:rsidP="00C61A1E">
            <w:pPr>
              <w:pStyle w:val="TableText"/>
            </w:pPr>
            <w:r w:rsidRPr="002C098C">
              <w:t xml:space="preserve"> $9,430 </w:t>
            </w:r>
          </w:p>
        </w:tc>
        <w:tc>
          <w:tcPr>
            <w:tcW w:w="585" w:type="pct"/>
            <w:noWrap/>
            <w:hideMark/>
          </w:tcPr>
          <w:p w14:paraId="1F88BFFC" w14:textId="54B9005F" w:rsidR="00C61A1E" w:rsidRPr="00AB7037" w:rsidRDefault="00C61A1E" w:rsidP="00C61A1E">
            <w:pPr>
              <w:pStyle w:val="TableText"/>
            </w:pPr>
            <w:r w:rsidRPr="002C098C">
              <w:t xml:space="preserve"> $14,145 </w:t>
            </w:r>
          </w:p>
        </w:tc>
        <w:tc>
          <w:tcPr>
            <w:tcW w:w="584" w:type="pct"/>
            <w:noWrap/>
            <w:hideMark/>
          </w:tcPr>
          <w:p w14:paraId="5C39F7C5" w14:textId="19279989" w:rsidR="00C61A1E" w:rsidRPr="00AB7037" w:rsidRDefault="00C61A1E" w:rsidP="00C61A1E">
            <w:pPr>
              <w:pStyle w:val="TableText"/>
            </w:pPr>
            <w:r w:rsidRPr="002C098C">
              <w:t xml:space="preserve"> $18,860 </w:t>
            </w:r>
          </w:p>
        </w:tc>
      </w:tr>
      <w:tr w:rsidR="00C61A1E" w:rsidRPr="004B722B" w14:paraId="012BC32D" w14:textId="77777777" w:rsidTr="00AB7037">
        <w:trPr>
          <w:trHeight w:val="300"/>
          <w:jc w:val="center"/>
        </w:trPr>
        <w:tc>
          <w:tcPr>
            <w:tcW w:w="1491" w:type="pct"/>
            <w:noWrap/>
            <w:hideMark/>
          </w:tcPr>
          <w:p w14:paraId="6DED8E37" w14:textId="3C4DB60B" w:rsidR="00C61A1E" w:rsidRPr="00AB7037" w:rsidRDefault="00C61A1E" w:rsidP="00C61A1E">
            <w:pPr>
              <w:pStyle w:val="TableText"/>
            </w:pPr>
            <w:r w:rsidRPr="002C098C">
              <w:t>Anaesthesia time units (MBS 23035 75% fee $47.15)</w:t>
            </w:r>
          </w:p>
        </w:tc>
        <w:tc>
          <w:tcPr>
            <w:tcW w:w="585" w:type="pct"/>
            <w:noWrap/>
            <w:hideMark/>
          </w:tcPr>
          <w:p w14:paraId="4D75B516" w14:textId="5E9152A1" w:rsidR="00C61A1E" w:rsidRPr="00AB7037" w:rsidRDefault="00C61A1E" w:rsidP="00C61A1E">
            <w:pPr>
              <w:pStyle w:val="TableText"/>
            </w:pPr>
            <w:r w:rsidRPr="002C098C">
              <w:t xml:space="preserve"> $1,41</w:t>
            </w:r>
            <w:r>
              <w:t>5</w:t>
            </w:r>
            <w:r w:rsidRPr="002C098C">
              <w:t xml:space="preserve"> </w:t>
            </w:r>
          </w:p>
        </w:tc>
        <w:tc>
          <w:tcPr>
            <w:tcW w:w="585" w:type="pct"/>
            <w:noWrap/>
            <w:hideMark/>
          </w:tcPr>
          <w:p w14:paraId="37B0F66B" w14:textId="7D91544E" w:rsidR="00C61A1E" w:rsidRPr="00AB7037" w:rsidRDefault="00C61A1E" w:rsidP="00C61A1E">
            <w:pPr>
              <w:pStyle w:val="TableText"/>
            </w:pPr>
            <w:r w:rsidRPr="002C098C">
              <w:t xml:space="preserve"> $2,35</w:t>
            </w:r>
            <w:r>
              <w:t>8</w:t>
            </w:r>
            <w:r w:rsidRPr="002C098C">
              <w:t xml:space="preserve"> </w:t>
            </w:r>
          </w:p>
        </w:tc>
        <w:tc>
          <w:tcPr>
            <w:tcW w:w="585" w:type="pct"/>
            <w:noWrap/>
            <w:hideMark/>
          </w:tcPr>
          <w:p w14:paraId="1AEA3027" w14:textId="704E460A" w:rsidR="00C61A1E" w:rsidRPr="00AB7037" w:rsidRDefault="00C61A1E" w:rsidP="00C61A1E">
            <w:pPr>
              <w:pStyle w:val="TableText"/>
            </w:pPr>
            <w:r w:rsidRPr="002C098C">
              <w:t xml:space="preserve"> $3,30</w:t>
            </w:r>
            <w:r>
              <w:t>1</w:t>
            </w:r>
          </w:p>
        </w:tc>
        <w:tc>
          <w:tcPr>
            <w:tcW w:w="585" w:type="pct"/>
            <w:noWrap/>
            <w:hideMark/>
          </w:tcPr>
          <w:p w14:paraId="2546145F" w14:textId="01AB63F7" w:rsidR="00C61A1E" w:rsidRPr="00AB7037" w:rsidRDefault="00C61A1E" w:rsidP="00C61A1E">
            <w:pPr>
              <w:pStyle w:val="TableText"/>
            </w:pPr>
            <w:r w:rsidRPr="002C098C">
              <w:t xml:space="preserve"> $4,715</w:t>
            </w:r>
          </w:p>
        </w:tc>
        <w:tc>
          <w:tcPr>
            <w:tcW w:w="585" w:type="pct"/>
            <w:noWrap/>
            <w:hideMark/>
          </w:tcPr>
          <w:p w14:paraId="0C884FF0" w14:textId="3C100803" w:rsidR="00C61A1E" w:rsidRPr="00AB7037" w:rsidRDefault="00C61A1E" w:rsidP="00C61A1E">
            <w:pPr>
              <w:pStyle w:val="TableText"/>
            </w:pPr>
            <w:r w:rsidRPr="002C098C">
              <w:t xml:space="preserve"> $7,07</w:t>
            </w:r>
            <w:r>
              <w:t>3</w:t>
            </w:r>
            <w:r w:rsidRPr="002C098C">
              <w:t xml:space="preserve"> </w:t>
            </w:r>
          </w:p>
        </w:tc>
        <w:tc>
          <w:tcPr>
            <w:tcW w:w="584" w:type="pct"/>
            <w:noWrap/>
            <w:hideMark/>
          </w:tcPr>
          <w:p w14:paraId="646F7257" w14:textId="7A9DB707" w:rsidR="00C61A1E" w:rsidRPr="00AB7037" w:rsidRDefault="00C61A1E" w:rsidP="00C61A1E">
            <w:pPr>
              <w:pStyle w:val="TableText"/>
            </w:pPr>
            <w:r w:rsidRPr="002C098C">
              <w:t xml:space="preserve"> $9,430 </w:t>
            </w:r>
          </w:p>
        </w:tc>
      </w:tr>
      <w:tr w:rsidR="00C61A1E" w:rsidRPr="004B722B" w14:paraId="4C904458" w14:textId="77777777" w:rsidTr="00AB7037">
        <w:trPr>
          <w:trHeight w:val="300"/>
          <w:jc w:val="center"/>
        </w:trPr>
        <w:tc>
          <w:tcPr>
            <w:tcW w:w="1491" w:type="pct"/>
            <w:noWrap/>
            <w:hideMark/>
          </w:tcPr>
          <w:p w14:paraId="06EB57E3" w14:textId="7B2228A8" w:rsidR="00C61A1E" w:rsidRPr="00AB7037" w:rsidRDefault="00C61A1E" w:rsidP="00C61A1E">
            <w:pPr>
              <w:pStyle w:val="TableText"/>
            </w:pPr>
            <w:r w:rsidRPr="002C098C">
              <w:lastRenderedPageBreak/>
              <w:t>Case conference (MBS 822 85% fee $190.40, MBS 10957 85% fee 75.30)</w:t>
            </w:r>
          </w:p>
        </w:tc>
        <w:tc>
          <w:tcPr>
            <w:tcW w:w="585" w:type="pct"/>
            <w:noWrap/>
            <w:hideMark/>
          </w:tcPr>
          <w:p w14:paraId="0D975E56" w14:textId="5BA14845" w:rsidR="00C61A1E" w:rsidRPr="00AB7037" w:rsidRDefault="00C61A1E" w:rsidP="00C61A1E">
            <w:pPr>
              <w:pStyle w:val="TableText"/>
            </w:pPr>
            <w:r w:rsidRPr="002C098C">
              <w:t xml:space="preserve"> $7,971 </w:t>
            </w:r>
          </w:p>
        </w:tc>
        <w:tc>
          <w:tcPr>
            <w:tcW w:w="585" w:type="pct"/>
            <w:noWrap/>
            <w:hideMark/>
          </w:tcPr>
          <w:p w14:paraId="030AB112" w14:textId="4A4F43A6" w:rsidR="00C61A1E" w:rsidRPr="00AB7037" w:rsidRDefault="00C61A1E" w:rsidP="00C61A1E">
            <w:pPr>
              <w:pStyle w:val="TableText"/>
            </w:pPr>
            <w:r w:rsidRPr="002C098C">
              <w:t xml:space="preserve"> $13,285 </w:t>
            </w:r>
          </w:p>
        </w:tc>
        <w:tc>
          <w:tcPr>
            <w:tcW w:w="585" w:type="pct"/>
            <w:noWrap/>
            <w:hideMark/>
          </w:tcPr>
          <w:p w14:paraId="4C37B4A0" w14:textId="5272C5C7" w:rsidR="00C61A1E" w:rsidRPr="00AB7037" w:rsidRDefault="00C61A1E" w:rsidP="00C61A1E">
            <w:pPr>
              <w:pStyle w:val="TableText"/>
            </w:pPr>
            <w:r w:rsidRPr="002C098C">
              <w:t xml:space="preserve"> $18,599 </w:t>
            </w:r>
          </w:p>
        </w:tc>
        <w:tc>
          <w:tcPr>
            <w:tcW w:w="585" w:type="pct"/>
            <w:noWrap/>
            <w:hideMark/>
          </w:tcPr>
          <w:p w14:paraId="10193F5A" w14:textId="20A30819" w:rsidR="00C61A1E" w:rsidRPr="00AB7037" w:rsidRDefault="00C61A1E" w:rsidP="00C61A1E">
            <w:pPr>
              <w:pStyle w:val="TableText"/>
            </w:pPr>
            <w:r w:rsidRPr="002C098C">
              <w:t xml:space="preserve"> $26,570 </w:t>
            </w:r>
          </w:p>
        </w:tc>
        <w:tc>
          <w:tcPr>
            <w:tcW w:w="585" w:type="pct"/>
            <w:noWrap/>
            <w:hideMark/>
          </w:tcPr>
          <w:p w14:paraId="33A00AA1" w14:textId="2CF88289" w:rsidR="00C61A1E" w:rsidRPr="00AB7037" w:rsidRDefault="00C61A1E" w:rsidP="00C61A1E">
            <w:pPr>
              <w:pStyle w:val="TableText"/>
            </w:pPr>
            <w:r w:rsidRPr="002C098C">
              <w:t xml:space="preserve"> $39,855 </w:t>
            </w:r>
          </w:p>
        </w:tc>
        <w:tc>
          <w:tcPr>
            <w:tcW w:w="584" w:type="pct"/>
            <w:noWrap/>
            <w:hideMark/>
          </w:tcPr>
          <w:p w14:paraId="1DC49F67" w14:textId="33ECF224" w:rsidR="00C61A1E" w:rsidRPr="00AB7037" w:rsidRDefault="00C61A1E" w:rsidP="00C61A1E">
            <w:pPr>
              <w:pStyle w:val="TableText"/>
            </w:pPr>
            <w:r w:rsidRPr="002C098C">
              <w:t xml:space="preserve"> $53,140 </w:t>
            </w:r>
          </w:p>
        </w:tc>
      </w:tr>
      <w:tr w:rsidR="00C61A1E" w:rsidRPr="004B722B" w14:paraId="07426125" w14:textId="77777777" w:rsidTr="00AB7037">
        <w:trPr>
          <w:trHeight w:val="300"/>
          <w:jc w:val="center"/>
        </w:trPr>
        <w:tc>
          <w:tcPr>
            <w:tcW w:w="1491" w:type="pct"/>
            <w:noWrap/>
          </w:tcPr>
          <w:p w14:paraId="154AD538" w14:textId="3E9A2A20" w:rsidR="00C61A1E" w:rsidRPr="00AB7037" w:rsidRDefault="00C61A1E" w:rsidP="00C61A1E">
            <w:pPr>
              <w:pStyle w:val="TableText"/>
            </w:pPr>
            <w:r w:rsidRPr="002C098C">
              <w:t xml:space="preserve">UAS </w:t>
            </w:r>
            <w:r w:rsidR="00DE4669">
              <w:t>i</w:t>
            </w:r>
            <w:r w:rsidRPr="002C098C">
              <w:t>mplantation (</w:t>
            </w:r>
            <w:r w:rsidR="00DE4669">
              <w:t>p</w:t>
            </w:r>
            <w:r w:rsidRPr="002C098C">
              <w:t>roposed 75% MBS fee $869.24)</w:t>
            </w:r>
          </w:p>
        </w:tc>
        <w:tc>
          <w:tcPr>
            <w:tcW w:w="585" w:type="pct"/>
            <w:noWrap/>
          </w:tcPr>
          <w:p w14:paraId="72E28674" w14:textId="4F8CB599" w:rsidR="00C61A1E" w:rsidRPr="00AB7037" w:rsidRDefault="00C61A1E" w:rsidP="00C61A1E">
            <w:pPr>
              <w:pStyle w:val="TableText"/>
            </w:pPr>
            <w:r w:rsidRPr="002C098C">
              <w:t xml:space="preserve"> $26,077 </w:t>
            </w:r>
          </w:p>
        </w:tc>
        <w:tc>
          <w:tcPr>
            <w:tcW w:w="585" w:type="pct"/>
            <w:noWrap/>
          </w:tcPr>
          <w:p w14:paraId="774D0A6C" w14:textId="641F9FDF" w:rsidR="00C61A1E" w:rsidRPr="00AB7037" w:rsidRDefault="00C61A1E" w:rsidP="00C61A1E">
            <w:pPr>
              <w:pStyle w:val="TableText"/>
            </w:pPr>
            <w:r w:rsidRPr="002C098C">
              <w:t xml:space="preserve"> $43,462 </w:t>
            </w:r>
          </w:p>
        </w:tc>
        <w:tc>
          <w:tcPr>
            <w:tcW w:w="585" w:type="pct"/>
            <w:noWrap/>
          </w:tcPr>
          <w:p w14:paraId="6195BBDB" w14:textId="72F9DD72" w:rsidR="00C61A1E" w:rsidRPr="00AB7037" w:rsidRDefault="00C61A1E" w:rsidP="00C61A1E">
            <w:pPr>
              <w:pStyle w:val="TableText"/>
            </w:pPr>
            <w:r w:rsidRPr="002C098C">
              <w:t xml:space="preserve"> $60,84</w:t>
            </w:r>
            <w:r>
              <w:t>7</w:t>
            </w:r>
          </w:p>
        </w:tc>
        <w:tc>
          <w:tcPr>
            <w:tcW w:w="585" w:type="pct"/>
            <w:noWrap/>
          </w:tcPr>
          <w:p w14:paraId="4854ACAE" w14:textId="76B1552C" w:rsidR="00C61A1E" w:rsidRPr="00AB7037" w:rsidRDefault="00C61A1E" w:rsidP="00C61A1E">
            <w:pPr>
              <w:pStyle w:val="TableText"/>
            </w:pPr>
            <w:r w:rsidRPr="002C098C">
              <w:t xml:space="preserve"> $86,924 </w:t>
            </w:r>
          </w:p>
        </w:tc>
        <w:tc>
          <w:tcPr>
            <w:tcW w:w="585" w:type="pct"/>
            <w:noWrap/>
          </w:tcPr>
          <w:p w14:paraId="73716D2B" w14:textId="0C1D7572" w:rsidR="00C61A1E" w:rsidRPr="00AB7037" w:rsidRDefault="00C61A1E" w:rsidP="00C61A1E">
            <w:pPr>
              <w:pStyle w:val="TableText"/>
            </w:pPr>
            <w:r w:rsidRPr="002C098C">
              <w:t xml:space="preserve"> $130,386 </w:t>
            </w:r>
          </w:p>
        </w:tc>
        <w:tc>
          <w:tcPr>
            <w:tcW w:w="584" w:type="pct"/>
            <w:noWrap/>
          </w:tcPr>
          <w:p w14:paraId="61760248" w14:textId="612F3EA6" w:rsidR="00C61A1E" w:rsidRPr="00AB7037" w:rsidRDefault="00C61A1E" w:rsidP="00C61A1E">
            <w:pPr>
              <w:pStyle w:val="TableText"/>
            </w:pPr>
            <w:r w:rsidRPr="002C098C">
              <w:t xml:space="preserve"> $173,848 </w:t>
            </w:r>
          </w:p>
        </w:tc>
      </w:tr>
      <w:tr w:rsidR="00C61A1E" w:rsidRPr="004B722B" w14:paraId="353053F6" w14:textId="77777777" w:rsidTr="00AB7037">
        <w:trPr>
          <w:trHeight w:val="300"/>
          <w:jc w:val="center"/>
        </w:trPr>
        <w:tc>
          <w:tcPr>
            <w:tcW w:w="1491" w:type="pct"/>
            <w:noWrap/>
          </w:tcPr>
          <w:p w14:paraId="6036E0FA" w14:textId="206A2C6E" w:rsidR="00C61A1E" w:rsidRPr="00AB7037" w:rsidRDefault="00C61A1E" w:rsidP="00C61A1E">
            <w:pPr>
              <w:pStyle w:val="TableText"/>
            </w:pPr>
            <w:r w:rsidRPr="002C098C">
              <w:t>Anaesthesia for implantation (MBS 20320 + MBS 23091 75% fee $235.75)</w:t>
            </w:r>
          </w:p>
        </w:tc>
        <w:tc>
          <w:tcPr>
            <w:tcW w:w="585" w:type="pct"/>
            <w:noWrap/>
          </w:tcPr>
          <w:p w14:paraId="3461AE56" w14:textId="4A8B4B18" w:rsidR="00C61A1E" w:rsidRPr="00AB7037" w:rsidRDefault="00C61A1E" w:rsidP="00C61A1E">
            <w:pPr>
              <w:pStyle w:val="TableText"/>
            </w:pPr>
            <w:r w:rsidRPr="002C098C">
              <w:t xml:space="preserve"> $7,07</w:t>
            </w:r>
            <w:r>
              <w:t>3</w:t>
            </w:r>
          </w:p>
        </w:tc>
        <w:tc>
          <w:tcPr>
            <w:tcW w:w="585" w:type="pct"/>
            <w:noWrap/>
          </w:tcPr>
          <w:p w14:paraId="2269F914" w14:textId="415C3A0C" w:rsidR="00C61A1E" w:rsidRPr="00AB7037" w:rsidRDefault="00C61A1E" w:rsidP="00C61A1E">
            <w:pPr>
              <w:pStyle w:val="TableText"/>
            </w:pPr>
            <w:r w:rsidRPr="002C098C">
              <w:t xml:space="preserve"> $11,78</w:t>
            </w:r>
            <w:r>
              <w:t>8</w:t>
            </w:r>
          </w:p>
        </w:tc>
        <w:tc>
          <w:tcPr>
            <w:tcW w:w="585" w:type="pct"/>
            <w:noWrap/>
          </w:tcPr>
          <w:p w14:paraId="568533F4" w14:textId="0E12388C" w:rsidR="00C61A1E" w:rsidRPr="00AB7037" w:rsidRDefault="00C61A1E" w:rsidP="00C61A1E">
            <w:pPr>
              <w:pStyle w:val="TableText"/>
            </w:pPr>
            <w:r w:rsidRPr="002C098C">
              <w:t xml:space="preserve"> $16,50</w:t>
            </w:r>
            <w:r>
              <w:t>3</w:t>
            </w:r>
          </w:p>
        </w:tc>
        <w:tc>
          <w:tcPr>
            <w:tcW w:w="585" w:type="pct"/>
            <w:noWrap/>
          </w:tcPr>
          <w:p w14:paraId="4F27009D" w14:textId="2AEF0C5D" w:rsidR="00C61A1E" w:rsidRPr="00AB7037" w:rsidRDefault="00C61A1E" w:rsidP="00C61A1E">
            <w:pPr>
              <w:pStyle w:val="TableText"/>
            </w:pPr>
            <w:r w:rsidRPr="002C098C">
              <w:t xml:space="preserve"> $23,575 </w:t>
            </w:r>
          </w:p>
        </w:tc>
        <w:tc>
          <w:tcPr>
            <w:tcW w:w="585" w:type="pct"/>
            <w:noWrap/>
          </w:tcPr>
          <w:p w14:paraId="264F733C" w14:textId="5608CEB6" w:rsidR="00C61A1E" w:rsidRPr="00AB7037" w:rsidRDefault="00C61A1E" w:rsidP="00C61A1E">
            <w:pPr>
              <w:pStyle w:val="TableText"/>
            </w:pPr>
            <w:r w:rsidRPr="002C098C">
              <w:t xml:space="preserve"> $35,36</w:t>
            </w:r>
            <w:r>
              <w:t>3</w:t>
            </w:r>
          </w:p>
        </w:tc>
        <w:tc>
          <w:tcPr>
            <w:tcW w:w="584" w:type="pct"/>
            <w:noWrap/>
          </w:tcPr>
          <w:p w14:paraId="5104835C" w14:textId="6C8354E5" w:rsidR="00C61A1E" w:rsidRPr="00AB7037" w:rsidRDefault="00C61A1E" w:rsidP="00C61A1E">
            <w:pPr>
              <w:pStyle w:val="TableText"/>
            </w:pPr>
            <w:r w:rsidRPr="002C098C">
              <w:t xml:space="preserve"> $47,150 </w:t>
            </w:r>
          </w:p>
        </w:tc>
      </w:tr>
      <w:tr w:rsidR="00C61A1E" w:rsidRPr="004B722B" w14:paraId="1D0A57AB" w14:textId="77777777" w:rsidTr="00AB7037">
        <w:trPr>
          <w:trHeight w:val="300"/>
          <w:jc w:val="center"/>
        </w:trPr>
        <w:tc>
          <w:tcPr>
            <w:tcW w:w="1491" w:type="pct"/>
            <w:noWrap/>
          </w:tcPr>
          <w:p w14:paraId="6B88F732" w14:textId="194EC4BA" w:rsidR="00C61A1E" w:rsidRPr="00AB7037" w:rsidRDefault="00C61A1E" w:rsidP="00C61A1E">
            <w:pPr>
              <w:pStyle w:val="TableText"/>
            </w:pPr>
            <w:r w:rsidRPr="002C098C">
              <w:t>Chest X-ray (MBS 58500 75% fee $27.60)</w:t>
            </w:r>
          </w:p>
        </w:tc>
        <w:tc>
          <w:tcPr>
            <w:tcW w:w="585" w:type="pct"/>
            <w:noWrap/>
          </w:tcPr>
          <w:p w14:paraId="00802344" w14:textId="36203177" w:rsidR="00C61A1E" w:rsidRPr="00AB7037" w:rsidRDefault="00C61A1E" w:rsidP="00C61A1E">
            <w:pPr>
              <w:pStyle w:val="TableText"/>
            </w:pPr>
            <w:r w:rsidRPr="002C098C">
              <w:t xml:space="preserve"> $828 </w:t>
            </w:r>
          </w:p>
        </w:tc>
        <w:tc>
          <w:tcPr>
            <w:tcW w:w="585" w:type="pct"/>
            <w:noWrap/>
          </w:tcPr>
          <w:p w14:paraId="4ED5A2F9" w14:textId="0C166632" w:rsidR="00C61A1E" w:rsidRPr="00AB7037" w:rsidRDefault="00C61A1E" w:rsidP="00C61A1E">
            <w:pPr>
              <w:pStyle w:val="TableText"/>
            </w:pPr>
            <w:r w:rsidRPr="002C098C">
              <w:t xml:space="preserve"> $1,380 </w:t>
            </w:r>
          </w:p>
        </w:tc>
        <w:tc>
          <w:tcPr>
            <w:tcW w:w="585" w:type="pct"/>
            <w:noWrap/>
          </w:tcPr>
          <w:p w14:paraId="74D9F7EE" w14:textId="525B35F9" w:rsidR="00C61A1E" w:rsidRPr="00AB7037" w:rsidRDefault="00C61A1E" w:rsidP="00C61A1E">
            <w:pPr>
              <w:pStyle w:val="TableText"/>
            </w:pPr>
            <w:r w:rsidRPr="002C098C">
              <w:t xml:space="preserve"> $1,932 </w:t>
            </w:r>
          </w:p>
        </w:tc>
        <w:tc>
          <w:tcPr>
            <w:tcW w:w="585" w:type="pct"/>
            <w:noWrap/>
          </w:tcPr>
          <w:p w14:paraId="69096A15" w14:textId="103278F0" w:rsidR="00C61A1E" w:rsidRPr="00AB7037" w:rsidRDefault="00C61A1E" w:rsidP="00C61A1E">
            <w:pPr>
              <w:pStyle w:val="TableText"/>
            </w:pPr>
            <w:r w:rsidRPr="002C098C">
              <w:t xml:space="preserve"> $2,760 </w:t>
            </w:r>
          </w:p>
        </w:tc>
        <w:tc>
          <w:tcPr>
            <w:tcW w:w="585" w:type="pct"/>
            <w:noWrap/>
          </w:tcPr>
          <w:p w14:paraId="293794F3" w14:textId="7B563CBE" w:rsidR="00C61A1E" w:rsidRPr="00AB7037" w:rsidRDefault="00C61A1E" w:rsidP="00C61A1E">
            <w:pPr>
              <w:pStyle w:val="TableText"/>
            </w:pPr>
            <w:r w:rsidRPr="002C098C">
              <w:t xml:space="preserve"> $4,140 </w:t>
            </w:r>
          </w:p>
        </w:tc>
        <w:tc>
          <w:tcPr>
            <w:tcW w:w="584" w:type="pct"/>
            <w:noWrap/>
          </w:tcPr>
          <w:p w14:paraId="545A08A4" w14:textId="36652FA6" w:rsidR="00C61A1E" w:rsidRPr="00AB7037" w:rsidRDefault="00C61A1E" w:rsidP="00C61A1E">
            <w:pPr>
              <w:pStyle w:val="TableText"/>
            </w:pPr>
            <w:r w:rsidRPr="002C098C">
              <w:t xml:space="preserve"> $5,520 </w:t>
            </w:r>
          </w:p>
        </w:tc>
      </w:tr>
      <w:tr w:rsidR="00C61A1E" w:rsidRPr="004B722B" w14:paraId="31E33C1C" w14:textId="77777777" w:rsidTr="00AB7037">
        <w:trPr>
          <w:trHeight w:val="300"/>
          <w:jc w:val="center"/>
        </w:trPr>
        <w:tc>
          <w:tcPr>
            <w:tcW w:w="1491" w:type="pct"/>
            <w:noWrap/>
            <w:hideMark/>
          </w:tcPr>
          <w:p w14:paraId="559AC18E" w14:textId="531A5EB9" w:rsidR="00C61A1E" w:rsidRPr="00AB7037" w:rsidRDefault="00C61A1E" w:rsidP="00C61A1E">
            <w:pPr>
              <w:pStyle w:val="TableText"/>
            </w:pPr>
            <w:r w:rsidRPr="002C098C">
              <w:t>Neck X-ray (MBS 57945 75% fee $33.90)</w:t>
            </w:r>
          </w:p>
        </w:tc>
        <w:tc>
          <w:tcPr>
            <w:tcW w:w="585" w:type="pct"/>
            <w:noWrap/>
            <w:hideMark/>
          </w:tcPr>
          <w:p w14:paraId="2D003968" w14:textId="44260155" w:rsidR="00C61A1E" w:rsidRPr="00AB7037" w:rsidRDefault="00C61A1E" w:rsidP="00C61A1E">
            <w:pPr>
              <w:pStyle w:val="TableText"/>
            </w:pPr>
            <w:r w:rsidRPr="002C098C">
              <w:t xml:space="preserve"> $1,017 </w:t>
            </w:r>
          </w:p>
        </w:tc>
        <w:tc>
          <w:tcPr>
            <w:tcW w:w="585" w:type="pct"/>
            <w:noWrap/>
            <w:hideMark/>
          </w:tcPr>
          <w:p w14:paraId="7CA715EE" w14:textId="72F53603" w:rsidR="00C61A1E" w:rsidRPr="00AB7037" w:rsidRDefault="00C61A1E" w:rsidP="00C61A1E">
            <w:pPr>
              <w:pStyle w:val="TableText"/>
            </w:pPr>
            <w:r w:rsidRPr="002C098C">
              <w:t xml:space="preserve"> $1,695 </w:t>
            </w:r>
          </w:p>
        </w:tc>
        <w:tc>
          <w:tcPr>
            <w:tcW w:w="585" w:type="pct"/>
            <w:noWrap/>
            <w:hideMark/>
          </w:tcPr>
          <w:p w14:paraId="310152C8" w14:textId="0A762EFC" w:rsidR="00C61A1E" w:rsidRPr="00AB7037" w:rsidRDefault="00C61A1E" w:rsidP="00C61A1E">
            <w:pPr>
              <w:pStyle w:val="TableText"/>
            </w:pPr>
            <w:r w:rsidRPr="002C098C">
              <w:t xml:space="preserve"> $2,373 </w:t>
            </w:r>
          </w:p>
        </w:tc>
        <w:tc>
          <w:tcPr>
            <w:tcW w:w="585" w:type="pct"/>
            <w:noWrap/>
            <w:hideMark/>
          </w:tcPr>
          <w:p w14:paraId="1AD19E4C" w14:textId="0377153B" w:rsidR="00C61A1E" w:rsidRPr="00AB7037" w:rsidRDefault="00C61A1E" w:rsidP="00C61A1E">
            <w:pPr>
              <w:pStyle w:val="TableText"/>
            </w:pPr>
            <w:r w:rsidRPr="002C098C">
              <w:t xml:space="preserve"> $3,390 </w:t>
            </w:r>
          </w:p>
        </w:tc>
        <w:tc>
          <w:tcPr>
            <w:tcW w:w="585" w:type="pct"/>
            <w:noWrap/>
            <w:hideMark/>
          </w:tcPr>
          <w:p w14:paraId="76B282B4" w14:textId="088578C7" w:rsidR="00C61A1E" w:rsidRPr="00AB7037" w:rsidRDefault="00C61A1E" w:rsidP="00C61A1E">
            <w:pPr>
              <w:pStyle w:val="TableText"/>
            </w:pPr>
            <w:r w:rsidRPr="002C098C">
              <w:t xml:space="preserve"> $5,085 </w:t>
            </w:r>
          </w:p>
        </w:tc>
        <w:tc>
          <w:tcPr>
            <w:tcW w:w="584" w:type="pct"/>
            <w:noWrap/>
            <w:hideMark/>
          </w:tcPr>
          <w:p w14:paraId="394D1CF7" w14:textId="62E1B910" w:rsidR="00C61A1E" w:rsidRPr="00AB7037" w:rsidRDefault="00C61A1E" w:rsidP="00C61A1E">
            <w:pPr>
              <w:pStyle w:val="TableText"/>
            </w:pPr>
            <w:r w:rsidRPr="002C098C">
              <w:t xml:space="preserve"> $6,780 </w:t>
            </w:r>
          </w:p>
        </w:tc>
      </w:tr>
      <w:tr w:rsidR="00C61A1E" w:rsidRPr="004B722B" w14:paraId="6D5A7840" w14:textId="77777777" w:rsidTr="00AB7037">
        <w:trPr>
          <w:trHeight w:val="300"/>
          <w:jc w:val="center"/>
        </w:trPr>
        <w:tc>
          <w:tcPr>
            <w:tcW w:w="1491" w:type="pct"/>
            <w:noWrap/>
            <w:hideMark/>
          </w:tcPr>
          <w:p w14:paraId="7585CA39" w14:textId="77777777" w:rsidR="00C61A1E" w:rsidRPr="00AB7037" w:rsidRDefault="00C61A1E" w:rsidP="00C61A1E">
            <w:pPr>
              <w:pStyle w:val="TableText"/>
              <w:rPr>
                <w:b/>
                <w:bCs/>
              </w:rPr>
            </w:pPr>
            <w:r w:rsidRPr="00AB7037">
              <w:rPr>
                <w:b/>
                <w:bCs/>
              </w:rPr>
              <w:t>Total implant:</w:t>
            </w:r>
          </w:p>
        </w:tc>
        <w:tc>
          <w:tcPr>
            <w:tcW w:w="585" w:type="pct"/>
            <w:noWrap/>
            <w:hideMark/>
          </w:tcPr>
          <w:p w14:paraId="28ABD48F" w14:textId="15CB6B76" w:rsidR="00C61A1E" w:rsidRPr="00AB7037" w:rsidRDefault="00C61A1E" w:rsidP="00C61A1E">
            <w:pPr>
              <w:pStyle w:val="TableText"/>
            </w:pPr>
            <w:r w:rsidRPr="00665F86">
              <w:t xml:space="preserve"> $52,248 </w:t>
            </w:r>
          </w:p>
        </w:tc>
        <w:tc>
          <w:tcPr>
            <w:tcW w:w="585" w:type="pct"/>
            <w:noWrap/>
            <w:hideMark/>
          </w:tcPr>
          <w:p w14:paraId="6306427F" w14:textId="1623AD21" w:rsidR="00C61A1E" w:rsidRPr="00AB7037" w:rsidRDefault="00C61A1E" w:rsidP="00C61A1E">
            <w:pPr>
              <w:pStyle w:val="TableText"/>
            </w:pPr>
            <w:r w:rsidRPr="00665F86">
              <w:t xml:space="preserve"> $87,08</w:t>
            </w:r>
            <w:r>
              <w:t>1</w:t>
            </w:r>
          </w:p>
        </w:tc>
        <w:tc>
          <w:tcPr>
            <w:tcW w:w="585" w:type="pct"/>
            <w:noWrap/>
            <w:hideMark/>
          </w:tcPr>
          <w:p w14:paraId="0231E618" w14:textId="5ADE2B9C" w:rsidR="00C61A1E" w:rsidRPr="00AB7037" w:rsidRDefault="00C61A1E" w:rsidP="00C61A1E">
            <w:pPr>
              <w:pStyle w:val="TableText"/>
            </w:pPr>
            <w:r w:rsidRPr="00665F86">
              <w:t xml:space="preserve"> $121,91</w:t>
            </w:r>
            <w:r>
              <w:t>3</w:t>
            </w:r>
          </w:p>
        </w:tc>
        <w:tc>
          <w:tcPr>
            <w:tcW w:w="585" w:type="pct"/>
            <w:noWrap/>
            <w:hideMark/>
          </w:tcPr>
          <w:p w14:paraId="4F54E608" w14:textId="4A95CDF4" w:rsidR="00C61A1E" w:rsidRPr="00AB7037" w:rsidRDefault="00C61A1E" w:rsidP="00C61A1E">
            <w:pPr>
              <w:pStyle w:val="TableText"/>
            </w:pPr>
            <w:r w:rsidRPr="00665F86">
              <w:t xml:space="preserve"> $174,161</w:t>
            </w:r>
            <w:r>
              <w:t>3</w:t>
            </w:r>
          </w:p>
        </w:tc>
        <w:tc>
          <w:tcPr>
            <w:tcW w:w="585" w:type="pct"/>
            <w:noWrap/>
            <w:hideMark/>
          </w:tcPr>
          <w:p w14:paraId="0709AD69" w14:textId="6B220A3C" w:rsidR="00C61A1E" w:rsidRPr="00AB7037" w:rsidRDefault="00C61A1E" w:rsidP="00C61A1E">
            <w:pPr>
              <w:pStyle w:val="TableText"/>
            </w:pPr>
            <w:r w:rsidRPr="00665F86">
              <w:t xml:space="preserve"> $261,24</w:t>
            </w:r>
            <w:r>
              <w:t>2</w:t>
            </w:r>
          </w:p>
        </w:tc>
        <w:tc>
          <w:tcPr>
            <w:tcW w:w="584" w:type="pct"/>
            <w:noWrap/>
            <w:hideMark/>
          </w:tcPr>
          <w:p w14:paraId="194E39DD" w14:textId="13EF936A" w:rsidR="00C61A1E" w:rsidRPr="00AB7037" w:rsidRDefault="00C61A1E" w:rsidP="00C61A1E">
            <w:pPr>
              <w:pStyle w:val="TableText"/>
            </w:pPr>
            <w:r w:rsidRPr="00665F86">
              <w:t xml:space="preserve"> $348,322 </w:t>
            </w:r>
          </w:p>
        </w:tc>
      </w:tr>
      <w:tr w:rsidR="00D774F5" w:rsidRPr="004B722B" w14:paraId="40CF0215" w14:textId="77777777" w:rsidTr="00AB7037">
        <w:trPr>
          <w:trHeight w:val="300"/>
          <w:jc w:val="center"/>
        </w:trPr>
        <w:tc>
          <w:tcPr>
            <w:tcW w:w="1491" w:type="pct"/>
            <w:noWrap/>
          </w:tcPr>
          <w:p w14:paraId="06432A20" w14:textId="3BF2AF2B" w:rsidR="00D774F5" w:rsidRPr="00AB7037" w:rsidRDefault="00D774F5" w:rsidP="00C61A1E">
            <w:pPr>
              <w:pStyle w:val="TableText"/>
              <w:rPr>
                <w:b/>
                <w:bCs/>
              </w:rPr>
            </w:pPr>
            <w:r w:rsidRPr="00AB7037">
              <w:rPr>
                <w:b/>
                <w:bCs/>
              </w:rPr>
              <w:t>Cost to the MBS</w:t>
            </w:r>
            <w:r>
              <w:rPr>
                <w:b/>
                <w:bCs/>
              </w:rPr>
              <w:t xml:space="preserve"> – post-implant</w:t>
            </w:r>
          </w:p>
        </w:tc>
        <w:tc>
          <w:tcPr>
            <w:tcW w:w="585" w:type="pct"/>
            <w:noWrap/>
          </w:tcPr>
          <w:p w14:paraId="59B3C033" w14:textId="77777777" w:rsidR="00D774F5" w:rsidRPr="00665F86" w:rsidRDefault="00D774F5" w:rsidP="00C61A1E">
            <w:pPr>
              <w:pStyle w:val="TableText"/>
            </w:pPr>
          </w:p>
        </w:tc>
        <w:tc>
          <w:tcPr>
            <w:tcW w:w="585" w:type="pct"/>
            <w:noWrap/>
          </w:tcPr>
          <w:p w14:paraId="5FE155AB" w14:textId="77777777" w:rsidR="00D774F5" w:rsidRPr="00665F86" w:rsidRDefault="00D774F5" w:rsidP="00C61A1E">
            <w:pPr>
              <w:pStyle w:val="TableText"/>
            </w:pPr>
          </w:p>
        </w:tc>
        <w:tc>
          <w:tcPr>
            <w:tcW w:w="585" w:type="pct"/>
            <w:noWrap/>
          </w:tcPr>
          <w:p w14:paraId="62A06599" w14:textId="77777777" w:rsidR="00D774F5" w:rsidRPr="00665F86" w:rsidRDefault="00D774F5" w:rsidP="00C61A1E">
            <w:pPr>
              <w:pStyle w:val="TableText"/>
            </w:pPr>
          </w:p>
        </w:tc>
        <w:tc>
          <w:tcPr>
            <w:tcW w:w="585" w:type="pct"/>
            <w:noWrap/>
          </w:tcPr>
          <w:p w14:paraId="3E668EAD" w14:textId="77777777" w:rsidR="00D774F5" w:rsidRPr="00665F86" w:rsidRDefault="00D774F5" w:rsidP="00C61A1E">
            <w:pPr>
              <w:pStyle w:val="TableText"/>
            </w:pPr>
          </w:p>
        </w:tc>
        <w:tc>
          <w:tcPr>
            <w:tcW w:w="585" w:type="pct"/>
            <w:noWrap/>
          </w:tcPr>
          <w:p w14:paraId="7F7C527E" w14:textId="77777777" w:rsidR="00D774F5" w:rsidRPr="00665F86" w:rsidRDefault="00D774F5" w:rsidP="00C61A1E">
            <w:pPr>
              <w:pStyle w:val="TableText"/>
            </w:pPr>
          </w:p>
        </w:tc>
        <w:tc>
          <w:tcPr>
            <w:tcW w:w="584" w:type="pct"/>
            <w:noWrap/>
          </w:tcPr>
          <w:p w14:paraId="5F75AF32" w14:textId="77777777" w:rsidR="00D774F5" w:rsidRPr="00665F86" w:rsidRDefault="00D774F5" w:rsidP="00C61A1E">
            <w:pPr>
              <w:pStyle w:val="TableText"/>
            </w:pPr>
          </w:p>
        </w:tc>
      </w:tr>
      <w:tr w:rsidR="004B722B" w:rsidRPr="004B722B" w14:paraId="508E8E91" w14:textId="77777777" w:rsidTr="00AB7037">
        <w:trPr>
          <w:trHeight w:val="300"/>
          <w:jc w:val="center"/>
        </w:trPr>
        <w:tc>
          <w:tcPr>
            <w:tcW w:w="1491" w:type="pct"/>
            <w:noWrap/>
            <w:hideMark/>
          </w:tcPr>
          <w:p w14:paraId="42C426C3" w14:textId="77777777" w:rsidR="004B722B" w:rsidRPr="00AB7037" w:rsidRDefault="004B722B" w:rsidP="00AB7037">
            <w:pPr>
              <w:pStyle w:val="TableText"/>
            </w:pPr>
            <w:r w:rsidRPr="00AB7037">
              <w:t>Programming device (MBS 105, twice in first year then annual, 85% fee $39.25)</w:t>
            </w:r>
          </w:p>
        </w:tc>
        <w:tc>
          <w:tcPr>
            <w:tcW w:w="585" w:type="pct"/>
            <w:noWrap/>
            <w:hideMark/>
          </w:tcPr>
          <w:p w14:paraId="7A0FD5E3" w14:textId="1D985EF4" w:rsidR="004B722B" w:rsidRPr="00AB7037" w:rsidRDefault="004B722B" w:rsidP="00AB7037">
            <w:pPr>
              <w:pStyle w:val="TableText"/>
            </w:pPr>
            <w:r w:rsidRPr="00AB7037">
              <w:t xml:space="preserve">$2,355 </w:t>
            </w:r>
          </w:p>
        </w:tc>
        <w:tc>
          <w:tcPr>
            <w:tcW w:w="585" w:type="pct"/>
            <w:noWrap/>
            <w:hideMark/>
          </w:tcPr>
          <w:p w14:paraId="4C8D5781" w14:textId="15D81488" w:rsidR="004B722B" w:rsidRPr="00AB7037" w:rsidRDefault="004B722B" w:rsidP="00AB7037">
            <w:pPr>
              <w:pStyle w:val="TableText"/>
            </w:pPr>
            <w:r w:rsidRPr="00AB7037">
              <w:t>$5,10</w:t>
            </w:r>
            <w:r w:rsidR="00AB7037" w:rsidRPr="00AB7037">
              <w:t>3</w:t>
            </w:r>
            <w:r w:rsidRPr="00AB7037">
              <w:t xml:space="preserve"> </w:t>
            </w:r>
          </w:p>
        </w:tc>
        <w:tc>
          <w:tcPr>
            <w:tcW w:w="585" w:type="pct"/>
            <w:noWrap/>
            <w:hideMark/>
          </w:tcPr>
          <w:p w14:paraId="6562DB62" w14:textId="33F9EBCE" w:rsidR="004B722B" w:rsidRPr="00AB7037" w:rsidRDefault="004B722B" w:rsidP="00AB7037">
            <w:pPr>
              <w:pStyle w:val="TableText"/>
            </w:pPr>
            <w:r w:rsidRPr="00AB7037">
              <w:t xml:space="preserve">$8,635 </w:t>
            </w:r>
          </w:p>
        </w:tc>
        <w:tc>
          <w:tcPr>
            <w:tcW w:w="585" w:type="pct"/>
            <w:noWrap/>
            <w:hideMark/>
          </w:tcPr>
          <w:p w14:paraId="1C87318B" w14:textId="734B89FF" w:rsidR="004B722B" w:rsidRPr="00AB7037" w:rsidRDefault="004B722B" w:rsidP="00AB7037">
            <w:pPr>
              <w:pStyle w:val="TableText"/>
            </w:pPr>
            <w:r w:rsidRPr="00AB7037">
              <w:t>$13,73</w:t>
            </w:r>
            <w:r w:rsidR="00AB7037" w:rsidRPr="00AB7037">
              <w:t>8</w:t>
            </w:r>
            <w:r w:rsidRPr="00AB7037">
              <w:t xml:space="preserve"> </w:t>
            </w:r>
          </w:p>
        </w:tc>
        <w:tc>
          <w:tcPr>
            <w:tcW w:w="585" w:type="pct"/>
            <w:noWrap/>
            <w:hideMark/>
          </w:tcPr>
          <w:p w14:paraId="09846D67" w14:textId="44E72A38" w:rsidR="004B722B" w:rsidRPr="00AB7037" w:rsidRDefault="004B722B" w:rsidP="00AB7037">
            <w:pPr>
              <w:pStyle w:val="TableText"/>
            </w:pPr>
            <w:r w:rsidRPr="00AB7037">
              <w:t>$21,58</w:t>
            </w:r>
            <w:r w:rsidR="00AB7037" w:rsidRPr="00AB7037">
              <w:t>8</w:t>
            </w:r>
            <w:r w:rsidRPr="00AB7037">
              <w:t xml:space="preserve"> </w:t>
            </w:r>
          </w:p>
        </w:tc>
        <w:tc>
          <w:tcPr>
            <w:tcW w:w="584" w:type="pct"/>
            <w:noWrap/>
            <w:hideMark/>
          </w:tcPr>
          <w:p w14:paraId="3865BBF8" w14:textId="3570D6A4" w:rsidR="004B722B" w:rsidRPr="00AB7037" w:rsidRDefault="004B722B" w:rsidP="00AB7037">
            <w:pPr>
              <w:pStyle w:val="TableText"/>
            </w:pPr>
            <w:r w:rsidRPr="00AB7037">
              <w:t>$31,400</w:t>
            </w:r>
          </w:p>
        </w:tc>
      </w:tr>
      <w:tr w:rsidR="004B722B" w:rsidRPr="004B722B" w14:paraId="28083AB5" w14:textId="77777777" w:rsidTr="00AB7037">
        <w:trPr>
          <w:trHeight w:val="300"/>
          <w:jc w:val="center"/>
        </w:trPr>
        <w:tc>
          <w:tcPr>
            <w:tcW w:w="1491" w:type="pct"/>
            <w:noWrap/>
            <w:hideMark/>
          </w:tcPr>
          <w:p w14:paraId="08001F48" w14:textId="77777777" w:rsidR="004B722B" w:rsidRPr="00AB7037" w:rsidRDefault="004B722B" w:rsidP="00AB7037">
            <w:pPr>
              <w:pStyle w:val="TableText"/>
            </w:pPr>
            <w:r w:rsidRPr="00AB7037">
              <w:t>UAS lead repositioning (75% fee $480, 11% of implants)</w:t>
            </w:r>
          </w:p>
        </w:tc>
        <w:tc>
          <w:tcPr>
            <w:tcW w:w="585" w:type="pct"/>
            <w:noWrap/>
            <w:hideMark/>
          </w:tcPr>
          <w:p w14:paraId="07BCAF07" w14:textId="08B1E4F9" w:rsidR="004B722B" w:rsidRPr="00AB7037" w:rsidRDefault="00D774F5" w:rsidP="00AB7037">
            <w:pPr>
              <w:pStyle w:val="TableText"/>
            </w:pPr>
            <w:r>
              <w:t>-</w:t>
            </w:r>
          </w:p>
        </w:tc>
        <w:tc>
          <w:tcPr>
            <w:tcW w:w="585" w:type="pct"/>
            <w:noWrap/>
            <w:hideMark/>
          </w:tcPr>
          <w:p w14:paraId="6C9356EA" w14:textId="2BA9D83C" w:rsidR="004B722B" w:rsidRPr="00AB7037" w:rsidRDefault="00D774F5" w:rsidP="00AB7037">
            <w:pPr>
              <w:pStyle w:val="TableText"/>
            </w:pPr>
            <w:r>
              <w:t>-</w:t>
            </w:r>
          </w:p>
        </w:tc>
        <w:tc>
          <w:tcPr>
            <w:tcW w:w="585" w:type="pct"/>
            <w:noWrap/>
            <w:hideMark/>
          </w:tcPr>
          <w:p w14:paraId="6B7A31C3" w14:textId="193783E6" w:rsidR="004B722B" w:rsidRPr="00AB7037" w:rsidRDefault="00D774F5" w:rsidP="00AB7037">
            <w:pPr>
              <w:pStyle w:val="TableText"/>
            </w:pPr>
            <w:r>
              <w:t>-</w:t>
            </w:r>
          </w:p>
        </w:tc>
        <w:tc>
          <w:tcPr>
            <w:tcW w:w="585" w:type="pct"/>
            <w:noWrap/>
            <w:hideMark/>
          </w:tcPr>
          <w:p w14:paraId="49D3EF44" w14:textId="13C21F4D" w:rsidR="004B722B" w:rsidRPr="00AB7037" w:rsidRDefault="00D774F5" w:rsidP="00AB7037">
            <w:pPr>
              <w:pStyle w:val="TableText"/>
            </w:pPr>
            <w:r>
              <w:t>-</w:t>
            </w:r>
          </w:p>
        </w:tc>
        <w:tc>
          <w:tcPr>
            <w:tcW w:w="585" w:type="pct"/>
            <w:noWrap/>
            <w:hideMark/>
          </w:tcPr>
          <w:p w14:paraId="628ECD0E" w14:textId="1C5F6C15" w:rsidR="004B722B" w:rsidRPr="00AB7037" w:rsidRDefault="00D774F5" w:rsidP="00AB7037">
            <w:pPr>
              <w:pStyle w:val="TableText"/>
            </w:pPr>
            <w:r>
              <w:t>-</w:t>
            </w:r>
          </w:p>
        </w:tc>
        <w:tc>
          <w:tcPr>
            <w:tcW w:w="584" w:type="pct"/>
            <w:noWrap/>
            <w:hideMark/>
          </w:tcPr>
          <w:p w14:paraId="1B5D8B9F" w14:textId="00577003" w:rsidR="004B722B" w:rsidRPr="00AB7037" w:rsidRDefault="004B722B" w:rsidP="00AB7037">
            <w:pPr>
              <w:pStyle w:val="TableText"/>
            </w:pPr>
            <w:r w:rsidRPr="00AB7037">
              <w:t xml:space="preserve">$31,680 </w:t>
            </w:r>
          </w:p>
        </w:tc>
      </w:tr>
      <w:tr w:rsidR="00D774F5" w:rsidRPr="004B722B" w14:paraId="772730AD" w14:textId="77777777" w:rsidTr="00AB7037">
        <w:trPr>
          <w:trHeight w:val="300"/>
          <w:jc w:val="center"/>
        </w:trPr>
        <w:tc>
          <w:tcPr>
            <w:tcW w:w="1491" w:type="pct"/>
            <w:noWrap/>
          </w:tcPr>
          <w:p w14:paraId="5EC104FF" w14:textId="77777777" w:rsidR="00D774F5" w:rsidRPr="00AB7037" w:rsidRDefault="00D774F5" w:rsidP="00D774F5">
            <w:pPr>
              <w:pStyle w:val="TableText"/>
            </w:pPr>
            <w:r w:rsidRPr="00AB7037">
              <w:t>UAS device repositioning or removal (75% fee $126.50, 32% of implants)</w:t>
            </w:r>
          </w:p>
        </w:tc>
        <w:tc>
          <w:tcPr>
            <w:tcW w:w="585" w:type="pct"/>
            <w:noWrap/>
          </w:tcPr>
          <w:p w14:paraId="2DE9A346" w14:textId="4BEEE2E7" w:rsidR="00D774F5" w:rsidRPr="00AB7037" w:rsidRDefault="00D774F5" w:rsidP="00D774F5">
            <w:pPr>
              <w:pStyle w:val="TableText"/>
            </w:pPr>
            <w:r>
              <w:t>-</w:t>
            </w:r>
          </w:p>
        </w:tc>
        <w:tc>
          <w:tcPr>
            <w:tcW w:w="585" w:type="pct"/>
            <w:noWrap/>
          </w:tcPr>
          <w:p w14:paraId="772978D6" w14:textId="26839967" w:rsidR="00D774F5" w:rsidRPr="00AB7037" w:rsidRDefault="00D774F5" w:rsidP="00D774F5">
            <w:pPr>
              <w:pStyle w:val="TableText"/>
            </w:pPr>
            <w:r>
              <w:t>-</w:t>
            </w:r>
          </w:p>
        </w:tc>
        <w:tc>
          <w:tcPr>
            <w:tcW w:w="585" w:type="pct"/>
            <w:noWrap/>
          </w:tcPr>
          <w:p w14:paraId="0D0DA3BB" w14:textId="21A0C3F6" w:rsidR="00D774F5" w:rsidRPr="00AB7037" w:rsidRDefault="00D774F5" w:rsidP="00D774F5">
            <w:pPr>
              <w:pStyle w:val="TableText"/>
            </w:pPr>
            <w:r>
              <w:t>-</w:t>
            </w:r>
          </w:p>
        </w:tc>
        <w:tc>
          <w:tcPr>
            <w:tcW w:w="585" w:type="pct"/>
            <w:noWrap/>
          </w:tcPr>
          <w:p w14:paraId="5F4EE552" w14:textId="2F8A690B" w:rsidR="00D774F5" w:rsidRPr="00AB7037" w:rsidRDefault="00D774F5" w:rsidP="00D774F5">
            <w:pPr>
              <w:pStyle w:val="TableText"/>
            </w:pPr>
            <w:r>
              <w:t>-</w:t>
            </w:r>
          </w:p>
        </w:tc>
        <w:tc>
          <w:tcPr>
            <w:tcW w:w="585" w:type="pct"/>
            <w:noWrap/>
          </w:tcPr>
          <w:p w14:paraId="70C050F4" w14:textId="6BEC9912" w:rsidR="00D774F5" w:rsidRPr="00AB7037" w:rsidRDefault="00D774F5" w:rsidP="00D774F5">
            <w:pPr>
              <w:pStyle w:val="TableText"/>
            </w:pPr>
            <w:r>
              <w:t>-</w:t>
            </w:r>
          </w:p>
        </w:tc>
        <w:tc>
          <w:tcPr>
            <w:tcW w:w="584" w:type="pct"/>
            <w:noWrap/>
          </w:tcPr>
          <w:p w14:paraId="1CEE9C80" w14:textId="5CD55CD6" w:rsidR="00D774F5" w:rsidRPr="00AB7037" w:rsidRDefault="00D774F5" w:rsidP="00D774F5">
            <w:pPr>
              <w:pStyle w:val="TableText"/>
            </w:pPr>
            <w:r w:rsidRPr="00AB7037">
              <w:t xml:space="preserve">$24,288 </w:t>
            </w:r>
          </w:p>
        </w:tc>
      </w:tr>
      <w:tr w:rsidR="00D774F5" w:rsidRPr="004B722B" w14:paraId="481AB419" w14:textId="77777777" w:rsidTr="00AB7037">
        <w:trPr>
          <w:trHeight w:val="300"/>
          <w:jc w:val="center"/>
        </w:trPr>
        <w:tc>
          <w:tcPr>
            <w:tcW w:w="1491" w:type="pct"/>
            <w:noWrap/>
            <w:hideMark/>
          </w:tcPr>
          <w:p w14:paraId="35835DF3" w14:textId="77777777" w:rsidR="00D774F5" w:rsidRPr="00AB7037" w:rsidRDefault="00D774F5" w:rsidP="00D774F5">
            <w:pPr>
              <w:pStyle w:val="TableText"/>
            </w:pPr>
            <w:r w:rsidRPr="00AB7037">
              <w:t>UAS battery replacement (75% fee $270.55, 22% of implants)</w:t>
            </w:r>
          </w:p>
        </w:tc>
        <w:tc>
          <w:tcPr>
            <w:tcW w:w="585" w:type="pct"/>
            <w:noWrap/>
            <w:hideMark/>
          </w:tcPr>
          <w:p w14:paraId="0BB80BEC" w14:textId="0396EBBB" w:rsidR="00D774F5" w:rsidRPr="00AB7037" w:rsidRDefault="00D774F5" w:rsidP="00D774F5">
            <w:pPr>
              <w:pStyle w:val="TableText"/>
            </w:pPr>
            <w:r>
              <w:t>-</w:t>
            </w:r>
          </w:p>
        </w:tc>
        <w:tc>
          <w:tcPr>
            <w:tcW w:w="585" w:type="pct"/>
            <w:noWrap/>
            <w:hideMark/>
          </w:tcPr>
          <w:p w14:paraId="2EAE0BA4" w14:textId="4FDE1A6F" w:rsidR="00D774F5" w:rsidRPr="00AB7037" w:rsidRDefault="00D774F5" w:rsidP="00D774F5">
            <w:pPr>
              <w:pStyle w:val="TableText"/>
            </w:pPr>
            <w:r>
              <w:t>-</w:t>
            </w:r>
          </w:p>
        </w:tc>
        <w:tc>
          <w:tcPr>
            <w:tcW w:w="585" w:type="pct"/>
            <w:noWrap/>
            <w:hideMark/>
          </w:tcPr>
          <w:p w14:paraId="6601612D" w14:textId="16A8E254" w:rsidR="00D774F5" w:rsidRPr="00AB7037" w:rsidRDefault="00D774F5" w:rsidP="00D774F5">
            <w:pPr>
              <w:pStyle w:val="TableText"/>
            </w:pPr>
            <w:r>
              <w:t>-</w:t>
            </w:r>
          </w:p>
        </w:tc>
        <w:tc>
          <w:tcPr>
            <w:tcW w:w="585" w:type="pct"/>
            <w:noWrap/>
            <w:hideMark/>
          </w:tcPr>
          <w:p w14:paraId="5DF9E9F1" w14:textId="67FF675C" w:rsidR="00D774F5" w:rsidRPr="00AB7037" w:rsidRDefault="00D774F5" w:rsidP="00D774F5">
            <w:pPr>
              <w:pStyle w:val="TableText"/>
            </w:pPr>
            <w:r>
              <w:t>-</w:t>
            </w:r>
          </w:p>
        </w:tc>
        <w:tc>
          <w:tcPr>
            <w:tcW w:w="585" w:type="pct"/>
            <w:noWrap/>
            <w:hideMark/>
          </w:tcPr>
          <w:p w14:paraId="5790A049" w14:textId="4C2D3320" w:rsidR="00D774F5" w:rsidRPr="00AB7037" w:rsidRDefault="00D774F5" w:rsidP="00D774F5">
            <w:pPr>
              <w:pStyle w:val="TableText"/>
            </w:pPr>
            <w:r>
              <w:t>-</w:t>
            </w:r>
          </w:p>
        </w:tc>
        <w:tc>
          <w:tcPr>
            <w:tcW w:w="584" w:type="pct"/>
            <w:noWrap/>
            <w:hideMark/>
          </w:tcPr>
          <w:p w14:paraId="6261F346" w14:textId="1D5EE71F" w:rsidR="00D774F5" w:rsidRPr="00AB7037" w:rsidRDefault="00D774F5" w:rsidP="00D774F5">
            <w:pPr>
              <w:pStyle w:val="TableText"/>
            </w:pPr>
            <w:r w:rsidRPr="00AB7037">
              <w:t xml:space="preserve">$35,713 </w:t>
            </w:r>
          </w:p>
        </w:tc>
      </w:tr>
      <w:tr w:rsidR="00D774F5" w:rsidRPr="004B722B" w14:paraId="4A1F493F" w14:textId="77777777" w:rsidTr="00AB7037">
        <w:trPr>
          <w:trHeight w:val="300"/>
          <w:jc w:val="center"/>
        </w:trPr>
        <w:tc>
          <w:tcPr>
            <w:tcW w:w="1491" w:type="pct"/>
            <w:noWrap/>
          </w:tcPr>
          <w:p w14:paraId="5FD75BB8" w14:textId="19C47EB2" w:rsidR="00D774F5" w:rsidRPr="00AB7037" w:rsidRDefault="00D774F5" w:rsidP="00D774F5">
            <w:pPr>
              <w:pStyle w:val="TableText"/>
            </w:pPr>
            <w:r w:rsidRPr="00AB7037">
              <w:rPr>
                <w:b/>
                <w:bCs/>
              </w:rPr>
              <w:t>Cost to the MBS</w:t>
            </w:r>
            <w:r>
              <w:rPr>
                <w:b/>
                <w:bCs/>
              </w:rPr>
              <w:t xml:space="preserve"> – Eligibility screening (but not implanted)</w:t>
            </w:r>
          </w:p>
        </w:tc>
        <w:tc>
          <w:tcPr>
            <w:tcW w:w="585" w:type="pct"/>
            <w:noWrap/>
          </w:tcPr>
          <w:p w14:paraId="63E67A2F" w14:textId="77777777" w:rsidR="00D774F5" w:rsidRPr="00AB7037" w:rsidRDefault="00D774F5" w:rsidP="00D774F5">
            <w:pPr>
              <w:pStyle w:val="TableText"/>
            </w:pPr>
          </w:p>
        </w:tc>
        <w:tc>
          <w:tcPr>
            <w:tcW w:w="585" w:type="pct"/>
            <w:noWrap/>
          </w:tcPr>
          <w:p w14:paraId="1BEA3CD6" w14:textId="77777777" w:rsidR="00D774F5" w:rsidRPr="00AB7037" w:rsidRDefault="00D774F5" w:rsidP="00D774F5">
            <w:pPr>
              <w:pStyle w:val="TableText"/>
            </w:pPr>
          </w:p>
        </w:tc>
        <w:tc>
          <w:tcPr>
            <w:tcW w:w="585" w:type="pct"/>
            <w:noWrap/>
          </w:tcPr>
          <w:p w14:paraId="042C9678" w14:textId="77777777" w:rsidR="00D774F5" w:rsidRPr="00AB7037" w:rsidRDefault="00D774F5" w:rsidP="00D774F5">
            <w:pPr>
              <w:pStyle w:val="TableText"/>
            </w:pPr>
          </w:p>
        </w:tc>
        <w:tc>
          <w:tcPr>
            <w:tcW w:w="585" w:type="pct"/>
            <w:noWrap/>
          </w:tcPr>
          <w:p w14:paraId="3D9519F7" w14:textId="77777777" w:rsidR="00D774F5" w:rsidRPr="00AB7037" w:rsidRDefault="00D774F5" w:rsidP="00D774F5">
            <w:pPr>
              <w:pStyle w:val="TableText"/>
            </w:pPr>
          </w:p>
        </w:tc>
        <w:tc>
          <w:tcPr>
            <w:tcW w:w="585" w:type="pct"/>
            <w:noWrap/>
          </w:tcPr>
          <w:p w14:paraId="1C11DE31" w14:textId="77777777" w:rsidR="00D774F5" w:rsidRPr="00AB7037" w:rsidRDefault="00D774F5" w:rsidP="00D774F5">
            <w:pPr>
              <w:pStyle w:val="TableText"/>
            </w:pPr>
          </w:p>
        </w:tc>
        <w:tc>
          <w:tcPr>
            <w:tcW w:w="584" w:type="pct"/>
            <w:noWrap/>
          </w:tcPr>
          <w:p w14:paraId="7485BFE2" w14:textId="77777777" w:rsidR="00D774F5" w:rsidRPr="00AB7037" w:rsidRDefault="00D774F5" w:rsidP="00D774F5">
            <w:pPr>
              <w:pStyle w:val="TableText"/>
            </w:pPr>
          </w:p>
        </w:tc>
      </w:tr>
      <w:tr w:rsidR="00D774F5" w:rsidRPr="004B722B" w14:paraId="64428192" w14:textId="77777777" w:rsidTr="00AB7037">
        <w:trPr>
          <w:trHeight w:val="300"/>
          <w:jc w:val="center"/>
        </w:trPr>
        <w:tc>
          <w:tcPr>
            <w:tcW w:w="1491" w:type="pct"/>
            <w:noWrap/>
          </w:tcPr>
          <w:p w14:paraId="6B054598" w14:textId="7A280D68" w:rsidR="00D774F5" w:rsidRPr="00AB7037" w:rsidRDefault="00D774F5" w:rsidP="00D774F5">
            <w:pPr>
              <w:pStyle w:val="TableText"/>
            </w:pPr>
            <w:r w:rsidRPr="002137F8">
              <w:t>Number screened (25% of those screened with DISE are not implanted - STAR study (Strollo, 2014))</w:t>
            </w:r>
          </w:p>
        </w:tc>
        <w:tc>
          <w:tcPr>
            <w:tcW w:w="585" w:type="pct"/>
            <w:noWrap/>
          </w:tcPr>
          <w:p w14:paraId="444BC191" w14:textId="6D974C5C" w:rsidR="00D774F5" w:rsidRPr="00AB7037" w:rsidRDefault="00D774F5" w:rsidP="00D774F5">
            <w:pPr>
              <w:pStyle w:val="TableText"/>
            </w:pPr>
            <w:r w:rsidRPr="002137F8">
              <w:t>10</w:t>
            </w:r>
          </w:p>
        </w:tc>
        <w:tc>
          <w:tcPr>
            <w:tcW w:w="585" w:type="pct"/>
            <w:noWrap/>
          </w:tcPr>
          <w:p w14:paraId="294DC081" w14:textId="60594FBE" w:rsidR="00D774F5" w:rsidRPr="00AB7037" w:rsidRDefault="00D774F5" w:rsidP="00D774F5">
            <w:pPr>
              <w:pStyle w:val="TableText"/>
            </w:pPr>
            <w:r w:rsidRPr="002137F8">
              <w:t>17</w:t>
            </w:r>
          </w:p>
        </w:tc>
        <w:tc>
          <w:tcPr>
            <w:tcW w:w="585" w:type="pct"/>
            <w:noWrap/>
          </w:tcPr>
          <w:p w14:paraId="26DECCC3" w14:textId="5D5522A2" w:rsidR="00D774F5" w:rsidRPr="00AB7037" w:rsidRDefault="00D774F5" w:rsidP="00D774F5">
            <w:pPr>
              <w:pStyle w:val="TableText"/>
            </w:pPr>
            <w:r w:rsidRPr="002137F8">
              <w:t>23</w:t>
            </w:r>
          </w:p>
        </w:tc>
        <w:tc>
          <w:tcPr>
            <w:tcW w:w="585" w:type="pct"/>
            <w:noWrap/>
          </w:tcPr>
          <w:p w14:paraId="4C621BA6" w14:textId="261E8F4C" w:rsidR="00D774F5" w:rsidRPr="00AB7037" w:rsidRDefault="00D774F5" w:rsidP="00D774F5">
            <w:pPr>
              <w:pStyle w:val="TableText"/>
            </w:pPr>
            <w:r w:rsidRPr="002137F8">
              <w:t>33</w:t>
            </w:r>
          </w:p>
        </w:tc>
        <w:tc>
          <w:tcPr>
            <w:tcW w:w="585" w:type="pct"/>
            <w:noWrap/>
          </w:tcPr>
          <w:p w14:paraId="6ACB7BBB" w14:textId="7D6C2668" w:rsidR="00D774F5" w:rsidRPr="00AB7037" w:rsidRDefault="00D774F5" w:rsidP="00D774F5">
            <w:pPr>
              <w:pStyle w:val="TableText"/>
            </w:pPr>
            <w:r w:rsidRPr="002137F8">
              <w:t>50</w:t>
            </w:r>
          </w:p>
        </w:tc>
        <w:tc>
          <w:tcPr>
            <w:tcW w:w="584" w:type="pct"/>
            <w:noWrap/>
          </w:tcPr>
          <w:p w14:paraId="1B569944" w14:textId="390A4EC8" w:rsidR="00D774F5" w:rsidRPr="00AB7037" w:rsidRDefault="00D774F5" w:rsidP="00D774F5">
            <w:pPr>
              <w:pStyle w:val="TableText"/>
            </w:pPr>
            <w:r w:rsidRPr="002137F8">
              <w:t>67</w:t>
            </w:r>
          </w:p>
        </w:tc>
      </w:tr>
      <w:tr w:rsidR="00D774F5" w:rsidRPr="004B722B" w14:paraId="096B6966" w14:textId="77777777" w:rsidTr="00AB7037">
        <w:trPr>
          <w:trHeight w:val="300"/>
          <w:jc w:val="center"/>
        </w:trPr>
        <w:tc>
          <w:tcPr>
            <w:tcW w:w="1491" w:type="pct"/>
            <w:noWrap/>
          </w:tcPr>
          <w:p w14:paraId="5C5A0221" w14:textId="5B7D10D1" w:rsidR="00D774F5" w:rsidRPr="00AB7037" w:rsidRDefault="00D774F5" w:rsidP="00D774F5">
            <w:pPr>
              <w:pStyle w:val="TableText"/>
            </w:pPr>
            <w:r w:rsidRPr="002137F8">
              <w:t>DISE (MBS 41764 75% fee $97.40)</w:t>
            </w:r>
          </w:p>
        </w:tc>
        <w:tc>
          <w:tcPr>
            <w:tcW w:w="585" w:type="pct"/>
            <w:noWrap/>
          </w:tcPr>
          <w:p w14:paraId="04108D53" w14:textId="691BB650" w:rsidR="00D774F5" w:rsidRPr="00AB7037" w:rsidRDefault="00D774F5" w:rsidP="00D774F5">
            <w:pPr>
              <w:pStyle w:val="TableText"/>
            </w:pPr>
            <w:r w:rsidRPr="002137F8">
              <w:t xml:space="preserve"> $974 </w:t>
            </w:r>
          </w:p>
        </w:tc>
        <w:tc>
          <w:tcPr>
            <w:tcW w:w="585" w:type="pct"/>
            <w:noWrap/>
          </w:tcPr>
          <w:p w14:paraId="0A0A5AC2" w14:textId="6D68E1ED" w:rsidR="00D774F5" w:rsidRPr="00AB7037" w:rsidRDefault="00D774F5" w:rsidP="00D774F5">
            <w:pPr>
              <w:pStyle w:val="TableText"/>
            </w:pPr>
            <w:r w:rsidRPr="002137F8">
              <w:t xml:space="preserve"> $1,623 </w:t>
            </w:r>
          </w:p>
        </w:tc>
        <w:tc>
          <w:tcPr>
            <w:tcW w:w="585" w:type="pct"/>
            <w:noWrap/>
          </w:tcPr>
          <w:p w14:paraId="4A488165" w14:textId="6244CA0C" w:rsidR="00D774F5" w:rsidRPr="00AB7037" w:rsidRDefault="00D774F5" w:rsidP="00D774F5">
            <w:pPr>
              <w:pStyle w:val="TableText"/>
            </w:pPr>
            <w:r w:rsidRPr="002137F8">
              <w:t xml:space="preserve"> $2,27</w:t>
            </w:r>
            <w:r>
              <w:t>3</w:t>
            </w:r>
          </w:p>
        </w:tc>
        <w:tc>
          <w:tcPr>
            <w:tcW w:w="585" w:type="pct"/>
            <w:noWrap/>
          </w:tcPr>
          <w:p w14:paraId="5A98CD04" w14:textId="10437E7F" w:rsidR="00D774F5" w:rsidRPr="00AB7037" w:rsidRDefault="00D774F5" w:rsidP="00D774F5">
            <w:pPr>
              <w:pStyle w:val="TableText"/>
            </w:pPr>
            <w:r w:rsidRPr="002137F8">
              <w:t xml:space="preserve"> $3,24</w:t>
            </w:r>
            <w:r>
              <w:t>7</w:t>
            </w:r>
            <w:r w:rsidRPr="002137F8">
              <w:t xml:space="preserve"> </w:t>
            </w:r>
          </w:p>
        </w:tc>
        <w:tc>
          <w:tcPr>
            <w:tcW w:w="585" w:type="pct"/>
            <w:noWrap/>
          </w:tcPr>
          <w:p w14:paraId="32FDFDAD" w14:textId="08588AD5" w:rsidR="00D774F5" w:rsidRPr="00AB7037" w:rsidRDefault="00D774F5" w:rsidP="00D774F5">
            <w:pPr>
              <w:pStyle w:val="TableText"/>
            </w:pPr>
            <w:r w:rsidRPr="002137F8">
              <w:t xml:space="preserve"> $4,870 </w:t>
            </w:r>
          </w:p>
        </w:tc>
        <w:tc>
          <w:tcPr>
            <w:tcW w:w="584" w:type="pct"/>
            <w:noWrap/>
          </w:tcPr>
          <w:p w14:paraId="54F9ACEA" w14:textId="47D2C5CD" w:rsidR="00D774F5" w:rsidRPr="00AB7037" w:rsidRDefault="00D774F5" w:rsidP="00D774F5">
            <w:pPr>
              <w:pStyle w:val="TableText"/>
            </w:pPr>
            <w:r w:rsidRPr="002137F8">
              <w:t xml:space="preserve"> $6,493 </w:t>
            </w:r>
          </w:p>
        </w:tc>
      </w:tr>
      <w:tr w:rsidR="00D774F5" w:rsidRPr="004B722B" w14:paraId="10438ECE" w14:textId="77777777" w:rsidTr="00AB7037">
        <w:trPr>
          <w:trHeight w:val="300"/>
          <w:jc w:val="center"/>
        </w:trPr>
        <w:tc>
          <w:tcPr>
            <w:tcW w:w="1491" w:type="pct"/>
            <w:noWrap/>
          </w:tcPr>
          <w:p w14:paraId="29BF1380" w14:textId="69DA3D1F" w:rsidR="00D774F5" w:rsidRPr="00AB7037" w:rsidRDefault="00D774F5" w:rsidP="00D774F5">
            <w:pPr>
              <w:pStyle w:val="TableText"/>
            </w:pPr>
            <w:r w:rsidRPr="002137F8">
              <w:t>Bronchoscopy (MBS 38419 75% fee $141.15, used by 50% of patients)</w:t>
            </w:r>
          </w:p>
        </w:tc>
        <w:tc>
          <w:tcPr>
            <w:tcW w:w="585" w:type="pct"/>
            <w:noWrap/>
          </w:tcPr>
          <w:p w14:paraId="225BEEBE" w14:textId="4F26C5D6" w:rsidR="00D774F5" w:rsidRPr="00AB7037" w:rsidRDefault="00D774F5" w:rsidP="00D774F5">
            <w:pPr>
              <w:pStyle w:val="TableText"/>
            </w:pPr>
            <w:r w:rsidRPr="002137F8">
              <w:t xml:space="preserve"> $70</w:t>
            </w:r>
            <w:r>
              <w:t>6</w:t>
            </w:r>
          </w:p>
        </w:tc>
        <w:tc>
          <w:tcPr>
            <w:tcW w:w="585" w:type="pct"/>
            <w:noWrap/>
          </w:tcPr>
          <w:p w14:paraId="3BE2AF50" w14:textId="4AAB1C75" w:rsidR="00D774F5" w:rsidRPr="00AB7037" w:rsidRDefault="00D774F5" w:rsidP="00D774F5">
            <w:pPr>
              <w:pStyle w:val="TableText"/>
            </w:pPr>
            <w:r w:rsidRPr="002137F8">
              <w:t xml:space="preserve"> $1,176.17 </w:t>
            </w:r>
          </w:p>
        </w:tc>
        <w:tc>
          <w:tcPr>
            <w:tcW w:w="585" w:type="pct"/>
            <w:noWrap/>
          </w:tcPr>
          <w:p w14:paraId="026C6410" w14:textId="6529D272" w:rsidR="00D774F5" w:rsidRPr="00AB7037" w:rsidRDefault="00D774F5" w:rsidP="00D774F5">
            <w:pPr>
              <w:pStyle w:val="TableText"/>
            </w:pPr>
            <w:r w:rsidRPr="002137F8">
              <w:t xml:space="preserve"> $1,64</w:t>
            </w:r>
            <w:r>
              <w:t>7</w:t>
            </w:r>
          </w:p>
        </w:tc>
        <w:tc>
          <w:tcPr>
            <w:tcW w:w="585" w:type="pct"/>
            <w:noWrap/>
          </w:tcPr>
          <w:p w14:paraId="13475EAE" w14:textId="45197EBD" w:rsidR="00D774F5" w:rsidRPr="00AB7037" w:rsidRDefault="00D774F5" w:rsidP="00D774F5">
            <w:pPr>
              <w:pStyle w:val="TableText"/>
            </w:pPr>
            <w:r w:rsidRPr="002137F8">
              <w:t xml:space="preserve"> $2,352 </w:t>
            </w:r>
          </w:p>
        </w:tc>
        <w:tc>
          <w:tcPr>
            <w:tcW w:w="585" w:type="pct"/>
            <w:noWrap/>
          </w:tcPr>
          <w:p w14:paraId="3407FAC7" w14:textId="692BC7C7" w:rsidR="00D774F5" w:rsidRPr="00AB7037" w:rsidRDefault="00D774F5" w:rsidP="00D774F5">
            <w:pPr>
              <w:pStyle w:val="TableText"/>
            </w:pPr>
            <w:r w:rsidRPr="002137F8">
              <w:t xml:space="preserve"> $3,52</w:t>
            </w:r>
            <w:r>
              <w:t>9</w:t>
            </w:r>
          </w:p>
        </w:tc>
        <w:tc>
          <w:tcPr>
            <w:tcW w:w="584" w:type="pct"/>
            <w:noWrap/>
          </w:tcPr>
          <w:p w14:paraId="312C6C4D" w14:textId="6B3BF49B" w:rsidR="00D774F5" w:rsidRPr="00AB7037" w:rsidRDefault="00D774F5" w:rsidP="00D774F5">
            <w:pPr>
              <w:pStyle w:val="TableText"/>
            </w:pPr>
            <w:r w:rsidRPr="002137F8">
              <w:t xml:space="preserve"> $4,70</w:t>
            </w:r>
            <w:r>
              <w:t>5</w:t>
            </w:r>
          </w:p>
        </w:tc>
      </w:tr>
      <w:tr w:rsidR="00D774F5" w:rsidRPr="004B722B" w14:paraId="24AF8945" w14:textId="77777777" w:rsidTr="00AB7037">
        <w:trPr>
          <w:trHeight w:val="300"/>
          <w:jc w:val="center"/>
        </w:trPr>
        <w:tc>
          <w:tcPr>
            <w:tcW w:w="1491" w:type="pct"/>
            <w:noWrap/>
          </w:tcPr>
          <w:p w14:paraId="4FECBC77" w14:textId="37046AEB" w:rsidR="00D774F5" w:rsidRPr="00AB7037" w:rsidRDefault="00D774F5" w:rsidP="00D774F5">
            <w:pPr>
              <w:pStyle w:val="TableText"/>
            </w:pPr>
            <w:r w:rsidRPr="002137F8">
              <w:t>Initiation of anaesthesia (MBS 20320 75% fee $94.30)</w:t>
            </w:r>
          </w:p>
        </w:tc>
        <w:tc>
          <w:tcPr>
            <w:tcW w:w="585" w:type="pct"/>
            <w:noWrap/>
          </w:tcPr>
          <w:p w14:paraId="480708C8" w14:textId="60BF0B3E" w:rsidR="00D774F5" w:rsidRPr="00AB7037" w:rsidRDefault="00D774F5" w:rsidP="00D774F5">
            <w:pPr>
              <w:pStyle w:val="TableText"/>
            </w:pPr>
            <w:r w:rsidRPr="002137F8">
              <w:t xml:space="preserve"> $943 </w:t>
            </w:r>
          </w:p>
        </w:tc>
        <w:tc>
          <w:tcPr>
            <w:tcW w:w="585" w:type="pct"/>
            <w:noWrap/>
          </w:tcPr>
          <w:p w14:paraId="50E8BB8B" w14:textId="47B75EDC" w:rsidR="00D774F5" w:rsidRPr="00AB7037" w:rsidRDefault="00D774F5" w:rsidP="00D774F5">
            <w:pPr>
              <w:pStyle w:val="TableText"/>
            </w:pPr>
            <w:r w:rsidRPr="002137F8">
              <w:t xml:space="preserve"> $1,57</w:t>
            </w:r>
            <w:r>
              <w:t>2</w:t>
            </w:r>
            <w:r w:rsidRPr="002137F8">
              <w:t xml:space="preserve"> </w:t>
            </w:r>
          </w:p>
        </w:tc>
        <w:tc>
          <w:tcPr>
            <w:tcW w:w="585" w:type="pct"/>
            <w:noWrap/>
          </w:tcPr>
          <w:p w14:paraId="0B6FAA00" w14:textId="107B4D69" w:rsidR="00D774F5" w:rsidRPr="00AB7037" w:rsidRDefault="00D774F5" w:rsidP="00D774F5">
            <w:pPr>
              <w:pStyle w:val="TableText"/>
            </w:pPr>
            <w:r w:rsidRPr="002137F8">
              <w:t xml:space="preserve"> $2,200 </w:t>
            </w:r>
          </w:p>
        </w:tc>
        <w:tc>
          <w:tcPr>
            <w:tcW w:w="585" w:type="pct"/>
            <w:noWrap/>
          </w:tcPr>
          <w:p w14:paraId="55D9880F" w14:textId="7E1FF98A" w:rsidR="00D774F5" w:rsidRPr="00AB7037" w:rsidRDefault="00D774F5" w:rsidP="00D774F5">
            <w:pPr>
              <w:pStyle w:val="TableText"/>
            </w:pPr>
            <w:r w:rsidRPr="002137F8">
              <w:t xml:space="preserve"> $3,143 </w:t>
            </w:r>
          </w:p>
        </w:tc>
        <w:tc>
          <w:tcPr>
            <w:tcW w:w="585" w:type="pct"/>
            <w:noWrap/>
          </w:tcPr>
          <w:p w14:paraId="15457AEC" w14:textId="031A0DD2" w:rsidR="00D774F5" w:rsidRPr="00AB7037" w:rsidRDefault="00D774F5" w:rsidP="00D774F5">
            <w:pPr>
              <w:pStyle w:val="TableText"/>
            </w:pPr>
            <w:r w:rsidRPr="002137F8">
              <w:t xml:space="preserve"> $4,715 </w:t>
            </w:r>
          </w:p>
        </w:tc>
        <w:tc>
          <w:tcPr>
            <w:tcW w:w="584" w:type="pct"/>
            <w:noWrap/>
          </w:tcPr>
          <w:p w14:paraId="2589708D" w14:textId="555644CA" w:rsidR="00D774F5" w:rsidRPr="00AB7037" w:rsidRDefault="00D774F5" w:rsidP="00D774F5">
            <w:pPr>
              <w:pStyle w:val="TableText"/>
            </w:pPr>
            <w:r w:rsidRPr="002137F8">
              <w:t xml:space="preserve"> $6,28</w:t>
            </w:r>
            <w:r>
              <w:t>7</w:t>
            </w:r>
          </w:p>
        </w:tc>
      </w:tr>
      <w:tr w:rsidR="00D774F5" w:rsidRPr="004B722B" w14:paraId="319DC18C" w14:textId="77777777" w:rsidTr="00AB7037">
        <w:trPr>
          <w:trHeight w:val="300"/>
          <w:jc w:val="center"/>
        </w:trPr>
        <w:tc>
          <w:tcPr>
            <w:tcW w:w="1491" w:type="pct"/>
            <w:noWrap/>
          </w:tcPr>
          <w:p w14:paraId="374395D3" w14:textId="618D3738" w:rsidR="00D774F5" w:rsidRPr="00AB7037" w:rsidRDefault="00D774F5" w:rsidP="00D774F5">
            <w:pPr>
              <w:pStyle w:val="TableText"/>
            </w:pPr>
            <w:r w:rsidRPr="002137F8">
              <w:t>Anaesthesia time units (MBS 23035 75% fee $47.15)</w:t>
            </w:r>
          </w:p>
        </w:tc>
        <w:tc>
          <w:tcPr>
            <w:tcW w:w="585" w:type="pct"/>
            <w:noWrap/>
          </w:tcPr>
          <w:p w14:paraId="36D7996B" w14:textId="71B0978D" w:rsidR="00D774F5" w:rsidRPr="00AB7037" w:rsidRDefault="00D774F5" w:rsidP="00D774F5">
            <w:pPr>
              <w:pStyle w:val="TableText"/>
            </w:pPr>
            <w:r w:rsidRPr="002137F8">
              <w:t xml:space="preserve"> $47</w:t>
            </w:r>
            <w:r>
              <w:t>2</w:t>
            </w:r>
          </w:p>
        </w:tc>
        <w:tc>
          <w:tcPr>
            <w:tcW w:w="585" w:type="pct"/>
            <w:noWrap/>
          </w:tcPr>
          <w:p w14:paraId="08257F95" w14:textId="2EC3E2C8" w:rsidR="00D774F5" w:rsidRPr="00AB7037" w:rsidRDefault="00D774F5" w:rsidP="00D774F5">
            <w:pPr>
              <w:pStyle w:val="TableText"/>
            </w:pPr>
            <w:r w:rsidRPr="002137F8">
              <w:t xml:space="preserve"> $78</w:t>
            </w:r>
            <w:r>
              <w:t>6</w:t>
            </w:r>
          </w:p>
        </w:tc>
        <w:tc>
          <w:tcPr>
            <w:tcW w:w="585" w:type="pct"/>
            <w:noWrap/>
          </w:tcPr>
          <w:p w14:paraId="219C2536" w14:textId="6555817F" w:rsidR="00D774F5" w:rsidRPr="00AB7037" w:rsidRDefault="00D774F5" w:rsidP="00D774F5">
            <w:pPr>
              <w:pStyle w:val="TableText"/>
            </w:pPr>
            <w:r w:rsidRPr="002137F8">
              <w:t xml:space="preserve"> $1,100 </w:t>
            </w:r>
          </w:p>
        </w:tc>
        <w:tc>
          <w:tcPr>
            <w:tcW w:w="585" w:type="pct"/>
            <w:noWrap/>
          </w:tcPr>
          <w:p w14:paraId="7E4C574A" w14:textId="5E4D5518" w:rsidR="00D774F5" w:rsidRPr="00AB7037" w:rsidRDefault="00D774F5" w:rsidP="00D774F5">
            <w:pPr>
              <w:pStyle w:val="TableText"/>
            </w:pPr>
            <w:r w:rsidRPr="002137F8">
              <w:t xml:space="preserve"> $1,57</w:t>
            </w:r>
            <w:r>
              <w:t>2</w:t>
            </w:r>
          </w:p>
        </w:tc>
        <w:tc>
          <w:tcPr>
            <w:tcW w:w="585" w:type="pct"/>
            <w:noWrap/>
          </w:tcPr>
          <w:p w14:paraId="51BDA772" w14:textId="17F3E80E" w:rsidR="00D774F5" w:rsidRPr="00AB7037" w:rsidRDefault="00D774F5" w:rsidP="00D774F5">
            <w:pPr>
              <w:pStyle w:val="TableText"/>
            </w:pPr>
            <w:r w:rsidRPr="002137F8">
              <w:t xml:space="preserve"> $2,357 </w:t>
            </w:r>
          </w:p>
        </w:tc>
        <w:tc>
          <w:tcPr>
            <w:tcW w:w="584" w:type="pct"/>
            <w:noWrap/>
          </w:tcPr>
          <w:p w14:paraId="73CD9A1A" w14:textId="6999DD69" w:rsidR="00D774F5" w:rsidRPr="00AB7037" w:rsidRDefault="00D774F5" w:rsidP="00D774F5">
            <w:pPr>
              <w:pStyle w:val="TableText"/>
            </w:pPr>
            <w:r w:rsidRPr="002137F8">
              <w:t xml:space="preserve"> $3,143 </w:t>
            </w:r>
          </w:p>
        </w:tc>
      </w:tr>
      <w:tr w:rsidR="00D774F5" w:rsidRPr="004B722B" w14:paraId="2106CA01" w14:textId="77777777" w:rsidTr="00AB7037">
        <w:trPr>
          <w:trHeight w:val="300"/>
          <w:jc w:val="center"/>
        </w:trPr>
        <w:tc>
          <w:tcPr>
            <w:tcW w:w="1491" w:type="pct"/>
            <w:noWrap/>
          </w:tcPr>
          <w:p w14:paraId="2A27592D" w14:textId="4468E239" w:rsidR="00D774F5" w:rsidRPr="00AB7037" w:rsidRDefault="00D774F5" w:rsidP="00D774F5">
            <w:pPr>
              <w:pStyle w:val="TableText"/>
            </w:pPr>
            <w:r w:rsidRPr="002137F8">
              <w:t>Case conference (MBS 822 85% fee $190.40, MBS 10957 85% fee 75.30)</w:t>
            </w:r>
          </w:p>
        </w:tc>
        <w:tc>
          <w:tcPr>
            <w:tcW w:w="585" w:type="pct"/>
            <w:noWrap/>
          </w:tcPr>
          <w:p w14:paraId="4294D9C8" w14:textId="4F144031" w:rsidR="00D774F5" w:rsidRPr="00AB7037" w:rsidRDefault="00D774F5" w:rsidP="00D774F5">
            <w:pPr>
              <w:pStyle w:val="TableText"/>
            </w:pPr>
            <w:r w:rsidRPr="002137F8">
              <w:t xml:space="preserve"> $2,657 </w:t>
            </w:r>
          </w:p>
        </w:tc>
        <w:tc>
          <w:tcPr>
            <w:tcW w:w="585" w:type="pct"/>
            <w:noWrap/>
          </w:tcPr>
          <w:p w14:paraId="63739D9A" w14:textId="56EF72EA" w:rsidR="00D774F5" w:rsidRPr="00AB7037" w:rsidRDefault="00D774F5" w:rsidP="00D774F5">
            <w:pPr>
              <w:pStyle w:val="TableText"/>
            </w:pPr>
            <w:r w:rsidRPr="002137F8">
              <w:t xml:space="preserve"> $4,428 </w:t>
            </w:r>
          </w:p>
        </w:tc>
        <w:tc>
          <w:tcPr>
            <w:tcW w:w="585" w:type="pct"/>
            <w:noWrap/>
          </w:tcPr>
          <w:p w14:paraId="657215E1" w14:textId="1C55C280" w:rsidR="00D774F5" w:rsidRPr="00AB7037" w:rsidRDefault="00D774F5" w:rsidP="00D774F5">
            <w:pPr>
              <w:pStyle w:val="TableText"/>
            </w:pPr>
            <w:r w:rsidRPr="002137F8">
              <w:t xml:space="preserve"> $6,199 </w:t>
            </w:r>
          </w:p>
        </w:tc>
        <w:tc>
          <w:tcPr>
            <w:tcW w:w="585" w:type="pct"/>
            <w:noWrap/>
          </w:tcPr>
          <w:p w14:paraId="64BE3905" w14:textId="7209DDE1" w:rsidR="00D774F5" w:rsidRPr="00AB7037" w:rsidRDefault="00D774F5" w:rsidP="00D774F5">
            <w:pPr>
              <w:pStyle w:val="TableText"/>
            </w:pPr>
            <w:r w:rsidRPr="002137F8">
              <w:t xml:space="preserve"> $8,85</w:t>
            </w:r>
            <w:r>
              <w:t>7</w:t>
            </w:r>
          </w:p>
        </w:tc>
        <w:tc>
          <w:tcPr>
            <w:tcW w:w="585" w:type="pct"/>
            <w:noWrap/>
          </w:tcPr>
          <w:p w14:paraId="709E5E50" w14:textId="1BF8196B" w:rsidR="00D774F5" w:rsidRPr="00AB7037" w:rsidRDefault="00D774F5" w:rsidP="00D774F5">
            <w:pPr>
              <w:pStyle w:val="TableText"/>
            </w:pPr>
            <w:r w:rsidRPr="002137F8">
              <w:t xml:space="preserve"> $13,285 </w:t>
            </w:r>
          </w:p>
        </w:tc>
        <w:tc>
          <w:tcPr>
            <w:tcW w:w="584" w:type="pct"/>
            <w:noWrap/>
          </w:tcPr>
          <w:p w14:paraId="069519AE" w14:textId="4ECFF1CA" w:rsidR="00D774F5" w:rsidRPr="00AB7037" w:rsidRDefault="00D774F5" w:rsidP="00D774F5">
            <w:pPr>
              <w:pStyle w:val="TableText"/>
            </w:pPr>
            <w:r w:rsidRPr="002137F8">
              <w:t xml:space="preserve"> $17,713 </w:t>
            </w:r>
          </w:p>
        </w:tc>
      </w:tr>
      <w:tr w:rsidR="00D774F5" w:rsidRPr="004B722B" w14:paraId="78BEC15E" w14:textId="77777777" w:rsidTr="00AB7037">
        <w:trPr>
          <w:trHeight w:val="300"/>
          <w:jc w:val="center"/>
        </w:trPr>
        <w:tc>
          <w:tcPr>
            <w:tcW w:w="1491" w:type="pct"/>
            <w:noWrap/>
          </w:tcPr>
          <w:p w14:paraId="0BE7FB59" w14:textId="55D0ADE1" w:rsidR="00D774F5" w:rsidRPr="00C61A1E" w:rsidRDefault="00D774F5" w:rsidP="00D774F5">
            <w:pPr>
              <w:pStyle w:val="TableText"/>
              <w:rPr>
                <w:b/>
                <w:bCs/>
              </w:rPr>
            </w:pPr>
            <w:r w:rsidRPr="00C61A1E">
              <w:rPr>
                <w:b/>
                <w:bCs/>
              </w:rPr>
              <w:t>Total screening</w:t>
            </w:r>
            <w:r>
              <w:rPr>
                <w:b/>
                <w:bCs/>
              </w:rPr>
              <w:t>:</w:t>
            </w:r>
          </w:p>
        </w:tc>
        <w:tc>
          <w:tcPr>
            <w:tcW w:w="585" w:type="pct"/>
            <w:noWrap/>
          </w:tcPr>
          <w:p w14:paraId="5DA2374F" w14:textId="202F3BC2" w:rsidR="00D774F5" w:rsidRPr="00AB7037" w:rsidRDefault="00D774F5" w:rsidP="00D774F5">
            <w:pPr>
              <w:pStyle w:val="TableText"/>
            </w:pPr>
            <w:r w:rsidRPr="002137F8">
              <w:t xml:space="preserve"> $5,751 </w:t>
            </w:r>
          </w:p>
        </w:tc>
        <w:tc>
          <w:tcPr>
            <w:tcW w:w="585" w:type="pct"/>
            <w:noWrap/>
          </w:tcPr>
          <w:p w14:paraId="3330B175" w14:textId="755D87CA" w:rsidR="00D774F5" w:rsidRPr="00AB7037" w:rsidRDefault="00D774F5" w:rsidP="00D774F5">
            <w:pPr>
              <w:pStyle w:val="TableText"/>
            </w:pPr>
            <w:r w:rsidRPr="002137F8">
              <w:t xml:space="preserve"> $9,585 </w:t>
            </w:r>
          </w:p>
        </w:tc>
        <w:tc>
          <w:tcPr>
            <w:tcW w:w="585" w:type="pct"/>
            <w:noWrap/>
          </w:tcPr>
          <w:p w14:paraId="6E14B496" w14:textId="5E2610C0" w:rsidR="00D774F5" w:rsidRPr="00AB7037" w:rsidRDefault="00D774F5" w:rsidP="00D774F5">
            <w:pPr>
              <w:pStyle w:val="TableText"/>
            </w:pPr>
            <w:r w:rsidRPr="002137F8">
              <w:t xml:space="preserve"> $13,419 </w:t>
            </w:r>
          </w:p>
        </w:tc>
        <w:tc>
          <w:tcPr>
            <w:tcW w:w="585" w:type="pct"/>
            <w:noWrap/>
          </w:tcPr>
          <w:p w14:paraId="2B60CB97" w14:textId="20184544" w:rsidR="00D774F5" w:rsidRPr="00AB7037" w:rsidRDefault="00D774F5" w:rsidP="00D774F5">
            <w:pPr>
              <w:pStyle w:val="TableText"/>
            </w:pPr>
            <w:r w:rsidRPr="002137F8">
              <w:t xml:space="preserve"> $19,17</w:t>
            </w:r>
            <w:r>
              <w:t>1</w:t>
            </w:r>
          </w:p>
        </w:tc>
        <w:tc>
          <w:tcPr>
            <w:tcW w:w="585" w:type="pct"/>
            <w:noWrap/>
          </w:tcPr>
          <w:p w14:paraId="3B6F2551" w14:textId="17B87F4B" w:rsidR="00D774F5" w:rsidRPr="00AB7037" w:rsidRDefault="00D774F5" w:rsidP="00D774F5">
            <w:pPr>
              <w:pStyle w:val="TableText"/>
            </w:pPr>
            <w:r w:rsidRPr="002137F8">
              <w:t xml:space="preserve"> $28,756 </w:t>
            </w:r>
          </w:p>
        </w:tc>
        <w:tc>
          <w:tcPr>
            <w:tcW w:w="584" w:type="pct"/>
            <w:noWrap/>
          </w:tcPr>
          <w:p w14:paraId="31F75684" w14:textId="1A7BBAC3" w:rsidR="00D774F5" w:rsidRPr="00AB7037" w:rsidRDefault="00D774F5" w:rsidP="00D774F5">
            <w:pPr>
              <w:pStyle w:val="TableText"/>
            </w:pPr>
            <w:r w:rsidRPr="002137F8">
              <w:t xml:space="preserve"> $38,341 </w:t>
            </w:r>
          </w:p>
        </w:tc>
      </w:tr>
      <w:tr w:rsidR="00D774F5" w:rsidRPr="004B722B" w14:paraId="343B2B08" w14:textId="77777777" w:rsidTr="00AB7037">
        <w:trPr>
          <w:trHeight w:val="300"/>
          <w:jc w:val="center"/>
        </w:trPr>
        <w:tc>
          <w:tcPr>
            <w:tcW w:w="1491" w:type="pct"/>
            <w:noWrap/>
          </w:tcPr>
          <w:p w14:paraId="235FE2F8" w14:textId="1C4FB6CB" w:rsidR="00D774F5" w:rsidRPr="00C61A1E" w:rsidRDefault="00D774F5" w:rsidP="00D774F5">
            <w:pPr>
              <w:pStyle w:val="TableText"/>
              <w:rPr>
                <w:b/>
                <w:bCs/>
              </w:rPr>
            </w:pPr>
            <w:r w:rsidRPr="00AB7037">
              <w:rPr>
                <w:b/>
                <w:bCs/>
              </w:rPr>
              <w:t>Cost to the Prostheses List</w:t>
            </w:r>
          </w:p>
        </w:tc>
        <w:tc>
          <w:tcPr>
            <w:tcW w:w="585" w:type="pct"/>
            <w:noWrap/>
          </w:tcPr>
          <w:p w14:paraId="3092F9BF" w14:textId="77777777" w:rsidR="00D774F5" w:rsidRPr="002137F8" w:rsidRDefault="00D774F5" w:rsidP="00D774F5">
            <w:pPr>
              <w:pStyle w:val="TableText"/>
            </w:pPr>
          </w:p>
        </w:tc>
        <w:tc>
          <w:tcPr>
            <w:tcW w:w="585" w:type="pct"/>
            <w:noWrap/>
          </w:tcPr>
          <w:p w14:paraId="1183D79A" w14:textId="77777777" w:rsidR="00D774F5" w:rsidRPr="002137F8" w:rsidRDefault="00D774F5" w:rsidP="00D774F5">
            <w:pPr>
              <w:pStyle w:val="TableText"/>
            </w:pPr>
          </w:p>
        </w:tc>
        <w:tc>
          <w:tcPr>
            <w:tcW w:w="585" w:type="pct"/>
            <w:noWrap/>
          </w:tcPr>
          <w:p w14:paraId="09F2DFCD" w14:textId="77777777" w:rsidR="00D774F5" w:rsidRPr="002137F8" w:rsidRDefault="00D774F5" w:rsidP="00D774F5">
            <w:pPr>
              <w:pStyle w:val="TableText"/>
            </w:pPr>
          </w:p>
        </w:tc>
        <w:tc>
          <w:tcPr>
            <w:tcW w:w="585" w:type="pct"/>
            <w:noWrap/>
          </w:tcPr>
          <w:p w14:paraId="45807F6F" w14:textId="77777777" w:rsidR="00D774F5" w:rsidRPr="002137F8" w:rsidRDefault="00D774F5" w:rsidP="00D774F5">
            <w:pPr>
              <w:pStyle w:val="TableText"/>
            </w:pPr>
          </w:p>
        </w:tc>
        <w:tc>
          <w:tcPr>
            <w:tcW w:w="585" w:type="pct"/>
            <w:noWrap/>
          </w:tcPr>
          <w:p w14:paraId="6DA5957F" w14:textId="77777777" w:rsidR="00D774F5" w:rsidRPr="002137F8" w:rsidRDefault="00D774F5" w:rsidP="00D774F5">
            <w:pPr>
              <w:pStyle w:val="TableText"/>
            </w:pPr>
          </w:p>
        </w:tc>
        <w:tc>
          <w:tcPr>
            <w:tcW w:w="584" w:type="pct"/>
            <w:noWrap/>
          </w:tcPr>
          <w:p w14:paraId="0465109E" w14:textId="77777777" w:rsidR="00D774F5" w:rsidRPr="002137F8" w:rsidRDefault="00D774F5" w:rsidP="00D774F5">
            <w:pPr>
              <w:pStyle w:val="TableText"/>
            </w:pPr>
          </w:p>
        </w:tc>
      </w:tr>
      <w:tr w:rsidR="00D774F5" w:rsidRPr="004B722B" w14:paraId="5C6272C6" w14:textId="77777777" w:rsidTr="00AB7037">
        <w:trPr>
          <w:trHeight w:val="300"/>
          <w:jc w:val="center"/>
        </w:trPr>
        <w:tc>
          <w:tcPr>
            <w:tcW w:w="1491" w:type="pct"/>
            <w:noWrap/>
            <w:hideMark/>
          </w:tcPr>
          <w:p w14:paraId="4771F6D9" w14:textId="74EE7C05" w:rsidR="00D774F5" w:rsidRPr="00AB7037" w:rsidRDefault="00D774F5" w:rsidP="00D774F5">
            <w:pPr>
              <w:pStyle w:val="TableText"/>
            </w:pPr>
            <w:r w:rsidRPr="00AB7037">
              <w:t>Device listed at $30,480</w:t>
            </w:r>
            <w:r>
              <w:t xml:space="preserve"> (proposed)</w:t>
            </w:r>
          </w:p>
        </w:tc>
        <w:tc>
          <w:tcPr>
            <w:tcW w:w="585" w:type="pct"/>
            <w:noWrap/>
            <w:hideMark/>
          </w:tcPr>
          <w:p w14:paraId="7A17AC42" w14:textId="008AC698" w:rsidR="00D774F5" w:rsidRPr="00AB7037" w:rsidRDefault="00D774F5" w:rsidP="00D774F5">
            <w:pPr>
              <w:pStyle w:val="TableText"/>
            </w:pPr>
            <w:r w:rsidRPr="00AB7037">
              <w:t>$914,400</w:t>
            </w:r>
          </w:p>
        </w:tc>
        <w:tc>
          <w:tcPr>
            <w:tcW w:w="585" w:type="pct"/>
            <w:noWrap/>
            <w:hideMark/>
          </w:tcPr>
          <w:p w14:paraId="7938607A" w14:textId="6A88008A" w:rsidR="00D774F5" w:rsidRPr="00AB7037" w:rsidRDefault="00D774F5" w:rsidP="00D774F5">
            <w:pPr>
              <w:pStyle w:val="TableText"/>
            </w:pPr>
            <w:r w:rsidRPr="00AB7037">
              <w:t>$1,524,000</w:t>
            </w:r>
          </w:p>
        </w:tc>
        <w:tc>
          <w:tcPr>
            <w:tcW w:w="585" w:type="pct"/>
            <w:noWrap/>
            <w:hideMark/>
          </w:tcPr>
          <w:p w14:paraId="02DA15F2" w14:textId="5627C7E3" w:rsidR="00D774F5" w:rsidRPr="00AB7037" w:rsidRDefault="00D774F5" w:rsidP="00D774F5">
            <w:pPr>
              <w:pStyle w:val="TableText"/>
            </w:pPr>
            <w:r w:rsidRPr="00AB7037">
              <w:t>$2,133,600</w:t>
            </w:r>
          </w:p>
        </w:tc>
        <w:tc>
          <w:tcPr>
            <w:tcW w:w="585" w:type="pct"/>
            <w:noWrap/>
            <w:hideMark/>
          </w:tcPr>
          <w:p w14:paraId="03888E81" w14:textId="6F8960DB" w:rsidR="00D774F5" w:rsidRPr="00AB7037" w:rsidRDefault="00D774F5" w:rsidP="00D774F5">
            <w:pPr>
              <w:pStyle w:val="TableText"/>
            </w:pPr>
            <w:r w:rsidRPr="00AB7037">
              <w:t>$3,048,000</w:t>
            </w:r>
          </w:p>
        </w:tc>
        <w:tc>
          <w:tcPr>
            <w:tcW w:w="585" w:type="pct"/>
            <w:noWrap/>
            <w:hideMark/>
          </w:tcPr>
          <w:p w14:paraId="28CF9713" w14:textId="628965F0" w:rsidR="00D774F5" w:rsidRPr="00AB7037" w:rsidRDefault="00D774F5" w:rsidP="00D774F5">
            <w:pPr>
              <w:pStyle w:val="TableText"/>
            </w:pPr>
            <w:r w:rsidRPr="00AB7037">
              <w:t>$4,572,000</w:t>
            </w:r>
          </w:p>
        </w:tc>
        <w:tc>
          <w:tcPr>
            <w:tcW w:w="584" w:type="pct"/>
            <w:noWrap/>
            <w:hideMark/>
          </w:tcPr>
          <w:p w14:paraId="3EE384D1" w14:textId="666E939D" w:rsidR="00D774F5" w:rsidRPr="00AB7037" w:rsidRDefault="00D774F5" w:rsidP="00D774F5">
            <w:pPr>
              <w:pStyle w:val="TableText"/>
            </w:pPr>
            <w:r w:rsidRPr="00AB7037">
              <w:t>$6,096,000</w:t>
            </w:r>
          </w:p>
        </w:tc>
      </w:tr>
      <w:tr w:rsidR="00D774F5" w:rsidRPr="004B722B" w14:paraId="0F81CFC9" w14:textId="77777777" w:rsidTr="00AB7037">
        <w:trPr>
          <w:trHeight w:val="300"/>
          <w:jc w:val="center"/>
        </w:trPr>
        <w:tc>
          <w:tcPr>
            <w:tcW w:w="1491" w:type="pct"/>
            <w:noWrap/>
            <w:hideMark/>
          </w:tcPr>
          <w:p w14:paraId="47D9FB75" w14:textId="1815DA16" w:rsidR="00D774F5" w:rsidRPr="00AB7037" w:rsidRDefault="00D774F5" w:rsidP="00D774F5">
            <w:pPr>
              <w:pStyle w:val="TableText"/>
            </w:pPr>
            <w:r w:rsidRPr="00AB7037">
              <w:t>Device listed at $14,504</w:t>
            </w:r>
            <w:r>
              <w:t xml:space="preserve"> (vagal neurostimulator benefit)</w:t>
            </w:r>
          </w:p>
        </w:tc>
        <w:tc>
          <w:tcPr>
            <w:tcW w:w="585" w:type="pct"/>
            <w:noWrap/>
            <w:hideMark/>
          </w:tcPr>
          <w:p w14:paraId="10909611" w14:textId="66F167CB" w:rsidR="00D774F5" w:rsidRPr="00AB7037" w:rsidRDefault="00D774F5" w:rsidP="00D774F5">
            <w:pPr>
              <w:pStyle w:val="TableText"/>
            </w:pPr>
            <w:r w:rsidRPr="00AB7037">
              <w:t>$435,120</w:t>
            </w:r>
          </w:p>
        </w:tc>
        <w:tc>
          <w:tcPr>
            <w:tcW w:w="585" w:type="pct"/>
            <w:noWrap/>
            <w:hideMark/>
          </w:tcPr>
          <w:p w14:paraId="15D9C67F" w14:textId="7E899E4C" w:rsidR="00D774F5" w:rsidRPr="00AB7037" w:rsidRDefault="00D774F5" w:rsidP="00D774F5">
            <w:pPr>
              <w:pStyle w:val="TableText"/>
            </w:pPr>
            <w:r w:rsidRPr="00AB7037">
              <w:t>$725,200</w:t>
            </w:r>
          </w:p>
        </w:tc>
        <w:tc>
          <w:tcPr>
            <w:tcW w:w="585" w:type="pct"/>
            <w:noWrap/>
            <w:hideMark/>
          </w:tcPr>
          <w:p w14:paraId="5EA0B214" w14:textId="4F2C3F68" w:rsidR="00D774F5" w:rsidRPr="00AB7037" w:rsidRDefault="00D774F5" w:rsidP="00D774F5">
            <w:pPr>
              <w:pStyle w:val="TableText"/>
            </w:pPr>
            <w:r w:rsidRPr="00AB7037">
              <w:t>$1,015,280</w:t>
            </w:r>
          </w:p>
        </w:tc>
        <w:tc>
          <w:tcPr>
            <w:tcW w:w="585" w:type="pct"/>
            <w:noWrap/>
            <w:hideMark/>
          </w:tcPr>
          <w:p w14:paraId="55DC8F18" w14:textId="045596DE" w:rsidR="00D774F5" w:rsidRPr="00AB7037" w:rsidRDefault="00D774F5" w:rsidP="00D774F5">
            <w:pPr>
              <w:pStyle w:val="TableText"/>
            </w:pPr>
            <w:r w:rsidRPr="00AB7037">
              <w:t>$1,450,400</w:t>
            </w:r>
          </w:p>
        </w:tc>
        <w:tc>
          <w:tcPr>
            <w:tcW w:w="585" w:type="pct"/>
            <w:noWrap/>
            <w:hideMark/>
          </w:tcPr>
          <w:p w14:paraId="096A5FCB" w14:textId="4C18973B" w:rsidR="00D774F5" w:rsidRPr="00AB7037" w:rsidRDefault="00D774F5" w:rsidP="00D774F5">
            <w:pPr>
              <w:pStyle w:val="TableText"/>
            </w:pPr>
            <w:r w:rsidRPr="00AB7037">
              <w:t>$2,175,600</w:t>
            </w:r>
          </w:p>
        </w:tc>
        <w:tc>
          <w:tcPr>
            <w:tcW w:w="584" w:type="pct"/>
            <w:noWrap/>
            <w:hideMark/>
          </w:tcPr>
          <w:p w14:paraId="50E99A94" w14:textId="3B21DE6E" w:rsidR="00D774F5" w:rsidRPr="00AB7037" w:rsidRDefault="00D774F5" w:rsidP="00D774F5">
            <w:pPr>
              <w:pStyle w:val="TableText"/>
            </w:pPr>
            <w:r w:rsidRPr="00AB7037">
              <w:t>$2,900,800</w:t>
            </w:r>
          </w:p>
        </w:tc>
      </w:tr>
    </w:tbl>
    <w:p w14:paraId="68B2E3D0" w14:textId="48DA9BDD" w:rsidR="00AB7037" w:rsidRDefault="00AB7037" w:rsidP="00AB7037">
      <w:pPr>
        <w:pStyle w:val="TableFigureFooter"/>
        <w:spacing w:before="0" w:after="0"/>
      </w:pPr>
      <w:r>
        <w:t xml:space="preserve">MBS = Medicare </w:t>
      </w:r>
      <w:r w:rsidR="00C102DA">
        <w:t>B</w:t>
      </w:r>
      <w:r>
        <w:t xml:space="preserve">enefits </w:t>
      </w:r>
      <w:r w:rsidR="00C102DA">
        <w:t>S</w:t>
      </w:r>
      <w:r>
        <w:t>chedule; UAS = upper airway stimulation.</w:t>
      </w:r>
    </w:p>
    <w:p w14:paraId="37F7A65E" w14:textId="3943969E" w:rsidR="004B722B" w:rsidRPr="004B722B" w:rsidRDefault="004B722B" w:rsidP="0056646A">
      <w:pPr>
        <w:pStyle w:val="TableFigureFooter"/>
        <w:spacing w:before="0"/>
      </w:pPr>
      <w:r w:rsidRPr="004B722B">
        <w:t xml:space="preserve">Source: prepared for the </w:t>
      </w:r>
      <w:r w:rsidR="00C102DA">
        <w:t>c</w:t>
      </w:r>
      <w:r w:rsidRPr="004B722B">
        <w:t>ommentary from the provided excel workbook titled ‘Input Book OSA Model adaption’ tab ‘UAS Australia cost</w:t>
      </w:r>
      <w:r w:rsidR="00C11C94">
        <w:t>.</w:t>
      </w:r>
      <w:r w:rsidR="00C102DA">
        <w:t>’</w:t>
      </w:r>
    </w:p>
    <w:p w14:paraId="13AE07F4" w14:textId="437FDEDC" w:rsidR="004B722B" w:rsidRDefault="0071111D" w:rsidP="004B722B">
      <w:r>
        <w:lastRenderedPageBreak/>
        <w:t>The ADAR did not discuss or estimate patient out of pocket costs although PASC noted that out of pocket costs may be substantial for UAS.</w:t>
      </w:r>
    </w:p>
    <w:p w14:paraId="7838A9FF" w14:textId="04292FDC" w:rsidR="00772829" w:rsidRDefault="00C36633" w:rsidP="002A18BE">
      <w:pPr>
        <w:pStyle w:val="Heading2"/>
        <w:numPr>
          <w:ilvl w:val="0"/>
          <w:numId w:val="0"/>
        </w:numPr>
      </w:pPr>
      <w:bookmarkStart w:id="61" w:name="_Toc69491427"/>
      <w:bookmarkEnd w:id="60"/>
      <w:r>
        <w:t>1</w:t>
      </w:r>
      <w:r w:rsidR="00EE4112">
        <w:t>5</w:t>
      </w:r>
      <w:r>
        <w:t>.</w:t>
      </w:r>
      <w:r>
        <w:tab/>
      </w:r>
      <w:r w:rsidR="00772829" w:rsidRPr="00CE28E3">
        <w:t xml:space="preserve">Other relevant </w:t>
      </w:r>
      <w:bookmarkEnd w:id="61"/>
      <w:r w:rsidR="00FA5766">
        <w:t>information</w:t>
      </w:r>
    </w:p>
    <w:p w14:paraId="780FABC1" w14:textId="690FFBA1" w:rsidR="00636A07" w:rsidRPr="00636A07" w:rsidRDefault="00636A07" w:rsidP="00636A07">
      <w:r w:rsidRPr="00487C85">
        <w:t>Nil.</w:t>
      </w:r>
    </w:p>
    <w:p w14:paraId="3EA17C08" w14:textId="5F5EDBD5" w:rsidR="00037D7D" w:rsidRPr="00CE28E3" w:rsidRDefault="00037D7D" w:rsidP="00037D7D">
      <w:pPr>
        <w:pStyle w:val="Heading2"/>
        <w:numPr>
          <w:ilvl w:val="0"/>
          <w:numId w:val="0"/>
        </w:numPr>
      </w:pPr>
      <w:r>
        <w:t>16.</w:t>
      </w:r>
      <w:r>
        <w:tab/>
        <w:t>Key issues from ESC to MSAC</w:t>
      </w:r>
    </w:p>
    <w:tbl>
      <w:tblPr>
        <w:tblStyle w:val="TableGrid"/>
        <w:tblW w:w="0" w:type="auto"/>
        <w:tblLook w:val="04A0" w:firstRow="1" w:lastRow="0" w:firstColumn="1" w:lastColumn="0" w:noHBand="0" w:noVBand="1"/>
      </w:tblPr>
      <w:tblGrid>
        <w:gridCol w:w="9016"/>
      </w:tblGrid>
      <w:tr w:rsidR="00037D7D" w:rsidRPr="00B0537B" w14:paraId="55765F55" w14:textId="77777777" w:rsidTr="005035C4">
        <w:tc>
          <w:tcPr>
            <w:tcW w:w="9016" w:type="dxa"/>
          </w:tcPr>
          <w:p w14:paraId="554500BB" w14:textId="77777777" w:rsidR="00037D7D" w:rsidRPr="00B0537B" w:rsidRDefault="00037D7D" w:rsidP="005035C4">
            <w:pPr>
              <w:spacing w:before="240" w:after="240"/>
              <w:rPr>
                <w:rFonts w:eastAsia="Calibri" w:cs="Times New Roman"/>
                <w:b/>
                <w:bCs/>
                <w:sz w:val="24"/>
                <w:szCs w:val="24"/>
              </w:rPr>
            </w:pPr>
            <w:r w:rsidRPr="00B0537B">
              <w:rPr>
                <w:rFonts w:eastAsia="Calibri" w:cs="Times New Roman"/>
                <w:b/>
                <w:bCs/>
                <w:sz w:val="24"/>
                <w:szCs w:val="24"/>
              </w:rPr>
              <w:t xml:space="preserve">Main issues for MSAC consideration </w:t>
            </w:r>
          </w:p>
          <w:p w14:paraId="5339DC8D" w14:textId="77777777" w:rsidR="00037D7D" w:rsidRPr="00E11642" w:rsidRDefault="00037D7D" w:rsidP="005035C4">
            <w:pPr>
              <w:spacing w:before="0"/>
              <w:rPr>
                <w:rFonts w:eastAsia="Calibri" w:cs="Times New Roman"/>
                <w:b/>
              </w:rPr>
            </w:pPr>
            <w:r w:rsidRPr="003C7148">
              <w:rPr>
                <w:rFonts w:eastAsia="Calibri" w:cs="Times New Roman"/>
                <w:b/>
              </w:rPr>
              <w:t>I</w:t>
            </w:r>
            <w:r w:rsidRPr="00E11642">
              <w:rPr>
                <w:rFonts w:eastAsia="Calibri" w:cs="Times New Roman"/>
                <w:b/>
              </w:rPr>
              <w:t>tem Descriptor issues</w:t>
            </w:r>
          </w:p>
          <w:p w14:paraId="6DCEE629" w14:textId="77777777" w:rsidR="00037D7D" w:rsidRPr="00E11642"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rPr>
            </w:pPr>
            <w:r>
              <w:t xml:space="preserve">The ADAR proposes new item descriptors for case conferencing which are not needed as the MBS has existing items that would cover the case conference. However the item descriptors </w:t>
            </w:r>
            <w:r w:rsidRPr="0091158D">
              <w:t>for UAS should specify the requirement for a case conference</w:t>
            </w:r>
            <w:r>
              <w:t xml:space="preserve"> as requested by PASC. Identification of the required expertise in the multidisciplinary team should be detailed in an MBS explanatory note (although noting that this information was specified in the applicant’s pre-ESC response).</w:t>
            </w:r>
          </w:p>
          <w:p w14:paraId="3560A40A" w14:textId="77777777" w:rsidR="00037D7D" w:rsidRPr="00CF188E"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rPr>
            </w:pPr>
            <w:r>
              <w:t>The ADAR does not update the item descriptor as requested by PASC to specify that patients “must have attempted all other appropriate interventions and be currently untreated” or to present the definition of Continuous Positive Airway Pressure (CPAP) failure or intolerance as agreed by PASC.</w:t>
            </w:r>
          </w:p>
          <w:p w14:paraId="5781D1E6" w14:textId="77777777" w:rsidR="00037D7D" w:rsidRDefault="00037D7D" w:rsidP="005035C4">
            <w:pPr>
              <w:pStyle w:val="BoxBullet"/>
              <w:numPr>
                <w:ilvl w:val="0"/>
                <w:numId w:val="29"/>
              </w:numPr>
              <w:pBdr>
                <w:top w:val="none" w:sz="0" w:space="0" w:color="auto"/>
                <w:left w:val="none" w:sz="0" w:space="0" w:color="auto"/>
                <w:bottom w:val="none" w:sz="0" w:space="0" w:color="auto"/>
                <w:right w:val="none" w:sz="0" w:space="0" w:color="auto"/>
              </w:pBdr>
            </w:pPr>
            <w:r w:rsidRPr="00CF188E">
              <w:t xml:space="preserve">The once per lifetime restriction is inappropriate for </w:t>
            </w:r>
            <w:r>
              <w:t xml:space="preserve">the item descriptor for </w:t>
            </w:r>
            <w:r w:rsidRPr="00CF188E">
              <w:t xml:space="preserve">repositioning and battery changes given that the minimum estimated longevity from the STAR trial is 7 years. </w:t>
            </w:r>
          </w:p>
          <w:p w14:paraId="2A5E3C39" w14:textId="77777777" w:rsidR="00037D7D" w:rsidRPr="00CF188E"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rPr>
            </w:pPr>
            <w:r>
              <w:t>S</w:t>
            </w:r>
            <w:r w:rsidRPr="00AD67C6">
              <w:t>urgical assistance</w:t>
            </w:r>
            <w:r>
              <w:t xml:space="preserve"> for surgical services</w:t>
            </w:r>
            <w:r w:rsidRPr="00AD67C6">
              <w:t xml:space="preserve"> </w:t>
            </w:r>
            <w:r>
              <w:t xml:space="preserve">and </w:t>
            </w:r>
            <w:r w:rsidRPr="00AD67C6">
              <w:t>anaesthesia</w:t>
            </w:r>
            <w:r>
              <w:t xml:space="preserve"> for device replacement are likely to be needed for the new service and should be costed.</w:t>
            </w:r>
          </w:p>
          <w:p w14:paraId="7C391E1C" w14:textId="77777777" w:rsidR="00037D7D" w:rsidRPr="00CF188E"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rPr>
            </w:pPr>
            <w:r>
              <w:t xml:space="preserve">No item descriptors have been proposed for repositioning or removal of the leads (repositioning and removal of leads should also be costed). </w:t>
            </w:r>
          </w:p>
          <w:p w14:paraId="36451C59" w14:textId="77777777" w:rsidR="00037D7D" w:rsidRPr="00EB6F75" w:rsidRDefault="00037D7D" w:rsidP="005035C4">
            <w:pPr>
              <w:pStyle w:val="BoxBullet"/>
              <w:numPr>
                <w:ilvl w:val="0"/>
                <w:numId w:val="0"/>
              </w:numPr>
              <w:pBdr>
                <w:top w:val="none" w:sz="0" w:space="0" w:color="auto"/>
                <w:left w:val="none" w:sz="0" w:space="0" w:color="auto"/>
                <w:bottom w:val="none" w:sz="0" w:space="0" w:color="auto"/>
                <w:right w:val="none" w:sz="0" w:space="0" w:color="auto"/>
              </w:pBdr>
              <w:ind w:left="357" w:hanging="357"/>
              <w:rPr>
                <w:rFonts w:eastAsia="Calibri"/>
                <w:b/>
              </w:rPr>
            </w:pPr>
            <w:r w:rsidRPr="00EB6F75">
              <w:rPr>
                <w:rFonts w:eastAsia="Calibri"/>
                <w:b/>
              </w:rPr>
              <w:t>Clinical issues:</w:t>
            </w:r>
          </w:p>
          <w:p w14:paraId="145D45B2" w14:textId="77777777" w:rsidR="00037D7D" w:rsidRPr="00117062"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szCs w:val="22"/>
              </w:rPr>
            </w:pPr>
            <w:r w:rsidRPr="00117062">
              <w:rPr>
                <w:szCs w:val="22"/>
              </w:rPr>
              <w:t>The resubmission does not address the uncertainty regarding the use of DISE, as requested by MSAC in the previous submission.</w:t>
            </w:r>
          </w:p>
          <w:p w14:paraId="59477C74" w14:textId="77777777" w:rsidR="00037D7D" w:rsidRPr="00E11642"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szCs w:val="22"/>
              </w:rPr>
            </w:pPr>
            <w:r w:rsidRPr="00EB6F75">
              <w:rPr>
                <w:szCs w:val="22"/>
              </w:rPr>
              <w:t>The ADAR</w:t>
            </w:r>
            <w:r w:rsidRPr="00E11642">
              <w:rPr>
                <w:szCs w:val="22"/>
              </w:rPr>
              <w:t xml:space="preserve"> does not define a subpopulation of patients who </w:t>
            </w:r>
            <w:r w:rsidRPr="00E11642">
              <w:rPr>
                <w:rFonts w:cs="Arial"/>
                <w:szCs w:val="22"/>
              </w:rPr>
              <w:t>have failed all other medical management options where UAS therapy may be appropriate</w:t>
            </w:r>
            <w:r w:rsidRPr="00E11642">
              <w:rPr>
                <w:szCs w:val="22"/>
              </w:rPr>
              <w:t>.</w:t>
            </w:r>
          </w:p>
          <w:p w14:paraId="267E5039" w14:textId="77777777" w:rsidR="00037D7D" w:rsidRPr="00E11642" w:rsidRDefault="00037D7D" w:rsidP="005035C4">
            <w:pPr>
              <w:pStyle w:val="BoxBullet"/>
              <w:numPr>
                <w:ilvl w:val="0"/>
                <w:numId w:val="29"/>
              </w:numPr>
              <w:pBdr>
                <w:top w:val="none" w:sz="0" w:space="0" w:color="auto"/>
                <w:left w:val="none" w:sz="0" w:space="0" w:color="auto"/>
                <w:bottom w:val="none" w:sz="0" w:space="0" w:color="auto"/>
                <w:right w:val="none" w:sz="0" w:space="0" w:color="auto"/>
              </w:pBdr>
              <w:rPr>
                <w:b/>
                <w:bCs/>
                <w:szCs w:val="22"/>
              </w:rPr>
            </w:pPr>
            <w:r w:rsidRPr="00E11642">
              <w:rPr>
                <w:szCs w:val="22"/>
              </w:rPr>
              <w:t>The literature review and clinical trial data remain inadequate and incomplete, including high risk of bias and lack of long-term follow-up data.</w:t>
            </w:r>
          </w:p>
          <w:p w14:paraId="56D86BA1" w14:textId="77777777" w:rsidR="00037D7D" w:rsidRDefault="00037D7D" w:rsidP="005035C4">
            <w:pPr>
              <w:pStyle w:val="BoxHeading"/>
              <w:pBdr>
                <w:top w:val="none" w:sz="0" w:space="0" w:color="auto"/>
                <w:left w:val="none" w:sz="0" w:space="0" w:color="auto"/>
                <w:bottom w:val="none" w:sz="0" w:space="0" w:color="auto"/>
                <w:right w:val="none" w:sz="0" w:space="0" w:color="auto"/>
              </w:pBdr>
            </w:pPr>
            <w:r>
              <w:t>Economic issues:</w:t>
            </w:r>
          </w:p>
          <w:p w14:paraId="47A5DFEC" w14:textId="77777777" w:rsidR="00037D7D" w:rsidRDefault="00037D7D" w:rsidP="005035C4">
            <w:pPr>
              <w:pStyle w:val="BoxBullet"/>
              <w:numPr>
                <w:ilvl w:val="0"/>
                <w:numId w:val="29"/>
              </w:numPr>
              <w:pBdr>
                <w:top w:val="none" w:sz="0" w:space="0" w:color="auto"/>
                <w:left w:val="none" w:sz="0" w:space="0" w:color="auto"/>
                <w:bottom w:val="none" w:sz="0" w:space="0" w:color="auto"/>
                <w:right w:val="none" w:sz="0" w:space="0" w:color="auto"/>
              </w:pBdr>
            </w:pPr>
            <w:r>
              <w:t>The ICER estimated by the economic model is driven by a reduction in AHI leading to a lower risk of cardiovascular events and a reduction in ESS leading to a reduction in the risk of motor vehicle accidents. The evidentiary basis behind both these assumptions is uncertain.</w:t>
            </w:r>
          </w:p>
          <w:p w14:paraId="3A5F9A35" w14:textId="719DF940" w:rsidR="00037D7D" w:rsidRDefault="00037D7D" w:rsidP="00D325A2">
            <w:pPr>
              <w:pStyle w:val="BoxBullet"/>
              <w:numPr>
                <w:ilvl w:val="0"/>
                <w:numId w:val="29"/>
              </w:numPr>
              <w:pBdr>
                <w:top w:val="none" w:sz="0" w:space="0" w:color="auto"/>
                <w:left w:val="none" w:sz="0" w:space="0" w:color="auto"/>
                <w:bottom w:val="none" w:sz="0" w:space="0" w:color="auto"/>
                <w:right w:val="none" w:sz="0" w:space="0" w:color="auto"/>
              </w:pBdr>
            </w:pPr>
            <w:r>
              <w:t xml:space="preserve">The economic model in the resubmission does not reduce the time horizon to 15 years as requested by MSAC. </w:t>
            </w:r>
          </w:p>
          <w:p w14:paraId="00ABAC17" w14:textId="77777777" w:rsidR="00037D7D" w:rsidRDefault="00037D7D" w:rsidP="005035C4">
            <w:pPr>
              <w:pStyle w:val="BoxHeading"/>
              <w:pBdr>
                <w:top w:val="none" w:sz="0" w:space="0" w:color="auto"/>
                <w:left w:val="none" w:sz="0" w:space="0" w:color="auto"/>
                <w:bottom w:val="none" w:sz="0" w:space="0" w:color="auto"/>
                <w:right w:val="none" w:sz="0" w:space="0" w:color="auto"/>
              </w:pBdr>
            </w:pPr>
            <w:r>
              <w:lastRenderedPageBreak/>
              <w:t>Financial issues:</w:t>
            </w:r>
          </w:p>
          <w:p w14:paraId="54F590BF" w14:textId="77777777" w:rsidR="00037D7D" w:rsidRDefault="00037D7D" w:rsidP="005035C4">
            <w:pPr>
              <w:pStyle w:val="BoxBullet"/>
              <w:numPr>
                <w:ilvl w:val="0"/>
                <w:numId w:val="29"/>
              </w:numPr>
              <w:pBdr>
                <w:top w:val="none" w:sz="0" w:space="0" w:color="auto"/>
                <w:left w:val="none" w:sz="0" w:space="0" w:color="auto"/>
                <w:bottom w:val="none" w:sz="0" w:space="0" w:color="auto"/>
                <w:right w:val="none" w:sz="0" w:space="0" w:color="auto"/>
              </w:pBdr>
            </w:pPr>
            <w:r>
              <w:t>The costs to the MBS and the Prostheses List are substantial and may be underestimated.</w:t>
            </w:r>
          </w:p>
          <w:p w14:paraId="6BBED789" w14:textId="77777777" w:rsidR="00037D7D" w:rsidRDefault="00037D7D" w:rsidP="005035C4">
            <w:pPr>
              <w:pStyle w:val="BoxBullet"/>
              <w:numPr>
                <w:ilvl w:val="0"/>
                <w:numId w:val="29"/>
              </w:numPr>
              <w:pBdr>
                <w:top w:val="none" w:sz="0" w:space="0" w:color="auto"/>
                <w:left w:val="none" w:sz="0" w:space="0" w:color="auto"/>
                <w:bottom w:val="none" w:sz="0" w:space="0" w:color="auto"/>
                <w:right w:val="none" w:sz="0" w:space="0" w:color="auto"/>
              </w:pBdr>
            </w:pPr>
            <w:r>
              <w:t xml:space="preserve">Out of pocket costs for the device may be substantial if it is not recommended for listing on the Prostheses List. </w:t>
            </w:r>
          </w:p>
          <w:p w14:paraId="6EF55979" w14:textId="1C22B677" w:rsidR="00037D7D" w:rsidRPr="00D325A2" w:rsidRDefault="00037D7D" w:rsidP="00D325A2">
            <w:pPr>
              <w:pStyle w:val="BoxBullet"/>
              <w:numPr>
                <w:ilvl w:val="0"/>
                <w:numId w:val="29"/>
              </w:numPr>
              <w:pBdr>
                <w:top w:val="none" w:sz="0" w:space="0" w:color="auto"/>
                <w:left w:val="none" w:sz="0" w:space="0" w:color="auto"/>
                <w:bottom w:val="none" w:sz="0" w:space="0" w:color="auto"/>
                <w:right w:val="none" w:sz="0" w:space="0" w:color="auto"/>
              </w:pBdr>
            </w:pPr>
            <w:r>
              <w:t>There is a risk of leakage to a broader population.</w:t>
            </w:r>
          </w:p>
        </w:tc>
      </w:tr>
    </w:tbl>
    <w:p w14:paraId="4EAED2BF" w14:textId="3CA9FED6" w:rsidR="00037D7D" w:rsidRDefault="00037D7D" w:rsidP="00037D7D">
      <w:pPr>
        <w:rPr>
          <w:rFonts w:eastAsia="Times New Roman" w:cs="Arial"/>
          <w:b/>
          <w:bCs/>
          <w:iCs/>
          <w:color w:val="000000"/>
          <w:sz w:val="24"/>
          <w:szCs w:val="28"/>
          <w:lang w:eastAsia="en-AU"/>
        </w:rPr>
      </w:pPr>
      <w:r>
        <w:rPr>
          <w:rFonts w:eastAsia="Times New Roman" w:cs="Arial"/>
          <w:b/>
          <w:bCs/>
          <w:iCs/>
          <w:color w:val="000000"/>
          <w:sz w:val="24"/>
          <w:szCs w:val="28"/>
          <w:lang w:eastAsia="en-AU"/>
        </w:rPr>
        <w:lastRenderedPageBreak/>
        <w:t xml:space="preserve">ESC </w:t>
      </w:r>
      <w:r w:rsidR="007E70D5">
        <w:rPr>
          <w:rFonts w:eastAsia="Times New Roman" w:cs="Arial"/>
          <w:b/>
          <w:bCs/>
          <w:iCs/>
          <w:color w:val="000000"/>
          <w:sz w:val="24"/>
          <w:szCs w:val="28"/>
          <w:lang w:eastAsia="en-AU"/>
        </w:rPr>
        <w:t>d</w:t>
      </w:r>
      <w:r>
        <w:rPr>
          <w:rFonts w:eastAsia="Times New Roman" w:cs="Arial"/>
          <w:b/>
          <w:bCs/>
          <w:iCs/>
          <w:color w:val="000000"/>
          <w:sz w:val="24"/>
          <w:szCs w:val="28"/>
          <w:lang w:eastAsia="en-AU"/>
        </w:rPr>
        <w:t>iscussion</w:t>
      </w:r>
    </w:p>
    <w:p w14:paraId="23D7C9F9" w14:textId="1F45AE77" w:rsidR="00037D7D" w:rsidRDefault="00037D7D" w:rsidP="00037D7D">
      <w:r w:rsidRPr="00A46E2F">
        <w:rPr>
          <w:rStyle w:val="Strong"/>
          <w:b w:val="0"/>
          <w:bCs w:val="0"/>
        </w:rPr>
        <w:t>ESC noted that this was a resubmission to request Medicare Benefits Schedule (MBS) listing of c</w:t>
      </w:r>
      <w:r w:rsidRPr="00A46E2F">
        <w:t>losed loop</w:t>
      </w:r>
      <w:r>
        <w:t xml:space="preserve"> upper airway stimulation (UAS) for moderate to severe obstructive sleep apnoea (OSA), in patients who have failed or are intolerant to, continuous positive airway pressure (CPAP) therapy. The previous submission had been considered by </w:t>
      </w:r>
      <w:hyperlink r:id="rId11" w:history="1">
        <w:r>
          <w:rPr>
            <w:rStyle w:val="Hyperlink"/>
          </w:rPr>
          <w:t>MSAC in November 2020</w:t>
        </w:r>
      </w:hyperlink>
      <w:r>
        <w:t xml:space="preserve">, and MSAC had not recommended MBS funding. MSAC’s requirements for a resubmission are shown in </w:t>
      </w:r>
      <w:r w:rsidR="00D325A2">
        <w:t>ESC </w:t>
      </w:r>
      <w:r>
        <w:t>Table 1.</w:t>
      </w:r>
    </w:p>
    <w:p w14:paraId="286C0E1B" w14:textId="646CB1ED" w:rsidR="00037D7D" w:rsidRDefault="00D325A2" w:rsidP="00037D7D">
      <w:pPr>
        <w:keepNext/>
        <w:spacing w:before="240"/>
        <w:rPr>
          <w:rFonts w:ascii="Arial Narrow" w:hAnsi="Arial Narrow"/>
          <w:b/>
          <w:sz w:val="20"/>
        </w:rPr>
      </w:pPr>
      <w:r>
        <w:rPr>
          <w:rFonts w:ascii="Arial Narrow" w:hAnsi="Arial Narrow"/>
          <w:b/>
          <w:sz w:val="20"/>
        </w:rPr>
        <w:t xml:space="preserve">ESC </w:t>
      </w:r>
      <w:r w:rsidR="00037D7D">
        <w:rPr>
          <w:rFonts w:ascii="Arial Narrow" w:hAnsi="Arial Narrow"/>
          <w:b/>
          <w:sz w:val="20"/>
        </w:rPr>
        <w:t>Table 1</w:t>
      </w:r>
      <w:r w:rsidR="00037D7D">
        <w:rPr>
          <w:rFonts w:ascii="Arial Narrow" w:hAnsi="Arial Narrow"/>
          <w:b/>
          <w:sz w:val="20"/>
        </w:rPr>
        <w:tab/>
        <w:t>Requirements for a resubmission for application 1595</w:t>
      </w:r>
    </w:p>
    <w:tbl>
      <w:tblPr>
        <w:tblStyle w:val="TableGrid"/>
        <w:tblW w:w="0" w:type="auto"/>
        <w:tblLook w:val="04A0" w:firstRow="1" w:lastRow="0" w:firstColumn="1" w:lastColumn="0" w:noHBand="0" w:noVBand="1"/>
        <w:tblDescription w:val="Requirements for a resubmission"/>
      </w:tblPr>
      <w:tblGrid>
        <w:gridCol w:w="2547"/>
        <w:gridCol w:w="6469"/>
      </w:tblGrid>
      <w:tr w:rsidR="00037D7D" w14:paraId="7BD2BE41" w14:textId="77777777" w:rsidTr="005035C4">
        <w:trPr>
          <w:tblHeader/>
        </w:trPr>
        <w:tc>
          <w:tcPr>
            <w:tcW w:w="2547" w:type="dxa"/>
            <w:tcBorders>
              <w:top w:val="single" w:sz="4" w:space="0" w:color="auto"/>
              <w:left w:val="single" w:sz="4" w:space="0" w:color="auto"/>
              <w:bottom w:val="single" w:sz="4" w:space="0" w:color="auto"/>
              <w:right w:val="single" w:sz="4" w:space="0" w:color="auto"/>
            </w:tcBorders>
            <w:hideMark/>
          </w:tcPr>
          <w:p w14:paraId="5465E192" w14:textId="77777777" w:rsidR="00037D7D" w:rsidRDefault="00037D7D" w:rsidP="005035C4">
            <w:pPr>
              <w:pStyle w:val="Tabletext0"/>
              <w:ind w:left="994" w:hanging="994"/>
              <w:rPr>
                <w:b/>
              </w:rPr>
            </w:pPr>
            <w:r>
              <w:rPr>
                <w:b/>
              </w:rPr>
              <w:t>Item</w:t>
            </w:r>
          </w:p>
        </w:tc>
        <w:tc>
          <w:tcPr>
            <w:tcW w:w="6469" w:type="dxa"/>
            <w:tcBorders>
              <w:top w:val="single" w:sz="4" w:space="0" w:color="auto"/>
              <w:left w:val="single" w:sz="4" w:space="0" w:color="auto"/>
              <w:bottom w:val="single" w:sz="4" w:space="0" w:color="auto"/>
              <w:right w:val="single" w:sz="4" w:space="0" w:color="auto"/>
            </w:tcBorders>
            <w:hideMark/>
          </w:tcPr>
          <w:p w14:paraId="638B8DFB" w14:textId="77777777" w:rsidR="00037D7D" w:rsidRDefault="00037D7D" w:rsidP="005035C4">
            <w:pPr>
              <w:pStyle w:val="Tabletext0"/>
              <w:ind w:left="994" w:hanging="994"/>
              <w:rPr>
                <w:b/>
              </w:rPr>
            </w:pPr>
            <w:r>
              <w:rPr>
                <w:b/>
              </w:rPr>
              <w:t>MSAC advice</w:t>
            </w:r>
          </w:p>
        </w:tc>
      </w:tr>
      <w:tr w:rsidR="00037D7D" w14:paraId="2A64E23F"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5ED9CF47" w14:textId="77777777" w:rsidR="00037D7D" w:rsidRDefault="00037D7D" w:rsidP="005035C4">
            <w:pPr>
              <w:pStyle w:val="Tabletext0"/>
              <w:ind w:left="990" w:hanging="990"/>
            </w:pPr>
            <w:r>
              <w:t>Use of DISE as a prior test</w:t>
            </w:r>
          </w:p>
        </w:tc>
        <w:tc>
          <w:tcPr>
            <w:tcW w:w="6469" w:type="dxa"/>
            <w:tcBorders>
              <w:top w:val="single" w:sz="4" w:space="0" w:color="auto"/>
              <w:left w:val="single" w:sz="4" w:space="0" w:color="auto"/>
              <w:bottom w:val="single" w:sz="4" w:space="0" w:color="auto"/>
              <w:right w:val="single" w:sz="4" w:space="0" w:color="auto"/>
            </w:tcBorders>
            <w:hideMark/>
          </w:tcPr>
          <w:p w14:paraId="64F1C6CF" w14:textId="77777777" w:rsidR="00037D7D" w:rsidRDefault="00037D7D" w:rsidP="005035C4">
            <w:pPr>
              <w:pStyle w:val="TableText1"/>
              <w:rPr>
                <w:rFonts w:cs="Arial"/>
                <w:sz w:val="20"/>
                <w:szCs w:val="20"/>
              </w:rPr>
            </w:pPr>
            <w:r>
              <w:rPr>
                <w:rFonts w:cs="Arial"/>
                <w:sz w:val="20"/>
                <w:szCs w:val="20"/>
              </w:rPr>
              <w:t>Address the uncertainty regarding the use of DISE as raised by ESC</w:t>
            </w:r>
          </w:p>
        </w:tc>
      </w:tr>
      <w:tr w:rsidR="00037D7D" w14:paraId="06EFB62F"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7B4845B4" w14:textId="77777777" w:rsidR="00037D7D" w:rsidRDefault="00037D7D" w:rsidP="005035C4">
            <w:pPr>
              <w:pStyle w:val="Tabletext0"/>
              <w:ind w:left="990" w:hanging="990"/>
              <w:rPr>
                <w:rFonts w:cs="Times New Roman"/>
                <w:szCs w:val="24"/>
              </w:rPr>
            </w:pPr>
            <w:r>
              <w:t>Population and clinical place</w:t>
            </w:r>
          </w:p>
        </w:tc>
        <w:tc>
          <w:tcPr>
            <w:tcW w:w="6469" w:type="dxa"/>
            <w:tcBorders>
              <w:top w:val="single" w:sz="4" w:space="0" w:color="auto"/>
              <w:left w:val="single" w:sz="4" w:space="0" w:color="auto"/>
              <w:bottom w:val="single" w:sz="4" w:space="0" w:color="auto"/>
              <w:right w:val="single" w:sz="4" w:space="0" w:color="auto"/>
            </w:tcBorders>
            <w:hideMark/>
          </w:tcPr>
          <w:p w14:paraId="1EA6FAC9" w14:textId="77777777" w:rsidR="00037D7D" w:rsidRDefault="00037D7D" w:rsidP="005035C4">
            <w:pPr>
              <w:pStyle w:val="TableText1"/>
              <w:rPr>
                <w:rFonts w:cs="Arial"/>
                <w:sz w:val="20"/>
                <w:szCs w:val="20"/>
              </w:rPr>
            </w:pPr>
            <w:r>
              <w:rPr>
                <w:rFonts w:cs="Arial"/>
                <w:sz w:val="20"/>
                <w:szCs w:val="20"/>
              </w:rPr>
              <w:t>There may be a subpopulation of patients who have failed all other medical management options where UAS therapy may be appropriate. The resubmission would need to define this subpopulation using the appropriate eligibility criteria.</w:t>
            </w:r>
          </w:p>
        </w:tc>
      </w:tr>
      <w:tr w:rsidR="00037D7D" w14:paraId="446599EF"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352CCF4A" w14:textId="77777777" w:rsidR="00037D7D" w:rsidRDefault="00037D7D" w:rsidP="005035C4">
            <w:pPr>
              <w:pStyle w:val="Tabletext0"/>
              <w:ind w:left="990" w:hanging="990"/>
              <w:rPr>
                <w:rFonts w:cs="Times New Roman"/>
                <w:szCs w:val="24"/>
              </w:rPr>
            </w:pPr>
            <w:r>
              <w:t>Clinical evidence</w:t>
            </w:r>
          </w:p>
        </w:tc>
        <w:tc>
          <w:tcPr>
            <w:tcW w:w="6469" w:type="dxa"/>
            <w:tcBorders>
              <w:top w:val="single" w:sz="4" w:space="0" w:color="auto"/>
              <w:left w:val="single" w:sz="4" w:space="0" w:color="auto"/>
              <w:bottom w:val="single" w:sz="4" w:space="0" w:color="auto"/>
              <w:right w:val="single" w:sz="4" w:space="0" w:color="auto"/>
            </w:tcBorders>
            <w:hideMark/>
          </w:tcPr>
          <w:p w14:paraId="131915CA" w14:textId="77777777" w:rsidR="00037D7D" w:rsidRDefault="00037D7D" w:rsidP="005035C4">
            <w:pPr>
              <w:pStyle w:val="TableText1"/>
              <w:rPr>
                <w:rFonts w:cs="Arial"/>
                <w:sz w:val="20"/>
                <w:szCs w:val="20"/>
              </w:rPr>
            </w:pPr>
            <w:r>
              <w:rPr>
                <w:rFonts w:cs="Arial"/>
                <w:sz w:val="20"/>
                <w:szCs w:val="20"/>
              </w:rPr>
              <w:t>Provide evidence to support use of UAS in this refined population</w:t>
            </w:r>
          </w:p>
        </w:tc>
      </w:tr>
      <w:tr w:rsidR="00037D7D" w14:paraId="2FFD6D1A"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08CF3E78" w14:textId="77777777" w:rsidR="00037D7D" w:rsidRDefault="00037D7D" w:rsidP="005035C4">
            <w:pPr>
              <w:pStyle w:val="Tabletext0"/>
              <w:ind w:left="990" w:hanging="990"/>
              <w:rPr>
                <w:rFonts w:cs="Times New Roman"/>
                <w:szCs w:val="24"/>
              </w:rPr>
            </w:pPr>
            <w:r>
              <w:t>Economic evaluation</w:t>
            </w:r>
          </w:p>
        </w:tc>
        <w:tc>
          <w:tcPr>
            <w:tcW w:w="6469" w:type="dxa"/>
            <w:tcBorders>
              <w:top w:val="single" w:sz="4" w:space="0" w:color="auto"/>
              <w:left w:val="single" w:sz="4" w:space="0" w:color="auto"/>
              <w:bottom w:val="single" w:sz="4" w:space="0" w:color="auto"/>
              <w:right w:val="single" w:sz="4" w:space="0" w:color="auto"/>
            </w:tcBorders>
            <w:hideMark/>
          </w:tcPr>
          <w:p w14:paraId="119C3081" w14:textId="77777777" w:rsidR="00037D7D" w:rsidRDefault="00037D7D" w:rsidP="005035C4">
            <w:pPr>
              <w:pStyle w:val="TableText1"/>
              <w:rPr>
                <w:rFonts w:cs="Arial"/>
                <w:sz w:val="20"/>
                <w:szCs w:val="20"/>
              </w:rPr>
            </w:pPr>
            <w:r>
              <w:rPr>
                <w:rFonts w:cs="Arial"/>
                <w:sz w:val="20"/>
                <w:szCs w:val="20"/>
              </w:rPr>
              <w:t>Improve the economic model to address the uncertainties regarding the model structure, time horizon (and device replacement due to end battery life), effect size (AHI/mortality) estimate as raised by ESC. The resubmission should also reduce the cost of the device in order to ensure cost-effectiveness</w:t>
            </w:r>
          </w:p>
        </w:tc>
      </w:tr>
      <w:tr w:rsidR="00037D7D" w14:paraId="21228EE3" w14:textId="77777777" w:rsidTr="005035C4">
        <w:tc>
          <w:tcPr>
            <w:tcW w:w="2547" w:type="dxa"/>
            <w:tcBorders>
              <w:top w:val="single" w:sz="4" w:space="0" w:color="auto"/>
              <w:left w:val="single" w:sz="4" w:space="0" w:color="auto"/>
              <w:bottom w:val="single" w:sz="4" w:space="0" w:color="auto"/>
              <w:right w:val="single" w:sz="4" w:space="0" w:color="auto"/>
            </w:tcBorders>
            <w:hideMark/>
          </w:tcPr>
          <w:p w14:paraId="284F46AE" w14:textId="77777777" w:rsidR="00037D7D" w:rsidRDefault="00037D7D" w:rsidP="005035C4">
            <w:pPr>
              <w:pStyle w:val="Tabletext0"/>
              <w:ind w:left="990" w:hanging="990"/>
              <w:rPr>
                <w:rFonts w:cs="Times New Roman"/>
                <w:szCs w:val="24"/>
              </w:rPr>
            </w:pPr>
            <w:r>
              <w:t>Financial estimates</w:t>
            </w:r>
          </w:p>
        </w:tc>
        <w:tc>
          <w:tcPr>
            <w:tcW w:w="6469" w:type="dxa"/>
            <w:tcBorders>
              <w:top w:val="single" w:sz="4" w:space="0" w:color="auto"/>
              <w:left w:val="single" w:sz="4" w:space="0" w:color="auto"/>
              <w:bottom w:val="single" w:sz="4" w:space="0" w:color="auto"/>
              <w:right w:val="single" w:sz="4" w:space="0" w:color="auto"/>
            </w:tcBorders>
            <w:hideMark/>
          </w:tcPr>
          <w:p w14:paraId="04573896" w14:textId="77777777" w:rsidR="00037D7D" w:rsidRDefault="00037D7D" w:rsidP="005035C4">
            <w:pPr>
              <w:pStyle w:val="TableText1"/>
              <w:rPr>
                <w:rFonts w:cs="Arial"/>
                <w:sz w:val="20"/>
                <w:szCs w:val="20"/>
              </w:rPr>
            </w:pPr>
            <w:r>
              <w:rPr>
                <w:rFonts w:cs="Arial"/>
                <w:sz w:val="20"/>
                <w:szCs w:val="20"/>
              </w:rPr>
              <w:t>Update, as required (see above)</w:t>
            </w:r>
          </w:p>
        </w:tc>
      </w:tr>
    </w:tbl>
    <w:p w14:paraId="45D05D60" w14:textId="77777777" w:rsidR="00037D7D" w:rsidRDefault="00037D7D" w:rsidP="00037D7D">
      <w:pPr>
        <w:pStyle w:val="Tablenotes1"/>
        <w:rPr>
          <w:szCs w:val="20"/>
        </w:rPr>
      </w:pPr>
      <w:r>
        <w:t>Abbreviations: AHI=apnoea hypopnoea index; DISE=drug induced sleep endoscopy; UAS=upper airway stimulation</w:t>
      </w:r>
    </w:p>
    <w:p w14:paraId="659B0D94" w14:textId="77777777" w:rsidR="00037D7D" w:rsidRDefault="00037D7D" w:rsidP="00037D7D">
      <w:pPr>
        <w:pStyle w:val="Tablenotes1"/>
        <w:rPr>
          <w:sz w:val="24"/>
        </w:rPr>
      </w:pPr>
      <w:r>
        <w:t xml:space="preserve">Source: </w:t>
      </w:r>
      <w:hyperlink r:id="rId12" w:history="1">
        <w:r>
          <w:rPr>
            <w:rStyle w:val="Hyperlink"/>
          </w:rPr>
          <w:t>Public Summary Document for application 1595, page 4</w:t>
        </w:r>
      </w:hyperlink>
    </w:p>
    <w:p w14:paraId="0864E194" w14:textId="77777777" w:rsidR="00037D7D" w:rsidRDefault="00037D7D" w:rsidP="00037D7D">
      <w:r>
        <w:t xml:space="preserve">ESC noted the consultation feedback received from organisations and individual clinicians. All submissions indicated support for public funding for patients who have few options left. However, several submissions expressed concern about leakage to a broader population.  </w:t>
      </w:r>
    </w:p>
    <w:p w14:paraId="212E9314" w14:textId="77777777" w:rsidR="00037D7D" w:rsidRDefault="00037D7D" w:rsidP="00037D7D">
      <w:r>
        <w:t xml:space="preserve">ESC noted that the applicant had included two proposed MBS item descriptors for a case conference for a duration of 10 minutes or more to be attended by at minimum an ENT surgeon and a sleep physician; however, the MBS has existing items that would cover the case conference, so these additional items were not required although the item descriptors </w:t>
      </w:r>
      <w:r w:rsidRPr="0091158D">
        <w:t>for UAS should specify the requirement for a case conference</w:t>
      </w:r>
      <w:r>
        <w:t xml:space="preserve"> as requested by PASC.</w:t>
      </w:r>
      <w:r w:rsidRPr="00D437B9">
        <w:t xml:space="preserve"> </w:t>
      </w:r>
      <w:r>
        <w:t xml:space="preserve">ESC also noted that other information requested by PASC was not included, including identification of the required expertise in the multidisciplinary team in an MBS explanatory note (although this was specified in the applicant’s pre-ESC response), and whether a reference to “assistance on operation” should be added. </w:t>
      </w:r>
    </w:p>
    <w:p w14:paraId="12CD3578" w14:textId="77777777" w:rsidR="00037D7D" w:rsidRDefault="00037D7D" w:rsidP="00037D7D">
      <w:r>
        <w:t xml:space="preserve">ESC noted that the ADAR did not update the item descriptor for the implantation procedure as requested by PASC to specify that patients “must have attempted all other appropriate interventions and be currently untreated” or to present the definition of Continuous Positive Airway Pressure (CPAP) failure or intolerance as agreed by PASC. </w:t>
      </w:r>
    </w:p>
    <w:p w14:paraId="6588EFD8" w14:textId="77777777" w:rsidR="00037D7D" w:rsidRDefault="00037D7D" w:rsidP="00037D7D">
      <w:r>
        <w:t xml:space="preserve">The applicant had also included new items for surgical repositioning or removal of the pulse generator, and battery replacement, as requested by MSAC.  ESC queried whether “once per </w:t>
      </w:r>
      <w:r>
        <w:lastRenderedPageBreak/>
        <w:t xml:space="preserve">lifetime” was appropriate to include in the surgical repositioning or removal of the UAS device item or for the replacement of the UAS device, as this may be required more than once during a lifetime, given that </w:t>
      </w:r>
      <w:r w:rsidRPr="00CF188E">
        <w:t xml:space="preserve">the minimum estimated longevity </w:t>
      </w:r>
      <w:r>
        <w:t xml:space="preserve">of the device </w:t>
      </w:r>
      <w:r w:rsidRPr="00CF188E">
        <w:t>from the STAR trial is 7 years</w:t>
      </w:r>
      <w:r>
        <w:t>. The applicant’s pre-ESC response stated that contemporary revision rates are around 1.5% in the 24 months following implantation. ESC confirmed that the procedure would be a same-day outpatient procedure, and that co-claiming restrictions should be in place for the proposed item for surgical placement of the UAS device and the proposed item for the repositioning or removal of the UAS device.</w:t>
      </w:r>
    </w:p>
    <w:p w14:paraId="51661499" w14:textId="77777777" w:rsidR="00037D7D" w:rsidRDefault="00037D7D" w:rsidP="00037D7D">
      <w:r>
        <w:t>ESC noted that the item descriptors for the three proposed surgical services do not include a surgical assistance component, and the item descriptor for the replacement of the device does not allow anaesthesia to be claimed with this service. The Department noted that the existing item descriptors for vagus nerve stimulation (MBS items 40701, 40702 and 40704, which the proposed items are based on) include the ability to claim the assistance and anaesthesia component. ESC requested that the applicant confirm whether surgical assistance and anaesthesia are required as part of the proposed surgical services and whether this has been included in the costs. ESC also noted that the proposed MBS fee for initial insertion does not align with the existing items for vagus nerve stimulation.</w:t>
      </w:r>
    </w:p>
    <w:p w14:paraId="54311755" w14:textId="77777777" w:rsidR="00037D7D" w:rsidRDefault="00037D7D" w:rsidP="00037D7D">
      <w:r>
        <w:t>ESC noted as per the Commentary that no item was proposed for repositioning or removal of the leads. ESC also noted as per the commentary that while no item has been proposed which aligns with item 40707 for electrical analysis and programming of the device, the Ratified PICO Confirmation specified that MBS item 105 could be claimed for programming of the device or for electrical analysis and programming of the device.</w:t>
      </w:r>
    </w:p>
    <w:p w14:paraId="7A590B57" w14:textId="77777777" w:rsidR="00037D7D" w:rsidRDefault="00037D7D" w:rsidP="00037D7D">
      <w:r>
        <w:t>ESC noted the proposed clinical management algorithm. Drug-induced sleep endoscopy (DISE) remained as a prior test in the resubmission, and ESC did not consider that the applicant had adequately addressed MSAC’s concerns about the use of DISE as a prior test.</w:t>
      </w:r>
      <w:r w:rsidRPr="003C7792">
        <w:t xml:space="preserve"> </w:t>
      </w:r>
      <w:r>
        <w:t>In particular, ESC noted that t</w:t>
      </w:r>
      <w:r w:rsidRPr="003C7792">
        <w:t xml:space="preserve">he ADAR </w:t>
      </w:r>
      <w:r>
        <w:t xml:space="preserve">did </w:t>
      </w:r>
      <w:r w:rsidRPr="003C7792">
        <w:t>not provide any additional information on the current and proposed role of DISE although it is included in the clinical algorithm</w:t>
      </w:r>
      <w:r>
        <w:t xml:space="preserve">. ESC also did not consider that the ADAR had addressed MSAC’s request to define a specific subpopulation </w:t>
      </w:r>
      <w:r w:rsidRPr="00463770">
        <w:t>who have failed all other medical management options where UAS therapy may be</w:t>
      </w:r>
      <w:r>
        <w:t xml:space="preserve"> appropriate. ESC also considered that the comparator was not clearly defined, although this has little impact on the clinical or economic evaluations. </w:t>
      </w:r>
    </w:p>
    <w:p w14:paraId="45150549" w14:textId="77777777" w:rsidR="00037D7D" w:rsidRDefault="00037D7D" w:rsidP="00037D7D">
      <w:r>
        <w:t>Overall, ESC considered that the evidence base was incomplete. ESC noted the various issues raised by the commentary about the literature review and clinical trial data. The literature review in the ADAR was conducted as a supplement to the review completed in 2019 (which the commentary to application 1595 had considered inadequate). None of the 12 new studies identified in the updated literature review had been integrated into the evidence synthesis for this resubmission. The commentary noted that most of the new studies identified by the applicant did not match the PICO criteria, and that multiple other studies were available that were not included in the literature review, were not listed in the excluded studies list, and which could provide additional relevant information. None of these studies had undergone a risk of bias assessment, but all were small, imprecise, manufacturer-sponsored and lacked sufficient follow-up data. In addition, the resubmission continued to rely on the STAR trial</w:t>
      </w:r>
      <w:r>
        <w:rPr>
          <w:rStyle w:val="FootnoteReference"/>
          <w:rFonts w:eastAsia="Times New Roman" w:cs="Arial"/>
          <w:snapToGrid w:val="0"/>
          <w:szCs w:val="20"/>
        </w:rPr>
        <w:footnoteReference w:id="16"/>
      </w:r>
      <w:r>
        <w:t xml:space="preserve"> as the primary source of clinical data. ESC noted that the STAR trial was considered to have a high risk of bias and had </w:t>
      </w:r>
      <w:r>
        <w:lastRenderedPageBreak/>
        <w:t>uncertain relevance to the PICO criteria. ESC also noted that two new trials mentioned in the PICO confirmation (EFFECT</w:t>
      </w:r>
      <w:r>
        <w:rPr>
          <w:rStyle w:val="FootnoteReference"/>
        </w:rPr>
        <w:footnoteReference w:id="17"/>
      </w:r>
      <w:r>
        <w:t xml:space="preserve"> and CARDIOSA-12) were not included in the resubmission. </w:t>
      </w:r>
    </w:p>
    <w:p w14:paraId="5278A4F3" w14:textId="77777777" w:rsidR="00037D7D" w:rsidRDefault="00037D7D" w:rsidP="00037D7D">
      <w:r>
        <w:t>ESC noted the data on comparative safety, and agreed with the commentary that this was incompletely reported, and that long-term follow-up data remain poorly reported in the literature in the sense that there has been a lack of such data. ESC noted that the procedure-related safety data show a low risk of complications in the short-term, but the ADAR did not consider the ongoing risk of complications from UAS as a permanently implanted device. In addition, the impact of UAS as an implanted device on the ability for a patient to undergo magnetic resonance imaging (MRI) may vary by device. ESC agreed with the commentary that the clinical claim of inferior safety was supported, but that the evidence was of very low quality with insufficient follow-up for a long-term implantable device.</w:t>
      </w:r>
    </w:p>
    <w:p w14:paraId="795CD989" w14:textId="77777777" w:rsidR="00037D7D" w:rsidRDefault="00037D7D" w:rsidP="00037D7D">
      <w:r>
        <w:t xml:space="preserve">ESC noted the data on comparative effectiveness, and agreed with the commentary that the newly included studies showed a change in apnoea hypopnoea index (AHI) of similar magnitude and direction to the STAR trial; however, the studies had a high risk of bias and uncertain relevance to the PICO. The change in oxygen desaturation index (ODI) was consistent and showed a statistically significant effect of UAS. The changes in Epworth Sleepiness Scale (ESS) and quality of life outcomes showed a significant effect for UAS, but studies were unblinded and had a high risk of bias. The commentary also noted that cardiovascular outcomes were requested in the PICO confirmation but had not been reported in the ADAR. Studies identified by the commentary showed no significant difference in cardiovascular endpoints following UAS. ESC agreed with the commentary that the clinical claim of superior effectiveness may be supported for surrogate outcomes (AHI, ODI, quality of life), but was not supported for cardiovascular outcomes based on blood pressure endpoints, and there is no evidence of superior effectiveness for long-term health outcomes. </w:t>
      </w:r>
    </w:p>
    <w:p w14:paraId="7A12661C" w14:textId="77777777" w:rsidR="00037D7D" w:rsidRDefault="00037D7D" w:rsidP="00037D7D">
      <w:r>
        <w:t xml:space="preserve">ESC noted as per the commentary that the section entitled ‘Extended assessment of harms’ in the ADAR was misnamed as most of the evidence presented was on effectiveness and it was not appropriate to present additional evidence into a separate section without integrating it into the assessment. </w:t>
      </w:r>
    </w:p>
    <w:p w14:paraId="2EE43E6D" w14:textId="77777777" w:rsidR="00037D7D" w:rsidRDefault="00037D7D" w:rsidP="00037D7D">
      <w:r>
        <w:t>ESC noted that the economic evaluation in the resubmission was a cost-utility analysis. The applicant had updated the economic model from the previous submission; the resubmission was based on a sponsor-funded published model by Pietzsch et al. (2019)</w:t>
      </w:r>
      <w:r>
        <w:rPr>
          <w:rStyle w:val="FootnoteReference"/>
        </w:rPr>
        <w:footnoteReference w:id="18"/>
      </w:r>
      <w:r>
        <w:t>.</w:t>
      </w:r>
      <w:r w:rsidRPr="00C33EEC">
        <w:t xml:space="preserve"> </w:t>
      </w:r>
      <w:r>
        <w:t>ESC noted that as per the commentary, a</w:t>
      </w:r>
      <w:r w:rsidRPr="00C33EEC">
        <w:t xml:space="preserve"> more complex model has been presented</w:t>
      </w:r>
      <w:r>
        <w:t xml:space="preserve"> in the ADAR but that this </w:t>
      </w:r>
      <w:r w:rsidRPr="00C33EEC">
        <w:t>does introduce further parameter uncertainty as most inputs are not taken from studies which directly relate to the specified PICO</w:t>
      </w:r>
      <w:r>
        <w:t>.</w:t>
      </w:r>
    </w:p>
    <w:p w14:paraId="053BB7FD" w14:textId="77777777" w:rsidR="00037D7D" w:rsidRDefault="00037D7D" w:rsidP="00037D7D">
      <w:r>
        <w:t xml:space="preserve">ESC noted that the economic evaluation used a five state Markov model.  ESC noted that the model used a surrogate outcome (changes in AHI) to drive changes in cardiovascular outcomes, but noted that clinical evidence for cardiovascular outcomes was lacking, and this favoured UAS. ESC noted that in the model, motor vehicle accidents (MVA) were included as events and UAS was assumed to </w:t>
      </w:r>
      <w:r w:rsidRPr="00D633DA">
        <w:t>r</w:t>
      </w:r>
      <w:r>
        <w:t>educe</w:t>
      </w:r>
      <w:r w:rsidRPr="00D633DA">
        <w:t xml:space="preserve"> </w:t>
      </w:r>
      <w:r>
        <w:t xml:space="preserve">MVA </w:t>
      </w:r>
      <w:r w:rsidRPr="00D633DA">
        <w:t xml:space="preserve">risk </w:t>
      </w:r>
      <w:r>
        <w:t xml:space="preserve">in the treated population </w:t>
      </w:r>
      <w:r w:rsidRPr="00D633DA">
        <w:t xml:space="preserve">to </w:t>
      </w:r>
      <w:r>
        <w:t xml:space="preserve">the level of the </w:t>
      </w:r>
      <w:r w:rsidRPr="00D633DA">
        <w:t xml:space="preserve">underlying population </w:t>
      </w:r>
      <w:r>
        <w:t xml:space="preserve">MVA </w:t>
      </w:r>
      <w:r w:rsidRPr="00D633DA">
        <w:t>risk</w:t>
      </w:r>
      <w:r>
        <w:t xml:space="preserve"> through reductions in ESS. ESC noted the robust evidence associating sleep apnoea with motor vehicle collisions. However, ESC considered that there is no UAS-specific </w:t>
      </w:r>
      <w:r>
        <w:lastRenderedPageBreak/>
        <w:t>evidence to support the model assumptions, which are uncertain and rely on inferring direct relationships from indirect evidence.</w:t>
      </w:r>
    </w:p>
    <w:p w14:paraId="5F0E16F6" w14:textId="77777777" w:rsidR="00037D7D" w:rsidRDefault="00037D7D" w:rsidP="00037D7D">
      <w:r>
        <w:t xml:space="preserve">ESC also noted that the model used a lifetime time horizon, which does not align with MSAC’s request to use a shorter time horizon (15 or 20 years) and favoured UAS. ESC noted the applicant’s pre-ESC response considered that a 15 year time horizon would be biased against UAS as it only allowed for an additional 4 years for use of the replaced device (assuming battery replacement every 11 years).  ESC noted that the model assumed that UAS would achieve the same utility value as CPAP, but queried whether this was appropriate, given the different mechanisms of action of UAS and CPAP; this also favoured UAS. ESC also noted that the “no treatment” arm had no change over a lifetime (i.e. it was assumed that the “no treatment arm” would experience no improvements in health outcomes over their lifetimes), but ESC did not consider this to be appropriate, as weight loss or other changes may improve AHI over time. ESC noted that the model results were driven by time and device cost. In particular, ESC noted that the base case ICER estimated was $47,662 per QALY. This rose to $63,899 per QALY if the time horizon was reduced from a lifetime to 15 years but fell to $35,867 per QALY (under a 15 year time horizon) if the cost of the device was aligned with vagal neurostimulation at $14,504 instead of the applicant proposed device cost of $30,480. ESC also noted that assuming no cardiovascular risk reduction under a 15 year time horizon increased the ICER to $81,210 per QALY. </w:t>
      </w:r>
    </w:p>
    <w:p w14:paraId="3A93C218" w14:textId="77777777" w:rsidR="00037D7D" w:rsidRDefault="00037D7D" w:rsidP="00037D7D">
      <w:r>
        <w:t xml:space="preserve">ESC noted the financial and budgetary impacts and in particular the commentary’s estimate of a total cost to the MBS over six years of $1,333,4688 based on uptake rates provided in the ADAR. Although an epidemiological approach was undertaken to estimate the eligible population, the financial implications used a market-based approach, as device access would be restricted due to limited access to centres providing the service and trained surgeons within those centres. ESC noted the equity issues relating to patient access, as centres would likely be limited to major metropolitan areas. The applicant estimated that each centre would treat 10 patients per year, but ESC noted that international data show an average of 20 patients treated per centre per year, so this may be an underestimate. ESC noted that there was a significant increase in post-implant costs to the MBS from year 5 to year 6 (from $21,588 to $123,081) due to lead revision and replacement costs. ESC noted the costs to the Prostheses List (PL) rose from $914,400 in year 1 to more than $6 million in year 6 if the device was listed at the proposed fee of $30,480. </w:t>
      </w:r>
    </w:p>
    <w:p w14:paraId="5189EDAE" w14:textId="77777777" w:rsidR="00037D7D" w:rsidRDefault="00037D7D" w:rsidP="00037D7D">
      <w:r>
        <w:t>ESC noted that out-of-pocket costs for patients were likely to be substantial if the device is not included on the PL. ESC considered the high risk of leakage to a broader population, noting that sleep apnoea is a highly prevalent condition, that failing or not tolerating CPAP is common (and the definition of “not tolerating” is poorly defined), and that general surgeons (not only ear, nose and throat specialists) can implant devices subcutaneously.</w:t>
      </w:r>
    </w:p>
    <w:p w14:paraId="3CB009F1" w14:textId="3ECA9ADE" w:rsidR="00BB67A5" w:rsidRDefault="00BB67A5" w:rsidP="00BB67A5">
      <w:pPr>
        <w:pStyle w:val="Heading2"/>
        <w:numPr>
          <w:ilvl w:val="0"/>
          <w:numId w:val="0"/>
        </w:numPr>
      </w:pPr>
      <w:r>
        <w:t>17.</w:t>
      </w:r>
      <w:r>
        <w:tab/>
        <w:t>Applicant comments on MSAC’s Public Summary Document</w:t>
      </w:r>
    </w:p>
    <w:p w14:paraId="594934F1" w14:textId="77777777" w:rsidR="00AF2C1D" w:rsidRPr="00B1029A" w:rsidRDefault="00AF2C1D" w:rsidP="00AF2C1D">
      <w:pPr>
        <w:spacing w:after="240"/>
        <w:rPr>
          <w:szCs w:val="24"/>
        </w:rPr>
      </w:pPr>
      <w:r w:rsidRPr="00B1029A">
        <w:rPr>
          <w:szCs w:val="24"/>
        </w:rPr>
        <w:t>The applicant did not offer a comment on the Public Summary Document.</w:t>
      </w:r>
    </w:p>
    <w:p w14:paraId="1AFC72DE" w14:textId="2313E8FD" w:rsidR="00BB67A5" w:rsidRPr="00CE28E3" w:rsidRDefault="00BB67A5" w:rsidP="00BB67A5">
      <w:pPr>
        <w:pStyle w:val="Heading2"/>
        <w:numPr>
          <w:ilvl w:val="0"/>
          <w:numId w:val="0"/>
        </w:numPr>
      </w:pPr>
      <w:r>
        <w:t>18.</w:t>
      </w:r>
      <w:r>
        <w:tab/>
        <w:t>Further information on MSAC</w:t>
      </w:r>
    </w:p>
    <w:p w14:paraId="01B2A9FA" w14:textId="5313028F" w:rsidR="00772829" w:rsidRPr="00530AA7" w:rsidRDefault="00BB67A5" w:rsidP="00530AA7">
      <w:pPr>
        <w:pStyle w:val="BodyText"/>
        <w:rPr>
          <w:rFonts w:ascii="Franklin Gothic Book" w:hAnsi="Franklin Gothic Book" w:cstheme="minorBidi"/>
          <w:b w:val="0"/>
          <w:bCs/>
          <w:i w:val="0"/>
          <w:iCs/>
          <w:sz w:val="22"/>
        </w:rPr>
      </w:pPr>
      <w:r w:rsidRPr="00F309FA">
        <w:rPr>
          <w:rFonts w:ascii="Franklin Gothic Book" w:hAnsi="Franklin Gothic Book"/>
          <w:b w:val="0"/>
          <w:bCs/>
          <w:i w:val="0"/>
          <w:iCs/>
          <w:sz w:val="22"/>
        </w:rPr>
        <w:t xml:space="preserve">MSAC Terms of Reference and other information are available on the MSAC Website: </w:t>
      </w:r>
      <w:hyperlink r:id="rId13" w:tooltip="Link to the MSAC website" w:history="1">
        <w:r w:rsidRPr="00F309FA">
          <w:rPr>
            <w:rStyle w:val="Hyperlink"/>
            <w:rFonts w:ascii="Franklin Gothic Book" w:hAnsi="Franklin Gothic Book"/>
            <w:b w:val="0"/>
            <w:bCs/>
            <w:i w:val="0"/>
            <w:iCs/>
            <w:sz w:val="22"/>
          </w:rPr>
          <w:t>visit the MSAC website</w:t>
        </w:r>
      </w:hyperlink>
    </w:p>
    <w:sectPr w:rsidR="00772829" w:rsidRPr="00530AA7" w:rsidSect="00784341">
      <w:footerReference w:type="even" r:id="rId14"/>
      <w:footerReference w:type="default" r:id="rId15"/>
      <w:type w:val="oddPag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6C4F" w14:textId="77777777" w:rsidR="002D752D" w:rsidRDefault="002D752D" w:rsidP="00B62DF2">
      <w:pPr>
        <w:spacing w:after="0" w:line="240" w:lineRule="auto"/>
      </w:pPr>
      <w:r>
        <w:separator/>
      </w:r>
    </w:p>
  </w:endnote>
  <w:endnote w:type="continuationSeparator" w:id="0">
    <w:p w14:paraId="6BE21DB0" w14:textId="77777777" w:rsidR="002D752D" w:rsidRDefault="002D752D" w:rsidP="00B62DF2">
      <w:pPr>
        <w:spacing w:after="0" w:line="240" w:lineRule="auto"/>
      </w:pPr>
      <w:r>
        <w:continuationSeparator/>
      </w:r>
    </w:p>
  </w:endnote>
  <w:endnote w:type="continuationNotice" w:id="1">
    <w:p w14:paraId="12959540" w14:textId="77777777" w:rsidR="002D752D" w:rsidRDefault="002D752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D499" w14:textId="51804300" w:rsidR="005947B5" w:rsidRDefault="00FB7902" w:rsidP="00DB03E9">
    <w:pPr>
      <w:pStyle w:val="Footer"/>
      <w:spacing w:before="0"/>
      <w:jc w:val="right"/>
    </w:pPr>
    <w:r>
      <w:fldChar w:fldCharType="begin"/>
    </w:r>
    <w:r>
      <w:instrText xml:space="preserve"> PAGE   \* MERGEFORMAT </w:instrText>
    </w:r>
    <w:r>
      <w:fldChar w:fldCharType="separate"/>
    </w:r>
    <w: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4847"/>
      <w:docPartObj>
        <w:docPartGallery w:val="Page Numbers (Bottom of Page)"/>
        <w:docPartUnique/>
      </w:docPartObj>
    </w:sdtPr>
    <w:sdtEndPr>
      <w:rPr>
        <w:noProof/>
      </w:rPr>
    </w:sdtEndPr>
    <w:sdtContent>
      <w:p w14:paraId="6BE9385A" w14:textId="518AE2FD" w:rsidR="005947B5" w:rsidRDefault="005947B5" w:rsidP="00052DD3">
        <w:pPr>
          <w:pStyle w:val="Footer"/>
          <w:jc w:val="right"/>
        </w:pPr>
        <w:r>
          <w:fldChar w:fldCharType="begin"/>
        </w:r>
        <w:r>
          <w:instrText xml:space="preserve"> PAGE   \* MERGEFORMAT </w:instrText>
        </w:r>
        <w:r>
          <w:fldChar w:fldCharType="separate"/>
        </w:r>
        <w:r w:rsidR="00120BD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BD632" w14:textId="77777777" w:rsidR="002D752D" w:rsidRDefault="002D752D" w:rsidP="00B62DF2">
      <w:pPr>
        <w:spacing w:after="0" w:line="240" w:lineRule="auto"/>
      </w:pPr>
      <w:r>
        <w:separator/>
      </w:r>
    </w:p>
  </w:footnote>
  <w:footnote w:type="continuationSeparator" w:id="0">
    <w:p w14:paraId="7EC3948D" w14:textId="77777777" w:rsidR="002D752D" w:rsidRDefault="002D752D" w:rsidP="00B62DF2">
      <w:pPr>
        <w:spacing w:after="0" w:line="240" w:lineRule="auto"/>
      </w:pPr>
      <w:r>
        <w:continuationSeparator/>
      </w:r>
    </w:p>
  </w:footnote>
  <w:footnote w:type="continuationNotice" w:id="1">
    <w:p w14:paraId="61364195" w14:textId="77777777" w:rsidR="002D752D" w:rsidRDefault="002D752D">
      <w:pPr>
        <w:spacing w:before="0" w:after="0" w:line="240" w:lineRule="auto"/>
      </w:pPr>
    </w:p>
  </w:footnote>
  <w:footnote w:id="2">
    <w:p w14:paraId="62B57F4B" w14:textId="5101C9F8" w:rsidR="003A4396" w:rsidRDefault="003A4396">
      <w:pPr>
        <w:pStyle w:val="FootnoteText"/>
      </w:pPr>
      <w:r>
        <w:rPr>
          <w:rStyle w:val="FootnoteReference"/>
        </w:rPr>
        <w:footnoteRef/>
      </w:r>
      <w:r>
        <w:t xml:space="preserve"> Single arm: </w:t>
      </w:r>
      <w:r w:rsidRPr="003A4396">
        <w:t>Strollo Jr PJ, et al.</w:t>
      </w:r>
      <w:r w:rsidR="00A91FE1">
        <w:t xml:space="preserve"> (2014). </w:t>
      </w:r>
      <w:r w:rsidRPr="003A4396">
        <w:t xml:space="preserve"> </w:t>
      </w:r>
      <w:r w:rsidR="00A91FE1">
        <w:t>‘</w:t>
      </w:r>
      <w:r w:rsidRPr="003A4396">
        <w:t xml:space="preserve">Upper-airway stimulation for obstructive sleep </w:t>
      </w:r>
      <w:r w:rsidR="00E50EAC">
        <w:t>Apnoea</w:t>
      </w:r>
      <w:r w:rsidR="00A91FE1">
        <w:t xml:space="preserve">’, </w:t>
      </w:r>
      <w:r w:rsidRPr="00E11642">
        <w:rPr>
          <w:i/>
          <w:iCs/>
        </w:rPr>
        <w:t>New England Journal of Medicine</w:t>
      </w:r>
      <w:r w:rsidR="00A91FE1">
        <w:rPr>
          <w:i/>
          <w:iCs/>
        </w:rPr>
        <w:t xml:space="preserve">, </w:t>
      </w:r>
      <w:r w:rsidRPr="003A4396">
        <w:t>370(2):139-49.</w:t>
      </w:r>
    </w:p>
    <w:p w14:paraId="18506FFC" w14:textId="53544CEA" w:rsidR="003A4396" w:rsidRDefault="003A4396">
      <w:pPr>
        <w:pStyle w:val="FootnoteText"/>
      </w:pPr>
      <w:r>
        <w:rPr>
          <w:rFonts w:ascii="Franklin Gothic Book" w:hAnsi="Franklin Gothic Book"/>
        </w:rPr>
        <w:t xml:space="preserve">Randomised sub-study: </w:t>
      </w:r>
      <w:r w:rsidRPr="00F14E15">
        <w:rPr>
          <w:rFonts w:ascii="Franklin Gothic Book" w:hAnsi="Franklin Gothic Book"/>
        </w:rPr>
        <w:t>Woodson B et al.</w:t>
      </w:r>
      <w:r w:rsidR="00A91FE1">
        <w:rPr>
          <w:rFonts w:ascii="Franklin Gothic Book" w:hAnsi="Franklin Gothic Book"/>
        </w:rPr>
        <w:t xml:space="preserve"> (2014).</w:t>
      </w:r>
      <w:r w:rsidRPr="00F14E15">
        <w:rPr>
          <w:rFonts w:ascii="Franklin Gothic Book" w:hAnsi="Franklin Gothic Book"/>
        </w:rPr>
        <w:t xml:space="preserve"> </w:t>
      </w:r>
      <w:r w:rsidR="00A91FE1">
        <w:rPr>
          <w:rFonts w:ascii="Franklin Gothic Book" w:hAnsi="Franklin Gothic Book"/>
        </w:rPr>
        <w:t>‘</w:t>
      </w:r>
      <w:r w:rsidRPr="00F14E15">
        <w:rPr>
          <w:rFonts w:ascii="Franklin Gothic Book" w:hAnsi="Franklin Gothic Book"/>
        </w:rPr>
        <w:t>Randomized controlled withdrawal study of upper airway stimulation on OSA: short- and long-term effect</w:t>
      </w:r>
      <w:r w:rsidR="00A91FE1">
        <w:rPr>
          <w:rFonts w:ascii="Franklin Gothic Book" w:hAnsi="Franklin Gothic Book"/>
        </w:rPr>
        <w:t xml:space="preserve">’, </w:t>
      </w:r>
      <w:r w:rsidRPr="00E11642">
        <w:rPr>
          <w:rFonts w:ascii="Franklin Gothic Book" w:hAnsi="Franklin Gothic Book"/>
          <w:i/>
          <w:iCs/>
        </w:rPr>
        <w:t>Otolaryngology--head and neck surgery</w:t>
      </w:r>
      <w:r w:rsidR="00A91FE1">
        <w:rPr>
          <w:rFonts w:ascii="Franklin Gothic Book" w:hAnsi="Franklin Gothic Book"/>
        </w:rPr>
        <w:t xml:space="preserve">, </w:t>
      </w:r>
      <w:r w:rsidRPr="00F14E15">
        <w:rPr>
          <w:rFonts w:ascii="Franklin Gothic Book" w:hAnsi="Franklin Gothic Book"/>
        </w:rPr>
        <w:t xml:space="preserve"> 151(5):880</w:t>
      </w:r>
      <w:r w:rsidRPr="00F14E15">
        <w:rPr>
          <w:rFonts w:ascii="Cambria Math" w:hAnsi="Cambria Math" w:cs="Cambria Math"/>
        </w:rPr>
        <w:t>‐</w:t>
      </w:r>
      <w:r w:rsidRPr="00F14E15">
        <w:rPr>
          <w:rFonts w:ascii="Franklin Gothic Book" w:hAnsi="Franklin Gothic Book"/>
        </w:rPr>
        <w:t>7.</w:t>
      </w:r>
    </w:p>
  </w:footnote>
  <w:footnote w:id="3">
    <w:p w14:paraId="3540ABBD" w14:textId="0550ADF9" w:rsidR="003A4396" w:rsidRDefault="003A4396">
      <w:pPr>
        <w:pStyle w:val="FootnoteText"/>
      </w:pPr>
      <w:r>
        <w:rPr>
          <w:rStyle w:val="FootnoteReference"/>
        </w:rPr>
        <w:footnoteRef/>
      </w:r>
      <w:r>
        <w:t xml:space="preserve"> </w:t>
      </w:r>
      <w:r w:rsidRPr="003A4396">
        <w:t xml:space="preserve">Mehra R, et al. </w:t>
      </w:r>
      <w:r w:rsidR="000B4E57">
        <w:t>(2020). ‘</w:t>
      </w:r>
      <w:r w:rsidRPr="003A4396">
        <w:t xml:space="preserve">Upper airway stimulation versus untreated comparators in positive airway pressure treatment-refractory obstructive sleep </w:t>
      </w:r>
      <w:r w:rsidR="00E50EAC">
        <w:t>Apnoea</w:t>
      </w:r>
      <w:r w:rsidR="000B4E57">
        <w:t xml:space="preserve">’, </w:t>
      </w:r>
      <w:r w:rsidRPr="00E11642">
        <w:rPr>
          <w:i/>
          <w:iCs/>
        </w:rPr>
        <w:t>Annals of the American Thoracic Society</w:t>
      </w:r>
      <w:r w:rsidR="000B4E57">
        <w:t>,.</w:t>
      </w:r>
      <w:r w:rsidR="000B4E57" w:rsidRPr="003A4396" w:rsidDel="000B4E57">
        <w:t xml:space="preserve"> </w:t>
      </w:r>
      <w:r w:rsidRPr="003A4396">
        <w:t>17(12):1610-9.</w:t>
      </w:r>
    </w:p>
  </w:footnote>
  <w:footnote w:id="4">
    <w:p w14:paraId="0BF1A0BF" w14:textId="6444AD0F" w:rsidR="003A4396" w:rsidRDefault="003A4396">
      <w:pPr>
        <w:pStyle w:val="FootnoteText"/>
      </w:pPr>
      <w:r>
        <w:rPr>
          <w:rStyle w:val="FootnoteReference"/>
        </w:rPr>
        <w:footnoteRef/>
      </w:r>
      <w:r>
        <w:t xml:space="preserve"> </w:t>
      </w:r>
      <w:r w:rsidRPr="003A4396">
        <w:t>Heiser C, et al.</w:t>
      </w:r>
      <w:r w:rsidR="000B4E57">
        <w:t xml:space="preserve"> (2021). </w:t>
      </w:r>
      <w:r w:rsidRPr="003A4396">
        <w:t xml:space="preserve"> </w:t>
      </w:r>
      <w:r w:rsidR="000B4E57">
        <w:t>‘</w:t>
      </w:r>
      <w:r w:rsidRPr="003A4396">
        <w:t xml:space="preserve">Effect of upper airway stimulation in patients with obstructive sleep </w:t>
      </w:r>
      <w:r w:rsidR="00E50EAC">
        <w:t>Apnoea</w:t>
      </w:r>
      <w:r w:rsidRPr="003A4396">
        <w:t xml:space="preserve"> (Effect): a randomized controlled crossover trial</w:t>
      </w:r>
      <w:r w:rsidR="000B4E57">
        <w:t xml:space="preserve">’, </w:t>
      </w:r>
      <w:r w:rsidRPr="00E11642">
        <w:rPr>
          <w:i/>
          <w:iCs/>
        </w:rPr>
        <w:t>Journal of clinical medicine</w:t>
      </w:r>
      <w:r w:rsidR="000B4E57">
        <w:t xml:space="preserve">, </w:t>
      </w:r>
      <w:r w:rsidRPr="003A4396">
        <w:t xml:space="preserve"> 10(13)</w:t>
      </w:r>
      <w:r w:rsidR="000B4E57">
        <w:t>: 2880</w:t>
      </w:r>
      <w:r w:rsidRPr="003A4396">
        <w:t>.</w:t>
      </w:r>
    </w:p>
  </w:footnote>
  <w:footnote w:id="5">
    <w:p w14:paraId="5CDB00AC" w14:textId="1C8422D3" w:rsidR="00E50EAC" w:rsidRDefault="00E50EAC">
      <w:pPr>
        <w:pStyle w:val="FootnoteText"/>
      </w:pPr>
      <w:r>
        <w:rPr>
          <w:rStyle w:val="FootnoteReference"/>
        </w:rPr>
        <w:footnoteRef/>
      </w:r>
      <w:r>
        <w:t xml:space="preserve"> </w:t>
      </w:r>
      <w:r w:rsidRPr="00E50EAC">
        <w:t xml:space="preserve">Thaler E, et al. </w:t>
      </w:r>
      <w:r w:rsidR="00623F5D">
        <w:t xml:space="preserve"> (2019). ‘</w:t>
      </w:r>
      <w:r w:rsidRPr="00E50EAC">
        <w:t>Results of the ADHERE upper airway stimulation registry and predictors of therapy efficacy</w:t>
      </w:r>
      <w:r w:rsidR="00623F5D">
        <w:t>’,</w:t>
      </w:r>
      <w:r w:rsidRPr="00E50EAC">
        <w:t xml:space="preserve"> </w:t>
      </w:r>
      <w:r w:rsidRPr="00E11642">
        <w:rPr>
          <w:i/>
          <w:iCs/>
        </w:rPr>
        <w:t>Laryngoscope</w:t>
      </w:r>
      <w:r w:rsidR="00623F5D">
        <w:rPr>
          <w:i/>
          <w:iCs/>
        </w:rPr>
        <w:t xml:space="preserve">, </w:t>
      </w:r>
      <w:r w:rsidR="00623F5D">
        <w:rPr>
          <w:rFonts w:ascii="Segoe UI" w:hAnsi="Segoe UI" w:cs="Segoe UI"/>
          <w:color w:val="212121"/>
          <w:shd w:val="clear" w:color="auto" w:fill="FFFFFF"/>
        </w:rPr>
        <w:t>130(5):1333-1338</w:t>
      </w:r>
      <w:r w:rsidRPr="00E50EAC">
        <w:t>.</w:t>
      </w:r>
    </w:p>
    <w:p w14:paraId="549FA504" w14:textId="04778E8F" w:rsidR="00E50EAC" w:rsidRDefault="00E50EAC">
      <w:pPr>
        <w:pStyle w:val="FootnoteText"/>
      </w:pPr>
      <w:r w:rsidRPr="00E50EAC">
        <w:t>Suurna MV, et al.</w:t>
      </w:r>
      <w:r w:rsidR="00623F5D">
        <w:t xml:space="preserve"> (2021)</w:t>
      </w:r>
      <w:r w:rsidRPr="00E50EAC">
        <w:t xml:space="preserve"> </w:t>
      </w:r>
      <w:r w:rsidR="00623F5D">
        <w:t>‘</w:t>
      </w:r>
      <w:r w:rsidRPr="00E50EAC">
        <w:t>Impact of Body Mass Index and Discomfort on Upper Airway Stimulation: ADHERE Registry 2020 Update</w:t>
      </w:r>
      <w:r w:rsidR="00623F5D">
        <w:t xml:space="preserve">’, </w:t>
      </w:r>
      <w:r w:rsidRPr="00E11642">
        <w:rPr>
          <w:i/>
          <w:iCs/>
        </w:rPr>
        <w:t>Laryngoscope</w:t>
      </w:r>
      <w:r w:rsidR="00623F5D">
        <w:t xml:space="preserve">, </w:t>
      </w:r>
      <w:r w:rsidRPr="00E50EAC">
        <w:t>131(11):2616-24.</w:t>
      </w:r>
    </w:p>
  </w:footnote>
  <w:footnote w:id="6">
    <w:p w14:paraId="53F4BC1A" w14:textId="7235ED6D" w:rsidR="00DF6731" w:rsidRDefault="00DF6731">
      <w:pPr>
        <w:pStyle w:val="FootnoteText"/>
      </w:pPr>
      <w:r>
        <w:rPr>
          <w:rStyle w:val="FootnoteReference"/>
        </w:rPr>
        <w:footnoteRef/>
      </w:r>
      <w:r>
        <w:t xml:space="preserve"> </w:t>
      </w:r>
      <w:r w:rsidRPr="00DF6731">
        <w:t>Steffen A,</w:t>
      </w:r>
      <w:r w:rsidR="00623F5D">
        <w:t xml:space="preserve"> et al. (2020). </w:t>
      </w:r>
      <w:r w:rsidRPr="00DF6731">
        <w:t xml:space="preserve"> </w:t>
      </w:r>
      <w:r w:rsidR="00623F5D">
        <w:t>‘</w:t>
      </w:r>
      <w:r w:rsidRPr="00DF6731">
        <w:t>Long-term follow-up of the German post-market study for upper airway stimulation for obstructive sleep apnea</w:t>
      </w:r>
      <w:r w:rsidR="00623F5D">
        <w:t xml:space="preserve">’, </w:t>
      </w:r>
      <w:r w:rsidRPr="00E11642">
        <w:rPr>
          <w:i/>
          <w:iCs/>
        </w:rPr>
        <w:t>Sleep and Breathing</w:t>
      </w:r>
      <w:r w:rsidR="00623F5D">
        <w:t xml:space="preserve">, </w:t>
      </w:r>
      <w:r w:rsidRPr="00DF6731">
        <w:t>24(3):979-84.</w:t>
      </w:r>
    </w:p>
  </w:footnote>
  <w:footnote w:id="7">
    <w:p w14:paraId="4A95FC6A" w14:textId="498878A7" w:rsidR="00DF6731" w:rsidRDefault="00DF6731">
      <w:pPr>
        <w:pStyle w:val="FootnoteText"/>
      </w:pPr>
      <w:r>
        <w:rPr>
          <w:rStyle w:val="FootnoteReference"/>
        </w:rPr>
        <w:footnoteRef/>
      </w:r>
      <w:r>
        <w:t xml:space="preserve"> </w:t>
      </w:r>
      <w:r w:rsidRPr="00DF6731">
        <w:t xml:space="preserve">Lorenz F. J., &amp; Goyal N. (2022). </w:t>
      </w:r>
      <w:r w:rsidR="00C97812">
        <w:t>‘</w:t>
      </w:r>
      <w:r w:rsidRPr="00DF6731">
        <w:t>Iatrogenic Pneumothorax During Hypoglossal Nerve Stimulator Implantation: A Large Database Analysis [Article in Press]</w:t>
      </w:r>
      <w:r w:rsidR="00C97812">
        <w:t xml:space="preserve">’, </w:t>
      </w:r>
      <w:r w:rsidRPr="00E11642">
        <w:rPr>
          <w:i/>
          <w:iCs/>
        </w:rPr>
        <w:t xml:space="preserve">Otolaryngology - Head and Neck Surgery </w:t>
      </w:r>
      <w:r w:rsidRPr="00DF6731">
        <w:t>(United States).</w:t>
      </w:r>
    </w:p>
  </w:footnote>
  <w:footnote w:id="8">
    <w:p w14:paraId="5B97CBB8" w14:textId="3B411117" w:rsidR="00DF6731" w:rsidRDefault="00DF6731">
      <w:pPr>
        <w:pStyle w:val="FootnoteText"/>
      </w:pPr>
      <w:r>
        <w:rPr>
          <w:rStyle w:val="FootnoteReference"/>
        </w:rPr>
        <w:footnoteRef/>
      </w:r>
      <w:r>
        <w:t xml:space="preserve"> </w:t>
      </w:r>
      <w:r w:rsidRPr="00DF6731">
        <w:t xml:space="preserve">Walia H. </w:t>
      </w:r>
      <w:r w:rsidR="00C50AEE">
        <w:t xml:space="preserve"> et al. </w:t>
      </w:r>
      <w:r w:rsidRPr="00DF6731">
        <w:t xml:space="preserve">(2020). </w:t>
      </w:r>
      <w:r w:rsidR="00C50AEE">
        <w:t>‘</w:t>
      </w:r>
      <w:r w:rsidRPr="00DF6731">
        <w:t>Upper Airway Stimulation vs Positive Airway Pressure Impact on BP and Sleepiness Symptoms in OSA</w:t>
      </w:r>
      <w:r w:rsidR="00C50AEE">
        <w:t xml:space="preserve">’, </w:t>
      </w:r>
      <w:r w:rsidRPr="00E11642">
        <w:rPr>
          <w:i/>
          <w:iCs/>
        </w:rPr>
        <w:t>Chest</w:t>
      </w:r>
      <w:r w:rsidRPr="00DF6731">
        <w:t>, 157(1)</w:t>
      </w:r>
      <w:r w:rsidR="00C50AEE">
        <w:t xml:space="preserve">: </w:t>
      </w:r>
      <w:r w:rsidRPr="00DF6731">
        <w:t>173-183.</w:t>
      </w:r>
    </w:p>
  </w:footnote>
  <w:footnote w:id="9">
    <w:p w14:paraId="5582B2A4" w14:textId="602CF35E" w:rsidR="003B1F86" w:rsidRDefault="003B1F86">
      <w:pPr>
        <w:pStyle w:val="FootnoteText"/>
      </w:pPr>
      <w:r>
        <w:rPr>
          <w:rStyle w:val="FootnoteReference"/>
        </w:rPr>
        <w:footnoteRef/>
      </w:r>
      <w:r>
        <w:t xml:space="preserve"> </w:t>
      </w:r>
      <w:r w:rsidRPr="003B1F86">
        <w:t>Akshay Tangutur, Everett Seay, Maurits Boon, Colin Huntley, Erica Thaler, Raj Dedhia, 0785 Cardiovascular Outcomes For Obstructive Sleep Apnea With HGNS Therapy, Sleep, Volume 45, Issue Supplement_1, June 2022, Page A341, https://doi.org/10.1093/sleep/zsac079.781</w:t>
      </w:r>
    </w:p>
  </w:footnote>
  <w:footnote w:id="10">
    <w:p w14:paraId="66DB4699" w14:textId="5E85E9A8" w:rsidR="004B3F3D" w:rsidRDefault="004B3F3D">
      <w:pPr>
        <w:pStyle w:val="FootnoteText"/>
      </w:pPr>
      <w:r>
        <w:rPr>
          <w:rStyle w:val="FootnoteReference"/>
        </w:rPr>
        <w:footnoteRef/>
      </w:r>
      <w:r>
        <w:t xml:space="preserve"> </w:t>
      </w:r>
      <w:r w:rsidRPr="00F14E15">
        <w:rPr>
          <w:rFonts w:ascii="Franklin Gothic Book" w:hAnsi="Franklin Gothic Book"/>
        </w:rPr>
        <w:t>Pietzsch JB</w:t>
      </w:r>
      <w:r w:rsidR="00B838F1">
        <w:rPr>
          <w:rFonts w:ascii="Franklin Gothic Book" w:hAnsi="Franklin Gothic Book"/>
        </w:rPr>
        <w:t>,</w:t>
      </w:r>
      <w:r w:rsidRPr="00F14E15">
        <w:rPr>
          <w:rFonts w:ascii="Franklin Gothic Book" w:hAnsi="Franklin Gothic Book"/>
        </w:rPr>
        <w:t xml:space="preserve"> et al. Clinical and economic benefits of upper airway stimulation for obstructive sleep apnea in a European setting. Respiration. 2019;98(1):38-47</w:t>
      </w:r>
    </w:p>
  </w:footnote>
  <w:footnote w:id="11">
    <w:p w14:paraId="066A9E54" w14:textId="0BBA3145" w:rsidR="004B3F3D" w:rsidRDefault="004B3F3D">
      <w:pPr>
        <w:pStyle w:val="FootnoteText"/>
      </w:pPr>
      <w:r>
        <w:rPr>
          <w:rStyle w:val="FootnoteReference"/>
        </w:rPr>
        <w:footnoteRef/>
      </w:r>
      <w:r>
        <w:t xml:space="preserve"> </w:t>
      </w:r>
      <w:r w:rsidRPr="004B3F3D">
        <w:t>Pietzsch JB</w:t>
      </w:r>
      <w:r w:rsidR="00B838F1">
        <w:t>, et al.</w:t>
      </w:r>
      <w:r w:rsidRPr="004B3F3D">
        <w:t xml:space="preserve"> An integrated health-economic analysis of diagnostic and therapeutic strategies in the treatment of moderate-to-severe obstructive sleep apnea. SLEEP 2011;34(6):695-709</w:t>
      </w:r>
    </w:p>
  </w:footnote>
  <w:footnote w:id="12">
    <w:p w14:paraId="284A0AA4" w14:textId="16EF9177" w:rsidR="004B3F3D" w:rsidRDefault="004B3F3D">
      <w:pPr>
        <w:pStyle w:val="FootnoteText"/>
      </w:pPr>
      <w:r>
        <w:rPr>
          <w:rStyle w:val="FootnoteReference"/>
        </w:rPr>
        <w:footnoteRef/>
      </w:r>
      <w:r>
        <w:t xml:space="preserve"> </w:t>
      </w:r>
      <w:r w:rsidRPr="004B3F3D">
        <w:t>Pietzsch JB,</w:t>
      </w:r>
      <w:r w:rsidR="00B838F1">
        <w:t xml:space="preserve"> et al </w:t>
      </w:r>
      <w:r w:rsidRPr="004B3F3D">
        <w:t>. Long-term cost-effectiveness of upper airway stimulation for the treatment of obstructive sleep apnea: a model-based projection based on the STAR trial. Sleep. 2015;38(5):735-44</w:t>
      </w:r>
    </w:p>
  </w:footnote>
  <w:footnote w:id="13">
    <w:p w14:paraId="7AD5AB3C" w14:textId="69DF86A8" w:rsidR="00D27DB5" w:rsidRDefault="00D27DB5">
      <w:pPr>
        <w:pStyle w:val="FootnoteText"/>
      </w:pPr>
      <w:r>
        <w:rPr>
          <w:rStyle w:val="FootnoteReference"/>
        </w:rPr>
        <w:footnoteRef/>
      </w:r>
      <w:r>
        <w:t xml:space="preserve"> </w:t>
      </w:r>
      <w:r w:rsidR="00A20130" w:rsidRPr="00A20130">
        <w:t xml:space="preserve">Yaggi HK, </w:t>
      </w:r>
      <w:r w:rsidR="00A20130">
        <w:t xml:space="preserve">et al. </w:t>
      </w:r>
      <w:r w:rsidR="00871ED8">
        <w:t>(2005). ‘</w:t>
      </w:r>
      <w:r w:rsidR="00A20130" w:rsidRPr="00A20130">
        <w:t>Obstructive sleep apnea as a risk factor for stroke and death</w:t>
      </w:r>
      <w:r w:rsidR="00871ED8">
        <w:t xml:space="preserve">’, </w:t>
      </w:r>
      <w:r w:rsidR="00A20130" w:rsidRPr="00E11642">
        <w:rPr>
          <w:i/>
          <w:iCs/>
        </w:rPr>
        <w:t>N Engl J Med</w:t>
      </w:r>
      <w:r w:rsidR="00871ED8">
        <w:rPr>
          <w:i/>
          <w:iCs/>
        </w:rPr>
        <w:t xml:space="preserve">, </w:t>
      </w:r>
      <w:r w:rsidR="00A20130" w:rsidRPr="00A20130">
        <w:t xml:space="preserve">353(19):2034-41. </w:t>
      </w:r>
    </w:p>
  </w:footnote>
  <w:footnote w:id="14">
    <w:p w14:paraId="389039EA" w14:textId="4B2318C7" w:rsidR="00A20130" w:rsidRDefault="00A20130">
      <w:pPr>
        <w:pStyle w:val="FootnoteText"/>
      </w:pPr>
      <w:r>
        <w:rPr>
          <w:rStyle w:val="FootnoteReference"/>
        </w:rPr>
        <w:footnoteRef/>
      </w:r>
      <w:r>
        <w:t xml:space="preserve"> </w:t>
      </w:r>
      <w:r w:rsidR="00AB0FAC" w:rsidRPr="00AB0FAC">
        <w:t>Buchner NJ,</w:t>
      </w:r>
      <w:r w:rsidR="00AB0FAC">
        <w:t xml:space="preserve"> et al</w:t>
      </w:r>
      <w:r w:rsidR="00AB0FAC" w:rsidRPr="00AB0FAC">
        <w:t xml:space="preserve">. </w:t>
      </w:r>
      <w:r w:rsidR="00871ED8">
        <w:t>(2007). ‘</w:t>
      </w:r>
      <w:r w:rsidR="00AB0FAC" w:rsidRPr="00AB0FAC">
        <w:t>Continuous positive airway pressure treatment of mild to moderate obstructive sleep apnea reduces cardiovascular risk</w:t>
      </w:r>
      <w:r w:rsidR="00871ED8">
        <w:t xml:space="preserve">’, </w:t>
      </w:r>
      <w:r w:rsidR="00AB0FAC" w:rsidRPr="00E11642">
        <w:rPr>
          <w:i/>
          <w:iCs/>
        </w:rPr>
        <w:t>Am J Respir Crit Care Med</w:t>
      </w:r>
      <w:r w:rsidR="00871ED8">
        <w:rPr>
          <w:i/>
          <w:iCs/>
        </w:rPr>
        <w:t xml:space="preserve">, </w:t>
      </w:r>
      <w:r w:rsidR="00AB0FAC" w:rsidRPr="00AB0FAC">
        <w:t>176(12):1274-80.</w:t>
      </w:r>
    </w:p>
  </w:footnote>
  <w:footnote w:id="15">
    <w:p w14:paraId="0F63939F" w14:textId="4A51B33C" w:rsidR="005F2D09" w:rsidRDefault="005F2D09">
      <w:pPr>
        <w:pStyle w:val="FootnoteText"/>
      </w:pPr>
      <w:r>
        <w:rPr>
          <w:rStyle w:val="FootnoteReference"/>
        </w:rPr>
        <w:footnoteRef/>
      </w:r>
      <w:r>
        <w:t xml:space="preserve"> </w:t>
      </w:r>
      <w:r w:rsidRPr="005F2D09">
        <w:t xml:space="preserve">Young T, </w:t>
      </w:r>
      <w:r>
        <w:t xml:space="preserve"> et al.</w:t>
      </w:r>
      <w:r w:rsidR="00871ED8">
        <w:t xml:space="preserve"> (2008). ‘</w:t>
      </w:r>
      <w:r>
        <w:t xml:space="preserve"> </w:t>
      </w:r>
      <w:r w:rsidRPr="005F2D09">
        <w:t>Sleep disordered breathing and mortality: eighteen-year follow-up of the Wisconsin sleep cohort</w:t>
      </w:r>
      <w:r w:rsidR="00871ED8">
        <w:t xml:space="preserve">’, </w:t>
      </w:r>
      <w:r w:rsidRPr="00E11642">
        <w:rPr>
          <w:i/>
          <w:iCs/>
        </w:rPr>
        <w:t>Sleep</w:t>
      </w:r>
      <w:r w:rsidR="00871ED8">
        <w:t xml:space="preserve">, </w:t>
      </w:r>
      <w:r w:rsidRPr="005F2D09">
        <w:t>31(8):1071-8.</w:t>
      </w:r>
    </w:p>
  </w:footnote>
  <w:footnote w:id="16">
    <w:p w14:paraId="337019AF" w14:textId="7EBBBBB6" w:rsidR="00037D7D" w:rsidRDefault="00037D7D" w:rsidP="00037D7D">
      <w:pPr>
        <w:pStyle w:val="FootnoteText"/>
      </w:pPr>
      <w:r>
        <w:rPr>
          <w:rStyle w:val="FootnoteReference"/>
        </w:rPr>
        <w:footnoteRef/>
      </w:r>
      <w:r>
        <w:t xml:space="preserve"> Single arm: </w:t>
      </w:r>
      <w:r w:rsidRPr="003A4396">
        <w:t>Strollo Jr PJ, et al.</w:t>
      </w:r>
      <w:r>
        <w:t xml:space="preserve"> (2014). </w:t>
      </w:r>
      <w:r w:rsidRPr="003A4396">
        <w:t xml:space="preserve"> </w:t>
      </w:r>
      <w:r>
        <w:t>‘</w:t>
      </w:r>
      <w:r w:rsidRPr="003A4396">
        <w:t xml:space="preserve">Upper-airway stimulation for obstructive sleep </w:t>
      </w:r>
      <w:r>
        <w:t xml:space="preserve">Apnoea’, </w:t>
      </w:r>
      <w:r w:rsidRPr="00E11642">
        <w:rPr>
          <w:i/>
          <w:iCs/>
        </w:rPr>
        <w:t>New England Journal of Medicine</w:t>
      </w:r>
      <w:r>
        <w:rPr>
          <w:i/>
          <w:iCs/>
        </w:rPr>
        <w:t xml:space="preserve">, </w:t>
      </w:r>
      <w:r w:rsidRPr="003A4396">
        <w:t>370(2):139-49.</w:t>
      </w:r>
      <w:r>
        <w:t xml:space="preserve"> </w:t>
      </w:r>
      <w:r>
        <w:rPr>
          <w:rFonts w:ascii="Franklin Gothic Book" w:hAnsi="Franklin Gothic Book"/>
        </w:rPr>
        <w:t xml:space="preserve">Randomised sub-study: </w:t>
      </w:r>
      <w:r w:rsidRPr="00F14E15">
        <w:rPr>
          <w:rFonts w:ascii="Franklin Gothic Book" w:hAnsi="Franklin Gothic Book"/>
        </w:rPr>
        <w:t>Woodson B et al.</w:t>
      </w:r>
      <w:r>
        <w:rPr>
          <w:rFonts w:ascii="Franklin Gothic Book" w:hAnsi="Franklin Gothic Book"/>
        </w:rPr>
        <w:t xml:space="preserve"> (2014).</w:t>
      </w:r>
      <w:r w:rsidRPr="00F14E15">
        <w:rPr>
          <w:rFonts w:ascii="Franklin Gothic Book" w:hAnsi="Franklin Gothic Book"/>
        </w:rPr>
        <w:t xml:space="preserve"> </w:t>
      </w:r>
      <w:r>
        <w:rPr>
          <w:rFonts w:ascii="Franklin Gothic Book" w:hAnsi="Franklin Gothic Book"/>
        </w:rPr>
        <w:t>‘</w:t>
      </w:r>
      <w:r w:rsidRPr="00F14E15">
        <w:rPr>
          <w:rFonts w:ascii="Franklin Gothic Book" w:hAnsi="Franklin Gothic Book"/>
        </w:rPr>
        <w:t>Randomized controlled withdrawal study of upper airway stimulation on OSA: short- and long-term effect</w:t>
      </w:r>
      <w:r>
        <w:rPr>
          <w:rFonts w:ascii="Franklin Gothic Book" w:hAnsi="Franklin Gothic Book"/>
        </w:rPr>
        <w:t xml:space="preserve">’, </w:t>
      </w:r>
      <w:r w:rsidRPr="00E11642">
        <w:rPr>
          <w:rFonts w:ascii="Franklin Gothic Book" w:hAnsi="Franklin Gothic Book"/>
          <w:i/>
          <w:iCs/>
        </w:rPr>
        <w:t>Otolaryngology--head and neck surgery</w:t>
      </w:r>
      <w:r>
        <w:rPr>
          <w:rFonts w:ascii="Franklin Gothic Book" w:hAnsi="Franklin Gothic Book"/>
        </w:rPr>
        <w:t xml:space="preserve">, </w:t>
      </w:r>
      <w:r w:rsidRPr="00F14E15">
        <w:rPr>
          <w:rFonts w:ascii="Franklin Gothic Book" w:hAnsi="Franklin Gothic Book"/>
        </w:rPr>
        <w:t>151(5):880</w:t>
      </w:r>
      <w:r w:rsidRPr="00F14E15">
        <w:rPr>
          <w:rFonts w:ascii="Cambria Math" w:hAnsi="Cambria Math" w:cs="Cambria Math"/>
        </w:rPr>
        <w:t>‐</w:t>
      </w:r>
      <w:r w:rsidRPr="00F14E15">
        <w:rPr>
          <w:rFonts w:ascii="Franklin Gothic Book" w:hAnsi="Franklin Gothic Book"/>
        </w:rPr>
        <w:t>7.</w:t>
      </w:r>
    </w:p>
  </w:footnote>
  <w:footnote w:id="17">
    <w:p w14:paraId="6E961082" w14:textId="77777777" w:rsidR="00037D7D" w:rsidRDefault="00037D7D" w:rsidP="00037D7D">
      <w:pPr>
        <w:pStyle w:val="FootnoteText"/>
      </w:pPr>
      <w:r>
        <w:rPr>
          <w:rStyle w:val="FootnoteReference"/>
        </w:rPr>
        <w:footnoteRef/>
      </w:r>
      <w:r>
        <w:t xml:space="preserve"> </w:t>
      </w:r>
      <w:r w:rsidRPr="003A4396">
        <w:t>Heiser C, et al.</w:t>
      </w:r>
      <w:r>
        <w:t xml:space="preserve"> (2021). </w:t>
      </w:r>
      <w:r w:rsidRPr="003A4396">
        <w:t xml:space="preserve"> </w:t>
      </w:r>
      <w:r>
        <w:t>‘</w:t>
      </w:r>
      <w:r w:rsidRPr="003A4396">
        <w:t xml:space="preserve">Effect of upper airway stimulation in patients with obstructive sleep </w:t>
      </w:r>
      <w:r>
        <w:t>Apnoea</w:t>
      </w:r>
      <w:r w:rsidRPr="003A4396">
        <w:t xml:space="preserve"> (Effect): a randomized controlled crossover trial</w:t>
      </w:r>
      <w:r>
        <w:t xml:space="preserve">’, </w:t>
      </w:r>
      <w:r w:rsidRPr="00E11642">
        <w:rPr>
          <w:i/>
          <w:iCs/>
        </w:rPr>
        <w:t>Journal of clinical medicine</w:t>
      </w:r>
      <w:r>
        <w:t xml:space="preserve">, </w:t>
      </w:r>
      <w:r w:rsidRPr="003A4396">
        <w:t xml:space="preserve"> 10(13)</w:t>
      </w:r>
      <w:r>
        <w:t>: 2880.</w:t>
      </w:r>
    </w:p>
  </w:footnote>
  <w:footnote w:id="18">
    <w:p w14:paraId="0E044570" w14:textId="77777777" w:rsidR="00037D7D" w:rsidRDefault="00037D7D" w:rsidP="00037D7D">
      <w:pPr>
        <w:pStyle w:val="FootnoteText"/>
      </w:pPr>
      <w:r>
        <w:rPr>
          <w:rStyle w:val="FootnoteReference"/>
        </w:rPr>
        <w:footnoteRef/>
      </w:r>
      <w:r>
        <w:t xml:space="preserve"> </w:t>
      </w:r>
      <w:r w:rsidRPr="00F14E15">
        <w:rPr>
          <w:rFonts w:ascii="Franklin Gothic Book" w:hAnsi="Franklin Gothic Book"/>
        </w:rPr>
        <w:t xml:space="preserve">Pietzsch JB, </w:t>
      </w:r>
      <w:r>
        <w:rPr>
          <w:rFonts w:ascii="Franklin Gothic Book" w:hAnsi="Franklin Gothic Book"/>
        </w:rPr>
        <w:t>et al.</w:t>
      </w:r>
      <w:r w:rsidRPr="00F14E15">
        <w:rPr>
          <w:rFonts w:ascii="Franklin Gothic Book" w:hAnsi="Franklin Gothic Book"/>
        </w:rPr>
        <w:t xml:space="preserve"> et al. Clinical and economic benefits of upper airway stimulation for obstructive sleep apnea in a European setting. </w:t>
      </w:r>
      <w:r w:rsidRPr="00C23879">
        <w:rPr>
          <w:rFonts w:ascii="Franklin Gothic Book" w:hAnsi="Franklin Gothic Book"/>
          <w:i/>
          <w:iCs/>
        </w:rPr>
        <w:t>Respiration</w:t>
      </w:r>
      <w:r w:rsidRPr="00F14E15">
        <w:rPr>
          <w:rFonts w:ascii="Franklin Gothic Book" w:hAnsi="Franklin Gothic Book"/>
        </w:rPr>
        <w:t>. 2019;98(1):38-47</w:t>
      </w:r>
      <w:r>
        <w:rPr>
          <w:rFonts w:ascii="Franklin Gothic Book" w:hAnsi="Franklin Gothic Book"/>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E66"/>
    <w:multiLevelType w:val="hybridMultilevel"/>
    <w:tmpl w:val="C0DA11C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209395D"/>
    <w:multiLevelType w:val="hybridMultilevel"/>
    <w:tmpl w:val="A4C0E7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A618A2"/>
    <w:multiLevelType w:val="hybridMultilevel"/>
    <w:tmpl w:val="5314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76821FA"/>
    <w:multiLevelType w:val="hybridMultilevel"/>
    <w:tmpl w:val="433A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F86C7E"/>
    <w:multiLevelType w:val="hybridMultilevel"/>
    <w:tmpl w:val="B96CD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69599D"/>
    <w:multiLevelType w:val="hybridMultilevel"/>
    <w:tmpl w:val="65804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A662FE"/>
    <w:multiLevelType w:val="hybridMultilevel"/>
    <w:tmpl w:val="CCFEE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C0EE4"/>
    <w:multiLevelType w:val="multilevel"/>
    <w:tmpl w:val="FEE071C8"/>
    <w:styleLink w:val="ESSectionheading-numbered"/>
    <w:lvl w:ilvl="0">
      <w:start w:val="1"/>
      <w:numFmt w:val="none"/>
      <w:lvlText w:val="A.1"/>
      <w:lvlJc w:val="left"/>
      <w:pPr>
        <w:ind w:left="1134" w:hanging="1134"/>
      </w:pPr>
      <w:rPr>
        <w:rFonts w:ascii="Calibri" w:hAnsi="Calibri" w:hint="default"/>
        <w:b/>
        <w:i w:val="0"/>
        <w:color w:val="auto"/>
        <w:sz w:val="24"/>
      </w:rPr>
    </w:lvl>
    <w:lvl w:ilvl="1">
      <w:start w:val="1"/>
      <w:numFmt w:val="decimal"/>
      <w:lvlText w:val="B.%2."/>
      <w:lvlJc w:val="left"/>
      <w:pPr>
        <w:ind w:left="1134" w:hanging="1134"/>
      </w:pPr>
      <w:rPr>
        <w:rFonts w:ascii="Calibri" w:hAnsi="Calibri" w:hint="default"/>
        <w:b/>
        <w:i w:val="0"/>
        <w:sz w:val="24"/>
      </w:rPr>
    </w:lvl>
    <w:lvl w:ilvl="2">
      <w:start w:val="1"/>
      <w:numFmt w:val="decimal"/>
      <w:lvlText w:val="C.%3."/>
      <w:lvlJc w:val="left"/>
      <w:pPr>
        <w:ind w:left="1134" w:hanging="1134"/>
      </w:pPr>
      <w:rPr>
        <w:rFonts w:ascii="Calibri" w:hAnsi="Calibri" w:hint="default"/>
        <w:b/>
        <w:i w:val="0"/>
        <w:sz w:val="24"/>
      </w:rPr>
    </w:lvl>
    <w:lvl w:ilvl="3">
      <w:start w:val="1"/>
      <w:numFmt w:val="decimal"/>
      <w:lvlText w:val="D.%4."/>
      <w:lvlJc w:val="left"/>
      <w:pPr>
        <w:ind w:left="1134" w:hanging="1134"/>
      </w:pPr>
      <w:rPr>
        <w:rFonts w:ascii="Calibri" w:hAnsi="Calibri" w:hint="default"/>
        <w:b/>
        <w:i w:val="0"/>
        <w:sz w:val="24"/>
      </w:rPr>
    </w:lvl>
    <w:lvl w:ilvl="4">
      <w:start w:val="1"/>
      <w:numFmt w:val="decimal"/>
      <w:lvlText w:val="E.%5."/>
      <w:lvlJc w:val="left"/>
      <w:pPr>
        <w:ind w:left="1134" w:hanging="1134"/>
      </w:pPr>
      <w:rPr>
        <w:rFonts w:ascii="Calibri" w:hAnsi="Calibri" w:hint="default"/>
        <w:b/>
        <w:i w:val="0"/>
        <w:sz w:val="24"/>
      </w:rPr>
    </w:lvl>
    <w:lvl w:ilvl="5">
      <w:start w:val="1"/>
      <w:numFmt w:val="decimal"/>
      <w:lvlText w:val="A.%6"/>
      <w:lvlJc w:val="left"/>
      <w:pPr>
        <w:ind w:left="1134" w:hanging="1134"/>
      </w:pPr>
      <w:rPr>
        <w:rFonts w:ascii="Calibri" w:hAnsi="Calibri" w:hint="default"/>
        <w:b/>
        <w:i w:val="0"/>
        <w:color w:val="auto"/>
        <w:sz w:val="24"/>
      </w:rPr>
    </w:lvl>
    <w:lvl w:ilvl="6">
      <w:start w:val="1"/>
      <w:numFmt w:val="none"/>
      <w:lvlText w:val=""/>
      <w:lvlJc w:val="left"/>
      <w:pPr>
        <w:ind w:left="1134" w:hanging="1134"/>
      </w:pPr>
      <w:rPr>
        <w:rFonts w:ascii="Calibri" w:hAnsi="Calibri" w:hint="default"/>
        <w:b/>
        <w:i w:val="0"/>
        <w:sz w:val="24"/>
      </w:rPr>
    </w:lvl>
    <w:lvl w:ilvl="7">
      <w:start w:val="1"/>
      <w:numFmt w:val="none"/>
      <w:lvlText w:val="%8"/>
      <w:lvlJc w:val="left"/>
      <w:pPr>
        <w:ind w:left="1134" w:hanging="1134"/>
      </w:pPr>
      <w:rPr>
        <w:rFonts w:hint="default"/>
      </w:rPr>
    </w:lvl>
    <w:lvl w:ilvl="8">
      <w:start w:val="1"/>
      <w:numFmt w:val="none"/>
      <w:lvlText w:val="%9"/>
      <w:lvlJc w:val="right"/>
      <w:pPr>
        <w:ind w:left="1134" w:hanging="1134"/>
      </w:pPr>
      <w:rPr>
        <w:rFonts w:hint="default"/>
      </w:rPr>
    </w:lvl>
  </w:abstractNum>
  <w:abstractNum w:abstractNumId="10" w15:restartNumberingAfterBreak="0">
    <w:nsid w:val="27575C58"/>
    <w:multiLevelType w:val="multilevel"/>
    <w:tmpl w:val="BE44A646"/>
    <w:lvl w:ilvl="0">
      <w:start w:val="1"/>
      <w:numFmt w:val="bullet"/>
      <w:pStyle w:val="Instruction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A5E246B"/>
    <w:multiLevelType w:val="hybridMultilevel"/>
    <w:tmpl w:val="C4F2253C"/>
    <w:lvl w:ilvl="0" w:tplc="B0E28340">
      <w:start w:val="1"/>
      <w:numFmt w:val="decimal"/>
      <w:pStyle w:val="ESHeading1"/>
      <w:lvlText w:val="%1."/>
      <w:lvlJc w:val="left"/>
      <w:pPr>
        <w:ind w:left="216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09E6D54"/>
    <w:multiLevelType w:val="hybridMultilevel"/>
    <w:tmpl w:val="08201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D5244"/>
    <w:multiLevelType w:val="hybridMultilevel"/>
    <w:tmpl w:val="00E250B2"/>
    <w:lvl w:ilvl="0" w:tplc="32AE89D0">
      <w:start w:val="1"/>
      <w:numFmt w:val="bullet"/>
      <w:pStyle w:val="Das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4D020A"/>
    <w:multiLevelType w:val="hybridMultilevel"/>
    <w:tmpl w:val="AB3A6550"/>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324371DC"/>
    <w:multiLevelType w:val="multilevel"/>
    <w:tmpl w:val="4A02812C"/>
    <w:lvl w:ilvl="0">
      <w:start w:val="1"/>
      <w:numFmt w:val="decimal"/>
      <w:pStyle w:val="Heading1"/>
      <w:lvlText w:val="Section %1"/>
      <w:lvlJc w:val="left"/>
      <w:pPr>
        <w:ind w:left="786" w:hanging="360"/>
      </w:pPr>
      <w:rPr>
        <w:rFonts w:hint="default"/>
      </w:rPr>
    </w:lvl>
    <w:lvl w:ilvl="1">
      <w:start w:val="1"/>
      <w:numFmt w:val="decimal"/>
      <w:pStyle w:val="Heading2"/>
      <w:lvlText w:val="%1.%2"/>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8B2381B"/>
    <w:multiLevelType w:val="hybridMultilevel"/>
    <w:tmpl w:val="4CA6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D4F368B"/>
    <w:multiLevelType w:val="hybridMultilevel"/>
    <w:tmpl w:val="7F36D186"/>
    <w:lvl w:ilvl="0" w:tplc="A86E385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DB929B6"/>
    <w:multiLevelType w:val="hybridMultilevel"/>
    <w:tmpl w:val="EBB87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E1BA3"/>
    <w:multiLevelType w:val="hybridMultilevel"/>
    <w:tmpl w:val="EA2C4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095746"/>
    <w:multiLevelType w:val="hybridMultilevel"/>
    <w:tmpl w:val="28BC0FCE"/>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B9C59E2"/>
    <w:multiLevelType w:val="hybridMultilevel"/>
    <w:tmpl w:val="C28C2134"/>
    <w:lvl w:ilvl="0" w:tplc="C58864F0">
      <w:start w:val="1"/>
      <w:numFmt w:val="lowerRoman"/>
      <w:lvlText w:val="%1)"/>
      <w:lvlJc w:val="left"/>
      <w:pPr>
        <w:ind w:left="720" w:hanging="360"/>
      </w:pPr>
      <w:rPr>
        <w:rFonts w:hint="default"/>
      </w:r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7576E58"/>
    <w:multiLevelType w:val="hybridMultilevel"/>
    <w:tmpl w:val="CEFEA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78190D"/>
    <w:multiLevelType w:val="hybridMultilevel"/>
    <w:tmpl w:val="8340B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AB3E54"/>
    <w:multiLevelType w:val="hybridMultilevel"/>
    <w:tmpl w:val="03808A80"/>
    <w:lvl w:ilvl="0" w:tplc="38CEB5E8">
      <w:numFmt w:val="bullet"/>
      <w:lvlText w:val="-"/>
      <w:lvlJc w:val="left"/>
      <w:pPr>
        <w:ind w:left="720" w:hanging="360"/>
      </w:pPr>
      <w:rPr>
        <w:rFonts w:ascii="Franklin Gothic Book" w:eastAsiaTheme="minorHAnsi" w:hAnsi="Franklin Gothic Book"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FE3A0F"/>
    <w:multiLevelType w:val="hybridMultilevel"/>
    <w:tmpl w:val="112AC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0B6E1E"/>
    <w:multiLevelType w:val="hybridMultilevel"/>
    <w:tmpl w:val="6568B1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8A95BA6"/>
    <w:multiLevelType w:val="hybridMultilevel"/>
    <w:tmpl w:val="8CFE6E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D483636"/>
    <w:multiLevelType w:val="hybridMultilevel"/>
    <w:tmpl w:val="07D0358C"/>
    <w:lvl w:ilvl="0" w:tplc="0C090001">
      <w:start w:val="1"/>
      <w:numFmt w:val="bullet"/>
      <w:lvlText w:val=""/>
      <w:lvlJc w:val="left"/>
      <w:pPr>
        <w:ind w:left="360" w:hanging="360"/>
      </w:pPr>
      <w:rPr>
        <w:rFonts w:ascii="Symbol" w:hAnsi="Symbol" w:hint="default"/>
      </w:rPr>
    </w:lvl>
    <w:lvl w:ilvl="1" w:tplc="C0DE8992">
      <w:numFmt w:val="bullet"/>
      <w:lvlText w:val="•"/>
      <w:lvlJc w:val="left"/>
      <w:pPr>
        <w:ind w:left="1440" w:hanging="720"/>
      </w:pPr>
      <w:rPr>
        <w:rFonts w:ascii="Franklin Gothic Book" w:eastAsiaTheme="minorHAnsi" w:hAnsi="Franklin Gothic Book"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DBB7D53"/>
    <w:multiLevelType w:val="hybridMultilevel"/>
    <w:tmpl w:val="4EC42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12364"/>
    <w:multiLevelType w:val="hybridMultilevel"/>
    <w:tmpl w:val="5C6C0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7AB2E0F"/>
    <w:multiLevelType w:val="hybridMultilevel"/>
    <w:tmpl w:val="630C5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181516"/>
    <w:multiLevelType w:val="hybridMultilevel"/>
    <w:tmpl w:val="FF9EE7EA"/>
    <w:lvl w:ilvl="0" w:tplc="99525AAE">
      <w:start w:val="1"/>
      <w:numFmt w:val="decimal"/>
      <w:pStyle w:val="Nnumberedlist"/>
      <w:lvlText w:val="%1."/>
      <w:lvlJc w:val="left"/>
      <w:pPr>
        <w:tabs>
          <w:tab w:val="num" w:pos="1440"/>
        </w:tabs>
        <w:ind w:left="1440" w:hanging="360"/>
      </w:pPr>
    </w:lvl>
    <w:lvl w:ilvl="1" w:tplc="389C2200" w:tentative="1">
      <w:start w:val="1"/>
      <w:numFmt w:val="lowerLetter"/>
      <w:lvlText w:val="%2."/>
      <w:lvlJc w:val="left"/>
      <w:pPr>
        <w:tabs>
          <w:tab w:val="num" w:pos="2160"/>
        </w:tabs>
        <w:ind w:left="2160" w:hanging="360"/>
      </w:pPr>
    </w:lvl>
    <w:lvl w:ilvl="2" w:tplc="C3F8B188" w:tentative="1">
      <w:start w:val="1"/>
      <w:numFmt w:val="lowerRoman"/>
      <w:lvlText w:val="%3."/>
      <w:lvlJc w:val="right"/>
      <w:pPr>
        <w:tabs>
          <w:tab w:val="num" w:pos="2880"/>
        </w:tabs>
        <w:ind w:left="2880" w:hanging="180"/>
      </w:pPr>
    </w:lvl>
    <w:lvl w:ilvl="3" w:tplc="391E97F0" w:tentative="1">
      <w:start w:val="1"/>
      <w:numFmt w:val="decimal"/>
      <w:lvlText w:val="%4."/>
      <w:lvlJc w:val="left"/>
      <w:pPr>
        <w:tabs>
          <w:tab w:val="num" w:pos="3600"/>
        </w:tabs>
        <w:ind w:left="3600" w:hanging="360"/>
      </w:pPr>
    </w:lvl>
    <w:lvl w:ilvl="4" w:tplc="4F42265E" w:tentative="1">
      <w:start w:val="1"/>
      <w:numFmt w:val="lowerLetter"/>
      <w:lvlText w:val="%5."/>
      <w:lvlJc w:val="left"/>
      <w:pPr>
        <w:tabs>
          <w:tab w:val="num" w:pos="4320"/>
        </w:tabs>
        <w:ind w:left="4320" w:hanging="360"/>
      </w:pPr>
    </w:lvl>
    <w:lvl w:ilvl="5" w:tplc="30546058" w:tentative="1">
      <w:start w:val="1"/>
      <w:numFmt w:val="lowerRoman"/>
      <w:lvlText w:val="%6."/>
      <w:lvlJc w:val="right"/>
      <w:pPr>
        <w:tabs>
          <w:tab w:val="num" w:pos="5040"/>
        </w:tabs>
        <w:ind w:left="5040" w:hanging="180"/>
      </w:pPr>
    </w:lvl>
    <w:lvl w:ilvl="6" w:tplc="6E10F0C6" w:tentative="1">
      <w:start w:val="1"/>
      <w:numFmt w:val="decimal"/>
      <w:lvlText w:val="%7."/>
      <w:lvlJc w:val="left"/>
      <w:pPr>
        <w:tabs>
          <w:tab w:val="num" w:pos="5760"/>
        </w:tabs>
        <w:ind w:left="5760" w:hanging="360"/>
      </w:pPr>
    </w:lvl>
    <w:lvl w:ilvl="7" w:tplc="70B07B9C" w:tentative="1">
      <w:start w:val="1"/>
      <w:numFmt w:val="lowerLetter"/>
      <w:lvlText w:val="%8."/>
      <w:lvlJc w:val="left"/>
      <w:pPr>
        <w:tabs>
          <w:tab w:val="num" w:pos="6480"/>
        </w:tabs>
        <w:ind w:left="6480" w:hanging="360"/>
      </w:pPr>
    </w:lvl>
    <w:lvl w:ilvl="8" w:tplc="9BF48AAC" w:tentative="1">
      <w:start w:val="1"/>
      <w:numFmt w:val="lowerRoman"/>
      <w:lvlText w:val="%9."/>
      <w:lvlJc w:val="right"/>
      <w:pPr>
        <w:tabs>
          <w:tab w:val="num" w:pos="7200"/>
        </w:tabs>
        <w:ind w:left="7200" w:hanging="180"/>
      </w:pPr>
    </w:lvl>
  </w:abstractNum>
  <w:num w:numId="1">
    <w:abstractNumId w:val="15"/>
  </w:num>
  <w:num w:numId="2">
    <w:abstractNumId w:val="33"/>
  </w:num>
  <w:num w:numId="3">
    <w:abstractNumId w:val="2"/>
  </w:num>
  <w:num w:numId="4">
    <w:abstractNumId w:val="9"/>
  </w:num>
  <w:num w:numId="5">
    <w:abstractNumId w:val="32"/>
  </w:num>
  <w:num w:numId="6">
    <w:abstractNumId w:val="10"/>
  </w:num>
  <w:num w:numId="7">
    <w:abstractNumId w:val="11"/>
  </w:num>
  <w:num w:numId="8">
    <w:abstractNumId w:val="13"/>
  </w:num>
  <w:num w:numId="9">
    <w:abstractNumId w:val="0"/>
  </w:num>
  <w:num w:numId="10">
    <w:abstractNumId w:val="14"/>
  </w:num>
  <w:num w:numId="11">
    <w:abstractNumId w:val="20"/>
  </w:num>
  <w:num w:numId="12">
    <w:abstractNumId w:val="1"/>
  </w:num>
  <w:num w:numId="13">
    <w:abstractNumId w:val="27"/>
  </w:num>
  <w:num w:numId="14">
    <w:abstractNumId w:val="28"/>
  </w:num>
  <w:num w:numId="15">
    <w:abstractNumId w:val="12"/>
  </w:num>
  <w:num w:numId="16">
    <w:abstractNumId w:val="31"/>
  </w:num>
  <w:num w:numId="17">
    <w:abstractNumId w:val="29"/>
  </w:num>
  <w:num w:numId="18">
    <w:abstractNumId w:val="30"/>
  </w:num>
  <w:num w:numId="19">
    <w:abstractNumId w:val="21"/>
  </w:num>
  <w:num w:numId="20">
    <w:abstractNumId w:val="16"/>
  </w:num>
  <w:num w:numId="21">
    <w:abstractNumId w:val="22"/>
  </w:num>
  <w:num w:numId="22">
    <w:abstractNumId w:val="25"/>
  </w:num>
  <w:num w:numId="23">
    <w:abstractNumId w:val="23"/>
  </w:num>
  <w:num w:numId="24">
    <w:abstractNumId w:val="18"/>
  </w:num>
  <w:num w:numId="25">
    <w:abstractNumId w:val="19"/>
  </w:num>
  <w:num w:numId="26">
    <w:abstractNumId w:val="8"/>
  </w:num>
  <w:num w:numId="27">
    <w:abstractNumId w:val="7"/>
  </w:num>
  <w:num w:numId="28">
    <w:abstractNumId w:val="4"/>
  </w:num>
  <w:num w:numId="29">
    <w:abstractNumId w:val="3"/>
  </w:num>
  <w:num w:numId="30">
    <w:abstractNumId w:val="17"/>
  </w:num>
  <w:num w:numId="31">
    <w:abstractNumId w:val="5"/>
  </w:num>
  <w:num w:numId="32">
    <w:abstractNumId w:val="6"/>
  </w:num>
  <w:num w:numId="33">
    <w:abstractNumId w:val="26"/>
  </w:num>
  <w:num w:numId="34">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7F1"/>
    <w:rsid w:val="0000109A"/>
    <w:rsid w:val="00001AE6"/>
    <w:rsid w:val="00001D55"/>
    <w:rsid w:val="00004D69"/>
    <w:rsid w:val="00004E0B"/>
    <w:rsid w:val="00004F7F"/>
    <w:rsid w:val="000054C9"/>
    <w:rsid w:val="000059AF"/>
    <w:rsid w:val="00007CEE"/>
    <w:rsid w:val="00007FEA"/>
    <w:rsid w:val="00010C4B"/>
    <w:rsid w:val="00011568"/>
    <w:rsid w:val="00013F62"/>
    <w:rsid w:val="000147BC"/>
    <w:rsid w:val="00014974"/>
    <w:rsid w:val="00022720"/>
    <w:rsid w:val="000228B8"/>
    <w:rsid w:val="00022AEA"/>
    <w:rsid w:val="0002381B"/>
    <w:rsid w:val="00023BC5"/>
    <w:rsid w:val="00024D8C"/>
    <w:rsid w:val="00024EA5"/>
    <w:rsid w:val="0002755F"/>
    <w:rsid w:val="00027956"/>
    <w:rsid w:val="0003193A"/>
    <w:rsid w:val="00031DF4"/>
    <w:rsid w:val="00032B6A"/>
    <w:rsid w:val="0003423A"/>
    <w:rsid w:val="0003477F"/>
    <w:rsid w:val="00034DF7"/>
    <w:rsid w:val="0003637D"/>
    <w:rsid w:val="00036AD8"/>
    <w:rsid w:val="00037037"/>
    <w:rsid w:val="00037302"/>
    <w:rsid w:val="00037D7D"/>
    <w:rsid w:val="0004005D"/>
    <w:rsid w:val="00040ADF"/>
    <w:rsid w:val="00040FB4"/>
    <w:rsid w:val="0004178C"/>
    <w:rsid w:val="00041F5D"/>
    <w:rsid w:val="00042B57"/>
    <w:rsid w:val="00043DE7"/>
    <w:rsid w:val="00043E46"/>
    <w:rsid w:val="000443A6"/>
    <w:rsid w:val="000449D1"/>
    <w:rsid w:val="00045B8D"/>
    <w:rsid w:val="00045CC5"/>
    <w:rsid w:val="00046B6A"/>
    <w:rsid w:val="000472D4"/>
    <w:rsid w:val="000478CD"/>
    <w:rsid w:val="00047B47"/>
    <w:rsid w:val="00050196"/>
    <w:rsid w:val="000507C3"/>
    <w:rsid w:val="00052DD3"/>
    <w:rsid w:val="00053138"/>
    <w:rsid w:val="0005326D"/>
    <w:rsid w:val="00053F6C"/>
    <w:rsid w:val="000564B1"/>
    <w:rsid w:val="00056B21"/>
    <w:rsid w:val="00061350"/>
    <w:rsid w:val="0006339C"/>
    <w:rsid w:val="00063508"/>
    <w:rsid w:val="00064783"/>
    <w:rsid w:val="000647C2"/>
    <w:rsid w:val="000665C2"/>
    <w:rsid w:val="0007021F"/>
    <w:rsid w:val="000709A0"/>
    <w:rsid w:val="000729D0"/>
    <w:rsid w:val="00074199"/>
    <w:rsid w:val="00074FE5"/>
    <w:rsid w:val="00076C4B"/>
    <w:rsid w:val="00080241"/>
    <w:rsid w:val="00080B21"/>
    <w:rsid w:val="00081778"/>
    <w:rsid w:val="00084C3F"/>
    <w:rsid w:val="000858F8"/>
    <w:rsid w:val="000870B6"/>
    <w:rsid w:val="00090613"/>
    <w:rsid w:val="00090BD1"/>
    <w:rsid w:val="00091857"/>
    <w:rsid w:val="00091C59"/>
    <w:rsid w:val="0009233E"/>
    <w:rsid w:val="00092A21"/>
    <w:rsid w:val="00093D9A"/>
    <w:rsid w:val="00094656"/>
    <w:rsid w:val="00096B52"/>
    <w:rsid w:val="000976F3"/>
    <w:rsid w:val="000A0B3F"/>
    <w:rsid w:val="000A10BF"/>
    <w:rsid w:val="000A2ACD"/>
    <w:rsid w:val="000A2B65"/>
    <w:rsid w:val="000A2DA8"/>
    <w:rsid w:val="000A311E"/>
    <w:rsid w:val="000A5278"/>
    <w:rsid w:val="000A5C47"/>
    <w:rsid w:val="000A629E"/>
    <w:rsid w:val="000A6B30"/>
    <w:rsid w:val="000B24A3"/>
    <w:rsid w:val="000B3330"/>
    <w:rsid w:val="000B3402"/>
    <w:rsid w:val="000B4E57"/>
    <w:rsid w:val="000B6CF0"/>
    <w:rsid w:val="000B720C"/>
    <w:rsid w:val="000B7665"/>
    <w:rsid w:val="000C35F7"/>
    <w:rsid w:val="000C4084"/>
    <w:rsid w:val="000C5CA3"/>
    <w:rsid w:val="000C7C46"/>
    <w:rsid w:val="000D1540"/>
    <w:rsid w:val="000D1B52"/>
    <w:rsid w:val="000D4C1B"/>
    <w:rsid w:val="000D5523"/>
    <w:rsid w:val="000D6710"/>
    <w:rsid w:val="000E03DC"/>
    <w:rsid w:val="000E1124"/>
    <w:rsid w:val="000E1D68"/>
    <w:rsid w:val="000E3CBB"/>
    <w:rsid w:val="000E4FE2"/>
    <w:rsid w:val="000E5531"/>
    <w:rsid w:val="000E6410"/>
    <w:rsid w:val="000E678B"/>
    <w:rsid w:val="000F271B"/>
    <w:rsid w:val="000F2E01"/>
    <w:rsid w:val="000F5A54"/>
    <w:rsid w:val="000F5B61"/>
    <w:rsid w:val="000F5F1D"/>
    <w:rsid w:val="000F7987"/>
    <w:rsid w:val="0010051C"/>
    <w:rsid w:val="0010448B"/>
    <w:rsid w:val="0010521F"/>
    <w:rsid w:val="0010625A"/>
    <w:rsid w:val="00107524"/>
    <w:rsid w:val="00107DCD"/>
    <w:rsid w:val="00107EF0"/>
    <w:rsid w:val="00111417"/>
    <w:rsid w:val="00113C60"/>
    <w:rsid w:val="00114C3B"/>
    <w:rsid w:val="00115691"/>
    <w:rsid w:val="00117039"/>
    <w:rsid w:val="00117F04"/>
    <w:rsid w:val="0012061E"/>
    <w:rsid w:val="001206E6"/>
    <w:rsid w:val="00120BD3"/>
    <w:rsid w:val="00122AE3"/>
    <w:rsid w:val="00122D5D"/>
    <w:rsid w:val="00122EE1"/>
    <w:rsid w:val="00123658"/>
    <w:rsid w:val="00123745"/>
    <w:rsid w:val="001237AF"/>
    <w:rsid w:val="001247EB"/>
    <w:rsid w:val="00124DB0"/>
    <w:rsid w:val="00124F3C"/>
    <w:rsid w:val="00125B61"/>
    <w:rsid w:val="00126122"/>
    <w:rsid w:val="00131D45"/>
    <w:rsid w:val="00131EED"/>
    <w:rsid w:val="001320F0"/>
    <w:rsid w:val="0013227F"/>
    <w:rsid w:val="001330E5"/>
    <w:rsid w:val="001336E0"/>
    <w:rsid w:val="00133EB3"/>
    <w:rsid w:val="00133F34"/>
    <w:rsid w:val="0013431D"/>
    <w:rsid w:val="00135273"/>
    <w:rsid w:val="00135FC9"/>
    <w:rsid w:val="00140FB6"/>
    <w:rsid w:val="00142DC8"/>
    <w:rsid w:val="00143478"/>
    <w:rsid w:val="00143F2F"/>
    <w:rsid w:val="00146623"/>
    <w:rsid w:val="00146624"/>
    <w:rsid w:val="001473EE"/>
    <w:rsid w:val="00150376"/>
    <w:rsid w:val="001506AA"/>
    <w:rsid w:val="00151DBD"/>
    <w:rsid w:val="001531D6"/>
    <w:rsid w:val="001540DD"/>
    <w:rsid w:val="00155434"/>
    <w:rsid w:val="001559FD"/>
    <w:rsid w:val="00155BDA"/>
    <w:rsid w:val="001567BE"/>
    <w:rsid w:val="00156AB9"/>
    <w:rsid w:val="00156FA7"/>
    <w:rsid w:val="0016023A"/>
    <w:rsid w:val="001604EF"/>
    <w:rsid w:val="00162DBF"/>
    <w:rsid w:val="00163398"/>
    <w:rsid w:val="001634EF"/>
    <w:rsid w:val="001639FB"/>
    <w:rsid w:val="00164C32"/>
    <w:rsid w:val="00164CF8"/>
    <w:rsid w:val="001653AE"/>
    <w:rsid w:val="00166995"/>
    <w:rsid w:val="00170708"/>
    <w:rsid w:val="00170D5B"/>
    <w:rsid w:val="001717AE"/>
    <w:rsid w:val="00172B8F"/>
    <w:rsid w:val="001736F8"/>
    <w:rsid w:val="00173B60"/>
    <w:rsid w:val="00173D85"/>
    <w:rsid w:val="00174FD4"/>
    <w:rsid w:val="00181DC7"/>
    <w:rsid w:val="001824DC"/>
    <w:rsid w:val="001843B2"/>
    <w:rsid w:val="00184BAE"/>
    <w:rsid w:val="00191DC4"/>
    <w:rsid w:val="0019362A"/>
    <w:rsid w:val="0019474E"/>
    <w:rsid w:val="00195728"/>
    <w:rsid w:val="00195AEA"/>
    <w:rsid w:val="00196866"/>
    <w:rsid w:val="001970C0"/>
    <w:rsid w:val="001A058D"/>
    <w:rsid w:val="001A1CB7"/>
    <w:rsid w:val="001A3525"/>
    <w:rsid w:val="001A3D99"/>
    <w:rsid w:val="001A420B"/>
    <w:rsid w:val="001A4B97"/>
    <w:rsid w:val="001A4F7D"/>
    <w:rsid w:val="001A7B42"/>
    <w:rsid w:val="001A7D8F"/>
    <w:rsid w:val="001B05E3"/>
    <w:rsid w:val="001B082D"/>
    <w:rsid w:val="001B1AD3"/>
    <w:rsid w:val="001B239B"/>
    <w:rsid w:val="001B2A97"/>
    <w:rsid w:val="001B2CD4"/>
    <w:rsid w:val="001B7329"/>
    <w:rsid w:val="001B7528"/>
    <w:rsid w:val="001C0D1B"/>
    <w:rsid w:val="001C174A"/>
    <w:rsid w:val="001C1D05"/>
    <w:rsid w:val="001C2A48"/>
    <w:rsid w:val="001C48A5"/>
    <w:rsid w:val="001C69E3"/>
    <w:rsid w:val="001C6DFD"/>
    <w:rsid w:val="001C6FA4"/>
    <w:rsid w:val="001D32C0"/>
    <w:rsid w:val="001D3A64"/>
    <w:rsid w:val="001D5793"/>
    <w:rsid w:val="001D6D1D"/>
    <w:rsid w:val="001D74A7"/>
    <w:rsid w:val="001E0BC1"/>
    <w:rsid w:val="001E15F2"/>
    <w:rsid w:val="001E1D14"/>
    <w:rsid w:val="001E22F7"/>
    <w:rsid w:val="001E465F"/>
    <w:rsid w:val="001E6C91"/>
    <w:rsid w:val="001E720F"/>
    <w:rsid w:val="001F097F"/>
    <w:rsid w:val="001F0EAE"/>
    <w:rsid w:val="001F2902"/>
    <w:rsid w:val="001F31BC"/>
    <w:rsid w:val="001F3F36"/>
    <w:rsid w:val="001F4726"/>
    <w:rsid w:val="001F658C"/>
    <w:rsid w:val="001F675C"/>
    <w:rsid w:val="001F6F44"/>
    <w:rsid w:val="001F7563"/>
    <w:rsid w:val="001F75A8"/>
    <w:rsid w:val="002035D1"/>
    <w:rsid w:val="00203B7E"/>
    <w:rsid w:val="00205220"/>
    <w:rsid w:val="00205A27"/>
    <w:rsid w:val="00205C5F"/>
    <w:rsid w:val="00205D80"/>
    <w:rsid w:val="0020627C"/>
    <w:rsid w:val="00207AEC"/>
    <w:rsid w:val="00207F59"/>
    <w:rsid w:val="00210601"/>
    <w:rsid w:val="002112C7"/>
    <w:rsid w:val="00211DC3"/>
    <w:rsid w:val="0021241E"/>
    <w:rsid w:val="00214005"/>
    <w:rsid w:val="002155B6"/>
    <w:rsid w:val="002157E4"/>
    <w:rsid w:val="00215AFB"/>
    <w:rsid w:val="00215DEA"/>
    <w:rsid w:val="002171FD"/>
    <w:rsid w:val="002200D8"/>
    <w:rsid w:val="00223664"/>
    <w:rsid w:val="00223A56"/>
    <w:rsid w:val="0022474F"/>
    <w:rsid w:val="00225833"/>
    <w:rsid w:val="00226095"/>
    <w:rsid w:val="002270BB"/>
    <w:rsid w:val="00227B89"/>
    <w:rsid w:val="00227F43"/>
    <w:rsid w:val="002309AF"/>
    <w:rsid w:val="00234640"/>
    <w:rsid w:val="00235963"/>
    <w:rsid w:val="00236F60"/>
    <w:rsid w:val="00240106"/>
    <w:rsid w:val="002411C7"/>
    <w:rsid w:val="00242E01"/>
    <w:rsid w:val="00242F4E"/>
    <w:rsid w:val="002441F0"/>
    <w:rsid w:val="002450A1"/>
    <w:rsid w:val="002452A0"/>
    <w:rsid w:val="002463A6"/>
    <w:rsid w:val="00246ADB"/>
    <w:rsid w:val="0025026D"/>
    <w:rsid w:val="00250CFD"/>
    <w:rsid w:val="002517A5"/>
    <w:rsid w:val="00251F6C"/>
    <w:rsid w:val="0025249C"/>
    <w:rsid w:val="002539ED"/>
    <w:rsid w:val="0025440D"/>
    <w:rsid w:val="0025450E"/>
    <w:rsid w:val="00254ACE"/>
    <w:rsid w:val="00255152"/>
    <w:rsid w:val="00255253"/>
    <w:rsid w:val="0025554E"/>
    <w:rsid w:val="002600CD"/>
    <w:rsid w:val="002638F4"/>
    <w:rsid w:val="002640A2"/>
    <w:rsid w:val="002647C5"/>
    <w:rsid w:val="0026791B"/>
    <w:rsid w:val="0027160C"/>
    <w:rsid w:val="002726C9"/>
    <w:rsid w:val="0027373E"/>
    <w:rsid w:val="002751D1"/>
    <w:rsid w:val="00275209"/>
    <w:rsid w:val="00275EF3"/>
    <w:rsid w:val="002773B2"/>
    <w:rsid w:val="0028000C"/>
    <w:rsid w:val="00281D13"/>
    <w:rsid w:val="00284340"/>
    <w:rsid w:val="00287E78"/>
    <w:rsid w:val="00290676"/>
    <w:rsid w:val="00291462"/>
    <w:rsid w:val="00291572"/>
    <w:rsid w:val="0029394A"/>
    <w:rsid w:val="00295F5A"/>
    <w:rsid w:val="002A04B4"/>
    <w:rsid w:val="002A0525"/>
    <w:rsid w:val="002A145B"/>
    <w:rsid w:val="002A18BE"/>
    <w:rsid w:val="002A36F6"/>
    <w:rsid w:val="002A4003"/>
    <w:rsid w:val="002A4084"/>
    <w:rsid w:val="002A473B"/>
    <w:rsid w:val="002A4AD6"/>
    <w:rsid w:val="002A4B8D"/>
    <w:rsid w:val="002A7196"/>
    <w:rsid w:val="002A76AE"/>
    <w:rsid w:val="002B1384"/>
    <w:rsid w:val="002B32A0"/>
    <w:rsid w:val="002B3681"/>
    <w:rsid w:val="002B4416"/>
    <w:rsid w:val="002B667C"/>
    <w:rsid w:val="002C11CA"/>
    <w:rsid w:val="002C4017"/>
    <w:rsid w:val="002C45E8"/>
    <w:rsid w:val="002C4A94"/>
    <w:rsid w:val="002C70CE"/>
    <w:rsid w:val="002C7B82"/>
    <w:rsid w:val="002C7DBE"/>
    <w:rsid w:val="002D003C"/>
    <w:rsid w:val="002D2313"/>
    <w:rsid w:val="002D5097"/>
    <w:rsid w:val="002D55E4"/>
    <w:rsid w:val="002D6738"/>
    <w:rsid w:val="002D690D"/>
    <w:rsid w:val="002D720D"/>
    <w:rsid w:val="002D752D"/>
    <w:rsid w:val="002D786F"/>
    <w:rsid w:val="002E016C"/>
    <w:rsid w:val="002E1BC1"/>
    <w:rsid w:val="002E3967"/>
    <w:rsid w:val="002E63BE"/>
    <w:rsid w:val="002E7775"/>
    <w:rsid w:val="002E7AD2"/>
    <w:rsid w:val="002F1399"/>
    <w:rsid w:val="002F150B"/>
    <w:rsid w:val="002F1B1A"/>
    <w:rsid w:val="002F32FB"/>
    <w:rsid w:val="002F3360"/>
    <w:rsid w:val="002F4235"/>
    <w:rsid w:val="002F426A"/>
    <w:rsid w:val="002F5611"/>
    <w:rsid w:val="002F5F5E"/>
    <w:rsid w:val="002F5F85"/>
    <w:rsid w:val="002F6932"/>
    <w:rsid w:val="002F693F"/>
    <w:rsid w:val="003008CC"/>
    <w:rsid w:val="0030133B"/>
    <w:rsid w:val="00301763"/>
    <w:rsid w:val="00302252"/>
    <w:rsid w:val="00302C33"/>
    <w:rsid w:val="00303C60"/>
    <w:rsid w:val="00304FB8"/>
    <w:rsid w:val="003062C4"/>
    <w:rsid w:val="00306A23"/>
    <w:rsid w:val="00307299"/>
    <w:rsid w:val="00310B9B"/>
    <w:rsid w:val="00310C3F"/>
    <w:rsid w:val="003113EC"/>
    <w:rsid w:val="00313190"/>
    <w:rsid w:val="003140D2"/>
    <w:rsid w:val="00315A48"/>
    <w:rsid w:val="00316725"/>
    <w:rsid w:val="00317714"/>
    <w:rsid w:val="00320A17"/>
    <w:rsid w:val="00321082"/>
    <w:rsid w:val="00322DA9"/>
    <w:rsid w:val="00323AF6"/>
    <w:rsid w:val="003251C2"/>
    <w:rsid w:val="00325FA0"/>
    <w:rsid w:val="00326F1C"/>
    <w:rsid w:val="00327162"/>
    <w:rsid w:val="00330793"/>
    <w:rsid w:val="00330A0A"/>
    <w:rsid w:val="00331EC0"/>
    <w:rsid w:val="003328A9"/>
    <w:rsid w:val="003343A5"/>
    <w:rsid w:val="00334FEC"/>
    <w:rsid w:val="003371B5"/>
    <w:rsid w:val="00337BAF"/>
    <w:rsid w:val="00340341"/>
    <w:rsid w:val="003417CB"/>
    <w:rsid w:val="00342B5F"/>
    <w:rsid w:val="003435A9"/>
    <w:rsid w:val="00344649"/>
    <w:rsid w:val="003447B0"/>
    <w:rsid w:val="00345496"/>
    <w:rsid w:val="00345B81"/>
    <w:rsid w:val="00345BCF"/>
    <w:rsid w:val="003466F9"/>
    <w:rsid w:val="0034711F"/>
    <w:rsid w:val="00347F8D"/>
    <w:rsid w:val="00347FA0"/>
    <w:rsid w:val="00350092"/>
    <w:rsid w:val="003519AD"/>
    <w:rsid w:val="00351C6E"/>
    <w:rsid w:val="00351E0E"/>
    <w:rsid w:val="00353522"/>
    <w:rsid w:val="00353C6B"/>
    <w:rsid w:val="00354EB4"/>
    <w:rsid w:val="0035547C"/>
    <w:rsid w:val="00356D29"/>
    <w:rsid w:val="003570CB"/>
    <w:rsid w:val="003571C2"/>
    <w:rsid w:val="00361BEB"/>
    <w:rsid w:val="003640A7"/>
    <w:rsid w:val="00365447"/>
    <w:rsid w:val="003662A2"/>
    <w:rsid w:val="0036794E"/>
    <w:rsid w:val="00371676"/>
    <w:rsid w:val="0037184A"/>
    <w:rsid w:val="00372C97"/>
    <w:rsid w:val="00374F35"/>
    <w:rsid w:val="003771EF"/>
    <w:rsid w:val="00377FF6"/>
    <w:rsid w:val="00380F11"/>
    <w:rsid w:val="0038146C"/>
    <w:rsid w:val="00381E10"/>
    <w:rsid w:val="00382609"/>
    <w:rsid w:val="00386124"/>
    <w:rsid w:val="003864D5"/>
    <w:rsid w:val="00390567"/>
    <w:rsid w:val="00392899"/>
    <w:rsid w:val="003966F6"/>
    <w:rsid w:val="0039677D"/>
    <w:rsid w:val="00396B29"/>
    <w:rsid w:val="00397949"/>
    <w:rsid w:val="00397A28"/>
    <w:rsid w:val="003A0660"/>
    <w:rsid w:val="003A0D52"/>
    <w:rsid w:val="003A1992"/>
    <w:rsid w:val="003A208E"/>
    <w:rsid w:val="003A2ED1"/>
    <w:rsid w:val="003A3984"/>
    <w:rsid w:val="003A4396"/>
    <w:rsid w:val="003A4C47"/>
    <w:rsid w:val="003A6724"/>
    <w:rsid w:val="003A6867"/>
    <w:rsid w:val="003A6E1A"/>
    <w:rsid w:val="003B0BA1"/>
    <w:rsid w:val="003B18DC"/>
    <w:rsid w:val="003B1F86"/>
    <w:rsid w:val="003B4599"/>
    <w:rsid w:val="003B5280"/>
    <w:rsid w:val="003B61B7"/>
    <w:rsid w:val="003C1AE2"/>
    <w:rsid w:val="003C4EF8"/>
    <w:rsid w:val="003C4F8F"/>
    <w:rsid w:val="003C6113"/>
    <w:rsid w:val="003C6B59"/>
    <w:rsid w:val="003C7148"/>
    <w:rsid w:val="003C7792"/>
    <w:rsid w:val="003D0059"/>
    <w:rsid w:val="003D299E"/>
    <w:rsid w:val="003D2F37"/>
    <w:rsid w:val="003D4055"/>
    <w:rsid w:val="003D5248"/>
    <w:rsid w:val="003D55E1"/>
    <w:rsid w:val="003D584C"/>
    <w:rsid w:val="003D641A"/>
    <w:rsid w:val="003D6998"/>
    <w:rsid w:val="003D71EB"/>
    <w:rsid w:val="003E06DD"/>
    <w:rsid w:val="003E09B8"/>
    <w:rsid w:val="003E22CB"/>
    <w:rsid w:val="003E2343"/>
    <w:rsid w:val="003E3CD5"/>
    <w:rsid w:val="003E406B"/>
    <w:rsid w:val="003E4F96"/>
    <w:rsid w:val="003E5CCA"/>
    <w:rsid w:val="003E73F3"/>
    <w:rsid w:val="003E76EE"/>
    <w:rsid w:val="003E7773"/>
    <w:rsid w:val="003F115E"/>
    <w:rsid w:val="003F14C2"/>
    <w:rsid w:val="003F2210"/>
    <w:rsid w:val="003F51CD"/>
    <w:rsid w:val="003F535C"/>
    <w:rsid w:val="003F7196"/>
    <w:rsid w:val="004008AF"/>
    <w:rsid w:val="00400B5F"/>
    <w:rsid w:val="00401B1F"/>
    <w:rsid w:val="00401DBF"/>
    <w:rsid w:val="004028B9"/>
    <w:rsid w:val="004033D9"/>
    <w:rsid w:val="0040340C"/>
    <w:rsid w:val="004037C8"/>
    <w:rsid w:val="00404A94"/>
    <w:rsid w:val="00404D43"/>
    <w:rsid w:val="0040551F"/>
    <w:rsid w:val="0040771F"/>
    <w:rsid w:val="004111F7"/>
    <w:rsid w:val="0041217D"/>
    <w:rsid w:val="0041232A"/>
    <w:rsid w:val="004125C6"/>
    <w:rsid w:val="0041275F"/>
    <w:rsid w:val="004135F6"/>
    <w:rsid w:val="00420C1D"/>
    <w:rsid w:val="00421A89"/>
    <w:rsid w:val="00421EBC"/>
    <w:rsid w:val="00422507"/>
    <w:rsid w:val="0042304B"/>
    <w:rsid w:val="00424084"/>
    <w:rsid w:val="004257B9"/>
    <w:rsid w:val="00426D71"/>
    <w:rsid w:val="004273AD"/>
    <w:rsid w:val="004305AE"/>
    <w:rsid w:val="00431800"/>
    <w:rsid w:val="00431806"/>
    <w:rsid w:val="004320D6"/>
    <w:rsid w:val="00433541"/>
    <w:rsid w:val="00436497"/>
    <w:rsid w:val="00436514"/>
    <w:rsid w:val="00440A2D"/>
    <w:rsid w:val="004423F7"/>
    <w:rsid w:val="00442A49"/>
    <w:rsid w:val="00445E31"/>
    <w:rsid w:val="004464FE"/>
    <w:rsid w:val="0044690B"/>
    <w:rsid w:val="00446BBE"/>
    <w:rsid w:val="0044782C"/>
    <w:rsid w:val="004504D0"/>
    <w:rsid w:val="0045093D"/>
    <w:rsid w:val="00451645"/>
    <w:rsid w:val="00451C48"/>
    <w:rsid w:val="00453F4C"/>
    <w:rsid w:val="004544DF"/>
    <w:rsid w:val="00454F8E"/>
    <w:rsid w:val="004550AA"/>
    <w:rsid w:val="0045523F"/>
    <w:rsid w:val="00462778"/>
    <w:rsid w:val="00463770"/>
    <w:rsid w:val="00464F6C"/>
    <w:rsid w:val="00465ED4"/>
    <w:rsid w:val="004700FC"/>
    <w:rsid w:val="0047149F"/>
    <w:rsid w:val="00471D0D"/>
    <w:rsid w:val="00474089"/>
    <w:rsid w:val="00474B41"/>
    <w:rsid w:val="00474E01"/>
    <w:rsid w:val="00480F77"/>
    <w:rsid w:val="00482804"/>
    <w:rsid w:val="00482B47"/>
    <w:rsid w:val="0048323E"/>
    <w:rsid w:val="0048465E"/>
    <w:rsid w:val="00484DC5"/>
    <w:rsid w:val="00485675"/>
    <w:rsid w:val="0048624F"/>
    <w:rsid w:val="00486C31"/>
    <w:rsid w:val="00487C85"/>
    <w:rsid w:val="00490DC4"/>
    <w:rsid w:val="00491694"/>
    <w:rsid w:val="00494F64"/>
    <w:rsid w:val="0049629E"/>
    <w:rsid w:val="00497B9F"/>
    <w:rsid w:val="004A2084"/>
    <w:rsid w:val="004A35A6"/>
    <w:rsid w:val="004A4430"/>
    <w:rsid w:val="004A4B9B"/>
    <w:rsid w:val="004A4FDF"/>
    <w:rsid w:val="004A5489"/>
    <w:rsid w:val="004A5844"/>
    <w:rsid w:val="004A5E73"/>
    <w:rsid w:val="004A7465"/>
    <w:rsid w:val="004A7691"/>
    <w:rsid w:val="004A782D"/>
    <w:rsid w:val="004A7A52"/>
    <w:rsid w:val="004B19FE"/>
    <w:rsid w:val="004B2A4D"/>
    <w:rsid w:val="004B2DD6"/>
    <w:rsid w:val="004B2F45"/>
    <w:rsid w:val="004B33C2"/>
    <w:rsid w:val="004B3F3D"/>
    <w:rsid w:val="004B4214"/>
    <w:rsid w:val="004B5899"/>
    <w:rsid w:val="004B689D"/>
    <w:rsid w:val="004B722B"/>
    <w:rsid w:val="004C0E97"/>
    <w:rsid w:val="004C1274"/>
    <w:rsid w:val="004C48C8"/>
    <w:rsid w:val="004C598D"/>
    <w:rsid w:val="004D2111"/>
    <w:rsid w:val="004D28BC"/>
    <w:rsid w:val="004D29C4"/>
    <w:rsid w:val="004D3897"/>
    <w:rsid w:val="004D4425"/>
    <w:rsid w:val="004D6049"/>
    <w:rsid w:val="004E2081"/>
    <w:rsid w:val="004E2BD6"/>
    <w:rsid w:val="004E3010"/>
    <w:rsid w:val="004E5C02"/>
    <w:rsid w:val="004E642A"/>
    <w:rsid w:val="004F0061"/>
    <w:rsid w:val="004F2831"/>
    <w:rsid w:val="004F5DBC"/>
    <w:rsid w:val="004F6AD3"/>
    <w:rsid w:val="0050078C"/>
    <w:rsid w:val="00501386"/>
    <w:rsid w:val="00501BD9"/>
    <w:rsid w:val="00501C25"/>
    <w:rsid w:val="005027A6"/>
    <w:rsid w:val="00502DAE"/>
    <w:rsid w:val="00502FA9"/>
    <w:rsid w:val="00502FFB"/>
    <w:rsid w:val="00503110"/>
    <w:rsid w:val="005035C4"/>
    <w:rsid w:val="005038A0"/>
    <w:rsid w:val="00504A82"/>
    <w:rsid w:val="00505E19"/>
    <w:rsid w:val="00507E71"/>
    <w:rsid w:val="005103C5"/>
    <w:rsid w:val="0051110C"/>
    <w:rsid w:val="005131D3"/>
    <w:rsid w:val="0051352C"/>
    <w:rsid w:val="00514FC2"/>
    <w:rsid w:val="00515BFA"/>
    <w:rsid w:val="00517A86"/>
    <w:rsid w:val="0052349D"/>
    <w:rsid w:val="00524BE8"/>
    <w:rsid w:val="0052575D"/>
    <w:rsid w:val="00526C92"/>
    <w:rsid w:val="00526FC3"/>
    <w:rsid w:val="00527533"/>
    <w:rsid w:val="005275FC"/>
    <w:rsid w:val="0052768C"/>
    <w:rsid w:val="005302C2"/>
    <w:rsid w:val="00530896"/>
    <w:rsid w:val="00530AA7"/>
    <w:rsid w:val="005310AF"/>
    <w:rsid w:val="0053189B"/>
    <w:rsid w:val="00532255"/>
    <w:rsid w:val="005342C3"/>
    <w:rsid w:val="00534605"/>
    <w:rsid w:val="005362F5"/>
    <w:rsid w:val="0053725B"/>
    <w:rsid w:val="00537FA6"/>
    <w:rsid w:val="00540C57"/>
    <w:rsid w:val="005458A0"/>
    <w:rsid w:val="005458A6"/>
    <w:rsid w:val="00545F3C"/>
    <w:rsid w:val="00547002"/>
    <w:rsid w:val="00547D6C"/>
    <w:rsid w:val="0055123E"/>
    <w:rsid w:val="005531BD"/>
    <w:rsid w:val="005567B2"/>
    <w:rsid w:val="00557870"/>
    <w:rsid w:val="00560277"/>
    <w:rsid w:val="00560311"/>
    <w:rsid w:val="00560938"/>
    <w:rsid w:val="00560AF1"/>
    <w:rsid w:val="00560EE2"/>
    <w:rsid w:val="00561562"/>
    <w:rsid w:val="00563DE6"/>
    <w:rsid w:val="005647A5"/>
    <w:rsid w:val="00564C5E"/>
    <w:rsid w:val="00565277"/>
    <w:rsid w:val="0056528D"/>
    <w:rsid w:val="00565835"/>
    <w:rsid w:val="0056628B"/>
    <w:rsid w:val="00566298"/>
    <w:rsid w:val="0056646A"/>
    <w:rsid w:val="0057091E"/>
    <w:rsid w:val="00571D60"/>
    <w:rsid w:val="005723D6"/>
    <w:rsid w:val="00574A6E"/>
    <w:rsid w:val="00576244"/>
    <w:rsid w:val="00577145"/>
    <w:rsid w:val="005773BE"/>
    <w:rsid w:val="005777E8"/>
    <w:rsid w:val="005778A8"/>
    <w:rsid w:val="005820C6"/>
    <w:rsid w:val="005822ED"/>
    <w:rsid w:val="00582365"/>
    <w:rsid w:val="00585C1B"/>
    <w:rsid w:val="00586925"/>
    <w:rsid w:val="00587639"/>
    <w:rsid w:val="0059144C"/>
    <w:rsid w:val="00592638"/>
    <w:rsid w:val="00592F06"/>
    <w:rsid w:val="00593138"/>
    <w:rsid w:val="00593A33"/>
    <w:rsid w:val="005947B5"/>
    <w:rsid w:val="005960BB"/>
    <w:rsid w:val="00596C25"/>
    <w:rsid w:val="00597407"/>
    <w:rsid w:val="005A0163"/>
    <w:rsid w:val="005A0496"/>
    <w:rsid w:val="005A4047"/>
    <w:rsid w:val="005A4384"/>
    <w:rsid w:val="005A478A"/>
    <w:rsid w:val="005A4D9A"/>
    <w:rsid w:val="005A7012"/>
    <w:rsid w:val="005A7A5E"/>
    <w:rsid w:val="005B12F8"/>
    <w:rsid w:val="005B1C07"/>
    <w:rsid w:val="005B22FA"/>
    <w:rsid w:val="005B2F3D"/>
    <w:rsid w:val="005B3432"/>
    <w:rsid w:val="005B3BD6"/>
    <w:rsid w:val="005B5086"/>
    <w:rsid w:val="005B7D6C"/>
    <w:rsid w:val="005C2492"/>
    <w:rsid w:val="005C2E98"/>
    <w:rsid w:val="005C3EB5"/>
    <w:rsid w:val="005C6D12"/>
    <w:rsid w:val="005C7215"/>
    <w:rsid w:val="005C73C4"/>
    <w:rsid w:val="005D00EA"/>
    <w:rsid w:val="005D023B"/>
    <w:rsid w:val="005D02C4"/>
    <w:rsid w:val="005D128C"/>
    <w:rsid w:val="005D2304"/>
    <w:rsid w:val="005D32B0"/>
    <w:rsid w:val="005D3A04"/>
    <w:rsid w:val="005D43F9"/>
    <w:rsid w:val="005D48FE"/>
    <w:rsid w:val="005D4ED9"/>
    <w:rsid w:val="005D7471"/>
    <w:rsid w:val="005D749D"/>
    <w:rsid w:val="005E2702"/>
    <w:rsid w:val="005E39CF"/>
    <w:rsid w:val="005E5874"/>
    <w:rsid w:val="005E6965"/>
    <w:rsid w:val="005E75D5"/>
    <w:rsid w:val="005E7FEE"/>
    <w:rsid w:val="005F1555"/>
    <w:rsid w:val="005F1AC0"/>
    <w:rsid w:val="005F1CD7"/>
    <w:rsid w:val="005F2978"/>
    <w:rsid w:val="005F2D09"/>
    <w:rsid w:val="005F4721"/>
    <w:rsid w:val="005F6ED6"/>
    <w:rsid w:val="005F720A"/>
    <w:rsid w:val="005F7254"/>
    <w:rsid w:val="0060046C"/>
    <w:rsid w:val="00601E57"/>
    <w:rsid w:val="006022F8"/>
    <w:rsid w:val="00602F43"/>
    <w:rsid w:val="00603B08"/>
    <w:rsid w:val="00605776"/>
    <w:rsid w:val="00606164"/>
    <w:rsid w:val="00606A38"/>
    <w:rsid w:val="006100D8"/>
    <w:rsid w:val="00610162"/>
    <w:rsid w:val="00610ABA"/>
    <w:rsid w:val="00610FE4"/>
    <w:rsid w:val="00613037"/>
    <w:rsid w:val="006130EB"/>
    <w:rsid w:val="006135AB"/>
    <w:rsid w:val="006138E4"/>
    <w:rsid w:val="006139AC"/>
    <w:rsid w:val="006144F6"/>
    <w:rsid w:val="00614B12"/>
    <w:rsid w:val="00616407"/>
    <w:rsid w:val="00620E5A"/>
    <w:rsid w:val="00623076"/>
    <w:rsid w:val="00623F5D"/>
    <w:rsid w:val="006250E9"/>
    <w:rsid w:val="00626AD3"/>
    <w:rsid w:val="00627384"/>
    <w:rsid w:val="00630A67"/>
    <w:rsid w:val="006315A6"/>
    <w:rsid w:val="00633B2F"/>
    <w:rsid w:val="00635496"/>
    <w:rsid w:val="00636A07"/>
    <w:rsid w:val="00637FF0"/>
    <w:rsid w:val="00640C31"/>
    <w:rsid w:val="00641DA8"/>
    <w:rsid w:val="00643226"/>
    <w:rsid w:val="00643716"/>
    <w:rsid w:val="006459EF"/>
    <w:rsid w:val="006465F3"/>
    <w:rsid w:val="0065257C"/>
    <w:rsid w:val="006534BF"/>
    <w:rsid w:val="006537D7"/>
    <w:rsid w:val="0065444A"/>
    <w:rsid w:val="00654F68"/>
    <w:rsid w:val="00655CF9"/>
    <w:rsid w:val="00655D45"/>
    <w:rsid w:val="00656128"/>
    <w:rsid w:val="0065714C"/>
    <w:rsid w:val="006579B4"/>
    <w:rsid w:val="00660A4F"/>
    <w:rsid w:val="00660A74"/>
    <w:rsid w:val="00662E5F"/>
    <w:rsid w:val="00664434"/>
    <w:rsid w:val="0066561F"/>
    <w:rsid w:val="00665D09"/>
    <w:rsid w:val="00666A58"/>
    <w:rsid w:val="006705FD"/>
    <w:rsid w:val="00670650"/>
    <w:rsid w:val="00670A26"/>
    <w:rsid w:val="006712C0"/>
    <w:rsid w:val="00671C55"/>
    <w:rsid w:val="00672E75"/>
    <w:rsid w:val="006741BF"/>
    <w:rsid w:val="006744AC"/>
    <w:rsid w:val="00674C7D"/>
    <w:rsid w:val="00676C4A"/>
    <w:rsid w:val="00680B40"/>
    <w:rsid w:val="00681EC9"/>
    <w:rsid w:val="006822FA"/>
    <w:rsid w:val="00682342"/>
    <w:rsid w:val="0068288C"/>
    <w:rsid w:val="00683F36"/>
    <w:rsid w:val="006850EB"/>
    <w:rsid w:val="00685589"/>
    <w:rsid w:val="0068682C"/>
    <w:rsid w:val="006873C8"/>
    <w:rsid w:val="00687B0C"/>
    <w:rsid w:val="00691AFF"/>
    <w:rsid w:val="006938AA"/>
    <w:rsid w:val="00693DF5"/>
    <w:rsid w:val="0069474B"/>
    <w:rsid w:val="0069475D"/>
    <w:rsid w:val="006951C0"/>
    <w:rsid w:val="00695482"/>
    <w:rsid w:val="00696B04"/>
    <w:rsid w:val="00696E26"/>
    <w:rsid w:val="00697966"/>
    <w:rsid w:val="006A04C0"/>
    <w:rsid w:val="006A3A2B"/>
    <w:rsid w:val="006A41E3"/>
    <w:rsid w:val="006A4802"/>
    <w:rsid w:val="006A6BF1"/>
    <w:rsid w:val="006A7B8E"/>
    <w:rsid w:val="006B08F8"/>
    <w:rsid w:val="006B1577"/>
    <w:rsid w:val="006B1D4E"/>
    <w:rsid w:val="006B215A"/>
    <w:rsid w:val="006B3032"/>
    <w:rsid w:val="006B3D81"/>
    <w:rsid w:val="006B4B4A"/>
    <w:rsid w:val="006B55B1"/>
    <w:rsid w:val="006B75C6"/>
    <w:rsid w:val="006C2C1B"/>
    <w:rsid w:val="006C354C"/>
    <w:rsid w:val="006C3B76"/>
    <w:rsid w:val="006C3E4E"/>
    <w:rsid w:val="006C4572"/>
    <w:rsid w:val="006C4984"/>
    <w:rsid w:val="006C52AC"/>
    <w:rsid w:val="006C5556"/>
    <w:rsid w:val="006C7B03"/>
    <w:rsid w:val="006D0EC2"/>
    <w:rsid w:val="006D4C72"/>
    <w:rsid w:val="006D4E4C"/>
    <w:rsid w:val="006D5585"/>
    <w:rsid w:val="006D5F76"/>
    <w:rsid w:val="006D6D96"/>
    <w:rsid w:val="006D6F03"/>
    <w:rsid w:val="006D7211"/>
    <w:rsid w:val="006D75C8"/>
    <w:rsid w:val="006E3ABF"/>
    <w:rsid w:val="006E5FB2"/>
    <w:rsid w:val="006E65BE"/>
    <w:rsid w:val="006E6B62"/>
    <w:rsid w:val="006E79BE"/>
    <w:rsid w:val="006F0D46"/>
    <w:rsid w:val="006F0DE5"/>
    <w:rsid w:val="006F23DD"/>
    <w:rsid w:val="006F5158"/>
    <w:rsid w:val="006F54A3"/>
    <w:rsid w:val="0070022D"/>
    <w:rsid w:val="00700950"/>
    <w:rsid w:val="00701136"/>
    <w:rsid w:val="00701EDA"/>
    <w:rsid w:val="0070319A"/>
    <w:rsid w:val="00703CB4"/>
    <w:rsid w:val="00704A57"/>
    <w:rsid w:val="00704E95"/>
    <w:rsid w:val="0070509B"/>
    <w:rsid w:val="00705367"/>
    <w:rsid w:val="00707C18"/>
    <w:rsid w:val="007103A9"/>
    <w:rsid w:val="00710997"/>
    <w:rsid w:val="0071111D"/>
    <w:rsid w:val="00715101"/>
    <w:rsid w:val="007161B6"/>
    <w:rsid w:val="00716AD2"/>
    <w:rsid w:val="007170DA"/>
    <w:rsid w:val="00717232"/>
    <w:rsid w:val="0071797F"/>
    <w:rsid w:val="007203CA"/>
    <w:rsid w:val="007214B4"/>
    <w:rsid w:val="007226F5"/>
    <w:rsid w:val="00723B2C"/>
    <w:rsid w:val="00724ED0"/>
    <w:rsid w:val="00724F92"/>
    <w:rsid w:val="007253D6"/>
    <w:rsid w:val="0072578A"/>
    <w:rsid w:val="0072597A"/>
    <w:rsid w:val="0072782B"/>
    <w:rsid w:val="00736182"/>
    <w:rsid w:val="0073792C"/>
    <w:rsid w:val="00737DE8"/>
    <w:rsid w:val="0074101B"/>
    <w:rsid w:val="0074257A"/>
    <w:rsid w:val="00743102"/>
    <w:rsid w:val="00743314"/>
    <w:rsid w:val="007451CD"/>
    <w:rsid w:val="00745287"/>
    <w:rsid w:val="007458A5"/>
    <w:rsid w:val="00746A94"/>
    <w:rsid w:val="00747434"/>
    <w:rsid w:val="0074788B"/>
    <w:rsid w:val="0075060E"/>
    <w:rsid w:val="00750904"/>
    <w:rsid w:val="0075137C"/>
    <w:rsid w:val="007517E7"/>
    <w:rsid w:val="00753395"/>
    <w:rsid w:val="00753914"/>
    <w:rsid w:val="0075418A"/>
    <w:rsid w:val="0076260D"/>
    <w:rsid w:val="00762827"/>
    <w:rsid w:val="00763B77"/>
    <w:rsid w:val="0076478C"/>
    <w:rsid w:val="007647E5"/>
    <w:rsid w:val="00765590"/>
    <w:rsid w:val="0076702C"/>
    <w:rsid w:val="00767F6C"/>
    <w:rsid w:val="00772829"/>
    <w:rsid w:val="00772987"/>
    <w:rsid w:val="00772F08"/>
    <w:rsid w:val="007777CB"/>
    <w:rsid w:val="00777848"/>
    <w:rsid w:val="00777893"/>
    <w:rsid w:val="00781145"/>
    <w:rsid w:val="00784341"/>
    <w:rsid w:val="007852E9"/>
    <w:rsid w:val="00790B15"/>
    <w:rsid w:val="00790F49"/>
    <w:rsid w:val="0079259A"/>
    <w:rsid w:val="007931CB"/>
    <w:rsid w:val="00794E9D"/>
    <w:rsid w:val="007951D4"/>
    <w:rsid w:val="00795F29"/>
    <w:rsid w:val="00796C59"/>
    <w:rsid w:val="00797C46"/>
    <w:rsid w:val="007A0166"/>
    <w:rsid w:val="007A07F0"/>
    <w:rsid w:val="007A19F6"/>
    <w:rsid w:val="007A2B65"/>
    <w:rsid w:val="007A5617"/>
    <w:rsid w:val="007B0245"/>
    <w:rsid w:val="007B083F"/>
    <w:rsid w:val="007B0880"/>
    <w:rsid w:val="007B0B50"/>
    <w:rsid w:val="007B0D01"/>
    <w:rsid w:val="007B2085"/>
    <w:rsid w:val="007B2FAF"/>
    <w:rsid w:val="007B2FDC"/>
    <w:rsid w:val="007B38A0"/>
    <w:rsid w:val="007B38B7"/>
    <w:rsid w:val="007B4344"/>
    <w:rsid w:val="007B4F7B"/>
    <w:rsid w:val="007B583D"/>
    <w:rsid w:val="007B6684"/>
    <w:rsid w:val="007B6B21"/>
    <w:rsid w:val="007B7024"/>
    <w:rsid w:val="007B7391"/>
    <w:rsid w:val="007B7536"/>
    <w:rsid w:val="007C0390"/>
    <w:rsid w:val="007C14A2"/>
    <w:rsid w:val="007C1970"/>
    <w:rsid w:val="007C27DB"/>
    <w:rsid w:val="007C300E"/>
    <w:rsid w:val="007C3022"/>
    <w:rsid w:val="007C328D"/>
    <w:rsid w:val="007C336F"/>
    <w:rsid w:val="007C3AF6"/>
    <w:rsid w:val="007C41B1"/>
    <w:rsid w:val="007C5361"/>
    <w:rsid w:val="007D0870"/>
    <w:rsid w:val="007D2508"/>
    <w:rsid w:val="007D2E3B"/>
    <w:rsid w:val="007D30B7"/>
    <w:rsid w:val="007D6D40"/>
    <w:rsid w:val="007D6FD7"/>
    <w:rsid w:val="007D7BF7"/>
    <w:rsid w:val="007E089B"/>
    <w:rsid w:val="007E1076"/>
    <w:rsid w:val="007E15AD"/>
    <w:rsid w:val="007E25ED"/>
    <w:rsid w:val="007E2BC0"/>
    <w:rsid w:val="007E2EDA"/>
    <w:rsid w:val="007E336E"/>
    <w:rsid w:val="007E70D5"/>
    <w:rsid w:val="007F0873"/>
    <w:rsid w:val="007F33A8"/>
    <w:rsid w:val="007F44E0"/>
    <w:rsid w:val="007F5A5C"/>
    <w:rsid w:val="007F67E9"/>
    <w:rsid w:val="007F69DB"/>
    <w:rsid w:val="007F7C7B"/>
    <w:rsid w:val="00800063"/>
    <w:rsid w:val="0080246C"/>
    <w:rsid w:val="008035F4"/>
    <w:rsid w:val="00803776"/>
    <w:rsid w:val="008040A2"/>
    <w:rsid w:val="00804632"/>
    <w:rsid w:val="008054D9"/>
    <w:rsid w:val="00805B72"/>
    <w:rsid w:val="00806688"/>
    <w:rsid w:val="00807A3E"/>
    <w:rsid w:val="00810338"/>
    <w:rsid w:val="00812282"/>
    <w:rsid w:val="008148E4"/>
    <w:rsid w:val="008157F1"/>
    <w:rsid w:val="0081632E"/>
    <w:rsid w:val="00816EC2"/>
    <w:rsid w:val="0082315F"/>
    <w:rsid w:val="008236E1"/>
    <w:rsid w:val="00824458"/>
    <w:rsid w:val="00824574"/>
    <w:rsid w:val="008249F7"/>
    <w:rsid w:val="00824B74"/>
    <w:rsid w:val="008253F0"/>
    <w:rsid w:val="00827027"/>
    <w:rsid w:val="00827F5A"/>
    <w:rsid w:val="00832B33"/>
    <w:rsid w:val="008333F0"/>
    <w:rsid w:val="008340DE"/>
    <w:rsid w:val="00835EC9"/>
    <w:rsid w:val="008371D3"/>
    <w:rsid w:val="00841388"/>
    <w:rsid w:val="00841EFB"/>
    <w:rsid w:val="00841F44"/>
    <w:rsid w:val="00842355"/>
    <w:rsid w:val="00842C82"/>
    <w:rsid w:val="008436D7"/>
    <w:rsid w:val="008440FE"/>
    <w:rsid w:val="0084561E"/>
    <w:rsid w:val="00846119"/>
    <w:rsid w:val="008474E3"/>
    <w:rsid w:val="008503F7"/>
    <w:rsid w:val="008511F7"/>
    <w:rsid w:val="008527ED"/>
    <w:rsid w:val="008537F7"/>
    <w:rsid w:val="008546BE"/>
    <w:rsid w:val="00856074"/>
    <w:rsid w:val="00857949"/>
    <w:rsid w:val="00860E7F"/>
    <w:rsid w:val="0086442B"/>
    <w:rsid w:val="00870655"/>
    <w:rsid w:val="008707CE"/>
    <w:rsid w:val="00871648"/>
    <w:rsid w:val="008719C2"/>
    <w:rsid w:val="00871ED8"/>
    <w:rsid w:val="0087277A"/>
    <w:rsid w:val="00872933"/>
    <w:rsid w:val="00872A47"/>
    <w:rsid w:val="008736E2"/>
    <w:rsid w:val="00874565"/>
    <w:rsid w:val="00876FD2"/>
    <w:rsid w:val="00877247"/>
    <w:rsid w:val="008801AE"/>
    <w:rsid w:val="00880AA3"/>
    <w:rsid w:val="0088421C"/>
    <w:rsid w:val="0088445B"/>
    <w:rsid w:val="008846FF"/>
    <w:rsid w:val="00887AAA"/>
    <w:rsid w:val="008901EF"/>
    <w:rsid w:val="00891AF6"/>
    <w:rsid w:val="00891BC3"/>
    <w:rsid w:val="00893309"/>
    <w:rsid w:val="008937C8"/>
    <w:rsid w:val="00895A3B"/>
    <w:rsid w:val="008967C4"/>
    <w:rsid w:val="008A0D2A"/>
    <w:rsid w:val="008A1693"/>
    <w:rsid w:val="008A254F"/>
    <w:rsid w:val="008A2630"/>
    <w:rsid w:val="008A33DA"/>
    <w:rsid w:val="008A3704"/>
    <w:rsid w:val="008A3773"/>
    <w:rsid w:val="008A4707"/>
    <w:rsid w:val="008A5833"/>
    <w:rsid w:val="008A6564"/>
    <w:rsid w:val="008A670C"/>
    <w:rsid w:val="008B0EAF"/>
    <w:rsid w:val="008B3A88"/>
    <w:rsid w:val="008B3F76"/>
    <w:rsid w:val="008B4BFC"/>
    <w:rsid w:val="008B4F4D"/>
    <w:rsid w:val="008B51B4"/>
    <w:rsid w:val="008B5B67"/>
    <w:rsid w:val="008B5D2C"/>
    <w:rsid w:val="008B5D3F"/>
    <w:rsid w:val="008B5D7A"/>
    <w:rsid w:val="008B66E3"/>
    <w:rsid w:val="008B7848"/>
    <w:rsid w:val="008C1E05"/>
    <w:rsid w:val="008C34BB"/>
    <w:rsid w:val="008C418A"/>
    <w:rsid w:val="008C45E2"/>
    <w:rsid w:val="008C59AD"/>
    <w:rsid w:val="008D0B59"/>
    <w:rsid w:val="008D16AC"/>
    <w:rsid w:val="008D3470"/>
    <w:rsid w:val="008D3726"/>
    <w:rsid w:val="008D4CB0"/>
    <w:rsid w:val="008D6397"/>
    <w:rsid w:val="008D73C9"/>
    <w:rsid w:val="008E16BF"/>
    <w:rsid w:val="008E26CA"/>
    <w:rsid w:val="008E3049"/>
    <w:rsid w:val="008E35A3"/>
    <w:rsid w:val="008E5F6E"/>
    <w:rsid w:val="008E7274"/>
    <w:rsid w:val="008F0542"/>
    <w:rsid w:val="008F0562"/>
    <w:rsid w:val="008F260B"/>
    <w:rsid w:val="008F53C1"/>
    <w:rsid w:val="0090040F"/>
    <w:rsid w:val="00901D48"/>
    <w:rsid w:val="00903601"/>
    <w:rsid w:val="00905ECE"/>
    <w:rsid w:val="00906821"/>
    <w:rsid w:val="00906E65"/>
    <w:rsid w:val="0090758A"/>
    <w:rsid w:val="0091021F"/>
    <w:rsid w:val="0091158D"/>
    <w:rsid w:val="0091418B"/>
    <w:rsid w:val="009144D5"/>
    <w:rsid w:val="00915B87"/>
    <w:rsid w:val="00915C70"/>
    <w:rsid w:val="00915F98"/>
    <w:rsid w:val="00915FA3"/>
    <w:rsid w:val="00920486"/>
    <w:rsid w:val="009217F8"/>
    <w:rsid w:val="00924613"/>
    <w:rsid w:val="0092470E"/>
    <w:rsid w:val="00924AB9"/>
    <w:rsid w:val="00925187"/>
    <w:rsid w:val="0092709C"/>
    <w:rsid w:val="0092717F"/>
    <w:rsid w:val="00927744"/>
    <w:rsid w:val="00927B05"/>
    <w:rsid w:val="00930F4E"/>
    <w:rsid w:val="00931BED"/>
    <w:rsid w:val="00934B41"/>
    <w:rsid w:val="00934CE5"/>
    <w:rsid w:val="00936062"/>
    <w:rsid w:val="00937CBE"/>
    <w:rsid w:val="00940B44"/>
    <w:rsid w:val="00942C40"/>
    <w:rsid w:val="00944087"/>
    <w:rsid w:val="00944E74"/>
    <w:rsid w:val="0094601E"/>
    <w:rsid w:val="00946057"/>
    <w:rsid w:val="0094770F"/>
    <w:rsid w:val="0095012E"/>
    <w:rsid w:val="00950F5D"/>
    <w:rsid w:val="00951934"/>
    <w:rsid w:val="00951F31"/>
    <w:rsid w:val="00952041"/>
    <w:rsid w:val="0095207B"/>
    <w:rsid w:val="00952CC3"/>
    <w:rsid w:val="00954C8C"/>
    <w:rsid w:val="00956ACE"/>
    <w:rsid w:val="009572A0"/>
    <w:rsid w:val="00957D24"/>
    <w:rsid w:val="0096025E"/>
    <w:rsid w:val="00960DCF"/>
    <w:rsid w:val="00961B53"/>
    <w:rsid w:val="00963203"/>
    <w:rsid w:val="00963264"/>
    <w:rsid w:val="0096389D"/>
    <w:rsid w:val="009676C0"/>
    <w:rsid w:val="00973DD1"/>
    <w:rsid w:val="00974A92"/>
    <w:rsid w:val="00975F8B"/>
    <w:rsid w:val="009774D2"/>
    <w:rsid w:val="009803A9"/>
    <w:rsid w:val="009803CB"/>
    <w:rsid w:val="009803D4"/>
    <w:rsid w:val="00980415"/>
    <w:rsid w:val="00980661"/>
    <w:rsid w:val="009807A2"/>
    <w:rsid w:val="0098199C"/>
    <w:rsid w:val="009828B0"/>
    <w:rsid w:val="009833BB"/>
    <w:rsid w:val="00983A07"/>
    <w:rsid w:val="00985726"/>
    <w:rsid w:val="009873F3"/>
    <w:rsid w:val="00992D82"/>
    <w:rsid w:val="00992FC1"/>
    <w:rsid w:val="00995E98"/>
    <w:rsid w:val="00996F15"/>
    <w:rsid w:val="00997BA8"/>
    <w:rsid w:val="00997D0E"/>
    <w:rsid w:val="00997EF8"/>
    <w:rsid w:val="009A0069"/>
    <w:rsid w:val="009A06F4"/>
    <w:rsid w:val="009A3778"/>
    <w:rsid w:val="009A3E2E"/>
    <w:rsid w:val="009A7B1F"/>
    <w:rsid w:val="009A7CB9"/>
    <w:rsid w:val="009A7F34"/>
    <w:rsid w:val="009B20F4"/>
    <w:rsid w:val="009B2245"/>
    <w:rsid w:val="009B258E"/>
    <w:rsid w:val="009B26D2"/>
    <w:rsid w:val="009B3320"/>
    <w:rsid w:val="009B37B6"/>
    <w:rsid w:val="009B49B0"/>
    <w:rsid w:val="009B5997"/>
    <w:rsid w:val="009B6B23"/>
    <w:rsid w:val="009B7ABD"/>
    <w:rsid w:val="009C09DB"/>
    <w:rsid w:val="009C1D27"/>
    <w:rsid w:val="009C3284"/>
    <w:rsid w:val="009C3BD9"/>
    <w:rsid w:val="009C520C"/>
    <w:rsid w:val="009C5B82"/>
    <w:rsid w:val="009C68F4"/>
    <w:rsid w:val="009C756E"/>
    <w:rsid w:val="009D126B"/>
    <w:rsid w:val="009D21BE"/>
    <w:rsid w:val="009D3C3D"/>
    <w:rsid w:val="009D4BB4"/>
    <w:rsid w:val="009D5288"/>
    <w:rsid w:val="009D5FE6"/>
    <w:rsid w:val="009D6487"/>
    <w:rsid w:val="009E25CD"/>
    <w:rsid w:val="009E2AD3"/>
    <w:rsid w:val="009E3CBE"/>
    <w:rsid w:val="009E47E5"/>
    <w:rsid w:val="009F146F"/>
    <w:rsid w:val="009F3C75"/>
    <w:rsid w:val="009F46F8"/>
    <w:rsid w:val="009F53C7"/>
    <w:rsid w:val="00A0037E"/>
    <w:rsid w:val="00A01303"/>
    <w:rsid w:val="00A0184D"/>
    <w:rsid w:val="00A02988"/>
    <w:rsid w:val="00A02C4F"/>
    <w:rsid w:val="00A04A09"/>
    <w:rsid w:val="00A04AC0"/>
    <w:rsid w:val="00A05821"/>
    <w:rsid w:val="00A05D1D"/>
    <w:rsid w:val="00A05EA2"/>
    <w:rsid w:val="00A076CC"/>
    <w:rsid w:val="00A115F8"/>
    <w:rsid w:val="00A1165C"/>
    <w:rsid w:val="00A125D6"/>
    <w:rsid w:val="00A1362B"/>
    <w:rsid w:val="00A141F2"/>
    <w:rsid w:val="00A14E53"/>
    <w:rsid w:val="00A15580"/>
    <w:rsid w:val="00A16449"/>
    <w:rsid w:val="00A20130"/>
    <w:rsid w:val="00A21A9C"/>
    <w:rsid w:val="00A22EFC"/>
    <w:rsid w:val="00A26389"/>
    <w:rsid w:val="00A303B8"/>
    <w:rsid w:val="00A328AC"/>
    <w:rsid w:val="00A34735"/>
    <w:rsid w:val="00A361C3"/>
    <w:rsid w:val="00A411FA"/>
    <w:rsid w:val="00A43C93"/>
    <w:rsid w:val="00A44EC1"/>
    <w:rsid w:val="00A454B3"/>
    <w:rsid w:val="00A45A2B"/>
    <w:rsid w:val="00A45E52"/>
    <w:rsid w:val="00A46652"/>
    <w:rsid w:val="00A46D15"/>
    <w:rsid w:val="00A46E2F"/>
    <w:rsid w:val="00A4713D"/>
    <w:rsid w:val="00A5323B"/>
    <w:rsid w:val="00A54FB4"/>
    <w:rsid w:val="00A5565A"/>
    <w:rsid w:val="00A56DE0"/>
    <w:rsid w:val="00A6012B"/>
    <w:rsid w:val="00A63C18"/>
    <w:rsid w:val="00A662DC"/>
    <w:rsid w:val="00A6741B"/>
    <w:rsid w:val="00A72948"/>
    <w:rsid w:val="00A73C0D"/>
    <w:rsid w:val="00A74226"/>
    <w:rsid w:val="00A757B0"/>
    <w:rsid w:val="00A75927"/>
    <w:rsid w:val="00A776A4"/>
    <w:rsid w:val="00A77CDB"/>
    <w:rsid w:val="00A8049D"/>
    <w:rsid w:val="00A80D74"/>
    <w:rsid w:val="00A822C2"/>
    <w:rsid w:val="00A82990"/>
    <w:rsid w:val="00A879D6"/>
    <w:rsid w:val="00A90401"/>
    <w:rsid w:val="00A9170D"/>
    <w:rsid w:val="00A91DF7"/>
    <w:rsid w:val="00A91FE1"/>
    <w:rsid w:val="00A921E3"/>
    <w:rsid w:val="00A921F5"/>
    <w:rsid w:val="00A94D20"/>
    <w:rsid w:val="00A9752B"/>
    <w:rsid w:val="00AA2461"/>
    <w:rsid w:val="00AA2865"/>
    <w:rsid w:val="00AA3335"/>
    <w:rsid w:val="00AA3911"/>
    <w:rsid w:val="00AA3A9B"/>
    <w:rsid w:val="00AA3BF1"/>
    <w:rsid w:val="00AA5410"/>
    <w:rsid w:val="00AA59A9"/>
    <w:rsid w:val="00AB0FAC"/>
    <w:rsid w:val="00AB21C6"/>
    <w:rsid w:val="00AB2841"/>
    <w:rsid w:val="00AB3AB1"/>
    <w:rsid w:val="00AB60AF"/>
    <w:rsid w:val="00AB7037"/>
    <w:rsid w:val="00AC6F7D"/>
    <w:rsid w:val="00AC720A"/>
    <w:rsid w:val="00AD03E8"/>
    <w:rsid w:val="00AD37FE"/>
    <w:rsid w:val="00AD5B40"/>
    <w:rsid w:val="00AD60EA"/>
    <w:rsid w:val="00AD67C6"/>
    <w:rsid w:val="00AD67D4"/>
    <w:rsid w:val="00AE1E00"/>
    <w:rsid w:val="00AE2204"/>
    <w:rsid w:val="00AE4331"/>
    <w:rsid w:val="00AE614D"/>
    <w:rsid w:val="00AE7849"/>
    <w:rsid w:val="00AE7977"/>
    <w:rsid w:val="00AF06D6"/>
    <w:rsid w:val="00AF1920"/>
    <w:rsid w:val="00AF1F10"/>
    <w:rsid w:val="00AF2C1D"/>
    <w:rsid w:val="00AF3D39"/>
    <w:rsid w:val="00AF497B"/>
    <w:rsid w:val="00AF6A4C"/>
    <w:rsid w:val="00AF77D6"/>
    <w:rsid w:val="00B02183"/>
    <w:rsid w:val="00B047C2"/>
    <w:rsid w:val="00B04CB1"/>
    <w:rsid w:val="00B0537B"/>
    <w:rsid w:val="00B05635"/>
    <w:rsid w:val="00B05C7F"/>
    <w:rsid w:val="00B07620"/>
    <w:rsid w:val="00B10016"/>
    <w:rsid w:val="00B1314F"/>
    <w:rsid w:val="00B1378F"/>
    <w:rsid w:val="00B151CF"/>
    <w:rsid w:val="00B20445"/>
    <w:rsid w:val="00B20556"/>
    <w:rsid w:val="00B227BC"/>
    <w:rsid w:val="00B247AD"/>
    <w:rsid w:val="00B24ACA"/>
    <w:rsid w:val="00B25D05"/>
    <w:rsid w:val="00B26622"/>
    <w:rsid w:val="00B26669"/>
    <w:rsid w:val="00B26F1E"/>
    <w:rsid w:val="00B276B4"/>
    <w:rsid w:val="00B303F6"/>
    <w:rsid w:val="00B307B7"/>
    <w:rsid w:val="00B324DC"/>
    <w:rsid w:val="00B34DED"/>
    <w:rsid w:val="00B36028"/>
    <w:rsid w:val="00B40064"/>
    <w:rsid w:val="00B424CA"/>
    <w:rsid w:val="00B45A1E"/>
    <w:rsid w:val="00B50857"/>
    <w:rsid w:val="00B50A44"/>
    <w:rsid w:val="00B5134B"/>
    <w:rsid w:val="00B519D6"/>
    <w:rsid w:val="00B5258E"/>
    <w:rsid w:val="00B534B0"/>
    <w:rsid w:val="00B55353"/>
    <w:rsid w:val="00B55524"/>
    <w:rsid w:val="00B57071"/>
    <w:rsid w:val="00B575BF"/>
    <w:rsid w:val="00B57D51"/>
    <w:rsid w:val="00B612EA"/>
    <w:rsid w:val="00B617A0"/>
    <w:rsid w:val="00B61C66"/>
    <w:rsid w:val="00B62604"/>
    <w:rsid w:val="00B62DF2"/>
    <w:rsid w:val="00B63024"/>
    <w:rsid w:val="00B63A53"/>
    <w:rsid w:val="00B66A87"/>
    <w:rsid w:val="00B66E24"/>
    <w:rsid w:val="00B66E74"/>
    <w:rsid w:val="00B67A1E"/>
    <w:rsid w:val="00B70476"/>
    <w:rsid w:val="00B712D0"/>
    <w:rsid w:val="00B757E5"/>
    <w:rsid w:val="00B80BA9"/>
    <w:rsid w:val="00B81F38"/>
    <w:rsid w:val="00B82AFC"/>
    <w:rsid w:val="00B83253"/>
    <w:rsid w:val="00B838F1"/>
    <w:rsid w:val="00B83B62"/>
    <w:rsid w:val="00B83D97"/>
    <w:rsid w:val="00B8535F"/>
    <w:rsid w:val="00B85566"/>
    <w:rsid w:val="00B87093"/>
    <w:rsid w:val="00B878CD"/>
    <w:rsid w:val="00B91CB1"/>
    <w:rsid w:val="00B9207F"/>
    <w:rsid w:val="00B9249B"/>
    <w:rsid w:val="00B9536C"/>
    <w:rsid w:val="00B95C8A"/>
    <w:rsid w:val="00B95F7F"/>
    <w:rsid w:val="00BA1FFB"/>
    <w:rsid w:val="00BA2B3F"/>
    <w:rsid w:val="00BA4E45"/>
    <w:rsid w:val="00BA59FB"/>
    <w:rsid w:val="00BA7847"/>
    <w:rsid w:val="00BB14A3"/>
    <w:rsid w:val="00BB23D4"/>
    <w:rsid w:val="00BB2AA5"/>
    <w:rsid w:val="00BB2EA9"/>
    <w:rsid w:val="00BB2ECA"/>
    <w:rsid w:val="00BB3E79"/>
    <w:rsid w:val="00BB67A5"/>
    <w:rsid w:val="00BB7D8A"/>
    <w:rsid w:val="00BC15DE"/>
    <w:rsid w:val="00BC17C8"/>
    <w:rsid w:val="00BC364A"/>
    <w:rsid w:val="00BC369C"/>
    <w:rsid w:val="00BC3A7F"/>
    <w:rsid w:val="00BC4972"/>
    <w:rsid w:val="00BC4FB2"/>
    <w:rsid w:val="00BC5417"/>
    <w:rsid w:val="00BC5EE0"/>
    <w:rsid w:val="00BC6897"/>
    <w:rsid w:val="00BC77BF"/>
    <w:rsid w:val="00BD1B8D"/>
    <w:rsid w:val="00BD33D4"/>
    <w:rsid w:val="00BD40B1"/>
    <w:rsid w:val="00BE262E"/>
    <w:rsid w:val="00BE30EB"/>
    <w:rsid w:val="00BE47BF"/>
    <w:rsid w:val="00BE4AF2"/>
    <w:rsid w:val="00BE5374"/>
    <w:rsid w:val="00BE5857"/>
    <w:rsid w:val="00BE627A"/>
    <w:rsid w:val="00BE6CE8"/>
    <w:rsid w:val="00BF079A"/>
    <w:rsid w:val="00BF0F94"/>
    <w:rsid w:val="00BF7C54"/>
    <w:rsid w:val="00C019AB"/>
    <w:rsid w:val="00C01D5F"/>
    <w:rsid w:val="00C02854"/>
    <w:rsid w:val="00C0345A"/>
    <w:rsid w:val="00C03511"/>
    <w:rsid w:val="00C04C3A"/>
    <w:rsid w:val="00C05700"/>
    <w:rsid w:val="00C06F05"/>
    <w:rsid w:val="00C074CD"/>
    <w:rsid w:val="00C102DA"/>
    <w:rsid w:val="00C107C3"/>
    <w:rsid w:val="00C11C94"/>
    <w:rsid w:val="00C133BB"/>
    <w:rsid w:val="00C13520"/>
    <w:rsid w:val="00C13F90"/>
    <w:rsid w:val="00C14F50"/>
    <w:rsid w:val="00C14F9B"/>
    <w:rsid w:val="00C14FAB"/>
    <w:rsid w:val="00C15F42"/>
    <w:rsid w:val="00C1610B"/>
    <w:rsid w:val="00C1611D"/>
    <w:rsid w:val="00C16C9A"/>
    <w:rsid w:val="00C175E4"/>
    <w:rsid w:val="00C17AD3"/>
    <w:rsid w:val="00C2116C"/>
    <w:rsid w:val="00C21730"/>
    <w:rsid w:val="00C21F82"/>
    <w:rsid w:val="00C232E0"/>
    <w:rsid w:val="00C23879"/>
    <w:rsid w:val="00C24003"/>
    <w:rsid w:val="00C24B5E"/>
    <w:rsid w:val="00C250B4"/>
    <w:rsid w:val="00C2534F"/>
    <w:rsid w:val="00C30058"/>
    <w:rsid w:val="00C311B5"/>
    <w:rsid w:val="00C317A2"/>
    <w:rsid w:val="00C33198"/>
    <w:rsid w:val="00C33EEC"/>
    <w:rsid w:val="00C343FC"/>
    <w:rsid w:val="00C349F2"/>
    <w:rsid w:val="00C34B06"/>
    <w:rsid w:val="00C3651F"/>
    <w:rsid w:val="00C36633"/>
    <w:rsid w:val="00C36975"/>
    <w:rsid w:val="00C36E9D"/>
    <w:rsid w:val="00C37C86"/>
    <w:rsid w:val="00C412B1"/>
    <w:rsid w:val="00C4393F"/>
    <w:rsid w:val="00C4436C"/>
    <w:rsid w:val="00C460E7"/>
    <w:rsid w:val="00C461B2"/>
    <w:rsid w:val="00C47080"/>
    <w:rsid w:val="00C47C8E"/>
    <w:rsid w:val="00C50288"/>
    <w:rsid w:val="00C50851"/>
    <w:rsid w:val="00C50AEE"/>
    <w:rsid w:val="00C52FD1"/>
    <w:rsid w:val="00C5359B"/>
    <w:rsid w:val="00C53AF7"/>
    <w:rsid w:val="00C554B5"/>
    <w:rsid w:val="00C56EF2"/>
    <w:rsid w:val="00C570A6"/>
    <w:rsid w:val="00C571A9"/>
    <w:rsid w:val="00C579F3"/>
    <w:rsid w:val="00C600B3"/>
    <w:rsid w:val="00C600D2"/>
    <w:rsid w:val="00C6015C"/>
    <w:rsid w:val="00C60DE1"/>
    <w:rsid w:val="00C61464"/>
    <w:rsid w:val="00C61A1E"/>
    <w:rsid w:val="00C63D81"/>
    <w:rsid w:val="00C656A7"/>
    <w:rsid w:val="00C67E8E"/>
    <w:rsid w:val="00C70F0B"/>
    <w:rsid w:val="00C72177"/>
    <w:rsid w:val="00C74B8C"/>
    <w:rsid w:val="00C75C2E"/>
    <w:rsid w:val="00C76472"/>
    <w:rsid w:val="00C770AD"/>
    <w:rsid w:val="00C77AA2"/>
    <w:rsid w:val="00C8268F"/>
    <w:rsid w:val="00C83535"/>
    <w:rsid w:val="00C83696"/>
    <w:rsid w:val="00C83D84"/>
    <w:rsid w:val="00C862D6"/>
    <w:rsid w:val="00C87436"/>
    <w:rsid w:val="00C87F5B"/>
    <w:rsid w:val="00C9081E"/>
    <w:rsid w:val="00C91651"/>
    <w:rsid w:val="00C917A4"/>
    <w:rsid w:val="00C922A2"/>
    <w:rsid w:val="00C92571"/>
    <w:rsid w:val="00C9342D"/>
    <w:rsid w:val="00C94C64"/>
    <w:rsid w:val="00C976A2"/>
    <w:rsid w:val="00C97812"/>
    <w:rsid w:val="00C97CEE"/>
    <w:rsid w:val="00CA109D"/>
    <w:rsid w:val="00CA26EA"/>
    <w:rsid w:val="00CA276F"/>
    <w:rsid w:val="00CA2FA2"/>
    <w:rsid w:val="00CA2FB2"/>
    <w:rsid w:val="00CA3D3A"/>
    <w:rsid w:val="00CA42D6"/>
    <w:rsid w:val="00CA528A"/>
    <w:rsid w:val="00CA5F4E"/>
    <w:rsid w:val="00CA6D12"/>
    <w:rsid w:val="00CA7B2A"/>
    <w:rsid w:val="00CB15E9"/>
    <w:rsid w:val="00CB2BD5"/>
    <w:rsid w:val="00CB3AD4"/>
    <w:rsid w:val="00CB3B9E"/>
    <w:rsid w:val="00CB5C55"/>
    <w:rsid w:val="00CB6E6C"/>
    <w:rsid w:val="00CB7B0D"/>
    <w:rsid w:val="00CC0F31"/>
    <w:rsid w:val="00CC1D1A"/>
    <w:rsid w:val="00CC581C"/>
    <w:rsid w:val="00CC5956"/>
    <w:rsid w:val="00CC6260"/>
    <w:rsid w:val="00CD06DD"/>
    <w:rsid w:val="00CD0D72"/>
    <w:rsid w:val="00CD1404"/>
    <w:rsid w:val="00CE18DD"/>
    <w:rsid w:val="00CE28E3"/>
    <w:rsid w:val="00CE3F8D"/>
    <w:rsid w:val="00CE3F95"/>
    <w:rsid w:val="00CE4577"/>
    <w:rsid w:val="00CE5B88"/>
    <w:rsid w:val="00CE7360"/>
    <w:rsid w:val="00CF1A2D"/>
    <w:rsid w:val="00CF2913"/>
    <w:rsid w:val="00CF439F"/>
    <w:rsid w:val="00CF6C35"/>
    <w:rsid w:val="00CF7120"/>
    <w:rsid w:val="00CF724C"/>
    <w:rsid w:val="00D001B4"/>
    <w:rsid w:val="00D003B7"/>
    <w:rsid w:val="00D00735"/>
    <w:rsid w:val="00D00E36"/>
    <w:rsid w:val="00D02D8B"/>
    <w:rsid w:val="00D02F4F"/>
    <w:rsid w:val="00D03BC5"/>
    <w:rsid w:val="00D0489B"/>
    <w:rsid w:val="00D04CB3"/>
    <w:rsid w:val="00D06130"/>
    <w:rsid w:val="00D104DE"/>
    <w:rsid w:val="00D1431C"/>
    <w:rsid w:val="00D14E59"/>
    <w:rsid w:val="00D20031"/>
    <w:rsid w:val="00D21088"/>
    <w:rsid w:val="00D24AF0"/>
    <w:rsid w:val="00D27DB5"/>
    <w:rsid w:val="00D313B3"/>
    <w:rsid w:val="00D31AAE"/>
    <w:rsid w:val="00D325A2"/>
    <w:rsid w:val="00D3292B"/>
    <w:rsid w:val="00D33344"/>
    <w:rsid w:val="00D33F02"/>
    <w:rsid w:val="00D34A13"/>
    <w:rsid w:val="00D358F7"/>
    <w:rsid w:val="00D361E0"/>
    <w:rsid w:val="00D36376"/>
    <w:rsid w:val="00D36872"/>
    <w:rsid w:val="00D36E67"/>
    <w:rsid w:val="00D37EF5"/>
    <w:rsid w:val="00D400E7"/>
    <w:rsid w:val="00D402D5"/>
    <w:rsid w:val="00D419C9"/>
    <w:rsid w:val="00D428B9"/>
    <w:rsid w:val="00D43246"/>
    <w:rsid w:val="00D437B9"/>
    <w:rsid w:val="00D45750"/>
    <w:rsid w:val="00D457EA"/>
    <w:rsid w:val="00D45C42"/>
    <w:rsid w:val="00D47756"/>
    <w:rsid w:val="00D52770"/>
    <w:rsid w:val="00D52E54"/>
    <w:rsid w:val="00D52FF5"/>
    <w:rsid w:val="00D55AEB"/>
    <w:rsid w:val="00D56969"/>
    <w:rsid w:val="00D56DFA"/>
    <w:rsid w:val="00D60E22"/>
    <w:rsid w:val="00D61302"/>
    <w:rsid w:val="00D62166"/>
    <w:rsid w:val="00D62F4D"/>
    <w:rsid w:val="00D633DA"/>
    <w:rsid w:val="00D64906"/>
    <w:rsid w:val="00D652D9"/>
    <w:rsid w:val="00D66A73"/>
    <w:rsid w:val="00D67032"/>
    <w:rsid w:val="00D70DDA"/>
    <w:rsid w:val="00D73AD9"/>
    <w:rsid w:val="00D74558"/>
    <w:rsid w:val="00D77058"/>
    <w:rsid w:val="00D774F5"/>
    <w:rsid w:val="00D80C29"/>
    <w:rsid w:val="00D8316D"/>
    <w:rsid w:val="00D83B51"/>
    <w:rsid w:val="00D84ECA"/>
    <w:rsid w:val="00D8502D"/>
    <w:rsid w:val="00D8525E"/>
    <w:rsid w:val="00D86CA2"/>
    <w:rsid w:val="00D9041B"/>
    <w:rsid w:val="00D906ED"/>
    <w:rsid w:val="00D90DBB"/>
    <w:rsid w:val="00D91035"/>
    <w:rsid w:val="00D9141D"/>
    <w:rsid w:val="00D93BCB"/>
    <w:rsid w:val="00D946C9"/>
    <w:rsid w:val="00D94A90"/>
    <w:rsid w:val="00D94C5F"/>
    <w:rsid w:val="00D94CF3"/>
    <w:rsid w:val="00D95FF8"/>
    <w:rsid w:val="00D967A8"/>
    <w:rsid w:val="00DA058E"/>
    <w:rsid w:val="00DA512C"/>
    <w:rsid w:val="00DA6765"/>
    <w:rsid w:val="00DB003C"/>
    <w:rsid w:val="00DB03E9"/>
    <w:rsid w:val="00DB1E91"/>
    <w:rsid w:val="00DB230D"/>
    <w:rsid w:val="00DB2AB7"/>
    <w:rsid w:val="00DB3259"/>
    <w:rsid w:val="00DB4410"/>
    <w:rsid w:val="00DB4968"/>
    <w:rsid w:val="00DB5117"/>
    <w:rsid w:val="00DB6031"/>
    <w:rsid w:val="00DB664A"/>
    <w:rsid w:val="00DB7463"/>
    <w:rsid w:val="00DC14AF"/>
    <w:rsid w:val="00DC1720"/>
    <w:rsid w:val="00DC3492"/>
    <w:rsid w:val="00DC3633"/>
    <w:rsid w:val="00DC4108"/>
    <w:rsid w:val="00DC4EC7"/>
    <w:rsid w:val="00DC4F64"/>
    <w:rsid w:val="00DC50C5"/>
    <w:rsid w:val="00DC64A7"/>
    <w:rsid w:val="00DD02DD"/>
    <w:rsid w:val="00DD0953"/>
    <w:rsid w:val="00DD0FAD"/>
    <w:rsid w:val="00DD1A95"/>
    <w:rsid w:val="00DD1CCD"/>
    <w:rsid w:val="00DD2C81"/>
    <w:rsid w:val="00DD49B0"/>
    <w:rsid w:val="00DD656F"/>
    <w:rsid w:val="00DE0A89"/>
    <w:rsid w:val="00DE1AA5"/>
    <w:rsid w:val="00DE221D"/>
    <w:rsid w:val="00DE226D"/>
    <w:rsid w:val="00DE2496"/>
    <w:rsid w:val="00DE253C"/>
    <w:rsid w:val="00DE29AB"/>
    <w:rsid w:val="00DE4669"/>
    <w:rsid w:val="00DE671B"/>
    <w:rsid w:val="00DE7099"/>
    <w:rsid w:val="00DF0057"/>
    <w:rsid w:val="00DF07EF"/>
    <w:rsid w:val="00DF0FAA"/>
    <w:rsid w:val="00DF1100"/>
    <w:rsid w:val="00DF341B"/>
    <w:rsid w:val="00DF39E9"/>
    <w:rsid w:val="00DF431B"/>
    <w:rsid w:val="00DF5B38"/>
    <w:rsid w:val="00DF6731"/>
    <w:rsid w:val="00DF74D9"/>
    <w:rsid w:val="00DF7867"/>
    <w:rsid w:val="00E0360B"/>
    <w:rsid w:val="00E03A96"/>
    <w:rsid w:val="00E04380"/>
    <w:rsid w:val="00E05585"/>
    <w:rsid w:val="00E05D56"/>
    <w:rsid w:val="00E06298"/>
    <w:rsid w:val="00E06CB2"/>
    <w:rsid w:val="00E079B8"/>
    <w:rsid w:val="00E105A9"/>
    <w:rsid w:val="00E11642"/>
    <w:rsid w:val="00E15056"/>
    <w:rsid w:val="00E15DB1"/>
    <w:rsid w:val="00E1694B"/>
    <w:rsid w:val="00E17552"/>
    <w:rsid w:val="00E21948"/>
    <w:rsid w:val="00E21B03"/>
    <w:rsid w:val="00E22445"/>
    <w:rsid w:val="00E260A3"/>
    <w:rsid w:val="00E26D15"/>
    <w:rsid w:val="00E27DDB"/>
    <w:rsid w:val="00E31702"/>
    <w:rsid w:val="00E31B75"/>
    <w:rsid w:val="00E3242E"/>
    <w:rsid w:val="00E330C9"/>
    <w:rsid w:val="00E3330E"/>
    <w:rsid w:val="00E3351F"/>
    <w:rsid w:val="00E33554"/>
    <w:rsid w:val="00E3365A"/>
    <w:rsid w:val="00E33992"/>
    <w:rsid w:val="00E34146"/>
    <w:rsid w:val="00E35A0D"/>
    <w:rsid w:val="00E37BAA"/>
    <w:rsid w:val="00E40DAE"/>
    <w:rsid w:val="00E40F62"/>
    <w:rsid w:val="00E416F6"/>
    <w:rsid w:val="00E43249"/>
    <w:rsid w:val="00E436A2"/>
    <w:rsid w:val="00E458D8"/>
    <w:rsid w:val="00E45BC8"/>
    <w:rsid w:val="00E463F2"/>
    <w:rsid w:val="00E46DC2"/>
    <w:rsid w:val="00E50C1A"/>
    <w:rsid w:val="00E50EAC"/>
    <w:rsid w:val="00E5162C"/>
    <w:rsid w:val="00E518A7"/>
    <w:rsid w:val="00E529F5"/>
    <w:rsid w:val="00E5356B"/>
    <w:rsid w:val="00E53E00"/>
    <w:rsid w:val="00E54221"/>
    <w:rsid w:val="00E54C06"/>
    <w:rsid w:val="00E5650A"/>
    <w:rsid w:val="00E56831"/>
    <w:rsid w:val="00E574EC"/>
    <w:rsid w:val="00E57F9C"/>
    <w:rsid w:val="00E615F9"/>
    <w:rsid w:val="00E6193C"/>
    <w:rsid w:val="00E61991"/>
    <w:rsid w:val="00E62BC2"/>
    <w:rsid w:val="00E63687"/>
    <w:rsid w:val="00E63DAA"/>
    <w:rsid w:val="00E6653D"/>
    <w:rsid w:val="00E66910"/>
    <w:rsid w:val="00E66C1F"/>
    <w:rsid w:val="00E72090"/>
    <w:rsid w:val="00E7221D"/>
    <w:rsid w:val="00E759E2"/>
    <w:rsid w:val="00E7615F"/>
    <w:rsid w:val="00E76AE0"/>
    <w:rsid w:val="00E778E0"/>
    <w:rsid w:val="00E801E8"/>
    <w:rsid w:val="00E814F9"/>
    <w:rsid w:val="00E81A87"/>
    <w:rsid w:val="00E81F61"/>
    <w:rsid w:val="00E83948"/>
    <w:rsid w:val="00E83AB2"/>
    <w:rsid w:val="00E83CF9"/>
    <w:rsid w:val="00E83D0F"/>
    <w:rsid w:val="00E859FC"/>
    <w:rsid w:val="00E87D11"/>
    <w:rsid w:val="00E87FCA"/>
    <w:rsid w:val="00E92974"/>
    <w:rsid w:val="00E92F98"/>
    <w:rsid w:val="00E9331D"/>
    <w:rsid w:val="00E95322"/>
    <w:rsid w:val="00E95490"/>
    <w:rsid w:val="00E968C1"/>
    <w:rsid w:val="00E971F6"/>
    <w:rsid w:val="00EA0E54"/>
    <w:rsid w:val="00EA1769"/>
    <w:rsid w:val="00EA2230"/>
    <w:rsid w:val="00EA362A"/>
    <w:rsid w:val="00EA3671"/>
    <w:rsid w:val="00EA4326"/>
    <w:rsid w:val="00EB0AAC"/>
    <w:rsid w:val="00EB0DEA"/>
    <w:rsid w:val="00EB1F63"/>
    <w:rsid w:val="00EB27BC"/>
    <w:rsid w:val="00EB4360"/>
    <w:rsid w:val="00EB4EA2"/>
    <w:rsid w:val="00EB6A32"/>
    <w:rsid w:val="00EB6F75"/>
    <w:rsid w:val="00EC33A0"/>
    <w:rsid w:val="00EC4804"/>
    <w:rsid w:val="00EC4836"/>
    <w:rsid w:val="00EC5088"/>
    <w:rsid w:val="00EC5525"/>
    <w:rsid w:val="00EC5CB6"/>
    <w:rsid w:val="00EC74EE"/>
    <w:rsid w:val="00ED44DE"/>
    <w:rsid w:val="00ED5E38"/>
    <w:rsid w:val="00EE137B"/>
    <w:rsid w:val="00EE2003"/>
    <w:rsid w:val="00EE2056"/>
    <w:rsid w:val="00EE4112"/>
    <w:rsid w:val="00EE4490"/>
    <w:rsid w:val="00EE472E"/>
    <w:rsid w:val="00EE4EEF"/>
    <w:rsid w:val="00EE6832"/>
    <w:rsid w:val="00EF0BCD"/>
    <w:rsid w:val="00EF1755"/>
    <w:rsid w:val="00EF2A36"/>
    <w:rsid w:val="00EF39E3"/>
    <w:rsid w:val="00EF3A0F"/>
    <w:rsid w:val="00EF3D58"/>
    <w:rsid w:val="00EF7063"/>
    <w:rsid w:val="00EF7084"/>
    <w:rsid w:val="00EF73C7"/>
    <w:rsid w:val="00F03B39"/>
    <w:rsid w:val="00F04052"/>
    <w:rsid w:val="00F0457A"/>
    <w:rsid w:val="00F04FED"/>
    <w:rsid w:val="00F05B4B"/>
    <w:rsid w:val="00F06673"/>
    <w:rsid w:val="00F06961"/>
    <w:rsid w:val="00F1066F"/>
    <w:rsid w:val="00F10C77"/>
    <w:rsid w:val="00F11B75"/>
    <w:rsid w:val="00F1415F"/>
    <w:rsid w:val="00F14201"/>
    <w:rsid w:val="00F1508C"/>
    <w:rsid w:val="00F1578E"/>
    <w:rsid w:val="00F16CA5"/>
    <w:rsid w:val="00F20763"/>
    <w:rsid w:val="00F227C8"/>
    <w:rsid w:val="00F22EDE"/>
    <w:rsid w:val="00F230DE"/>
    <w:rsid w:val="00F23CB7"/>
    <w:rsid w:val="00F23D38"/>
    <w:rsid w:val="00F257B5"/>
    <w:rsid w:val="00F2720E"/>
    <w:rsid w:val="00F2776D"/>
    <w:rsid w:val="00F329BC"/>
    <w:rsid w:val="00F346E6"/>
    <w:rsid w:val="00F40864"/>
    <w:rsid w:val="00F40A90"/>
    <w:rsid w:val="00F418F3"/>
    <w:rsid w:val="00F44773"/>
    <w:rsid w:val="00F44895"/>
    <w:rsid w:val="00F50585"/>
    <w:rsid w:val="00F51299"/>
    <w:rsid w:val="00F516E3"/>
    <w:rsid w:val="00F54281"/>
    <w:rsid w:val="00F54832"/>
    <w:rsid w:val="00F56197"/>
    <w:rsid w:val="00F57885"/>
    <w:rsid w:val="00F62F1F"/>
    <w:rsid w:val="00F66144"/>
    <w:rsid w:val="00F6713F"/>
    <w:rsid w:val="00F70FB0"/>
    <w:rsid w:val="00F74B51"/>
    <w:rsid w:val="00F778AA"/>
    <w:rsid w:val="00F81362"/>
    <w:rsid w:val="00F83111"/>
    <w:rsid w:val="00F848CB"/>
    <w:rsid w:val="00F854EE"/>
    <w:rsid w:val="00F91353"/>
    <w:rsid w:val="00F92281"/>
    <w:rsid w:val="00F933AB"/>
    <w:rsid w:val="00F9684A"/>
    <w:rsid w:val="00F96F9C"/>
    <w:rsid w:val="00FA0825"/>
    <w:rsid w:val="00FA08AD"/>
    <w:rsid w:val="00FA2F27"/>
    <w:rsid w:val="00FA4150"/>
    <w:rsid w:val="00FA5766"/>
    <w:rsid w:val="00FA6D86"/>
    <w:rsid w:val="00FA7D7D"/>
    <w:rsid w:val="00FB05EB"/>
    <w:rsid w:val="00FB0A86"/>
    <w:rsid w:val="00FB438C"/>
    <w:rsid w:val="00FB4BA1"/>
    <w:rsid w:val="00FB5BFD"/>
    <w:rsid w:val="00FB620D"/>
    <w:rsid w:val="00FB6F67"/>
    <w:rsid w:val="00FB7902"/>
    <w:rsid w:val="00FB7EC5"/>
    <w:rsid w:val="00FC05C5"/>
    <w:rsid w:val="00FC0AD7"/>
    <w:rsid w:val="00FC10DE"/>
    <w:rsid w:val="00FC1D0A"/>
    <w:rsid w:val="00FC2B51"/>
    <w:rsid w:val="00FC2D5F"/>
    <w:rsid w:val="00FC3C89"/>
    <w:rsid w:val="00FC510E"/>
    <w:rsid w:val="00FC5603"/>
    <w:rsid w:val="00FC6BE3"/>
    <w:rsid w:val="00FC7C33"/>
    <w:rsid w:val="00FD0B28"/>
    <w:rsid w:val="00FD17BA"/>
    <w:rsid w:val="00FD21E7"/>
    <w:rsid w:val="00FD2C9D"/>
    <w:rsid w:val="00FD2F74"/>
    <w:rsid w:val="00FD34D0"/>
    <w:rsid w:val="00FD3562"/>
    <w:rsid w:val="00FD3B94"/>
    <w:rsid w:val="00FD40DD"/>
    <w:rsid w:val="00FD43B3"/>
    <w:rsid w:val="00FD6295"/>
    <w:rsid w:val="00FE038E"/>
    <w:rsid w:val="00FE03CC"/>
    <w:rsid w:val="00FE1118"/>
    <w:rsid w:val="00FE40E5"/>
    <w:rsid w:val="00FE4739"/>
    <w:rsid w:val="00FE4DB2"/>
    <w:rsid w:val="00FE681D"/>
    <w:rsid w:val="00FE74DF"/>
    <w:rsid w:val="00FF0DBD"/>
    <w:rsid w:val="00FF2100"/>
    <w:rsid w:val="00FF3A07"/>
    <w:rsid w:val="00FF3FEA"/>
    <w:rsid w:val="00FF4007"/>
    <w:rsid w:val="00FF4C68"/>
    <w:rsid w:val="00FF50BD"/>
    <w:rsid w:val="00FF5E8C"/>
    <w:rsid w:val="02618F6D"/>
    <w:rsid w:val="0B2CA1B0"/>
    <w:rsid w:val="0DB1493E"/>
    <w:rsid w:val="0F478621"/>
    <w:rsid w:val="0F6E025B"/>
    <w:rsid w:val="10629BF5"/>
    <w:rsid w:val="12B76C40"/>
    <w:rsid w:val="161C0F72"/>
    <w:rsid w:val="1900829C"/>
    <w:rsid w:val="1AAD292D"/>
    <w:rsid w:val="1EFFC076"/>
    <w:rsid w:val="20EE0A0B"/>
    <w:rsid w:val="21AE9740"/>
    <w:rsid w:val="23035F3E"/>
    <w:rsid w:val="253FD807"/>
    <w:rsid w:val="2790FB82"/>
    <w:rsid w:val="3375A8ED"/>
    <w:rsid w:val="38E1E2E7"/>
    <w:rsid w:val="39E8D189"/>
    <w:rsid w:val="3F7E7840"/>
    <w:rsid w:val="450D5007"/>
    <w:rsid w:val="4AB31E2E"/>
    <w:rsid w:val="4E506EE0"/>
    <w:rsid w:val="522DA4B1"/>
    <w:rsid w:val="555FD690"/>
    <w:rsid w:val="58BFE99F"/>
    <w:rsid w:val="58FA8A19"/>
    <w:rsid w:val="60DB79A5"/>
    <w:rsid w:val="617528C4"/>
    <w:rsid w:val="63D2A215"/>
    <w:rsid w:val="6C895130"/>
    <w:rsid w:val="74D661B4"/>
    <w:rsid w:val="795B650F"/>
    <w:rsid w:val="7DE0B63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48C4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3A9"/>
    <w:pPr>
      <w:spacing w:before="120"/>
    </w:pPr>
    <w:rPr>
      <w:rFonts w:ascii="Franklin Gothic Book" w:hAnsi="Franklin Gothic Book"/>
    </w:rPr>
  </w:style>
  <w:style w:type="paragraph" w:styleId="Heading1">
    <w:name w:val="heading 1"/>
    <w:basedOn w:val="Normal"/>
    <w:next w:val="Normal"/>
    <w:link w:val="Heading1Char"/>
    <w:uiPriority w:val="9"/>
    <w:qFormat/>
    <w:rsid w:val="001531D6"/>
    <w:pPr>
      <w:keepNext/>
      <w:keepLines/>
      <w:numPr>
        <w:numId w:val="1"/>
      </w:numPr>
      <w:pBdr>
        <w:bottom w:val="single" w:sz="4" w:space="1" w:color="auto"/>
      </w:pBdr>
      <w:spacing w:before="600" w:after="480" w:line="240" w:lineRule="auto"/>
      <w:ind w:left="357" w:hanging="357"/>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1531D6"/>
    <w:pPr>
      <w:keepNext/>
      <w:keepLines/>
      <w:numPr>
        <w:ilvl w:val="1"/>
        <w:numId w:val="1"/>
      </w:numPr>
      <w:spacing w:before="360" w:after="24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5103C5"/>
    <w:pPr>
      <w:keepNext/>
      <w:keepLines/>
      <w:tabs>
        <w:tab w:val="left" w:pos="851"/>
      </w:tabs>
      <w:spacing w:before="360" w:after="200" w:line="240" w:lineRule="auto"/>
      <w:outlineLvl w:val="2"/>
    </w:pPr>
    <w:rPr>
      <w:rFonts w:ascii="Franklin Gothic Medium" w:eastAsiaTheme="majorEastAsia" w:hAnsi="Franklin Gothic Medium" w:cstheme="majorBidi"/>
      <w:sz w:val="24"/>
      <w:szCs w:val="24"/>
    </w:rPr>
  </w:style>
  <w:style w:type="paragraph" w:styleId="Heading4">
    <w:name w:val="heading 4"/>
    <w:basedOn w:val="Heading3"/>
    <w:next w:val="Normal"/>
    <w:link w:val="Heading4Char"/>
    <w:uiPriority w:val="9"/>
    <w:unhideWhenUsed/>
    <w:qFormat/>
    <w:rsid w:val="00A776A4"/>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qFormat/>
    <w:rsid w:val="003E7773"/>
    <w:pPr>
      <w:spacing w:before="40" w:after="40" w:line="240" w:lineRule="auto"/>
    </w:pPr>
    <w:rPr>
      <w:rFonts w:ascii="Arial Narrow" w:hAnsi="Arial Narrow"/>
      <w:sz w:val="20"/>
    </w:rPr>
  </w:style>
  <w:style w:type="paragraph" w:customStyle="1" w:styleId="TableHeading">
    <w:name w:val="TableHeading"/>
    <w:basedOn w:val="Normal"/>
    <w:link w:val="TableHeadingChar"/>
    <w:qFormat/>
    <w:rsid w:val="00B151CF"/>
    <w:pPr>
      <w:keepNext/>
      <w:spacing w:after="60" w:line="240" w:lineRule="auto"/>
    </w:pPr>
    <w:rPr>
      <w:rFonts w:ascii="Arial Narrow" w:hAnsi="Arial Narrow"/>
      <w:b/>
      <w:sz w:val="20"/>
    </w:rPr>
  </w:style>
  <w:style w:type="paragraph" w:styleId="CommentText">
    <w:name w:val="annotation text"/>
    <w:basedOn w:val="Normal"/>
    <w:link w:val="CommentTextChar"/>
    <w:uiPriority w:val="99"/>
    <w:unhideWhenUsed/>
    <w:rsid w:val="003E7773"/>
    <w:pPr>
      <w:spacing w:after="240" w:line="240" w:lineRule="auto"/>
    </w:pPr>
    <w:rPr>
      <w:rFonts w:ascii="Calibri" w:eastAsia="Times New Roman" w:hAnsi="Calibri" w:cs="Times New Roman"/>
      <w:color w:val="000000"/>
      <w:szCs w:val="24"/>
      <w:lang w:eastAsia="en-AU"/>
    </w:rPr>
  </w:style>
  <w:style w:type="character" w:customStyle="1" w:styleId="CommentTextChar">
    <w:name w:val="Comment Text Char"/>
    <w:basedOn w:val="DefaultParagraphFont"/>
    <w:link w:val="CommentText"/>
    <w:uiPriority w:val="99"/>
    <w:rsid w:val="003E7773"/>
    <w:rPr>
      <w:rFonts w:ascii="Calibri" w:eastAsia="Times New Roman" w:hAnsi="Calibri" w:cs="Times New Roman"/>
      <w:color w:val="000000"/>
      <w:szCs w:val="24"/>
      <w:lang w:eastAsia="en-AU"/>
    </w:rPr>
  </w:style>
  <w:style w:type="character" w:styleId="CommentReference">
    <w:name w:val="annotation reference"/>
    <w:aliases w:val="Table Title"/>
    <w:basedOn w:val="DefaultParagraphFont"/>
    <w:uiPriority w:val="99"/>
    <w:unhideWhenUsed/>
    <w:qFormat/>
    <w:rsid w:val="003E7773"/>
    <w:rPr>
      <w:sz w:val="16"/>
      <w:szCs w:val="16"/>
    </w:rPr>
  </w:style>
  <w:style w:type="character" w:customStyle="1" w:styleId="TableTextChar">
    <w:name w:val="Table Text Char"/>
    <w:basedOn w:val="DefaultParagraphFont"/>
    <w:link w:val="TableText"/>
    <w:rsid w:val="003E7773"/>
    <w:rPr>
      <w:rFonts w:ascii="Arial Narrow" w:hAnsi="Arial Narrow"/>
      <w:sz w:val="20"/>
    </w:rPr>
  </w:style>
  <w:style w:type="character" w:customStyle="1" w:styleId="TableHeadingChar">
    <w:name w:val="TableHeading Char"/>
    <w:link w:val="TableHeading"/>
    <w:rsid w:val="00B151CF"/>
    <w:rPr>
      <w:rFonts w:ascii="Arial Narrow" w:hAnsi="Arial Narrow"/>
      <w:b/>
      <w:sz w:val="20"/>
    </w:rPr>
  </w:style>
  <w:style w:type="paragraph" w:styleId="BalloonText">
    <w:name w:val="Balloon Text"/>
    <w:basedOn w:val="Normal"/>
    <w:link w:val="BalloonTextChar"/>
    <w:uiPriority w:val="99"/>
    <w:semiHidden/>
    <w:unhideWhenUsed/>
    <w:rsid w:val="003E77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77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E7773"/>
    <w:pPr>
      <w:spacing w:after="160"/>
    </w:pPr>
    <w:rPr>
      <w:rFonts w:asciiTheme="minorHAnsi" w:eastAsiaTheme="minorHAnsi" w:hAnsiTheme="minorHAnsi" w:cstheme="minorBidi"/>
      <w:b/>
      <w:bCs/>
      <w:color w:val="auto"/>
      <w:sz w:val="20"/>
      <w:szCs w:val="20"/>
      <w:lang w:eastAsia="en-US"/>
    </w:rPr>
  </w:style>
  <w:style w:type="character" w:customStyle="1" w:styleId="CommentSubjectChar">
    <w:name w:val="Comment Subject Char"/>
    <w:basedOn w:val="CommentTextChar"/>
    <w:link w:val="CommentSubject"/>
    <w:uiPriority w:val="99"/>
    <w:semiHidden/>
    <w:rsid w:val="003E7773"/>
    <w:rPr>
      <w:rFonts w:ascii="Calibri" w:eastAsia="Times New Roman" w:hAnsi="Calibri" w:cs="Times New Roman"/>
      <w:b/>
      <w:bCs/>
      <w:color w:val="000000"/>
      <w:sz w:val="20"/>
      <w:szCs w:val="20"/>
      <w:lang w:eastAsia="en-AU"/>
    </w:rPr>
  </w:style>
  <w:style w:type="character" w:customStyle="1" w:styleId="Heading1Char">
    <w:name w:val="Heading 1 Char"/>
    <w:basedOn w:val="DefaultParagraphFont"/>
    <w:link w:val="Heading1"/>
    <w:uiPriority w:val="9"/>
    <w:rsid w:val="001531D6"/>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1531D6"/>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5103C5"/>
    <w:rPr>
      <w:rFonts w:ascii="Franklin Gothic Medium" w:eastAsiaTheme="majorEastAsia" w:hAnsi="Franklin Gothic Medium" w:cstheme="majorBidi"/>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link w:val="CaptionChar"/>
    <w:qFormat/>
    <w:rsid w:val="009A06F4"/>
    <w:pPr>
      <w:keepNext/>
      <w:spacing w:before="360" w:after="120" w:line="240" w:lineRule="auto"/>
    </w:pPr>
    <w:rPr>
      <w:rFonts w:ascii="Arial Narrow" w:eastAsia="Times New Roman" w:hAnsi="Arial Narrow" w:cs="Times New Roman"/>
      <w:b/>
      <w:bCs/>
      <w:sz w:val="20"/>
      <w:szCs w:val="20"/>
    </w:rPr>
  </w:style>
  <w:style w:type="table" w:customStyle="1" w:styleId="TableGrid1">
    <w:name w:val="Table Grid1"/>
    <w:basedOn w:val="TableNormal"/>
    <w:next w:val="TableGrid"/>
    <w:locked/>
    <w:rsid w:val="00CA528A"/>
    <w:pPr>
      <w:spacing w:before="40" w:after="40" w:line="240" w:lineRule="auto"/>
    </w:pPr>
    <w:rPr>
      <w:rFonts w:ascii="Arial Narrow" w:eastAsia="Times New Roman" w:hAnsi="Arial Narrow"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Narrow" w:hAnsi="Arial Narrow"/>
        <w:b w:val="0"/>
        <w:sz w:val="20"/>
      </w:rPr>
    </w:tblStyle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
    <w:basedOn w:val="DefaultParagraphFont"/>
    <w:link w:val="Caption"/>
    <w:rsid w:val="009A06F4"/>
    <w:rPr>
      <w:rFonts w:ascii="Arial Narrow" w:eastAsia="Times New Roman" w:hAnsi="Arial Narrow" w:cs="Times New Roman"/>
      <w:b/>
      <w:bCs/>
      <w:sz w:val="20"/>
      <w:szCs w:val="20"/>
    </w:rPr>
  </w:style>
  <w:style w:type="table" w:styleId="TableGrid">
    <w:name w:val="Table Grid"/>
    <w:aliases w:val="Summary box,Table Gridbeth,RTI AMCP Table,new style,ASD Table,HTAtableplain"/>
    <w:basedOn w:val="TableNormal"/>
    <w:uiPriority w:val="59"/>
    <w:rsid w:val="00CA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Note">
    <w:name w:val="TableFigNote"/>
    <w:basedOn w:val="Normal"/>
    <w:qFormat/>
    <w:rsid w:val="00CA528A"/>
    <w:pPr>
      <w:spacing w:after="360" w:line="240" w:lineRule="auto"/>
      <w:contextualSpacing/>
    </w:pPr>
    <w:rPr>
      <w:sz w:val="18"/>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724F92"/>
    <w:pPr>
      <w:ind w:left="720"/>
      <w:contextualSpacing/>
    </w:pPr>
  </w:style>
  <w:style w:type="character" w:styleId="Strong">
    <w:name w:val="Strong"/>
    <w:basedOn w:val="DefaultParagraphFont"/>
    <w:uiPriority w:val="22"/>
    <w:qFormat/>
    <w:rsid w:val="00FD17BA"/>
    <w:rPr>
      <w:b/>
      <w:bCs/>
    </w:rPr>
  </w:style>
  <w:style w:type="paragraph" w:customStyle="1" w:styleId="TableName">
    <w:name w:val="TableName"/>
    <w:basedOn w:val="Normal"/>
    <w:qFormat/>
    <w:rsid w:val="00FD17BA"/>
    <w:pPr>
      <w:keepNext/>
      <w:spacing w:after="240" w:line="240" w:lineRule="auto"/>
      <w:ind w:left="1418" w:hanging="1418"/>
    </w:pPr>
    <w:rPr>
      <w:rFonts w:ascii="Franklin Gothic Medium" w:hAnsi="Franklin Gothic Medium"/>
    </w:rPr>
  </w:style>
  <w:style w:type="paragraph" w:customStyle="1" w:styleId="TableFigNoteHangingLast">
    <w:name w:val="TableFigNoteHanging Last"/>
    <w:basedOn w:val="TableFigNote"/>
    <w:qFormat/>
    <w:rsid w:val="00FD17BA"/>
    <w:pPr>
      <w:ind w:left="142" w:hanging="142"/>
    </w:pPr>
  </w:style>
  <w:style w:type="paragraph" w:customStyle="1" w:styleId="TableTextCA">
    <w:name w:val="Table Text CA"/>
    <w:basedOn w:val="TableText"/>
    <w:qFormat/>
    <w:rsid w:val="00FD17BA"/>
    <w:pPr>
      <w:jc w:val="center"/>
    </w:pPr>
  </w:style>
  <w:style w:type="paragraph" w:customStyle="1" w:styleId="TableHeadingCA">
    <w:name w:val="Table Heading CA"/>
    <w:basedOn w:val="TableHeading0"/>
    <w:qFormat/>
    <w:rsid w:val="00FD17BA"/>
    <w:pPr>
      <w:jc w:val="center"/>
    </w:pPr>
  </w:style>
  <w:style w:type="paragraph" w:customStyle="1" w:styleId="TableHeading0">
    <w:name w:val="Table Heading"/>
    <w:basedOn w:val="Normal"/>
    <w:qFormat/>
    <w:rsid w:val="00FD17BA"/>
    <w:pPr>
      <w:spacing w:after="60" w:line="240" w:lineRule="auto"/>
    </w:pPr>
    <w:rPr>
      <w:rFonts w:ascii="Arial Narrow" w:hAnsi="Arial Narrow"/>
      <w:b/>
      <w:sz w:val="20"/>
    </w:rPr>
  </w:style>
  <w:style w:type="paragraph" w:customStyle="1" w:styleId="TableFigNoteLast">
    <w:name w:val="TableFigNote Last"/>
    <w:basedOn w:val="TableFigNote"/>
    <w:qFormat/>
    <w:rsid w:val="00FD17BA"/>
  </w:style>
  <w:style w:type="character" w:customStyle="1" w:styleId="Heading4Char">
    <w:name w:val="Heading 4 Char"/>
    <w:basedOn w:val="DefaultParagraphFont"/>
    <w:link w:val="Heading4"/>
    <w:uiPriority w:val="9"/>
    <w:rsid w:val="00A776A4"/>
    <w:rPr>
      <w:rFonts w:ascii="Franklin Gothic Medium" w:eastAsiaTheme="majorEastAsia" w:hAnsi="Franklin Gothic Medium" w:cstheme="majorBidi"/>
      <w:i/>
      <w:sz w:val="24"/>
      <w:szCs w:val="24"/>
    </w:rPr>
  </w:style>
  <w:style w:type="paragraph" w:customStyle="1" w:styleId="2ChapterText">
    <w:name w:val="2ChapterText"/>
    <w:basedOn w:val="Normal"/>
    <w:qFormat/>
    <w:rsid w:val="00004F7F"/>
    <w:rPr>
      <w:shd w:val="clear" w:color="auto" w:fill="BDD6EE" w:themeFill="accent1" w:themeFillTint="66"/>
    </w:rPr>
  </w:style>
  <w:style w:type="paragraph" w:customStyle="1" w:styleId="1ExplanatoryText">
    <w:name w:val="1ExplanatoryText"/>
    <w:basedOn w:val="Normal"/>
    <w:qFormat/>
    <w:rsid w:val="00225833"/>
    <w:pPr>
      <w:shd w:val="clear" w:color="auto" w:fill="C5E0B3" w:themeFill="accent6" w:themeFillTint="66"/>
    </w:pPr>
  </w:style>
  <w:style w:type="character" w:styleId="Hyperlink">
    <w:name w:val="Hyperlink"/>
    <w:basedOn w:val="DefaultParagraphFont"/>
    <w:uiPriority w:val="99"/>
    <w:unhideWhenUsed/>
    <w:rsid w:val="00997BA8"/>
    <w:rPr>
      <w:color w:val="0070C0"/>
      <w:u w:val="single"/>
    </w:rPr>
  </w:style>
  <w:style w:type="paragraph" w:styleId="TOC1">
    <w:name w:val="toc 1"/>
    <w:basedOn w:val="Normal"/>
    <w:next w:val="Normal"/>
    <w:autoRedefine/>
    <w:uiPriority w:val="39"/>
    <w:unhideWhenUsed/>
    <w:rsid w:val="00C91651"/>
    <w:pPr>
      <w:tabs>
        <w:tab w:val="left" w:pos="1100"/>
        <w:tab w:val="left" w:pos="1531"/>
        <w:tab w:val="right" w:leader="dot" w:pos="9010"/>
      </w:tabs>
      <w:spacing w:after="100" w:line="240" w:lineRule="auto"/>
    </w:pPr>
    <w:rPr>
      <w:rFonts w:asciiTheme="minorHAnsi" w:hAnsiTheme="minorHAnsi"/>
      <w:b/>
    </w:rPr>
  </w:style>
  <w:style w:type="paragraph" w:styleId="TOC2">
    <w:name w:val="toc 2"/>
    <w:basedOn w:val="Normal"/>
    <w:next w:val="Normal"/>
    <w:autoRedefine/>
    <w:uiPriority w:val="39"/>
    <w:unhideWhenUsed/>
    <w:rsid w:val="00944087"/>
    <w:pPr>
      <w:tabs>
        <w:tab w:val="left" w:pos="1089"/>
        <w:tab w:val="right" w:leader="dot" w:pos="9010"/>
      </w:tabs>
      <w:spacing w:after="100" w:line="240" w:lineRule="auto"/>
    </w:pPr>
    <w:rPr>
      <w:rFonts w:asciiTheme="minorHAnsi" w:hAnsiTheme="minorHAnsi"/>
    </w:rPr>
  </w:style>
  <w:style w:type="paragraph" w:styleId="TOC3">
    <w:name w:val="toc 3"/>
    <w:basedOn w:val="Normal"/>
    <w:next w:val="Normal"/>
    <w:autoRedefine/>
    <w:uiPriority w:val="39"/>
    <w:unhideWhenUsed/>
    <w:rsid w:val="0088445B"/>
    <w:pPr>
      <w:spacing w:after="100" w:line="240" w:lineRule="auto"/>
      <w:ind w:left="720"/>
    </w:pPr>
    <w:rPr>
      <w:rFonts w:asciiTheme="minorHAnsi" w:hAnsiTheme="minorHAnsi"/>
    </w:rPr>
  </w:style>
  <w:style w:type="character" w:styleId="FollowedHyperlink">
    <w:name w:val="FollowedHyperlink"/>
    <w:basedOn w:val="DefaultParagraphFont"/>
    <w:uiPriority w:val="99"/>
    <w:semiHidden/>
    <w:unhideWhenUsed/>
    <w:rsid w:val="0088445B"/>
    <w:rPr>
      <w:color w:val="954F72" w:themeColor="followedHyperlink"/>
      <w:u w:val="single"/>
    </w:rPr>
  </w:style>
  <w:style w:type="paragraph" w:styleId="TOC9">
    <w:name w:val="toc 9"/>
    <w:basedOn w:val="Normal"/>
    <w:next w:val="Normal"/>
    <w:autoRedefine/>
    <w:uiPriority w:val="39"/>
    <w:unhideWhenUsed/>
    <w:rsid w:val="00AF3D39"/>
    <w:pPr>
      <w:spacing w:after="100"/>
      <w:ind w:left="1760"/>
    </w:pPr>
  </w:style>
  <w:style w:type="paragraph" w:styleId="Date">
    <w:name w:val="Date"/>
    <w:basedOn w:val="Normal"/>
    <w:next w:val="Normal"/>
    <w:link w:val="DateChar"/>
    <w:rsid w:val="000870B6"/>
    <w:pPr>
      <w:spacing w:before="1134" w:after="800"/>
      <w:ind w:left="4536"/>
    </w:pPr>
    <w:rPr>
      <w:rFonts w:ascii="Arial" w:eastAsia="Times New Roman" w:hAnsi="Arial" w:cs="Tahoma"/>
      <w:b/>
      <w:sz w:val="36"/>
      <w:lang w:eastAsia="en-AU"/>
    </w:rPr>
  </w:style>
  <w:style w:type="character" w:customStyle="1" w:styleId="DateChar">
    <w:name w:val="Date Char"/>
    <w:basedOn w:val="DefaultParagraphFont"/>
    <w:link w:val="Date"/>
    <w:rsid w:val="000870B6"/>
    <w:rPr>
      <w:rFonts w:ascii="Arial" w:eastAsia="Times New Roman" w:hAnsi="Arial" w:cs="Tahoma"/>
      <w:b/>
      <w:sz w:val="36"/>
      <w:lang w:eastAsia="en-AU"/>
    </w:rPr>
  </w:style>
  <w:style w:type="paragraph" w:customStyle="1" w:styleId="PublicationTitle">
    <w:name w:val="PublicationTitle"/>
    <w:basedOn w:val="Normal"/>
    <w:rsid w:val="000870B6"/>
    <w:pPr>
      <w:tabs>
        <w:tab w:val="left" w:pos="4536"/>
      </w:tabs>
      <w:spacing w:before="4536" w:after="800" w:line="480" w:lineRule="exact"/>
      <w:ind w:left="4536" w:right="113"/>
      <w:jc w:val="right"/>
    </w:pPr>
    <w:rPr>
      <w:rFonts w:ascii="Arial" w:eastAsia="Times New Roman" w:hAnsi="Arial" w:cs="Tahoma"/>
      <w:b/>
      <w:i/>
      <w:sz w:val="44"/>
      <w:lang w:eastAsia="en-AU"/>
    </w:rPr>
  </w:style>
  <w:style w:type="paragraph" w:customStyle="1" w:styleId="Sub-title">
    <w:name w:val="Sub-title"/>
    <w:basedOn w:val="Normal"/>
    <w:locked/>
    <w:rsid w:val="00401DBF"/>
    <w:pPr>
      <w:spacing w:before="1701"/>
      <w:ind w:left="4536"/>
    </w:pPr>
    <w:rPr>
      <w:rFonts w:ascii="Arial" w:eastAsia="Times New Roman" w:hAnsi="Arial" w:cs="Tahoma"/>
      <w:b/>
      <w:sz w:val="32"/>
      <w:lang w:eastAsia="en-AU"/>
    </w:rPr>
  </w:style>
  <w:style w:type="paragraph" w:customStyle="1" w:styleId="Nnumberedlist">
    <w:name w:val="Nnumbered list"/>
    <w:basedOn w:val="Normal"/>
    <w:rsid w:val="00AF3D39"/>
    <w:pPr>
      <w:numPr>
        <w:numId w:val="2"/>
      </w:numPr>
      <w:jc w:val="both"/>
    </w:pPr>
    <w:rPr>
      <w:rFonts w:ascii="Calibri" w:eastAsia="Times New Roman" w:hAnsi="Calibri" w:cs="Tahoma"/>
      <w:lang w:eastAsia="en-AU"/>
    </w:rPr>
  </w:style>
  <w:style w:type="paragraph" w:styleId="TOCHeading">
    <w:name w:val="TOC Heading"/>
    <w:basedOn w:val="Heading1"/>
    <w:next w:val="Normal"/>
    <w:uiPriority w:val="39"/>
    <w:unhideWhenUsed/>
    <w:qFormat/>
    <w:rsid w:val="00DE7099"/>
    <w:pPr>
      <w:numPr>
        <w:numId w:val="0"/>
      </w:numPr>
      <w:pBdr>
        <w:bottom w:val="none" w:sz="0" w:space="0" w:color="auto"/>
      </w:pBdr>
      <w:spacing w:before="240" w:after="0" w:line="259" w:lineRule="auto"/>
      <w:outlineLvl w:val="9"/>
    </w:pPr>
    <w:rPr>
      <w:rFonts w:asciiTheme="majorHAnsi" w:hAnsiTheme="majorHAnsi"/>
      <w:color w:val="2E74B5" w:themeColor="accent1" w:themeShade="BF"/>
      <w:sz w:val="32"/>
      <w:lang w:val="en-US"/>
    </w:rPr>
  </w:style>
  <w:style w:type="paragraph" w:styleId="TOC4">
    <w:name w:val="toc 4"/>
    <w:basedOn w:val="Normal"/>
    <w:next w:val="Normal"/>
    <w:autoRedefine/>
    <w:uiPriority w:val="39"/>
    <w:unhideWhenUsed/>
    <w:rsid w:val="00DE7099"/>
    <w:pPr>
      <w:spacing w:after="100"/>
      <w:ind w:left="660"/>
    </w:pPr>
    <w:rPr>
      <w:rFonts w:asciiTheme="minorHAnsi" w:eastAsiaTheme="minorEastAsia" w:hAnsiTheme="minorHAnsi"/>
      <w:lang w:eastAsia="en-AU"/>
    </w:rPr>
  </w:style>
  <w:style w:type="paragraph" w:styleId="TOC5">
    <w:name w:val="toc 5"/>
    <w:basedOn w:val="Normal"/>
    <w:next w:val="Normal"/>
    <w:autoRedefine/>
    <w:uiPriority w:val="39"/>
    <w:unhideWhenUsed/>
    <w:rsid w:val="00DE7099"/>
    <w:pPr>
      <w:spacing w:after="100"/>
      <w:ind w:left="880"/>
    </w:pPr>
    <w:rPr>
      <w:rFonts w:asciiTheme="minorHAnsi" w:eastAsiaTheme="minorEastAsia" w:hAnsiTheme="minorHAnsi"/>
      <w:lang w:eastAsia="en-AU"/>
    </w:rPr>
  </w:style>
  <w:style w:type="paragraph" w:styleId="TOC6">
    <w:name w:val="toc 6"/>
    <w:basedOn w:val="Normal"/>
    <w:next w:val="Normal"/>
    <w:autoRedefine/>
    <w:uiPriority w:val="39"/>
    <w:unhideWhenUsed/>
    <w:rsid w:val="00DE7099"/>
    <w:pPr>
      <w:spacing w:after="100"/>
      <w:ind w:left="1100"/>
    </w:pPr>
    <w:rPr>
      <w:rFonts w:asciiTheme="minorHAnsi" w:eastAsiaTheme="minorEastAsia" w:hAnsiTheme="minorHAnsi"/>
      <w:lang w:eastAsia="en-AU"/>
    </w:rPr>
  </w:style>
  <w:style w:type="paragraph" w:styleId="TOC7">
    <w:name w:val="toc 7"/>
    <w:basedOn w:val="Normal"/>
    <w:next w:val="Normal"/>
    <w:autoRedefine/>
    <w:uiPriority w:val="39"/>
    <w:unhideWhenUsed/>
    <w:rsid w:val="00DE7099"/>
    <w:pPr>
      <w:spacing w:after="100"/>
      <w:ind w:left="1320"/>
    </w:pPr>
    <w:rPr>
      <w:rFonts w:asciiTheme="minorHAnsi" w:eastAsiaTheme="minorEastAsia" w:hAnsiTheme="minorHAnsi"/>
      <w:lang w:eastAsia="en-AU"/>
    </w:rPr>
  </w:style>
  <w:style w:type="paragraph" w:styleId="TOC8">
    <w:name w:val="toc 8"/>
    <w:basedOn w:val="Normal"/>
    <w:next w:val="Normal"/>
    <w:autoRedefine/>
    <w:uiPriority w:val="39"/>
    <w:unhideWhenUsed/>
    <w:rsid w:val="00DE7099"/>
    <w:pPr>
      <w:spacing w:after="100"/>
      <w:ind w:left="1540"/>
    </w:pPr>
    <w:rPr>
      <w:rFonts w:asciiTheme="minorHAnsi" w:eastAsiaTheme="minorEastAsia" w:hAnsiTheme="minorHAnsi"/>
      <w:lang w:eastAsia="en-AU"/>
    </w:rPr>
  </w:style>
  <w:style w:type="paragraph" w:customStyle="1" w:styleId="In-tableHeading">
    <w:name w:val="In-table Heading"/>
    <w:qFormat/>
    <w:rsid w:val="000472D4"/>
    <w:pPr>
      <w:keepNext/>
      <w:spacing w:after="0" w:line="240" w:lineRule="auto"/>
    </w:pPr>
    <w:rPr>
      <w:rFonts w:ascii="Arial Narrow" w:eastAsiaTheme="majorEastAsia" w:hAnsi="Arial Narrow" w:cs="Times New Roman"/>
      <w:b/>
      <w:sz w:val="20"/>
      <w:szCs w:val="24"/>
      <w:lang w:val="en-US" w:eastAsia="en-AU"/>
    </w:rPr>
  </w:style>
  <w:style w:type="paragraph" w:customStyle="1" w:styleId="TableFigureFooter">
    <w:name w:val="Table/Figure Footer"/>
    <w:basedOn w:val="Normal"/>
    <w:link w:val="TableFigureFooterChar"/>
    <w:qFormat/>
    <w:rsid w:val="009A06F4"/>
    <w:pPr>
      <w:tabs>
        <w:tab w:val="left" w:pos="284"/>
      </w:tabs>
      <w:spacing w:after="360" w:line="240" w:lineRule="auto"/>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9A06F4"/>
    <w:rPr>
      <w:rFonts w:ascii="Arial Narrow" w:eastAsia="Times New Roman" w:hAnsi="Arial Narrow" w:cs="Arial"/>
      <w:snapToGrid w:val="0"/>
      <w:sz w:val="18"/>
      <w:lang w:eastAsia="en-AU"/>
    </w:rPr>
  </w:style>
  <w:style w:type="character" w:styleId="Emphasis">
    <w:name w:val="Emphasis"/>
    <w:uiPriority w:val="20"/>
    <w:qFormat/>
    <w:rsid w:val="00566298"/>
    <w:rPr>
      <w:i/>
      <w:iCs/>
    </w:rPr>
  </w:style>
  <w:style w:type="paragraph" w:styleId="Header">
    <w:name w:val="header"/>
    <w:basedOn w:val="Normal"/>
    <w:link w:val="HeaderChar"/>
    <w:uiPriority w:val="99"/>
    <w:unhideWhenUsed/>
    <w:rsid w:val="00B62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2DF2"/>
    <w:rPr>
      <w:rFonts w:ascii="Franklin Gothic Book" w:hAnsi="Franklin Gothic Book"/>
    </w:rPr>
  </w:style>
  <w:style w:type="paragraph" w:styleId="Footer">
    <w:name w:val="footer"/>
    <w:basedOn w:val="Normal"/>
    <w:link w:val="FooterChar"/>
    <w:uiPriority w:val="99"/>
    <w:unhideWhenUsed/>
    <w:rsid w:val="00B62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2DF2"/>
    <w:rPr>
      <w:rFonts w:ascii="Franklin Gothic Book" w:hAnsi="Franklin Gothic Book"/>
    </w:rPr>
  </w:style>
  <w:style w:type="paragraph" w:customStyle="1" w:styleId="Tablenotes">
    <w:name w:val="Tablenotes"/>
    <w:basedOn w:val="Normal"/>
    <w:link w:val="TablenotesChar"/>
    <w:qFormat/>
    <w:rsid w:val="00242F4E"/>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242F4E"/>
    <w:rPr>
      <w:rFonts w:ascii="Arial Narrow" w:eastAsia="Times New Roman" w:hAnsi="Arial Narrow" w:cs="Arial"/>
      <w:snapToGrid w:val="0"/>
      <w:sz w:val="18"/>
      <w:szCs w:val="20"/>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A454B3"/>
    <w:rPr>
      <w:rFonts w:ascii="Franklin Gothic Book" w:hAnsi="Franklin Gothic Book"/>
    </w:rPr>
  </w:style>
  <w:style w:type="table" w:customStyle="1" w:styleId="TableGridLight1">
    <w:name w:val="Table Grid Light1"/>
    <w:basedOn w:val="TableNormal"/>
    <w:uiPriority w:val="40"/>
    <w:rsid w:val="00BA59FB"/>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Bullet">
    <w:name w:val="Bullet"/>
    <w:basedOn w:val="Normal"/>
    <w:qFormat/>
    <w:rsid w:val="00BA59FB"/>
    <w:pPr>
      <w:numPr>
        <w:numId w:val="3"/>
      </w:numPr>
      <w:spacing w:after="120" w:line="240" w:lineRule="auto"/>
    </w:pPr>
    <w:rPr>
      <w:rFonts w:asciiTheme="minorHAnsi" w:hAnsiTheme="minorHAnsi"/>
    </w:rPr>
  </w:style>
  <w:style w:type="paragraph" w:customStyle="1" w:styleId="TableFigureHeading">
    <w:name w:val="Table/Figure Heading"/>
    <w:next w:val="In-tableHeading"/>
    <w:link w:val="TableFigureHeadingChar"/>
    <w:qFormat/>
    <w:rsid w:val="00F257B5"/>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257B5"/>
    <w:rPr>
      <w:rFonts w:ascii="Arial Narrow" w:eastAsiaTheme="majorEastAsia" w:hAnsi="Arial Narrow" w:cstheme="majorBidi"/>
      <w:b/>
      <w:bCs/>
      <w:sz w:val="20"/>
      <w:szCs w:val="24"/>
      <w:lang w:eastAsia="en-AU"/>
    </w:rPr>
  </w:style>
  <w:style w:type="paragraph" w:customStyle="1" w:styleId="Tabletext0">
    <w:name w:val="Table text"/>
    <w:basedOn w:val="Normal"/>
    <w:link w:val="TabletextChar0"/>
    <w:qFormat/>
    <w:rsid w:val="001B2CD4"/>
    <w:pPr>
      <w:spacing w:before="40" w:after="40" w:line="240" w:lineRule="auto"/>
      <w:jc w:val="both"/>
    </w:pPr>
    <w:rPr>
      <w:rFonts w:ascii="Arial Narrow" w:eastAsia="Times New Roman" w:hAnsi="Arial Narrow" w:cs="Tahoma"/>
      <w:sz w:val="20"/>
      <w:szCs w:val="20"/>
      <w:lang w:eastAsia="en-AU"/>
    </w:rPr>
  </w:style>
  <w:style w:type="character" w:customStyle="1" w:styleId="TabletextChar0">
    <w:name w:val="Table text Char"/>
    <w:link w:val="Tabletext0"/>
    <w:rsid w:val="001B2CD4"/>
    <w:rPr>
      <w:rFonts w:ascii="Arial Narrow" w:eastAsia="Times New Roman" w:hAnsi="Arial Narrow" w:cs="Tahoma"/>
      <w:sz w:val="20"/>
      <w:szCs w:val="20"/>
      <w:lang w:eastAsia="en-AU"/>
    </w:rPr>
  </w:style>
  <w:style w:type="paragraph" w:customStyle="1" w:styleId="Tablenotes0">
    <w:name w:val="Table notes"/>
    <w:basedOn w:val="Normal"/>
    <w:link w:val="TablenotesChar0"/>
    <w:qFormat/>
    <w:rsid w:val="001B2CD4"/>
    <w:pPr>
      <w:spacing w:after="240"/>
      <w:contextualSpacing/>
      <w:jc w:val="both"/>
    </w:pPr>
    <w:rPr>
      <w:rFonts w:ascii="Arial Narrow" w:hAnsi="Arial Narrow" w:cs="Arial"/>
      <w:sz w:val="18"/>
    </w:rPr>
  </w:style>
  <w:style w:type="character" w:customStyle="1" w:styleId="TablenotesChar0">
    <w:name w:val="Table notes Char"/>
    <w:basedOn w:val="DefaultParagraphFont"/>
    <w:link w:val="Tablenotes0"/>
    <w:rsid w:val="001B2CD4"/>
    <w:rPr>
      <w:rFonts w:ascii="Arial Narrow" w:hAnsi="Arial Narrow" w:cs="Arial"/>
      <w:sz w:val="18"/>
    </w:rPr>
  </w:style>
  <w:style w:type="numbering" w:customStyle="1" w:styleId="ESSectionheading-numbered">
    <w:name w:val="ES. Section heading - numbered"/>
    <w:uiPriority w:val="99"/>
    <w:rsid w:val="002A4084"/>
    <w:pPr>
      <w:numPr>
        <w:numId w:val="4"/>
      </w:numPr>
    </w:pPr>
  </w:style>
  <w:style w:type="paragraph" w:customStyle="1" w:styleId="2-SectionHeading">
    <w:name w:val="2-Section Heading"/>
    <w:qFormat/>
    <w:rsid w:val="005131D3"/>
    <w:pPr>
      <w:keepNext/>
      <w:numPr>
        <w:numId w:val="5"/>
      </w:numPr>
      <w:spacing w:before="240" w:after="120" w:line="240" w:lineRule="auto"/>
      <w:outlineLvl w:val="0"/>
    </w:pPr>
    <w:rPr>
      <w:rFonts w:eastAsia="Times New Roman" w:cs="Arial"/>
      <w:b/>
      <w:snapToGrid w:val="0"/>
      <w:sz w:val="32"/>
      <w:szCs w:val="32"/>
      <w:lang w:eastAsia="en-AU"/>
    </w:rPr>
  </w:style>
  <w:style w:type="paragraph" w:customStyle="1" w:styleId="3-BodyText">
    <w:name w:val="3-Body Text"/>
    <w:basedOn w:val="ListParagraph"/>
    <w:qFormat/>
    <w:rsid w:val="005131D3"/>
    <w:pPr>
      <w:numPr>
        <w:ilvl w:val="1"/>
        <w:numId w:val="5"/>
      </w:numPr>
      <w:spacing w:after="120" w:line="240" w:lineRule="auto"/>
      <w:contextualSpacing w:val="0"/>
      <w:jc w:val="both"/>
    </w:pPr>
    <w:rPr>
      <w:rFonts w:asciiTheme="minorHAnsi" w:eastAsia="Times New Roman" w:hAnsiTheme="minorHAnsi" w:cs="Arial"/>
      <w:snapToGrid w:val="0"/>
      <w:sz w:val="24"/>
      <w:szCs w:val="24"/>
      <w:lang w:eastAsia="en-AU"/>
    </w:rPr>
  </w:style>
  <w:style w:type="paragraph" w:customStyle="1" w:styleId="BoxName">
    <w:name w:val="Box Name"/>
    <w:basedOn w:val="Normal"/>
    <w:qFormat/>
    <w:rsid w:val="002B667C"/>
    <w:pPr>
      <w:pBdr>
        <w:top w:val="single" w:sz="4" w:space="4" w:color="auto"/>
        <w:left w:val="single" w:sz="4" w:space="4" w:color="auto"/>
        <w:bottom w:val="single" w:sz="4" w:space="4" w:color="auto"/>
        <w:right w:val="single" w:sz="4" w:space="4" w:color="auto"/>
      </w:pBdr>
      <w:spacing w:after="120" w:line="240" w:lineRule="auto"/>
    </w:pPr>
    <w:rPr>
      <w:rFonts w:ascii="Franklin Gothic Medium" w:hAnsi="Franklin Gothic Medium"/>
      <w:sz w:val="21"/>
    </w:rPr>
  </w:style>
  <w:style w:type="character" w:customStyle="1" w:styleId="InstructionBulletpointChar">
    <w:name w:val="Instruction Bullet point Char"/>
    <w:basedOn w:val="DefaultParagraphFont"/>
    <w:link w:val="InstructionBulletpoint"/>
    <w:uiPriority w:val="3"/>
    <w:locked/>
    <w:rsid w:val="00107DCD"/>
    <w:rPr>
      <w:rFonts w:ascii="Calibri" w:hAnsi="Calibri" w:cs="Calibri"/>
      <w:color w:val="0070C0"/>
      <w:sz w:val="24"/>
    </w:rPr>
  </w:style>
  <w:style w:type="paragraph" w:customStyle="1" w:styleId="InstructionBulletpoint">
    <w:name w:val="Instruction Bullet point"/>
    <w:basedOn w:val="Normal"/>
    <w:link w:val="InstructionBulletpointChar"/>
    <w:uiPriority w:val="3"/>
    <w:qFormat/>
    <w:rsid w:val="00107DCD"/>
    <w:pPr>
      <w:numPr>
        <w:numId w:val="6"/>
      </w:numPr>
      <w:spacing w:after="120" w:line="240" w:lineRule="auto"/>
      <w:ind w:left="714" w:hanging="357"/>
    </w:pPr>
    <w:rPr>
      <w:rFonts w:ascii="Calibri" w:hAnsi="Calibri" w:cs="Calibri"/>
      <w:color w:val="0070C0"/>
      <w:sz w:val="24"/>
    </w:rPr>
  </w:style>
  <w:style w:type="character" w:customStyle="1" w:styleId="TableFooterChar">
    <w:name w:val="Table Footer Char"/>
    <w:link w:val="TableFooter"/>
    <w:locked/>
    <w:rsid w:val="007B0880"/>
    <w:rPr>
      <w:rFonts w:ascii="Arial Narrow" w:eastAsia="Times New Roman" w:hAnsi="Arial Narrow" w:cs="Arial"/>
      <w:sz w:val="18"/>
      <w:szCs w:val="20"/>
    </w:rPr>
  </w:style>
  <w:style w:type="paragraph" w:customStyle="1" w:styleId="TableFooter">
    <w:name w:val="Table Footer"/>
    <w:basedOn w:val="Normal"/>
    <w:link w:val="TableFooterChar"/>
    <w:qFormat/>
    <w:rsid w:val="007B0880"/>
    <w:pPr>
      <w:widowControl w:val="0"/>
      <w:snapToGrid w:val="0"/>
      <w:spacing w:after="240" w:line="240" w:lineRule="auto"/>
      <w:contextualSpacing/>
      <w:jc w:val="both"/>
    </w:pPr>
    <w:rPr>
      <w:rFonts w:ascii="Arial Narrow" w:eastAsia="Times New Roman" w:hAnsi="Arial Narrow" w:cs="Arial"/>
      <w:sz w:val="18"/>
      <w:szCs w:val="20"/>
    </w:rPr>
  </w:style>
  <w:style w:type="table" w:customStyle="1" w:styleId="PBACTableStyle">
    <w:name w:val="PBAC Table Style"/>
    <w:basedOn w:val="TableGrid10"/>
    <w:uiPriority w:val="99"/>
    <w:rsid w:val="007B0880"/>
    <w:pPr>
      <w:widowControl w:val="0"/>
      <w:spacing w:before="120" w:after="0" w:line="240" w:lineRule="auto"/>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100" w:beforeAutospacing="1" w:afterLines="0" w:after="100" w:afterAutospacing="1" w:line="240" w:lineRule="auto"/>
        <w:ind w:leftChars="0" w:left="0" w:rightChars="0" w:right="0" w:firstLineChars="0" w:firstLine="0"/>
        <w:contextualSpacing/>
        <w:jc w:val="center"/>
      </w:pPr>
      <w:rPr>
        <w:rFonts w:ascii="Arial Narrow" w:hAnsi="Arial Narrow" w:hint="default"/>
        <w:b/>
        <w:sz w:val="20"/>
        <w:szCs w:val="20"/>
      </w:rPr>
    </w:tblStylePr>
    <w:tblStylePr w:type="lastRow">
      <w:rPr>
        <w:i/>
        <w:iCs/>
      </w:rPr>
      <w:tblPr/>
      <w:tcPr>
        <w:tcBorders>
          <w:tl2br w:val="none" w:sz="0" w:space="0" w:color="auto"/>
          <w:tr2bl w:val="none" w:sz="0" w:space="0" w:color="auto"/>
        </w:tcBorders>
      </w:tcPr>
    </w:tblStylePr>
    <w:tblStylePr w:type="firstCol">
      <w:pPr>
        <w:wordWrap/>
        <w:spacing w:beforeLines="0" w:before="100" w:beforeAutospacing="1" w:afterLines="0" w:after="100" w:afterAutospacing="1" w:line="240" w:lineRule="auto"/>
        <w:ind w:leftChars="0" w:left="0" w:rightChars="0" w:right="0"/>
        <w:contextualSpacing/>
        <w:jc w:val="left"/>
      </w:pPr>
      <w:rPr>
        <w:rFonts w:ascii="Arial Narrow" w:hAnsi="Arial Narrow" w:hint="default"/>
        <w:sz w:val="20"/>
        <w:szCs w:val="20"/>
      </w:rPr>
    </w:tblStylePr>
    <w:tblStylePr w:type="lastCol">
      <w:pPr>
        <w:wordWrap/>
        <w:spacing w:beforeLines="0" w:before="100" w:beforeAutospacing="1" w:afterLines="0" w:after="100" w:afterAutospacing="1" w:line="240" w:lineRule="auto"/>
        <w:ind w:leftChars="0" w:left="0" w:rightChars="0" w:right="0" w:firstLineChars="0" w:firstLine="0"/>
        <w:contextualSpacing/>
      </w:pPr>
      <w:rPr>
        <w:rFonts w:ascii="Arial Narrow" w:hAnsi="Arial Narrow" w:hint="default"/>
        <w:i/>
        <w:iCs/>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TableGrid10">
    <w:name w:val="Table Grid 1"/>
    <w:basedOn w:val="TableNormal"/>
    <w:uiPriority w:val="99"/>
    <w:semiHidden/>
    <w:unhideWhenUsed/>
    <w:rsid w:val="007B088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MSACESParagraphChar">
    <w:name w:val="MSAC ES Paragraph Char"/>
    <w:basedOn w:val="DefaultParagraphFont"/>
    <w:link w:val="MSACESParagraph"/>
    <w:uiPriority w:val="1"/>
    <w:locked/>
    <w:rsid w:val="000B720C"/>
    <w:rPr>
      <w:rFonts w:ascii="Times New Roman" w:hAnsi="Times New Roman" w:cs="Times New Roman"/>
      <w:sz w:val="24"/>
    </w:rPr>
  </w:style>
  <w:style w:type="paragraph" w:customStyle="1" w:styleId="MSACESParagraph">
    <w:name w:val="MSAC ES Paragraph"/>
    <w:link w:val="MSACESParagraphChar"/>
    <w:uiPriority w:val="1"/>
    <w:qFormat/>
    <w:rsid w:val="000B720C"/>
    <w:pPr>
      <w:spacing w:after="240" w:line="240" w:lineRule="auto"/>
    </w:pPr>
    <w:rPr>
      <w:rFonts w:ascii="Times New Roman" w:hAnsi="Times New Roman" w:cs="Times New Roman"/>
      <w:sz w:val="24"/>
    </w:rPr>
  </w:style>
  <w:style w:type="paragraph" w:styleId="FootnoteText">
    <w:name w:val="footnote text"/>
    <w:basedOn w:val="Normal"/>
    <w:link w:val="FootnoteTextChar"/>
    <w:uiPriority w:val="99"/>
    <w:unhideWhenUsed/>
    <w:rsid w:val="00804632"/>
    <w:pPr>
      <w:spacing w:after="0" w:line="240" w:lineRule="auto"/>
    </w:pPr>
    <w:rPr>
      <w:rFonts w:asciiTheme="minorHAnsi" w:hAnsiTheme="minorHAnsi"/>
      <w:sz w:val="18"/>
      <w:szCs w:val="20"/>
    </w:rPr>
  </w:style>
  <w:style w:type="character" w:customStyle="1" w:styleId="FootnoteTextChar">
    <w:name w:val="Footnote Text Char"/>
    <w:basedOn w:val="DefaultParagraphFont"/>
    <w:link w:val="FootnoteText"/>
    <w:uiPriority w:val="99"/>
    <w:rsid w:val="00804632"/>
    <w:rPr>
      <w:sz w:val="18"/>
      <w:szCs w:val="20"/>
    </w:rPr>
  </w:style>
  <w:style w:type="character" w:styleId="FootnoteReference">
    <w:name w:val="footnote reference"/>
    <w:basedOn w:val="DefaultParagraphFont"/>
    <w:unhideWhenUsed/>
    <w:rsid w:val="00804632"/>
    <w:rPr>
      <w:vertAlign w:val="superscript"/>
    </w:rPr>
  </w:style>
  <w:style w:type="paragraph" w:customStyle="1" w:styleId="TableFigNoteHanging">
    <w:name w:val="TableFigNoteHanging"/>
    <w:basedOn w:val="TableFigNoteHangingLast"/>
    <w:qFormat/>
    <w:rsid w:val="00804632"/>
    <w:pPr>
      <w:spacing w:after="0"/>
      <w:contextualSpacing w:val="0"/>
    </w:pPr>
    <w:rPr>
      <w:rFonts w:asciiTheme="minorHAnsi" w:hAnsiTheme="minorHAnsi"/>
    </w:rPr>
  </w:style>
  <w:style w:type="table" w:customStyle="1" w:styleId="TableGrid2">
    <w:name w:val="Table Grid2"/>
    <w:basedOn w:val="TableNormal"/>
    <w:next w:val="TableGrid"/>
    <w:uiPriority w:val="59"/>
    <w:rsid w:val="00804632"/>
    <w:pPr>
      <w:spacing w:after="240" w:line="240" w:lineRule="auto"/>
      <w:ind w:left="720"/>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mmaryboxheading">
    <w:name w:val="Summary box heading"/>
    <w:basedOn w:val="Normal"/>
    <w:rsid w:val="00666A58"/>
    <w:pPr>
      <w:spacing w:after="100" w:afterAutospacing="1"/>
      <w:jc w:val="both"/>
    </w:pPr>
    <w:rPr>
      <w:rFonts w:ascii="Arial Narrow" w:eastAsia="Times New Roman" w:hAnsi="Arial Narrow" w:cs="Tahoma"/>
      <w:b/>
      <w:lang w:eastAsia="en-AU"/>
    </w:rPr>
  </w:style>
  <w:style w:type="paragraph" w:customStyle="1" w:styleId="TableText1">
    <w:name w:val="TableText"/>
    <w:basedOn w:val="Normal"/>
    <w:link w:val="TableTextChar1"/>
    <w:rsid w:val="001C2A48"/>
    <w:pPr>
      <w:keepNext/>
      <w:spacing w:before="40" w:after="40"/>
      <w:jc w:val="both"/>
    </w:pPr>
    <w:rPr>
      <w:rFonts w:ascii="Arial Narrow" w:eastAsia="Times New Roman" w:hAnsi="Arial Narrow" w:cs="Tahoma"/>
      <w:sz w:val="18"/>
      <w:lang w:eastAsia="en-AU"/>
    </w:rPr>
  </w:style>
  <w:style w:type="character" w:customStyle="1" w:styleId="TableTextChar1">
    <w:name w:val="TableText Char"/>
    <w:link w:val="TableText1"/>
    <w:rsid w:val="001C2A48"/>
    <w:rPr>
      <w:rFonts w:ascii="Arial Narrow" w:eastAsia="Times New Roman" w:hAnsi="Arial Narrow" w:cs="Tahoma"/>
      <w:sz w:val="18"/>
      <w:lang w:eastAsia="en-AU"/>
    </w:rPr>
  </w:style>
  <w:style w:type="paragraph" w:customStyle="1" w:styleId="References">
    <w:name w:val="References"/>
    <w:basedOn w:val="Normal"/>
    <w:rsid w:val="001C2A48"/>
    <w:pPr>
      <w:keepLines/>
      <w:spacing w:after="240" w:line="312" w:lineRule="auto"/>
      <w:ind w:left="1440" w:hanging="720"/>
    </w:pPr>
    <w:rPr>
      <w:rFonts w:ascii="Calibri" w:eastAsia="Times New Roman" w:hAnsi="Calibri" w:cs="Tahoma"/>
      <w:lang w:eastAsia="en-AU"/>
    </w:rPr>
  </w:style>
  <w:style w:type="paragraph" w:styleId="Title">
    <w:name w:val="Title"/>
    <w:basedOn w:val="Normal"/>
    <w:next w:val="Normal"/>
    <w:link w:val="TitleChar"/>
    <w:qFormat/>
    <w:rsid w:val="00772829"/>
    <w:pPr>
      <w:spacing w:before="480" w:after="240" w:line="240" w:lineRule="auto"/>
      <w:jc w:val="center"/>
    </w:pPr>
    <w:rPr>
      <w:rFonts w:ascii="Arial" w:eastAsia="Times New Roman" w:hAnsi="Arial" w:cs="Arial"/>
      <w:b/>
      <w:bCs/>
      <w:color w:val="000080"/>
      <w:sz w:val="36"/>
      <w:szCs w:val="36"/>
      <w:lang w:eastAsia="en-AU"/>
    </w:rPr>
  </w:style>
  <w:style w:type="character" w:customStyle="1" w:styleId="TitleChar">
    <w:name w:val="Title Char"/>
    <w:basedOn w:val="DefaultParagraphFont"/>
    <w:link w:val="Title"/>
    <w:rsid w:val="00772829"/>
    <w:rPr>
      <w:rFonts w:ascii="Arial" w:eastAsia="Times New Roman" w:hAnsi="Arial" w:cs="Arial"/>
      <w:b/>
      <w:bCs/>
      <w:color w:val="000080"/>
      <w:sz w:val="36"/>
      <w:szCs w:val="36"/>
      <w:lang w:eastAsia="en-AU"/>
    </w:rPr>
  </w:style>
  <w:style w:type="paragraph" w:styleId="Subtitle">
    <w:name w:val="Subtitle"/>
    <w:basedOn w:val="Normal"/>
    <w:next w:val="Normal"/>
    <w:link w:val="SubtitleChar"/>
    <w:qFormat/>
    <w:rsid w:val="00772829"/>
    <w:pPr>
      <w:spacing w:after="240" w:line="240" w:lineRule="auto"/>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772829"/>
    <w:rPr>
      <w:rFonts w:ascii="Arial" w:eastAsia="Times New Roman" w:hAnsi="Arial" w:cs="Arial"/>
      <w:b/>
      <w:bCs/>
      <w:i/>
      <w:color w:val="000080"/>
      <w:sz w:val="28"/>
      <w:szCs w:val="28"/>
      <w:lang w:eastAsia="en-AU"/>
    </w:rPr>
  </w:style>
  <w:style w:type="paragraph" w:customStyle="1" w:styleId="ESHeading1">
    <w:name w:val="ES Heading1"/>
    <w:basedOn w:val="Heading2"/>
    <w:next w:val="Normal"/>
    <w:qFormat/>
    <w:rsid w:val="002C70CE"/>
    <w:pPr>
      <w:numPr>
        <w:ilvl w:val="0"/>
        <w:numId w:val="7"/>
      </w:numPr>
      <w:spacing w:before="240"/>
      <w:ind w:left="2154" w:hanging="357"/>
    </w:pPr>
  </w:style>
  <w:style w:type="paragraph" w:customStyle="1" w:styleId="NormalBeforeBullet">
    <w:name w:val="Normal Before Bullet"/>
    <w:basedOn w:val="Normal"/>
    <w:qFormat/>
    <w:rsid w:val="00091C59"/>
    <w:pPr>
      <w:keepNext/>
      <w:spacing w:after="120" w:line="240" w:lineRule="auto"/>
    </w:pPr>
    <w:rPr>
      <w:rFonts w:asciiTheme="minorHAnsi" w:hAnsiTheme="minorHAnsi"/>
    </w:rPr>
  </w:style>
  <w:style w:type="paragraph" w:customStyle="1" w:styleId="Dash">
    <w:name w:val="Dash"/>
    <w:basedOn w:val="Bullet"/>
    <w:qFormat/>
    <w:rsid w:val="00091C59"/>
    <w:pPr>
      <w:numPr>
        <w:numId w:val="8"/>
      </w:numPr>
      <w:spacing w:after="40"/>
      <w:ind w:left="714" w:hanging="357"/>
    </w:pPr>
  </w:style>
  <w:style w:type="paragraph" w:customStyle="1" w:styleId="Instructionaltext">
    <w:name w:val="Instructional text"/>
    <w:basedOn w:val="Normal"/>
    <w:link w:val="InstructionaltextChar"/>
    <w:qFormat/>
    <w:rsid w:val="00E436A2"/>
    <w:rPr>
      <w:color w:val="258221"/>
    </w:rPr>
  </w:style>
  <w:style w:type="character" w:customStyle="1" w:styleId="UnresolvedMention1">
    <w:name w:val="Unresolved Mention1"/>
    <w:basedOn w:val="DefaultParagraphFont"/>
    <w:uiPriority w:val="99"/>
    <w:semiHidden/>
    <w:unhideWhenUsed/>
    <w:rsid w:val="00997BA8"/>
    <w:rPr>
      <w:color w:val="605E5C"/>
      <w:shd w:val="clear" w:color="auto" w:fill="E1DFDD"/>
    </w:rPr>
  </w:style>
  <w:style w:type="character" w:customStyle="1" w:styleId="InstructionaltextChar">
    <w:name w:val="Instructional text Char"/>
    <w:basedOn w:val="DefaultParagraphFont"/>
    <w:link w:val="Instructionaltext"/>
    <w:rsid w:val="00DF39E9"/>
    <w:rPr>
      <w:rFonts w:ascii="Franklin Gothic Book" w:hAnsi="Franklin Gothic Book"/>
      <w:color w:val="258221"/>
    </w:rPr>
  </w:style>
  <w:style w:type="paragraph" w:customStyle="1" w:styleId="Instructionaltext-bullet">
    <w:name w:val="Instructional text - bullet"/>
    <w:basedOn w:val="Instructionaltext"/>
    <w:qFormat/>
    <w:rsid w:val="002463A6"/>
    <w:pPr>
      <w:numPr>
        <w:numId w:val="11"/>
      </w:numPr>
      <w:spacing w:before="0" w:after="0"/>
      <w:ind w:left="714" w:hanging="357"/>
    </w:pPr>
  </w:style>
  <w:style w:type="paragraph" w:customStyle="1" w:styleId="Instructionaltext-afterfiguretable">
    <w:name w:val="Instructional text - after figure/table"/>
    <w:basedOn w:val="Instructionaltext"/>
    <w:qFormat/>
    <w:rsid w:val="00B151CF"/>
    <w:pPr>
      <w:spacing w:before="360"/>
    </w:pPr>
  </w:style>
  <w:style w:type="paragraph" w:customStyle="1" w:styleId="Guidelinescross-ref">
    <w:name w:val="Guidelines cross-ref"/>
    <w:basedOn w:val="Normal"/>
    <w:qFormat/>
    <w:rsid w:val="005B7D6C"/>
    <w:pPr>
      <w:spacing w:before="240" w:after="240"/>
    </w:pPr>
    <w:rPr>
      <w:b/>
      <w:color w:val="0070C0"/>
      <w:sz w:val="24"/>
    </w:rPr>
  </w:style>
  <w:style w:type="paragraph" w:styleId="Revision">
    <w:name w:val="Revision"/>
    <w:hidden/>
    <w:uiPriority w:val="99"/>
    <w:semiHidden/>
    <w:rsid w:val="00610ABA"/>
    <w:pPr>
      <w:spacing w:after="0" w:line="240" w:lineRule="auto"/>
    </w:pPr>
    <w:rPr>
      <w:rFonts w:ascii="Franklin Gothic Book" w:hAnsi="Franklin Gothic Book"/>
    </w:rPr>
  </w:style>
  <w:style w:type="character" w:customStyle="1" w:styleId="UnresolvedMention2">
    <w:name w:val="Unresolved Mention2"/>
    <w:basedOn w:val="DefaultParagraphFont"/>
    <w:uiPriority w:val="99"/>
    <w:semiHidden/>
    <w:unhideWhenUsed/>
    <w:rsid w:val="00223664"/>
    <w:rPr>
      <w:color w:val="605E5C"/>
      <w:shd w:val="clear" w:color="auto" w:fill="E1DFDD"/>
    </w:rPr>
  </w:style>
  <w:style w:type="paragraph" w:customStyle="1" w:styleId="CommentaryTabletextleft">
    <w:name w:val="Commentary Table text left"/>
    <w:basedOn w:val="Normal"/>
    <w:link w:val="CommentaryTabletextleftChar"/>
    <w:qFormat/>
    <w:rsid w:val="00576244"/>
    <w:pPr>
      <w:keepNext/>
      <w:spacing w:before="40" w:after="40" w:line="240" w:lineRule="auto"/>
      <w:ind w:left="57"/>
    </w:pPr>
    <w:rPr>
      <w:rFonts w:ascii="Arial Narrow" w:eastAsia="Calibri" w:hAnsi="Arial Narrow"/>
      <w:i/>
      <w:color w:val="5B9BD5" w:themeColor="accent1"/>
      <w:sz w:val="18"/>
      <w:szCs w:val="20"/>
    </w:rPr>
  </w:style>
  <w:style w:type="character" w:customStyle="1" w:styleId="CommentaryTabletextleftChar">
    <w:name w:val="Commentary Table text left Char"/>
    <w:basedOn w:val="DefaultParagraphFont"/>
    <w:link w:val="CommentaryTabletextleft"/>
    <w:rsid w:val="00576244"/>
    <w:rPr>
      <w:rFonts w:ascii="Arial Narrow" w:eastAsia="Calibri" w:hAnsi="Arial Narrow"/>
      <w:i/>
      <w:color w:val="5B9BD5" w:themeColor="accent1"/>
      <w:sz w:val="18"/>
      <w:szCs w:val="20"/>
    </w:rPr>
  </w:style>
  <w:style w:type="character" w:customStyle="1" w:styleId="CommentaryemphasisTablesmid-paragraph">
    <w:name w:val="Commentary emphasis Tables mid-paragraph"/>
    <w:basedOn w:val="DefaultParagraphFont"/>
    <w:uiPriority w:val="1"/>
    <w:qFormat/>
    <w:rsid w:val="00DF7867"/>
    <w:rPr>
      <w:rFonts w:ascii="Arial Narrow" w:hAnsi="Arial Narrow"/>
      <w:color w:val="5B9BD5" w:themeColor="accent1"/>
      <w:sz w:val="18"/>
    </w:rPr>
  </w:style>
  <w:style w:type="paragraph" w:customStyle="1" w:styleId="CommentaryTableheading">
    <w:name w:val="Commentary Table heading"/>
    <w:basedOn w:val="TableHeading"/>
    <w:link w:val="CommentaryTableheadingChar"/>
    <w:qFormat/>
    <w:rsid w:val="00345B81"/>
    <w:pPr>
      <w:spacing w:before="40" w:after="40"/>
      <w:ind w:left="57"/>
    </w:pPr>
    <w:rPr>
      <w:rFonts w:eastAsiaTheme="minorEastAsia"/>
      <w:snapToGrid w:val="0"/>
      <w:color w:val="5B9BD5" w:themeColor="accent1"/>
      <w:szCs w:val="20"/>
    </w:rPr>
  </w:style>
  <w:style w:type="character" w:customStyle="1" w:styleId="CommentaryTableheadingChar">
    <w:name w:val="Commentary Table heading Char"/>
    <w:basedOn w:val="TableHeadingChar"/>
    <w:link w:val="CommentaryTableheading"/>
    <w:rsid w:val="00345B81"/>
    <w:rPr>
      <w:rFonts w:ascii="Arial Narrow" w:eastAsiaTheme="minorEastAsia" w:hAnsi="Arial Narrow"/>
      <w:b/>
      <w:snapToGrid w:val="0"/>
      <w:color w:val="5B9BD5" w:themeColor="accent1"/>
      <w:sz w:val="20"/>
      <w:szCs w:val="20"/>
    </w:rPr>
  </w:style>
  <w:style w:type="paragraph" w:customStyle="1" w:styleId="CommentaryTablenotes">
    <w:name w:val="Commentary Table notes"/>
    <w:basedOn w:val="Tablenotes"/>
    <w:link w:val="CommentaryTablenotesChar"/>
    <w:qFormat/>
    <w:rsid w:val="00334FEC"/>
    <w:pPr>
      <w:keepLines/>
      <w:widowControl/>
      <w:spacing w:before="0" w:after="360" w:line="264" w:lineRule="auto"/>
    </w:pPr>
    <w:rPr>
      <w:rFonts w:eastAsiaTheme="minorEastAsia"/>
      <w:i/>
      <w:color w:val="5B9BD5" w:themeColor="accent1"/>
      <w:sz w:val="16"/>
    </w:rPr>
  </w:style>
  <w:style w:type="character" w:customStyle="1" w:styleId="CommentaryTablenotesChar">
    <w:name w:val="Commentary Table notes Char"/>
    <w:basedOn w:val="TablenotesChar"/>
    <w:link w:val="CommentaryTablenotes"/>
    <w:rsid w:val="00334FEC"/>
    <w:rPr>
      <w:rFonts w:ascii="Arial Narrow" w:eastAsiaTheme="minorEastAsia" w:hAnsi="Arial Narrow" w:cs="Arial"/>
      <w:i/>
      <w:snapToGrid w:val="0"/>
      <w:color w:val="5B9BD5" w:themeColor="accent1"/>
      <w:sz w:val="16"/>
      <w:szCs w:val="20"/>
    </w:rPr>
  </w:style>
  <w:style w:type="character" w:styleId="UnresolvedMention">
    <w:name w:val="Unresolved Mention"/>
    <w:basedOn w:val="DefaultParagraphFont"/>
    <w:uiPriority w:val="99"/>
    <w:unhideWhenUsed/>
    <w:rsid w:val="00E416F6"/>
    <w:rPr>
      <w:color w:val="605E5C"/>
      <w:shd w:val="clear" w:color="auto" w:fill="E1DFDD"/>
    </w:rPr>
  </w:style>
  <w:style w:type="character" w:styleId="Mention">
    <w:name w:val="Mention"/>
    <w:basedOn w:val="DefaultParagraphFont"/>
    <w:uiPriority w:val="99"/>
    <w:unhideWhenUsed/>
    <w:rsid w:val="00E416F6"/>
    <w:rPr>
      <w:color w:val="2B579A"/>
      <w:shd w:val="clear" w:color="auto" w:fill="E1DFDD"/>
    </w:rPr>
  </w:style>
  <w:style w:type="paragraph" w:customStyle="1" w:styleId="BoxBullet">
    <w:name w:val="BoxBullet"/>
    <w:basedOn w:val="Normal"/>
    <w:rsid w:val="00A46E2F"/>
    <w:pPr>
      <w:numPr>
        <w:numId w:val="28"/>
      </w:numPr>
      <w:pBdr>
        <w:top w:val="single" w:sz="4" w:space="4" w:color="000000"/>
        <w:left w:val="single" w:sz="4" w:space="4" w:color="000000"/>
        <w:bottom w:val="single" w:sz="4" w:space="4" w:color="000000"/>
        <w:right w:val="single" w:sz="4" w:space="4" w:color="000000"/>
      </w:pBdr>
      <w:spacing w:before="0" w:after="120" w:line="240" w:lineRule="auto"/>
    </w:pPr>
    <w:rPr>
      <w:rFonts w:eastAsia="Times New Roman" w:cs="Times New Roman"/>
      <w:color w:val="000000"/>
      <w:szCs w:val="20"/>
      <w:lang w:eastAsia="en-AU"/>
    </w:rPr>
  </w:style>
  <w:style w:type="paragraph" w:customStyle="1" w:styleId="BoxHeading">
    <w:name w:val="BoxHeading"/>
    <w:basedOn w:val="Normal"/>
    <w:rsid w:val="00A46E2F"/>
    <w:pPr>
      <w:keepNext/>
      <w:pBdr>
        <w:top w:val="single" w:sz="4" w:space="4" w:color="000000"/>
        <w:left w:val="single" w:sz="4" w:space="4" w:color="000000"/>
        <w:bottom w:val="single" w:sz="4" w:space="4" w:color="000000"/>
        <w:right w:val="single" w:sz="4" w:space="4" w:color="000000"/>
      </w:pBdr>
      <w:spacing w:after="60" w:line="240" w:lineRule="auto"/>
    </w:pPr>
    <w:rPr>
      <w:rFonts w:eastAsia="Times New Roman" w:cs="Times New Roman"/>
      <w:b/>
      <w:bCs/>
      <w:color w:val="000000"/>
      <w:szCs w:val="20"/>
      <w:lang w:eastAsia="en-AU"/>
    </w:rPr>
  </w:style>
  <w:style w:type="character" w:customStyle="1" w:styleId="Tablenotes1Char">
    <w:name w:val="Tablenotes 1 Char"/>
    <w:basedOn w:val="DefaultParagraphFont"/>
    <w:link w:val="Tablenotes1"/>
    <w:locked/>
    <w:rsid w:val="00A46E2F"/>
    <w:rPr>
      <w:rFonts w:ascii="Arial Narrow" w:hAnsi="Arial Narrow" w:cs="Arial"/>
      <w:sz w:val="18"/>
    </w:rPr>
  </w:style>
  <w:style w:type="paragraph" w:customStyle="1" w:styleId="Tablenotes1">
    <w:name w:val="Tablenotes 1"/>
    <w:basedOn w:val="Normal"/>
    <w:link w:val="Tablenotes1Char"/>
    <w:qFormat/>
    <w:rsid w:val="00A46E2F"/>
    <w:pPr>
      <w:widowControl w:val="0"/>
      <w:snapToGrid w:val="0"/>
      <w:spacing w:before="0" w:after="240" w:line="240" w:lineRule="auto"/>
      <w:contextualSpacing/>
    </w:pPr>
    <w:rPr>
      <w:rFonts w:ascii="Arial Narrow" w:hAnsi="Arial Narrow" w:cs="Arial"/>
      <w:sz w:val="18"/>
    </w:rPr>
  </w:style>
  <w:style w:type="paragraph" w:customStyle="1" w:styleId="Default">
    <w:name w:val="Default"/>
    <w:rsid w:val="00037D7D"/>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BodyText">
    <w:name w:val="Body Text"/>
    <w:basedOn w:val="Normal"/>
    <w:link w:val="BodyTextChar"/>
    <w:rsid w:val="00BB67A5"/>
    <w:pPr>
      <w:spacing w:before="0" w:after="0" w:line="312" w:lineRule="auto"/>
    </w:pPr>
    <w:rPr>
      <w:rFonts w:ascii="Helv" w:eastAsia="Times New Roman" w:hAnsi="Helv" w:cs="Tahoma"/>
      <w:b/>
      <w:i/>
      <w:snapToGrid w:val="0"/>
      <w:color w:val="000000"/>
      <w:sz w:val="28"/>
    </w:rPr>
  </w:style>
  <w:style w:type="character" w:customStyle="1" w:styleId="BodyTextChar">
    <w:name w:val="Body Text Char"/>
    <w:basedOn w:val="DefaultParagraphFont"/>
    <w:link w:val="BodyText"/>
    <w:rsid w:val="00BB67A5"/>
    <w:rPr>
      <w:rFonts w:ascii="Helv" w:eastAsia="Times New Roman" w:hAnsi="Helv" w:cs="Tahoma"/>
      <w:b/>
      <w:i/>
      <w:snapToGrid w:val="0"/>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5403">
      <w:bodyDiv w:val="1"/>
      <w:marLeft w:val="0"/>
      <w:marRight w:val="0"/>
      <w:marTop w:val="0"/>
      <w:marBottom w:val="0"/>
      <w:divBdr>
        <w:top w:val="none" w:sz="0" w:space="0" w:color="auto"/>
        <w:left w:val="none" w:sz="0" w:space="0" w:color="auto"/>
        <w:bottom w:val="none" w:sz="0" w:space="0" w:color="auto"/>
        <w:right w:val="none" w:sz="0" w:space="0" w:color="auto"/>
      </w:divBdr>
    </w:div>
    <w:div w:id="74130392">
      <w:bodyDiv w:val="1"/>
      <w:marLeft w:val="0"/>
      <w:marRight w:val="0"/>
      <w:marTop w:val="0"/>
      <w:marBottom w:val="0"/>
      <w:divBdr>
        <w:top w:val="none" w:sz="0" w:space="0" w:color="auto"/>
        <w:left w:val="none" w:sz="0" w:space="0" w:color="auto"/>
        <w:bottom w:val="none" w:sz="0" w:space="0" w:color="auto"/>
        <w:right w:val="none" w:sz="0" w:space="0" w:color="auto"/>
      </w:divBdr>
    </w:div>
    <w:div w:id="159856424">
      <w:bodyDiv w:val="1"/>
      <w:marLeft w:val="0"/>
      <w:marRight w:val="0"/>
      <w:marTop w:val="0"/>
      <w:marBottom w:val="0"/>
      <w:divBdr>
        <w:top w:val="none" w:sz="0" w:space="0" w:color="auto"/>
        <w:left w:val="none" w:sz="0" w:space="0" w:color="auto"/>
        <w:bottom w:val="none" w:sz="0" w:space="0" w:color="auto"/>
        <w:right w:val="none" w:sz="0" w:space="0" w:color="auto"/>
      </w:divBdr>
    </w:div>
    <w:div w:id="174998036">
      <w:bodyDiv w:val="1"/>
      <w:marLeft w:val="0"/>
      <w:marRight w:val="0"/>
      <w:marTop w:val="0"/>
      <w:marBottom w:val="0"/>
      <w:divBdr>
        <w:top w:val="none" w:sz="0" w:space="0" w:color="auto"/>
        <w:left w:val="none" w:sz="0" w:space="0" w:color="auto"/>
        <w:bottom w:val="none" w:sz="0" w:space="0" w:color="auto"/>
        <w:right w:val="none" w:sz="0" w:space="0" w:color="auto"/>
      </w:divBdr>
    </w:div>
    <w:div w:id="184029289">
      <w:bodyDiv w:val="1"/>
      <w:marLeft w:val="0"/>
      <w:marRight w:val="0"/>
      <w:marTop w:val="0"/>
      <w:marBottom w:val="0"/>
      <w:divBdr>
        <w:top w:val="none" w:sz="0" w:space="0" w:color="auto"/>
        <w:left w:val="none" w:sz="0" w:space="0" w:color="auto"/>
        <w:bottom w:val="none" w:sz="0" w:space="0" w:color="auto"/>
        <w:right w:val="none" w:sz="0" w:space="0" w:color="auto"/>
      </w:divBdr>
    </w:div>
    <w:div w:id="206991689">
      <w:bodyDiv w:val="1"/>
      <w:marLeft w:val="0"/>
      <w:marRight w:val="0"/>
      <w:marTop w:val="0"/>
      <w:marBottom w:val="0"/>
      <w:divBdr>
        <w:top w:val="none" w:sz="0" w:space="0" w:color="auto"/>
        <w:left w:val="none" w:sz="0" w:space="0" w:color="auto"/>
        <w:bottom w:val="none" w:sz="0" w:space="0" w:color="auto"/>
        <w:right w:val="none" w:sz="0" w:space="0" w:color="auto"/>
      </w:divBdr>
    </w:div>
    <w:div w:id="235283397">
      <w:bodyDiv w:val="1"/>
      <w:marLeft w:val="0"/>
      <w:marRight w:val="0"/>
      <w:marTop w:val="0"/>
      <w:marBottom w:val="0"/>
      <w:divBdr>
        <w:top w:val="none" w:sz="0" w:space="0" w:color="auto"/>
        <w:left w:val="none" w:sz="0" w:space="0" w:color="auto"/>
        <w:bottom w:val="none" w:sz="0" w:space="0" w:color="auto"/>
        <w:right w:val="none" w:sz="0" w:space="0" w:color="auto"/>
      </w:divBdr>
    </w:div>
    <w:div w:id="240987840">
      <w:bodyDiv w:val="1"/>
      <w:marLeft w:val="0"/>
      <w:marRight w:val="0"/>
      <w:marTop w:val="0"/>
      <w:marBottom w:val="0"/>
      <w:divBdr>
        <w:top w:val="none" w:sz="0" w:space="0" w:color="auto"/>
        <w:left w:val="none" w:sz="0" w:space="0" w:color="auto"/>
        <w:bottom w:val="none" w:sz="0" w:space="0" w:color="auto"/>
        <w:right w:val="none" w:sz="0" w:space="0" w:color="auto"/>
      </w:divBdr>
    </w:div>
    <w:div w:id="259148225">
      <w:bodyDiv w:val="1"/>
      <w:marLeft w:val="0"/>
      <w:marRight w:val="0"/>
      <w:marTop w:val="0"/>
      <w:marBottom w:val="0"/>
      <w:divBdr>
        <w:top w:val="none" w:sz="0" w:space="0" w:color="auto"/>
        <w:left w:val="none" w:sz="0" w:space="0" w:color="auto"/>
        <w:bottom w:val="none" w:sz="0" w:space="0" w:color="auto"/>
        <w:right w:val="none" w:sz="0" w:space="0" w:color="auto"/>
      </w:divBdr>
    </w:div>
    <w:div w:id="321812424">
      <w:bodyDiv w:val="1"/>
      <w:marLeft w:val="0"/>
      <w:marRight w:val="0"/>
      <w:marTop w:val="0"/>
      <w:marBottom w:val="0"/>
      <w:divBdr>
        <w:top w:val="none" w:sz="0" w:space="0" w:color="auto"/>
        <w:left w:val="none" w:sz="0" w:space="0" w:color="auto"/>
        <w:bottom w:val="none" w:sz="0" w:space="0" w:color="auto"/>
        <w:right w:val="none" w:sz="0" w:space="0" w:color="auto"/>
      </w:divBdr>
    </w:div>
    <w:div w:id="381249859">
      <w:bodyDiv w:val="1"/>
      <w:marLeft w:val="0"/>
      <w:marRight w:val="0"/>
      <w:marTop w:val="0"/>
      <w:marBottom w:val="0"/>
      <w:divBdr>
        <w:top w:val="none" w:sz="0" w:space="0" w:color="auto"/>
        <w:left w:val="none" w:sz="0" w:space="0" w:color="auto"/>
        <w:bottom w:val="none" w:sz="0" w:space="0" w:color="auto"/>
        <w:right w:val="none" w:sz="0" w:space="0" w:color="auto"/>
      </w:divBdr>
    </w:div>
    <w:div w:id="388959748">
      <w:bodyDiv w:val="1"/>
      <w:marLeft w:val="0"/>
      <w:marRight w:val="0"/>
      <w:marTop w:val="0"/>
      <w:marBottom w:val="0"/>
      <w:divBdr>
        <w:top w:val="none" w:sz="0" w:space="0" w:color="auto"/>
        <w:left w:val="none" w:sz="0" w:space="0" w:color="auto"/>
        <w:bottom w:val="none" w:sz="0" w:space="0" w:color="auto"/>
        <w:right w:val="none" w:sz="0" w:space="0" w:color="auto"/>
      </w:divBdr>
    </w:div>
    <w:div w:id="391075999">
      <w:bodyDiv w:val="1"/>
      <w:marLeft w:val="0"/>
      <w:marRight w:val="0"/>
      <w:marTop w:val="0"/>
      <w:marBottom w:val="0"/>
      <w:divBdr>
        <w:top w:val="none" w:sz="0" w:space="0" w:color="auto"/>
        <w:left w:val="none" w:sz="0" w:space="0" w:color="auto"/>
        <w:bottom w:val="none" w:sz="0" w:space="0" w:color="auto"/>
        <w:right w:val="none" w:sz="0" w:space="0" w:color="auto"/>
      </w:divBdr>
    </w:div>
    <w:div w:id="393283070">
      <w:bodyDiv w:val="1"/>
      <w:marLeft w:val="0"/>
      <w:marRight w:val="0"/>
      <w:marTop w:val="0"/>
      <w:marBottom w:val="0"/>
      <w:divBdr>
        <w:top w:val="none" w:sz="0" w:space="0" w:color="auto"/>
        <w:left w:val="none" w:sz="0" w:space="0" w:color="auto"/>
        <w:bottom w:val="none" w:sz="0" w:space="0" w:color="auto"/>
        <w:right w:val="none" w:sz="0" w:space="0" w:color="auto"/>
      </w:divBdr>
    </w:div>
    <w:div w:id="414280912">
      <w:bodyDiv w:val="1"/>
      <w:marLeft w:val="0"/>
      <w:marRight w:val="0"/>
      <w:marTop w:val="0"/>
      <w:marBottom w:val="0"/>
      <w:divBdr>
        <w:top w:val="none" w:sz="0" w:space="0" w:color="auto"/>
        <w:left w:val="none" w:sz="0" w:space="0" w:color="auto"/>
        <w:bottom w:val="none" w:sz="0" w:space="0" w:color="auto"/>
        <w:right w:val="none" w:sz="0" w:space="0" w:color="auto"/>
      </w:divBdr>
    </w:div>
    <w:div w:id="425276192">
      <w:bodyDiv w:val="1"/>
      <w:marLeft w:val="0"/>
      <w:marRight w:val="0"/>
      <w:marTop w:val="0"/>
      <w:marBottom w:val="0"/>
      <w:divBdr>
        <w:top w:val="none" w:sz="0" w:space="0" w:color="auto"/>
        <w:left w:val="none" w:sz="0" w:space="0" w:color="auto"/>
        <w:bottom w:val="none" w:sz="0" w:space="0" w:color="auto"/>
        <w:right w:val="none" w:sz="0" w:space="0" w:color="auto"/>
      </w:divBdr>
    </w:div>
    <w:div w:id="445393862">
      <w:bodyDiv w:val="1"/>
      <w:marLeft w:val="0"/>
      <w:marRight w:val="0"/>
      <w:marTop w:val="0"/>
      <w:marBottom w:val="0"/>
      <w:divBdr>
        <w:top w:val="none" w:sz="0" w:space="0" w:color="auto"/>
        <w:left w:val="none" w:sz="0" w:space="0" w:color="auto"/>
        <w:bottom w:val="none" w:sz="0" w:space="0" w:color="auto"/>
        <w:right w:val="none" w:sz="0" w:space="0" w:color="auto"/>
      </w:divBdr>
    </w:div>
    <w:div w:id="445468194">
      <w:bodyDiv w:val="1"/>
      <w:marLeft w:val="0"/>
      <w:marRight w:val="0"/>
      <w:marTop w:val="0"/>
      <w:marBottom w:val="0"/>
      <w:divBdr>
        <w:top w:val="none" w:sz="0" w:space="0" w:color="auto"/>
        <w:left w:val="none" w:sz="0" w:space="0" w:color="auto"/>
        <w:bottom w:val="none" w:sz="0" w:space="0" w:color="auto"/>
        <w:right w:val="none" w:sz="0" w:space="0" w:color="auto"/>
      </w:divBdr>
    </w:div>
    <w:div w:id="497383534">
      <w:bodyDiv w:val="1"/>
      <w:marLeft w:val="0"/>
      <w:marRight w:val="0"/>
      <w:marTop w:val="0"/>
      <w:marBottom w:val="0"/>
      <w:divBdr>
        <w:top w:val="none" w:sz="0" w:space="0" w:color="auto"/>
        <w:left w:val="none" w:sz="0" w:space="0" w:color="auto"/>
        <w:bottom w:val="none" w:sz="0" w:space="0" w:color="auto"/>
        <w:right w:val="none" w:sz="0" w:space="0" w:color="auto"/>
      </w:divBdr>
    </w:div>
    <w:div w:id="547684622">
      <w:bodyDiv w:val="1"/>
      <w:marLeft w:val="0"/>
      <w:marRight w:val="0"/>
      <w:marTop w:val="0"/>
      <w:marBottom w:val="0"/>
      <w:divBdr>
        <w:top w:val="none" w:sz="0" w:space="0" w:color="auto"/>
        <w:left w:val="none" w:sz="0" w:space="0" w:color="auto"/>
        <w:bottom w:val="none" w:sz="0" w:space="0" w:color="auto"/>
        <w:right w:val="none" w:sz="0" w:space="0" w:color="auto"/>
      </w:divBdr>
    </w:div>
    <w:div w:id="553857340">
      <w:bodyDiv w:val="1"/>
      <w:marLeft w:val="0"/>
      <w:marRight w:val="0"/>
      <w:marTop w:val="0"/>
      <w:marBottom w:val="0"/>
      <w:divBdr>
        <w:top w:val="none" w:sz="0" w:space="0" w:color="auto"/>
        <w:left w:val="none" w:sz="0" w:space="0" w:color="auto"/>
        <w:bottom w:val="none" w:sz="0" w:space="0" w:color="auto"/>
        <w:right w:val="none" w:sz="0" w:space="0" w:color="auto"/>
      </w:divBdr>
    </w:div>
    <w:div w:id="633798868">
      <w:bodyDiv w:val="1"/>
      <w:marLeft w:val="0"/>
      <w:marRight w:val="0"/>
      <w:marTop w:val="0"/>
      <w:marBottom w:val="0"/>
      <w:divBdr>
        <w:top w:val="none" w:sz="0" w:space="0" w:color="auto"/>
        <w:left w:val="none" w:sz="0" w:space="0" w:color="auto"/>
        <w:bottom w:val="none" w:sz="0" w:space="0" w:color="auto"/>
        <w:right w:val="none" w:sz="0" w:space="0" w:color="auto"/>
      </w:divBdr>
    </w:div>
    <w:div w:id="650017405">
      <w:bodyDiv w:val="1"/>
      <w:marLeft w:val="0"/>
      <w:marRight w:val="0"/>
      <w:marTop w:val="0"/>
      <w:marBottom w:val="0"/>
      <w:divBdr>
        <w:top w:val="none" w:sz="0" w:space="0" w:color="auto"/>
        <w:left w:val="none" w:sz="0" w:space="0" w:color="auto"/>
        <w:bottom w:val="none" w:sz="0" w:space="0" w:color="auto"/>
        <w:right w:val="none" w:sz="0" w:space="0" w:color="auto"/>
      </w:divBdr>
    </w:div>
    <w:div w:id="719669662">
      <w:bodyDiv w:val="1"/>
      <w:marLeft w:val="0"/>
      <w:marRight w:val="0"/>
      <w:marTop w:val="0"/>
      <w:marBottom w:val="0"/>
      <w:divBdr>
        <w:top w:val="none" w:sz="0" w:space="0" w:color="auto"/>
        <w:left w:val="none" w:sz="0" w:space="0" w:color="auto"/>
        <w:bottom w:val="none" w:sz="0" w:space="0" w:color="auto"/>
        <w:right w:val="none" w:sz="0" w:space="0" w:color="auto"/>
      </w:divBdr>
    </w:div>
    <w:div w:id="733554141">
      <w:bodyDiv w:val="1"/>
      <w:marLeft w:val="0"/>
      <w:marRight w:val="0"/>
      <w:marTop w:val="0"/>
      <w:marBottom w:val="0"/>
      <w:divBdr>
        <w:top w:val="none" w:sz="0" w:space="0" w:color="auto"/>
        <w:left w:val="none" w:sz="0" w:space="0" w:color="auto"/>
        <w:bottom w:val="none" w:sz="0" w:space="0" w:color="auto"/>
        <w:right w:val="none" w:sz="0" w:space="0" w:color="auto"/>
      </w:divBdr>
    </w:div>
    <w:div w:id="815755281">
      <w:bodyDiv w:val="1"/>
      <w:marLeft w:val="0"/>
      <w:marRight w:val="0"/>
      <w:marTop w:val="0"/>
      <w:marBottom w:val="0"/>
      <w:divBdr>
        <w:top w:val="none" w:sz="0" w:space="0" w:color="auto"/>
        <w:left w:val="none" w:sz="0" w:space="0" w:color="auto"/>
        <w:bottom w:val="none" w:sz="0" w:space="0" w:color="auto"/>
        <w:right w:val="none" w:sz="0" w:space="0" w:color="auto"/>
      </w:divBdr>
    </w:div>
    <w:div w:id="850949379">
      <w:bodyDiv w:val="1"/>
      <w:marLeft w:val="0"/>
      <w:marRight w:val="0"/>
      <w:marTop w:val="0"/>
      <w:marBottom w:val="0"/>
      <w:divBdr>
        <w:top w:val="none" w:sz="0" w:space="0" w:color="auto"/>
        <w:left w:val="none" w:sz="0" w:space="0" w:color="auto"/>
        <w:bottom w:val="none" w:sz="0" w:space="0" w:color="auto"/>
        <w:right w:val="none" w:sz="0" w:space="0" w:color="auto"/>
      </w:divBdr>
    </w:div>
    <w:div w:id="864515879">
      <w:bodyDiv w:val="1"/>
      <w:marLeft w:val="0"/>
      <w:marRight w:val="0"/>
      <w:marTop w:val="0"/>
      <w:marBottom w:val="0"/>
      <w:divBdr>
        <w:top w:val="none" w:sz="0" w:space="0" w:color="auto"/>
        <w:left w:val="none" w:sz="0" w:space="0" w:color="auto"/>
        <w:bottom w:val="none" w:sz="0" w:space="0" w:color="auto"/>
        <w:right w:val="none" w:sz="0" w:space="0" w:color="auto"/>
      </w:divBdr>
    </w:div>
    <w:div w:id="883716246">
      <w:bodyDiv w:val="1"/>
      <w:marLeft w:val="0"/>
      <w:marRight w:val="0"/>
      <w:marTop w:val="0"/>
      <w:marBottom w:val="0"/>
      <w:divBdr>
        <w:top w:val="none" w:sz="0" w:space="0" w:color="auto"/>
        <w:left w:val="none" w:sz="0" w:space="0" w:color="auto"/>
        <w:bottom w:val="none" w:sz="0" w:space="0" w:color="auto"/>
        <w:right w:val="none" w:sz="0" w:space="0" w:color="auto"/>
      </w:divBdr>
    </w:div>
    <w:div w:id="912742429">
      <w:bodyDiv w:val="1"/>
      <w:marLeft w:val="0"/>
      <w:marRight w:val="0"/>
      <w:marTop w:val="0"/>
      <w:marBottom w:val="0"/>
      <w:divBdr>
        <w:top w:val="none" w:sz="0" w:space="0" w:color="auto"/>
        <w:left w:val="none" w:sz="0" w:space="0" w:color="auto"/>
        <w:bottom w:val="none" w:sz="0" w:space="0" w:color="auto"/>
        <w:right w:val="none" w:sz="0" w:space="0" w:color="auto"/>
      </w:divBdr>
    </w:div>
    <w:div w:id="921065123">
      <w:bodyDiv w:val="1"/>
      <w:marLeft w:val="0"/>
      <w:marRight w:val="0"/>
      <w:marTop w:val="0"/>
      <w:marBottom w:val="0"/>
      <w:divBdr>
        <w:top w:val="none" w:sz="0" w:space="0" w:color="auto"/>
        <w:left w:val="none" w:sz="0" w:space="0" w:color="auto"/>
        <w:bottom w:val="none" w:sz="0" w:space="0" w:color="auto"/>
        <w:right w:val="none" w:sz="0" w:space="0" w:color="auto"/>
      </w:divBdr>
    </w:div>
    <w:div w:id="944847599">
      <w:bodyDiv w:val="1"/>
      <w:marLeft w:val="0"/>
      <w:marRight w:val="0"/>
      <w:marTop w:val="0"/>
      <w:marBottom w:val="0"/>
      <w:divBdr>
        <w:top w:val="none" w:sz="0" w:space="0" w:color="auto"/>
        <w:left w:val="none" w:sz="0" w:space="0" w:color="auto"/>
        <w:bottom w:val="none" w:sz="0" w:space="0" w:color="auto"/>
        <w:right w:val="none" w:sz="0" w:space="0" w:color="auto"/>
      </w:divBdr>
    </w:div>
    <w:div w:id="976447681">
      <w:bodyDiv w:val="1"/>
      <w:marLeft w:val="0"/>
      <w:marRight w:val="0"/>
      <w:marTop w:val="0"/>
      <w:marBottom w:val="0"/>
      <w:divBdr>
        <w:top w:val="none" w:sz="0" w:space="0" w:color="auto"/>
        <w:left w:val="none" w:sz="0" w:space="0" w:color="auto"/>
        <w:bottom w:val="none" w:sz="0" w:space="0" w:color="auto"/>
        <w:right w:val="none" w:sz="0" w:space="0" w:color="auto"/>
      </w:divBdr>
    </w:div>
    <w:div w:id="1019160309">
      <w:bodyDiv w:val="1"/>
      <w:marLeft w:val="0"/>
      <w:marRight w:val="0"/>
      <w:marTop w:val="0"/>
      <w:marBottom w:val="0"/>
      <w:divBdr>
        <w:top w:val="none" w:sz="0" w:space="0" w:color="auto"/>
        <w:left w:val="none" w:sz="0" w:space="0" w:color="auto"/>
        <w:bottom w:val="none" w:sz="0" w:space="0" w:color="auto"/>
        <w:right w:val="none" w:sz="0" w:space="0" w:color="auto"/>
      </w:divBdr>
    </w:div>
    <w:div w:id="1115448293">
      <w:bodyDiv w:val="1"/>
      <w:marLeft w:val="0"/>
      <w:marRight w:val="0"/>
      <w:marTop w:val="0"/>
      <w:marBottom w:val="0"/>
      <w:divBdr>
        <w:top w:val="none" w:sz="0" w:space="0" w:color="auto"/>
        <w:left w:val="none" w:sz="0" w:space="0" w:color="auto"/>
        <w:bottom w:val="none" w:sz="0" w:space="0" w:color="auto"/>
        <w:right w:val="none" w:sz="0" w:space="0" w:color="auto"/>
      </w:divBdr>
    </w:div>
    <w:div w:id="1117408241">
      <w:bodyDiv w:val="1"/>
      <w:marLeft w:val="0"/>
      <w:marRight w:val="0"/>
      <w:marTop w:val="0"/>
      <w:marBottom w:val="0"/>
      <w:divBdr>
        <w:top w:val="none" w:sz="0" w:space="0" w:color="auto"/>
        <w:left w:val="none" w:sz="0" w:space="0" w:color="auto"/>
        <w:bottom w:val="none" w:sz="0" w:space="0" w:color="auto"/>
        <w:right w:val="none" w:sz="0" w:space="0" w:color="auto"/>
      </w:divBdr>
    </w:div>
    <w:div w:id="1140272256">
      <w:bodyDiv w:val="1"/>
      <w:marLeft w:val="0"/>
      <w:marRight w:val="0"/>
      <w:marTop w:val="0"/>
      <w:marBottom w:val="0"/>
      <w:divBdr>
        <w:top w:val="none" w:sz="0" w:space="0" w:color="auto"/>
        <w:left w:val="none" w:sz="0" w:space="0" w:color="auto"/>
        <w:bottom w:val="none" w:sz="0" w:space="0" w:color="auto"/>
        <w:right w:val="none" w:sz="0" w:space="0" w:color="auto"/>
      </w:divBdr>
    </w:div>
    <w:div w:id="1171220333">
      <w:bodyDiv w:val="1"/>
      <w:marLeft w:val="0"/>
      <w:marRight w:val="0"/>
      <w:marTop w:val="0"/>
      <w:marBottom w:val="0"/>
      <w:divBdr>
        <w:top w:val="none" w:sz="0" w:space="0" w:color="auto"/>
        <w:left w:val="none" w:sz="0" w:space="0" w:color="auto"/>
        <w:bottom w:val="none" w:sz="0" w:space="0" w:color="auto"/>
        <w:right w:val="none" w:sz="0" w:space="0" w:color="auto"/>
      </w:divBdr>
    </w:div>
    <w:div w:id="1224098787">
      <w:bodyDiv w:val="1"/>
      <w:marLeft w:val="0"/>
      <w:marRight w:val="0"/>
      <w:marTop w:val="0"/>
      <w:marBottom w:val="0"/>
      <w:divBdr>
        <w:top w:val="none" w:sz="0" w:space="0" w:color="auto"/>
        <w:left w:val="none" w:sz="0" w:space="0" w:color="auto"/>
        <w:bottom w:val="none" w:sz="0" w:space="0" w:color="auto"/>
        <w:right w:val="none" w:sz="0" w:space="0" w:color="auto"/>
      </w:divBdr>
    </w:div>
    <w:div w:id="1229151570">
      <w:bodyDiv w:val="1"/>
      <w:marLeft w:val="0"/>
      <w:marRight w:val="0"/>
      <w:marTop w:val="0"/>
      <w:marBottom w:val="0"/>
      <w:divBdr>
        <w:top w:val="none" w:sz="0" w:space="0" w:color="auto"/>
        <w:left w:val="none" w:sz="0" w:space="0" w:color="auto"/>
        <w:bottom w:val="none" w:sz="0" w:space="0" w:color="auto"/>
        <w:right w:val="none" w:sz="0" w:space="0" w:color="auto"/>
      </w:divBdr>
    </w:div>
    <w:div w:id="1244218186">
      <w:bodyDiv w:val="1"/>
      <w:marLeft w:val="0"/>
      <w:marRight w:val="0"/>
      <w:marTop w:val="0"/>
      <w:marBottom w:val="0"/>
      <w:divBdr>
        <w:top w:val="none" w:sz="0" w:space="0" w:color="auto"/>
        <w:left w:val="none" w:sz="0" w:space="0" w:color="auto"/>
        <w:bottom w:val="none" w:sz="0" w:space="0" w:color="auto"/>
        <w:right w:val="none" w:sz="0" w:space="0" w:color="auto"/>
      </w:divBdr>
    </w:div>
    <w:div w:id="1256019463">
      <w:bodyDiv w:val="1"/>
      <w:marLeft w:val="0"/>
      <w:marRight w:val="0"/>
      <w:marTop w:val="0"/>
      <w:marBottom w:val="0"/>
      <w:divBdr>
        <w:top w:val="none" w:sz="0" w:space="0" w:color="auto"/>
        <w:left w:val="none" w:sz="0" w:space="0" w:color="auto"/>
        <w:bottom w:val="none" w:sz="0" w:space="0" w:color="auto"/>
        <w:right w:val="none" w:sz="0" w:space="0" w:color="auto"/>
      </w:divBdr>
    </w:div>
    <w:div w:id="1257448350">
      <w:bodyDiv w:val="1"/>
      <w:marLeft w:val="0"/>
      <w:marRight w:val="0"/>
      <w:marTop w:val="0"/>
      <w:marBottom w:val="0"/>
      <w:divBdr>
        <w:top w:val="none" w:sz="0" w:space="0" w:color="auto"/>
        <w:left w:val="none" w:sz="0" w:space="0" w:color="auto"/>
        <w:bottom w:val="none" w:sz="0" w:space="0" w:color="auto"/>
        <w:right w:val="none" w:sz="0" w:space="0" w:color="auto"/>
      </w:divBdr>
    </w:div>
    <w:div w:id="1260408255">
      <w:bodyDiv w:val="1"/>
      <w:marLeft w:val="0"/>
      <w:marRight w:val="0"/>
      <w:marTop w:val="0"/>
      <w:marBottom w:val="0"/>
      <w:divBdr>
        <w:top w:val="none" w:sz="0" w:space="0" w:color="auto"/>
        <w:left w:val="none" w:sz="0" w:space="0" w:color="auto"/>
        <w:bottom w:val="none" w:sz="0" w:space="0" w:color="auto"/>
        <w:right w:val="none" w:sz="0" w:space="0" w:color="auto"/>
      </w:divBdr>
    </w:div>
    <w:div w:id="1261797108">
      <w:bodyDiv w:val="1"/>
      <w:marLeft w:val="0"/>
      <w:marRight w:val="0"/>
      <w:marTop w:val="0"/>
      <w:marBottom w:val="0"/>
      <w:divBdr>
        <w:top w:val="none" w:sz="0" w:space="0" w:color="auto"/>
        <w:left w:val="none" w:sz="0" w:space="0" w:color="auto"/>
        <w:bottom w:val="none" w:sz="0" w:space="0" w:color="auto"/>
        <w:right w:val="none" w:sz="0" w:space="0" w:color="auto"/>
      </w:divBdr>
    </w:div>
    <w:div w:id="1285310076">
      <w:bodyDiv w:val="1"/>
      <w:marLeft w:val="0"/>
      <w:marRight w:val="0"/>
      <w:marTop w:val="0"/>
      <w:marBottom w:val="0"/>
      <w:divBdr>
        <w:top w:val="none" w:sz="0" w:space="0" w:color="auto"/>
        <w:left w:val="none" w:sz="0" w:space="0" w:color="auto"/>
        <w:bottom w:val="none" w:sz="0" w:space="0" w:color="auto"/>
        <w:right w:val="none" w:sz="0" w:space="0" w:color="auto"/>
      </w:divBdr>
    </w:div>
    <w:div w:id="1291789928">
      <w:bodyDiv w:val="1"/>
      <w:marLeft w:val="0"/>
      <w:marRight w:val="0"/>
      <w:marTop w:val="0"/>
      <w:marBottom w:val="0"/>
      <w:divBdr>
        <w:top w:val="none" w:sz="0" w:space="0" w:color="auto"/>
        <w:left w:val="none" w:sz="0" w:space="0" w:color="auto"/>
        <w:bottom w:val="none" w:sz="0" w:space="0" w:color="auto"/>
        <w:right w:val="none" w:sz="0" w:space="0" w:color="auto"/>
      </w:divBdr>
    </w:div>
    <w:div w:id="1309745875">
      <w:bodyDiv w:val="1"/>
      <w:marLeft w:val="0"/>
      <w:marRight w:val="0"/>
      <w:marTop w:val="0"/>
      <w:marBottom w:val="0"/>
      <w:divBdr>
        <w:top w:val="none" w:sz="0" w:space="0" w:color="auto"/>
        <w:left w:val="none" w:sz="0" w:space="0" w:color="auto"/>
        <w:bottom w:val="none" w:sz="0" w:space="0" w:color="auto"/>
        <w:right w:val="none" w:sz="0" w:space="0" w:color="auto"/>
      </w:divBdr>
    </w:div>
    <w:div w:id="1320118329">
      <w:bodyDiv w:val="1"/>
      <w:marLeft w:val="0"/>
      <w:marRight w:val="0"/>
      <w:marTop w:val="0"/>
      <w:marBottom w:val="0"/>
      <w:divBdr>
        <w:top w:val="none" w:sz="0" w:space="0" w:color="auto"/>
        <w:left w:val="none" w:sz="0" w:space="0" w:color="auto"/>
        <w:bottom w:val="none" w:sz="0" w:space="0" w:color="auto"/>
        <w:right w:val="none" w:sz="0" w:space="0" w:color="auto"/>
      </w:divBdr>
    </w:div>
    <w:div w:id="1338461236">
      <w:bodyDiv w:val="1"/>
      <w:marLeft w:val="0"/>
      <w:marRight w:val="0"/>
      <w:marTop w:val="0"/>
      <w:marBottom w:val="0"/>
      <w:divBdr>
        <w:top w:val="none" w:sz="0" w:space="0" w:color="auto"/>
        <w:left w:val="none" w:sz="0" w:space="0" w:color="auto"/>
        <w:bottom w:val="none" w:sz="0" w:space="0" w:color="auto"/>
        <w:right w:val="none" w:sz="0" w:space="0" w:color="auto"/>
      </w:divBdr>
    </w:div>
    <w:div w:id="1339045467">
      <w:bodyDiv w:val="1"/>
      <w:marLeft w:val="0"/>
      <w:marRight w:val="0"/>
      <w:marTop w:val="0"/>
      <w:marBottom w:val="0"/>
      <w:divBdr>
        <w:top w:val="none" w:sz="0" w:space="0" w:color="auto"/>
        <w:left w:val="none" w:sz="0" w:space="0" w:color="auto"/>
        <w:bottom w:val="none" w:sz="0" w:space="0" w:color="auto"/>
        <w:right w:val="none" w:sz="0" w:space="0" w:color="auto"/>
      </w:divBdr>
    </w:div>
    <w:div w:id="1411778870">
      <w:bodyDiv w:val="1"/>
      <w:marLeft w:val="0"/>
      <w:marRight w:val="0"/>
      <w:marTop w:val="0"/>
      <w:marBottom w:val="0"/>
      <w:divBdr>
        <w:top w:val="none" w:sz="0" w:space="0" w:color="auto"/>
        <w:left w:val="none" w:sz="0" w:space="0" w:color="auto"/>
        <w:bottom w:val="none" w:sz="0" w:space="0" w:color="auto"/>
        <w:right w:val="none" w:sz="0" w:space="0" w:color="auto"/>
      </w:divBdr>
    </w:div>
    <w:div w:id="1446995807">
      <w:bodyDiv w:val="1"/>
      <w:marLeft w:val="0"/>
      <w:marRight w:val="0"/>
      <w:marTop w:val="0"/>
      <w:marBottom w:val="0"/>
      <w:divBdr>
        <w:top w:val="none" w:sz="0" w:space="0" w:color="auto"/>
        <w:left w:val="none" w:sz="0" w:space="0" w:color="auto"/>
        <w:bottom w:val="none" w:sz="0" w:space="0" w:color="auto"/>
        <w:right w:val="none" w:sz="0" w:space="0" w:color="auto"/>
      </w:divBdr>
    </w:div>
    <w:div w:id="1463307564">
      <w:bodyDiv w:val="1"/>
      <w:marLeft w:val="0"/>
      <w:marRight w:val="0"/>
      <w:marTop w:val="0"/>
      <w:marBottom w:val="0"/>
      <w:divBdr>
        <w:top w:val="none" w:sz="0" w:space="0" w:color="auto"/>
        <w:left w:val="none" w:sz="0" w:space="0" w:color="auto"/>
        <w:bottom w:val="none" w:sz="0" w:space="0" w:color="auto"/>
        <w:right w:val="none" w:sz="0" w:space="0" w:color="auto"/>
      </w:divBdr>
    </w:div>
    <w:div w:id="1590624353">
      <w:bodyDiv w:val="1"/>
      <w:marLeft w:val="0"/>
      <w:marRight w:val="0"/>
      <w:marTop w:val="0"/>
      <w:marBottom w:val="0"/>
      <w:divBdr>
        <w:top w:val="none" w:sz="0" w:space="0" w:color="auto"/>
        <w:left w:val="none" w:sz="0" w:space="0" w:color="auto"/>
        <w:bottom w:val="none" w:sz="0" w:space="0" w:color="auto"/>
        <w:right w:val="none" w:sz="0" w:space="0" w:color="auto"/>
      </w:divBdr>
    </w:div>
    <w:div w:id="1596087102">
      <w:bodyDiv w:val="1"/>
      <w:marLeft w:val="0"/>
      <w:marRight w:val="0"/>
      <w:marTop w:val="0"/>
      <w:marBottom w:val="0"/>
      <w:divBdr>
        <w:top w:val="none" w:sz="0" w:space="0" w:color="auto"/>
        <w:left w:val="none" w:sz="0" w:space="0" w:color="auto"/>
        <w:bottom w:val="none" w:sz="0" w:space="0" w:color="auto"/>
        <w:right w:val="none" w:sz="0" w:space="0" w:color="auto"/>
      </w:divBdr>
    </w:div>
    <w:div w:id="1606306867">
      <w:bodyDiv w:val="1"/>
      <w:marLeft w:val="0"/>
      <w:marRight w:val="0"/>
      <w:marTop w:val="0"/>
      <w:marBottom w:val="0"/>
      <w:divBdr>
        <w:top w:val="none" w:sz="0" w:space="0" w:color="auto"/>
        <w:left w:val="none" w:sz="0" w:space="0" w:color="auto"/>
        <w:bottom w:val="none" w:sz="0" w:space="0" w:color="auto"/>
        <w:right w:val="none" w:sz="0" w:space="0" w:color="auto"/>
      </w:divBdr>
    </w:div>
    <w:div w:id="1656181121">
      <w:bodyDiv w:val="1"/>
      <w:marLeft w:val="0"/>
      <w:marRight w:val="0"/>
      <w:marTop w:val="0"/>
      <w:marBottom w:val="0"/>
      <w:divBdr>
        <w:top w:val="none" w:sz="0" w:space="0" w:color="auto"/>
        <w:left w:val="none" w:sz="0" w:space="0" w:color="auto"/>
        <w:bottom w:val="none" w:sz="0" w:space="0" w:color="auto"/>
        <w:right w:val="none" w:sz="0" w:space="0" w:color="auto"/>
      </w:divBdr>
    </w:div>
    <w:div w:id="1663585053">
      <w:bodyDiv w:val="1"/>
      <w:marLeft w:val="0"/>
      <w:marRight w:val="0"/>
      <w:marTop w:val="0"/>
      <w:marBottom w:val="0"/>
      <w:divBdr>
        <w:top w:val="none" w:sz="0" w:space="0" w:color="auto"/>
        <w:left w:val="none" w:sz="0" w:space="0" w:color="auto"/>
        <w:bottom w:val="none" w:sz="0" w:space="0" w:color="auto"/>
        <w:right w:val="none" w:sz="0" w:space="0" w:color="auto"/>
      </w:divBdr>
    </w:div>
    <w:div w:id="1742749873">
      <w:bodyDiv w:val="1"/>
      <w:marLeft w:val="0"/>
      <w:marRight w:val="0"/>
      <w:marTop w:val="0"/>
      <w:marBottom w:val="0"/>
      <w:divBdr>
        <w:top w:val="none" w:sz="0" w:space="0" w:color="auto"/>
        <w:left w:val="none" w:sz="0" w:space="0" w:color="auto"/>
        <w:bottom w:val="none" w:sz="0" w:space="0" w:color="auto"/>
        <w:right w:val="none" w:sz="0" w:space="0" w:color="auto"/>
      </w:divBdr>
    </w:div>
    <w:div w:id="1788818186">
      <w:bodyDiv w:val="1"/>
      <w:marLeft w:val="0"/>
      <w:marRight w:val="0"/>
      <w:marTop w:val="0"/>
      <w:marBottom w:val="0"/>
      <w:divBdr>
        <w:top w:val="none" w:sz="0" w:space="0" w:color="auto"/>
        <w:left w:val="none" w:sz="0" w:space="0" w:color="auto"/>
        <w:bottom w:val="none" w:sz="0" w:space="0" w:color="auto"/>
        <w:right w:val="none" w:sz="0" w:space="0" w:color="auto"/>
      </w:divBdr>
    </w:div>
    <w:div w:id="1812365276">
      <w:bodyDiv w:val="1"/>
      <w:marLeft w:val="0"/>
      <w:marRight w:val="0"/>
      <w:marTop w:val="0"/>
      <w:marBottom w:val="0"/>
      <w:divBdr>
        <w:top w:val="none" w:sz="0" w:space="0" w:color="auto"/>
        <w:left w:val="none" w:sz="0" w:space="0" w:color="auto"/>
        <w:bottom w:val="none" w:sz="0" w:space="0" w:color="auto"/>
        <w:right w:val="none" w:sz="0" w:space="0" w:color="auto"/>
      </w:divBdr>
    </w:div>
    <w:div w:id="1821579227">
      <w:bodyDiv w:val="1"/>
      <w:marLeft w:val="0"/>
      <w:marRight w:val="0"/>
      <w:marTop w:val="0"/>
      <w:marBottom w:val="0"/>
      <w:divBdr>
        <w:top w:val="none" w:sz="0" w:space="0" w:color="auto"/>
        <w:left w:val="none" w:sz="0" w:space="0" w:color="auto"/>
        <w:bottom w:val="none" w:sz="0" w:space="0" w:color="auto"/>
        <w:right w:val="none" w:sz="0" w:space="0" w:color="auto"/>
      </w:divBdr>
    </w:div>
    <w:div w:id="1825900015">
      <w:bodyDiv w:val="1"/>
      <w:marLeft w:val="0"/>
      <w:marRight w:val="0"/>
      <w:marTop w:val="0"/>
      <w:marBottom w:val="0"/>
      <w:divBdr>
        <w:top w:val="none" w:sz="0" w:space="0" w:color="auto"/>
        <w:left w:val="none" w:sz="0" w:space="0" w:color="auto"/>
        <w:bottom w:val="none" w:sz="0" w:space="0" w:color="auto"/>
        <w:right w:val="none" w:sz="0" w:space="0" w:color="auto"/>
      </w:divBdr>
    </w:div>
    <w:div w:id="1839031648">
      <w:bodyDiv w:val="1"/>
      <w:marLeft w:val="0"/>
      <w:marRight w:val="0"/>
      <w:marTop w:val="0"/>
      <w:marBottom w:val="0"/>
      <w:divBdr>
        <w:top w:val="none" w:sz="0" w:space="0" w:color="auto"/>
        <w:left w:val="none" w:sz="0" w:space="0" w:color="auto"/>
        <w:bottom w:val="none" w:sz="0" w:space="0" w:color="auto"/>
        <w:right w:val="none" w:sz="0" w:space="0" w:color="auto"/>
      </w:divBdr>
    </w:div>
    <w:div w:id="1872720001">
      <w:bodyDiv w:val="1"/>
      <w:marLeft w:val="0"/>
      <w:marRight w:val="0"/>
      <w:marTop w:val="0"/>
      <w:marBottom w:val="0"/>
      <w:divBdr>
        <w:top w:val="none" w:sz="0" w:space="0" w:color="auto"/>
        <w:left w:val="none" w:sz="0" w:space="0" w:color="auto"/>
        <w:bottom w:val="none" w:sz="0" w:space="0" w:color="auto"/>
        <w:right w:val="none" w:sz="0" w:space="0" w:color="auto"/>
      </w:divBdr>
    </w:div>
    <w:div w:id="1897084583">
      <w:bodyDiv w:val="1"/>
      <w:marLeft w:val="0"/>
      <w:marRight w:val="0"/>
      <w:marTop w:val="0"/>
      <w:marBottom w:val="0"/>
      <w:divBdr>
        <w:top w:val="none" w:sz="0" w:space="0" w:color="auto"/>
        <w:left w:val="none" w:sz="0" w:space="0" w:color="auto"/>
        <w:bottom w:val="none" w:sz="0" w:space="0" w:color="auto"/>
        <w:right w:val="none" w:sz="0" w:space="0" w:color="auto"/>
      </w:divBdr>
    </w:div>
    <w:div w:id="1966886888">
      <w:bodyDiv w:val="1"/>
      <w:marLeft w:val="0"/>
      <w:marRight w:val="0"/>
      <w:marTop w:val="0"/>
      <w:marBottom w:val="0"/>
      <w:divBdr>
        <w:top w:val="none" w:sz="0" w:space="0" w:color="auto"/>
        <w:left w:val="none" w:sz="0" w:space="0" w:color="auto"/>
        <w:bottom w:val="none" w:sz="0" w:space="0" w:color="auto"/>
        <w:right w:val="none" w:sz="0" w:space="0" w:color="auto"/>
      </w:divBdr>
    </w:div>
    <w:div w:id="2010130949">
      <w:bodyDiv w:val="1"/>
      <w:marLeft w:val="0"/>
      <w:marRight w:val="0"/>
      <w:marTop w:val="0"/>
      <w:marBottom w:val="0"/>
      <w:divBdr>
        <w:top w:val="none" w:sz="0" w:space="0" w:color="auto"/>
        <w:left w:val="none" w:sz="0" w:space="0" w:color="auto"/>
        <w:bottom w:val="none" w:sz="0" w:space="0" w:color="auto"/>
        <w:right w:val="none" w:sz="0" w:space="0" w:color="auto"/>
      </w:divBdr>
    </w:div>
    <w:div w:id="2068530871">
      <w:bodyDiv w:val="1"/>
      <w:marLeft w:val="0"/>
      <w:marRight w:val="0"/>
      <w:marTop w:val="0"/>
      <w:marBottom w:val="0"/>
      <w:divBdr>
        <w:top w:val="none" w:sz="0" w:space="0" w:color="auto"/>
        <w:left w:val="none" w:sz="0" w:space="0" w:color="auto"/>
        <w:bottom w:val="none" w:sz="0" w:space="0" w:color="auto"/>
        <w:right w:val="none" w:sz="0" w:space="0" w:color="auto"/>
      </w:divBdr>
    </w:div>
    <w:div w:id="2104757405">
      <w:bodyDiv w:val="1"/>
      <w:marLeft w:val="0"/>
      <w:marRight w:val="0"/>
      <w:marTop w:val="0"/>
      <w:marBottom w:val="0"/>
      <w:divBdr>
        <w:top w:val="none" w:sz="0" w:space="0" w:color="auto"/>
        <w:left w:val="none" w:sz="0" w:space="0" w:color="auto"/>
        <w:bottom w:val="none" w:sz="0" w:space="0" w:color="auto"/>
        <w:right w:val="none" w:sz="0" w:space="0" w:color="auto"/>
      </w:divBdr>
    </w:div>
    <w:div w:id="213123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msac.gov.au/internet/msac/publishing.nsf/Content/Hom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8E9D9F3C63B08D82CA2584800001EF70/$File/1595%20Final%20PSD_Nov2020_redacted.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1595-publi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sac.gov.au/internet/msac/publishing.nsf/Content/8E9D9F3C63B08D82CA2584800001EF70/$File/1595%20Final%20PSD_Nov2020_redacted.pdf" TargetMode="External"/><Relationship Id="rId4" Type="http://schemas.openxmlformats.org/officeDocument/2006/relationships/settings" Target="settings.xml"/><Relationship Id="rId9" Type="http://schemas.openxmlformats.org/officeDocument/2006/relationships/hyperlink" Target="http://www.msac.gov.au/internet/msac/publishing.nsf/Content/1595-publi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C7EE1-EDAF-4FEF-A4CD-B32A757D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13790</Words>
  <Characters>74965</Characters>
  <Application>Microsoft Office Word</Application>
  <DocSecurity>0</DocSecurity>
  <Lines>624</Lines>
  <Paragraphs>177</Paragraphs>
  <ScaleCrop>false</ScaleCrop>
  <Manager/>
  <Company/>
  <LinksUpToDate>false</LinksUpToDate>
  <CharactersWithSpaces>88578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2023-06-19T01:47:00Z</dcterms:created>
  <dcterms:modified xsi:type="dcterms:W3CDTF">2023-06-19T01:48:00Z</dcterms:modified>
  <cp:category/>
</cp:coreProperties>
</file>