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AC2EF" w14:textId="77777777" w:rsidR="00E44B80" w:rsidRPr="00F637B3" w:rsidRDefault="00E44B80" w:rsidP="00E44B80">
      <w:pPr>
        <w:jc w:val="center"/>
        <w:rPr>
          <w:b/>
          <w:szCs w:val="20"/>
        </w:rPr>
      </w:pPr>
      <w:r w:rsidRPr="00F637B3">
        <w:rPr>
          <w:b/>
          <w:noProof/>
          <w:szCs w:val="20"/>
          <w:lang w:eastAsia="en-AU"/>
        </w:rPr>
        <w:drawing>
          <wp:inline distT="0" distB="0" distL="0" distR="0" wp14:anchorId="57447D58" wp14:editId="798987EF">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3AD546D5" w14:textId="4D135409" w:rsidR="008B2610" w:rsidRDefault="00AC6F32" w:rsidP="00F971CC">
      <w:pPr>
        <w:pStyle w:val="Title"/>
        <w:spacing w:before="2600"/>
      </w:pPr>
      <w:r>
        <w:t xml:space="preserve">MSAC </w:t>
      </w:r>
      <w:r w:rsidR="008B2610" w:rsidRPr="001906CD">
        <w:t xml:space="preserve">Application </w:t>
      </w:r>
      <w:r>
        <w:t>1595.1</w:t>
      </w:r>
    </w:p>
    <w:p w14:paraId="223B79B4" w14:textId="6B533582" w:rsidR="0026329D" w:rsidRPr="00303C94" w:rsidRDefault="0026329D" w:rsidP="00AC6F32">
      <w:pPr>
        <w:pStyle w:val="Heading10"/>
        <w:spacing w:before="720" w:after="720"/>
        <w:jc w:val="center"/>
        <w:rPr>
          <w:sz w:val="48"/>
          <w:szCs w:val="48"/>
        </w:rPr>
      </w:pPr>
      <w:r>
        <w:rPr>
          <w:color w:val="548DD4"/>
          <w:sz w:val="48"/>
          <w:szCs w:val="48"/>
          <w:lang w:val="en-AU"/>
        </w:rPr>
        <w:t>Closed-loop upper airway stimulation for moderate to severe o</w:t>
      </w:r>
      <w:r w:rsidRPr="00A1183F">
        <w:rPr>
          <w:color w:val="548DD4"/>
          <w:sz w:val="48"/>
          <w:szCs w:val="48"/>
          <w:lang w:val="en-AU"/>
        </w:rPr>
        <w:t xml:space="preserve">bstructive </w:t>
      </w:r>
      <w:r>
        <w:rPr>
          <w:color w:val="548DD4"/>
          <w:sz w:val="48"/>
          <w:szCs w:val="48"/>
          <w:lang w:val="en-AU"/>
        </w:rPr>
        <w:t>s</w:t>
      </w:r>
      <w:r w:rsidRPr="00A1183F">
        <w:rPr>
          <w:color w:val="548DD4"/>
          <w:sz w:val="48"/>
          <w:szCs w:val="48"/>
          <w:lang w:val="en-AU"/>
        </w:rPr>
        <w:t xml:space="preserve">leep </w:t>
      </w:r>
      <w:r>
        <w:rPr>
          <w:color w:val="548DD4"/>
          <w:sz w:val="48"/>
          <w:szCs w:val="48"/>
          <w:lang w:val="en-AU"/>
        </w:rPr>
        <w:t>a</w:t>
      </w:r>
      <w:r w:rsidRPr="00A1183F">
        <w:rPr>
          <w:color w:val="548DD4"/>
          <w:sz w:val="48"/>
          <w:szCs w:val="48"/>
          <w:lang w:val="en-AU"/>
        </w:rPr>
        <w:t>pnoea</w:t>
      </w:r>
      <w:r>
        <w:rPr>
          <w:color w:val="548DD4"/>
          <w:sz w:val="48"/>
          <w:szCs w:val="48"/>
          <w:lang w:val="en-AU"/>
        </w:rPr>
        <w:t>,</w:t>
      </w:r>
      <w:r w:rsidRPr="00A1183F">
        <w:rPr>
          <w:color w:val="548DD4"/>
          <w:sz w:val="48"/>
          <w:szCs w:val="48"/>
          <w:lang w:val="en-AU"/>
        </w:rPr>
        <w:t xml:space="preserve"> for patients who have failed or are intolerant to </w:t>
      </w:r>
      <w:r>
        <w:rPr>
          <w:color w:val="548DD4"/>
          <w:sz w:val="48"/>
          <w:szCs w:val="48"/>
          <w:lang w:val="en-AU"/>
        </w:rPr>
        <w:t>c</w:t>
      </w:r>
      <w:r w:rsidRPr="00A1183F">
        <w:rPr>
          <w:color w:val="548DD4"/>
          <w:sz w:val="48"/>
          <w:szCs w:val="48"/>
          <w:lang w:val="en-AU"/>
        </w:rPr>
        <w:t xml:space="preserve">ontinuous </w:t>
      </w:r>
      <w:r>
        <w:rPr>
          <w:color w:val="548DD4"/>
          <w:sz w:val="48"/>
          <w:szCs w:val="48"/>
          <w:lang w:val="en-AU"/>
        </w:rPr>
        <w:lastRenderedPageBreak/>
        <w:t>positive airway p</w:t>
      </w:r>
      <w:r w:rsidRPr="00A1183F">
        <w:rPr>
          <w:color w:val="548DD4"/>
          <w:sz w:val="48"/>
          <w:szCs w:val="48"/>
          <w:lang w:val="en-AU"/>
        </w:rPr>
        <w:t xml:space="preserve">ressure </w:t>
      </w:r>
    </w:p>
    <w:p w14:paraId="230B2489" w14:textId="77777777" w:rsidR="0056015F" w:rsidRDefault="0056015F" w:rsidP="0056015F"/>
    <w:p w14:paraId="10658FF3"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14:paraId="23502489" w14:textId="77777777"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54966BA4"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 xml:space="preserve">(HTA </w:t>
      </w:r>
      <w:r w:rsidR="008B2610" w:rsidRPr="00154B00">
        <w:lastRenderedPageBreak/>
        <w:t>Team) on the contact numbers and email below to discuss</w:t>
      </w:r>
      <w:r w:rsidRPr="00154B00">
        <w:t xml:space="preserve"> the application form, or any other component of the Medical Services Advisory Committee process.</w:t>
      </w:r>
    </w:p>
    <w:p w14:paraId="29AC648C" w14:textId="77777777" w:rsidR="009F5758" w:rsidRPr="00154B00" w:rsidRDefault="009F5758" w:rsidP="003F7CB9">
      <w:pPr>
        <w:spacing w:before="0" w:after="0"/>
      </w:pPr>
    </w:p>
    <w:p w14:paraId="559A0CE6" w14:textId="77777777" w:rsidR="009F5758" w:rsidRPr="00154B00" w:rsidRDefault="009F5758" w:rsidP="003F7CB9">
      <w:pPr>
        <w:spacing w:before="0" w:after="0"/>
      </w:pPr>
      <w:r w:rsidRPr="00154B00">
        <w:t xml:space="preserve">Email:  </w:t>
      </w:r>
      <w:hyperlink r:id="rId9" w:tooltip="click here to email the Department of Health HTA Team" w:history="1">
        <w:r w:rsidRPr="00154B00">
          <w:rPr>
            <w:rStyle w:val="Hyperlink"/>
            <w:szCs w:val="20"/>
          </w:rPr>
          <w:t>hta@health.gov.au</w:t>
        </w:r>
      </w:hyperlink>
    </w:p>
    <w:p w14:paraId="11EDBCAF" w14:textId="77777777" w:rsidR="009F5758" w:rsidRPr="00154B00" w:rsidRDefault="009F5758" w:rsidP="003F7CB9">
      <w:pPr>
        <w:spacing w:before="0" w:after="0"/>
      </w:pPr>
      <w:r w:rsidRPr="00154B00">
        <w:t xml:space="preserve">Website:  </w:t>
      </w:r>
      <w:hyperlink r:id="rId10"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686C32FB" w14:textId="77777777" w:rsidR="00E04FB3" w:rsidRPr="00C776B1" w:rsidRDefault="00D73646" w:rsidP="0056015F">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14:paraId="19ECA3DF"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26576FF0" w14:textId="5D89A22D" w:rsidR="00C171FB" w:rsidRDefault="00C171FB" w:rsidP="00C171FB">
      <w:pPr>
        <w:pBdr>
          <w:top w:val="single" w:sz="4" w:space="1" w:color="auto"/>
          <w:left w:val="single" w:sz="4" w:space="4" w:color="auto"/>
          <w:bottom w:val="single" w:sz="4" w:space="1" w:color="auto"/>
          <w:right w:val="single" w:sz="4" w:space="4" w:color="auto"/>
        </w:pBdr>
      </w:pPr>
      <w:r>
        <w:t>Corporation / partnership details (where relevant</w:t>
      </w:r>
      <w:r w:rsidR="0026329D">
        <w:t xml:space="preserve">); </w:t>
      </w:r>
    </w:p>
    <w:p w14:paraId="036E206F" w14:textId="48D871D9"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26329D">
        <w:t>Inspire</w:t>
      </w:r>
      <w:r w:rsidR="0026329D">
        <w:rPr>
          <w:rFonts w:cstheme="minorHAnsi"/>
        </w:rPr>
        <w:t>®</w:t>
      </w:r>
      <w:r w:rsidR="0026329D">
        <w:t xml:space="preserve"> Medical Systems Inc</w:t>
      </w:r>
    </w:p>
    <w:p w14:paraId="7C8C4C2E" w14:textId="7054278B" w:rsidR="0026329D" w:rsidRPr="0026329D" w:rsidRDefault="00C171FB" w:rsidP="0026329D">
      <w:pPr>
        <w:pBdr>
          <w:top w:val="single" w:sz="4" w:space="1" w:color="auto"/>
          <w:left w:val="single" w:sz="4" w:space="4" w:color="auto"/>
          <w:bottom w:val="single" w:sz="4" w:space="1" w:color="auto"/>
          <w:right w:val="single" w:sz="4" w:space="4" w:color="auto"/>
        </w:pBdr>
      </w:pPr>
      <w:r>
        <w:t xml:space="preserve">ABN: </w:t>
      </w:r>
      <w:r w:rsidR="0026329D" w:rsidRPr="0026329D">
        <w:t>At present Inspire</w:t>
      </w:r>
      <w:r w:rsidR="0026329D" w:rsidRPr="0026329D">
        <w:rPr>
          <w:rFonts w:cstheme="minorHAnsi"/>
        </w:rPr>
        <w:t>®</w:t>
      </w:r>
      <w:r w:rsidR="0026329D" w:rsidRPr="0026329D">
        <w:t xml:space="preserve"> Medical Systems does not have an entity in Australia </w:t>
      </w:r>
      <w:r w:rsidR="00F63F61" w:rsidRPr="00AC6F32">
        <w:rPr>
          <w:b/>
          <w:bCs/>
        </w:rPr>
        <w:t>REDACTED</w:t>
      </w:r>
    </w:p>
    <w:p w14:paraId="2EED269F" w14:textId="63271B0D"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26329D">
        <w:t>Inspire</w:t>
      </w:r>
      <w:r w:rsidR="0026329D">
        <w:rPr>
          <w:rFonts w:cstheme="minorHAnsi"/>
        </w:rPr>
        <w:t>®</w:t>
      </w:r>
      <w:r w:rsidR="0026329D">
        <w:t xml:space="preserve"> Medical Systems Inc</w:t>
      </w:r>
    </w:p>
    <w:p w14:paraId="5AEF5E01" w14:textId="77777777" w:rsidR="00C171FB" w:rsidRPr="00C171FB" w:rsidRDefault="00C171FB" w:rsidP="00C171FB"/>
    <w:p w14:paraId="2BF627B4" w14:textId="213C1EEE" w:rsidR="00C171FB" w:rsidRPr="00AC6F32" w:rsidRDefault="00C171FB" w:rsidP="00C171FB">
      <w:pPr>
        <w:rPr>
          <w:b/>
        </w:rPr>
      </w:pPr>
      <w:r w:rsidRPr="00AC6F32">
        <w:rPr>
          <w:b/>
        </w:rPr>
        <w:t xml:space="preserve">Primary contact name: </w:t>
      </w:r>
      <w:bookmarkStart w:id="1" w:name="_Hlk71802524"/>
      <w:r w:rsidR="000B61CF" w:rsidRPr="00AC6F32">
        <w:rPr>
          <w:b/>
          <w:bCs/>
        </w:rPr>
        <w:t>REDACTED</w:t>
      </w:r>
      <w:bookmarkEnd w:id="1"/>
    </w:p>
    <w:p w14:paraId="1D5DE7FA" w14:textId="77777777" w:rsidR="00C171FB" w:rsidRPr="00AC6F32" w:rsidRDefault="00C171FB" w:rsidP="00C171FB">
      <w:pPr>
        <w:pBdr>
          <w:top w:val="single" w:sz="4" w:space="1" w:color="auto"/>
          <w:left w:val="single" w:sz="4" w:space="4" w:color="auto"/>
          <w:bottom w:val="single" w:sz="4" w:space="1" w:color="auto"/>
          <w:right w:val="single" w:sz="4" w:space="4" w:color="auto"/>
        </w:pBdr>
      </w:pPr>
      <w:r w:rsidRPr="00AC6F32">
        <w:t>Primary contact numbers</w:t>
      </w:r>
    </w:p>
    <w:p w14:paraId="36993584" w14:textId="16E1B865" w:rsidR="00C171FB" w:rsidRPr="00AC6F32" w:rsidRDefault="00C171FB" w:rsidP="00C171FB">
      <w:pPr>
        <w:pBdr>
          <w:top w:val="single" w:sz="4" w:space="1" w:color="auto"/>
          <w:left w:val="single" w:sz="4" w:space="4" w:color="auto"/>
          <w:bottom w:val="single" w:sz="4" w:space="1" w:color="auto"/>
          <w:right w:val="single" w:sz="4" w:space="4" w:color="auto"/>
        </w:pBdr>
      </w:pPr>
      <w:r w:rsidRPr="00AC6F32">
        <w:t xml:space="preserve">Business: </w:t>
      </w:r>
      <w:r w:rsidR="000B61CF" w:rsidRPr="00AC6F32">
        <w:rPr>
          <w:b/>
          <w:bCs/>
        </w:rPr>
        <w:t>REDACTED</w:t>
      </w:r>
    </w:p>
    <w:p w14:paraId="2EA6DEAC" w14:textId="092347AC" w:rsidR="00C171FB" w:rsidRPr="00AC6F32" w:rsidRDefault="00C171FB" w:rsidP="00C171FB">
      <w:pPr>
        <w:pBdr>
          <w:top w:val="single" w:sz="4" w:space="1" w:color="auto"/>
          <w:left w:val="single" w:sz="4" w:space="4" w:color="auto"/>
          <w:bottom w:val="single" w:sz="4" w:space="1" w:color="auto"/>
          <w:right w:val="single" w:sz="4" w:space="4" w:color="auto"/>
        </w:pBdr>
      </w:pPr>
      <w:r w:rsidRPr="00AC6F32">
        <w:t>Mobile:</w:t>
      </w:r>
      <w:r w:rsidRPr="00AC6F32">
        <w:tab/>
      </w:r>
      <w:r w:rsidR="000B61CF" w:rsidRPr="00AC6F32">
        <w:rPr>
          <w:b/>
          <w:bCs/>
        </w:rPr>
        <w:t>REDACTED</w:t>
      </w:r>
    </w:p>
    <w:p w14:paraId="52B93E88" w14:textId="45B7B0F0" w:rsidR="00C171FB" w:rsidRPr="00AC6F32" w:rsidRDefault="00C171FB" w:rsidP="00C171FB">
      <w:pPr>
        <w:pBdr>
          <w:top w:val="single" w:sz="4" w:space="1" w:color="auto"/>
          <w:left w:val="single" w:sz="4" w:space="4" w:color="auto"/>
          <w:bottom w:val="single" w:sz="4" w:space="1" w:color="auto"/>
          <w:right w:val="single" w:sz="4" w:space="4" w:color="auto"/>
        </w:pBdr>
      </w:pPr>
      <w:r w:rsidRPr="00AC6F32">
        <w:t xml:space="preserve">Email: </w:t>
      </w:r>
      <w:r w:rsidR="000B61CF" w:rsidRPr="00AC6F32">
        <w:rPr>
          <w:b/>
          <w:bCs/>
        </w:rPr>
        <w:t>REDACTED</w:t>
      </w:r>
    </w:p>
    <w:p w14:paraId="27A0BD47" w14:textId="77777777" w:rsidR="00C171FB" w:rsidRPr="00AC6F32" w:rsidRDefault="00C171FB" w:rsidP="00C171FB">
      <w:pPr>
        <w:rPr>
          <w:b/>
        </w:rPr>
      </w:pPr>
    </w:p>
    <w:p w14:paraId="5C8A0669" w14:textId="60F1E6F7" w:rsidR="00C171FB" w:rsidRPr="00AC6F32" w:rsidRDefault="00C171FB" w:rsidP="00C171FB">
      <w:pPr>
        <w:rPr>
          <w:b/>
        </w:rPr>
      </w:pPr>
      <w:r w:rsidRPr="00AC6F32">
        <w:rPr>
          <w:b/>
        </w:rPr>
        <w:t xml:space="preserve">Alternative contact name: </w:t>
      </w:r>
      <w:r w:rsidR="000B61CF" w:rsidRPr="00AC6F32">
        <w:rPr>
          <w:b/>
          <w:bCs/>
        </w:rPr>
        <w:t>REDACTED</w:t>
      </w:r>
    </w:p>
    <w:p w14:paraId="3624DE22" w14:textId="77777777" w:rsidR="00C171FB" w:rsidRPr="00AC6F32" w:rsidRDefault="00C171FB" w:rsidP="00C171FB">
      <w:pPr>
        <w:pBdr>
          <w:top w:val="single" w:sz="4" w:space="1" w:color="auto"/>
          <w:left w:val="single" w:sz="4" w:space="4" w:color="auto"/>
          <w:bottom w:val="single" w:sz="4" w:space="1" w:color="auto"/>
          <w:right w:val="single" w:sz="4" w:space="4" w:color="auto"/>
        </w:pBdr>
      </w:pPr>
      <w:r w:rsidRPr="00AC6F32">
        <w:t>Alternative contact numbers</w:t>
      </w:r>
      <w:r w:rsidRPr="00AC6F32">
        <w:tab/>
      </w:r>
    </w:p>
    <w:p w14:paraId="3F6A9F16" w14:textId="26EE2E73" w:rsidR="00C171FB" w:rsidRPr="00AC6F32" w:rsidRDefault="00C171FB" w:rsidP="00C171FB">
      <w:pPr>
        <w:pBdr>
          <w:top w:val="single" w:sz="4" w:space="1" w:color="auto"/>
          <w:left w:val="single" w:sz="4" w:space="4" w:color="auto"/>
          <w:bottom w:val="single" w:sz="4" w:space="1" w:color="auto"/>
          <w:right w:val="single" w:sz="4" w:space="4" w:color="auto"/>
        </w:pBdr>
      </w:pPr>
      <w:r w:rsidRPr="00AC6F32">
        <w:t xml:space="preserve">Business: </w:t>
      </w:r>
      <w:r w:rsidR="000B61CF" w:rsidRPr="00AC6F32">
        <w:rPr>
          <w:b/>
          <w:bCs/>
        </w:rPr>
        <w:t>REDACTED</w:t>
      </w:r>
    </w:p>
    <w:p w14:paraId="7865D592" w14:textId="6C6CC276" w:rsidR="00C171FB" w:rsidRPr="00AC6F32" w:rsidRDefault="00C171FB" w:rsidP="00C171FB">
      <w:pPr>
        <w:pBdr>
          <w:top w:val="single" w:sz="4" w:space="1" w:color="auto"/>
          <w:left w:val="single" w:sz="4" w:space="4" w:color="auto"/>
          <w:bottom w:val="single" w:sz="4" w:space="1" w:color="auto"/>
          <w:right w:val="single" w:sz="4" w:space="4" w:color="auto"/>
        </w:pBdr>
      </w:pPr>
      <w:r w:rsidRPr="00AC6F32">
        <w:t xml:space="preserve">Mobile: </w:t>
      </w:r>
      <w:r w:rsidR="000B61CF" w:rsidRPr="00AC6F32">
        <w:rPr>
          <w:b/>
          <w:bCs/>
        </w:rPr>
        <w:t>REDACTED</w:t>
      </w:r>
    </w:p>
    <w:p w14:paraId="75BF4649" w14:textId="40B92F69" w:rsidR="00C171FB" w:rsidRPr="00AC6F32" w:rsidRDefault="00C171FB" w:rsidP="00C171FB">
      <w:pPr>
        <w:pBdr>
          <w:top w:val="single" w:sz="4" w:space="1" w:color="auto"/>
          <w:left w:val="single" w:sz="4" w:space="4" w:color="auto"/>
          <w:bottom w:val="single" w:sz="4" w:space="1" w:color="auto"/>
          <w:right w:val="single" w:sz="4" w:space="4" w:color="auto"/>
        </w:pBdr>
      </w:pPr>
      <w:r w:rsidRPr="00AC6F32">
        <w:t xml:space="preserve">Email: </w:t>
      </w:r>
      <w:r w:rsidR="000B61CF" w:rsidRPr="00AC6F32">
        <w:rPr>
          <w:b/>
          <w:bCs/>
        </w:rPr>
        <w:t>REDACTED</w:t>
      </w:r>
    </w:p>
    <w:p w14:paraId="45F84F49" w14:textId="77777777" w:rsidR="00C171FB" w:rsidRPr="00C171FB" w:rsidRDefault="00C171FB" w:rsidP="00C171FB"/>
    <w:p w14:paraId="62068B98" w14:textId="77777777" w:rsidR="00534C5F" w:rsidRPr="00154B00" w:rsidRDefault="00494011" w:rsidP="004A0BF4">
      <w:pPr>
        <w:pStyle w:val="Heading2"/>
      </w:pPr>
      <w:r>
        <w:lastRenderedPageBreak/>
        <w:t xml:space="preserve">(a) </w:t>
      </w:r>
      <w:r w:rsidR="00534C5F">
        <w:t>Are you a lobbyist acting on behalf of an Applicant?</w:t>
      </w:r>
    </w:p>
    <w:p w14:paraId="30262B86" w14:textId="7A7F7AAA" w:rsidR="00A6491A" w:rsidRDefault="0026329D" w:rsidP="00A6491A">
      <w:pPr>
        <w:spacing w:before="0" w:after="0"/>
        <w:ind w:left="426"/>
        <w:rPr>
          <w:szCs w:val="20"/>
        </w:rPr>
      </w:pPr>
      <w:r>
        <w:rPr>
          <w:szCs w:val="20"/>
        </w:rPr>
        <w:fldChar w:fldCharType="begin">
          <w:ffData>
            <w:name w:val="Check1"/>
            <w:enabled/>
            <w:calcOnExit w:val="0"/>
            <w:checkBox>
              <w:sizeAuto/>
              <w:default w:val="1"/>
            </w:checkBox>
          </w:ffData>
        </w:fldChar>
      </w:r>
      <w:bookmarkStart w:id="2" w:name="Check1"/>
      <w:r>
        <w:rPr>
          <w:szCs w:val="20"/>
        </w:rPr>
        <w:instrText xml:space="preserve"> FORMCHECKBOX </w:instrText>
      </w:r>
      <w:r w:rsidR="00AC6F32">
        <w:rPr>
          <w:szCs w:val="20"/>
        </w:rPr>
      </w:r>
      <w:r w:rsidR="00AC6F32">
        <w:rPr>
          <w:szCs w:val="20"/>
        </w:rPr>
        <w:fldChar w:fldCharType="separate"/>
      </w:r>
      <w:r>
        <w:rPr>
          <w:szCs w:val="20"/>
        </w:rPr>
        <w:fldChar w:fldCharType="end"/>
      </w:r>
      <w:bookmarkEnd w:id="2"/>
      <w:r w:rsidR="00A6491A">
        <w:rPr>
          <w:szCs w:val="20"/>
        </w:rPr>
        <w:t xml:space="preserve"> Yes</w:t>
      </w:r>
    </w:p>
    <w:p w14:paraId="43607D56" w14:textId="77777777"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AC6F32">
        <w:rPr>
          <w:szCs w:val="20"/>
        </w:rPr>
      </w:r>
      <w:r w:rsidR="00AC6F32">
        <w:rPr>
          <w:szCs w:val="20"/>
        </w:rPr>
        <w:fldChar w:fldCharType="separate"/>
      </w:r>
      <w:r w:rsidRPr="00753C44">
        <w:rPr>
          <w:szCs w:val="20"/>
        </w:rPr>
        <w:fldChar w:fldCharType="end"/>
      </w:r>
      <w:r>
        <w:rPr>
          <w:szCs w:val="20"/>
        </w:rPr>
        <w:t xml:space="preserve"> No</w:t>
      </w:r>
      <w:r w:rsidRPr="00753C44">
        <w:rPr>
          <w:szCs w:val="20"/>
        </w:rPr>
        <w:t xml:space="preserve">  </w:t>
      </w:r>
    </w:p>
    <w:p w14:paraId="67B514EC" w14:textId="77777777"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14:paraId="28F082EB" w14:textId="29D26C96" w:rsidR="00A6491A" w:rsidRDefault="0026329D"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C6F32">
        <w:rPr>
          <w:szCs w:val="20"/>
        </w:rPr>
      </w:r>
      <w:r w:rsidR="00AC6F32">
        <w:rPr>
          <w:szCs w:val="20"/>
        </w:rPr>
        <w:fldChar w:fldCharType="separate"/>
      </w:r>
      <w:r>
        <w:rPr>
          <w:szCs w:val="20"/>
        </w:rPr>
        <w:fldChar w:fldCharType="end"/>
      </w:r>
      <w:r w:rsidR="00A6491A">
        <w:rPr>
          <w:szCs w:val="20"/>
        </w:rPr>
        <w:t xml:space="preserve"> Yes</w:t>
      </w:r>
    </w:p>
    <w:p w14:paraId="2DDB3B67" w14:textId="77777777"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AC6F32">
        <w:rPr>
          <w:szCs w:val="20"/>
        </w:rPr>
      </w:r>
      <w:r w:rsidR="00AC6F32">
        <w:rPr>
          <w:szCs w:val="20"/>
        </w:rPr>
        <w:fldChar w:fldCharType="separate"/>
      </w:r>
      <w:r w:rsidRPr="00753C44">
        <w:rPr>
          <w:szCs w:val="20"/>
        </w:rPr>
        <w:fldChar w:fldCharType="end"/>
      </w:r>
      <w:r>
        <w:rPr>
          <w:szCs w:val="20"/>
        </w:rPr>
        <w:t xml:space="preserve"> No</w:t>
      </w:r>
      <w:r w:rsidRPr="00753C44">
        <w:rPr>
          <w:szCs w:val="20"/>
        </w:rPr>
        <w:t xml:space="preserve">  </w:t>
      </w:r>
    </w:p>
    <w:p w14:paraId="4E82A394" w14:textId="77777777" w:rsidR="00E04FB3" w:rsidRDefault="00E04FB3" w:rsidP="005C333E">
      <w:pPr>
        <w:spacing w:before="0" w:after="0"/>
        <w:ind w:left="426"/>
        <w:rPr>
          <w:b/>
          <w:szCs w:val="20"/>
        </w:rPr>
      </w:pPr>
      <w:r w:rsidRPr="00154B00">
        <w:rPr>
          <w:b/>
          <w:szCs w:val="20"/>
        </w:rPr>
        <w:br w:type="page"/>
      </w:r>
    </w:p>
    <w:p w14:paraId="04CA3159" w14:textId="368BCBFC" w:rsidR="00D57F88"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14:paraId="2C1D484F" w14:textId="70E53856" w:rsidR="00BC0DB1" w:rsidRDefault="00BC0DB1" w:rsidP="00BC0DB1">
      <w:pPr>
        <w:rPr>
          <w:b/>
          <w:bCs/>
        </w:rPr>
      </w:pPr>
      <w:r>
        <w:rPr>
          <w:b/>
          <w:bCs/>
        </w:rPr>
        <w:t>Rationale for this Application</w:t>
      </w:r>
    </w:p>
    <w:p w14:paraId="24AF1CF3" w14:textId="33038928" w:rsidR="00BC0DB1" w:rsidRPr="00AC6F32" w:rsidRDefault="00BC0DB1" w:rsidP="00BC0DB1">
      <w:r w:rsidRPr="00AC6F32">
        <w:t>This application is being submitted following a post</w:t>
      </w:r>
      <w:r w:rsidR="002F5350" w:rsidRPr="00AC6F32">
        <w:t>-</w:t>
      </w:r>
      <w:r w:rsidRPr="00AC6F32">
        <w:t xml:space="preserve">MSAC meeting with the MSAC secretariat.  The meeting was held to discuss the possibility of a resubmission of application 1595.  MSAC did not recommend funding for the intervention described in application 1595 but described issues to address in any subsequent submission.  The MSAC Secretariat informed us that the best approach would be to submit a new application form to determine the most appropriate pathway for any resubmission.  </w:t>
      </w:r>
    </w:p>
    <w:p w14:paraId="4A9F29A0" w14:textId="647B3D3C" w:rsidR="00BC0DB1" w:rsidRPr="00AC6F32" w:rsidRDefault="00BC0DB1" w:rsidP="00BC0DB1">
      <w:pPr>
        <w:rPr>
          <w:b/>
          <w:bCs/>
        </w:rPr>
      </w:pPr>
      <w:r w:rsidRPr="00AC6F32">
        <w:t>The applicant is seeking a fit-for-purpose pathway so that the applicant can proceed direct</w:t>
      </w:r>
      <w:r w:rsidR="00DA66DF" w:rsidRPr="00AC6F32">
        <w:t>ly</w:t>
      </w:r>
      <w:r w:rsidRPr="00AC6F32">
        <w:t xml:space="preserve"> to ESC consideration without any additional consideration by PASC.</w:t>
      </w:r>
    </w:p>
    <w:p w14:paraId="5BD3C8DF" w14:textId="77777777" w:rsidR="000B3CD0" w:rsidRDefault="000B3CD0" w:rsidP="00730C04">
      <w:pPr>
        <w:pStyle w:val="Heading2"/>
      </w:pPr>
      <w:r w:rsidRPr="00154B00">
        <w:t>Application title</w:t>
      </w:r>
      <w:r w:rsidR="00A8732C">
        <w:t xml:space="preserve"> </w:t>
      </w:r>
    </w:p>
    <w:p w14:paraId="66CDECEC" w14:textId="42F5498D" w:rsidR="009056C5" w:rsidRPr="0026329D" w:rsidRDefault="0026329D" w:rsidP="00AC6F32">
      <w:pPr>
        <w:ind w:left="360"/>
        <w:rPr>
          <w:color w:val="FF0000"/>
        </w:rPr>
      </w:pPr>
      <w:r w:rsidRPr="0026329D">
        <w:t>Closed Loop Upper Airways Stimulation (UAS) for Moderate to Severe Obstructive Sleep Apnoea (OSA) for patients who have failed or are intolerant to Continuous Positive Airways Pressure (CPAP)</w:t>
      </w:r>
      <w:r w:rsidR="00D71FF5">
        <w:t>.</w:t>
      </w:r>
    </w:p>
    <w:p w14:paraId="050718BE"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7C4CDFED" w14:textId="205BF1EC" w:rsidR="002C3345" w:rsidRPr="009056C5" w:rsidRDefault="0026329D" w:rsidP="00AC6F32">
      <w:pPr>
        <w:ind w:left="360"/>
      </w:pPr>
      <w:r w:rsidRPr="0026329D">
        <w:lastRenderedPageBreak/>
        <w:t>Obstructive Sleep Apnoea (OSA) with Apnoea Hypopnoea Index (AHI) of greater than or equal to 15 in patients who have failed or are intolerant to CPAP therapy</w:t>
      </w:r>
      <w:r w:rsidR="006F1277">
        <w:t>.</w:t>
      </w:r>
    </w:p>
    <w:p w14:paraId="2C377C10"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bookmarkStart w:id="3" w:name="_GoBack"/>
      <w:bookmarkEnd w:id="3"/>
    </w:p>
    <w:p w14:paraId="679F3A1E" w14:textId="4A9CB11E" w:rsidR="00CB12EC" w:rsidRPr="00CB12EC" w:rsidRDefault="006F1277" w:rsidP="00AC6F32">
      <w:pPr>
        <w:ind w:left="360"/>
      </w:pPr>
      <w:r w:rsidRPr="006F1277">
        <w:t>Implantation of an Upper Airways Stimulator System.  The system includes a respiratory sensing lead that senses breathing patterns.  The respiratory sensing lead is linked to an implantable pulse generator that delivers mild stimulation to the hypoglossal nerve via a stimulation lead.</w:t>
      </w:r>
    </w:p>
    <w:p w14:paraId="6285759A"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34FD7395" w14:textId="6A4344D5" w:rsidR="00753C44" w:rsidRDefault="006F1277" w:rsidP="00AC6F32">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C6F32">
        <w:rPr>
          <w:szCs w:val="20"/>
        </w:rPr>
      </w:r>
      <w:r w:rsidR="00AC6F32">
        <w:rPr>
          <w:szCs w:val="20"/>
        </w:rPr>
        <w:fldChar w:fldCharType="separate"/>
      </w:r>
      <w:r>
        <w:rPr>
          <w:szCs w:val="20"/>
        </w:rPr>
        <w:fldChar w:fldCharType="end"/>
      </w:r>
      <w:r w:rsidR="006B6390">
        <w:rPr>
          <w:szCs w:val="20"/>
        </w:rPr>
        <w:t xml:space="preserve"> Yes</w:t>
      </w:r>
    </w:p>
    <w:p w14:paraId="7A47DE69" w14:textId="77777777" w:rsidR="00753C44" w:rsidRPr="00753C44" w:rsidRDefault="006B6390" w:rsidP="00AC6F32">
      <w:pPr>
        <w:spacing w:before="0" w:after="0"/>
        <w:ind w:left="360"/>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AC6F32">
        <w:rPr>
          <w:szCs w:val="20"/>
        </w:rPr>
      </w:r>
      <w:r w:rsidR="00AC6F32">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322C66B2"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6C6C7A93" w14:textId="77777777" w:rsidR="00753C44" w:rsidRDefault="006B6390" w:rsidP="00AC6F32">
      <w:pPr>
        <w:spacing w:before="0" w:after="0"/>
        <w:ind w:left="360"/>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AC6F32">
        <w:rPr>
          <w:szCs w:val="20"/>
        </w:rPr>
      </w:r>
      <w:r w:rsidR="00AC6F32">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14:paraId="18A75749" w14:textId="444E4BB5" w:rsidR="00753C44" w:rsidRPr="00753C44" w:rsidRDefault="00D71FF5" w:rsidP="00AC6F32">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C6F32">
        <w:rPr>
          <w:szCs w:val="20"/>
        </w:rPr>
      </w:r>
      <w:r w:rsidR="00AC6F32">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14:paraId="66CC44FD"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457F83F6" w14:textId="5AC80189" w:rsidR="003D795C" w:rsidRPr="00CB12EC" w:rsidRDefault="006F1277" w:rsidP="00A6491A">
      <w:pPr>
        <w:ind w:left="284"/>
      </w:pPr>
      <w:r>
        <w:t>Not applicable</w:t>
      </w:r>
    </w:p>
    <w:p w14:paraId="1F26554E" w14:textId="61C053E0" w:rsidR="00AC6F32" w:rsidRDefault="006C0843" w:rsidP="00AC6F32">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2A5E9FED" w14:textId="714D90D8" w:rsidR="00AC6F32" w:rsidRPr="00AC6F32" w:rsidRDefault="00AC6F32" w:rsidP="00AC6F32">
      <w:pPr>
        <w:ind w:left="360"/>
      </w:pPr>
      <w:r>
        <w:t>N/A</w:t>
      </w:r>
    </w:p>
    <w:p w14:paraId="0EAD6A1A" w14:textId="7DE9FFC4" w:rsidR="00534C5F"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lastRenderedPageBreak/>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1505F4EC" w14:textId="51756F8F" w:rsidR="00AC6F32" w:rsidRPr="00AC6F32" w:rsidRDefault="00AC6F32" w:rsidP="00AC6F32">
      <w:pPr>
        <w:ind w:firstLine="360"/>
      </w:pPr>
      <w:r>
        <w:t>N/A</w:t>
      </w:r>
    </w:p>
    <w:p w14:paraId="59E60943"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68FE4846" w14:textId="77777777" w:rsidR="000A5B32" w:rsidRDefault="000A5B32" w:rsidP="00AC6F32">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C6F32">
        <w:rPr>
          <w:szCs w:val="20"/>
        </w:rPr>
      </w:r>
      <w:r w:rsidR="00AC6F32">
        <w:rPr>
          <w:szCs w:val="20"/>
        </w:rPr>
        <w:fldChar w:fldCharType="separate"/>
      </w:r>
      <w:r w:rsidRPr="000A5B32">
        <w:rPr>
          <w:szCs w:val="20"/>
        </w:rPr>
        <w:fldChar w:fldCharType="end"/>
      </w:r>
      <w:r w:rsidRPr="000A5B32">
        <w:rPr>
          <w:szCs w:val="20"/>
        </w:rPr>
        <w:t xml:space="preserve"> Yes</w:t>
      </w:r>
    </w:p>
    <w:p w14:paraId="64EFFDA5" w14:textId="6593E620" w:rsidR="00626365" w:rsidRPr="00626365" w:rsidRDefault="006F1277" w:rsidP="00AC6F32">
      <w:pPr>
        <w:spacing w:before="0" w:after="0"/>
        <w:ind w:left="360"/>
        <w:rPr>
          <w:rStyle w:val="Strong"/>
          <w:rFonts w:asciiTheme="minorHAnsi" w:eastAsiaTheme="minorHAnsi" w:hAnsiTheme="minorHAnsi" w:cstheme="minorBidi"/>
          <w:b w:val="0"/>
          <w:szCs w:val="20"/>
        </w:rPr>
      </w:pPr>
      <w:r>
        <w:rPr>
          <w:szCs w:val="20"/>
        </w:rPr>
        <w:fldChar w:fldCharType="begin">
          <w:ffData>
            <w:name w:val="Check2"/>
            <w:enabled/>
            <w:calcOnExit w:val="0"/>
            <w:checkBox>
              <w:sizeAuto/>
              <w:default w:val="1"/>
            </w:checkBox>
          </w:ffData>
        </w:fldChar>
      </w:r>
      <w:bookmarkStart w:id="4" w:name="Check2"/>
      <w:r>
        <w:rPr>
          <w:szCs w:val="20"/>
        </w:rPr>
        <w:instrText xml:space="preserve"> FORMCHECKBOX </w:instrText>
      </w:r>
      <w:r w:rsidR="00AC6F32">
        <w:rPr>
          <w:szCs w:val="20"/>
        </w:rPr>
      </w:r>
      <w:r w:rsidR="00AC6F32">
        <w:rPr>
          <w:szCs w:val="20"/>
        </w:rPr>
        <w:fldChar w:fldCharType="separate"/>
      </w:r>
      <w:r>
        <w:rPr>
          <w:szCs w:val="20"/>
        </w:rPr>
        <w:fldChar w:fldCharType="end"/>
      </w:r>
      <w:bookmarkEnd w:id="4"/>
      <w:r w:rsidR="000A5B32" w:rsidRPr="000A5B32">
        <w:rPr>
          <w:szCs w:val="20"/>
        </w:rPr>
        <w:t xml:space="preserve"> No</w:t>
      </w:r>
    </w:p>
    <w:p w14:paraId="65E29162" w14:textId="77777777"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14:paraId="024089ED" w14:textId="77777777" w:rsidR="00AC6F32" w:rsidRDefault="00AC6F32" w:rsidP="00AC6F32">
      <w:pPr>
        <w:ind w:left="360"/>
      </w:pPr>
      <w:r>
        <w:t>N/A</w:t>
      </w:r>
    </w:p>
    <w:p w14:paraId="6B05B45D" w14:textId="77777777" w:rsidR="00AC6F32" w:rsidRDefault="00AC6F32">
      <w:pPr>
        <w:spacing w:before="0" w:after="200" w:line="276" w:lineRule="auto"/>
        <w:rPr>
          <w:b/>
          <w:szCs w:val="20"/>
        </w:rPr>
      </w:pPr>
      <w:r>
        <w:br w:type="page"/>
      </w:r>
    </w:p>
    <w:p w14:paraId="01A3EDD7" w14:textId="7E0A44FE" w:rsidR="000B3CD0" w:rsidRDefault="000B3CD0" w:rsidP="00730C04">
      <w:pPr>
        <w:pStyle w:val="Heading2"/>
      </w:pPr>
      <w:r w:rsidRPr="00154B00">
        <w:t>What is the type of service:</w:t>
      </w:r>
    </w:p>
    <w:p w14:paraId="08E81345" w14:textId="05CB422B" w:rsidR="00A6594E" w:rsidRDefault="00A6594E" w:rsidP="00A6491A">
      <w:pPr>
        <w:spacing w:before="0" w:after="0"/>
        <w:ind w:left="284"/>
      </w:pPr>
      <w:r>
        <w:t>Therapeutic medical service</w:t>
      </w:r>
    </w:p>
    <w:p w14:paraId="3A847761" w14:textId="106DC15A" w:rsidR="0054594B" w:rsidRDefault="0054594B" w:rsidP="00730C04">
      <w:pPr>
        <w:pStyle w:val="Heading2"/>
        <w:rPr>
          <w:i/>
        </w:rPr>
      </w:pPr>
      <w:r w:rsidRPr="00154B00">
        <w:t xml:space="preserve">For investigative services, </w:t>
      </w:r>
      <w:r w:rsidR="00154B00" w:rsidRPr="00154B00">
        <w:t>advise</w:t>
      </w:r>
      <w:r w:rsidRPr="00154B00">
        <w:t xml:space="preserve"> the specific purpose of performing the service </w:t>
      </w:r>
    </w:p>
    <w:p w14:paraId="5D9F5E7A" w14:textId="5455321A" w:rsidR="00AC6F32" w:rsidRPr="00AC6F32" w:rsidRDefault="00AC6F32" w:rsidP="00AC6F32">
      <w:pPr>
        <w:ind w:left="360"/>
      </w:pPr>
      <w:r>
        <w:t>N/A</w:t>
      </w:r>
    </w:p>
    <w:p w14:paraId="5BD28001"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35859303"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AC6F32">
        <w:rPr>
          <w:b/>
          <w:szCs w:val="20"/>
        </w:rPr>
      </w:r>
      <w:r w:rsidR="00AC6F32">
        <w:rPr>
          <w:b/>
          <w:szCs w:val="20"/>
        </w:rPr>
        <w:fldChar w:fldCharType="separate"/>
      </w:r>
      <w:r w:rsidRPr="0027105F">
        <w:rPr>
          <w:b/>
          <w:szCs w:val="20"/>
        </w:rPr>
        <w:fldChar w:fldCharType="end"/>
      </w:r>
      <w:r w:rsidRPr="0027105F">
        <w:rPr>
          <w:b/>
          <w:szCs w:val="20"/>
        </w:rPr>
        <w:t xml:space="preserve"> </w:t>
      </w:r>
      <w:r>
        <w:t>Pharmaceutical / Biological</w:t>
      </w:r>
    </w:p>
    <w:p w14:paraId="60659C1A" w14:textId="07E32AAC" w:rsidR="00FE16C1" w:rsidRDefault="00A23B52"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AC6F32">
        <w:rPr>
          <w:b/>
          <w:szCs w:val="20"/>
        </w:rPr>
      </w:r>
      <w:r w:rsidR="00AC6F32">
        <w:rPr>
          <w:b/>
          <w:szCs w:val="20"/>
        </w:rPr>
        <w:fldChar w:fldCharType="separate"/>
      </w:r>
      <w:r>
        <w:rPr>
          <w:b/>
          <w:szCs w:val="20"/>
        </w:rPr>
        <w:fldChar w:fldCharType="end"/>
      </w:r>
      <w:r w:rsidR="00FE16C1" w:rsidRPr="0027105F">
        <w:rPr>
          <w:b/>
          <w:szCs w:val="20"/>
        </w:rPr>
        <w:t xml:space="preserve"> </w:t>
      </w:r>
      <w:r w:rsidR="00FE16C1">
        <w:t>Prosthesis or device</w:t>
      </w:r>
    </w:p>
    <w:p w14:paraId="35226C42" w14:textId="77777777" w:rsidR="00FE16C1" w:rsidRP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AC6F32">
        <w:rPr>
          <w:b/>
          <w:szCs w:val="20"/>
        </w:rPr>
      </w:r>
      <w:r w:rsidR="00AC6F32">
        <w:rPr>
          <w:b/>
          <w:szCs w:val="20"/>
        </w:rPr>
        <w:fldChar w:fldCharType="separate"/>
      </w:r>
      <w:r w:rsidRPr="0027105F">
        <w:rPr>
          <w:b/>
          <w:szCs w:val="20"/>
        </w:rPr>
        <w:fldChar w:fldCharType="end"/>
      </w:r>
      <w:r w:rsidRPr="0027105F">
        <w:rPr>
          <w:b/>
          <w:szCs w:val="20"/>
        </w:rPr>
        <w:t xml:space="preserve"> </w:t>
      </w:r>
      <w:r>
        <w:t>No</w:t>
      </w:r>
    </w:p>
    <w:p w14:paraId="049FFF84"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6FEC921B" w14:textId="77777777" w:rsidR="00AC6F32" w:rsidRDefault="00AC6F32" w:rsidP="00AC6F32">
      <w:pPr>
        <w:ind w:left="360"/>
      </w:pPr>
      <w:r>
        <w:t>N/A</w:t>
      </w:r>
    </w:p>
    <w:p w14:paraId="16633418" w14:textId="77777777"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7172905A" w14:textId="77777777" w:rsidR="00AC6F32" w:rsidRDefault="00AC6F32" w:rsidP="00AC6F32">
      <w:pPr>
        <w:ind w:left="360"/>
      </w:pPr>
      <w:r>
        <w:t>N/A</w:t>
      </w:r>
    </w:p>
    <w:p w14:paraId="7C559461" w14:textId="30E8C0C2" w:rsidR="00411735"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0B797C76" w14:textId="77777777" w:rsidR="00AC6F32" w:rsidRDefault="00AC6F32" w:rsidP="00AC6F32">
      <w:pPr>
        <w:ind w:left="360"/>
      </w:pPr>
      <w:r>
        <w:t>N/A</w:t>
      </w:r>
    </w:p>
    <w:p w14:paraId="286D0607" w14:textId="54053FE0"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14:paraId="160BB3CE" w14:textId="77777777" w:rsidR="00AC6F32" w:rsidRDefault="00AC6F32" w:rsidP="00AC6F32">
      <w:pPr>
        <w:ind w:left="360"/>
      </w:pPr>
      <w:r>
        <w:t>N/A</w:t>
      </w:r>
    </w:p>
    <w:p w14:paraId="0F657A87" w14:textId="59FD9AF5" w:rsidR="00B75965" w:rsidRDefault="00AC6F32" w:rsidP="00AC6F32">
      <w:pPr>
        <w:pStyle w:val="Heading2"/>
      </w:pPr>
      <w:r>
        <w:t xml:space="preserve"> </w:t>
      </w:r>
      <w:r w:rsidR="00530204">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431A49BC" w14:textId="77777777" w:rsidR="001E6958" w:rsidRDefault="001E6958"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C6F32">
        <w:rPr>
          <w:szCs w:val="20"/>
        </w:rPr>
      </w:r>
      <w:r w:rsidR="00AC6F32">
        <w:rPr>
          <w:szCs w:val="20"/>
        </w:rPr>
        <w:fldChar w:fldCharType="separate"/>
      </w:r>
      <w:r w:rsidRPr="000A5B32">
        <w:rPr>
          <w:szCs w:val="20"/>
        </w:rPr>
        <w:fldChar w:fldCharType="end"/>
      </w:r>
      <w:r w:rsidRPr="000A5B32">
        <w:rPr>
          <w:szCs w:val="20"/>
        </w:rPr>
        <w:t xml:space="preserve"> Yes</w:t>
      </w:r>
    </w:p>
    <w:p w14:paraId="2761EF24" w14:textId="7DD16D5E" w:rsidR="001E6919" w:rsidRPr="001E6958" w:rsidRDefault="00A23B52" w:rsidP="00AC6F32">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C6F32">
        <w:rPr>
          <w:szCs w:val="20"/>
        </w:rPr>
      </w:r>
      <w:r w:rsidR="00AC6F32">
        <w:rPr>
          <w:szCs w:val="20"/>
        </w:rPr>
        <w:fldChar w:fldCharType="separate"/>
      </w:r>
      <w:r>
        <w:rPr>
          <w:szCs w:val="20"/>
        </w:rPr>
        <w:fldChar w:fldCharType="end"/>
      </w:r>
      <w:r w:rsidR="001E6958">
        <w:rPr>
          <w:szCs w:val="20"/>
        </w:rPr>
        <w:t xml:space="preserve"> No  </w:t>
      </w:r>
    </w:p>
    <w:p w14:paraId="731FF8AA" w14:textId="77777777"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p>
    <w:p w14:paraId="0C9D5C4D" w14:textId="6DDE3236" w:rsidR="009939DC" w:rsidRDefault="00AC6F32" w:rsidP="00AC6F32">
      <w:pPr>
        <w:ind w:left="360"/>
      </w:pPr>
      <w:r>
        <w:t>N/A</w:t>
      </w:r>
    </w:p>
    <w:p w14:paraId="0BEA9BAA" w14:textId="77777777"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42628A3F"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C6F32">
        <w:rPr>
          <w:szCs w:val="20"/>
        </w:rPr>
      </w:r>
      <w:r w:rsidR="00AC6F32">
        <w:rPr>
          <w:szCs w:val="20"/>
        </w:rPr>
        <w:fldChar w:fldCharType="separate"/>
      </w:r>
      <w:r w:rsidRPr="000A5B32">
        <w:rPr>
          <w:szCs w:val="20"/>
        </w:rPr>
        <w:fldChar w:fldCharType="end"/>
      </w:r>
      <w:r w:rsidRPr="000A5B32">
        <w:rPr>
          <w:szCs w:val="20"/>
        </w:rPr>
        <w:t xml:space="preserve"> Yes</w:t>
      </w:r>
    </w:p>
    <w:p w14:paraId="595E6349" w14:textId="2FF7D116" w:rsidR="001E6958" w:rsidRPr="009939DC" w:rsidRDefault="00A23B52"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C6F32">
        <w:rPr>
          <w:szCs w:val="20"/>
        </w:rPr>
      </w:r>
      <w:r w:rsidR="00AC6F32">
        <w:rPr>
          <w:szCs w:val="20"/>
        </w:rPr>
        <w:fldChar w:fldCharType="separate"/>
      </w:r>
      <w:r>
        <w:rPr>
          <w:szCs w:val="20"/>
        </w:rPr>
        <w:fldChar w:fldCharType="end"/>
      </w:r>
      <w:r w:rsidR="009939DC">
        <w:rPr>
          <w:szCs w:val="20"/>
        </w:rPr>
        <w:t xml:space="preserve"> No  </w:t>
      </w:r>
    </w:p>
    <w:p w14:paraId="1513BD8A" w14:textId="77777777" w:rsidR="00016B6E" w:rsidRPr="009939DC"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14:paraId="315B1EB1"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C6F32">
        <w:rPr>
          <w:szCs w:val="20"/>
        </w:rPr>
      </w:r>
      <w:r w:rsidR="00AC6F32">
        <w:rPr>
          <w:szCs w:val="20"/>
        </w:rPr>
        <w:fldChar w:fldCharType="separate"/>
      </w:r>
      <w:r w:rsidRPr="000A5B32">
        <w:rPr>
          <w:szCs w:val="20"/>
        </w:rPr>
        <w:fldChar w:fldCharType="end"/>
      </w:r>
      <w:r w:rsidRPr="000A5B32">
        <w:rPr>
          <w:szCs w:val="20"/>
        </w:rPr>
        <w:t xml:space="preserve"> Yes</w:t>
      </w:r>
    </w:p>
    <w:p w14:paraId="0FB531B0" w14:textId="78E783AE" w:rsidR="009939DC" w:rsidRPr="001E6958" w:rsidRDefault="00A23B52"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C6F32">
        <w:rPr>
          <w:szCs w:val="20"/>
        </w:rPr>
      </w:r>
      <w:r w:rsidR="00AC6F32">
        <w:rPr>
          <w:szCs w:val="20"/>
        </w:rPr>
        <w:fldChar w:fldCharType="separate"/>
      </w:r>
      <w:r>
        <w:rPr>
          <w:szCs w:val="20"/>
        </w:rPr>
        <w:fldChar w:fldCharType="end"/>
      </w:r>
      <w:r w:rsidR="009939DC">
        <w:rPr>
          <w:szCs w:val="20"/>
        </w:rPr>
        <w:t xml:space="preserve"> No  </w:t>
      </w:r>
    </w:p>
    <w:p w14:paraId="353FE80F" w14:textId="77777777" w:rsidR="009939DC" w:rsidRDefault="00016B6E" w:rsidP="00530204">
      <w:pPr>
        <w:pStyle w:val="Heading2"/>
        <w:numPr>
          <w:ilvl w:val="0"/>
          <w:numId w:val="26"/>
        </w:numPr>
      </w:pPr>
      <w:r w:rsidRPr="009939DC">
        <w:t>If yes, please provide the name(s) of the spon</w:t>
      </w:r>
      <w:r w:rsidR="009939DC">
        <w:t>sor(s) and / or manufacturer(s):</w:t>
      </w:r>
    </w:p>
    <w:p w14:paraId="6FB646FC" w14:textId="606FE465" w:rsidR="00016B6E" w:rsidRPr="009939DC" w:rsidRDefault="00A23B52" w:rsidP="00A23B52">
      <w:pPr>
        <w:ind w:left="360"/>
      </w:pPr>
      <w:r w:rsidRPr="00A23B52">
        <w:lastRenderedPageBreak/>
        <w:t>There have been devices manufactured that stimulate the hypoglossal nerve, however none have included a respiratory sensing lead.  To our knowledge, these devices are not available</w:t>
      </w:r>
      <w:r w:rsidR="00E90A29">
        <w:t xml:space="preserve"> for sale</w:t>
      </w:r>
      <w:r w:rsidRPr="00A23B52">
        <w:t xml:space="preserve"> in Australia</w:t>
      </w:r>
      <w:r w:rsidR="00D71FF5">
        <w:t xml:space="preserve"> at present</w:t>
      </w:r>
      <w:r>
        <w:t>.</w:t>
      </w:r>
      <w:r w:rsidR="00D71FF5">
        <w:t xml:space="preserve"> </w:t>
      </w:r>
      <w:r w:rsidRPr="009939DC">
        <w:t xml:space="preserve"> </w:t>
      </w:r>
    </w:p>
    <w:p w14:paraId="3ECE32F3"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0785626E" w14:textId="6B167356" w:rsidR="009939DC" w:rsidRDefault="009939DC" w:rsidP="00A6491A">
      <w:pPr>
        <w:spacing w:before="0" w:after="0"/>
        <w:ind w:left="284"/>
      </w:pPr>
      <w:r>
        <w:t xml:space="preserve">Single use consumables: </w:t>
      </w:r>
      <w:r w:rsidR="00A23B52">
        <w:t>A tunnelling tool is included in the Inspire</w:t>
      </w:r>
      <w:r w:rsidR="00A23B52">
        <w:rPr>
          <w:rFonts w:cstheme="minorHAnsi"/>
        </w:rPr>
        <w:t>®</w:t>
      </w:r>
      <w:r w:rsidR="00A23B52">
        <w:t xml:space="preserve"> System.</w:t>
      </w:r>
    </w:p>
    <w:p w14:paraId="231DDABF" w14:textId="6F0FEA44" w:rsidR="00F301F1" w:rsidRPr="00855944" w:rsidRDefault="009939DC" w:rsidP="00A6491A">
      <w:pPr>
        <w:spacing w:before="0" w:after="0"/>
        <w:ind w:left="284"/>
      </w:pPr>
      <w:r>
        <w:t>Multi-use consumables:</w:t>
      </w:r>
      <w:r w:rsidRPr="009939DC">
        <w:t xml:space="preserve"> </w:t>
      </w:r>
      <w:r w:rsidR="00A23B52">
        <w:t>Not applicable</w:t>
      </w:r>
      <w:r w:rsidR="00F301F1" w:rsidRPr="00855944">
        <w:br w:type="page"/>
      </w:r>
    </w:p>
    <w:p w14:paraId="4B5DA17C" w14:textId="77777777" w:rsidR="00226777" w:rsidRPr="00C776B1" w:rsidRDefault="00530204" w:rsidP="0056015F">
      <w:pPr>
        <w:pStyle w:val="Heading1"/>
      </w:pPr>
      <w:r>
        <w:lastRenderedPageBreak/>
        <w:t>PART 3</w:t>
      </w:r>
      <w:r w:rsidR="00F93784">
        <w:t xml:space="preserve"> – </w:t>
      </w:r>
      <w:r w:rsidR="00226777" w:rsidRPr="00C776B1">
        <w:t>INFORMATION ABOUT REGULATORY REQUIREMENTS</w:t>
      </w:r>
    </w:p>
    <w:p w14:paraId="6208F28E" w14:textId="77777777"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0C4E09A1" w14:textId="57659A58" w:rsidR="00A26343" w:rsidRPr="00A26343" w:rsidRDefault="00A26343" w:rsidP="00A6491A">
      <w:pPr>
        <w:spacing w:before="0" w:after="0"/>
        <w:ind w:left="284"/>
        <w:rPr>
          <w:szCs w:val="20"/>
        </w:rPr>
      </w:pPr>
      <w:r w:rsidRPr="00A26343">
        <w:rPr>
          <w:szCs w:val="20"/>
        </w:rPr>
        <w:t>Type of therapeutic good</w:t>
      </w:r>
      <w:r>
        <w:rPr>
          <w:szCs w:val="20"/>
        </w:rPr>
        <w:t xml:space="preserve">: </w:t>
      </w:r>
      <w:r w:rsidR="00A23B52">
        <w:t>Implantable sleep apnoea treatment system</w:t>
      </w:r>
    </w:p>
    <w:p w14:paraId="28D42960" w14:textId="7F6EEF3A" w:rsidR="00A26343" w:rsidRPr="00A26343" w:rsidRDefault="00A26343" w:rsidP="00A6491A">
      <w:pPr>
        <w:spacing w:before="0" w:after="0"/>
        <w:ind w:left="284"/>
        <w:rPr>
          <w:szCs w:val="20"/>
        </w:rPr>
      </w:pPr>
      <w:r w:rsidRPr="00A26343">
        <w:rPr>
          <w:szCs w:val="20"/>
        </w:rPr>
        <w:t>Manufacturer’s name</w:t>
      </w:r>
      <w:r>
        <w:rPr>
          <w:szCs w:val="20"/>
        </w:rPr>
        <w:t xml:space="preserve">: </w:t>
      </w:r>
      <w:r w:rsidR="00A23B52">
        <w:t>Inspire</w:t>
      </w:r>
      <w:r w:rsidR="00A23B52">
        <w:rPr>
          <w:rFonts w:cstheme="minorHAnsi"/>
        </w:rPr>
        <w:t>® Medical Systems.</w:t>
      </w:r>
    </w:p>
    <w:p w14:paraId="6E441114" w14:textId="4CB73F3E" w:rsidR="00A26343" w:rsidRPr="00A26343" w:rsidRDefault="00A26343" w:rsidP="00A6491A">
      <w:pPr>
        <w:spacing w:before="0" w:after="0"/>
        <w:ind w:left="284"/>
        <w:rPr>
          <w:szCs w:val="20"/>
        </w:rPr>
      </w:pPr>
      <w:r w:rsidRPr="00A26343">
        <w:rPr>
          <w:szCs w:val="20"/>
        </w:rPr>
        <w:t>Sponsor’s name</w:t>
      </w:r>
      <w:r>
        <w:rPr>
          <w:szCs w:val="20"/>
        </w:rPr>
        <w:t xml:space="preserve">: </w:t>
      </w:r>
      <w:r w:rsidR="00A23B52">
        <w:rPr>
          <w:szCs w:val="20"/>
        </w:rPr>
        <w:t>Plexus RA Pty Ltd</w:t>
      </w:r>
    </w:p>
    <w:p w14:paraId="445017DD" w14:textId="77777777"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14:paraId="4FB04CD4" w14:textId="1BEB7EBC" w:rsidR="00615F42" w:rsidRPr="00615F42" w:rsidRDefault="0061315A"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C6F32">
        <w:rPr>
          <w:szCs w:val="20"/>
        </w:rPr>
      </w:r>
      <w:r w:rsidR="00AC6F32">
        <w:rPr>
          <w:szCs w:val="20"/>
        </w:rPr>
        <w:fldChar w:fldCharType="separate"/>
      </w:r>
      <w:r>
        <w:rPr>
          <w:szCs w:val="20"/>
        </w:rPr>
        <w:fldChar w:fldCharType="end"/>
      </w:r>
      <w:r w:rsidR="00615F42" w:rsidRPr="000A5B32">
        <w:rPr>
          <w:szCs w:val="20"/>
        </w:rPr>
        <w:t xml:space="preserve"> </w:t>
      </w:r>
      <w:r w:rsidR="00615F42" w:rsidRPr="00615F42">
        <w:rPr>
          <w:szCs w:val="20"/>
        </w:rPr>
        <w:t>Class III</w:t>
      </w:r>
    </w:p>
    <w:p w14:paraId="39804F29" w14:textId="6C49687D" w:rsidR="00615F42" w:rsidRPr="00615F42" w:rsidRDefault="00E90A29"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C6F32">
        <w:rPr>
          <w:szCs w:val="20"/>
        </w:rPr>
      </w:r>
      <w:r w:rsidR="00AC6F32">
        <w:rPr>
          <w:szCs w:val="20"/>
        </w:rPr>
        <w:fldChar w:fldCharType="separate"/>
      </w:r>
      <w:r>
        <w:rPr>
          <w:szCs w:val="20"/>
        </w:rPr>
        <w:fldChar w:fldCharType="end"/>
      </w:r>
      <w:r w:rsidR="00615F42" w:rsidRPr="000A5B32">
        <w:rPr>
          <w:szCs w:val="20"/>
        </w:rPr>
        <w:t xml:space="preserve"> </w:t>
      </w:r>
      <w:r w:rsidR="00615F42" w:rsidRPr="00615F42">
        <w:rPr>
          <w:szCs w:val="20"/>
        </w:rPr>
        <w:t>AIMD</w:t>
      </w:r>
    </w:p>
    <w:p w14:paraId="0A69B230" w14:textId="77777777" w:rsidR="005E2CE3" w:rsidRPr="00154B00"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C6F32">
        <w:rPr>
          <w:szCs w:val="20"/>
        </w:rPr>
      </w:r>
      <w:r w:rsidR="00AC6F32">
        <w:rPr>
          <w:szCs w:val="20"/>
        </w:rPr>
        <w:fldChar w:fldCharType="separate"/>
      </w:r>
      <w:r w:rsidRPr="000A5B32">
        <w:rPr>
          <w:szCs w:val="20"/>
        </w:rPr>
        <w:fldChar w:fldCharType="end"/>
      </w:r>
      <w:r w:rsidRPr="000A5B32">
        <w:rPr>
          <w:szCs w:val="20"/>
        </w:rPr>
        <w:t xml:space="preserve"> </w:t>
      </w:r>
      <w:r w:rsidRPr="00615F42">
        <w:rPr>
          <w:szCs w:val="20"/>
        </w:rPr>
        <w:t>N/A</w:t>
      </w:r>
    </w:p>
    <w:p w14:paraId="13E58A32"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67F360D3" w14:textId="77777777"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C6F32">
        <w:rPr>
          <w:szCs w:val="20"/>
        </w:rPr>
      </w:r>
      <w:r w:rsidR="00AC6F32">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7ED6757C" w14:textId="537F4659" w:rsidR="003421AE" w:rsidRPr="00615F42" w:rsidRDefault="00A23B52" w:rsidP="00A6491A">
      <w:pPr>
        <w:spacing w:before="0" w:after="0"/>
        <w:ind w:left="284"/>
        <w:rPr>
          <w:b/>
          <w:szCs w:val="20"/>
        </w:rPr>
      </w:pPr>
      <w:r>
        <w:rPr>
          <w:szCs w:val="20"/>
        </w:rPr>
        <w:lastRenderedPageBreak/>
        <w:fldChar w:fldCharType="begin">
          <w:ffData>
            <w:name w:val=""/>
            <w:enabled/>
            <w:calcOnExit w:val="0"/>
            <w:checkBox>
              <w:sizeAuto/>
              <w:default w:val="1"/>
            </w:checkBox>
          </w:ffData>
        </w:fldChar>
      </w:r>
      <w:r>
        <w:rPr>
          <w:szCs w:val="20"/>
        </w:rPr>
        <w:instrText xml:space="preserve"> FORMCHECKBOX </w:instrText>
      </w:r>
      <w:r w:rsidR="00AC6F32">
        <w:rPr>
          <w:szCs w:val="20"/>
        </w:rPr>
      </w:r>
      <w:r w:rsidR="00AC6F32">
        <w:rPr>
          <w:szCs w:val="20"/>
        </w:rPr>
        <w:fldChar w:fldCharType="separate"/>
      </w:r>
      <w:r>
        <w:rPr>
          <w:szCs w:val="20"/>
        </w:rPr>
        <w:fldChar w:fldCharType="end"/>
      </w:r>
      <w:r w:rsidR="00615F42">
        <w:rPr>
          <w:szCs w:val="20"/>
        </w:rPr>
        <w:t xml:space="preserve"> No</w:t>
      </w:r>
    </w:p>
    <w:p w14:paraId="04661966" w14:textId="77777777"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5BE92190" w14:textId="77777777"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C6F32">
        <w:rPr>
          <w:szCs w:val="20"/>
        </w:rPr>
      </w:r>
      <w:r w:rsidR="00AC6F32">
        <w:rPr>
          <w:szCs w:val="20"/>
        </w:rPr>
        <w:fldChar w:fldCharType="separate"/>
      </w:r>
      <w:r w:rsidRPr="000A5B32">
        <w:rPr>
          <w:szCs w:val="20"/>
        </w:rPr>
        <w:fldChar w:fldCharType="end"/>
      </w:r>
      <w:r>
        <w:rPr>
          <w:szCs w:val="20"/>
        </w:rPr>
        <w:t xml:space="preserve"> Yes (if yes, please provide details below)</w:t>
      </w:r>
    </w:p>
    <w:p w14:paraId="19B98468" w14:textId="77777777"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C6F32">
        <w:rPr>
          <w:szCs w:val="20"/>
        </w:rPr>
      </w:r>
      <w:r w:rsidR="00AC6F32">
        <w:rPr>
          <w:szCs w:val="20"/>
        </w:rPr>
        <w:fldChar w:fldCharType="separate"/>
      </w:r>
      <w:r w:rsidRPr="000A5B32">
        <w:rPr>
          <w:szCs w:val="20"/>
        </w:rPr>
        <w:fldChar w:fldCharType="end"/>
      </w:r>
      <w:r>
        <w:rPr>
          <w:szCs w:val="20"/>
        </w:rPr>
        <w:t xml:space="preserve"> No</w:t>
      </w:r>
    </w:p>
    <w:p w14:paraId="7D193D41" w14:textId="77777777" w:rsidR="0043654D" w:rsidRPr="00615F42" w:rsidRDefault="0043654D" w:rsidP="0043654D">
      <w:pPr>
        <w:spacing w:before="0" w:after="0"/>
        <w:ind w:left="284"/>
        <w:rPr>
          <w:b/>
          <w:szCs w:val="20"/>
        </w:rPr>
      </w:pPr>
    </w:p>
    <w:p w14:paraId="4C4FDEA6" w14:textId="6C1A74B3" w:rsidR="0043654D" w:rsidRDefault="0043654D" w:rsidP="0043654D">
      <w:pPr>
        <w:spacing w:before="0" w:after="0"/>
        <w:ind w:left="284"/>
      </w:pPr>
      <w:r w:rsidRPr="0043654D">
        <w:rPr>
          <w:szCs w:val="20"/>
        </w:rPr>
        <w:t>ARTG listing, registration or inclusion number:</w:t>
      </w:r>
      <w:r>
        <w:rPr>
          <w:szCs w:val="20"/>
        </w:rPr>
        <w:t xml:space="preserve">  </w:t>
      </w:r>
      <w:r w:rsidR="00A23B52">
        <w:t xml:space="preserve">340934, 340933, 340932, </w:t>
      </w:r>
      <w:r w:rsidR="0061315A">
        <w:t>340931, 340930.  There are 5 registered components of the Inspire</w:t>
      </w:r>
      <w:r w:rsidR="0061315A">
        <w:rPr>
          <w:rFonts w:cstheme="minorHAnsi"/>
        </w:rPr>
        <w:t>®</w:t>
      </w:r>
      <w:r w:rsidR="0061315A">
        <w:t xml:space="preserve"> System.  These are:</w:t>
      </w:r>
    </w:p>
    <w:p w14:paraId="4DFBD643" w14:textId="51579D15" w:rsidR="0061315A" w:rsidRDefault="0061315A" w:rsidP="0043654D">
      <w:pPr>
        <w:spacing w:before="0" w:after="0"/>
        <w:ind w:left="284"/>
      </w:pPr>
    </w:p>
    <w:p w14:paraId="2932192E" w14:textId="79EE3197" w:rsidR="0061315A" w:rsidRPr="00AC6F32" w:rsidRDefault="0061315A" w:rsidP="0043654D">
      <w:pPr>
        <w:spacing w:before="0" w:after="0"/>
        <w:ind w:left="284"/>
      </w:pPr>
      <w:r w:rsidRPr="00AC6F32">
        <w:t>Inspire Sleep Remote Model 2500</w:t>
      </w:r>
    </w:p>
    <w:p w14:paraId="41F15DE0" w14:textId="5DE5FDC2" w:rsidR="0061315A" w:rsidRPr="00AC6F32" w:rsidRDefault="0061315A" w:rsidP="0043654D">
      <w:pPr>
        <w:spacing w:before="0" w:after="0"/>
        <w:ind w:left="284"/>
      </w:pPr>
      <w:r w:rsidRPr="00AC6F32">
        <w:t>Inspire Physician Programmer Model 2740</w:t>
      </w:r>
    </w:p>
    <w:p w14:paraId="5B44E75F" w14:textId="608463CF" w:rsidR="0061315A" w:rsidRPr="00AC6F32" w:rsidRDefault="0061315A" w:rsidP="0043654D">
      <w:pPr>
        <w:spacing w:before="0" w:after="0"/>
        <w:ind w:left="284"/>
      </w:pPr>
      <w:r w:rsidRPr="00AC6F32">
        <w:t>Inspire Respiratory Sensing Lead Model 4340</w:t>
      </w:r>
    </w:p>
    <w:p w14:paraId="51F5D5AA" w14:textId="78B5F471" w:rsidR="0061315A" w:rsidRPr="00AC6F32" w:rsidRDefault="0061315A" w:rsidP="0043654D">
      <w:pPr>
        <w:spacing w:before="0" w:after="0"/>
        <w:ind w:left="284"/>
      </w:pPr>
      <w:r w:rsidRPr="00AC6F32">
        <w:t>Inspire Stimulation Lead Model 4063</w:t>
      </w:r>
    </w:p>
    <w:p w14:paraId="776F986C" w14:textId="53A5FA16" w:rsidR="0061315A" w:rsidRPr="00AC6F32" w:rsidRDefault="0061315A" w:rsidP="0043654D">
      <w:pPr>
        <w:spacing w:before="0" w:after="0"/>
        <w:ind w:left="284"/>
      </w:pPr>
      <w:r w:rsidRPr="00AC6F32">
        <w:t>Inspire IV Implantable Pulse Generator</w:t>
      </w:r>
    </w:p>
    <w:p w14:paraId="7D33DD5D" w14:textId="77777777" w:rsidR="0061315A" w:rsidRPr="00AC6F32" w:rsidRDefault="0061315A" w:rsidP="0043654D">
      <w:pPr>
        <w:spacing w:before="0" w:after="0"/>
        <w:ind w:left="284"/>
        <w:rPr>
          <w:szCs w:val="20"/>
        </w:rPr>
      </w:pPr>
    </w:p>
    <w:p w14:paraId="2F1D5FD8" w14:textId="07E2374D" w:rsidR="0043654D" w:rsidRPr="00AC6F32" w:rsidRDefault="0043654D" w:rsidP="0043654D">
      <w:pPr>
        <w:spacing w:before="0" w:after="0"/>
        <w:ind w:left="284"/>
        <w:rPr>
          <w:szCs w:val="20"/>
        </w:rPr>
      </w:pPr>
      <w:r w:rsidRPr="00AC6F32">
        <w:rPr>
          <w:szCs w:val="20"/>
        </w:rPr>
        <w:t xml:space="preserve">TGA approved indication(s), if applicable:  </w:t>
      </w:r>
      <w:r w:rsidR="0061315A" w:rsidRPr="00AC6F32">
        <w:t>not applicable</w:t>
      </w:r>
    </w:p>
    <w:p w14:paraId="5830FEC0" w14:textId="2177FEE1" w:rsidR="0061315A" w:rsidRPr="00AC6F32" w:rsidRDefault="0043654D" w:rsidP="0043654D">
      <w:pPr>
        <w:spacing w:before="0" w:after="0"/>
        <w:ind w:left="284"/>
        <w:rPr>
          <w:szCs w:val="20"/>
        </w:rPr>
      </w:pPr>
      <w:r w:rsidRPr="00AC6F32">
        <w:rPr>
          <w:szCs w:val="20"/>
        </w:rPr>
        <w:t>TGA approved purpose(s), if applicable:</w:t>
      </w:r>
    </w:p>
    <w:p w14:paraId="1379C2E6" w14:textId="77777777" w:rsidR="0061315A" w:rsidRPr="00AC6F32" w:rsidRDefault="0061315A" w:rsidP="0043654D">
      <w:pPr>
        <w:spacing w:before="0" w:after="0"/>
        <w:ind w:left="284"/>
        <w:rPr>
          <w:szCs w:val="20"/>
        </w:rPr>
      </w:pPr>
    </w:p>
    <w:p w14:paraId="14F2BDA2" w14:textId="606641E3" w:rsidR="00F301F1" w:rsidRPr="00AC6F32" w:rsidRDefault="0061315A" w:rsidP="0061315A">
      <w:pPr>
        <w:pStyle w:val="ListParagraph"/>
        <w:numPr>
          <w:ilvl w:val="0"/>
          <w:numId w:val="37"/>
        </w:numPr>
        <w:spacing w:before="0" w:after="0"/>
        <w:rPr>
          <w:szCs w:val="20"/>
        </w:rPr>
      </w:pPr>
      <w:r w:rsidRPr="00AC6F32">
        <w:rPr>
          <w:szCs w:val="20"/>
        </w:rPr>
        <w:t>‘</w:t>
      </w:r>
      <w:r w:rsidRPr="00AC6F32">
        <w:t>The Inspire Sleep Remote Model 2500 is part of the Inspire Upper Airway Stimulation therapy system that is intended to treat moderate to severe obstructive sleep apnoea (15 AHI -65 AHI), in patients who are not effectively treated by, or able to tolerate, positive airway pressure (PAP) therapies, by improving air</w:t>
      </w:r>
      <w:r w:rsidRPr="00AC6F32">
        <w:lastRenderedPageBreak/>
        <w:t>way patency through stimulation of the hypoglossal nerve, synchronous with respiration, to elicit a neuromuscular response at the base of the tongue.</w:t>
      </w:r>
    </w:p>
    <w:p w14:paraId="4DFA9813" w14:textId="77777777" w:rsidR="0061315A" w:rsidRPr="00AC6F32" w:rsidRDefault="0061315A" w:rsidP="0061315A">
      <w:pPr>
        <w:pStyle w:val="ListParagraph"/>
        <w:spacing w:before="0" w:after="0"/>
        <w:ind w:left="644"/>
        <w:rPr>
          <w:szCs w:val="20"/>
        </w:rPr>
      </w:pPr>
    </w:p>
    <w:p w14:paraId="1BB3EBB5" w14:textId="5BD7A637" w:rsidR="0061315A" w:rsidRPr="00AC6F32" w:rsidRDefault="0061315A" w:rsidP="0061315A">
      <w:pPr>
        <w:pStyle w:val="ListParagraph"/>
        <w:numPr>
          <w:ilvl w:val="0"/>
          <w:numId w:val="37"/>
        </w:numPr>
        <w:spacing w:before="0" w:after="0"/>
        <w:rPr>
          <w:szCs w:val="20"/>
        </w:rPr>
      </w:pPr>
      <w:r w:rsidRPr="00AC6F32">
        <w:t>The Inspire Physician Programmer Model 2740 is part of the Inspire Upper Airway Stimulation therapy system that is intended to treat moderate to severe obstructive sleep apnoea (15 AHI – 65 AHI), in patients who are not effectively treated by, or able to tolerate, positive airway pressure (PAP) therapies, by improving airway patency through stimulation of the hypoglossal nerve, synchronous with respiration, to elicit a neuromuscular response at the base of the tongue.</w:t>
      </w:r>
    </w:p>
    <w:p w14:paraId="451B48E0" w14:textId="77777777" w:rsidR="0061315A" w:rsidRPr="00AC6F32" w:rsidRDefault="0061315A" w:rsidP="0061315A">
      <w:pPr>
        <w:pStyle w:val="ListParagraph"/>
        <w:rPr>
          <w:szCs w:val="20"/>
        </w:rPr>
      </w:pPr>
    </w:p>
    <w:p w14:paraId="094C09A9" w14:textId="54DDDFA4" w:rsidR="0061315A" w:rsidRPr="00AC6F32" w:rsidRDefault="0061315A" w:rsidP="0061315A">
      <w:pPr>
        <w:pStyle w:val="ListParagraph"/>
        <w:numPr>
          <w:ilvl w:val="0"/>
          <w:numId w:val="37"/>
        </w:numPr>
        <w:spacing w:before="0" w:after="0"/>
        <w:rPr>
          <w:szCs w:val="20"/>
        </w:rPr>
      </w:pPr>
      <w:r w:rsidRPr="00AC6F32">
        <w:t>The Inspire Respiratory Sensing Lead Model 4340 is part of the Inspire Upper Airway Stimulation therapy system that is intended to treat moderate to severe obstructive sleep apnoea (15 AHI- 65 AHI), in patients who are not effectively treated by, or able to tolerate, positive airway pressure (PAP) therapies, by improving airway patency through stimulation of the hypoglossal nerve, synchronous with respiration, to elicit a neuromuscular response at the base of the tongue.</w:t>
      </w:r>
    </w:p>
    <w:p w14:paraId="01E7D145" w14:textId="77777777" w:rsidR="0061315A" w:rsidRPr="00AC6F32" w:rsidRDefault="0061315A" w:rsidP="0061315A">
      <w:pPr>
        <w:pStyle w:val="ListParagraph"/>
        <w:rPr>
          <w:szCs w:val="20"/>
        </w:rPr>
      </w:pPr>
    </w:p>
    <w:p w14:paraId="7086E40E" w14:textId="0FA63122" w:rsidR="0061315A" w:rsidRPr="00AC6F32" w:rsidRDefault="0061315A" w:rsidP="0061315A">
      <w:pPr>
        <w:pStyle w:val="ListParagraph"/>
        <w:numPr>
          <w:ilvl w:val="0"/>
          <w:numId w:val="37"/>
        </w:numPr>
        <w:spacing w:before="0" w:after="0"/>
        <w:rPr>
          <w:szCs w:val="20"/>
        </w:rPr>
      </w:pPr>
      <w:r w:rsidRPr="00AC6F32">
        <w:t xml:space="preserve">The Inspire Stimulation Lead Model 4063 is part of the Inspire Upper Airway Stimulation therapy system that is intended to treat moderate to severe obstructive sleep apnoea (15 AHI – 65 AHI), in patients who are not effectively treated by, or able to tolerate, positive airway pressure (PAP) therapies, by improving airway patency through stimulation of the hypoglossal nerve, </w:t>
      </w:r>
      <w:r w:rsidRPr="00AC6F32">
        <w:lastRenderedPageBreak/>
        <w:t>synchronous with respiration, to elicit a neuromuscular response at the base of the tongue.</w:t>
      </w:r>
    </w:p>
    <w:p w14:paraId="22882AFF" w14:textId="77777777" w:rsidR="0061315A" w:rsidRPr="00AC6F32" w:rsidRDefault="0061315A" w:rsidP="0061315A">
      <w:pPr>
        <w:pStyle w:val="ListParagraph"/>
        <w:rPr>
          <w:szCs w:val="20"/>
        </w:rPr>
      </w:pPr>
    </w:p>
    <w:p w14:paraId="75B7AD81" w14:textId="43C380A3" w:rsidR="0061315A" w:rsidRPr="00AC6F32" w:rsidRDefault="0061315A" w:rsidP="0061315A">
      <w:pPr>
        <w:pStyle w:val="ListParagraph"/>
        <w:numPr>
          <w:ilvl w:val="0"/>
          <w:numId w:val="37"/>
        </w:numPr>
        <w:spacing w:before="0" w:after="0"/>
        <w:rPr>
          <w:szCs w:val="20"/>
        </w:rPr>
      </w:pPr>
      <w:r w:rsidRPr="00AC6F32">
        <w:t xml:space="preserve">The Inspire IV Implantable Pulse Generator Model 3028 is part of the Inspire Upper Airway Stimulation therapy system that is intended to treat moderate to severe obstructive sleep apnoea (15 AHI </w:t>
      </w:r>
      <w:r w:rsidR="00226182" w:rsidRPr="00AC6F32">
        <w:t>–</w:t>
      </w:r>
      <w:r w:rsidRPr="00AC6F32">
        <w:t xml:space="preserve"> 65</w:t>
      </w:r>
      <w:r w:rsidR="00226182" w:rsidRPr="00AC6F32">
        <w:t xml:space="preserve"> AHI</w:t>
      </w:r>
      <w:r w:rsidRPr="00AC6F32">
        <w:t>), in patients who are not effectively treated by, or able to tolerate, positive airway pressure (PAP) therapies, by improving airway patency through stimulation of the hypoglossal nerve, synchronous with respiration, to elicit a neuromuscular response at the base of the tongue.</w:t>
      </w:r>
    </w:p>
    <w:p w14:paraId="3F61B35D" w14:textId="3D238649" w:rsidR="00C0796F" w:rsidRDefault="00C0796F" w:rsidP="00530204">
      <w:pPr>
        <w:pStyle w:val="Heading2"/>
      </w:pPr>
      <w:r w:rsidRPr="0043654D">
        <w:t>If the therapeutic good has not been listed, registered or included in the ARTG, is the therapeutic good in the process of being considered for inclusion by the TGA?</w:t>
      </w:r>
    </w:p>
    <w:p w14:paraId="12CB2007" w14:textId="77777777" w:rsidR="00AC6F32" w:rsidRDefault="00AC6F32" w:rsidP="00AC6F32">
      <w:pPr>
        <w:ind w:left="360"/>
      </w:pPr>
      <w:r>
        <w:t>N/A</w:t>
      </w:r>
    </w:p>
    <w:p w14:paraId="4B1DE26E" w14:textId="77777777" w:rsidR="00C0796F" w:rsidRPr="000A110D"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41191F10" w14:textId="77777777" w:rsidR="00AC6F32" w:rsidRDefault="00AC6F32" w:rsidP="00AC6F32">
      <w:pPr>
        <w:ind w:left="360"/>
      </w:pPr>
      <w:r>
        <w:t>N/A</w:t>
      </w:r>
    </w:p>
    <w:p w14:paraId="0FDBCAD2" w14:textId="77777777" w:rsidR="00F83A9D" w:rsidRPr="00154B00" w:rsidRDefault="00F83A9D" w:rsidP="00F83A9D">
      <w:pPr>
        <w:rPr>
          <w:szCs w:val="20"/>
        </w:rPr>
      </w:pPr>
    </w:p>
    <w:p w14:paraId="7E009FE5" w14:textId="77777777" w:rsidR="00DD308E" w:rsidRDefault="00DD308E">
      <w:pPr>
        <w:rPr>
          <w:b/>
          <w:sz w:val="32"/>
          <w:szCs w:val="32"/>
        </w:rPr>
        <w:sectPr w:rsidR="00DD308E" w:rsidSect="00991EE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pPr>
    </w:p>
    <w:p w14:paraId="790318F1" w14:textId="77777777" w:rsidR="00DD308E" w:rsidRPr="00C776B1" w:rsidRDefault="00B17CBE" w:rsidP="0056015F">
      <w:pPr>
        <w:pStyle w:val="Heading1"/>
      </w:pPr>
      <w:r>
        <w:lastRenderedPageBreak/>
        <w:t>PART 4</w:t>
      </w:r>
      <w:r w:rsidR="00DD308E">
        <w:t xml:space="preserve"> – SUMMARY</w:t>
      </w:r>
      <w:r w:rsidR="00DD308E" w:rsidRPr="00C776B1">
        <w:t xml:space="preserve"> OF EVIDENCE</w:t>
      </w:r>
    </w:p>
    <w:p w14:paraId="06E0D89B" w14:textId="77777777"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tbl>
      <w:tblPr>
        <w:tblStyle w:val="TableGrid"/>
        <w:tblW w:w="5000" w:type="pct"/>
        <w:tblLook w:val="04A0" w:firstRow="1" w:lastRow="0" w:firstColumn="1" w:lastColumn="0" w:noHBand="0" w:noVBand="1"/>
        <w:tblCaption w:val="Summary of Evidence - Published"/>
      </w:tblPr>
      <w:tblGrid>
        <w:gridCol w:w="368"/>
        <w:gridCol w:w="1326"/>
        <w:gridCol w:w="2797"/>
        <w:gridCol w:w="2967"/>
        <w:gridCol w:w="5206"/>
        <w:gridCol w:w="1284"/>
      </w:tblGrid>
      <w:tr w:rsidR="00DD308E" w14:paraId="3540B079" w14:textId="77777777" w:rsidTr="00AC6F32">
        <w:trPr>
          <w:cantSplit/>
          <w:tblHeader/>
        </w:trPr>
        <w:tc>
          <w:tcPr>
            <w:tcW w:w="132" w:type="pct"/>
          </w:tcPr>
          <w:p w14:paraId="7AE259F1" w14:textId="77777777" w:rsidR="00DD308E" w:rsidRDefault="00DD308E" w:rsidP="00855944">
            <w:pPr>
              <w:pStyle w:val="TableHEADER"/>
            </w:pPr>
          </w:p>
        </w:tc>
        <w:tc>
          <w:tcPr>
            <w:tcW w:w="475" w:type="pct"/>
          </w:tcPr>
          <w:p w14:paraId="58A17620" w14:textId="5FD3569E" w:rsidR="00DD308E" w:rsidRDefault="00AC6F32" w:rsidP="00855944">
            <w:pPr>
              <w:pStyle w:val="TableHEADER"/>
            </w:pPr>
            <w:r>
              <w:t>Type of study design</w:t>
            </w:r>
          </w:p>
        </w:tc>
        <w:tc>
          <w:tcPr>
            <w:tcW w:w="1003" w:type="pct"/>
          </w:tcPr>
          <w:p w14:paraId="453D81F7" w14:textId="12B338D3" w:rsidR="00DD308E" w:rsidRDefault="00DD308E" w:rsidP="00AC6F32">
            <w:pPr>
              <w:pStyle w:val="TableHEADER"/>
            </w:pPr>
            <w:r>
              <w:t>Title of journal article  or research project</w:t>
            </w:r>
          </w:p>
        </w:tc>
        <w:tc>
          <w:tcPr>
            <w:tcW w:w="1488" w:type="pct"/>
          </w:tcPr>
          <w:p w14:paraId="63AFC07D" w14:textId="00772C90" w:rsidR="00DD308E" w:rsidRDefault="00AC6F32" w:rsidP="00AC6F32">
            <w:pPr>
              <w:pStyle w:val="TableHEADER"/>
            </w:pPr>
            <w:r>
              <w:t xml:space="preserve">Short description of research </w:t>
            </w:r>
          </w:p>
        </w:tc>
        <w:tc>
          <w:tcPr>
            <w:tcW w:w="1442" w:type="pct"/>
          </w:tcPr>
          <w:p w14:paraId="68785A7E" w14:textId="67077D32" w:rsidR="00DD308E" w:rsidRDefault="00DD308E" w:rsidP="00AC6F32">
            <w:pPr>
              <w:pStyle w:val="TableHEADER"/>
            </w:pPr>
            <w:r w:rsidRPr="00E82F54">
              <w:t xml:space="preserve">Website link to </w:t>
            </w:r>
            <w:r>
              <w:t xml:space="preserve">journal article or research </w:t>
            </w:r>
          </w:p>
        </w:tc>
        <w:tc>
          <w:tcPr>
            <w:tcW w:w="460" w:type="pct"/>
          </w:tcPr>
          <w:p w14:paraId="6C3480DE" w14:textId="220CB284" w:rsidR="00DD308E" w:rsidRDefault="00DD308E" w:rsidP="00AC6F32">
            <w:pPr>
              <w:pStyle w:val="TableHEADER"/>
            </w:pPr>
            <w:r w:rsidRPr="00E82F54">
              <w:t>Date</w:t>
            </w:r>
            <w:r>
              <w:t xml:space="preserve"> of publication</w:t>
            </w:r>
          </w:p>
        </w:tc>
      </w:tr>
      <w:tr w:rsidR="006A2AC0" w14:paraId="49B8EEA3" w14:textId="77777777" w:rsidTr="00AC6F32">
        <w:trPr>
          <w:cantSplit/>
        </w:trPr>
        <w:tc>
          <w:tcPr>
            <w:tcW w:w="132" w:type="pct"/>
          </w:tcPr>
          <w:p w14:paraId="0DBED41F" w14:textId="77777777" w:rsidR="006A2AC0" w:rsidRPr="00965B6B" w:rsidRDefault="006A2AC0" w:rsidP="006A2AC0">
            <w:pPr>
              <w:rPr>
                <w:szCs w:val="20"/>
              </w:rPr>
            </w:pPr>
            <w:r w:rsidRPr="00965B6B">
              <w:rPr>
                <w:szCs w:val="20"/>
              </w:rPr>
              <w:t>1</w:t>
            </w:r>
            <w:r>
              <w:rPr>
                <w:szCs w:val="20"/>
              </w:rPr>
              <w:t>.</w:t>
            </w:r>
          </w:p>
        </w:tc>
        <w:tc>
          <w:tcPr>
            <w:tcW w:w="475" w:type="pct"/>
          </w:tcPr>
          <w:p w14:paraId="6CDC6BA5" w14:textId="08F363B0" w:rsidR="006A2AC0" w:rsidRPr="00AC6F32" w:rsidRDefault="006A2AC0" w:rsidP="006A2AC0">
            <w:pPr>
              <w:jc w:val="center"/>
              <w:rPr>
                <w:bCs/>
                <w:szCs w:val="20"/>
              </w:rPr>
            </w:pPr>
            <w:r w:rsidRPr="00AC6F32">
              <w:rPr>
                <w:bCs/>
              </w:rPr>
              <w:t>Multicentre prospective, single-group, cohort design. Consecutive responsive participants were included in a randomised controlled therapy-withdrawal trial</w:t>
            </w:r>
          </w:p>
        </w:tc>
        <w:tc>
          <w:tcPr>
            <w:tcW w:w="1003" w:type="pct"/>
          </w:tcPr>
          <w:p w14:paraId="5F1A9698" w14:textId="7C43FB80" w:rsidR="006A2AC0" w:rsidRPr="00AC6F32" w:rsidRDefault="006A2AC0" w:rsidP="006A2AC0">
            <w:pPr>
              <w:rPr>
                <w:bCs/>
                <w:szCs w:val="20"/>
              </w:rPr>
            </w:pPr>
            <w:r w:rsidRPr="00AC6F32">
              <w:rPr>
                <w:bCs/>
              </w:rPr>
              <w:t>Strollo PK, Soose RJ, Maurer JT, de Vries N, Cornelius J, Froymovich O, Hanson RD, Padhya TA, Steward DL, Gillespie B, Woodson T, Van de Heyning PH, Goetting MG, Vanderveken OM, Feldman N, Knaack L, Strohl KP ‘Upper-Airway Stimulation for Obstructive Sleep Apnea’ N Engl J Med 2014; 370:139-49</w:t>
            </w:r>
          </w:p>
        </w:tc>
        <w:tc>
          <w:tcPr>
            <w:tcW w:w="1488" w:type="pct"/>
          </w:tcPr>
          <w:p w14:paraId="1A103697" w14:textId="57144FEA" w:rsidR="006A2AC0" w:rsidRPr="00AC6F32" w:rsidRDefault="006A2AC0" w:rsidP="006A2AC0">
            <w:pPr>
              <w:rPr>
                <w:bCs/>
                <w:szCs w:val="20"/>
              </w:rPr>
            </w:pPr>
            <w:r w:rsidRPr="00AC6F32">
              <w:rPr>
                <w:bCs/>
              </w:rPr>
              <w:t xml:space="preserve">126 patients were surgically implanted with an upper airway stimulation device.  There were significant improvements in  primary outcome measures that included apnea-hypopnea index (AHI), oxygen desaturation index (ODI). Secondary outcome measures also improved including the Epworth Sleepiness Scale (ESS), and the Functional Outcomes of Sleep Questionnaire (FOSQ) and % of sleep time with O² saturation &lt; 90% </w:t>
            </w:r>
          </w:p>
        </w:tc>
        <w:tc>
          <w:tcPr>
            <w:tcW w:w="1442" w:type="pct"/>
          </w:tcPr>
          <w:p w14:paraId="7B0AEB82" w14:textId="5EB3A99C" w:rsidR="006A2AC0" w:rsidRPr="00AC6F32" w:rsidRDefault="00AC6F32" w:rsidP="006A2AC0">
            <w:pPr>
              <w:rPr>
                <w:bCs/>
                <w:szCs w:val="20"/>
              </w:rPr>
            </w:pPr>
            <w:hyperlink r:id="rId17" w:history="1">
              <w:r w:rsidR="006A2AC0" w:rsidRPr="00AC6F32">
                <w:rPr>
                  <w:rStyle w:val="Hyperlink"/>
                  <w:bCs/>
                  <w:color w:val="auto"/>
                  <w:szCs w:val="20"/>
                </w:rPr>
                <w:t>NEJM</w:t>
              </w:r>
            </w:hyperlink>
          </w:p>
        </w:tc>
        <w:tc>
          <w:tcPr>
            <w:tcW w:w="460" w:type="pct"/>
          </w:tcPr>
          <w:p w14:paraId="6CF9E451" w14:textId="68B2C730" w:rsidR="006A2AC0" w:rsidRPr="00AC6F32" w:rsidRDefault="006A2AC0" w:rsidP="006A2AC0">
            <w:pPr>
              <w:rPr>
                <w:bCs/>
                <w:szCs w:val="20"/>
              </w:rPr>
            </w:pPr>
            <w:r w:rsidRPr="00AC6F32">
              <w:rPr>
                <w:bCs/>
              </w:rPr>
              <w:t>Multicentre prospective, single-group, cohort design. Consecutive responsive participants were included in a randomised controlled therapy-withdrawal trial</w:t>
            </w:r>
          </w:p>
        </w:tc>
      </w:tr>
      <w:tr w:rsidR="006A2AC0" w14:paraId="630F39A9" w14:textId="77777777" w:rsidTr="00AC6F32">
        <w:trPr>
          <w:cantSplit/>
        </w:trPr>
        <w:tc>
          <w:tcPr>
            <w:tcW w:w="132" w:type="pct"/>
          </w:tcPr>
          <w:p w14:paraId="56A7BCC1" w14:textId="77777777" w:rsidR="006A2AC0" w:rsidRPr="00965B6B" w:rsidRDefault="006A2AC0" w:rsidP="006A2AC0">
            <w:pPr>
              <w:rPr>
                <w:szCs w:val="20"/>
              </w:rPr>
            </w:pPr>
            <w:r>
              <w:rPr>
                <w:szCs w:val="20"/>
              </w:rPr>
              <w:t>2.</w:t>
            </w:r>
          </w:p>
        </w:tc>
        <w:tc>
          <w:tcPr>
            <w:tcW w:w="475" w:type="pct"/>
          </w:tcPr>
          <w:p w14:paraId="7C011446" w14:textId="027BAE52" w:rsidR="006A2AC0" w:rsidRPr="00AC6F32" w:rsidRDefault="006A2AC0" w:rsidP="006A2AC0">
            <w:pPr>
              <w:rPr>
                <w:bCs/>
                <w:szCs w:val="20"/>
              </w:rPr>
            </w:pPr>
            <w:r w:rsidRPr="00AC6F32">
              <w:rPr>
                <w:bCs/>
              </w:rPr>
              <w:t>Multicentre, prospective and retrospective observational registry</w:t>
            </w:r>
          </w:p>
        </w:tc>
        <w:tc>
          <w:tcPr>
            <w:tcW w:w="1003" w:type="pct"/>
          </w:tcPr>
          <w:p w14:paraId="5073AB4D" w14:textId="5DDB3F8D" w:rsidR="006A2AC0" w:rsidRPr="00AC6F32" w:rsidRDefault="006A2AC0" w:rsidP="006A2AC0">
            <w:pPr>
              <w:rPr>
                <w:bCs/>
                <w:szCs w:val="20"/>
              </w:rPr>
            </w:pPr>
            <w:r w:rsidRPr="00AC6F32">
              <w:rPr>
                <w:bCs/>
              </w:rPr>
              <w:t>Heiser C, Steffen A, Boon M, Hofauer B, Dofhramji K, Maurer JT, Sommer JU, Soose R, Strollo PJ, Schwab R, Thaler, E Withrow K, Kominsky A, Larsen C, Kezirian EJ, Hsia J, Chia S, Hareick J, Strohl K, Mehra R ‘Post-Approval Upper Airway Stimulation Predictors of Treatment Efficacy in the Adhere Registry’ doi:10.1183/13993003.01405-2018</w:t>
            </w:r>
          </w:p>
        </w:tc>
        <w:tc>
          <w:tcPr>
            <w:tcW w:w="1488" w:type="pct"/>
          </w:tcPr>
          <w:p w14:paraId="007F9C24" w14:textId="3F21F42B" w:rsidR="006A2AC0" w:rsidRPr="00AC6F32" w:rsidRDefault="006A2AC0" w:rsidP="006A2AC0">
            <w:pPr>
              <w:rPr>
                <w:bCs/>
                <w:szCs w:val="20"/>
              </w:rPr>
            </w:pPr>
            <w:r w:rsidRPr="00AC6F32">
              <w:rPr>
                <w:bCs/>
              </w:rPr>
              <w:t>International multinational registry. 508 patients who had received upper airways stimulation were enrolled in 14 centres.  Data collected included patient characteristics, AHI, ESS, objective adherence, adverse events and patient satisfaction measures</w:t>
            </w:r>
          </w:p>
        </w:tc>
        <w:tc>
          <w:tcPr>
            <w:tcW w:w="1442" w:type="pct"/>
          </w:tcPr>
          <w:p w14:paraId="3A95CB86" w14:textId="7533138D" w:rsidR="006A2AC0" w:rsidRPr="00AC6F32" w:rsidRDefault="00AC6F32" w:rsidP="006A2AC0">
            <w:pPr>
              <w:rPr>
                <w:bCs/>
                <w:color w:val="0070C0"/>
                <w:szCs w:val="20"/>
              </w:rPr>
            </w:pPr>
            <w:hyperlink r:id="rId18" w:history="1">
              <w:r w:rsidR="006A2AC0" w:rsidRPr="00AC6F32">
                <w:rPr>
                  <w:rStyle w:val="Hyperlink"/>
                  <w:color w:val="0070C0"/>
                  <w:szCs w:val="20"/>
                </w:rPr>
                <w:t>Euro Resp Journ</w:t>
              </w:r>
            </w:hyperlink>
          </w:p>
        </w:tc>
        <w:tc>
          <w:tcPr>
            <w:tcW w:w="460" w:type="pct"/>
          </w:tcPr>
          <w:p w14:paraId="1FADA13C" w14:textId="473B3540" w:rsidR="006A2AC0" w:rsidRPr="00AC6F32" w:rsidRDefault="00A441F1" w:rsidP="006A2AC0">
            <w:pPr>
              <w:rPr>
                <w:bCs/>
                <w:szCs w:val="20"/>
              </w:rPr>
            </w:pPr>
            <w:r w:rsidRPr="00AC6F32">
              <w:rPr>
                <w:bCs/>
                <w:szCs w:val="20"/>
              </w:rPr>
              <w:t>2018</w:t>
            </w:r>
          </w:p>
        </w:tc>
      </w:tr>
      <w:tr w:rsidR="001753C7" w14:paraId="65217879" w14:textId="77777777" w:rsidTr="00AC6F32">
        <w:trPr>
          <w:cantSplit/>
        </w:trPr>
        <w:tc>
          <w:tcPr>
            <w:tcW w:w="132" w:type="pct"/>
          </w:tcPr>
          <w:p w14:paraId="1034CE06" w14:textId="77777777" w:rsidR="001753C7" w:rsidRDefault="001753C7" w:rsidP="00602750">
            <w:pPr>
              <w:rPr>
                <w:szCs w:val="20"/>
              </w:rPr>
            </w:pPr>
          </w:p>
        </w:tc>
        <w:tc>
          <w:tcPr>
            <w:tcW w:w="475" w:type="pct"/>
          </w:tcPr>
          <w:p w14:paraId="54D08888" w14:textId="5F06A3E6" w:rsidR="001753C7" w:rsidRPr="00AC6F32" w:rsidRDefault="00A441F1" w:rsidP="00602750">
            <w:pPr>
              <w:rPr>
                <w:bCs/>
              </w:rPr>
            </w:pPr>
            <w:r w:rsidRPr="00AC6F32">
              <w:rPr>
                <w:bCs/>
              </w:rPr>
              <w:t xml:space="preserve">Multicentre prospective observational study </w:t>
            </w:r>
          </w:p>
        </w:tc>
        <w:tc>
          <w:tcPr>
            <w:tcW w:w="1003" w:type="pct"/>
          </w:tcPr>
          <w:p w14:paraId="5EFBC1BD" w14:textId="489D568D" w:rsidR="001753C7" w:rsidRPr="00AC6F32" w:rsidRDefault="00A441F1" w:rsidP="00602750">
            <w:pPr>
              <w:rPr>
                <w:bCs/>
                <w:i/>
                <w:iCs/>
              </w:rPr>
            </w:pPr>
            <w:r w:rsidRPr="00AC6F32">
              <w:rPr>
                <w:bCs/>
              </w:rPr>
              <w:t xml:space="preserve">Thaler E, Schwab R, Maurer J, Soose R, Larsen C, Stevens S, Stevens D, Boon M, Huntley C, Doghramji K, et al </w:t>
            </w:r>
            <w:r w:rsidRPr="00AC6F32">
              <w:rPr>
                <w:bCs/>
                <w:i/>
                <w:iCs/>
              </w:rPr>
              <w:t>‘Results of the ADHERE Upper Airway Stimulation Registry and Predictors of Therapy Efficacy.’</w:t>
            </w:r>
          </w:p>
          <w:p w14:paraId="5F12A6C4" w14:textId="0B514A55" w:rsidR="00A441F1" w:rsidRPr="00AC6F32" w:rsidRDefault="00A441F1" w:rsidP="00602750">
            <w:pPr>
              <w:rPr>
                <w:bCs/>
              </w:rPr>
            </w:pPr>
            <w:r w:rsidRPr="00AC6F32">
              <w:rPr>
                <w:bCs/>
              </w:rPr>
              <w:t>Laryngoscope 130:1333-1338, 2020</w:t>
            </w:r>
          </w:p>
        </w:tc>
        <w:tc>
          <w:tcPr>
            <w:tcW w:w="1488" w:type="pct"/>
          </w:tcPr>
          <w:p w14:paraId="6994937A" w14:textId="28EE9586" w:rsidR="001753C7" w:rsidRPr="00AC6F32" w:rsidRDefault="00A441F1" w:rsidP="00602750">
            <w:pPr>
              <w:rPr>
                <w:bCs/>
                <w:iCs/>
              </w:rPr>
            </w:pPr>
            <w:r w:rsidRPr="00AC6F32">
              <w:rPr>
                <w:bCs/>
                <w:iCs/>
              </w:rPr>
              <w:t>Multinational registry 1,017 patients who received upper airways stimulation were enrolled in 14 centres. 640 patients completed 6 months and 382 completed 12 months. Data collection includes AHI, ESS, adherence, adverse events and patient satisfaction.</w:t>
            </w:r>
          </w:p>
        </w:tc>
        <w:tc>
          <w:tcPr>
            <w:tcW w:w="1442" w:type="pct"/>
          </w:tcPr>
          <w:p w14:paraId="03EAAD34" w14:textId="35051814" w:rsidR="001753C7" w:rsidRPr="00AC6F32" w:rsidRDefault="00A441F1" w:rsidP="00602750">
            <w:pPr>
              <w:rPr>
                <w:bCs/>
                <w:color w:val="0070C0"/>
                <w:szCs w:val="20"/>
              </w:rPr>
            </w:pPr>
            <w:r w:rsidRPr="00AC6F32">
              <w:rPr>
                <w:bCs/>
                <w:color w:val="0070C0"/>
                <w:szCs w:val="20"/>
              </w:rPr>
              <w:t>https://onlinelibrary.wiley.com/doi/epdf/10.1002/lary.28286</w:t>
            </w:r>
          </w:p>
        </w:tc>
        <w:tc>
          <w:tcPr>
            <w:tcW w:w="460" w:type="pct"/>
          </w:tcPr>
          <w:p w14:paraId="5D035D5C" w14:textId="0E6EDC1F" w:rsidR="001753C7" w:rsidRPr="00AC6F32" w:rsidRDefault="00A441F1" w:rsidP="00602750">
            <w:pPr>
              <w:rPr>
                <w:bCs/>
              </w:rPr>
            </w:pPr>
            <w:r w:rsidRPr="00AC6F32">
              <w:rPr>
                <w:bCs/>
              </w:rPr>
              <w:t>May 2020</w:t>
            </w:r>
          </w:p>
        </w:tc>
      </w:tr>
      <w:tr w:rsidR="00602750" w14:paraId="17375BE6" w14:textId="77777777" w:rsidTr="00AC6F32">
        <w:trPr>
          <w:cantSplit/>
        </w:trPr>
        <w:tc>
          <w:tcPr>
            <w:tcW w:w="132" w:type="pct"/>
          </w:tcPr>
          <w:p w14:paraId="5A23F171" w14:textId="77777777" w:rsidR="00602750" w:rsidRPr="00965B6B" w:rsidRDefault="00602750" w:rsidP="00602750">
            <w:pPr>
              <w:rPr>
                <w:szCs w:val="20"/>
              </w:rPr>
            </w:pPr>
            <w:r>
              <w:rPr>
                <w:szCs w:val="20"/>
              </w:rPr>
              <w:t>3.</w:t>
            </w:r>
          </w:p>
        </w:tc>
        <w:tc>
          <w:tcPr>
            <w:tcW w:w="475" w:type="pct"/>
          </w:tcPr>
          <w:p w14:paraId="2FF26F38" w14:textId="73F2BCA5" w:rsidR="00602750" w:rsidRPr="00AC6F32" w:rsidRDefault="00602750" w:rsidP="00602750">
            <w:pPr>
              <w:rPr>
                <w:bCs/>
                <w:szCs w:val="20"/>
              </w:rPr>
            </w:pPr>
            <w:r w:rsidRPr="00AC6F32">
              <w:rPr>
                <w:bCs/>
              </w:rPr>
              <w:t>Cost-Effectiveness Analysis of the Upper Airway Stimulation for the treatment of OSA</w:t>
            </w:r>
          </w:p>
        </w:tc>
        <w:tc>
          <w:tcPr>
            <w:tcW w:w="1003" w:type="pct"/>
          </w:tcPr>
          <w:p w14:paraId="02A171CB" w14:textId="0F973B4D" w:rsidR="00602750" w:rsidRPr="00AC6F32" w:rsidRDefault="00602750" w:rsidP="00602750">
            <w:pPr>
              <w:rPr>
                <w:bCs/>
                <w:szCs w:val="20"/>
              </w:rPr>
            </w:pPr>
            <w:r w:rsidRPr="00AC6F32">
              <w:rPr>
                <w:bCs/>
              </w:rPr>
              <w:t>Pietzsch JB, Lui S, Garner AM, Kezirian EJ, Strollo PJ ‘Long-Term Cost-Effectiveness of Upper Airway Stimulation for the Treatment of Obstructive Sleep Apnea: A Model-Based Projection Based on the STAR Trial’ SLEEP 2015:38(5): 735-744</w:t>
            </w:r>
          </w:p>
        </w:tc>
        <w:tc>
          <w:tcPr>
            <w:tcW w:w="1488" w:type="pct"/>
          </w:tcPr>
          <w:p w14:paraId="06971FF0" w14:textId="760720C8" w:rsidR="00602750" w:rsidRPr="00AC6F32" w:rsidRDefault="00602750" w:rsidP="00602750">
            <w:pPr>
              <w:rPr>
                <w:bCs/>
                <w:szCs w:val="20"/>
              </w:rPr>
            </w:pPr>
            <w:r w:rsidRPr="00AC6F32">
              <w:rPr>
                <w:bCs/>
              </w:rPr>
              <w:t>5-State Markov model was used to predict cardiovascular endpoints (myocardial infarction, stroke, hypertension), motor vehicle collisions and QALYS and costs of UAS versus no treatment</w:t>
            </w:r>
          </w:p>
        </w:tc>
        <w:tc>
          <w:tcPr>
            <w:tcW w:w="1442" w:type="pct"/>
          </w:tcPr>
          <w:p w14:paraId="6EB0ED97" w14:textId="002D921F" w:rsidR="00602750" w:rsidRPr="00AC6F32" w:rsidRDefault="00AC6F32" w:rsidP="00602750">
            <w:pPr>
              <w:rPr>
                <w:bCs/>
                <w:color w:val="0070C0"/>
                <w:szCs w:val="20"/>
              </w:rPr>
            </w:pPr>
            <w:hyperlink r:id="rId19" w:history="1">
              <w:r w:rsidR="00602750" w:rsidRPr="00AC6F32">
                <w:rPr>
                  <w:rStyle w:val="Hyperlink"/>
                  <w:bCs/>
                  <w:color w:val="0070C0"/>
                  <w:szCs w:val="20"/>
                </w:rPr>
                <w:t>SLEEP</w:t>
              </w:r>
            </w:hyperlink>
          </w:p>
        </w:tc>
        <w:tc>
          <w:tcPr>
            <w:tcW w:w="460" w:type="pct"/>
          </w:tcPr>
          <w:p w14:paraId="14979B8E" w14:textId="368F9234" w:rsidR="00602750" w:rsidRPr="00AC6F32" w:rsidRDefault="00602750" w:rsidP="00602750">
            <w:pPr>
              <w:rPr>
                <w:bCs/>
                <w:szCs w:val="20"/>
              </w:rPr>
            </w:pPr>
            <w:r w:rsidRPr="00AC6F32">
              <w:rPr>
                <w:bCs/>
              </w:rPr>
              <w:t>Cost-Effectiveness Analysis of the Upper Airway Stimulation for the treatment of OSA</w:t>
            </w:r>
          </w:p>
        </w:tc>
      </w:tr>
      <w:tr w:rsidR="00602750" w14:paraId="387F94D3" w14:textId="77777777" w:rsidTr="00AC6F32">
        <w:trPr>
          <w:cantSplit/>
        </w:trPr>
        <w:tc>
          <w:tcPr>
            <w:tcW w:w="132" w:type="pct"/>
          </w:tcPr>
          <w:p w14:paraId="41CD3AB4" w14:textId="77777777" w:rsidR="00602750" w:rsidRPr="00965B6B" w:rsidRDefault="00602750" w:rsidP="00602750">
            <w:pPr>
              <w:rPr>
                <w:szCs w:val="20"/>
              </w:rPr>
            </w:pPr>
            <w:r>
              <w:rPr>
                <w:szCs w:val="20"/>
              </w:rPr>
              <w:t>4.</w:t>
            </w:r>
          </w:p>
        </w:tc>
        <w:tc>
          <w:tcPr>
            <w:tcW w:w="475" w:type="pct"/>
          </w:tcPr>
          <w:p w14:paraId="7951F569" w14:textId="2A9FEC68" w:rsidR="00602750" w:rsidRPr="00AC6F32" w:rsidRDefault="00602750" w:rsidP="00602750">
            <w:pPr>
              <w:rPr>
                <w:bCs/>
                <w:szCs w:val="20"/>
              </w:rPr>
            </w:pPr>
            <w:r w:rsidRPr="00AC6F32">
              <w:rPr>
                <w:bCs/>
              </w:rPr>
              <w:t>Multicentre prospective single arm study of UAS for moderate to severe sleep apnoea</w:t>
            </w:r>
          </w:p>
        </w:tc>
        <w:tc>
          <w:tcPr>
            <w:tcW w:w="1003" w:type="pct"/>
          </w:tcPr>
          <w:p w14:paraId="5840BE2B" w14:textId="481017D5" w:rsidR="00602750" w:rsidRPr="00AC6F32" w:rsidRDefault="00602750" w:rsidP="00602750">
            <w:pPr>
              <w:rPr>
                <w:bCs/>
                <w:szCs w:val="20"/>
              </w:rPr>
            </w:pPr>
            <w:r w:rsidRPr="00AC6F32">
              <w:rPr>
                <w:bCs/>
              </w:rPr>
              <w:t>Steffen A, Sommer JU, Hofauer B, Maurer JT, Hasselbacher K, Heiser C, ‘Outcomes After One Year of Upper Airway Stimulation for Obstructive Sleep Apnea in a Multicenter German Post-Market Study’ Laryngoscope, 00:000-00, 2017</w:t>
            </w:r>
          </w:p>
        </w:tc>
        <w:tc>
          <w:tcPr>
            <w:tcW w:w="1488" w:type="pct"/>
          </w:tcPr>
          <w:p w14:paraId="46CC6FBB" w14:textId="3EC94F4B" w:rsidR="00602750" w:rsidRPr="00AC6F32" w:rsidRDefault="00602750" w:rsidP="00602750">
            <w:pPr>
              <w:rPr>
                <w:bCs/>
                <w:szCs w:val="20"/>
              </w:rPr>
            </w:pPr>
            <w:r w:rsidRPr="00AC6F32">
              <w:rPr>
                <w:bCs/>
              </w:rPr>
              <w:t>60 patients were followed for 12 months measuring home sleep test results and patient-reported outcome measures.</w:t>
            </w:r>
          </w:p>
        </w:tc>
        <w:tc>
          <w:tcPr>
            <w:tcW w:w="1442" w:type="pct"/>
          </w:tcPr>
          <w:p w14:paraId="2BE7394B" w14:textId="5F2CE73C" w:rsidR="00602750" w:rsidRPr="00AC6F32" w:rsidRDefault="00602750" w:rsidP="00602750">
            <w:pPr>
              <w:rPr>
                <w:bCs/>
                <w:color w:val="0070C0"/>
                <w:szCs w:val="20"/>
              </w:rPr>
            </w:pPr>
            <w:r w:rsidRPr="00AC6F32">
              <w:rPr>
                <w:bCs/>
                <w:color w:val="0070C0"/>
              </w:rPr>
              <w:t>https://onlinelibrary.wiley.com/doi/abs/10.1002/lary.26688</w:t>
            </w:r>
          </w:p>
        </w:tc>
        <w:tc>
          <w:tcPr>
            <w:tcW w:w="460" w:type="pct"/>
          </w:tcPr>
          <w:p w14:paraId="608DBC59" w14:textId="6EBB7FFB" w:rsidR="00602750" w:rsidRPr="00AC6F32" w:rsidRDefault="00602750" w:rsidP="00602750">
            <w:pPr>
              <w:rPr>
                <w:bCs/>
                <w:szCs w:val="20"/>
              </w:rPr>
            </w:pPr>
            <w:r w:rsidRPr="00AC6F32">
              <w:rPr>
                <w:bCs/>
              </w:rPr>
              <w:t>May 31 2017</w:t>
            </w:r>
          </w:p>
        </w:tc>
      </w:tr>
      <w:tr w:rsidR="00DD308E" w14:paraId="6CDC2CB7" w14:textId="77777777" w:rsidTr="00AC6F32">
        <w:trPr>
          <w:cantSplit/>
        </w:trPr>
        <w:tc>
          <w:tcPr>
            <w:tcW w:w="132" w:type="pct"/>
          </w:tcPr>
          <w:p w14:paraId="117D2B1C" w14:textId="77777777" w:rsidR="00DD308E" w:rsidRPr="00AC6F32" w:rsidRDefault="00DD308E" w:rsidP="00DD308E">
            <w:pPr>
              <w:rPr>
                <w:szCs w:val="20"/>
              </w:rPr>
            </w:pPr>
            <w:r w:rsidRPr="00AC6F32">
              <w:rPr>
                <w:szCs w:val="20"/>
              </w:rPr>
              <w:t>5.</w:t>
            </w:r>
          </w:p>
        </w:tc>
        <w:tc>
          <w:tcPr>
            <w:tcW w:w="475" w:type="pct"/>
          </w:tcPr>
          <w:p w14:paraId="09EB9D74" w14:textId="55208D96" w:rsidR="00DD308E" w:rsidRPr="00AC6F32" w:rsidRDefault="000F4504" w:rsidP="00DD308E">
            <w:pPr>
              <w:rPr>
                <w:szCs w:val="20"/>
              </w:rPr>
            </w:pPr>
            <w:r w:rsidRPr="00AC6F32">
              <w:rPr>
                <w:szCs w:val="20"/>
              </w:rPr>
              <w:t>Parallel arm experimental study prospective study</w:t>
            </w:r>
          </w:p>
        </w:tc>
        <w:tc>
          <w:tcPr>
            <w:tcW w:w="1003" w:type="pct"/>
          </w:tcPr>
          <w:p w14:paraId="2F041B2C" w14:textId="76C05ACF" w:rsidR="00DD308E" w:rsidRPr="00AC6F32" w:rsidRDefault="000F4504" w:rsidP="00DD308E">
            <w:pPr>
              <w:rPr>
                <w:szCs w:val="20"/>
              </w:rPr>
            </w:pPr>
            <w:r w:rsidRPr="00AC6F32">
              <w:rPr>
                <w:szCs w:val="20"/>
              </w:rPr>
              <w:t>Mehra R, Steffen A, Heiser C, et al</w:t>
            </w:r>
            <w:r w:rsidRPr="00AC6F32">
              <w:rPr>
                <w:i/>
                <w:iCs/>
                <w:szCs w:val="20"/>
              </w:rPr>
              <w:t>. ’Upper Airway Stimulation versus Untreated Comparators in Positive Airway Pressure Treatment Refractory Obstructive Sleep Apnea’</w:t>
            </w:r>
            <w:r w:rsidRPr="00AC6F32">
              <w:rPr>
                <w:szCs w:val="20"/>
              </w:rPr>
              <w:t xml:space="preserve"> Am J Otolaryngol. 2020 Nov-Dec;41(6):102616. Doi: 10.1016/j.amjoto.2020.102616. Epub 2020 Jun 25. PMID:32645535</w:t>
            </w:r>
          </w:p>
        </w:tc>
        <w:tc>
          <w:tcPr>
            <w:tcW w:w="1488" w:type="pct"/>
          </w:tcPr>
          <w:p w14:paraId="4B932B05" w14:textId="45CD1714" w:rsidR="00DD308E" w:rsidRPr="00AC6F32" w:rsidRDefault="000F4504" w:rsidP="00DD308E">
            <w:pPr>
              <w:rPr>
                <w:szCs w:val="20"/>
              </w:rPr>
            </w:pPr>
            <w:r w:rsidRPr="00AC6F32">
              <w:rPr>
                <w:szCs w:val="20"/>
              </w:rPr>
              <w:t>Consecutive participants with medical insurance with OSA and PAP intolerance were enrolled. If insurance was approved for UAS then patient was enrolled in therapy arm. If insurance was denied, patient was enrolled in control arm</w:t>
            </w:r>
          </w:p>
        </w:tc>
        <w:tc>
          <w:tcPr>
            <w:tcW w:w="1442" w:type="pct"/>
          </w:tcPr>
          <w:p w14:paraId="67E635F5" w14:textId="1AFF4D34" w:rsidR="00DD308E" w:rsidRPr="00AC6F32" w:rsidRDefault="000F4504" w:rsidP="00DD308E">
            <w:pPr>
              <w:rPr>
                <w:color w:val="0070C0"/>
                <w:szCs w:val="20"/>
              </w:rPr>
            </w:pPr>
            <w:r w:rsidRPr="00AC6F32">
              <w:rPr>
                <w:color w:val="0070C0"/>
                <w:szCs w:val="20"/>
              </w:rPr>
              <w:t>https://pubmed.ncbi.nlm.nih.gov/32663043/</w:t>
            </w:r>
          </w:p>
        </w:tc>
        <w:tc>
          <w:tcPr>
            <w:tcW w:w="460" w:type="pct"/>
          </w:tcPr>
          <w:p w14:paraId="05B0DB5D" w14:textId="78FA487D" w:rsidR="00DD308E" w:rsidRPr="00AC6F32" w:rsidRDefault="000F4504" w:rsidP="00DD308E">
            <w:pPr>
              <w:rPr>
                <w:szCs w:val="20"/>
              </w:rPr>
            </w:pPr>
            <w:r w:rsidRPr="00AC6F32">
              <w:rPr>
                <w:szCs w:val="20"/>
              </w:rPr>
              <w:t>December 2020</w:t>
            </w:r>
          </w:p>
        </w:tc>
      </w:tr>
    </w:tbl>
    <w:p w14:paraId="191A59F5" w14:textId="77777777"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14:paraId="22F9D55C" w14:textId="77777777" w:rsidR="004C49EF" w:rsidRDefault="004C49EF" w:rsidP="00530204">
      <w:pPr>
        <w:pStyle w:val="Heading2"/>
      </w:pPr>
      <w:r w:rsidRPr="00E82F54">
        <w:lastRenderedPageBreak/>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tbl>
      <w:tblPr>
        <w:tblStyle w:val="TableGrid"/>
        <w:tblW w:w="5000" w:type="pct"/>
        <w:tblLook w:val="04A0" w:firstRow="1" w:lastRow="0" w:firstColumn="1" w:lastColumn="0" w:noHBand="0" w:noVBand="1"/>
        <w:tblCaption w:val="Summary of Evidence - Yet to be Published"/>
      </w:tblPr>
      <w:tblGrid>
        <w:gridCol w:w="909"/>
        <w:gridCol w:w="2497"/>
        <w:gridCol w:w="2826"/>
        <w:gridCol w:w="3261"/>
        <w:gridCol w:w="2993"/>
        <w:gridCol w:w="1462"/>
      </w:tblGrid>
      <w:tr w:rsidR="004C49EF" w14:paraId="472E5ECE" w14:textId="77777777" w:rsidTr="00E8445B">
        <w:trPr>
          <w:cantSplit/>
          <w:tblHeader/>
        </w:trPr>
        <w:tc>
          <w:tcPr>
            <w:tcW w:w="326" w:type="pct"/>
          </w:tcPr>
          <w:p w14:paraId="657AFD97" w14:textId="77777777" w:rsidR="004C49EF" w:rsidRDefault="004C49EF" w:rsidP="00855944">
            <w:pPr>
              <w:pStyle w:val="TableHEADER"/>
            </w:pPr>
          </w:p>
        </w:tc>
        <w:tc>
          <w:tcPr>
            <w:tcW w:w="895" w:type="pct"/>
          </w:tcPr>
          <w:p w14:paraId="3A5F7B86" w14:textId="45E0F96C" w:rsidR="004C49EF" w:rsidRDefault="004C49EF" w:rsidP="00855944">
            <w:pPr>
              <w:pStyle w:val="TableHEADER"/>
            </w:pPr>
            <w:r>
              <w:t>Type of study d</w:t>
            </w:r>
            <w:r w:rsidR="00AC6F32">
              <w:t>esign</w:t>
            </w:r>
          </w:p>
        </w:tc>
        <w:tc>
          <w:tcPr>
            <w:tcW w:w="1013" w:type="pct"/>
          </w:tcPr>
          <w:p w14:paraId="7C128C35" w14:textId="3A40CDD8" w:rsidR="004C49EF" w:rsidRDefault="004C49EF" w:rsidP="00AC6F32">
            <w:pPr>
              <w:pStyle w:val="TableHEADER"/>
            </w:pPr>
            <w:r>
              <w:t xml:space="preserve">Title of research </w:t>
            </w:r>
          </w:p>
        </w:tc>
        <w:tc>
          <w:tcPr>
            <w:tcW w:w="1169" w:type="pct"/>
          </w:tcPr>
          <w:p w14:paraId="6E99C6DC" w14:textId="6945F974" w:rsidR="004C49EF" w:rsidRDefault="00367C1B" w:rsidP="00855944">
            <w:pPr>
              <w:pStyle w:val="TableHEADER"/>
            </w:pPr>
            <w:r>
              <w:t xml:space="preserve">Short description of research </w:t>
            </w:r>
          </w:p>
        </w:tc>
        <w:tc>
          <w:tcPr>
            <w:tcW w:w="1073" w:type="pct"/>
          </w:tcPr>
          <w:p w14:paraId="1C6EDEA2" w14:textId="1943D008" w:rsidR="004C49EF" w:rsidRDefault="004C49EF" w:rsidP="00AC6F32">
            <w:pPr>
              <w:pStyle w:val="TableHEADER"/>
            </w:pPr>
            <w:r w:rsidRPr="00E82F54">
              <w:t xml:space="preserve">Website link to </w:t>
            </w:r>
            <w:r>
              <w:t xml:space="preserve">research </w:t>
            </w:r>
          </w:p>
        </w:tc>
        <w:tc>
          <w:tcPr>
            <w:tcW w:w="524" w:type="pct"/>
          </w:tcPr>
          <w:p w14:paraId="645FB84D" w14:textId="06944ED4" w:rsidR="004C49EF" w:rsidRDefault="004C49EF" w:rsidP="00855944">
            <w:pPr>
              <w:pStyle w:val="TableHEADER"/>
            </w:pPr>
            <w:r w:rsidRPr="00E82F54">
              <w:t>D</w:t>
            </w:r>
            <w:r w:rsidR="00AC6F32">
              <w:t>ate</w:t>
            </w:r>
          </w:p>
        </w:tc>
      </w:tr>
      <w:tr w:rsidR="004C49EF" w14:paraId="1AC8B88F" w14:textId="77777777" w:rsidTr="00E8445B">
        <w:trPr>
          <w:cantSplit/>
        </w:trPr>
        <w:tc>
          <w:tcPr>
            <w:tcW w:w="326" w:type="pct"/>
          </w:tcPr>
          <w:p w14:paraId="58F7CFD7" w14:textId="77777777" w:rsidR="004C49EF" w:rsidRPr="00965B6B" w:rsidRDefault="004C49EF" w:rsidP="00526478">
            <w:pPr>
              <w:rPr>
                <w:szCs w:val="20"/>
              </w:rPr>
            </w:pPr>
            <w:r w:rsidRPr="00965B6B">
              <w:rPr>
                <w:szCs w:val="20"/>
              </w:rPr>
              <w:t>1</w:t>
            </w:r>
            <w:r>
              <w:rPr>
                <w:szCs w:val="20"/>
              </w:rPr>
              <w:t>.</w:t>
            </w:r>
          </w:p>
        </w:tc>
        <w:tc>
          <w:tcPr>
            <w:tcW w:w="895" w:type="pct"/>
          </w:tcPr>
          <w:p w14:paraId="35ED3E21" w14:textId="1567A4CE" w:rsidR="004C49EF" w:rsidRPr="00AC6F32" w:rsidRDefault="005A0C34" w:rsidP="00526478">
            <w:pPr>
              <w:rPr>
                <w:szCs w:val="20"/>
              </w:rPr>
            </w:pPr>
            <w:r w:rsidRPr="00AC6F32">
              <w:rPr>
                <w:szCs w:val="20"/>
              </w:rPr>
              <w:t>Prospective, multi-centre randomised, crossover study including 100 participants.</w:t>
            </w:r>
          </w:p>
        </w:tc>
        <w:tc>
          <w:tcPr>
            <w:tcW w:w="1013" w:type="pct"/>
          </w:tcPr>
          <w:p w14:paraId="31121E2C" w14:textId="20BF89BC" w:rsidR="004C49EF" w:rsidRPr="00AC6F32" w:rsidRDefault="005A0C34" w:rsidP="00526478">
            <w:pPr>
              <w:rPr>
                <w:szCs w:val="20"/>
              </w:rPr>
            </w:pPr>
            <w:r w:rsidRPr="00AC6F32">
              <w:rPr>
                <w:szCs w:val="20"/>
              </w:rPr>
              <w:t xml:space="preserve">Effect of Upper Airway Stimulation in Patients with Obstructive Sleep Apnea (EFFECT) </w:t>
            </w:r>
          </w:p>
          <w:p w14:paraId="6975355A" w14:textId="1153535A" w:rsidR="005A0C34" w:rsidRPr="00AC6F32" w:rsidRDefault="005A0C34" w:rsidP="00526478">
            <w:pPr>
              <w:rPr>
                <w:szCs w:val="20"/>
              </w:rPr>
            </w:pPr>
            <w:r w:rsidRPr="00AC6F32">
              <w:rPr>
                <w:szCs w:val="20"/>
              </w:rPr>
              <w:t>ClincialTrials.gov Identifier: NCT03760328</w:t>
            </w:r>
          </w:p>
        </w:tc>
        <w:tc>
          <w:tcPr>
            <w:tcW w:w="1169" w:type="pct"/>
          </w:tcPr>
          <w:p w14:paraId="508CB4D5" w14:textId="6317CA8F" w:rsidR="004C49EF" w:rsidRPr="00AC6F32" w:rsidRDefault="005A0C34" w:rsidP="00526478">
            <w:pPr>
              <w:rPr>
                <w:szCs w:val="20"/>
              </w:rPr>
            </w:pPr>
            <w:r w:rsidRPr="00AC6F32">
              <w:rPr>
                <w:szCs w:val="20"/>
              </w:rPr>
              <w:t>Patients will be enrolled following 6 months of being implanted with the Inspire device.  Patients will then be randomised to either therapeutic stimulation or sham stimulation.  During the second phase the of the study the therapy settings will be crossed over</w:t>
            </w:r>
          </w:p>
        </w:tc>
        <w:tc>
          <w:tcPr>
            <w:tcW w:w="1073" w:type="pct"/>
          </w:tcPr>
          <w:p w14:paraId="410221E0" w14:textId="52182D97" w:rsidR="004C49EF" w:rsidRPr="00E90A29" w:rsidRDefault="00AC6F32" w:rsidP="00526478">
            <w:pPr>
              <w:rPr>
                <w:b/>
                <w:color w:val="0070C0"/>
                <w:szCs w:val="20"/>
              </w:rPr>
            </w:pPr>
            <w:hyperlink r:id="rId20" w:history="1">
              <w:r w:rsidR="00E8445B" w:rsidRPr="00E90A29">
                <w:rPr>
                  <w:rStyle w:val="Hyperlink"/>
                  <w:b/>
                  <w:color w:val="0070C0"/>
                  <w:szCs w:val="20"/>
                </w:rPr>
                <w:t>NCT03760328</w:t>
              </w:r>
            </w:hyperlink>
          </w:p>
        </w:tc>
        <w:tc>
          <w:tcPr>
            <w:tcW w:w="524" w:type="pct"/>
          </w:tcPr>
          <w:p w14:paraId="09DA67B1" w14:textId="6D094565" w:rsidR="004C49EF" w:rsidRPr="00AC6F32" w:rsidRDefault="00E8445B" w:rsidP="00526478">
            <w:pPr>
              <w:rPr>
                <w:szCs w:val="20"/>
              </w:rPr>
            </w:pPr>
            <w:r w:rsidRPr="00AC6F32">
              <w:rPr>
                <w:szCs w:val="20"/>
              </w:rPr>
              <w:t>Anticipated June or July 2021</w:t>
            </w:r>
          </w:p>
        </w:tc>
      </w:tr>
      <w:tr w:rsidR="004C49EF" w14:paraId="21E96E6E" w14:textId="77777777" w:rsidTr="00E8445B">
        <w:trPr>
          <w:cantSplit/>
        </w:trPr>
        <w:tc>
          <w:tcPr>
            <w:tcW w:w="326" w:type="pct"/>
          </w:tcPr>
          <w:p w14:paraId="215D15D3" w14:textId="77777777" w:rsidR="004C49EF" w:rsidRPr="00965B6B" w:rsidRDefault="004C49EF" w:rsidP="00526478">
            <w:pPr>
              <w:rPr>
                <w:szCs w:val="20"/>
              </w:rPr>
            </w:pPr>
            <w:r>
              <w:rPr>
                <w:szCs w:val="20"/>
              </w:rPr>
              <w:t>2.</w:t>
            </w:r>
          </w:p>
        </w:tc>
        <w:tc>
          <w:tcPr>
            <w:tcW w:w="895" w:type="pct"/>
          </w:tcPr>
          <w:p w14:paraId="0B1B0B42" w14:textId="500AC2CB" w:rsidR="004C49EF" w:rsidRPr="00AC6F32" w:rsidRDefault="001E4746" w:rsidP="00526478">
            <w:pPr>
              <w:rPr>
                <w:szCs w:val="20"/>
              </w:rPr>
            </w:pPr>
            <w:r w:rsidRPr="00AC6F32">
              <w:rPr>
                <w:szCs w:val="20"/>
              </w:rPr>
              <w:t xml:space="preserve">Double-blind sham-controlled randomised crossover trial of 10 weeks duration. </w:t>
            </w:r>
          </w:p>
        </w:tc>
        <w:tc>
          <w:tcPr>
            <w:tcW w:w="1013" w:type="pct"/>
          </w:tcPr>
          <w:p w14:paraId="033BB5F8" w14:textId="77777777" w:rsidR="004C49EF" w:rsidRPr="00AC6F32" w:rsidRDefault="001E4746" w:rsidP="00526478">
            <w:pPr>
              <w:rPr>
                <w:szCs w:val="20"/>
              </w:rPr>
            </w:pPr>
            <w:r w:rsidRPr="00AC6F32">
              <w:rPr>
                <w:szCs w:val="20"/>
              </w:rPr>
              <w:t>Cardiovascular endpoints for obstructive sleep apnea with 12</w:t>
            </w:r>
            <w:r w:rsidRPr="00AC6F32">
              <w:rPr>
                <w:szCs w:val="20"/>
                <w:vertAlign w:val="superscript"/>
              </w:rPr>
              <w:t>th</w:t>
            </w:r>
            <w:r w:rsidRPr="00AC6F32">
              <w:rPr>
                <w:szCs w:val="20"/>
              </w:rPr>
              <w:t xml:space="preserve"> cranial nerve stimulation (CARDIOSA-12)</w:t>
            </w:r>
          </w:p>
          <w:p w14:paraId="278BA105" w14:textId="60261A3A" w:rsidR="001E4746" w:rsidRPr="00AC6F32" w:rsidRDefault="001E4746" w:rsidP="00526478">
            <w:pPr>
              <w:rPr>
                <w:szCs w:val="20"/>
              </w:rPr>
            </w:pPr>
            <w:r w:rsidRPr="00AC6F32">
              <w:rPr>
                <w:szCs w:val="20"/>
              </w:rPr>
              <w:t>ClincialTrials.gov Identifier: NCT03359096</w:t>
            </w:r>
          </w:p>
        </w:tc>
        <w:tc>
          <w:tcPr>
            <w:tcW w:w="1169" w:type="pct"/>
          </w:tcPr>
          <w:p w14:paraId="32ACFF94" w14:textId="7527621E" w:rsidR="004C49EF" w:rsidRPr="00AC6F32" w:rsidRDefault="001E4746" w:rsidP="00526478">
            <w:pPr>
              <w:rPr>
                <w:szCs w:val="20"/>
              </w:rPr>
            </w:pPr>
            <w:r w:rsidRPr="00AC6F32">
              <w:rPr>
                <w:szCs w:val="20"/>
              </w:rPr>
              <w:t>Patients will be assigned to active or sham HGNS therapy. Primary outcome is 24 -hour ambulatory blood pressure. Secondary outcome is diastolic BP, nocturnal systolic and diastolic BP, sympathetic nerve activity, pre-ejection period, flow-mediated dilation and pulse wave velocity</w:t>
            </w:r>
          </w:p>
        </w:tc>
        <w:tc>
          <w:tcPr>
            <w:tcW w:w="1073" w:type="pct"/>
          </w:tcPr>
          <w:p w14:paraId="31D5A489" w14:textId="7D136381" w:rsidR="004C49EF" w:rsidRPr="00E82F54" w:rsidRDefault="00AC6F32" w:rsidP="00526478">
            <w:pPr>
              <w:rPr>
                <w:b/>
                <w:szCs w:val="20"/>
              </w:rPr>
            </w:pPr>
            <w:hyperlink r:id="rId21" w:history="1">
              <w:r w:rsidR="00E65DF6" w:rsidRPr="00AC6F32">
                <w:rPr>
                  <w:rStyle w:val="Hyperlink"/>
                  <w:b/>
                  <w:color w:val="0070C0"/>
                  <w:szCs w:val="20"/>
                </w:rPr>
                <w:t>NCT0335906</w:t>
              </w:r>
            </w:hyperlink>
          </w:p>
        </w:tc>
        <w:tc>
          <w:tcPr>
            <w:tcW w:w="524" w:type="pct"/>
          </w:tcPr>
          <w:p w14:paraId="6C15F874" w14:textId="066B6E67" w:rsidR="004C49EF" w:rsidRPr="00AC6F32" w:rsidRDefault="00DA66DF" w:rsidP="00526478">
            <w:pPr>
              <w:rPr>
                <w:bCs/>
                <w:szCs w:val="20"/>
              </w:rPr>
            </w:pPr>
            <w:r w:rsidRPr="00AC6F32">
              <w:rPr>
                <w:bCs/>
              </w:rPr>
              <w:t>2021</w:t>
            </w:r>
          </w:p>
        </w:tc>
      </w:tr>
    </w:tbl>
    <w:p w14:paraId="5D154FD8" w14:textId="77777777"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14:paraId="15A4F521" w14:textId="77777777" w:rsidR="00E82F54" w:rsidRPr="00C776B1" w:rsidRDefault="005C3AE7" w:rsidP="0056015F">
      <w:pPr>
        <w:pStyle w:val="Heading1"/>
      </w:pPr>
      <w:r>
        <w:lastRenderedPageBreak/>
        <w:t>PART 5</w:t>
      </w:r>
      <w:r w:rsidR="00F93784">
        <w:t xml:space="preserve"> – </w:t>
      </w:r>
      <w:r w:rsidR="00E82F54" w:rsidRPr="00C776B1">
        <w:t>CLINICAL ENDORSEMENT AND CONSUMER INFORMATION</w:t>
      </w:r>
    </w:p>
    <w:p w14:paraId="745CA1E4"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20BB9CCB" w14:textId="5B59679D" w:rsidR="00A727B6" w:rsidRPr="00A727B6" w:rsidRDefault="00D54ECB" w:rsidP="00A727B6">
      <w:pPr>
        <w:ind w:left="426"/>
      </w:pPr>
      <w:r>
        <w:t>Australasian Sleep Association</w:t>
      </w:r>
    </w:p>
    <w:p w14:paraId="587AE00D" w14:textId="182EB642" w:rsidR="00EA173C"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5312D1D9" w14:textId="2F5939B4" w:rsidR="00D54ECB" w:rsidRPr="00D54ECB" w:rsidRDefault="00D54ECB" w:rsidP="00D54ECB">
      <w:pPr>
        <w:ind w:left="360"/>
      </w:pPr>
      <w:r>
        <w:t>Royal Australian College of Physicians (Respiratory Medical and Sleep Medicine)</w:t>
      </w:r>
    </w:p>
    <w:p w14:paraId="73452F3B" w14:textId="74023C9D" w:rsidR="00E82F54" w:rsidRDefault="00E82F54" w:rsidP="00530204">
      <w:pPr>
        <w:pStyle w:val="Heading2"/>
      </w:pPr>
      <w:r w:rsidRPr="00154B00">
        <w:t>List the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14DC41EF" w14:textId="1A5A2071" w:rsidR="00D54ECB" w:rsidRPr="00D54ECB" w:rsidRDefault="00D54ECB" w:rsidP="00D54ECB">
      <w:pPr>
        <w:ind w:left="360"/>
      </w:pPr>
      <w:r>
        <w:t xml:space="preserve">Sleep Health </w:t>
      </w:r>
      <w:r w:rsidRPr="00D73CCB">
        <w:rPr>
          <w:color w:val="000000" w:themeColor="text1"/>
        </w:rPr>
        <w:t>Foundation was the only group that was identified.  They are a charitable organisation and are not representative of consumers</w:t>
      </w:r>
      <w:r w:rsidR="002F5350">
        <w:rPr>
          <w:color w:val="000000" w:themeColor="text1"/>
        </w:rPr>
        <w:t>.</w:t>
      </w:r>
    </w:p>
    <w:p w14:paraId="52A4E7C2"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1B5BE687" w14:textId="1242AA73" w:rsidR="00EE6450" w:rsidRPr="00E90A29" w:rsidRDefault="00D54ECB" w:rsidP="00EE6450">
      <w:pPr>
        <w:ind w:left="426"/>
        <w:rPr>
          <w:color w:val="0070C0"/>
          <w:szCs w:val="20"/>
        </w:rPr>
      </w:pPr>
      <w:r w:rsidRPr="00E90A29">
        <w:rPr>
          <w:color w:val="0070C0"/>
          <w:szCs w:val="20"/>
        </w:rPr>
        <w:lastRenderedPageBreak/>
        <w:t>Liva Nova, Apnex Medical supply hypoglossal nerve stimulators, however these are ‘open loop’ systems without a respiratory sensing lead.  Nyxoah also supplies a hypoglossal nerve stimulator which is open loop and employs an external activation chip. To our knowledge none of these devices are currently available for sale in Australia</w:t>
      </w:r>
    </w:p>
    <w:p w14:paraId="4B2C6047" w14:textId="2C5D8520" w:rsidR="00A96329" w:rsidRPr="00A96329" w:rsidRDefault="00E82F54" w:rsidP="00A96329">
      <w:pPr>
        <w:pStyle w:val="Heading2"/>
      </w:pPr>
      <w:r w:rsidRPr="00154B00">
        <w:t>Nominate two experts who could be approached about the proposed medical service and the current clinical management of the service(s):</w:t>
      </w:r>
    </w:p>
    <w:p w14:paraId="00765159" w14:textId="47EB07D1" w:rsidR="00987ABE" w:rsidRPr="00AC6F32" w:rsidRDefault="00987ABE" w:rsidP="00987ABE">
      <w:pPr>
        <w:ind w:left="426"/>
        <w:rPr>
          <w:szCs w:val="20"/>
        </w:rPr>
      </w:pPr>
      <w:r w:rsidRPr="00AC6F32">
        <w:rPr>
          <w:szCs w:val="20"/>
        </w:rPr>
        <w:t xml:space="preserve">Name of expert 1: </w:t>
      </w:r>
      <w:r w:rsidR="000B61CF" w:rsidRPr="00AC6F32">
        <w:rPr>
          <w:b/>
          <w:bCs/>
        </w:rPr>
        <w:t>REDACTED</w:t>
      </w:r>
    </w:p>
    <w:p w14:paraId="561B76BB" w14:textId="2AFB5DE6" w:rsidR="00987ABE" w:rsidRPr="00AC6F32" w:rsidRDefault="00987ABE" w:rsidP="00987ABE">
      <w:pPr>
        <w:ind w:left="426"/>
        <w:rPr>
          <w:szCs w:val="20"/>
        </w:rPr>
      </w:pPr>
      <w:r w:rsidRPr="00AC6F32">
        <w:rPr>
          <w:szCs w:val="20"/>
        </w:rPr>
        <w:t xml:space="preserve">Telephone number(s): </w:t>
      </w:r>
      <w:r w:rsidR="000B61CF" w:rsidRPr="00AC6F32">
        <w:rPr>
          <w:b/>
          <w:bCs/>
        </w:rPr>
        <w:t>REDACTED</w:t>
      </w:r>
    </w:p>
    <w:p w14:paraId="76A6D500" w14:textId="19585BD5" w:rsidR="00987ABE" w:rsidRPr="00AC6F32" w:rsidRDefault="00987ABE" w:rsidP="00987ABE">
      <w:pPr>
        <w:ind w:left="426"/>
        <w:rPr>
          <w:szCs w:val="20"/>
        </w:rPr>
      </w:pPr>
      <w:r w:rsidRPr="00AC6F32">
        <w:rPr>
          <w:szCs w:val="20"/>
        </w:rPr>
        <w:t xml:space="preserve">Email address: </w:t>
      </w:r>
      <w:r w:rsidR="000B61CF" w:rsidRPr="00AC6F32">
        <w:rPr>
          <w:b/>
          <w:bCs/>
        </w:rPr>
        <w:t>REDACTED</w:t>
      </w:r>
    </w:p>
    <w:p w14:paraId="794649F9" w14:textId="6E027F9C" w:rsidR="00987ABE" w:rsidRPr="00AC6F32" w:rsidRDefault="00987ABE" w:rsidP="00987ABE">
      <w:pPr>
        <w:ind w:left="426"/>
        <w:rPr>
          <w:szCs w:val="20"/>
        </w:rPr>
      </w:pPr>
      <w:r w:rsidRPr="00AC6F32">
        <w:rPr>
          <w:szCs w:val="20"/>
        </w:rPr>
        <w:t xml:space="preserve">Justification of expertise: </w:t>
      </w:r>
      <w:r w:rsidR="00AC6F32" w:rsidRPr="00AC6F32">
        <w:rPr>
          <w:b/>
          <w:bCs/>
        </w:rPr>
        <w:t>REDACTED</w:t>
      </w:r>
    </w:p>
    <w:p w14:paraId="1890C1BB" w14:textId="77777777" w:rsidR="00987ABE" w:rsidRPr="00AC6F32" w:rsidRDefault="00987ABE" w:rsidP="00987ABE">
      <w:pPr>
        <w:ind w:left="426"/>
        <w:rPr>
          <w:szCs w:val="20"/>
        </w:rPr>
      </w:pPr>
    </w:p>
    <w:p w14:paraId="0464E88C" w14:textId="10531CFF" w:rsidR="00987ABE" w:rsidRPr="00AC6F32" w:rsidRDefault="00987ABE" w:rsidP="00987ABE">
      <w:pPr>
        <w:ind w:left="426"/>
        <w:rPr>
          <w:szCs w:val="20"/>
        </w:rPr>
      </w:pPr>
      <w:r w:rsidRPr="00AC6F32">
        <w:rPr>
          <w:szCs w:val="20"/>
        </w:rPr>
        <w:t xml:space="preserve">Name of expert 2: </w:t>
      </w:r>
      <w:r w:rsidR="000B61CF" w:rsidRPr="00AC6F32">
        <w:rPr>
          <w:b/>
          <w:bCs/>
        </w:rPr>
        <w:t>REDACTED</w:t>
      </w:r>
    </w:p>
    <w:p w14:paraId="2E39EC85" w14:textId="262D25B9" w:rsidR="00987ABE" w:rsidRPr="00AC6F32" w:rsidRDefault="00987ABE" w:rsidP="00987ABE">
      <w:pPr>
        <w:ind w:left="426"/>
        <w:rPr>
          <w:szCs w:val="20"/>
        </w:rPr>
      </w:pPr>
      <w:r w:rsidRPr="00AC6F32">
        <w:rPr>
          <w:szCs w:val="20"/>
        </w:rPr>
        <w:t xml:space="preserve">Telephone number(s): </w:t>
      </w:r>
      <w:r w:rsidR="000B61CF" w:rsidRPr="00AC6F32">
        <w:rPr>
          <w:b/>
          <w:bCs/>
        </w:rPr>
        <w:t>REDACTED</w:t>
      </w:r>
    </w:p>
    <w:p w14:paraId="7F3383DA" w14:textId="011DCBF0" w:rsidR="00987ABE" w:rsidRPr="00AC6F32" w:rsidRDefault="00987ABE" w:rsidP="00987ABE">
      <w:pPr>
        <w:ind w:left="426"/>
        <w:rPr>
          <w:szCs w:val="20"/>
        </w:rPr>
      </w:pPr>
      <w:r w:rsidRPr="00AC6F32">
        <w:rPr>
          <w:szCs w:val="20"/>
        </w:rPr>
        <w:t xml:space="preserve">Email address: </w:t>
      </w:r>
      <w:r w:rsidR="000B61CF" w:rsidRPr="00AC6F32">
        <w:rPr>
          <w:b/>
          <w:bCs/>
        </w:rPr>
        <w:t>REDACTED</w:t>
      </w:r>
    </w:p>
    <w:p w14:paraId="669730DE" w14:textId="0024CEF0" w:rsidR="00987ABE" w:rsidRPr="00AC6F32" w:rsidRDefault="00987ABE" w:rsidP="00AC6F32">
      <w:pPr>
        <w:ind w:left="426"/>
        <w:rPr>
          <w:szCs w:val="20"/>
        </w:rPr>
      </w:pPr>
      <w:r w:rsidRPr="00AC6F32">
        <w:rPr>
          <w:szCs w:val="20"/>
        </w:rPr>
        <w:t xml:space="preserve">Justification of expertise: </w:t>
      </w:r>
      <w:r w:rsidR="000B61CF" w:rsidRPr="00AC6F32">
        <w:rPr>
          <w:b/>
          <w:bCs/>
        </w:rPr>
        <w:t>REDACTED</w:t>
      </w:r>
    </w:p>
    <w:p w14:paraId="4E9BA188" w14:textId="77777777" w:rsidR="003433D1" w:rsidRDefault="003433D1">
      <w:pPr>
        <w:rPr>
          <w:b/>
          <w:sz w:val="32"/>
          <w:szCs w:val="32"/>
        </w:rPr>
      </w:pPr>
      <w:r>
        <w:rPr>
          <w:b/>
          <w:sz w:val="32"/>
          <w:szCs w:val="32"/>
        </w:rPr>
        <w:br w:type="page"/>
      </w:r>
    </w:p>
    <w:p w14:paraId="4390ACB5" w14:textId="77777777" w:rsidR="00E82F54" w:rsidRPr="00EA173C" w:rsidRDefault="00F93784" w:rsidP="0056015F">
      <w:pPr>
        <w:pStyle w:val="Heading1"/>
      </w:pPr>
      <w:r>
        <w:lastRenderedPageBreak/>
        <w:t>PAR</w:t>
      </w:r>
      <w:r w:rsidR="005C3AE7">
        <w:t>T 6</w:t>
      </w:r>
      <w:r>
        <w:t xml:space="preserve"> – POPULATION</w:t>
      </w:r>
      <w:r w:rsidR="000525BC">
        <w:t xml:space="preserve"> (AND PRIOR TESTS)</w:t>
      </w:r>
      <w:r>
        <w:t xml:space="preserve">, </w:t>
      </w:r>
      <w:r w:rsidR="00CC5AB1">
        <w:t>INTERVENTION</w:t>
      </w:r>
      <w:r>
        <w:t>, COMPARATOR, OUTCOME (PICO)</w:t>
      </w:r>
    </w:p>
    <w:p w14:paraId="203E6E7A" w14:textId="77777777" w:rsidR="0021185D" w:rsidRPr="005C3AE7" w:rsidRDefault="005C3AE7" w:rsidP="005C3AE7">
      <w:pPr>
        <w:pStyle w:val="Subtitle"/>
      </w:pPr>
      <w:r w:rsidRPr="005C3AE7">
        <w:t xml:space="preserve">PART 6a – </w:t>
      </w:r>
      <w:r w:rsidR="0021185D" w:rsidRPr="005C3AE7">
        <w:t>INFORMATION ABOUT THE PROPOSED POPULATION</w:t>
      </w:r>
    </w:p>
    <w:p w14:paraId="1621062E" w14:textId="1D386C88" w:rsidR="0021185D"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1B80D2E5" w14:textId="77777777" w:rsidR="00CB062C" w:rsidRPr="00AC6F32" w:rsidRDefault="002F5350" w:rsidP="002F5350">
      <w:pPr>
        <w:ind w:left="360"/>
        <w:rPr>
          <w:szCs w:val="20"/>
        </w:rPr>
      </w:pPr>
      <w:r>
        <w:rPr>
          <w:szCs w:val="20"/>
        </w:rPr>
        <w:t>The Inspire</w:t>
      </w:r>
      <w:r>
        <w:rPr>
          <w:rFonts w:cstheme="minorHAnsi"/>
          <w:szCs w:val="20"/>
        </w:rPr>
        <w:t>®</w:t>
      </w:r>
      <w:r>
        <w:rPr>
          <w:szCs w:val="20"/>
        </w:rPr>
        <w:t xml:space="preserve"> Upper Airways Stimulation (UAS) System is intended to be used in adult patients who have been confirmed to have moderate to severe obstructive sleep apnoea (OSA) and who have also been confirmed to have failed or cannot tolerate continuous positive airways pressure (CPAP) therapy or bi-level positive airway pressure (BIPAP) therapy and who do not have concentric collapse at the soft palate </w:t>
      </w:r>
      <w:r w:rsidRPr="00AC6F32">
        <w:rPr>
          <w:szCs w:val="20"/>
        </w:rPr>
        <w:t>level</w:t>
      </w:r>
      <w:r w:rsidR="00CB062C" w:rsidRPr="00AC6F32">
        <w:rPr>
          <w:szCs w:val="20"/>
        </w:rPr>
        <w:t xml:space="preserve"> and are currently untreated.</w:t>
      </w:r>
      <w:r w:rsidRPr="00AC6F32">
        <w:rPr>
          <w:szCs w:val="20"/>
        </w:rPr>
        <w:t xml:space="preserve"> </w:t>
      </w:r>
    </w:p>
    <w:p w14:paraId="1AB957B0" w14:textId="14734B5B" w:rsidR="002F5350" w:rsidRPr="00AC6F32" w:rsidRDefault="00CB062C" w:rsidP="002F5350">
      <w:pPr>
        <w:ind w:left="360"/>
        <w:rPr>
          <w:szCs w:val="20"/>
        </w:rPr>
      </w:pPr>
      <w:r w:rsidRPr="00AC6F32">
        <w:rPr>
          <w:szCs w:val="20"/>
        </w:rPr>
        <w:t xml:space="preserve">Most patients who would seek closed loop UAS are likely to remain untreated if closed loop UAS was not available. MSAC expressed concern that the potential population would be quite </w:t>
      </w:r>
      <w:r w:rsidRPr="00AC6F32">
        <w:rPr>
          <w:szCs w:val="20"/>
        </w:rPr>
        <w:lastRenderedPageBreak/>
        <w:t>large. We have suggested the modification of ‘currently remain untreated’ to more accurately target the likely population for closed loop UAS in Australia.</w:t>
      </w:r>
    </w:p>
    <w:p w14:paraId="5365B322" w14:textId="77777777" w:rsidR="002F5350" w:rsidRDefault="002F5350" w:rsidP="002F5350">
      <w:pPr>
        <w:ind w:left="360"/>
        <w:rPr>
          <w:szCs w:val="20"/>
        </w:rPr>
      </w:pPr>
      <w:r>
        <w:rPr>
          <w:szCs w:val="20"/>
        </w:rPr>
        <w:t xml:space="preserve">Moderate to severe OSA is defined as having an Apnoea Hypopnea Index (AHI) of greater than or equal to 15 and less than or equal to 65. AHI measures the number of apnoea episodes per hour of sleep. Failure of continuous positive airway pressure (CPAP) therapies is defined as an inability to eliminate OSA (AHI of greater than 20 despite CPAP usage) and CPAP intolerance is defined as </w:t>
      </w:r>
    </w:p>
    <w:p w14:paraId="7F960207" w14:textId="77777777" w:rsidR="002F5350" w:rsidRDefault="002F5350" w:rsidP="002F5350">
      <w:pPr>
        <w:ind w:left="720"/>
        <w:rPr>
          <w:szCs w:val="20"/>
        </w:rPr>
      </w:pPr>
      <w:r>
        <w:rPr>
          <w:szCs w:val="20"/>
        </w:rPr>
        <w:t>1. Inability to use CPAP (greater than 5 nights per week of usage: usage defined as greater than 4-hours of use per night), or</w:t>
      </w:r>
    </w:p>
    <w:p w14:paraId="38D8CF37" w14:textId="77777777" w:rsidR="002F5350" w:rsidRDefault="002F5350" w:rsidP="002F5350">
      <w:pPr>
        <w:ind w:left="360"/>
        <w:rPr>
          <w:szCs w:val="20"/>
        </w:rPr>
      </w:pPr>
      <w:r>
        <w:rPr>
          <w:szCs w:val="20"/>
        </w:rPr>
        <w:tab/>
        <w:t>2. Unwillingness to use CPAP (for example, a patient returns the CPAP system after attempting to use it).</w:t>
      </w:r>
    </w:p>
    <w:p w14:paraId="70923071" w14:textId="77777777" w:rsidR="002F5350" w:rsidRDefault="002F5350" w:rsidP="002F5350">
      <w:pPr>
        <w:ind w:left="360"/>
        <w:rPr>
          <w:szCs w:val="20"/>
        </w:rPr>
      </w:pPr>
      <w:r>
        <w:rPr>
          <w:szCs w:val="20"/>
        </w:rPr>
        <w:t xml:space="preserve">OSA is a disorder of sleep which is characterised by repeated upper airway obstructions during the night, with resultant oxygen desaturations and arousals. OSA occurs when breathing is repetitively interrupted during sleep due to collapse of the upper airway.  An apnoea is defined as a complete cessation of breathing lasting 10 seconds or greater. Approximately 10% of middle-aged men and 5% of middle-aged women in the general population are likely to have OSA (defined as &gt; 10 obstructed breathing </w:t>
      </w:r>
      <w:r>
        <w:rPr>
          <w:szCs w:val="20"/>
        </w:rPr>
        <w:lastRenderedPageBreak/>
        <w:t>events/hour of sleep)</w:t>
      </w:r>
      <w:r>
        <w:rPr>
          <w:rStyle w:val="FootnoteReference"/>
        </w:rPr>
        <w:footnoteReference w:id="1"/>
      </w:r>
      <w:r>
        <w:rPr>
          <w:szCs w:val="20"/>
        </w:rPr>
        <w:t>. Deloitte Access Economics</w:t>
      </w:r>
      <w:r>
        <w:rPr>
          <w:rStyle w:val="FootnoteReference"/>
        </w:rPr>
        <w:footnoteReference w:id="2"/>
      </w:r>
      <w:r>
        <w:rPr>
          <w:szCs w:val="20"/>
        </w:rPr>
        <w:t xml:space="preserve"> estimated in 2011 the Australian prevalence of OSA with </w:t>
      </w:r>
      <w:r>
        <w:rPr>
          <w:rFonts w:cstheme="minorHAnsi"/>
          <w:szCs w:val="20"/>
        </w:rPr>
        <w:t>≥</w:t>
      </w:r>
      <w:r>
        <w:rPr>
          <w:szCs w:val="20"/>
        </w:rPr>
        <w:t xml:space="preserve"> 15 AHI to be 2.2% for women, 7.2% for men with an overall prevalence of 4.7%. The Sleep Health Survey of Australian Adults in 2016</w:t>
      </w:r>
      <w:r>
        <w:rPr>
          <w:rStyle w:val="FootnoteReference"/>
        </w:rPr>
        <w:footnoteReference w:id="3"/>
      </w:r>
      <w:r>
        <w:rPr>
          <w:szCs w:val="20"/>
        </w:rPr>
        <w:t xml:space="preserve"> estimates that doctor diagnosed sleep apnoea is 8.3% overall (men-12.9% and women 3.7%).</w:t>
      </w:r>
    </w:p>
    <w:p w14:paraId="18A854A2" w14:textId="64F2065A" w:rsidR="002F5350" w:rsidRPr="00AC6F32" w:rsidRDefault="002F5350" w:rsidP="00AC6F32">
      <w:pPr>
        <w:ind w:left="360"/>
        <w:rPr>
          <w:szCs w:val="20"/>
        </w:rPr>
      </w:pPr>
      <w:r>
        <w:rPr>
          <w:szCs w:val="20"/>
        </w:rPr>
        <w:t xml:space="preserve">Cross sectional and longitudinal studies have suggested that moderate to severe OSA is independently associated with greater risk of all-cause mortality </w:t>
      </w:r>
      <w:r w:rsidRPr="00914DC9">
        <w:rPr>
          <w:szCs w:val="20"/>
        </w:rPr>
        <w:t>after adjustment for age, gender, mean arterial pressure, total cholesterol, high density lipo-protein cholesterol, body mass, diabetes, angina and smoking status</w:t>
      </w:r>
      <w:r>
        <w:rPr>
          <w:rStyle w:val="FootnoteReference"/>
        </w:rPr>
        <w:footnoteReference w:id="4"/>
      </w:r>
      <w:r>
        <w:rPr>
          <w:szCs w:val="20"/>
        </w:rPr>
        <w:t xml:space="preserve"> and a </w:t>
      </w:r>
      <w:r>
        <w:rPr>
          <w:szCs w:val="20"/>
        </w:rPr>
        <w:lastRenderedPageBreak/>
        <w:t>higher incidence of fatal and non-fatal cardiovascular events in patients with severe disease</w:t>
      </w:r>
      <w:r>
        <w:rPr>
          <w:rStyle w:val="FootnoteReference"/>
        </w:rPr>
        <w:footnoteReference w:id="5"/>
      </w:r>
      <w:r>
        <w:rPr>
          <w:szCs w:val="20"/>
        </w:rPr>
        <w:t>. OSA is also associated with daytime sleepiness and an increased incidence of road accidents</w:t>
      </w:r>
      <w:r>
        <w:rPr>
          <w:rStyle w:val="FootnoteReference"/>
        </w:rPr>
        <w:footnoteReference w:id="6"/>
      </w:r>
      <w:r>
        <w:rPr>
          <w:szCs w:val="20"/>
        </w:rPr>
        <w:t xml:space="preserve">. Overall OSA that is unable to be treated by CPAP represents a significant societal burden.   </w:t>
      </w:r>
    </w:p>
    <w:p w14:paraId="163A844F" w14:textId="77777777" w:rsidR="00AA5FDA" w:rsidRPr="00154B00" w:rsidRDefault="00AA5FDA" w:rsidP="00530204">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01A1C9DF" w14:textId="62771FDC" w:rsidR="00ED5277" w:rsidRPr="00ED5277" w:rsidRDefault="00ED5277" w:rsidP="00ED5277">
      <w:pPr>
        <w:ind w:left="426"/>
        <w:rPr>
          <w:szCs w:val="20"/>
        </w:rPr>
      </w:pPr>
      <w:r w:rsidRPr="00ED5277">
        <w:rPr>
          <w:szCs w:val="20"/>
        </w:rPr>
        <w:t xml:space="preserve">OSA is more likely to occur in men than in women with a variety of prevalence studies consistently finding the disorder is more common in men.  An Australian study, of men only, found that OSA was associated with older age, obesity, chronic obstructive airways disease, diabetes, asthma, hypercholesterolemia, and hypertension, and other lifestyle related disorders.  There are no specific item numbers on the Medical Benefits Schedule for the </w:t>
      </w:r>
      <w:r w:rsidRPr="00ED5277">
        <w:rPr>
          <w:szCs w:val="20"/>
        </w:rPr>
        <w:lastRenderedPageBreak/>
        <w:t xml:space="preserve">treatment of OSA. Therefore, it is difficult to accurately assess the demographic profile of Australians being treated for OSA.  it is also likely that hospital admissions are for sleep investigations rather than treatment of OSA. It is therefore more useful to look at the demographics of those Australians undergoing sleep investigation for demographic detail. </w:t>
      </w:r>
    </w:p>
    <w:p w14:paraId="36CA231D" w14:textId="77777777" w:rsidR="00ED5277" w:rsidRPr="00ED5277" w:rsidRDefault="00ED5277" w:rsidP="00ED5277">
      <w:pPr>
        <w:ind w:left="426"/>
        <w:rPr>
          <w:szCs w:val="20"/>
        </w:rPr>
      </w:pPr>
      <w:r w:rsidRPr="00ED5277">
        <w:rPr>
          <w:szCs w:val="20"/>
        </w:rPr>
        <w:t xml:space="preserve">There are two item numbers that relate to adult sleep investigations.  Although it cannot be at all certain whether these people will receive a diagnosis of OSA, it is nevertheless a snapshot of those seeking treatment for sleep disorders. </w:t>
      </w:r>
    </w:p>
    <w:p w14:paraId="5DF28BBC" w14:textId="6D651F03" w:rsidR="00AA5FDA" w:rsidRPr="00AC6F32" w:rsidRDefault="00ED5277" w:rsidP="00ED5277">
      <w:pPr>
        <w:ind w:left="426"/>
        <w:rPr>
          <w:szCs w:val="20"/>
        </w:rPr>
      </w:pPr>
      <w:r w:rsidRPr="00AC6F32">
        <w:rPr>
          <w:szCs w:val="20"/>
        </w:rPr>
        <w:t>MBS Item 12203 is a Level 1 Sleep Investigation. This item number was claimed 43,385 times in the 2019. 2019 statistics have been used here as many sleep clinics were closed in 2020 due to the COVI</w:t>
      </w:r>
      <w:r w:rsidR="00DE1C8D" w:rsidRPr="00AC6F32">
        <w:rPr>
          <w:szCs w:val="20"/>
        </w:rPr>
        <w:t>D</w:t>
      </w:r>
      <w:r w:rsidRPr="00AC6F32">
        <w:rPr>
          <w:szCs w:val="20"/>
        </w:rPr>
        <w:t xml:space="preserve">-19 pandemic and are likely to be unrepresentative. Please see the demographic distribution below in </w:t>
      </w:r>
      <w:r w:rsidR="003C0800">
        <w:rPr>
          <w:szCs w:val="20"/>
        </w:rPr>
        <w:br/>
      </w:r>
      <w:r w:rsidRPr="00AC6F32">
        <w:rPr>
          <w:szCs w:val="20"/>
        </w:rPr>
        <w:t>Figure 1.</w:t>
      </w:r>
    </w:p>
    <w:p w14:paraId="0E4C34EA" w14:textId="69A8097F" w:rsidR="00ED5277" w:rsidRPr="00AC6F32" w:rsidRDefault="00ED5277" w:rsidP="00ED5277">
      <w:pPr>
        <w:ind w:left="426"/>
        <w:rPr>
          <w:b/>
          <w:bCs/>
          <w:szCs w:val="20"/>
        </w:rPr>
      </w:pPr>
      <w:r w:rsidRPr="00AC6F32">
        <w:rPr>
          <w:b/>
          <w:bCs/>
          <w:szCs w:val="20"/>
        </w:rPr>
        <w:t>Figure 1: Utilisation MBS 12203 in 2019</w:t>
      </w:r>
    </w:p>
    <w:p w14:paraId="2D2FC6F6" w14:textId="6E05BC5E" w:rsidR="00ED5277" w:rsidRDefault="00ED5277" w:rsidP="00ED5277">
      <w:pPr>
        <w:ind w:left="426"/>
        <w:rPr>
          <w:b/>
          <w:bCs/>
          <w:szCs w:val="20"/>
        </w:rPr>
      </w:pPr>
      <w:r>
        <w:rPr>
          <w:noProof/>
          <w:lang w:eastAsia="en-AU"/>
        </w:rPr>
        <w:lastRenderedPageBreak/>
        <w:drawing>
          <wp:inline distT="0" distB="0" distL="0" distR="0" wp14:anchorId="31485D2A" wp14:editId="15DDD83D">
            <wp:extent cx="5731510" cy="3536950"/>
            <wp:effectExtent l="0" t="0" r="2540" b="6350"/>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pic:nvPicPr>
                  <pic:blipFill>
                    <a:blip r:embed="rId22"/>
                    <a:stretch>
                      <a:fillRect/>
                    </a:stretch>
                  </pic:blipFill>
                  <pic:spPr>
                    <a:xfrm>
                      <a:off x="0" y="0"/>
                      <a:ext cx="5731510" cy="3536950"/>
                    </a:xfrm>
                    <a:prstGeom prst="rect">
                      <a:avLst/>
                    </a:prstGeom>
                  </pic:spPr>
                </pic:pic>
              </a:graphicData>
            </a:graphic>
          </wp:inline>
        </w:drawing>
      </w:r>
    </w:p>
    <w:p w14:paraId="6D184713" w14:textId="77B19AF0" w:rsidR="00ED5277" w:rsidRDefault="00E7544B" w:rsidP="00ED5277">
      <w:pPr>
        <w:ind w:left="426"/>
        <w:rPr>
          <w:szCs w:val="20"/>
        </w:rPr>
      </w:pPr>
      <w:r w:rsidRPr="00D71FF5">
        <w:rPr>
          <w:color w:val="4F81BD" w:themeColor="accent1"/>
          <w:szCs w:val="20"/>
        </w:rPr>
        <w:t>MBS item 12250 is for a home sleep apnoea test and was claimed 91,763 times in 2019 and 95,967 times in 2020. Please see Figure 2 for the demographic distribution</w:t>
      </w:r>
      <w:r>
        <w:rPr>
          <w:szCs w:val="20"/>
        </w:rPr>
        <w:t>.</w:t>
      </w:r>
    </w:p>
    <w:p w14:paraId="7F11410F" w14:textId="77777777" w:rsidR="00743A22" w:rsidRDefault="00743A22" w:rsidP="00ED5277">
      <w:pPr>
        <w:ind w:left="426"/>
        <w:rPr>
          <w:b/>
          <w:bCs/>
          <w:szCs w:val="20"/>
        </w:rPr>
      </w:pPr>
    </w:p>
    <w:p w14:paraId="31F7B6D6" w14:textId="77777777" w:rsidR="00743A22" w:rsidRDefault="00743A22" w:rsidP="00ED5277">
      <w:pPr>
        <w:ind w:left="426"/>
        <w:rPr>
          <w:b/>
          <w:bCs/>
          <w:szCs w:val="20"/>
        </w:rPr>
      </w:pPr>
    </w:p>
    <w:p w14:paraId="087535DF" w14:textId="77777777" w:rsidR="00743A22" w:rsidRDefault="00743A22" w:rsidP="00ED5277">
      <w:pPr>
        <w:ind w:left="426"/>
        <w:rPr>
          <w:b/>
          <w:bCs/>
          <w:szCs w:val="20"/>
        </w:rPr>
      </w:pPr>
    </w:p>
    <w:p w14:paraId="091A7FFE" w14:textId="77777777" w:rsidR="00743A22" w:rsidRDefault="00743A22" w:rsidP="00ED5277">
      <w:pPr>
        <w:ind w:left="426"/>
        <w:rPr>
          <w:b/>
          <w:bCs/>
          <w:szCs w:val="20"/>
        </w:rPr>
      </w:pPr>
    </w:p>
    <w:p w14:paraId="7D453819" w14:textId="77777777" w:rsidR="00743A22" w:rsidRDefault="00743A22" w:rsidP="00ED5277">
      <w:pPr>
        <w:ind w:left="426"/>
        <w:rPr>
          <w:b/>
          <w:bCs/>
          <w:szCs w:val="20"/>
        </w:rPr>
      </w:pPr>
    </w:p>
    <w:p w14:paraId="7391DAC7" w14:textId="58ACEE77" w:rsidR="00743A22" w:rsidRPr="00AC6F32" w:rsidRDefault="00743A22" w:rsidP="00ED5277">
      <w:pPr>
        <w:ind w:left="426"/>
        <w:rPr>
          <w:b/>
          <w:bCs/>
          <w:szCs w:val="20"/>
        </w:rPr>
      </w:pPr>
      <w:r w:rsidRPr="00AC6F32">
        <w:rPr>
          <w:b/>
          <w:bCs/>
          <w:szCs w:val="20"/>
        </w:rPr>
        <w:t>Figure 2: Utilisation MBS 12250 in 2019</w:t>
      </w:r>
    </w:p>
    <w:p w14:paraId="351D04CB" w14:textId="715E6129" w:rsidR="00743A22" w:rsidRPr="00743A22" w:rsidRDefault="00743A22" w:rsidP="00ED5277">
      <w:pPr>
        <w:ind w:left="426"/>
        <w:rPr>
          <w:b/>
          <w:bCs/>
          <w:szCs w:val="20"/>
        </w:rPr>
      </w:pPr>
      <w:r w:rsidRPr="00743A22">
        <w:rPr>
          <w:noProof/>
          <w:lang w:eastAsia="en-AU"/>
        </w:rPr>
        <w:lastRenderedPageBreak/>
        <w:drawing>
          <wp:inline distT="0" distB="0" distL="0" distR="0" wp14:anchorId="4CC25D14" wp14:editId="6D6DCC86">
            <wp:extent cx="5731510" cy="3636010"/>
            <wp:effectExtent l="0" t="0" r="2540" b="2540"/>
            <wp:docPr id="3" name="Picture 3" descr="Picture"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31510" cy="3636010"/>
                    </a:xfrm>
                    <a:prstGeom prst="rect">
                      <a:avLst/>
                    </a:prstGeom>
                  </pic:spPr>
                </pic:pic>
              </a:graphicData>
            </a:graphic>
          </wp:inline>
        </w:drawing>
      </w:r>
    </w:p>
    <w:p w14:paraId="3266C638" w14:textId="77777777" w:rsidR="00743A22" w:rsidRPr="00743A22" w:rsidRDefault="00743A22" w:rsidP="00743A22">
      <w:pPr>
        <w:ind w:left="426"/>
        <w:rPr>
          <w:szCs w:val="20"/>
        </w:rPr>
      </w:pPr>
      <w:r w:rsidRPr="00743A22">
        <w:rPr>
          <w:szCs w:val="20"/>
        </w:rPr>
        <w:t>Patients are likely to initially present to a general practitioner (GP) with one or more of a variety of symptoms.  These may include excessive daytime sleepiness, loud snoring, observed episodes of stopped breathing during sleep, abrupt waking with gasping or choking, waking with a dry mouth or sore throat, morning headache, difficulty in concentration, mood changes or depression or irritability, night-time sweating or decreased libido.  The patient may then be referred to a sleep specialist or otherwise a GP may make a referral directly for a diagnostic sleep study when validated screening questionnaires suggest a high pre-test probability for diagnosis of moderate to severe OSA.</w:t>
      </w:r>
    </w:p>
    <w:p w14:paraId="2BCF2E95" w14:textId="7F652466" w:rsidR="00743A22" w:rsidRPr="00AC6F32" w:rsidRDefault="00743A22" w:rsidP="00743A22">
      <w:pPr>
        <w:ind w:left="426"/>
        <w:rPr>
          <w:szCs w:val="20"/>
        </w:rPr>
      </w:pPr>
      <w:r w:rsidRPr="00AC6F32">
        <w:rPr>
          <w:szCs w:val="20"/>
        </w:rPr>
        <w:t xml:space="preserve">The patient is then likely to undergo either a Level 1 sleep investigation (12203) or a Level 2 investigation (12250).  Should the result of the investigation determine that the patient has OSA, then </w:t>
      </w:r>
      <w:r w:rsidRPr="00AC6F32">
        <w:rPr>
          <w:szCs w:val="20"/>
        </w:rPr>
        <w:lastRenderedPageBreak/>
        <w:t>a trial of CPAP is instigated.  Should the trial of CPAP be unsuccessful in eliminating OSA, or the patient is unable to tolerate CPAP, due to claustrophobia or similar reason, a patient may be considered for UAS. In milder cases of OSA, a mandibular advancement splint (MAS) may be trialled and may be more acceptable for some patients.</w:t>
      </w:r>
    </w:p>
    <w:p w14:paraId="66324E92" w14:textId="44784D1D" w:rsidR="00CB062C" w:rsidRPr="00AC6F32" w:rsidRDefault="00CB062C" w:rsidP="00743A22">
      <w:pPr>
        <w:ind w:left="426"/>
        <w:rPr>
          <w:szCs w:val="20"/>
        </w:rPr>
      </w:pPr>
    </w:p>
    <w:p w14:paraId="581ECD2A" w14:textId="1454BD87" w:rsidR="00E7544B" w:rsidRPr="00AC6F32" w:rsidRDefault="00743A22" w:rsidP="00743A22">
      <w:pPr>
        <w:ind w:left="426"/>
        <w:rPr>
          <w:szCs w:val="20"/>
        </w:rPr>
      </w:pPr>
      <w:r w:rsidRPr="00AC6F32">
        <w:rPr>
          <w:szCs w:val="20"/>
        </w:rPr>
        <w:t>Prior to surgery, an endoscopy under sedation must be performed so that the patient’s upper airway anatomy may be observed in a sleep like state. The otalaryngologist is looking for the absence of a complete concentric collapse at the level of the soft palate. Patients with a complete collapse of the soft palate are not suitable for USA.</w:t>
      </w:r>
    </w:p>
    <w:p w14:paraId="11F78DC8" w14:textId="33B3D0EA" w:rsidR="00743A22" w:rsidRPr="00AC6F32" w:rsidRDefault="00743A22" w:rsidP="00743A22">
      <w:pPr>
        <w:ind w:left="426"/>
        <w:rPr>
          <w:szCs w:val="20"/>
        </w:rPr>
      </w:pPr>
      <w:r w:rsidRPr="00AC6F32">
        <w:rPr>
          <w:szCs w:val="20"/>
        </w:rPr>
        <w:t xml:space="preserve">MSAC expressed concern in the PSD for application 1595 that DISE was not a commonly used procedure in Australia.  The applicant intends to </w:t>
      </w:r>
      <w:r w:rsidR="00D71FF5" w:rsidRPr="00AC6F32">
        <w:rPr>
          <w:szCs w:val="20"/>
        </w:rPr>
        <w:t>more thoroughly describe</w:t>
      </w:r>
      <w:r w:rsidRPr="00AC6F32">
        <w:rPr>
          <w:szCs w:val="20"/>
        </w:rPr>
        <w:t xml:space="preserve"> the current use of DISE in Australia and will incorporate this in any re-submission.</w:t>
      </w:r>
    </w:p>
    <w:p w14:paraId="3CE79E9D" w14:textId="6D491888"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283F1DE2" w14:textId="0F0E2ED7" w:rsidR="000A4770" w:rsidRPr="000A4770" w:rsidRDefault="000A4770" w:rsidP="000A4770">
      <w:pPr>
        <w:ind w:left="360"/>
      </w:pPr>
      <w:r w:rsidRPr="000A4770">
        <w:t xml:space="preserve">As noted above patients who would be considered eligible for closed loop UAS with the Inspire® therapy would be likely to present to a General Practitioner.  The patient may then be referred to a sleep physician or may proceed directly to a Level 1 or Level 2 </w:t>
      </w:r>
      <w:r w:rsidRPr="000A4770">
        <w:lastRenderedPageBreak/>
        <w:t>sleep investigation.  Following a diagnosis of moderate to severe sleep apnoea, a patient would undergo a trial of CPA</w:t>
      </w:r>
      <w:r w:rsidR="00DA66DF">
        <w:t>P</w:t>
      </w:r>
      <w:r w:rsidRPr="000A4770">
        <w:t>.</w:t>
      </w:r>
      <w:r>
        <w:t xml:space="preserve"> Some patients with moderate OSA may trial using an MAS.</w:t>
      </w:r>
      <w:r w:rsidRPr="000A4770">
        <w:t xml:space="preserve">  Should CPAP </w:t>
      </w:r>
      <w:r>
        <w:t xml:space="preserve">and/or an MAS </w:t>
      </w:r>
      <w:r w:rsidRPr="000A4770">
        <w:t>be unsuccessful or not tolerated, a patient may be considered for Closed Loop UAS. A drug induced sleep endoscopy (DISE) is conducted to exclude patients who may have a complete concentric collapse of the soft palate.  Once suitability for Closed Loop UAS is confirmed a patient may proceed to implant of the Inspire® device.</w:t>
      </w:r>
    </w:p>
    <w:p w14:paraId="1CBCB56B" w14:textId="032B41CE" w:rsidR="00BC424B" w:rsidRPr="00BC424B" w:rsidRDefault="00BC424B" w:rsidP="00D73646">
      <w:pPr>
        <w:ind w:left="426"/>
      </w:pPr>
    </w:p>
    <w:p w14:paraId="0E888F2F" w14:textId="77777777" w:rsidR="002A50FD" w:rsidRPr="00881F93" w:rsidRDefault="005C3AE7" w:rsidP="00AC6F32">
      <w:pPr>
        <w:pStyle w:val="Subtitle"/>
        <w:ind w:left="0"/>
      </w:pPr>
      <w:r>
        <w:t xml:space="preserve">PART 6b – </w:t>
      </w:r>
      <w:r w:rsidR="002A50FD" w:rsidRPr="00881F93">
        <w:t>INFORMATION ABOUT THE INTERVENTION</w:t>
      </w:r>
    </w:p>
    <w:p w14:paraId="27E9B23A" w14:textId="0FBF81FF" w:rsidR="002A50FD"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5C637142" w14:textId="77777777" w:rsidR="000A4770" w:rsidRDefault="000A4770" w:rsidP="000A4770">
      <w:pPr>
        <w:ind w:left="426"/>
        <w:rPr>
          <w:szCs w:val="20"/>
        </w:rPr>
      </w:pPr>
      <w:r>
        <w:rPr>
          <w:szCs w:val="20"/>
        </w:rPr>
        <w:t>The Inspire</w:t>
      </w:r>
      <w:r>
        <w:rPr>
          <w:rFonts w:cstheme="minorHAnsi"/>
          <w:szCs w:val="20"/>
        </w:rPr>
        <w:t>®</w:t>
      </w:r>
      <w:r>
        <w:rPr>
          <w:szCs w:val="20"/>
        </w:rPr>
        <w:t xml:space="preserve"> System consists of three components, an implantable pulse generator (IPG), a respiratory sensing lead and a stimulation lead. The leads connect to the IPG via two connection ports. Please see </w:t>
      </w:r>
      <w:r w:rsidRPr="00A821B1">
        <w:rPr>
          <w:szCs w:val="20"/>
        </w:rPr>
        <w:t>Figure 1</w:t>
      </w:r>
    </w:p>
    <w:p w14:paraId="6DFCCC3D" w14:textId="77777777" w:rsidR="000A4770" w:rsidRDefault="000A4770" w:rsidP="000A4770">
      <w:pPr>
        <w:ind w:left="426"/>
        <w:jc w:val="center"/>
        <w:rPr>
          <w:b/>
          <w:bCs/>
          <w:szCs w:val="20"/>
        </w:rPr>
      </w:pPr>
      <w:r>
        <w:rPr>
          <w:b/>
          <w:bCs/>
          <w:szCs w:val="20"/>
        </w:rPr>
        <w:t>Figure 1: Inspire IPG and Connector Ports</w:t>
      </w:r>
    </w:p>
    <w:p w14:paraId="16342325" w14:textId="77777777" w:rsidR="000A4770" w:rsidRDefault="000A4770" w:rsidP="000A4770">
      <w:pPr>
        <w:ind w:left="426"/>
        <w:jc w:val="center"/>
        <w:rPr>
          <w:b/>
          <w:bCs/>
          <w:szCs w:val="20"/>
        </w:rPr>
      </w:pPr>
      <w:r w:rsidRPr="00686F24">
        <w:rPr>
          <w:noProof/>
          <w:lang w:eastAsia="en-AU"/>
        </w:rPr>
        <w:drawing>
          <wp:inline distT="0" distB="0" distL="0" distR="0" wp14:anchorId="2F804D68" wp14:editId="36459194">
            <wp:extent cx="2419350" cy="1504950"/>
            <wp:effectExtent l="0" t="0" r="0" b="0"/>
            <wp:docPr id="4" name="Picture 4" descr="Picture" title="Picture">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9350" cy="1504950"/>
                    </a:xfrm>
                    <a:prstGeom prst="rect">
                      <a:avLst/>
                    </a:prstGeom>
                  </pic:spPr>
                </pic:pic>
              </a:graphicData>
            </a:graphic>
          </wp:inline>
        </w:drawing>
      </w:r>
    </w:p>
    <w:p w14:paraId="6934F3F8" w14:textId="1E536800" w:rsidR="000A4770" w:rsidRDefault="000A4770" w:rsidP="000A4770">
      <w:pPr>
        <w:ind w:left="426"/>
        <w:rPr>
          <w:szCs w:val="20"/>
        </w:rPr>
      </w:pPr>
      <w:r>
        <w:rPr>
          <w:szCs w:val="20"/>
        </w:rPr>
        <w:t xml:space="preserve">The respiratory sensing lead detects respiratory effort.  The lead has a pressure-sensitive membrane that converts the mechanical energy of respiration into an electronic signal.  The stimulation </w:t>
      </w:r>
      <w:r>
        <w:rPr>
          <w:szCs w:val="20"/>
        </w:rPr>
        <w:lastRenderedPageBreak/>
        <w:t>lead delivers stimulation to the hypoglossal nerve via a self-sizing cuff electrode that encircles the median division of the nerve.  Please see Figures 2 and 3</w:t>
      </w:r>
    </w:p>
    <w:p w14:paraId="12284BFD" w14:textId="77777777" w:rsidR="001753C7" w:rsidRPr="001753C7" w:rsidRDefault="001753C7" w:rsidP="001753C7">
      <w:pPr>
        <w:ind w:left="426"/>
        <w:jc w:val="center"/>
        <w:rPr>
          <w:szCs w:val="20"/>
        </w:rPr>
      </w:pPr>
      <w:r w:rsidRPr="001753C7">
        <w:rPr>
          <w:b/>
          <w:bCs/>
          <w:szCs w:val="20"/>
        </w:rPr>
        <w:t>Figure 2:  Respiratory Sensing Lead</w:t>
      </w:r>
    </w:p>
    <w:p w14:paraId="2EF7EA79" w14:textId="77777777" w:rsidR="001753C7" w:rsidRPr="001753C7" w:rsidRDefault="001753C7" w:rsidP="001753C7">
      <w:pPr>
        <w:ind w:left="426"/>
        <w:rPr>
          <w:b/>
          <w:bCs/>
          <w:szCs w:val="20"/>
        </w:rPr>
      </w:pPr>
    </w:p>
    <w:p w14:paraId="77EAFB52" w14:textId="77777777" w:rsidR="001753C7" w:rsidRPr="001753C7" w:rsidRDefault="001753C7" w:rsidP="001753C7">
      <w:pPr>
        <w:ind w:left="426"/>
        <w:jc w:val="center"/>
        <w:rPr>
          <w:b/>
          <w:bCs/>
          <w:szCs w:val="20"/>
        </w:rPr>
      </w:pPr>
      <w:r w:rsidRPr="001753C7">
        <w:rPr>
          <w:noProof/>
          <w:lang w:eastAsia="en-AU"/>
        </w:rPr>
        <w:drawing>
          <wp:inline distT="0" distB="0" distL="0" distR="0" wp14:anchorId="165C19C4" wp14:editId="0B4D227F">
            <wp:extent cx="3086100" cy="1343025"/>
            <wp:effectExtent l="0" t="0" r="0" b="9525"/>
            <wp:docPr id="5" name="Picture 5" descr="Picture" title="Picture">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086100" cy="1343025"/>
                    </a:xfrm>
                    <a:prstGeom prst="rect">
                      <a:avLst/>
                    </a:prstGeom>
                  </pic:spPr>
                </pic:pic>
              </a:graphicData>
            </a:graphic>
          </wp:inline>
        </w:drawing>
      </w:r>
    </w:p>
    <w:p w14:paraId="0CB8710D" w14:textId="77777777" w:rsidR="001753C7" w:rsidRPr="001753C7" w:rsidRDefault="001753C7" w:rsidP="001753C7">
      <w:pPr>
        <w:ind w:left="426"/>
        <w:jc w:val="center"/>
        <w:rPr>
          <w:b/>
          <w:bCs/>
          <w:szCs w:val="20"/>
        </w:rPr>
      </w:pPr>
      <w:r w:rsidRPr="001753C7">
        <w:rPr>
          <w:b/>
          <w:bCs/>
          <w:szCs w:val="20"/>
        </w:rPr>
        <w:t>Figure 3: Stimulation Lead</w:t>
      </w:r>
    </w:p>
    <w:p w14:paraId="1AD5C7BB" w14:textId="77777777" w:rsidR="001753C7" w:rsidRPr="001753C7" w:rsidRDefault="001753C7" w:rsidP="001753C7">
      <w:pPr>
        <w:ind w:left="426"/>
        <w:jc w:val="center"/>
        <w:rPr>
          <w:b/>
          <w:bCs/>
          <w:szCs w:val="20"/>
        </w:rPr>
      </w:pPr>
      <w:r w:rsidRPr="001753C7">
        <w:rPr>
          <w:noProof/>
          <w:lang w:eastAsia="en-AU"/>
        </w:rPr>
        <w:drawing>
          <wp:inline distT="0" distB="0" distL="0" distR="0" wp14:anchorId="6F106B27" wp14:editId="2EDF9082">
            <wp:extent cx="2419350" cy="1704975"/>
            <wp:effectExtent l="0" t="0" r="0" b="9525"/>
            <wp:docPr id="6" name="Picture 6" descr="Picture" title="Picture">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419350" cy="1704975"/>
                    </a:xfrm>
                    <a:prstGeom prst="rect">
                      <a:avLst/>
                    </a:prstGeom>
                  </pic:spPr>
                </pic:pic>
              </a:graphicData>
            </a:graphic>
          </wp:inline>
        </w:drawing>
      </w:r>
    </w:p>
    <w:p w14:paraId="2D279BCF" w14:textId="77777777" w:rsidR="001753C7" w:rsidRPr="001753C7" w:rsidRDefault="001753C7" w:rsidP="001753C7">
      <w:pPr>
        <w:ind w:left="426"/>
        <w:rPr>
          <w:szCs w:val="20"/>
        </w:rPr>
      </w:pPr>
      <w:r w:rsidRPr="001753C7">
        <w:rPr>
          <w:szCs w:val="20"/>
        </w:rPr>
        <w:t>The Inspire system is implanted under general anaesthetic via three small incisions.  The stimulation electrode is placed on the median division of the hypoglossal nerve to recruit the tongue protrusion function. The sensing lead is placed via an incision in the fifth intercostal space and placed between the internal and external intercostal muscles to detect ventilatory effort. The IPG is place in the right ipsilateral mid-infra-clavicular region. Please see Figure 4</w:t>
      </w:r>
    </w:p>
    <w:p w14:paraId="4E8DD464" w14:textId="77777777" w:rsidR="001753C7" w:rsidRPr="001753C7" w:rsidRDefault="001753C7" w:rsidP="001753C7">
      <w:pPr>
        <w:ind w:left="426"/>
        <w:jc w:val="center"/>
        <w:rPr>
          <w:b/>
          <w:bCs/>
          <w:szCs w:val="20"/>
        </w:rPr>
      </w:pPr>
      <w:r w:rsidRPr="001753C7">
        <w:rPr>
          <w:b/>
          <w:bCs/>
          <w:szCs w:val="20"/>
        </w:rPr>
        <w:t>Figure 4: Inspire System in situ</w:t>
      </w:r>
    </w:p>
    <w:p w14:paraId="3219D779" w14:textId="5F0840E2" w:rsidR="001753C7" w:rsidRDefault="001753C7" w:rsidP="001753C7">
      <w:pPr>
        <w:ind w:left="426"/>
        <w:jc w:val="center"/>
        <w:rPr>
          <w:b/>
          <w:bCs/>
          <w:szCs w:val="20"/>
        </w:rPr>
      </w:pPr>
      <w:r w:rsidRPr="001753C7">
        <w:rPr>
          <w:noProof/>
          <w:lang w:eastAsia="en-AU"/>
        </w:rPr>
        <w:lastRenderedPageBreak/>
        <w:drawing>
          <wp:inline distT="0" distB="0" distL="0" distR="0" wp14:anchorId="246BF9F3" wp14:editId="6CBAAB36">
            <wp:extent cx="2952750" cy="3114675"/>
            <wp:effectExtent l="0" t="0" r="0" b="9525"/>
            <wp:docPr id="7" name="Picture 7" descr="Picture" title="Picture">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952750" cy="3114675"/>
                    </a:xfrm>
                    <a:prstGeom prst="rect">
                      <a:avLst/>
                    </a:prstGeom>
                  </pic:spPr>
                </pic:pic>
              </a:graphicData>
            </a:graphic>
          </wp:inline>
        </w:drawing>
      </w:r>
    </w:p>
    <w:p w14:paraId="4F836D25" w14:textId="77777777" w:rsidR="001753C7" w:rsidRPr="001753C7" w:rsidRDefault="001753C7" w:rsidP="001753C7">
      <w:pPr>
        <w:ind w:left="426"/>
        <w:rPr>
          <w:szCs w:val="20"/>
        </w:rPr>
      </w:pPr>
      <w:r w:rsidRPr="001753C7">
        <w:rPr>
          <w:szCs w:val="20"/>
        </w:rPr>
        <w:t>To allow for healing, activating the device is delayed until approximately one month after surgery. The device is switched on and the patient begins therapy.  The Inspire device continuously monitors the patient’s breathing patterns and delivers mild hypoglossal nerve stimulation during inspiration to prevent airways collapse. The device is activated by the patient using a hand-held remote control.  Therapy is adjusted by the specialist at a follow up monitoring visit(s). Patients are likely to have at least one sleep study following the procedure.</w:t>
      </w:r>
    </w:p>
    <w:p w14:paraId="4E12C699"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4159AD2E" w14:textId="0F54EB79" w:rsidR="002A6753" w:rsidRPr="00154B00" w:rsidRDefault="001753C7" w:rsidP="00E357B9">
      <w:pPr>
        <w:ind w:left="426"/>
        <w:rPr>
          <w:szCs w:val="20"/>
        </w:rPr>
      </w:pPr>
      <w:r>
        <w:t>Yes.  The device has a trademark</w:t>
      </w:r>
      <w:r w:rsidR="0033157D">
        <w:t>,</w:t>
      </w:r>
      <w:r>
        <w:t xml:space="preserve"> and the algorithm is protected by patents.</w:t>
      </w:r>
    </w:p>
    <w:p w14:paraId="28559022" w14:textId="0134D2A5" w:rsidR="00C22AD8"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w:t>
      </w:r>
      <w:r w:rsidRPr="00154B00">
        <w:lastRenderedPageBreak/>
        <w:t>managing a particular sub-group of the population with the specific medical condition?</w:t>
      </w:r>
    </w:p>
    <w:p w14:paraId="75873AB2" w14:textId="63DF9EBD" w:rsidR="00DF0C51" w:rsidRPr="00AC6F32" w:rsidRDefault="003716F1" w:rsidP="003716F1">
      <w:pPr>
        <w:ind w:left="360"/>
      </w:pPr>
      <w:r w:rsidRPr="003716F1">
        <w:t xml:space="preserve">Yes.  The Inspire® Upper Airway Stimulation System is designed to treat patients with moderate to severe OSA who have failed or who are intolerant of CPAP. Patients indicated for the therapy are those with an AHI ≥ 15 and ≤ 65. Patients who have a complete concentric collapse at the soft palate level are not considered suitable. While OSA is associated with a high BMI, the majority of clinical evidence pertains to </w:t>
      </w:r>
      <w:r w:rsidRPr="00AC6F32">
        <w:t xml:space="preserve">patients with a BMI &lt; 32 kg/m².  There is also evidence </w:t>
      </w:r>
      <w:r w:rsidR="00C22B2A" w:rsidRPr="00AC6F32">
        <w:t xml:space="preserve">from the ADHERE Registry </w:t>
      </w:r>
      <w:r w:rsidRPr="00AC6F32">
        <w:t>that demonstrates a lower BMI is a predictor of a more favourable AHI response</w:t>
      </w:r>
      <w:r w:rsidRPr="00AC6F32">
        <w:rPr>
          <w:rStyle w:val="FootnoteReference"/>
        </w:rPr>
        <w:footnoteReference w:id="7"/>
      </w:r>
    </w:p>
    <w:p w14:paraId="215D4504" w14:textId="75C82A76" w:rsidR="00D71FF5" w:rsidRPr="00AC6F32" w:rsidRDefault="00D71FF5" w:rsidP="003716F1">
      <w:pPr>
        <w:ind w:left="360"/>
        <w:rPr>
          <w:b/>
          <w:szCs w:val="20"/>
        </w:rPr>
      </w:pPr>
      <w:r w:rsidRPr="00AC6F32">
        <w:t xml:space="preserve">MSAC expressed a concern that the lower AHI limit of eligible patients was not supported by the STAR trial.  </w:t>
      </w:r>
      <w:r w:rsidR="00C22B2A" w:rsidRPr="00AC6F32">
        <w:t>The applicant will further discuss the inclusion criteria by examining the baseline characteristics of the ADHERE Registry as well of those of the STAR Trial.</w:t>
      </w:r>
    </w:p>
    <w:p w14:paraId="5FE3B067"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1972BC76" w14:textId="77777777" w:rsidR="00192401" w:rsidRPr="00192401" w:rsidRDefault="00192401" w:rsidP="00192401">
      <w:pPr>
        <w:ind w:left="426"/>
        <w:rPr>
          <w:szCs w:val="20"/>
        </w:rPr>
      </w:pPr>
      <w:r w:rsidRPr="00192401">
        <w:rPr>
          <w:szCs w:val="20"/>
        </w:rPr>
        <w:t>Yes</w:t>
      </w:r>
    </w:p>
    <w:p w14:paraId="61B4AC05" w14:textId="77777777" w:rsidR="00192401" w:rsidRPr="00192401" w:rsidRDefault="00192401" w:rsidP="00192401">
      <w:pPr>
        <w:ind w:left="426"/>
        <w:rPr>
          <w:szCs w:val="20"/>
        </w:rPr>
      </w:pPr>
      <w:r w:rsidRPr="00192401">
        <w:rPr>
          <w:szCs w:val="20"/>
        </w:rPr>
        <w:t xml:space="preserve">There may be limitations in access to qualified specialists who have trained in the proper use and surgical procedure associated </w:t>
      </w:r>
      <w:r w:rsidRPr="00192401">
        <w:rPr>
          <w:szCs w:val="20"/>
        </w:rPr>
        <w:lastRenderedPageBreak/>
        <w:t>with Inspire® therapy.  Should the new medical service be recommended, and the Inspire® System subsequently included on the Prostheses List, then it is more likely that the procedure would be carried out in private hospitals on those patients who have private health insurance. There may be budget constraints in the public hospital system.</w:t>
      </w:r>
    </w:p>
    <w:p w14:paraId="6B381BA6" w14:textId="77777777" w:rsidR="00192401" w:rsidRPr="00192401" w:rsidRDefault="00192401" w:rsidP="00192401">
      <w:pPr>
        <w:ind w:left="426"/>
        <w:rPr>
          <w:szCs w:val="20"/>
        </w:rPr>
      </w:pPr>
      <w:r w:rsidRPr="00192401">
        <w:rPr>
          <w:szCs w:val="20"/>
        </w:rPr>
        <w:t>A majority of ENTs practice in major cities so patients who live in rural or remote areas may have difficulty in accessing the service.</w:t>
      </w:r>
    </w:p>
    <w:p w14:paraId="3CF3556E" w14:textId="6289955B" w:rsidR="00CC09D7" w:rsidRPr="00154B00" w:rsidRDefault="00192401" w:rsidP="00192401">
      <w:pPr>
        <w:ind w:left="426"/>
        <w:rPr>
          <w:szCs w:val="20"/>
        </w:rPr>
      </w:pPr>
      <w:r w:rsidRPr="00192401">
        <w:rPr>
          <w:szCs w:val="20"/>
        </w:rPr>
        <w:t>The device battery is conservatively estimated to last 10 years, so the initial procedure is likely to be carried out only once.  Once the battery has depleted, the IPG may be removed and attached to the existing leads which would remain in situ.</w:t>
      </w:r>
    </w:p>
    <w:p w14:paraId="5E213A05" w14:textId="5333AD2F" w:rsidR="00791C8D"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0087B7D9" w14:textId="4A33B925" w:rsidR="00192401" w:rsidRPr="00192401" w:rsidRDefault="00192401" w:rsidP="00192401">
      <w:pPr>
        <w:ind w:left="360"/>
      </w:pPr>
      <w:r w:rsidRPr="00192401">
        <w:t>Other than the procedure to implant the device and the services associated with the hospital admission, there are no other services required.</w:t>
      </w:r>
    </w:p>
    <w:p w14:paraId="2D24B621"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746BEE52" w14:textId="4F30DCE2" w:rsidR="00B17E26" w:rsidRPr="00154B00" w:rsidRDefault="00192401" w:rsidP="00884E69">
      <w:pPr>
        <w:ind w:left="426"/>
        <w:rPr>
          <w:szCs w:val="20"/>
        </w:rPr>
      </w:pPr>
      <w:r>
        <w:t>Ear, nose and throat surgeon</w:t>
      </w:r>
    </w:p>
    <w:p w14:paraId="6BA2B3ED" w14:textId="20969987" w:rsidR="00B17E26"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4C8C9833" w14:textId="24C916C2" w:rsidR="00192401" w:rsidRPr="00192401" w:rsidRDefault="00192401" w:rsidP="00192401">
      <w:pPr>
        <w:ind w:left="360"/>
      </w:pPr>
      <w:r>
        <w:t>The procedure cannot be delegated.</w:t>
      </w:r>
    </w:p>
    <w:p w14:paraId="5A9AF8B9" w14:textId="6F4BC755" w:rsidR="00EA0E25" w:rsidRDefault="00EA0E25" w:rsidP="00530204">
      <w:pPr>
        <w:pStyle w:val="Heading2"/>
      </w:pPr>
      <w:r w:rsidRPr="00154B00">
        <w:lastRenderedPageBreak/>
        <w:t xml:space="preserve">If applicable, </w:t>
      </w:r>
      <w:r w:rsidRPr="0073597B">
        <w:t>specify</w:t>
      </w:r>
      <w:r w:rsidRPr="00154B00">
        <w:t xml:space="preserve"> any proposed limitations on who might deliver the proposed medical service, or who </w:t>
      </w:r>
      <w:r w:rsidR="00AE1188">
        <w:t>might provide a referral for it:</w:t>
      </w:r>
    </w:p>
    <w:p w14:paraId="492B0A41" w14:textId="69668A79" w:rsidR="00192401" w:rsidRPr="00192401" w:rsidRDefault="00192401" w:rsidP="00192401">
      <w:pPr>
        <w:ind w:left="360"/>
      </w:pPr>
      <w:r w:rsidRPr="00192401">
        <w:t>It is not anticipated that there be any limitations on who might provide a referral for a service, although it is likely that GPs, specialist sleep physicians, or respiratory physicians may be the most likely referrers.  Many ear nose and throat surgeons specialise in sleep disorders</w:t>
      </w:r>
      <w:r>
        <w:t>.</w:t>
      </w:r>
    </w:p>
    <w:p w14:paraId="13E9D6F5" w14:textId="18CC00AC" w:rsidR="00EA0E25"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360B2571" w14:textId="77777777" w:rsidR="00192401" w:rsidRDefault="00192401" w:rsidP="00192401">
      <w:pPr>
        <w:ind w:left="360"/>
      </w:pPr>
      <w:r>
        <w:t xml:space="preserve">Nose and Throat surgeons will have fulfilled the requirements of the Australian Society of Otolaryngology Head and Neck Surgery (ASOHNS) or be otherwise qualified to practice this specialty in Australia. </w:t>
      </w:r>
    </w:p>
    <w:p w14:paraId="64A8285B" w14:textId="77777777" w:rsidR="00192401" w:rsidRDefault="00192401" w:rsidP="00192401">
      <w:pPr>
        <w:ind w:left="360"/>
      </w:pPr>
      <w:r>
        <w:t>Extensive training, provided by Inspire® Medical Systems, is required before ENTs may deliver this therapy. Training includes off-site classroom training and cadaver training. The first 3-5 cases conducted by an ENT are proctored and Inspire® Medical Systems is likely to provide continued theatre support for ENTs.</w:t>
      </w:r>
    </w:p>
    <w:p w14:paraId="65428007" w14:textId="22210FC4" w:rsidR="00192401" w:rsidRPr="00192401" w:rsidRDefault="00192401" w:rsidP="00192401">
      <w:pPr>
        <w:ind w:left="360"/>
      </w:pPr>
      <w:r>
        <w:t>In addition to specific surgical training for ENTs, training is provided to operating room staff, sleep physicians and sleep laboratory staff.  Additional training is provided to sleep physicians and other sleep or ENT clinic staff so that activation and programming of the device is appropriate.</w:t>
      </w:r>
    </w:p>
    <w:p w14:paraId="410CAC5D" w14:textId="77777777" w:rsidR="005F3F07" w:rsidRDefault="005C3AE7" w:rsidP="00530204">
      <w:pPr>
        <w:pStyle w:val="Heading2"/>
      </w:pPr>
      <w:r>
        <w:lastRenderedPageBreak/>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14:paraId="1E3D51D7" w14:textId="621FCC16" w:rsidR="000A478F" w:rsidRDefault="00192401"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AC6F32">
        <w:rPr>
          <w:szCs w:val="20"/>
        </w:rPr>
      </w:r>
      <w:r w:rsidR="00AC6F32">
        <w:rPr>
          <w:szCs w:val="20"/>
        </w:rPr>
        <w:fldChar w:fldCharType="separate"/>
      </w:r>
      <w:r>
        <w:rPr>
          <w:szCs w:val="20"/>
        </w:rPr>
        <w:fldChar w:fldCharType="end"/>
      </w:r>
      <w:r w:rsidR="000A478F">
        <w:rPr>
          <w:szCs w:val="20"/>
        </w:rPr>
        <w:t xml:space="preserve"> </w:t>
      </w:r>
      <w:r w:rsidR="000A478F">
        <w:t>Inpatient private hospital</w:t>
      </w:r>
      <w:r w:rsidR="0079354C">
        <w:t xml:space="preserve"> (admitted patient)</w:t>
      </w:r>
    </w:p>
    <w:p w14:paraId="317967B8" w14:textId="56099FBF" w:rsidR="000A478F" w:rsidRDefault="00192401"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AC6F32">
        <w:rPr>
          <w:szCs w:val="20"/>
        </w:rPr>
      </w:r>
      <w:r w:rsidR="00AC6F32">
        <w:rPr>
          <w:szCs w:val="20"/>
        </w:rPr>
        <w:fldChar w:fldCharType="separate"/>
      </w:r>
      <w:r>
        <w:rPr>
          <w:szCs w:val="20"/>
        </w:rPr>
        <w:fldChar w:fldCharType="end"/>
      </w:r>
      <w:r w:rsidR="000A478F">
        <w:rPr>
          <w:szCs w:val="20"/>
        </w:rPr>
        <w:t xml:space="preserve"> </w:t>
      </w:r>
      <w:r w:rsidR="000A478F">
        <w:t>Inpatient public hospital</w:t>
      </w:r>
      <w:r w:rsidR="0079354C">
        <w:t xml:space="preserve"> (admitted patient)</w:t>
      </w:r>
    </w:p>
    <w:p w14:paraId="198CC3AE"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C6F32">
        <w:rPr>
          <w:szCs w:val="20"/>
        </w:rPr>
      </w:r>
      <w:r w:rsidR="00AC6F32">
        <w:rPr>
          <w:szCs w:val="20"/>
        </w:rPr>
        <w:fldChar w:fldCharType="separate"/>
      </w:r>
      <w:r w:rsidRPr="000A5B32">
        <w:rPr>
          <w:szCs w:val="20"/>
        </w:rPr>
        <w:fldChar w:fldCharType="end"/>
      </w:r>
      <w:r>
        <w:rPr>
          <w:szCs w:val="20"/>
        </w:rPr>
        <w:t xml:space="preserve"> </w:t>
      </w:r>
      <w:r w:rsidR="003904AC">
        <w:rPr>
          <w:szCs w:val="20"/>
        </w:rPr>
        <w:t>Private o</w:t>
      </w:r>
      <w:r>
        <w:t>utpatient clinic</w:t>
      </w:r>
    </w:p>
    <w:p w14:paraId="483BA8C7"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C6F32">
        <w:rPr>
          <w:szCs w:val="20"/>
        </w:rPr>
      </w:r>
      <w:r w:rsidR="00AC6F32">
        <w:rPr>
          <w:szCs w:val="20"/>
        </w:rPr>
        <w:fldChar w:fldCharType="separate"/>
      </w:r>
      <w:r w:rsidRPr="000A5B32">
        <w:rPr>
          <w:szCs w:val="20"/>
        </w:rPr>
        <w:fldChar w:fldCharType="end"/>
      </w:r>
      <w:r>
        <w:rPr>
          <w:szCs w:val="20"/>
        </w:rPr>
        <w:t xml:space="preserve"> Public outpatient clinic</w:t>
      </w:r>
    </w:p>
    <w:p w14:paraId="33C6A778"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C6F32">
        <w:rPr>
          <w:szCs w:val="20"/>
        </w:rPr>
      </w:r>
      <w:r w:rsidR="00AC6F32">
        <w:rPr>
          <w:szCs w:val="20"/>
        </w:rPr>
        <w:fldChar w:fldCharType="separate"/>
      </w:r>
      <w:r w:rsidRPr="000A5B32">
        <w:rPr>
          <w:szCs w:val="20"/>
        </w:rPr>
        <w:fldChar w:fldCharType="end"/>
      </w:r>
      <w:r>
        <w:rPr>
          <w:szCs w:val="20"/>
        </w:rPr>
        <w:t xml:space="preserve"> </w:t>
      </w:r>
      <w:r>
        <w:t>Emergency Department</w:t>
      </w:r>
    </w:p>
    <w:p w14:paraId="671383E1"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C6F32">
        <w:rPr>
          <w:szCs w:val="20"/>
        </w:rPr>
      </w:r>
      <w:r w:rsidR="00AC6F32">
        <w:rPr>
          <w:szCs w:val="20"/>
        </w:rPr>
        <w:fldChar w:fldCharType="separate"/>
      </w:r>
      <w:r w:rsidRPr="000A5B32">
        <w:rPr>
          <w:szCs w:val="20"/>
        </w:rPr>
        <w:fldChar w:fldCharType="end"/>
      </w:r>
      <w:r>
        <w:rPr>
          <w:szCs w:val="20"/>
        </w:rPr>
        <w:t xml:space="preserve"> </w:t>
      </w:r>
      <w:r w:rsidR="003904AC">
        <w:rPr>
          <w:szCs w:val="20"/>
        </w:rPr>
        <w:t xml:space="preserve">Private </w:t>
      </w:r>
      <w:r w:rsidR="0079354C">
        <w:t>c</w:t>
      </w:r>
      <w:r>
        <w:t>onsulting rooms</w:t>
      </w:r>
      <w:r w:rsidR="0079354C">
        <w:t xml:space="preserve"> - GP</w:t>
      </w:r>
    </w:p>
    <w:p w14:paraId="72B72E0B"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C6F32">
        <w:rPr>
          <w:szCs w:val="20"/>
        </w:rPr>
      </w:r>
      <w:r w:rsidR="00AC6F32">
        <w:rPr>
          <w:szCs w:val="20"/>
        </w:rPr>
        <w:fldChar w:fldCharType="separate"/>
      </w:r>
      <w:r w:rsidRPr="000A5B32">
        <w:rPr>
          <w:szCs w:val="20"/>
        </w:rPr>
        <w:fldChar w:fldCharType="end"/>
      </w:r>
      <w:r>
        <w:rPr>
          <w:szCs w:val="20"/>
        </w:rPr>
        <w:t xml:space="preserve"> Private consulting rooms – specialist</w:t>
      </w:r>
    </w:p>
    <w:p w14:paraId="786E5DFE"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C6F32">
        <w:rPr>
          <w:szCs w:val="20"/>
        </w:rPr>
      </w:r>
      <w:r w:rsidR="00AC6F32">
        <w:rPr>
          <w:szCs w:val="20"/>
        </w:rPr>
        <w:fldChar w:fldCharType="separate"/>
      </w:r>
      <w:r w:rsidRPr="000A5B32">
        <w:rPr>
          <w:szCs w:val="20"/>
        </w:rPr>
        <w:fldChar w:fldCharType="end"/>
      </w:r>
      <w:r>
        <w:rPr>
          <w:szCs w:val="20"/>
        </w:rPr>
        <w:t xml:space="preserve"> Private consulting rooms – other health practitioner (nurse or allied health)</w:t>
      </w:r>
    </w:p>
    <w:p w14:paraId="3D18DF2C" w14:textId="762AC395" w:rsidR="000A478F" w:rsidRDefault="00192401"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AC6F32">
        <w:rPr>
          <w:szCs w:val="20"/>
        </w:rPr>
      </w:r>
      <w:r w:rsidR="00AC6F32">
        <w:rPr>
          <w:szCs w:val="20"/>
        </w:rPr>
        <w:fldChar w:fldCharType="separate"/>
      </w:r>
      <w:r>
        <w:rPr>
          <w:szCs w:val="20"/>
        </w:rPr>
        <w:fldChar w:fldCharType="end"/>
      </w:r>
      <w:r w:rsidR="000A478F">
        <w:rPr>
          <w:szCs w:val="20"/>
        </w:rPr>
        <w:t xml:space="preserve"> </w:t>
      </w:r>
      <w:r w:rsidR="0079354C">
        <w:rPr>
          <w:szCs w:val="20"/>
        </w:rPr>
        <w:t>Private d</w:t>
      </w:r>
      <w:r w:rsidR="000A478F">
        <w:t>ay surgery c</w:t>
      </w:r>
      <w:r w:rsidR="0079354C">
        <w:t>linic (admitted patient)</w:t>
      </w:r>
    </w:p>
    <w:p w14:paraId="7E36653C"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C6F32">
        <w:rPr>
          <w:szCs w:val="20"/>
        </w:rPr>
      </w:r>
      <w:r w:rsidR="00AC6F32">
        <w:rPr>
          <w:szCs w:val="20"/>
        </w:rPr>
        <w:fldChar w:fldCharType="separate"/>
      </w:r>
      <w:r w:rsidRPr="000A5B32">
        <w:rPr>
          <w:szCs w:val="20"/>
        </w:rPr>
        <w:fldChar w:fldCharType="end"/>
      </w:r>
      <w:r>
        <w:rPr>
          <w:szCs w:val="20"/>
        </w:rPr>
        <w:t xml:space="preserve"> Private day surgery clinic (non-admitted patient)</w:t>
      </w:r>
    </w:p>
    <w:p w14:paraId="07D6AF3A" w14:textId="1BDE8848" w:rsidR="0079354C" w:rsidRDefault="00192401"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C6F32">
        <w:rPr>
          <w:szCs w:val="20"/>
        </w:rPr>
      </w:r>
      <w:r w:rsidR="00AC6F32">
        <w:rPr>
          <w:szCs w:val="20"/>
        </w:rPr>
        <w:fldChar w:fldCharType="separate"/>
      </w:r>
      <w:r>
        <w:rPr>
          <w:szCs w:val="20"/>
        </w:rPr>
        <w:fldChar w:fldCharType="end"/>
      </w:r>
      <w:r w:rsidR="0079354C">
        <w:rPr>
          <w:szCs w:val="20"/>
        </w:rPr>
        <w:t xml:space="preserve"> Public day surgery clinic (admitted patient)</w:t>
      </w:r>
    </w:p>
    <w:p w14:paraId="520D046F"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C6F32">
        <w:rPr>
          <w:szCs w:val="20"/>
        </w:rPr>
      </w:r>
      <w:r w:rsidR="00AC6F32">
        <w:rPr>
          <w:szCs w:val="20"/>
        </w:rPr>
        <w:fldChar w:fldCharType="separate"/>
      </w:r>
      <w:r w:rsidRPr="000A5B32">
        <w:rPr>
          <w:szCs w:val="20"/>
        </w:rPr>
        <w:fldChar w:fldCharType="end"/>
      </w:r>
      <w:r>
        <w:rPr>
          <w:szCs w:val="20"/>
        </w:rPr>
        <w:t xml:space="preserve"> Public day surgery clinic (non-admitted patient)</w:t>
      </w:r>
    </w:p>
    <w:p w14:paraId="586FF149"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C6F32">
        <w:rPr>
          <w:szCs w:val="20"/>
        </w:rPr>
      </w:r>
      <w:r w:rsidR="00AC6F32">
        <w:rPr>
          <w:szCs w:val="20"/>
        </w:rPr>
        <w:fldChar w:fldCharType="separate"/>
      </w:r>
      <w:r w:rsidRPr="000A5B32">
        <w:rPr>
          <w:szCs w:val="20"/>
        </w:rPr>
        <w:fldChar w:fldCharType="end"/>
      </w:r>
      <w:r>
        <w:rPr>
          <w:szCs w:val="20"/>
        </w:rPr>
        <w:t xml:space="preserve"> </w:t>
      </w:r>
      <w:r>
        <w:t>Residential aged care facility</w:t>
      </w:r>
    </w:p>
    <w:p w14:paraId="59886AFD"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C6F32">
        <w:rPr>
          <w:szCs w:val="20"/>
        </w:rPr>
      </w:r>
      <w:r w:rsidR="00AC6F32">
        <w:rPr>
          <w:szCs w:val="20"/>
        </w:rPr>
        <w:fldChar w:fldCharType="separate"/>
      </w:r>
      <w:r w:rsidRPr="000A5B32">
        <w:rPr>
          <w:szCs w:val="20"/>
        </w:rPr>
        <w:fldChar w:fldCharType="end"/>
      </w:r>
      <w:r>
        <w:rPr>
          <w:szCs w:val="20"/>
        </w:rPr>
        <w:t xml:space="preserve"> </w:t>
      </w:r>
      <w:r>
        <w:t>Patient’s home</w:t>
      </w:r>
    </w:p>
    <w:p w14:paraId="617D5435"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C6F32">
        <w:rPr>
          <w:szCs w:val="20"/>
        </w:rPr>
      </w:r>
      <w:r w:rsidR="00AC6F32">
        <w:rPr>
          <w:szCs w:val="20"/>
        </w:rPr>
        <w:fldChar w:fldCharType="separate"/>
      </w:r>
      <w:r w:rsidRPr="000A5B32">
        <w:rPr>
          <w:szCs w:val="20"/>
        </w:rPr>
        <w:fldChar w:fldCharType="end"/>
      </w:r>
      <w:r>
        <w:rPr>
          <w:szCs w:val="20"/>
        </w:rPr>
        <w:t xml:space="preserve"> </w:t>
      </w:r>
      <w:r>
        <w:t>Laboratory</w:t>
      </w:r>
    </w:p>
    <w:p w14:paraId="20146F77" w14:textId="1827B24E"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C6F32">
        <w:rPr>
          <w:szCs w:val="20"/>
        </w:rPr>
      </w:r>
      <w:r w:rsidR="00AC6F32">
        <w:rPr>
          <w:szCs w:val="20"/>
        </w:rPr>
        <w:fldChar w:fldCharType="separate"/>
      </w:r>
      <w:r w:rsidRPr="000A5B32">
        <w:rPr>
          <w:szCs w:val="20"/>
        </w:rPr>
        <w:fldChar w:fldCharType="end"/>
      </w:r>
      <w:r>
        <w:rPr>
          <w:szCs w:val="20"/>
        </w:rPr>
        <w:t xml:space="preserve"> </w:t>
      </w:r>
      <w:r>
        <w:t>Other – please specify below</w:t>
      </w:r>
    </w:p>
    <w:p w14:paraId="45F01262" w14:textId="77777777" w:rsidR="00192401" w:rsidRPr="000A478F" w:rsidRDefault="00192401" w:rsidP="000A478F">
      <w:pPr>
        <w:spacing w:before="0" w:after="0"/>
        <w:ind w:left="426"/>
      </w:pPr>
    </w:p>
    <w:p w14:paraId="15E60F7D" w14:textId="77777777"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35ECDEAA" w14:textId="07AE48C8" w:rsidR="0073597B" w:rsidRDefault="00192401" w:rsidP="00AC6F32">
      <w:pPr>
        <w:ind w:left="426"/>
        <w:rPr>
          <w:b/>
          <w:szCs w:val="20"/>
        </w:rPr>
      </w:pPr>
      <w:r>
        <w:t>The service must be performed in an appropriate operating theatre under general anaesthetic. A proportion of patients may be appropriate for a same day discharge where others may have an overnight stay.</w:t>
      </w:r>
    </w:p>
    <w:p w14:paraId="5B26F8B2" w14:textId="77777777" w:rsidR="003E30FB" w:rsidRDefault="003E30FB" w:rsidP="00530204">
      <w:pPr>
        <w:pStyle w:val="Heading2"/>
      </w:pPr>
      <w:r>
        <w:lastRenderedPageBreak/>
        <w:t xml:space="preserve">Is the </w:t>
      </w:r>
      <w:r w:rsidRPr="001B29A1">
        <w:t>proposed</w:t>
      </w:r>
      <w:r>
        <w:t xml:space="preserve"> medical service intended to be entirely rendered in Australia?</w:t>
      </w:r>
    </w:p>
    <w:p w14:paraId="011FB5CF" w14:textId="7ACD60E4" w:rsidR="000A478F" w:rsidRDefault="00192401"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C6F32">
        <w:rPr>
          <w:szCs w:val="20"/>
        </w:rPr>
      </w:r>
      <w:r w:rsidR="00AC6F32">
        <w:rPr>
          <w:szCs w:val="20"/>
        </w:rPr>
        <w:fldChar w:fldCharType="separate"/>
      </w:r>
      <w:r>
        <w:rPr>
          <w:szCs w:val="20"/>
        </w:rPr>
        <w:fldChar w:fldCharType="end"/>
      </w:r>
      <w:r w:rsidR="000A478F">
        <w:rPr>
          <w:szCs w:val="20"/>
        </w:rPr>
        <w:t xml:space="preserve"> Yes</w:t>
      </w:r>
    </w:p>
    <w:p w14:paraId="41A896A5" w14:textId="034EF233" w:rsidR="000A478F" w:rsidRDefault="000A478F" w:rsidP="00AC6F32">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AC6F32">
        <w:rPr>
          <w:szCs w:val="20"/>
        </w:rPr>
      </w:r>
      <w:r w:rsidR="00AC6F32">
        <w:rPr>
          <w:szCs w:val="20"/>
        </w:rPr>
        <w:fldChar w:fldCharType="separate"/>
      </w:r>
      <w:r w:rsidRPr="00753C44">
        <w:rPr>
          <w:szCs w:val="20"/>
        </w:rPr>
        <w:fldChar w:fldCharType="end"/>
      </w:r>
      <w:r>
        <w:rPr>
          <w:szCs w:val="20"/>
        </w:rPr>
        <w:t xml:space="preserve"> No</w:t>
      </w:r>
      <w:r w:rsidR="00AC6F32">
        <w:rPr>
          <w:szCs w:val="20"/>
        </w:rPr>
        <w:t xml:space="preserve"> </w:t>
      </w:r>
    </w:p>
    <w:p w14:paraId="06AE2DC7" w14:textId="77777777" w:rsidR="00AC6F32" w:rsidRPr="00AC6F32" w:rsidRDefault="00AC6F32" w:rsidP="00AC6F32">
      <w:pPr>
        <w:spacing w:before="0" w:after="0"/>
        <w:ind w:left="426"/>
        <w:rPr>
          <w:szCs w:val="20"/>
        </w:rPr>
      </w:pPr>
    </w:p>
    <w:p w14:paraId="7BA80CFB" w14:textId="77777777" w:rsidR="00E60529" w:rsidRPr="00881F93" w:rsidRDefault="005C3AE7" w:rsidP="00AC6F32">
      <w:pPr>
        <w:pStyle w:val="Subtitle"/>
        <w:ind w:left="0"/>
      </w:pPr>
      <w:r>
        <w:lastRenderedPageBreak/>
        <w:t xml:space="preserve">PART 6c – </w:t>
      </w:r>
      <w:r w:rsidR="00E60529" w:rsidRPr="00881F93">
        <w:t>INFORMATION ABOUT THE COMPARATOR</w:t>
      </w:r>
      <w:r w:rsidR="00A83EC6" w:rsidRPr="00881F93">
        <w:t>(S)</w:t>
      </w:r>
    </w:p>
    <w:p w14:paraId="7906FF9A" w14:textId="77777777"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169D6981" w14:textId="42A7CC2C" w:rsidR="00682125" w:rsidRPr="00AC6F32" w:rsidRDefault="00E228F7" w:rsidP="001B29A1">
      <w:pPr>
        <w:ind w:left="426"/>
      </w:pPr>
      <w:r w:rsidRPr="00AC6F32">
        <w:t xml:space="preserve">The original application nominated </w:t>
      </w:r>
      <w:r w:rsidR="00330EA0" w:rsidRPr="00AC6F32">
        <w:t xml:space="preserve">conservative </w:t>
      </w:r>
      <w:r w:rsidRPr="00AC6F32">
        <w:t xml:space="preserve">medical management as the comparator. Following considerable consultation and subsequent published real-world studies, we have determined that ‘usual care’ </w:t>
      </w:r>
      <w:r w:rsidR="00246BC9" w:rsidRPr="00AC6F32">
        <w:t xml:space="preserve">is </w:t>
      </w:r>
      <w:r w:rsidRPr="00AC6F32">
        <w:t xml:space="preserve">a more appropriate comparator.  Patients who are intolerant of CPAP and are suitable for UAS are </w:t>
      </w:r>
      <w:r w:rsidR="00246BC9" w:rsidRPr="00AC6F32">
        <w:t>un</w:t>
      </w:r>
      <w:r w:rsidRPr="00AC6F32">
        <w:t>likely to receive any active intervention. Mehra et al 2020</w:t>
      </w:r>
      <w:r w:rsidRPr="00AC6F32">
        <w:rPr>
          <w:rStyle w:val="FootnoteReference"/>
        </w:rPr>
        <w:footnoteReference w:id="8"/>
      </w:r>
      <w:r w:rsidRPr="00AC6F32">
        <w:t xml:space="preserve"> noted that of patients denied insurance coverage for UAS, 86% d</w:t>
      </w:r>
      <w:r w:rsidR="003C5EC5" w:rsidRPr="00AC6F32">
        <w:t>i</w:t>
      </w:r>
      <w:r w:rsidRPr="00AC6F32">
        <w:t xml:space="preserve">d not </w:t>
      </w:r>
      <w:r w:rsidR="00682125" w:rsidRPr="00AC6F32">
        <w:t xml:space="preserve">pursue any further therapy. 7% re-attempted CPAP and 3% </w:t>
      </w:r>
      <w:r w:rsidR="008A071F" w:rsidRPr="00AC6F32">
        <w:t>were using an oral appliance</w:t>
      </w:r>
      <w:r w:rsidR="00682125" w:rsidRPr="00AC6F32">
        <w:t>, 3% underwent additional OSA surgery and 1% used CPAP and an oral appliance.</w:t>
      </w:r>
    </w:p>
    <w:p w14:paraId="1C88B20E" w14:textId="2C3F915A" w:rsidR="00E60529" w:rsidRPr="00AC6F32" w:rsidRDefault="00682125" w:rsidP="001B29A1">
      <w:pPr>
        <w:ind w:left="426"/>
        <w:rPr>
          <w:szCs w:val="20"/>
        </w:rPr>
      </w:pPr>
      <w:r w:rsidRPr="00AC6F32">
        <w:t>Altering the comparator should not otherwise change the structure of the current PICO</w:t>
      </w:r>
      <w:r w:rsidR="00246BC9" w:rsidRPr="00AC6F32">
        <w:t xml:space="preserve"> and </w:t>
      </w:r>
      <w:r w:rsidR="00330EA0" w:rsidRPr="00AC6F32">
        <w:t>the availability of real</w:t>
      </w:r>
      <w:r w:rsidR="003C5EC5" w:rsidRPr="00AC6F32">
        <w:t>-</w:t>
      </w:r>
      <w:r w:rsidR="00330EA0" w:rsidRPr="00AC6F32">
        <w:t>world data will enable a more accurate analysis of the costs and consequences of usual care</w:t>
      </w:r>
      <w:r w:rsidRPr="00AC6F32">
        <w:t>.</w:t>
      </w:r>
      <w:r w:rsidR="00E228F7" w:rsidRPr="00AC6F32">
        <w:t xml:space="preserve"> </w:t>
      </w:r>
    </w:p>
    <w:p w14:paraId="43238759" w14:textId="77777777" w:rsidR="00757232" w:rsidRDefault="00AF5D1E" w:rsidP="00530204">
      <w:pPr>
        <w:pStyle w:val="Heading2"/>
      </w:pPr>
      <w:r w:rsidRPr="00154B00">
        <w:lastRenderedPageBreak/>
        <w:t xml:space="preserve">Does the </w:t>
      </w:r>
      <w:r w:rsidRPr="001B29A1">
        <w:t>medical</w:t>
      </w:r>
      <w:r w:rsidRPr="00154B00">
        <w:t xml:space="preserve"> service </w:t>
      </w:r>
      <w:r w:rsidR="003904AC">
        <w:t>(</w:t>
      </w:r>
      <w:r w:rsidRPr="00154B00">
        <w:t>that has been nominated as the comparator</w:t>
      </w:r>
      <w:r w:rsidR="003904AC">
        <w:t>)</w:t>
      </w:r>
      <w:r w:rsidR="000159B9" w:rsidRPr="00154B00">
        <w:t xml:space="preserve"> </w:t>
      </w:r>
      <w:r w:rsidRPr="00154B00">
        <w:t>have an existing MBS item number</w:t>
      </w:r>
      <w:r w:rsidR="00D30BDC">
        <w:t>(s)</w:t>
      </w:r>
      <w:r w:rsidR="00757232">
        <w:t>?</w:t>
      </w:r>
    </w:p>
    <w:p w14:paraId="450C2704" w14:textId="1513EB39" w:rsidR="006A1038" w:rsidRDefault="00330EA0"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C6F32">
        <w:rPr>
          <w:szCs w:val="20"/>
        </w:rPr>
      </w:r>
      <w:r w:rsidR="00AC6F32">
        <w:rPr>
          <w:szCs w:val="20"/>
        </w:rPr>
        <w:fldChar w:fldCharType="separate"/>
      </w:r>
      <w:r>
        <w:rPr>
          <w:szCs w:val="20"/>
        </w:rPr>
        <w:fldChar w:fldCharType="end"/>
      </w:r>
      <w:r w:rsidR="006A1038">
        <w:rPr>
          <w:szCs w:val="20"/>
        </w:rPr>
        <w:t xml:space="preserve"> Yes (please </w:t>
      </w:r>
      <w:r w:rsidR="003904AC">
        <w:rPr>
          <w:szCs w:val="20"/>
        </w:rPr>
        <w:t xml:space="preserve">list </w:t>
      </w:r>
      <w:r w:rsidR="006A1038">
        <w:rPr>
          <w:szCs w:val="20"/>
        </w:rPr>
        <w:t>all relevant MBS item numbers below)</w:t>
      </w:r>
    </w:p>
    <w:p w14:paraId="7E419B71" w14:textId="77777777" w:rsidR="000159B9" w:rsidRDefault="006A1038" w:rsidP="006A1038">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AC6F32">
        <w:rPr>
          <w:szCs w:val="20"/>
        </w:rPr>
      </w:r>
      <w:r w:rsidR="00AC6F32">
        <w:rPr>
          <w:szCs w:val="20"/>
        </w:rPr>
        <w:fldChar w:fldCharType="separate"/>
      </w:r>
      <w:r w:rsidRPr="00753C44">
        <w:rPr>
          <w:szCs w:val="20"/>
        </w:rPr>
        <w:fldChar w:fldCharType="end"/>
      </w:r>
      <w:r>
        <w:rPr>
          <w:szCs w:val="20"/>
        </w:rPr>
        <w:t xml:space="preserve"> No  </w:t>
      </w:r>
    </w:p>
    <w:p w14:paraId="35F539D5" w14:textId="47DA31A9" w:rsidR="000159B9" w:rsidRPr="003C0800" w:rsidRDefault="00330EA0" w:rsidP="001B29A1">
      <w:pPr>
        <w:ind w:left="426"/>
      </w:pPr>
      <w:r w:rsidRPr="003C0800">
        <w:t xml:space="preserve">The small number of patients who may pursue upper airways surgery may claim for MBS services under the following item numbers.  Of these, only MBS 41786 is likely to be </w:t>
      </w:r>
      <w:r w:rsidR="003C5EC5" w:rsidRPr="003C0800">
        <w:t>claimed exclusively</w:t>
      </w:r>
      <w:r w:rsidRPr="003C0800">
        <w:t xml:space="preserve"> for the treatment of OSA.</w:t>
      </w:r>
      <w:r w:rsidR="003C5EC5" w:rsidRPr="003C0800">
        <w:t xml:space="preserve"> Use of an MAS or CPAP are not included on the MBS</w:t>
      </w:r>
      <w:r w:rsidR="0033157D" w:rsidRPr="003C0800">
        <w:t>.</w:t>
      </w:r>
    </w:p>
    <w:p w14:paraId="463B9D20" w14:textId="59488E63" w:rsidR="00330EA0" w:rsidRPr="00330EA0" w:rsidRDefault="00330EA0" w:rsidP="001B29A1">
      <w:pPr>
        <w:ind w:left="426"/>
        <w:rPr>
          <w:b/>
          <w:bCs/>
        </w:rPr>
      </w:pPr>
      <w:r>
        <w:rPr>
          <w:b/>
          <w:bCs/>
        </w:rPr>
        <w:t>Table 1: MBS Item 41786: Uvulopalatopharyngoplasty</w:t>
      </w:r>
    </w:p>
    <w:tbl>
      <w:tblPr>
        <w:tblStyle w:val="TableGrid"/>
        <w:tblW w:w="0" w:type="auto"/>
        <w:tblInd w:w="421" w:type="dxa"/>
        <w:tblLook w:val="04A0" w:firstRow="1" w:lastRow="0" w:firstColumn="1" w:lastColumn="0" w:noHBand="0" w:noVBand="1"/>
        <w:tblCaption w:val="Table"/>
        <w:tblDescription w:val="Table"/>
      </w:tblPr>
      <w:tblGrid>
        <w:gridCol w:w="8595"/>
      </w:tblGrid>
      <w:tr w:rsidR="00330EA0" w:rsidRPr="00330EA0" w14:paraId="714B84F7" w14:textId="77777777" w:rsidTr="00AB7A8D">
        <w:trPr>
          <w:tblHeader/>
        </w:trPr>
        <w:tc>
          <w:tcPr>
            <w:tcW w:w="8595" w:type="dxa"/>
          </w:tcPr>
          <w:p w14:paraId="4B2F5137" w14:textId="77777777" w:rsidR="00330EA0" w:rsidRPr="00AB7A8D" w:rsidRDefault="00330EA0" w:rsidP="00330EA0">
            <w:pPr>
              <w:ind w:left="426"/>
              <w:rPr>
                <w:b/>
              </w:rPr>
            </w:pPr>
            <w:r w:rsidRPr="00AB7A8D">
              <w:rPr>
                <w:b/>
              </w:rPr>
              <w:t>Category 3 – Therapeutic Procedures</w:t>
            </w:r>
          </w:p>
        </w:tc>
      </w:tr>
      <w:tr w:rsidR="00330EA0" w:rsidRPr="00330EA0" w14:paraId="6AAD7143" w14:textId="77777777" w:rsidTr="00AB7A8D">
        <w:trPr>
          <w:trHeight w:val="1828"/>
        </w:trPr>
        <w:tc>
          <w:tcPr>
            <w:tcW w:w="8595" w:type="dxa"/>
          </w:tcPr>
          <w:p w14:paraId="7938FDB3" w14:textId="77777777" w:rsidR="00330EA0" w:rsidRPr="00330EA0" w:rsidRDefault="00330EA0" w:rsidP="00330EA0">
            <w:pPr>
              <w:ind w:left="426"/>
              <w:rPr>
                <w:b/>
                <w:bCs/>
              </w:rPr>
            </w:pPr>
            <w:r w:rsidRPr="00330EA0">
              <w:rPr>
                <w:b/>
                <w:bCs/>
              </w:rPr>
              <w:t>41786 </w:t>
            </w:r>
          </w:p>
          <w:p w14:paraId="1A69B38A" w14:textId="77777777" w:rsidR="00330EA0" w:rsidRPr="00330EA0" w:rsidRDefault="00330EA0" w:rsidP="00330EA0">
            <w:pPr>
              <w:ind w:left="426"/>
            </w:pPr>
            <w:r w:rsidRPr="00330EA0">
              <w:t>UVULOPALATOPHARYNGOPLASTY, with or without tonsillectomy, by any means</w:t>
            </w:r>
          </w:p>
          <w:p w14:paraId="6419842E" w14:textId="77777777" w:rsidR="00330EA0" w:rsidRPr="00330EA0" w:rsidRDefault="00AC6F32" w:rsidP="00330EA0">
            <w:pPr>
              <w:ind w:left="426"/>
            </w:pPr>
            <w:hyperlink r:id="rId28" w:history="1">
              <w:r w:rsidR="00330EA0" w:rsidRPr="00330EA0">
                <w:rPr>
                  <w:rStyle w:val="Hyperlink"/>
                </w:rPr>
                <w:t>Multiple Operation Rule</w:t>
              </w:r>
            </w:hyperlink>
          </w:p>
          <w:p w14:paraId="3388BC9A" w14:textId="5D401503" w:rsidR="00AB7A8D" w:rsidRPr="00330EA0" w:rsidRDefault="00330EA0" w:rsidP="00AB7A8D">
            <w:pPr>
              <w:spacing w:after="240"/>
              <w:ind w:left="425"/>
            </w:pPr>
            <w:r w:rsidRPr="00330EA0">
              <w:t>(Anaes.) (Assist.)</w:t>
            </w:r>
          </w:p>
          <w:p w14:paraId="4D9F131F" w14:textId="77777777" w:rsidR="00330EA0" w:rsidRPr="00AB7A8D" w:rsidRDefault="00330EA0" w:rsidP="00330EA0">
            <w:pPr>
              <w:ind w:left="426"/>
            </w:pPr>
            <w:r w:rsidRPr="00AB7A8D">
              <w:rPr>
                <w:bCs/>
              </w:rPr>
              <w:t>Fee:</w:t>
            </w:r>
            <w:r w:rsidRPr="00AB7A8D">
              <w:t> $748.80 </w:t>
            </w:r>
            <w:r w:rsidRPr="00AB7A8D">
              <w:rPr>
                <w:bCs/>
              </w:rPr>
              <w:t>Benefit:</w:t>
            </w:r>
            <w:r w:rsidRPr="00AB7A8D">
              <w:t> 75% = $561.60</w:t>
            </w:r>
          </w:p>
        </w:tc>
      </w:tr>
    </w:tbl>
    <w:p w14:paraId="5F48051F" w14:textId="5F5B712C" w:rsidR="00E0568D" w:rsidRDefault="00E0568D" w:rsidP="001B29A1">
      <w:pPr>
        <w:ind w:left="426"/>
        <w:rPr>
          <w:b/>
          <w:bCs/>
        </w:rPr>
      </w:pPr>
      <w:r>
        <w:rPr>
          <w:b/>
          <w:bCs/>
        </w:rPr>
        <w:t>Table 2: MBS Item 30272: Partial excision of the tongue</w:t>
      </w:r>
    </w:p>
    <w:tbl>
      <w:tblPr>
        <w:tblStyle w:val="TableGrid"/>
        <w:tblW w:w="0" w:type="auto"/>
        <w:tblInd w:w="421" w:type="dxa"/>
        <w:tblLook w:val="04A0" w:firstRow="1" w:lastRow="0" w:firstColumn="1" w:lastColumn="0" w:noHBand="0" w:noVBand="1"/>
        <w:tblCaption w:val="Table"/>
        <w:tblDescription w:val="Table"/>
      </w:tblPr>
      <w:tblGrid>
        <w:gridCol w:w="8595"/>
      </w:tblGrid>
      <w:tr w:rsidR="00E0568D" w:rsidRPr="00E0568D" w14:paraId="3DEA43FA" w14:textId="77777777" w:rsidTr="00AB7A8D">
        <w:trPr>
          <w:trHeight w:val="333"/>
          <w:tblHeader/>
        </w:trPr>
        <w:tc>
          <w:tcPr>
            <w:tcW w:w="8595" w:type="dxa"/>
          </w:tcPr>
          <w:p w14:paraId="365D8CAB" w14:textId="77777777" w:rsidR="00E0568D" w:rsidRPr="00E0568D" w:rsidRDefault="00E0568D" w:rsidP="00E0568D">
            <w:pPr>
              <w:ind w:left="426"/>
              <w:rPr>
                <w:b/>
                <w:bCs/>
              </w:rPr>
            </w:pPr>
            <w:r w:rsidRPr="00E0568D">
              <w:rPr>
                <w:b/>
                <w:bCs/>
              </w:rPr>
              <w:t>Category 3 – Therapeutic Procedures</w:t>
            </w:r>
          </w:p>
        </w:tc>
      </w:tr>
      <w:tr w:rsidR="00E0568D" w:rsidRPr="00E0568D" w14:paraId="6E59A07E" w14:textId="77777777" w:rsidTr="00E0568D">
        <w:tc>
          <w:tcPr>
            <w:tcW w:w="8595" w:type="dxa"/>
          </w:tcPr>
          <w:p w14:paraId="5F3EAF13" w14:textId="77777777" w:rsidR="00E0568D" w:rsidRPr="00E0568D" w:rsidRDefault="00E0568D" w:rsidP="00E0568D">
            <w:pPr>
              <w:ind w:left="426"/>
              <w:rPr>
                <w:b/>
                <w:bCs/>
              </w:rPr>
            </w:pPr>
            <w:r w:rsidRPr="00E0568D">
              <w:rPr>
                <w:b/>
                <w:bCs/>
              </w:rPr>
              <w:t>30272</w:t>
            </w:r>
          </w:p>
          <w:p w14:paraId="02CF6344" w14:textId="77777777" w:rsidR="00E0568D" w:rsidRPr="00E0568D" w:rsidRDefault="00E0568D" w:rsidP="00E0568D">
            <w:pPr>
              <w:ind w:left="426"/>
            </w:pPr>
            <w:r w:rsidRPr="00E0568D">
              <w:t>TONGUE, partial excision of</w:t>
            </w:r>
          </w:p>
          <w:p w14:paraId="691FE8BD" w14:textId="77777777" w:rsidR="00E0568D" w:rsidRPr="00E0568D" w:rsidRDefault="00AC6F32" w:rsidP="00E0568D">
            <w:pPr>
              <w:ind w:left="426"/>
            </w:pPr>
            <w:hyperlink r:id="rId29" w:history="1">
              <w:r w:rsidR="00E0568D" w:rsidRPr="00E0568D">
                <w:rPr>
                  <w:rStyle w:val="Hyperlink"/>
                </w:rPr>
                <w:t>Multiple Operation Rule</w:t>
              </w:r>
            </w:hyperlink>
          </w:p>
          <w:p w14:paraId="6071706C" w14:textId="519CF3D5" w:rsidR="00AB7A8D" w:rsidRPr="00E0568D" w:rsidRDefault="00E0568D" w:rsidP="00AB7A8D">
            <w:pPr>
              <w:spacing w:after="240"/>
              <w:ind w:left="425"/>
            </w:pPr>
            <w:r w:rsidRPr="00E0568D">
              <w:t>(Anaes.) (Assist.)</w:t>
            </w:r>
          </w:p>
          <w:p w14:paraId="49C38F34" w14:textId="77777777" w:rsidR="00E0568D" w:rsidRPr="00E0568D" w:rsidRDefault="00E0568D" w:rsidP="00E0568D">
            <w:pPr>
              <w:ind w:left="426"/>
              <w:rPr>
                <w:b/>
                <w:bCs/>
              </w:rPr>
            </w:pPr>
            <w:r w:rsidRPr="00E0568D">
              <w:t>Fee: $300.45 Benefit: 75% = $225.35 85% = $255.40</w:t>
            </w:r>
          </w:p>
        </w:tc>
      </w:tr>
    </w:tbl>
    <w:p w14:paraId="52119693" w14:textId="1C7E9123" w:rsidR="00E0568D" w:rsidRDefault="00E0568D" w:rsidP="001B29A1">
      <w:pPr>
        <w:ind w:left="426"/>
        <w:rPr>
          <w:b/>
          <w:bCs/>
        </w:rPr>
      </w:pPr>
      <w:r>
        <w:rPr>
          <w:b/>
          <w:bCs/>
        </w:rPr>
        <w:t>Table 3: MBS Item 41779: Pharyngotomy</w:t>
      </w:r>
    </w:p>
    <w:tbl>
      <w:tblPr>
        <w:tblStyle w:val="TableGrid"/>
        <w:tblW w:w="0" w:type="auto"/>
        <w:tblInd w:w="421" w:type="dxa"/>
        <w:tblLook w:val="04A0" w:firstRow="1" w:lastRow="0" w:firstColumn="1" w:lastColumn="0" w:noHBand="0" w:noVBand="1"/>
        <w:tblCaption w:val="Table"/>
        <w:tblDescription w:val="Table"/>
      </w:tblPr>
      <w:tblGrid>
        <w:gridCol w:w="8595"/>
      </w:tblGrid>
      <w:tr w:rsidR="00E0568D" w:rsidRPr="00E0568D" w14:paraId="5536D467" w14:textId="77777777" w:rsidTr="00AB7A8D">
        <w:trPr>
          <w:tblHeader/>
        </w:trPr>
        <w:tc>
          <w:tcPr>
            <w:tcW w:w="8595" w:type="dxa"/>
          </w:tcPr>
          <w:p w14:paraId="4D26667E" w14:textId="77777777" w:rsidR="00E0568D" w:rsidRPr="00E0568D" w:rsidRDefault="00E0568D" w:rsidP="00E0568D">
            <w:pPr>
              <w:ind w:left="426"/>
              <w:rPr>
                <w:b/>
                <w:bCs/>
              </w:rPr>
            </w:pPr>
            <w:r w:rsidRPr="00E0568D">
              <w:rPr>
                <w:b/>
                <w:bCs/>
              </w:rPr>
              <w:t>Category 3 – Therapeutic Procedures</w:t>
            </w:r>
          </w:p>
        </w:tc>
      </w:tr>
      <w:tr w:rsidR="00E0568D" w:rsidRPr="00E0568D" w14:paraId="18395ED2" w14:textId="77777777" w:rsidTr="00E0568D">
        <w:tc>
          <w:tcPr>
            <w:tcW w:w="8595" w:type="dxa"/>
          </w:tcPr>
          <w:p w14:paraId="337F4B16" w14:textId="77777777" w:rsidR="00E0568D" w:rsidRPr="00E0568D" w:rsidRDefault="00E0568D" w:rsidP="00E0568D">
            <w:pPr>
              <w:ind w:left="426"/>
              <w:rPr>
                <w:b/>
                <w:bCs/>
              </w:rPr>
            </w:pPr>
            <w:r w:rsidRPr="00E0568D">
              <w:rPr>
                <w:b/>
                <w:bCs/>
              </w:rPr>
              <w:t>41779</w:t>
            </w:r>
          </w:p>
          <w:p w14:paraId="35705266" w14:textId="77777777" w:rsidR="00E0568D" w:rsidRPr="00E0568D" w:rsidRDefault="00E0568D" w:rsidP="00E0568D">
            <w:pPr>
              <w:ind w:left="426"/>
            </w:pPr>
            <w:r w:rsidRPr="00E0568D">
              <w:t>PHARYNGOTOMY (lateral), with or without total excision of tongue</w:t>
            </w:r>
          </w:p>
          <w:p w14:paraId="3115F0DE" w14:textId="77777777" w:rsidR="00E0568D" w:rsidRPr="00E0568D" w:rsidRDefault="00AC6F32" w:rsidP="00E0568D">
            <w:pPr>
              <w:ind w:left="426"/>
            </w:pPr>
            <w:hyperlink r:id="rId30" w:history="1">
              <w:r w:rsidR="00E0568D" w:rsidRPr="00E0568D">
                <w:rPr>
                  <w:rStyle w:val="Hyperlink"/>
                </w:rPr>
                <w:t>Multiple Operation Rule</w:t>
              </w:r>
            </w:hyperlink>
          </w:p>
          <w:p w14:paraId="370747E5" w14:textId="03A9BEFC" w:rsidR="00AB7A8D" w:rsidRPr="00E0568D" w:rsidRDefault="00AB7A8D" w:rsidP="00AB7A8D">
            <w:pPr>
              <w:spacing w:after="240"/>
              <w:ind w:left="425"/>
            </w:pPr>
            <w:r>
              <w:t>(Anaes.) (Assist.)</w:t>
            </w:r>
          </w:p>
          <w:p w14:paraId="1C5F89E2" w14:textId="77777777" w:rsidR="00E0568D" w:rsidRPr="00E0568D" w:rsidRDefault="00E0568D" w:rsidP="00E0568D">
            <w:pPr>
              <w:ind w:left="426"/>
              <w:rPr>
                <w:b/>
                <w:bCs/>
              </w:rPr>
            </w:pPr>
            <w:r w:rsidRPr="00E0568D">
              <w:t>Fee: $712.50 Benefit: 75% = $534.40</w:t>
            </w:r>
          </w:p>
        </w:tc>
      </w:tr>
    </w:tbl>
    <w:p w14:paraId="706A34F5" w14:textId="28E1E21F" w:rsidR="00E0568D" w:rsidRDefault="00E0568D" w:rsidP="001B29A1">
      <w:pPr>
        <w:ind w:left="426"/>
        <w:rPr>
          <w:b/>
          <w:bCs/>
        </w:rPr>
      </w:pPr>
      <w:r>
        <w:rPr>
          <w:b/>
          <w:bCs/>
        </w:rPr>
        <w:t>Table 4: MBS Item 41787: Uvulectomy and Partial Palatectomy</w:t>
      </w:r>
    </w:p>
    <w:tbl>
      <w:tblPr>
        <w:tblStyle w:val="TableGrid"/>
        <w:tblW w:w="0" w:type="auto"/>
        <w:tblInd w:w="421" w:type="dxa"/>
        <w:tblLook w:val="04A0" w:firstRow="1" w:lastRow="0" w:firstColumn="1" w:lastColumn="0" w:noHBand="0" w:noVBand="1"/>
        <w:tblCaption w:val="Table"/>
        <w:tblDescription w:val="Table"/>
      </w:tblPr>
      <w:tblGrid>
        <w:gridCol w:w="8595"/>
      </w:tblGrid>
      <w:tr w:rsidR="00E0568D" w:rsidRPr="00E0568D" w14:paraId="74C6EF6C" w14:textId="77777777" w:rsidTr="00AB7A8D">
        <w:trPr>
          <w:tblHeader/>
        </w:trPr>
        <w:tc>
          <w:tcPr>
            <w:tcW w:w="8595" w:type="dxa"/>
          </w:tcPr>
          <w:p w14:paraId="21A291FA" w14:textId="77777777" w:rsidR="00E0568D" w:rsidRPr="00E0568D" w:rsidRDefault="00E0568D" w:rsidP="00E0568D">
            <w:pPr>
              <w:ind w:left="426"/>
              <w:rPr>
                <w:b/>
                <w:bCs/>
              </w:rPr>
            </w:pPr>
            <w:r w:rsidRPr="00E0568D">
              <w:rPr>
                <w:b/>
                <w:bCs/>
              </w:rPr>
              <w:t>Category 3 – Therapeutic procedures</w:t>
            </w:r>
          </w:p>
        </w:tc>
      </w:tr>
      <w:tr w:rsidR="00E0568D" w:rsidRPr="00E0568D" w14:paraId="5CC18067" w14:textId="77777777" w:rsidTr="00E0568D">
        <w:tc>
          <w:tcPr>
            <w:tcW w:w="8595" w:type="dxa"/>
          </w:tcPr>
          <w:p w14:paraId="0EDBE6A4" w14:textId="77777777" w:rsidR="00E0568D" w:rsidRPr="00E0568D" w:rsidRDefault="00E0568D" w:rsidP="00E0568D">
            <w:pPr>
              <w:ind w:left="426"/>
              <w:rPr>
                <w:b/>
                <w:bCs/>
              </w:rPr>
            </w:pPr>
            <w:r w:rsidRPr="00E0568D">
              <w:rPr>
                <w:b/>
                <w:bCs/>
              </w:rPr>
              <w:t>41787</w:t>
            </w:r>
          </w:p>
          <w:p w14:paraId="252BE457" w14:textId="080DA7E9" w:rsidR="00E0568D" w:rsidRPr="00E0568D" w:rsidRDefault="00E0568D" w:rsidP="00E0568D">
            <w:pPr>
              <w:ind w:left="426"/>
            </w:pPr>
            <w:r w:rsidRPr="00E0568D">
              <w:t>UVULECTOMY AND PARTIAL PALATECTOMY WITH LASER INCISION OF THE PALATE, with or without tonsillectomy, 1 or more stages, including any revision procedures within 12 months</w:t>
            </w:r>
            <w:r w:rsidR="00702D17">
              <w:t>.</w:t>
            </w:r>
          </w:p>
          <w:p w14:paraId="1FE3B161" w14:textId="77777777" w:rsidR="00E0568D" w:rsidRPr="00E0568D" w:rsidRDefault="00AC6F32" w:rsidP="00E0568D">
            <w:pPr>
              <w:ind w:left="426"/>
            </w:pPr>
            <w:hyperlink r:id="rId31" w:history="1">
              <w:r w:rsidR="00E0568D" w:rsidRPr="00E0568D">
                <w:rPr>
                  <w:rStyle w:val="Hyperlink"/>
                </w:rPr>
                <w:t>Multiple Operation Rule</w:t>
              </w:r>
            </w:hyperlink>
          </w:p>
          <w:p w14:paraId="7D188C8F" w14:textId="3AA5EF29" w:rsidR="00E0568D" w:rsidRPr="00E0568D" w:rsidRDefault="00AB7A8D" w:rsidP="00AB7A8D">
            <w:pPr>
              <w:spacing w:after="240"/>
              <w:ind w:left="425"/>
            </w:pPr>
            <w:r>
              <w:t>(Anaes.) (Assist.)</w:t>
            </w:r>
          </w:p>
          <w:p w14:paraId="31D53E3D" w14:textId="77777777" w:rsidR="00E0568D" w:rsidRPr="00E0568D" w:rsidRDefault="00E0568D" w:rsidP="00E0568D">
            <w:pPr>
              <w:ind w:left="426"/>
              <w:rPr>
                <w:b/>
                <w:bCs/>
              </w:rPr>
            </w:pPr>
            <w:r w:rsidRPr="00E0568D">
              <w:t>Fee: $577.75 Benefit: 75% = $433.35 85% = $493.05</w:t>
            </w:r>
          </w:p>
        </w:tc>
      </w:tr>
    </w:tbl>
    <w:p w14:paraId="481FF6F6" w14:textId="77777777" w:rsidR="00E0568D" w:rsidRDefault="00E0568D" w:rsidP="001B29A1">
      <w:pPr>
        <w:ind w:left="426"/>
        <w:rPr>
          <w:b/>
          <w:bCs/>
        </w:rPr>
      </w:pPr>
    </w:p>
    <w:p w14:paraId="635EAFDC" w14:textId="77777777" w:rsidR="00AB7A8D" w:rsidRDefault="00AB7A8D">
      <w:pPr>
        <w:spacing w:before="0" w:after="200" w:line="276" w:lineRule="auto"/>
        <w:rPr>
          <w:b/>
          <w:bCs/>
        </w:rPr>
      </w:pPr>
      <w:r>
        <w:rPr>
          <w:b/>
          <w:bCs/>
        </w:rPr>
        <w:br w:type="page"/>
      </w:r>
    </w:p>
    <w:p w14:paraId="2D7C8171" w14:textId="62654D98" w:rsidR="00E0568D" w:rsidRDefault="00E0568D" w:rsidP="001B29A1">
      <w:pPr>
        <w:ind w:left="426"/>
        <w:rPr>
          <w:b/>
          <w:bCs/>
        </w:rPr>
      </w:pPr>
      <w:r>
        <w:rPr>
          <w:b/>
          <w:bCs/>
        </w:rPr>
        <w:t>Table 5: MBS Item 45726: Osteotomy or osteectomy</w:t>
      </w:r>
    </w:p>
    <w:tbl>
      <w:tblPr>
        <w:tblStyle w:val="TableGrid"/>
        <w:tblW w:w="0" w:type="auto"/>
        <w:tblInd w:w="421" w:type="dxa"/>
        <w:tblLook w:val="04A0" w:firstRow="1" w:lastRow="0" w:firstColumn="1" w:lastColumn="0" w:noHBand="0" w:noVBand="1"/>
        <w:tblCaption w:val="Table"/>
        <w:tblDescription w:val="Table"/>
      </w:tblPr>
      <w:tblGrid>
        <w:gridCol w:w="8595"/>
      </w:tblGrid>
      <w:tr w:rsidR="00E0568D" w:rsidRPr="00E0568D" w14:paraId="5E8F464D" w14:textId="77777777" w:rsidTr="00AB7A8D">
        <w:trPr>
          <w:tblHeader/>
        </w:trPr>
        <w:tc>
          <w:tcPr>
            <w:tcW w:w="8595" w:type="dxa"/>
          </w:tcPr>
          <w:p w14:paraId="37CD6B04" w14:textId="77777777" w:rsidR="00E0568D" w:rsidRPr="00E0568D" w:rsidRDefault="00E0568D" w:rsidP="00E0568D">
            <w:pPr>
              <w:ind w:left="426"/>
              <w:rPr>
                <w:b/>
                <w:bCs/>
              </w:rPr>
            </w:pPr>
            <w:r w:rsidRPr="00E0568D">
              <w:rPr>
                <w:b/>
                <w:bCs/>
              </w:rPr>
              <w:t>Category 3 – Therapeutic Procedures</w:t>
            </w:r>
          </w:p>
        </w:tc>
      </w:tr>
      <w:tr w:rsidR="00E0568D" w:rsidRPr="00E0568D" w14:paraId="72B0C8B9" w14:textId="77777777" w:rsidTr="00E0568D">
        <w:tc>
          <w:tcPr>
            <w:tcW w:w="8595" w:type="dxa"/>
          </w:tcPr>
          <w:p w14:paraId="3988ED9C" w14:textId="77777777" w:rsidR="00E0568D" w:rsidRPr="00E0568D" w:rsidRDefault="00E0568D" w:rsidP="00E0568D">
            <w:pPr>
              <w:ind w:left="426"/>
              <w:rPr>
                <w:b/>
                <w:bCs/>
              </w:rPr>
            </w:pPr>
            <w:r w:rsidRPr="00E0568D">
              <w:rPr>
                <w:b/>
                <w:bCs/>
              </w:rPr>
              <w:t>45726</w:t>
            </w:r>
          </w:p>
          <w:p w14:paraId="55105A41" w14:textId="0EEF5BB5" w:rsidR="00E0568D" w:rsidRPr="00E0568D" w:rsidRDefault="00E0568D" w:rsidP="00E0568D">
            <w:pPr>
              <w:ind w:left="426"/>
              <w:rPr>
                <w:b/>
                <w:bCs/>
              </w:rPr>
            </w:pPr>
            <w:r w:rsidRPr="008A071F">
              <w:t>MANDIBLE OR MAXILLA, bilateral osteotomy or osteectomy of, including transposition of nerves and vessels and bone grafts taken from the same site, and excluding services to which item 47933 or 47936 apply</w:t>
            </w:r>
            <w:r w:rsidR="00702D17">
              <w:rPr>
                <w:b/>
                <w:bCs/>
              </w:rPr>
              <w:t>.</w:t>
            </w:r>
          </w:p>
          <w:p w14:paraId="6F634E9F" w14:textId="77777777" w:rsidR="00E0568D" w:rsidRPr="00AB7A8D" w:rsidRDefault="00AC6F32" w:rsidP="00E0568D">
            <w:pPr>
              <w:ind w:left="426"/>
              <w:rPr>
                <w:bCs/>
              </w:rPr>
            </w:pPr>
            <w:hyperlink r:id="rId32" w:history="1">
              <w:r w:rsidR="00E0568D" w:rsidRPr="00AB7A8D">
                <w:rPr>
                  <w:rStyle w:val="Hyperlink"/>
                  <w:bCs/>
                </w:rPr>
                <w:t>Multiple Operation Rule</w:t>
              </w:r>
            </w:hyperlink>
          </w:p>
          <w:p w14:paraId="4FCC0FE3" w14:textId="4BE5211E" w:rsidR="00E0568D" w:rsidRPr="00AB7A8D" w:rsidRDefault="00E0568D" w:rsidP="00AB7A8D">
            <w:pPr>
              <w:spacing w:after="240"/>
              <w:ind w:left="425"/>
            </w:pPr>
            <w:r w:rsidRPr="00AB7A8D">
              <w:t>(Anaes.) (Assist.)</w:t>
            </w:r>
          </w:p>
          <w:p w14:paraId="628A677B" w14:textId="77777777" w:rsidR="00E0568D" w:rsidRPr="00AB7A8D" w:rsidRDefault="00E0568D" w:rsidP="00E0568D">
            <w:pPr>
              <w:ind w:left="426"/>
              <w:rPr>
                <w:bCs/>
              </w:rPr>
            </w:pPr>
            <w:r w:rsidRPr="00AB7A8D">
              <w:rPr>
                <w:bCs/>
              </w:rPr>
              <w:t>Fee: $1,251.75 Benefit: 75% = $938.85</w:t>
            </w:r>
          </w:p>
        </w:tc>
      </w:tr>
    </w:tbl>
    <w:p w14:paraId="6A2275B0" w14:textId="77777777" w:rsidR="00E0568D" w:rsidRPr="00E0568D" w:rsidRDefault="00E0568D" w:rsidP="001B29A1">
      <w:pPr>
        <w:ind w:left="426"/>
        <w:rPr>
          <w:b/>
          <w:bCs/>
        </w:rPr>
      </w:pPr>
    </w:p>
    <w:p w14:paraId="1BB87CEB" w14:textId="77777777" w:rsidR="00AF5D1E" w:rsidRPr="00154B00" w:rsidRDefault="00AF5D1E" w:rsidP="00530204">
      <w:pPr>
        <w:pStyle w:val="Heading2"/>
      </w:pPr>
      <w:r w:rsidRPr="00154B00">
        <w:t xml:space="preserve">Define and </w:t>
      </w:r>
      <w:r w:rsidRPr="001B29A1">
        <w:t>summarise</w:t>
      </w:r>
      <w:r w:rsidRPr="00154B00">
        <w:t xml:space="preserve"> the current cl</w:t>
      </w:r>
      <w:r w:rsidR="00F33F1A" w:rsidRPr="00154B00">
        <w:t>inical management pathway</w:t>
      </w:r>
      <w:r w:rsidR="003904AC">
        <w:t>/</w:t>
      </w:r>
      <w:r w:rsidR="00F33F1A" w:rsidRPr="00154B00">
        <w:t xml:space="preserve">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3904AC">
        <w:t>,</w:t>
      </w:r>
      <w:r w:rsidR="00E4321E" w:rsidRPr="00154B00">
        <w:t xml:space="preserve"> including health care resources</w:t>
      </w:r>
      <w:r w:rsidR="00AE1188">
        <w:t>):</w:t>
      </w:r>
    </w:p>
    <w:p w14:paraId="0F9D035D" w14:textId="74BA510F" w:rsidR="003433D1" w:rsidRPr="003C0800" w:rsidRDefault="003C5EC5" w:rsidP="001B29A1">
      <w:pPr>
        <w:ind w:left="426"/>
        <w:rPr>
          <w:b/>
          <w:szCs w:val="20"/>
        </w:rPr>
      </w:pPr>
      <w:r w:rsidRPr="003C0800">
        <w:t>As noted in Question 38, most patients will receive no further therapy.  A small percentage may re-attempt CPAP, receive upper airways surgery, or trial a MAS. Please see the attached document ‘Clinical Pathway Comparator’.</w:t>
      </w:r>
    </w:p>
    <w:p w14:paraId="1596BEE9" w14:textId="77777777"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5326A5FE" w14:textId="77777777" w:rsidR="001B29A1" w:rsidRDefault="001B29A1" w:rsidP="001B29A1">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AC6F32">
        <w:rPr>
          <w:szCs w:val="20"/>
        </w:rPr>
      </w:r>
      <w:r w:rsidR="00AC6F32">
        <w:rPr>
          <w:szCs w:val="20"/>
        </w:rPr>
        <w:fldChar w:fldCharType="separate"/>
      </w:r>
      <w:r w:rsidRPr="00753C44">
        <w:rPr>
          <w:szCs w:val="20"/>
        </w:rPr>
        <w:fldChar w:fldCharType="end"/>
      </w:r>
      <w:r>
        <w:rPr>
          <w:szCs w:val="20"/>
        </w:rPr>
        <w:t xml:space="preserve"> </w:t>
      </w:r>
      <w:r w:rsidR="00282BE8">
        <w:rPr>
          <w:szCs w:val="20"/>
        </w:rPr>
        <w:t>In addition to (i.e. it is an add-on service)</w:t>
      </w:r>
      <w:r>
        <w:rPr>
          <w:szCs w:val="20"/>
        </w:rPr>
        <w:t xml:space="preserve"> </w:t>
      </w:r>
    </w:p>
    <w:p w14:paraId="0CBAE7B4" w14:textId="772F6BF8" w:rsidR="001B29A1" w:rsidRDefault="008F73EC"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C6F32">
        <w:rPr>
          <w:szCs w:val="20"/>
        </w:rPr>
      </w:r>
      <w:r w:rsidR="00AC6F32">
        <w:rPr>
          <w:szCs w:val="20"/>
        </w:rPr>
        <w:fldChar w:fldCharType="separate"/>
      </w:r>
      <w:r>
        <w:rPr>
          <w:szCs w:val="20"/>
        </w:rPr>
        <w:fldChar w:fldCharType="end"/>
      </w:r>
      <w:r w:rsidR="001B29A1">
        <w:rPr>
          <w:szCs w:val="20"/>
        </w:rPr>
        <w:t xml:space="preserve"> </w:t>
      </w:r>
      <w:r w:rsidR="00282BE8">
        <w:rPr>
          <w:szCs w:val="20"/>
        </w:rPr>
        <w:t>Instead of (i.e. it is a replacement or alternative)</w:t>
      </w:r>
    </w:p>
    <w:p w14:paraId="7957A37A" w14:textId="0C70D615" w:rsidR="00E70D86" w:rsidRDefault="00E70D86" w:rsidP="005C3AE7">
      <w:pPr>
        <w:pStyle w:val="Heading2"/>
        <w:numPr>
          <w:ilvl w:val="0"/>
          <w:numId w:val="30"/>
        </w:numPr>
      </w:pPr>
      <w:r w:rsidRPr="00154B00">
        <w:t xml:space="preserve">If </w:t>
      </w:r>
      <w:r w:rsidR="00723446">
        <w:t>instead of (i.e. alternative service)</w:t>
      </w:r>
      <w:r w:rsidR="00D00122">
        <w:t xml:space="preserve">, </w:t>
      </w:r>
      <w:r w:rsidRPr="00154B00">
        <w:t xml:space="preserve">please </w:t>
      </w:r>
      <w:r w:rsidR="00F33F1A" w:rsidRPr="00154B00">
        <w:t xml:space="preserve">outline </w:t>
      </w:r>
      <w:r w:rsidR="00723446">
        <w:t xml:space="preserve">the extent to </w:t>
      </w:r>
      <w:r w:rsidR="00F33F1A" w:rsidRPr="00154B00">
        <w:t xml:space="preserve">which </w:t>
      </w:r>
      <w:r w:rsidR="00D00122">
        <w:t xml:space="preserve">the </w:t>
      </w:r>
      <w:r w:rsidR="00F33F1A" w:rsidRPr="00154B00">
        <w:t xml:space="preserve">current service/comparator is expected to be </w:t>
      </w:r>
      <w:r w:rsidR="00AE1188">
        <w:t>substituted:</w:t>
      </w:r>
    </w:p>
    <w:p w14:paraId="5FD1A484" w14:textId="18AFFCC9" w:rsidR="00727F9B" w:rsidRPr="00727F9B" w:rsidRDefault="00727F9B" w:rsidP="00727F9B">
      <w:pPr>
        <w:ind w:left="360"/>
      </w:pPr>
      <w:r>
        <w:t>It is difficult to estimate the number of people in the community who have failed or cannot tolerate CPAP, although the potential population is large. Should closed loop UAS be included on the MBS then a small proportion of the potential population would be able to access the therapy. Patients who have a BMI &gt; 32</w:t>
      </w:r>
      <w:r w:rsidR="005E3294">
        <w:t>, have total concentric collapse or who are aged less than 18 are not eligible</w:t>
      </w:r>
      <w:r w:rsidR="0033157D">
        <w:t>.</w:t>
      </w:r>
    </w:p>
    <w:p w14:paraId="32277D47" w14:textId="6C892806" w:rsidR="003433D1" w:rsidRPr="001B29A1" w:rsidRDefault="00727F9B" w:rsidP="005E3294">
      <w:pPr>
        <w:ind w:left="360" w:firstLine="45"/>
        <w:rPr>
          <w:szCs w:val="20"/>
        </w:rPr>
      </w:pPr>
      <w:r>
        <w:t>A small number of patients who may otherwise have upper airways surgery may receive closed loop UAS instead.</w:t>
      </w:r>
    </w:p>
    <w:p w14:paraId="38D4D453" w14:textId="7EB4F27A" w:rsidR="005E3294" w:rsidRDefault="009C03FB" w:rsidP="005E329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w:t>
      </w:r>
      <w:r w:rsidR="003904AC">
        <w:t>,</w:t>
      </w:r>
      <w:r w:rsidR="00F33F1A" w:rsidRPr="00154B00">
        <w:t xml:space="preserv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7EC732F8" w14:textId="68DBC033" w:rsidR="005E3294" w:rsidRPr="003C0800" w:rsidRDefault="005E3294" w:rsidP="005E3294">
      <w:pPr>
        <w:ind w:left="357"/>
        <w:rPr>
          <w:sz w:val="22"/>
          <w:szCs w:val="24"/>
        </w:rPr>
      </w:pPr>
      <w:r w:rsidRPr="003C0800">
        <w:t>The pathway following implementation of Inspire</w:t>
      </w:r>
      <w:r w:rsidRPr="003C0800">
        <w:rPr>
          <w:rFonts w:cstheme="minorHAnsi"/>
        </w:rPr>
        <w:t>®</w:t>
      </w:r>
      <w:r w:rsidRPr="003C0800">
        <w:t xml:space="preserve"> therapy is similar to that following usual care. It is however less likely that patients would use CPAP as is the case with some patients following surgery.  In the STAR trial patients were classified as responders if there was a decrease in AHI &gt; 50% and AHI &lt; 20, however most patients who were not classified as responders still reported reductions in symptoms of OSA.   It is possible that some patients might proceed to surgery, although this is likely to be fewer than in the absence of closed loop UAS and in extreme cases tracheostomy may be considered </w:t>
      </w:r>
      <w:r w:rsidR="0033157D" w:rsidRPr="003C0800">
        <w:t>although</w:t>
      </w:r>
      <w:r w:rsidRPr="003C0800">
        <w:t xml:space="preserve"> this is considered unlikely. Non-responders would likely receive no further active intervention</w:t>
      </w:r>
      <w:r w:rsidR="0033157D" w:rsidRPr="003C0800">
        <w:t xml:space="preserve">, </w:t>
      </w:r>
      <w:r w:rsidR="00EB6586" w:rsidRPr="003C0800">
        <w:t>or a small number may possibly reattempt CPAP and/or MAS.</w:t>
      </w:r>
    </w:p>
    <w:p w14:paraId="7715683A" w14:textId="77777777" w:rsidR="001B29A1" w:rsidRPr="005E3294" w:rsidRDefault="001B29A1" w:rsidP="005E3294">
      <w:pPr>
        <w:rPr>
          <w:b/>
          <w:iCs/>
          <w:szCs w:val="20"/>
          <w:u w:val="single"/>
        </w:rPr>
      </w:pPr>
      <w:r>
        <w:rPr>
          <w:b/>
          <w:i/>
          <w:szCs w:val="20"/>
          <w:u w:val="single"/>
        </w:rPr>
        <w:br w:type="page"/>
      </w:r>
    </w:p>
    <w:p w14:paraId="0B4C6C3D" w14:textId="77777777" w:rsidR="00DF0D47" w:rsidRPr="00881F93" w:rsidRDefault="005C3AE7" w:rsidP="00AB7A8D">
      <w:pPr>
        <w:pStyle w:val="Subtitle"/>
        <w:ind w:left="0"/>
      </w:pPr>
      <w:r>
        <w:t xml:space="preserve">PART 6d – </w:t>
      </w:r>
      <w:r w:rsidR="00DF0D47" w:rsidRPr="00881F93">
        <w:t xml:space="preserve">INFORMATION ABOUT THE </w:t>
      </w:r>
      <w:r w:rsidR="00CF5AD8" w:rsidRPr="00881F93">
        <w:t xml:space="preserve">CLINICAL </w:t>
      </w:r>
      <w:r w:rsidR="00DF0D47" w:rsidRPr="00881F93">
        <w:t>OUTCOME</w:t>
      </w:r>
    </w:p>
    <w:p w14:paraId="0DE11AAF" w14:textId="568E45E9" w:rsidR="004E3CC7" w:rsidRPr="003C0800" w:rsidRDefault="004E3CC7" w:rsidP="00530204">
      <w:pPr>
        <w:pStyle w:val="Heading2"/>
      </w:pPr>
      <w:r w:rsidRPr="001B29A1">
        <w:t xml:space="preserve">Summarise the clinical claims for the proposed medical service against the appropriate comparator(s), </w:t>
      </w:r>
      <w:r w:rsidRPr="003C0800">
        <w:t>in terms of consequences for health outcomes</w:t>
      </w:r>
      <w:r w:rsidR="00CF5AD8" w:rsidRPr="003C0800">
        <w:t xml:space="preserve"> (</w:t>
      </w:r>
      <w:r w:rsidR="009F0C02" w:rsidRPr="003C0800">
        <w:t>comparative benefits and harms)</w:t>
      </w:r>
      <w:r w:rsidR="00AE1188" w:rsidRPr="003C0800">
        <w:t>:</w:t>
      </w:r>
    </w:p>
    <w:p w14:paraId="2B1CD017" w14:textId="17DAFB36" w:rsidR="00EB6586" w:rsidRPr="003C0800" w:rsidRDefault="00EB6586" w:rsidP="00EB6586">
      <w:pPr>
        <w:ind w:left="360"/>
      </w:pPr>
      <w:r w:rsidRPr="003C0800">
        <w:t>Inspire® therapy is superior to usual care for patients with moderate to severe OSA and who have failed or unable to tolerate CPAP.</w:t>
      </w:r>
    </w:p>
    <w:p w14:paraId="3A843094"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14:paraId="7C4868D7" w14:textId="265B3035" w:rsidR="001B29A1" w:rsidRPr="001B29A1" w:rsidRDefault="00EB6586"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C6F32">
        <w:rPr>
          <w:szCs w:val="20"/>
        </w:rPr>
      </w:r>
      <w:r w:rsidR="00AC6F32">
        <w:rPr>
          <w:szCs w:val="20"/>
        </w:rPr>
        <w:fldChar w:fldCharType="separate"/>
      </w:r>
      <w:r>
        <w:rPr>
          <w:szCs w:val="20"/>
        </w:rPr>
        <w:fldChar w:fldCharType="end"/>
      </w:r>
      <w:r w:rsidR="001B29A1" w:rsidRPr="001B29A1">
        <w:rPr>
          <w:szCs w:val="20"/>
        </w:rPr>
        <w:t xml:space="preserve"> Superiority</w:t>
      </w:r>
      <w:r w:rsidR="001B29A1" w:rsidRPr="001B29A1">
        <w:rPr>
          <w:szCs w:val="20"/>
        </w:rPr>
        <w:tab/>
      </w:r>
    </w:p>
    <w:p w14:paraId="00EB0076" w14:textId="77777777" w:rsidR="004E3CC7"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AC6F32">
        <w:rPr>
          <w:szCs w:val="20"/>
        </w:rPr>
      </w:r>
      <w:r w:rsidR="00AC6F32">
        <w:rPr>
          <w:szCs w:val="20"/>
        </w:rPr>
        <w:fldChar w:fldCharType="separate"/>
      </w:r>
      <w:r w:rsidRPr="001B29A1">
        <w:rPr>
          <w:szCs w:val="20"/>
        </w:rPr>
        <w:fldChar w:fldCharType="end"/>
      </w:r>
      <w:r w:rsidRPr="001B29A1">
        <w:rPr>
          <w:szCs w:val="20"/>
        </w:rPr>
        <w:t xml:space="preserve"> Non-inferiority</w:t>
      </w:r>
      <w:r w:rsidRPr="001B29A1">
        <w:rPr>
          <w:szCs w:val="20"/>
        </w:rPr>
        <w:tab/>
      </w:r>
    </w:p>
    <w:p w14:paraId="527D6830" w14:textId="77777777"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3012D18E" w14:textId="425F57BA" w:rsidR="001B29A1" w:rsidRDefault="001B29A1" w:rsidP="001B29A1">
      <w:pPr>
        <w:pBdr>
          <w:top w:val="single" w:sz="4" w:space="1" w:color="auto"/>
          <w:left w:val="single" w:sz="4" w:space="4" w:color="auto"/>
          <w:bottom w:val="single" w:sz="4" w:space="1" w:color="auto"/>
          <w:right w:val="single" w:sz="4" w:space="4" w:color="auto"/>
        </w:pBdr>
      </w:pPr>
      <w:r w:rsidRPr="001B29A1">
        <w:rPr>
          <w:b/>
          <w:szCs w:val="20"/>
        </w:rPr>
        <w:t>Safety Outcomes</w:t>
      </w:r>
      <w:r>
        <w:rPr>
          <w:b/>
          <w:szCs w:val="20"/>
        </w:rPr>
        <w:t xml:space="preserve">: </w:t>
      </w:r>
    </w:p>
    <w:p w14:paraId="5EB54B6B" w14:textId="0876561A" w:rsidR="00EB6586" w:rsidRDefault="00EB6586" w:rsidP="001B29A1">
      <w:pPr>
        <w:pBdr>
          <w:top w:val="single" w:sz="4" w:space="1" w:color="auto"/>
          <w:left w:val="single" w:sz="4" w:space="4" w:color="auto"/>
          <w:bottom w:val="single" w:sz="4" w:space="1" w:color="auto"/>
          <w:right w:val="single" w:sz="4" w:space="4" w:color="auto"/>
        </w:pBdr>
      </w:pPr>
      <w:r>
        <w:t>Device related adverse events.</w:t>
      </w:r>
    </w:p>
    <w:p w14:paraId="5CFE0AE7" w14:textId="6C2E8F84" w:rsidR="001B29A1" w:rsidRPr="001B29A1" w:rsidRDefault="00EB6586" w:rsidP="001B29A1">
      <w:pPr>
        <w:pBdr>
          <w:top w:val="single" w:sz="4" w:space="1" w:color="auto"/>
          <w:left w:val="single" w:sz="4" w:space="4" w:color="auto"/>
          <w:bottom w:val="single" w:sz="4" w:space="1" w:color="auto"/>
          <w:right w:val="single" w:sz="4" w:space="4" w:color="auto"/>
        </w:pBdr>
        <w:rPr>
          <w:b/>
          <w:szCs w:val="20"/>
        </w:rPr>
      </w:pPr>
      <w:r>
        <w:t>Other adverse events</w:t>
      </w:r>
    </w:p>
    <w:p w14:paraId="18F5235A" w14:textId="0E53E21B" w:rsidR="00B25D20" w:rsidRDefault="001B29A1" w:rsidP="001B29A1">
      <w:pPr>
        <w:pBdr>
          <w:top w:val="single" w:sz="4" w:space="1" w:color="auto"/>
          <w:left w:val="single" w:sz="4" w:space="4" w:color="auto"/>
          <w:bottom w:val="single" w:sz="4" w:space="1" w:color="auto"/>
          <w:right w:val="single" w:sz="4" w:space="4" w:color="auto"/>
        </w:pBdr>
        <w:rPr>
          <w:b/>
          <w:szCs w:val="20"/>
        </w:rPr>
      </w:pPr>
      <w:r w:rsidRPr="001B29A1">
        <w:rPr>
          <w:b/>
          <w:szCs w:val="20"/>
        </w:rPr>
        <w:t>Clinical Effectiveness Outcomes</w:t>
      </w:r>
      <w:r>
        <w:rPr>
          <w:b/>
          <w:szCs w:val="20"/>
        </w:rPr>
        <w:t xml:space="preserve">: </w:t>
      </w:r>
    </w:p>
    <w:p w14:paraId="6BEA2209" w14:textId="77777777" w:rsidR="00EB6586" w:rsidRPr="00EB6586" w:rsidRDefault="00EB6586" w:rsidP="00EB6586">
      <w:pPr>
        <w:pBdr>
          <w:top w:val="single" w:sz="4" w:space="1" w:color="auto"/>
          <w:left w:val="single" w:sz="4" w:space="4" w:color="auto"/>
          <w:bottom w:val="single" w:sz="4" w:space="1" w:color="auto"/>
          <w:right w:val="single" w:sz="4" w:space="4" w:color="auto"/>
        </w:pBdr>
        <w:rPr>
          <w:szCs w:val="20"/>
        </w:rPr>
      </w:pPr>
      <w:r w:rsidRPr="00EB6586">
        <w:rPr>
          <w:szCs w:val="20"/>
        </w:rPr>
        <w:t>Apnoea Hypopnoea Index (AHI)</w:t>
      </w:r>
    </w:p>
    <w:p w14:paraId="10289CD9" w14:textId="77777777" w:rsidR="00EB6586" w:rsidRPr="00EB6586" w:rsidRDefault="00EB6586" w:rsidP="00EB6586">
      <w:pPr>
        <w:pBdr>
          <w:top w:val="single" w:sz="4" w:space="1" w:color="auto"/>
          <w:left w:val="single" w:sz="4" w:space="4" w:color="auto"/>
          <w:bottom w:val="single" w:sz="4" w:space="1" w:color="auto"/>
          <w:right w:val="single" w:sz="4" w:space="4" w:color="auto"/>
        </w:pBdr>
        <w:rPr>
          <w:szCs w:val="20"/>
        </w:rPr>
      </w:pPr>
      <w:r w:rsidRPr="00EB6586">
        <w:rPr>
          <w:szCs w:val="20"/>
        </w:rPr>
        <w:t>Oxygen Desaturation Index (ODI)</w:t>
      </w:r>
    </w:p>
    <w:p w14:paraId="0115E1C4" w14:textId="77777777" w:rsidR="00EB6586" w:rsidRPr="00EB6586" w:rsidRDefault="00EB6586" w:rsidP="00EB6586">
      <w:pPr>
        <w:pBdr>
          <w:top w:val="single" w:sz="4" w:space="1" w:color="auto"/>
          <w:left w:val="single" w:sz="4" w:space="4" w:color="auto"/>
          <w:bottom w:val="single" w:sz="4" w:space="1" w:color="auto"/>
          <w:right w:val="single" w:sz="4" w:space="4" w:color="auto"/>
        </w:pBdr>
        <w:rPr>
          <w:szCs w:val="20"/>
        </w:rPr>
      </w:pPr>
      <w:r w:rsidRPr="00EB6586">
        <w:rPr>
          <w:szCs w:val="20"/>
        </w:rPr>
        <w:t>Quality of Life – Epworth Sleepiness Scale (ESS)</w:t>
      </w:r>
    </w:p>
    <w:p w14:paraId="4315DDEE" w14:textId="3F82C0C5" w:rsidR="00EB6586" w:rsidRPr="001B29A1" w:rsidRDefault="00EB6586" w:rsidP="00EB6586">
      <w:pPr>
        <w:pBdr>
          <w:top w:val="single" w:sz="4" w:space="1" w:color="auto"/>
          <w:left w:val="single" w:sz="4" w:space="4" w:color="auto"/>
          <w:bottom w:val="single" w:sz="4" w:space="1" w:color="auto"/>
          <w:right w:val="single" w:sz="4" w:space="4" w:color="auto"/>
        </w:pBdr>
        <w:rPr>
          <w:szCs w:val="20"/>
        </w:rPr>
      </w:pPr>
      <w:r w:rsidRPr="00EB6586">
        <w:rPr>
          <w:szCs w:val="20"/>
        </w:rPr>
        <w:tab/>
        <w:t xml:space="preserve">         -  Functional Outcomes of Sleep Questionnaire (FOSQ)</w:t>
      </w:r>
    </w:p>
    <w:p w14:paraId="0F59E899" w14:textId="77777777" w:rsidR="001B29A1" w:rsidRPr="00154B00" w:rsidRDefault="001B29A1" w:rsidP="001B29A1">
      <w:pPr>
        <w:pBdr>
          <w:top w:val="single" w:sz="4" w:space="1" w:color="auto"/>
          <w:left w:val="single" w:sz="4" w:space="4" w:color="auto"/>
          <w:bottom w:val="single" w:sz="4" w:space="1" w:color="auto"/>
          <w:right w:val="single" w:sz="4" w:space="4" w:color="auto"/>
        </w:pBdr>
        <w:rPr>
          <w:b/>
          <w:szCs w:val="20"/>
        </w:rPr>
      </w:pPr>
    </w:p>
    <w:p w14:paraId="073CF234" w14:textId="77777777" w:rsidR="00C776B1" w:rsidRPr="00C776B1" w:rsidRDefault="003433D1" w:rsidP="0056015F">
      <w:pPr>
        <w:pStyle w:val="Heading1"/>
      </w:pPr>
      <w:r>
        <w:rPr>
          <w:b/>
          <w:sz w:val="32"/>
        </w:rPr>
        <w:br w:type="page"/>
      </w:r>
      <w:r w:rsidR="005C3AE7">
        <w:t>PART 7</w:t>
      </w:r>
      <w:r w:rsidR="00F93784">
        <w:t xml:space="preserve"> – </w:t>
      </w:r>
      <w:r w:rsidR="006C74B1" w:rsidRPr="00C776B1">
        <w:t xml:space="preserve">INFORMATION ABOUT </w:t>
      </w:r>
      <w:r w:rsidR="0018630F" w:rsidRPr="00C776B1">
        <w:t xml:space="preserve">ESTIMATED </w:t>
      </w:r>
      <w:r w:rsidR="00974D50" w:rsidRPr="00C776B1">
        <w:t>UTILISATION</w:t>
      </w:r>
    </w:p>
    <w:p w14:paraId="48246658"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37771350" w14:textId="6FE3C2C1" w:rsidR="006C74B1" w:rsidRPr="003C0800" w:rsidRDefault="00EB6586" w:rsidP="00AE1188">
      <w:pPr>
        <w:ind w:left="426"/>
        <w:rPr>
          <w:szCs w:val="20"/>
        </w:rPr>
      </w:pPr>
      <w:r w:rsidRPr="003C0800">
        <w:rPr>
          <w:szCs w:val="20"/>
        </w:rPr>
        <w:t>As noted in Question 24 the Sleep Health Survey of Australian Adults estimated that the prevalence of doctor diagnosed sleep apnoea is 8.3% overall. As CPAP therapy does not have an MBS item number, or its use otherwise recorded in a publicly available source, it is very difficult to determine the number of patients in Australia currently being treated by CPAP and hence difficult to calculate how many may have failed CPAP therapy.</w:t>
      </w:r>
    </w:p>
    <w:p w14:paraId="0FB36BF0" w14:textId="4E060842" w:rsidR="00EB6586" w:rsidRPr="003C0800" w:rsidRDefault="00EB6586" w:rsidP="00AE1188">
      <w:pPr>
        <w:ind w:left="426"/>
        <w:rPr>
          <w:szCs w:val="20"/>
        </w:rPr>
      </w:pPr>
      <w:r w:rsidRPr="003C0800">
        <w:rPr>
          <w:szCs w:val="20"/>
        </w:rPr>
        <w:t xml:space="preserve">A useful alternative approach may be to look at the number of sleep studies conducted in Australia and use these numbers to estimate a population. A total of </w:t>
      </w:r>
      <w:r w:rsidR="00DE1C8D" w:rsidRPr="003C0800">
        <w:rPr>
          <w:szCs w:val="20"/>
        </w:rPr>
        <w:t xml:space="preserve">135,148 </w:t>
      </w:r>
      <w:r w:rsidRPr="003C0800">
        <w:rPr>
          <w:szCs w:val="20"/>
        </w:rPr>
        <w:t xml:space="preserve">primary diagnostic sleep studies (MBS items 12203 and 12250) were conducted in </w:t>
      </w:r>
      <w:r w:rsidR="00DE1C8D" w:rsidRPr="003C0800">
        <w:rPr>
          <w:szCs w:val="20"/>
        </w:rPr>
        <w:t xml:space="preserve">2019. </w:t>
      </w:r>
      <w:r w:rsidRPr="003C0800">
        <w:rPr>
          <w:szCs w:val="20"/>
        </w:rPr>
        <w:t xml:space="preserve"> There is also no publicly available data that records how many sleep studies result in a diagnosis of moderate to severe OSA.  </w:t>
      </w:r>
      <w:r w:rsidR="00DE1C8D" w:rsidRPr="003C0800">
        <w:rPr>
          <w:szCs w:val="20"/>
        </w:rPr>
        <w:t>In the absence of publicly available data that reports the outcomes of sleep studies in Australia, we have used Escourrou et al 2015</w:t>
      </w:r>
      <w:r w:rsidR="00AF6849" w:rsidRPr="003C0800">
        <w:rPr>
          <w:rStyle w:val="FootnoteReference"/>
          <w:szCs w:val="20"/>
        </w:rPr>
        <w:footnoteReference w:id="9"/>
      </w:r>
      <w:r w:rsidR="00DE1C8D" w:rsidRPr="003C0800">
        <w:rPr>
          <w:szCs w:val="20"/>
        </w:rPr>
        <w:t>, to determine the number of patients likely to be diagnosed with moderate to severe OSA. Escourrou et a</w:t>
      </w:r>
      <w:r w:rsidR="0033157D" w:rsidRPr="003C0800">
        <w:rPr>
          <w:szCs w:val="20"/>
        </w:rPr>
        <w:t>l</w:t>
      </w:r>
      <w:r w:rsidR="00DE1C8D" w:rsidRPr="003C0800">
        <w:rPr>
          <w:szCs w:val="20"/>
        </w:rPr>
        <w:t xml:space="preserve"> presented data from 11,049 patients in the multi-centre European Sleep Apnoea Cohort (ESADA) with suspected OSA </w:t>
      </w:r>
      <w:r w:rsidR="00AE78E4" w:rsidRPr="003C0800">
        <w:rPr>
          <w:szCs w:val="20"/>
        </w:rPr>
        <w:t xml:space="preserve">(male and female, aged 18-80 years.) There were 5,304 patients with PSG data to evaluate OSA outcomes. 24% of the cohort had moderate OSA and 41% had severe OSA. Assuming 65% of the patients receiving a primary sleep study in Australia are diagnosed with moderate to severe OSA then there are likely to be </w:t>
      </w:r>
      <w:r w:rsidR="00AE78E4" w:rsidRPr="003C0800">
        <w:rPr>
          <w:b/>
          <w:bCs/>
          <w:szCs w:val="20"/>
        </w:rPr>
        <w:t>87,846</w:t>
      </w:r>
      <w:r w:rsidR="00AE78E4" w:rsidRPr="003C0800">
        <w:rPr>
          <w:szCs w:val="20"/>
        </w:rPr>
        <w:t xml:space="preserve"> new cases each year.</w:t>
      </w:r>
    </w:p>
    <w:p w14:paraId="241B6DF4" w14:textId="1D18DD13" w:rsidR="006532B5" w:rsidRPr="003C0800" w:rsidRDefault="00AE78E4" w:rsidP="006532B5">
      <w:pPr>
        <w:ind w:left="426"/>
        <w:rPr>
          <w:b/>
          <w:bCs/>
          <w:szCs w:val="20"/>
        </w:rPr>
      </w:pPr>
      <w:r w:rsidRPr="003C0800">
        <w:rPr>
          <w:szCs w:val="20"/>
        </w:rPr>
        <w:t>The Australasian Sleep Association</w:t>
      </w:r>
      <w:r w:rsidRPr="003C0800">
        <w:rPr>
          <w:szCs w:val="20"/>
          <w:vertAlign w:val="superscript"/>
        </w:rPr>
        <w:footnoteReference w:id="10"/>
      </w:r>
      <w:r w:rsidRPr="003C0800">
        <w:rPr>
          <w:szCs w:val="20"/>
        </w:rPr>
        <w:t xml:space="preserve"> estimates that approximately 50% of patients are likely to fail or be non-adherent to CPAP. Therefore, there are likely to be </w:t>
      </w:r>
      <w:r w:rsidRPr="003C0800">
        <w:rPr>
          <w:b/>
          <w:bCs/>
          <w:szCs w:val="20"/>
        </w:rPr>
        <w:t xml:space="preserve">43,923 </w:t>
      </w:r>
      <w:r w:rsidRPr="003C0800">
        <w:rPr>
          <w:szCs w:val="20"/>
        </w:rPr>
        <w:t>who may be considered for UAS.</w:t>
      </w:r>
      <w:r w:rsidR="006474AB" w:rsidRPr="003C0800">
        <w:rPr>
          <w:szCs w:val="20"/>
        </w:rPr>
        <w:t xml:space="preserve"> The</w:t>
      </w:r>
      <w:r w:rsidR="006915EF" w:rsidRPr="003C0800">
        <w:rPr>
          <w:szCs w:val="20"/>
        </w:rPr>
        <w:t xml:space="preserve"> original PICO population defined the population as those over 18 who have a BMI &gt; 32kg/m</w:t>
      </w:r>
      <w:r w:rsidR="006915EF" w:rsidRPr="003C0800">
        <w:rPr>
          <w:rFonts w:cstheme="minorHAnsi"/>
          <w:szCs w:val="20"/>
        </w:rPr>
        <w:t>²</w:t>
      </w:r>
      <w:r w:rsidR="006915EF" w:rsidRPr="003C0800">
        <w:rPr>
          <w:szCs w:val="20"/>
        </w:rPr>
        <w:t>.</w:t>
      </w:r>
      <w:r w:rsidR="00AF6849" w:rsidRPr="003C0800">
        <w:rPr>
          <w:szCs w:val="20"/>
        </w:rPr>
        <w:t xml:space="preserve"> An Australian study of 163 consecutive sleep studies of patients who did not previously have a diagnosis of OSA analysed BMI data of those patients</w:t>
      </w:r>
      <w:r w:rsidR="00AF6849" w:rsidRPr="003C0800">
        <w:rPr>
          <w:rStyle w:val="FootnoteReference"/>
          <w:szCs w:val="20"/>
        </w:rPr>
        <w:footnoteReference w:id="11"/>
      </w:r>
      <w:r w:rsidR="00AF6849" w:rsidRPr="003C0800">
        <w:rPr>
          <w:szCs w:val="20"/>
        </w:rPr>
        <w:t xml:space="preserve">. Please see the graph reproduced in Figure 3. </w:t>
      </w:r>
      <w:r w:rsidR="003B3DBA" w:rsidRPr="003C0800">
        <w:rPr>
          <w:szCs w:val="20"/>
        </w:rPr>
        <w:t>Extrapolating from the graph, 41 (45.1%) of the 91 patients diagnosed with moderate to sever</w:t>
      </w:r>
      <w:r w:rsidR="0033157D" w:rsidRPr="003C0800">
        <w:rPr>
          <w:szCs w:val="20"/>
        </w:rPr>
        <w:t xml:space="preserve">e </w:t>
      </w:r>
      <w:r w:rsidR="003B3DBA" w:rsidRPr="003C0800">
        <w:rPr>
          <w:szCs w:val="20"/>
        </w:rPr>
        <w:t xml:space="preserve">OSA had a BMI </w:t>
      </w:r>
      <w:r w:rsidR="0033157D" w:rsidRPr="003C0800">
        <w:rPr>
          <w:szCs w:val="20"/>
        </w:rPr>
        <w:t>&lt;</w:t>
      </w:r>
      <w:r w:rsidR="003B3DBA" w:rsidRPr="003C0800">
        <w:rPr>
          <w:szCs w:val="20"/>
        </w:rPr>
        <w:t xml:space="preserve"> 30 kg/m</w:t>
      </w:r>
      <w:r w:rsidR="003B3DBA" w:rsidRPr="003C0800">
        <w:rPr>
          <w:rFonts w:cstheme="minorHAnsi"/>
          <w:szCs w:val="20"/>
        </w:rPr>
        <w:t xml:space="preserve">². Therefore </w:t>
      </w:r>
      <w:r w:rsidR="006532B5" w:rsidRPr="003C0800">
        <w:rPr>
          <w:rFonts w:cstheme="minorHAnsi"/>
          <w:b/>
          <w:bCs/>
          <w:szCs w:val="20"/>
        </w:rPr>
        <w:t>19,811</w:t>
      </w:r>
      <w:r w:rsidR="006532B5" w:rsidRPr="003C0800">
        <w:rPr>
          <w:rFonts w:cstheme="minorHAnsi"/>
          <w:szCs w:val="20"/>
        </w:rPr>
        <w:t xml:space="preserve"> patients are likely to be eligible</w:t>
      </w:r>
      <w:r w:rsidR="006532B5" w:rsidRPr="003C0800">
        <w:rPr>
          <w:szCs w:val="20"/>
        </w:rPr>
        <w:t xml:space="preserve">.  To account for the discrepancy between a BMI &lt; 32 and the study classification of BMI &lt; 30, it is assumed that an additional 10% of patients will be eligible resulting in an eligible population of </w:t>
      </w:r>
    </w:p>
    <w:p w14:paraId="4B55EEF3" w14:textId="698A71D3" w:rsidR="006532B5" w:rsidRPr="003C0800" w:rsidRDefault="006532B5" w:rsidP="006532B5">
      <w:pPr>
        <w:ind w:left="426"/>
        <w:rPr>
          <w:b/>
          <w:bCs/>
          <w:szCs w:val="20"/>
        </w:rPr>
      </w:pPr>
      <w:r w:rsidRPr="003C0800">
        <w:rPr>
          <w:szCs w:val="20"/>
        </w:rPr>
        <w:t>Not all patients who are referred receive closed loop UAS, 8% are likely to be excluded due to complete concentric collapse identified at DISE</w:t>
      </w:r>
      <w:r w:rsidRPr="003C0800">
        <w:rPr>
          <w:szCs w:val="20"/>
          <w:vertAlign w:val="superscript"/>
        </w:rPr>
        <w:footnoteReference w:id="12"/>
      </w:r>
      <w:r w:rsidRPr="003C0800">
        <w:rPr>
          <w:szCs w:val="20"/>
        </w:rPr>
        <w:t xml:space="preserve"> leaving an eligible population of </w:t>
      </w:r>
      <w:r w:rsidRPr="003C0800">
        <w:rPr>
          <w:b/>
          <w:bCs/>
          <w:szCs w:val="20"/>
        </w:rPr>
        <w:t>20,048.</w:t>
      </w:r>
    </w:p>
    <w:p w14:paraId="3ABCBACB" w14:textId="47BF971B" w:rsidR="006532B5" w:rsidRPr="003C0800" w:rsidRDefault="006532B5" w:rsidP="006532B5">
      <w:pPr>
        <w:ind w:left="426"/>
        <w:rPr>
          <w:szCs w:val="20"/>
        </w:rPr>
      </w:pPr>
      <w:r w:rsidRPr="003C0800">
        <w:rPr>
          <w:szCs w:val="20"/>
        </w:rPr>
        <w:t>These calculations are summarised in Table 6.</w:t>
      </w:r>
    </w:p>
    <w:p w14:paraId="43526949" w14:textId="33D24F30" w:rsidR="00AE78E4" w:rsidRDefault="00AE78E4" w:rsidP="00AE1188">
      <w:pPr>
        <w:ind w:left="426"/>
        <w:rPr>
          <w:szCs w:val="20"/>
        </w:rPr>
      </w:pPr>
    </w:p>
    <w:p w14:paraId="2634BFA1" w14:textId="50A83923" w:rsidR="006532B5" w:rsidRDefault="006532B5" w:rsidP="00AE1188">
      <w:pPr>
        <w:ind w:left="426"/>
        <w:rPr>
          <w:szCs w:val="20"/>
        </w:rPr>
      </w:pPr>
    </w:p>
    <w:p w14:paraId="60A4CFA6" w14:textId="2DBF0EA3" w:rsidR="006532B5" w:rsidRDefault="006532B5" w:rsidP="00AE1188">
      <w:pPr>
        <w:ind w:left="426"/>
        <w:rPr>
          <w:szCs w:val="20"/>
        </w:rPr>
      </w:pPr>
    </w:p>
    <w:p w14:paraId="15A15C4F" w14:textId="6A5EF50C" w:rsidR="006532B5" w:rsidRDefault="006532B5" w:rsidP="00AE1188">
      <w:pPr>
        <w:ind w:left="426"/>
        <w:rPr>
          <w:szCs w:val="20"/>
        </w:rPr>
      </w:pPr>
    </w:p>
    <w:p w14:paraId="57EBCFF5" w14:textId="0C95DAD9" w:rsidR="006532B5" w:rsidRDefault="006532B5" w:rsidP="00AE1188">
      <w:pPr>
        <w:ind w:left="426"/>
        <w:rPr>
          <w:szCs w:val="20"/>
        </w:rPr>
      </w:pPr>
    </w:p>
    <w:p w14:paraId="6BF97F6F" w14:textId="5D9AC5E6" w:rsidR="006532B5" w:rsidRDefault="006532B5" w:rsidP="00AE1188">
      <w:pPr>
        <w:ind w:left="426"/>
        <w:rPr>
          <w:szCs w:val="20"/>
        </w:rPr>
      </w:pPr>
    </w:p>
    <w:p w14:paraId="15A6FD12" w14:textId="42476053" w:rsidR="006532B5" w:rsidRDefault="006532B5" w:rsidP="00AE1188">
      <w:pPr>
        <w:ind w:left="426"/>
        <w:rPr>
          <w:szCs w:val="20"/>
        </w:rPr>
      </w:pPr>
    </w:p>
    <w:p w14:paraId="47472040" w14:textId="7423EA95" w:rsidR="006532B5" w:rsidRPr="006532B5" w:rsidRDefault="006532B5" w:rsidP="00AE1188">
      <w:pPr>
        <w:ind w:left="426"/>
        <w:rPr>
          <w:b/>
          <w:bCs/>
          <w:szCs w:val="20"/>
        </w:rPr>
      </w:pPr>
      <w:r>
        <w:rPr>
          <w:b/>
          <w:bCs/>
          <w:szCs w:val="20"/>
        </w:rPr>
        <w:t>Figure 3: Excerpt from Gray et al 2015</w:t>
      </w:r>
    </w:p>
    <w:p w14:paraId="69B62CCE" w14:textId="2FFC0958" w:rsidR="00AF6849" w:rsidRDefault="00AF6849" w:rsidP="00AF6849">
      <w:pPr>
        <w:ind w:left="426"/>
        <w:jc w:val="center"/>
        <w:rPr>
          <w:szCs w:val="20"/>
        </w:rPr>
      </w:pPr>
      <w:r>
        <w:rPr>
          <w:noProof/>
          <w:szCs w:val="20"/>
          <w:lang w:eastAsia="en-AU"/>
        </w:rPr>
        <w:drawing>
          <wp:inline distT="0" distB="0" distL="0" distR="0" wp14:anchorId="10A35018" wp14:editId="4A2E0CC4">
            <wp:extent cx="3562350" cy="3725045"/>
            <wp:effectExtent l="0" t="0" r="0" b="8890"/>
            <wp:docPr id="8" name="Picture 8" descr="Picture"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89615" cy="3753555"/>
                    </a:xfrm>
                    <a:prstGeom prst="rect">
                      <a:avLst/>
                    </a:prstGeom>
                    <a:noFill/>
                  </pic:spPr>
                </pic:pic>
              </a:graphicData>
            </a:graphic>
          </wp:inline>
        </w:drawing>
      </w:r>
    </w:p>
    <w:p w14:paraId="72FF45AA" w14:textId="46207CA6" w:rsidR="006532B5" w:rsidRDefault="006532B5" w:rsidP="00AF6849">
      <w:pPr>
        <w:ind w:left="426"/>
        <w:jc w:val="center"/>
        <w:rPr>
          <w:szCs w:val="20"/>
        </w:rPr>
      </w:pPr>
    </w:p>
    <w:p w14:paraId="0E96F4CB" w14:textId="3640ACEB" w:rsidR="006532B5" w:rsidRPr="003C0800" w:rsidRDefault="006532B5" w:rsidP="006532B5">
      <w:pPr>
        <w:ind w:left="426"/>
        <w:rPr>
          <w:b/>
          <w:bCs/>
          <w:szCs w:val="20"/>
        </w:rPr>
      </w:pPr>
      <w:r w:rsidRPr="003C0800">
        <w:rPr>
          <w:b/>
          <w:bCs/>
          <w:szCs w:val="20"/>
        </w:rPr>
        <w:t>Table 6</w:t>
      </w:r>
    </w:p>
    <w:tbl>
      <w:tblPr>
        <w:tblStyle w:val="TableGrid2"/>
        <w:tblW w:w="0" w:type="auto"/>
        <w:tblInd w:w="426" w:type="dxa"/>
        <w:tblLook w:val="04A0" w:firstRow="1" w:lastRow="0" w:firstColumn="1" w:lastColumn="0" w:noHBand="0" w:noVBand="1"/>
        <w:tblCaption w:val="Table"/>
        <w:tblDescription w:val="Table"/>
      </w:tblPr>
      <w:tblGrid>
        <w:gridCol w:w="2864"/>
        <w:gridCol w:w="2863"/>
        <w:gridCol w:w="2863"/>
      </w:tblGrid>
      <w:tr w:rsidR="00AB7A8D" w:rsidRPr="003C0800" w14:paraId="05579A35" w14:textId="77777777" w:rsidTr="00AB7A8D">
        <w:trPr>
          <w:tblHeader/>
        </w:trPr>
        <w:tc>
          <w:tcPr>
            <w:tcW w:w="2864" w:type="dxa"/>
            <w:shd w:val="clear" w:color="auto" w:fill="BFBFBF" w:themeFill="background1" w:themeFillShade="BF"/>
          </w:tcPr>
          <w:p w14:paraId="5039C59E" w14:textId="77777777" w:rsidR="006532B5" w:rsidRPr="003C0800" w:rsidRDefault="006532B5" w:rsidP="006532B5">
            <w:pPr>
              <w:jc w:val="center"/>
              <w:rPr>
                <w:b/>
                <w:bCs/>
                <w:szCs w:val="20"/>
              </w:rPr>
            </w:pPr>
            <w:r w:rsidRPr="003C0800">
              <w:rPr>
                <w:b/>
                <w:bCs/>
                <w:szCs w:val="20"/>
              </w:rPr>
              <w:t>Description</w:t>
            </w:r>
          </w:p>
        </w:tc>
        <w:tc>
          <w:tcPr>
            <w:tcW w:w="2863" w:type="dxa"/>
            <w:shd w:val="clear" w:color="auto" w:fill="BFBFBF" w:themeFill="background1" w:themeFillShade="BF"/>
          </w:tcPr>
          <w:p w14:paraId="535F2F3D" w14:textId="77777777" w:rsidR="006532B5" w:rsidRPr="003C0800" w:rsidRDefault="006532B5" w:rsidP="006532B5">
            <w:pPr>
              <w:jc w:val="center"/>
              <w:rPr>
                <w:b/>
                <w:bCs/>
                <w:szCs w:val="20"/>
              </w:rPr>
            </w:pPr>
            <w:r w:rsidRPr="003C0800">
              <w:rPr>
                <w:b/>
                <w:bCs/>
                <w:szCs w:val="20"/>
              </w:rPr>
              <w:t>Source</w:t>
            </w:r>
          </w:p>
        </w:tc>
        <w:tc>
          <w:tcPr>
            <w:tcW w:w="2863" w:type="dxa"/>
            <w:shd w:val="clear" w:color="auto" w:fill="BFBFBF" w:themeFill="background1" w:themeFillShade="BF"/>
          </w:tcPr>
          <w:p w14:paraId="05A42622" w14:textId="77777777" w:rsidR="006532B5" w:rsidRPr="003C0800" w:rsidRDefault="006532B5" w:rsidP="006532B5">
            <w:pPr>
              <w:jc w:val="center"/>
              <w:rPr>
                <w:b/>
                <w:bCs/>
                <w:szCs w:val="20"/>
              </w:rPr>
            </w:pPr>
            <w:r w:rsidRPr="003C0800">
              <w:rPr>
                <w:b/>
                <w:bCs/>
                <w:szCs w:val="20"/>
              </w:rPr>
              <w:t>Estimated Population</w:t>
            </w:r>
          </w:p>
        </w:tc>
      </w:tr>
      <w:tr w:rsidR="006532B5" w:rsidRPr="003C0800" w14:paraId="6161659F" w14:textId="77777777" w:rsidTr="0043429E">
        <w:tc>
          <w:tcPr>
            <w:tcW w:w="2864" w:type="dxa"/>
          </w:tcPr>
          <w:p w14:paraId="0CC38B0B" w14:textId="77777777" w:rsidR="006532B5" w:rsidRPr="003C0800" w:rsidRDefault="006532B5" w:rsidP="006532B5">
            <w:pPr>
              <w:jc w:val="center"/>
              <w:rPr>
                <w:b/>
                <w:bCs/>
                <w:szCs w:val="20"/>
              </w:rPr>
            </w:pPr>
            <w:r w:rsidRPr="003C0800">
              <w:rPr>
                <w:b/>
                <w:bCs/>
                <w:szCs w:val="20"/>
              </w:rPr>
              <w:t>Annual Sleep Studies</w:t>
            </w:r>
          </w:p>
        </w:tc>
        <w:tc>
          <w:tcPr>
            <w:tcW w:w="2863" w:type="dxa"/>
          </w:tcPr>
          <w:p w14:paraId="44B9E9C8" w14:textId="77777777" w:rsidR="006532B5" w:rsidRPr="003C0800" w:rsidRDefault="006532B5" w:rsidP="006532B5">
            <w:pPr>
              <w:jc w:val="center"/>
              <w:rPr>
                <w:b/>
                <w:bCs/>
                <w:szCs w:val="20"/>
              </w:rPr>
            </w:pPr>
            <w:r w:rsidRPr="003C0800">
              <w:rPr>
                <w:b/>
                <w:bCs/>
                <w:szCs w:val="20"/>
              </w:rPr>
              <w:t>MBS items 12203 and 12250</w:t>
            </w:r>
          </w:p>
        </w:tc>
        <w:tc>
          <w:tcPr>
            <w:tcW w:w="2863" w:type="dxa"/>
          </w:tcPr>
          <w:p w14:paraId="2B4A6DC2" w14:textId="6F62CDD7" w:rsidR="006532B5" w:rsidRPr="003C0800" w:rsidRDefault="006532B5" w:rsidP="006532B5">
            <w:pPr>
              <w:jc w:val="center"/>
              <w:rPr>
                <w:b/>
                <w:bCs/>
                <w:szCs w:val="20"/>
              </w:rPr>
            </w:pPr>
            <w:r w:rsidRPr="003C0800">
              <w:rPr>
                <w:b/>
                <w:bCs/>
                <w:szCs w:val="20"/>
              </w:rPr>
              <w:t>1</w:t>
            </w:r>
            <w:r w:rsidR="00D60C47" w:rsidRPr="003C0800">
              <w:rPr>
                <w:b/>
                <w:bCs/>
                <w:szCs w:val="20"/>
              </w:rPr>
              <w:t>35,148</w:t>
            </w:r>
          </w:p>
        </w:tc>
      </w:tr>
      <w:tr w:rsidR="006532B5" w:rsidRPr="003C0800" w14:paraId="54779F7B" w14:textId="77777777" w:rsidTr="0043429E">
        <w:tc>
          <w:tcPr>
            <w:tcW w:w="2864" w:type="dxa"/>
          </w:tcPr>
          <w:p w14:paraId="70845CCD" w14:textId="068F57CA" w:rsidR="006532B5" w:rsidRPr="003C0800" w:rsidRDefault="00D60C47" w:rsidP="006532B5">
            <w:pPr>
              <w:jc w:val="center"/>
              <w:rPr>
                <w:b/>
                <w:bCs/>
                <w:szCs w:val="20"/>
              </w:rPr>
            </w:pPr>
            <w:r w:rsidRPr="003C0800">
              <w:rPr>
                <w:b/>
                <w:bCs/>
                <w:szCs w:val="20"/>
              </w:rPr>
              <w:t>65%</w:t>
            </w:r>
            <w:r w:rsidR="006532B5" w:rsidRPr="003C0800">
              <w:rPr>
                <w:b/>
                <w:bCs/>
                <w:szCs w:val="20"/>
              </w:rPr>
              <w:t xml:space="preserve"> with diagnosis of moderate to severe OSA</w:t>
            </w:r>
          </w:p>
        </w:tc>
        <w:tc>
          <w:tcPr>
            <w:tcW w:w="2863" w:type="dxa"/>
          </w:tcPr>
          <w:p w14:paraId="20E90EB9" w14:textId="61736FD9" w:rsidR="006532B5" w:rsidRPr="003C0800" w:rsidRDefault="00D60C47" w:rsidP="006532B5">
            <w:pPr>
              <w:jc w:val="center"/>
              <w:rPr>
                <w:b/>
                <w:bCs/>
                <w:szCs w:val="20"/>
              </w:rPr>
            </w:pPr>
            <w:r w:rsidRPr="003C0800">
              <w:rPr>
                <w:b/>
                <w:bCs/>
                <w:szCs w:val="20"/>
              </w:rPr>
              <w:t>Escourrou et al 2015</w:t>
            </w:r>
          </w:p>
        </w:tc>
        <w:tc>
          <w:tcPr>
            <w:tcW w:w="2863" w:type="dxa"/>
          </w:tcPr>
          <w:p w14:paraId="27E69890" w14:textId="6E52824E" w:rsidR="006532B5" w:rsidRPr="003C0800" w:rsidRDefault="00D60C47" w:rsidP="006532B5">
            <w:pPr>
              <w:jc w:val="center"/>
              <w:rPr>
                <w:b/>
                <w:bCs/>
                <w:szCs w:val="20"/>
              </w:rPr>
            </w:pPr>
            <w:r w:rsidRPr="003C0800">
              <w:rPr>
                <w:b/>
                <w:bCs/>
                <w:szCs w:val="20"/>
              </w:rPr>
              <w:t>87,846</w:t>
            </w:r>
          </w:p>
        </w:tc>
      </w:tr>
      <w:tr w:rsidR="006532B5" w:rsidRPr="003C0800" w14:paraId="6C51C5B2" w14:textId="77777777" w:rsidTr="0043429E">
        <w:tc>
          <w:tcPr>
            <w:tcW w:w="2864" w:type="dxa"/>
          </w:tcPr>
          <w:p w14:paraId="0C2E235A" w14:textId="77777777" w:rsidR="006532B5" w:rsidRPr="003C0800" w:rsidRDefault="006532B5" w:rsidP="006532B5">
            <w:pPr>
              <w:jc w:val="center"/>
              <w:rPr>
                <w:b/>
                <w:bCs/>
                <w:szCs w:val="20"/>
              </w:rPr>
            </w:pPr>
            <w:r w:rsidRPr="003C0800">
              <w:rPr>
                <w:b/>
                <w:bCs/>
                <w:szCs w:val="20"/>
              </w:rPr>
              <w:t>50% failure of CPAP</w:t>
            </w:r>
          </w:p>
        </w:tc>
        <w:tc>
          <w:tcPr>
            <w:tcW w:w="2863" w:type="dxa"/>
          </w:tcPr>
          <w:p w14:paraId="610EFC39" w14:textId="77777777" w:rsidR="006532B5" w:rsidRPr="003C0800" w:rsidRDefault="006532B5" w:rsidP="006532B5">
            <w:pPr>
              <w:jc w:val="center"/>
              <w:rPr>
                <w:b/>
                <w:bCs/>
                <w:szCs w:val="20"/>
              </w:rPr>
            </w:pPr>
            <w:r w:rsidRPr="003C0800">
              <w:rPr>
                <w:b/>
                <w:bCs/>
                <w:szCs w:val="20"/>
              </w:rPr>
              <w:t>Australasian Sleep Association</w:t>
            </w:r>
          </w:p>
        </w:tc>
        <w:tc>
          <w:tcPr>
            <w:tcW w:w="2863" w:type="dxa"/>
          </w:tcPr>
          <w:p w14:paraId="16EF1052" w14:textId="6CD2E568" w:rsidR="006532B5" w:rsidRPr="003C0800" w:rsidRDefault="00D60C47" w:rsidP="006532B5">
            <w:pPr>
              <w:jc w:val="center"/>
              <w:rPr>
                <w:b/>
                <w:bCs/>
                <w:szCs w:val="20"/>
              </w:rPr>
            </w:pPr>
            <w:r w:rsidRPr="003C0800">
              <w:rPr>
                <w:b/>
                <w:bCs/>
                <w:szCs w:val="20"/>
              </w:rPr>
              <w:t>43,923</w:t>
            </w:r>
          </w:p>
        </w:tc>
      </w:tr>
      <w:tr w:rsidR="006532B5" w:rsidRPr="003C0800" w14:paraId="7B55ECBA" w14:textId="77777777" w:rsidTr="0043429E">
        <w:tc>
          <w:tcPr>
            <w:tcW w:w="2864" w:type="dxa"/>
          </w:tcPr>
          <w:p w14:paraId="7300D7AF" w14:textId="77777777" w:rsidR="006532B5" w:rsidRPr="003C0800" w:rsidRDefault="006532B5" w:rsidP="006532B5">
            <w:pPr>
              <w:jc w:val="center"/>
              <w:rPr>
                <w:b/>
                <w:bCs/>
                <w:szCs w:val="20"/>
              </w:rPr>
            </w:pPr>
            <w:r w:rsidRPr="003C0800">
              <w:rPr>
                <w:b/>
                <w:bCs/>
                <w:szCs w:val="20"/>
              </w:rPr>
              <w:t>45.1% BMI &lt; 30</w:t>
            </w:r>
          </w:p>
        </w:tc>
        <w:tc>
          <w:tcPr>
            <w:tcW w:w="2863" w:type="dxa"/>
          </w:tcPr>
          <w:p w14:paraId="025F3B9B" w14:textId="77777777" w:rsidR="006532B5" w:rsidRPr="003C0800" w:rsidRDefault="006532B5" w:rsidP="006532B5">
            <w:pPr>
              <w:jc w:val="center"/>
              <w:rPr>
                <w:b/>
                <w:bCs/>
                <w:szCs w:val="20"/>
              </w:rPr>
            </w:pPr>
            <w:r w:rsidRPr="003C0800">
              <w:rPr>
                <w:b/>
                <w:bCs/>
                <w:szCs w:val="20"/>
              </w:rPr>
              <w:t>Gray et al 2017</w:t>
            </w:r>
          </w:p>
        </w:tc>
        <w:tc>
          <w:tcPr>
            <w:tcW w:w="2863" w:type="dxa"/>
          </w:tcPr>
          <w:p w14:paraId="1A7E537F" w14:textId="7FD74EAD" w:rsidR="006532B5" w:rsidRPr="003C0800" w:rsidRDefault="00D60C47" w:rsidP="006532B5">
            <w:pPr>
              <w:jc w:val="center"/>
              <w:rPr>
                <w:b/>
                <w:bCs/>
                <w:szCs w:val="20"/>
              </w:rPr>
            </w:pPr>
            <w:r w:rsidRPr="003C0800">
              <w:rPr>
                <w:b/>
                <w:bCs/>
                <w:szCs w:val="20"/>
              </w:rPr>
              <w:t>19,809</w:t>
            </w:r>
          </w:p>
        </w:tc>
      </w:tr>
      <w:tr w:rsidR="006532B5" w:rsidRPr="003C0800" w14:paraId="2D153CF0" w14:textId="77777777" w:rsidTr="0043429E">
        <w:tc>
          <w:tcPr>
            <w:tcW w:w="2864" w:type="dxa"/>
          </w:tcPr>
          <w:p w14:paraId="2A679841" w14:textId="77777777" w:rsidR="006532B5" w:rsidRPr="003C0800" w:rsidRDefault="006532B5" w:rsidP="006532B5">
            <w:pPr>
              <w:jc w:val="center"/>
              <w:rPr>
                <w:b/>
                <w:bCs/>
                <w:szCs w:val="20"/>
              </w:rPr>
            </w:pPr>
            <w:r w:rsidRPr="003C0800">
              <w:rPr>
                <w:b/>
                <w:bCs/>
                <w:szCs w:val="20"/>
              </w:rPr>
              <w:t xml:space="preserve">10% adjustment for patients with BMI </w:t>
            </w:r>
            <w:r w:rsidRPr="003C0800">
              <w:rPr>
                <w:rFonts w:cstheme="minorHAnsi"/>
                <w:b/>
                <w:bCs/>
                <w:szCs w:val="20"/>
              </w:rPr>
              <w:t>≥ 30 &lt; 32</w:t>
            </w:r>
          </w:p>
        </w:tc>
        <w:tc>
          <w:tcPr>
            <w:tcW w:w="2863" w:type="dxa"/>
          </w:tcPr>
          <w:p w14:paraId="6348B2AE" w14:textId="77777777" w:rsidR="006532B5" w:rsidRPr="003C0800" w:rsidRDefault="006532B5" w:rsidP="006532B5">
            <w:pPr>
              <w:jc w:val="center"/>
              <w:rPr>
                <w:b/>
                <w:bCs/>
                <w:szCs w:val="20"/>
              </w:rPr>
            </w:pPr>
            <w:r w:rsidRPr="003C0800">
              <w:rPr>
                <w:b/>
                <w:bCs/>
                <w:szCs w:val="20"/>
              </w:rPr>
              <w:t>Assumption</w:t>
            </w:r>
          </w:p>
        </w:tc>
        <w:tc>
          <w:tcPr>
            <w:tcW w:w="2863" w:type="dxa"/>
          </w:tcPr>
          <w:p w14:paraId="76FB9878" w14:textId="0F7EB8CA" w:rsidR="006532B5" w:rsidRPr="003C0800" w:rsidRDefault="006532B5" w:rsidP="006532B5">
            <w:pPr>
              <w:jc w:val="center"/>
              <w:rPr>
                <w:b/>
                <w:bCs/>
                <w:szCs w:val="20"/>
              </w:rPr>
            </w:pPr>
            <w:r w:rsidRPr="003C0800">
              <w:rPr>
                <w:b/>
                <w:bCs/>
                <w:szCs w:val="20"/>
              </w:rPr>
              <w:t>2</w:t>
            </w:r>
            <w:r w:rsidR="00D60C47" w:rsidRPr="003C0800">
              <w:rPr>
                <w:b/>
                <w:bCs/>
                <w:szCs w:val="20"/>
              </w:rPr>
              <w:t>1,790</w:t>
            </w:r>
          </w:p>
        </w:tc>
      </w:tr>
      <w:tr w:rsidR="006532B5" w:rsidRPr="003C0800" w14:paraId="21ED9F78" w14:textId="77777777" w:rsidTr="0043429E">
        <w:tc>
          <w:tcPr>
            <w:tcW w:w="2864" w:type="dxa"/>
          </w:tcPr>
          <w:p w14:paraId="22CF9B15" w14:textId="77777777" w:rsidR="006532B5" w:rsidRPr="003C0800" w:rsidRDefault="006532B5" w:rsidP="006532B5">
            <w:pPr>
              <w:jc w:val="center"/>
              <w:rPr>
                <w:b/>
                <w:bCs/>
                <w:szCs w:val="20"/>
              </w:rPr>
            </w:pPr>
            <w:r w:rsidRPr="003C0800">
              <w:rPr>
                <w:b/>
                <w:bCs/>
                <w:szCs w:val="20"/>
              </w:rPr>
              <w:t>Exclude 8% of patients with complete concentric collapse</w:t>
            </w:r>
          </w:p>
        </w:tc>
        <w:tc>
          <w:tcPr>
            <w:tcW w:w="2863" w:type="dxa"/>
          </w:tcPr>
          <w:p w14:paraId="117D2A95" w14:textId="77777777" w:rsidR="006532B5" w:rsidRPr="003C0800" w:rsidRDefault="006532B5" w:rsidP="006532B5">
            <w:pPr>
              <w:jc w:val="center"/>
              <w:rPr>
                <w:b/>
                <w:bCs/>
                <w:szCs w:val="20"/>
              </w:rPr>
            </w:pPr>
            <w:r w:rsidRPr="003C0800">
              <w:rPr>
                <w:b/>
                <w:bCs/>
                <w:szCs w:val="20"/>
              </w:rPr>
              <w:t>Strollo et al 2014</w:t>
            </w:r>
          </w:p>
        </w:tc>
        <w:tc>
          <w:tcPr>
            <w:tcW w:w="2863" w:type="dxa"/>
          </w:tcPr>
          <w:p w14:paraId="09D74137" w14:textId="32670F4D" w:rsidR="006532B5" w:rsidRPr="003C0800" w:rsidRDefault="006532B5" w:rsidP="006532B5">
            <w:pPr>
              <w:jc w:val="center"/>
              <w:rPr>
                <w:b/>
                <w:bCs/>
                <w:szCs w:val="20"/>
              </w:rPr>
            </w:pPr>
            <w:r w:rsidRPr="003C0800">
              <w:rPr>
                <w:b/>
                <w:bCs/>
                <w:szCs w:val="20"/>
              </w:rPr>
              <w:t>2</w:t>
            </w:r>
            <w:r w:rsidR="00D60C47" w:rsidRPr="003C0800">
              <w:rPr>
                <w:b/>
                <w:bCs/>
                <w:szCs w:val="20"/>
              </w:rPr>
              <w:t>0,047</w:t>
            </w:r>
          </w:p>
        </w:tc>
      </w:tr>
    </w:tbl>
    <w:p w14:paraId="675AC9BD" w14:textId="77777777" w:rsidR="006532B5" w:rsidRPr="003C0800" w:rsidRDefault="006532B5" w:rsidP="00AF6849">
      <w:pPr>
        <w:ind w:left="426"/>
        <w:jc w:val="center"/>
        <w:rPr>
          <w:szCs w:val="20"/>
        </w:rPr>
      </w:pPr>
    </w:p>
    <w:p w14:paraId="6E2CB9A1"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44DA3FF6" w14:textId="01EA9198" w:rsidR="00382407" w:rsidRPr="00154B00" w:rsidRDefault="006532B5" w:rsidP="00AE1188">
      <w:pPr>
        <w:ind w:left="426"/>
        <w:rPr>
          <w:szCs w:val="20"/>
        </w:rPr>
      </w:pPr>
      <w:r>
        <w:t>Once</w:t>
      </w:r>
    </w:p>
    <w:p w14:paraId="03D49E8E"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0ED36D6E" w14:textId="455C02E0" w:rsidR="00382407" w:rsidRPr="00154B00" w:rsidRDefault="006532B5" w:rsidP="00AE1188">
      <w:pPr>
        <w:ind w:left="426"/>
        <w:rPr>
          <w:b/>
          <w:szCs w:val="20"/>
        </w:rPr>
      </w:pPr>
      <w:r>
        <w:t>One. It is</w:t>
      </w:r>
      <w:r w:rsidR="0033157D">
        <w:t xml:space="preserve"> conservatively</w:t>
      </w:r>
      <w:r>
        <w:t xml:space="preserve"> anticipated that the </w:t>
      </w:r>
      <w:r w:rsidR="0033157D">
        <w:t>I</w:t>
      </w:r>
      <w:r>
        <w:t>PG would be replaced after 10 years.</w:t>
      </w:r>
    </w:p>
    <w:p w14:paraId="6019BF25"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56C6D265" w14:textId="75E72639" w:rsidR="00AE1188" w:rsidRDefault="00D60C47" w:rsidP="00AE1188">
      <w:pPr>
        <w:ind w:left="426"/>
      </w:pPr>
      <w:r>
        <w:t xml:space="preserve">While the eligible population for closed loop USA </w:t>
      </w:r>
      <w:r w:rsidR="007859BF">
        <w:t>is</w:t>
      </w:r>
      <w:r>
        <w:t xml:space="preserve"> large, there are considerable restraints within the Australian health care system, similar to other jurisdictions</w:t>
      </w:r>
      <w:r w:rsidR="0033157D">
        <w:t>,</w:t>
      </w:r>
      <w:r>
        <w:t xml:space="preserve"> which makes it likely that a limited population is likely to access the service.  The service is only suitable for implementation in centres which are able to integrate the surgical and sleep medicine teams. The applicants experience in western Europe and the Unites States has been that tertiary teaching hospitals are the most suitable for delivering the service</w:t>
      </w:r>
      <w:r w:rsidR="00B04114">
        <w:t>.</w:t>
      </w:r>
    </w:p>
    <w:p w14:paraId="1D8D376A" w14:textId="67384FD0" w:rsidR="00B04114" w:rsidRPr="003C0800" w:rsidRDefault="00B04114" w:rsidP="00AE1188">
      <w:pPr>
        <w:ind w:left="426"/>
        <w:rPr>
          <w:szCs w:val="20"/>
        </w:rPr>
      </w:pPr>
      <w:r w:rsidRPr="003C0800">
        <w:rPr>
          <w:szCs w:val="20"/>
        </w:rPr>
        <w:t>There are significant training requirements that must be met, prior to the implementation of the service. These include individual cadaver training for each surgeon and considerable proctoring for the initial cases conducted by each surgeon. Another constraint is the number of ENTs in Australia. In 2016 there were 460 ENTs in Australia</w:t>
      </w:r>
      <w:r w:rsidRPr="003C0800">
        <w:rPr>
          <w:szCs w:val="20"/>
          <w:vertAlign w:val="superscript"/>
        </w:rPr>
        <w:footnoteReference w:id="13"/>
      </w:r>
      <w:r w:rsidRPr="003C0800">
        <w:rPr>
          <w:szCs w:val="20"/>
        </w:rPr>
        <w:t>.  Each centre would be likely to be able to carry out 8 – 10 procedures in the first year of operation. The applicant estimates that should the service be recommended for funding, that three centres would likely be operational in the first year, with an estimated utilisation of 8-10 cases per year.</w:t>
      </w:r>
    </w:p>
    <w:p w14:paraId="2482525F" w14:textId="77777777" w:rsidR="00974D50" w:rsidRPr="003C0800" w:rsidRDefault="005A58BA" w:rsidP="00530204">
      <w:pPr>
        <w:pStyle w:val="Heading2"/>
        <w:rPr>
          <w:b w:val="0"/>
        </w:rPr>
      </w:pPr>
      <w:r w:rsidRPr="003C0800">
        <w:t>Estimate the anticipated upt</w:t>
      </w:r>
      <w:r w:rsidR="000E47E7" w:rsidRPr="003C0800">
        <w:t>a</w:t>
      </w:r>
      <w:r w:rsidR="001B171D" w:rsidRPr="003C0800">
        <w:t>k</w:t>
      </w:r>
      <w:r w:rsidR="000E47E7" w:rsidRPr="003C0800">
        <w:t>e of the proposed medical service over the next three years</w:t>
      </w:r>
      <w:r w:rsidR="001B171D" w:rsidRPr="003C0800">
        <w:t xml:space="preserve"> factoring in any constraints in the health system in meeting the needs of the proposed population (suc</w:t>
      </w:r>
      <w:r w:rsidRPr="003C0800">
        <w:t>h as supply and demand factors)</w:t>
      </w:r>
      <w:r w:rsidR="001B171D" w:rsidRPr="003C0800">
        <w:t xml:space="preserve"> as well as </w:t>
      </w:r>
      <w:r w:rsidR="009C03FB" w:rsidRPr="003C0800">
        <w:t>provide commentary on</w:t>
      </w:r>
      <w:r w:rsidR="001B171D" w:rsidRPr="003C0800">
        <w:t xml:space="preserve"> risk of ‘leakage’ to populations not targeted by the service</w:t>
      </w:r>
      <w:r w:rsidR="00AE1188" w:rsidRPr="003C0800">
        <w:t>:</w:t>
      </w:r>
    </w:p>
    <w:p w14:paraId="3627BAAF" w14:textId="77777777" w:rsidR="00272C1B" w:rsidRPr="003C0800" w:rsidRDefault="00B04114" w:rsidP="00AE1188">
      <w:pPr>
        <w:ind w:left="426"/>
      </w:pPr>
      <w:r w:rsidRPr="003C0800">
        <w:t>Noting the restraints outlined in Question 49, there are additional constraints including the capacity of the hospital system to absorb the additional procedures and the rate of diffusion of the technology</w:t>
      </w:r>
      <w:r w:rsidR="00CB7576" w:rsidRPr="003C0800">
        <w:t>. MSAC expressed concern in PSD 1595 that the utilisation may be significantly higher than estimated in the ADAR</w:t>
      </w:r>
      <w:r w:rsidR="00CB7576" w:rsidRPr="003C0800">
        <w:rPr>
          <w:b/>
          <w:bCs/>
        </w:rPr>
        <w:t xml:space="preserve">.  </w:t>
      </w:r>
      <w:r w:rsidR="00272C1B" w:rsidRPr="003C0800">
        <w:rPr>
          <w:b/>
          <w:bCs/>
        </w:rPr>
        <w:t>REDACTED</w:t>
      </w:r>
      <w:r w:rsidR="00CB7576" w:rsidRPr="003C0800">
        <w:t xml:space="preserve">.  </w:t>
      </w:r>
    </w:p>
    <w:p w14:paraId="369ECCA5" w14:textId="5E77D4B3" w:rsidR="001B171D" w:rsidRPr="003C0800" w:rsidRDefault="00091BEE" w:rsidP="00AE1188">
      <w:pPr>
        <w:ind w:left="426"/>
      </w:pPr>
      <w:r w:rsidRPr="003C0800">
        <w:t>The estimated number of procedures for the first 5 years is taken from ADAR 1595 and reproduced in Table 7</w:t>
      </w:r>
      <w:r w:rsidR="007859BF" w:rsidRPr="003C0800">
        <w:t>.</w:t>
      </w:r>
    </w:p>
    <w:p w14:paraId="29F1F655" w14:textId="452B159B" w:rsidR="00091BEE" w:rsidRPr="003C0800" w:rsidRDefault="00091BEE" w:rsidP="00091BEE">
      <w:pPr>
        <w:keepNext/>
        <w:tabs>
          <w:tab w:val="left" w:pos="1134"/>
        </w:tabs>
        <w:spacing w:before="0" w:after="0"/>
        <w:rPr>
          <w:rFonts w:eastAsia="Times New Roman" w:cs="Tahoma"/>
          <w:b/>
          <w:bCs/>
          <w:lang w:eastAsia="en-AU"/>
        </w:rPr>
      </w:pPr>
      <w:bookmarkStart w:id="6" w:name="_Ref452636141"/>
      <w:bookmarkStart w:id="7" w:name="_Toc453164994"/>
      <w:r w:rsidRPr="003C0800">
        <w:rPr>
          <w:rFonts w:eastAsia="Times New Roman" w:cs="Tahoma"/>
          <w:b/>
          <w:bCs/>
          <w:lang w:eastAsia="en-AU"/>
        </w:rPr>
        <w:t xml:space="preserve">Table </w:t>
      </w:r>
      <w:bookmarkEnd w:id="6"/>
      <w:r w:rsidRPr="003C0800">
        <w:rPr>
          <w:rFonts w:eastAsia="Times New Roman" w:cs="Tahoma"/>
          <w:b/>
          <w:bCs/>
          <w:lang w:eastAsia="en-AU"/>
        </w:rPr>
        <w:t>7: Estimated centres and utilisation for Australia</w:t>
      </w:r>
      <w:bookmarkEnd w:id="7"/>
    </w:p>
    <w:p w14:paraId="478E11D6" w14:textId="77777777" w:rsidR="00091BEE" w:rsidRPr="00CF19F6" w:rsidRDefault="00091BEE" w:rsidP="00091BEE">
      <w:pPr>
        <w:keepNext/>
        <w:tabs>
          <w:tab w:val="left" w:pos="1134"/>
        </w:tabs>
        <w:spacing w:before="0" w:after="0"/>
        <w:rPr>
          <w:rFonts w:ascii="Arial Narrow" w:eastAsia="Times New Roman" w:hAnsi="Arial Narrow" w:cs="Tahoma"/>
          <w:color w:val="0070C0"/>
          <w:szCs w:val="20"/>
          <w:lang w:eastAsia="en-AU"/>
        </w:rPr>
      </w:pPr>
    </w:p>
    <w:tbl>
      <w:tblPr>
        <w:tblStyle w:val="TableGrid4"/>
        <w:tblW w:w="0" w:type="auto"/>
        <w:tblInd w:w="108" w:type="dxa"/>
        <w:tblLook w:val="04A0" w:firstRow="1" w:lastRow="0" w:firstColumn="1" w:lastColumn="0" w:noHBand="0" w:noVBand="1"/>
        <w:tblCaption w:val="Table"/>
        <w:tblDescription w:val="Table"/>
      </w:tblPr>
      <w:tblGrid>
        <w:gridCol w:w="975"/>
        <w:gridCol w:w="2488"/>
        <w:gridCol w:w="3305"/>
        <w:gridCol w:w="2140"/>
      </w:tblGrid>
      <w:tr w:rsidR="00091BEE" w:rsidRPr="00CF19F6" w14:paraId="194CFB0B" w14:textId="77777777" w:rsidTr="00AB7A8D">
        <w:trPr>
          <w:trHeight w:val="349"/>
          <w:tblHeader/>
        </w:trPr>
        <w:tc>
          <w:tcPr>
            <w:tcW w:w="993" w:type="dxa"/>
            <w:shd w:val="clear" w:color="auto" w:fill="BFBFBF" w:themeFill="background1" w:themeFillShade="BF"/>
            <w:vAlign w:val="center"/>
          </w:tcPr>
          <w:p w14:paraId="4283DBC4" w14:textId="77777777" w:rsidR="00091BEE" w:rsidRPr="003C0800" w:rsidRDefault="00091BEE" w:rsidP="00091BEE">
            <w:pPr>
              <w:spacing w:before="0" w:after="0"/>
              <w:jc w:val="center"/>
              <w:rPr>
                <w:b/>
                <w:bCs/>
                <w:sz w:val="18"/>
                <w:szCs w:val="18"/>
              </w:rPr>
            </w:pPr>
            <w:bookmarkStart w:id="8" w:name="_Hlk41381910"/>
            <w:r w:rsidRPr="003C0800">
              <w:rPr>
                <w:b/>
                <w:bCs/>
                <w:sz w:val="18"/>
                <w:szCs w:val="18"/>
              </w:rPr>
              <w:t>Year</w:t>
            </w:r>
          </w:p>
        </w:tc>
        <w:tc>
          <w:tcPr>
            <w:tcW w:w="2551" w:type="dxa"/>
            <w:shd w:val="clear" w:color="auto" w:fill="BFBFBF" w:themeFill="background1" w:themeFillShade="BF"/>
            <w:vAlign w:val="center"/>
          </w:tcPr>
          <w:p w14:paraId="5792D394" w14:textId="77777777" w:rsidR="00091BEE" w:rsidRPr="003C0800" w:rsidRDefault="00091BEE" w:rsidP="00091BEE">
            <w:pPr>
              <w:spacing w:before="0" w:after="0"/>
              <w:jc w:val="center"/>
              <w:rPr>
                <w:b/>
                <w:bCs/>
                <w:sz w:val="18"/>
                <w:szCs w:val="18"/>
              </w:rPr>
            </w:pPr>
            <w:r w:rsidRPr="003C0800">
              <w:rPr>
                <w:b/>
                <w:bCs/>
                <w:sz w:val="18"/>
                <w:szCs w:val="18"/>
              </w:rPr>
              <w:t>Estimated number of centres</w:t>
            </w:r>
          </w:p>
        </w:tc>
        <w:tc>
          <w:tcPr>
            <w:tcW w:w="3402" w:type="dxa"/>
            <w:shd w:val="clear" w:color="auto" w:fill="BFBFBF" w:themeFill="background1" w:themeFillShade="BF"/>
            <w:vAlign w:val="center"/>
          </w:tcPr>
          <w:p w14:paraId="36CBCBC1" w14:textId="77777777" w:rsidR="00091BEE" w:rsidRPr="003C0800" w:rsidRDefault="00091BEE" w:rsidP="00091BEE">
            <w:pPr>
              <w:spacing w:before="0" w:after="0"/>
              <w:jc w:val="center"/>
              <w:rPr>
                <w:b/>
                <w:bCs/>
                <w:sz w:val="18"/>
                <w:szCs w:val="18"/>
              </w:rPr>
            </w:pPr>
            <w:r w:rsidRPr="003C0800">
              <w:rPr>
                <w:b/>
                <w:bCs/>
                <w:sz w:val="18"/>
                <w:szCs w:val="18"/>
              </w:rPr>
              <w:t>Estimated number of patients</w:t>
            </w:r>
          </w:p>
        </w:tc>
        <w:tc>
          <w:tcPr>
            <w:tcW w:w="2188" w:type="dxa"/>
            <w:shd w:val="clear" w:color="auto" w:fill="BFBFBF" w:themeFill="background1" w:themeFillShade="BF"/>
            <w:vAlign w:val="center"/>
          </w:tcPr>
          <w:p w14:paraId="43546FAC" w14:textId="77777777" w:rsidR="00091BEE" w:rsidRPr="003C0800" w:rsidRDefault="00091BEE" w:rsidP="00091BEE">
            <w:pPr>
              <w:spacing w:before="0" w:after="0"/>
              <w:jc w:val="center"/>
              <w:rPr>
                <w:b/>
                <w:bCs/>
                <w:sz w:val="18"/>
                <w:szCs w:val="18"/>
              </w:rPr>
            </w:pPr>
            <w:r w:rsidRPr="003C0800">
              <w:rPr>
                <w:b/>
                <w:bCs/>
                <w:sz w:val="18"/>
                <w:szCs w:val="18"/>
              </w:rPr>
              <w:t>Estimated Utilisation</w:t>
            </w:r>
          </w:p>
        </w:tc>
      </w:tr>
      <w:tr w:rsidR="00091BEE" w:rsidRPr="00CF19F6" w14:paraId="62D91835" w14:textId="77777777" w:rsidTr="00F304B2">
        <w:trPr>
          <w:trHeight w:val="276"/>
        </w:trPr>
        <w:tc>
          <w:tcPr>
            <w:tcW w:w="993" w:type="dxa"/>
            <w:vAlign w:val="center"/>
          </w:tcPr>
          <w:p w14:paraId="39479B81" w14:textId="77777777" w:rsidR="00091BEE" w:rsidRPr="003C0800" w:rsidRDefault="00091BEE" w:rsidP="00091BEE">
            <w:pPr>
              <w:spacing w:before="0" w:after="0"/>
              <w:jc w:val="center"/>
              <w:rPr>
                <w:sz w:val="18"/>
                <w:szCs w:val="18"/>
              </w:rPr>
            </w:pPr>
            <w:r w:rsidRPr="003C0800">
              <w:rPr>
                <w:sz w:val="18"/>
                <w:szCs w:val="18"/>
              </w:rPr>
              <w:t>Year 1</w:t>
            </w:r>
          </w:p>
        </w:tc>
        <w:tc>
          <w:tcPr>
            <w:tcW w:w="2551" w:type="dxa"/>
            <w:vAlign w:val="center"/>
          </w:tcPr>
          <w:p w14:paraId="0B257AC9" w14:textId="77777777" w:rsidR="00091BEE" w:rsidRPr="003C0800" w:rsidRDefault="00091BEE" w:rsidP="00091BEE">
            <w:pPr>
              <w:spacing w:before="0" w:after="0"/>
              <w:jc w:val="center"/>
              <w:rPr>
                <w:sz w:val="18"/>
                <w:szCs w:val="18"/>
              </w:rPr>
            </w:pPr>
            <w:r w:rsidRPr="003C0800">
              <w:rPr>
                <w:sz w:val="18"/>
                <w:szCs w:val="18"/>
              </w:rPr>
              <w:t>3</w:t>
            </w:r>
          </w:p>
        </w:tc>
        <w:tc>
          <w:tcPr>
            <w:tcW w:w="3402" w:type="dxa"/>
            <w:vAlign w:val="center"/>
          </w:tcPr>
          <w:p w14:paraId="37E4191B" w14:textId="77777777" w:rsidR="00091BEE" w:rsidRPr="003C0800" w:rsidRDefault="00091BEE" w:rsidP="00091BEE">
            <w:pPr>
              <w:spacing w:before="0" w:after="0"/>
              <w:jc w:val="center"/>
              <w:rPr>
                <w:sz w:val="18"/>
                <w:szCs w:val="18"/>
              </w:rPr>
            </w:pPr>
            <w:r w:rsidRPr="003C0800">
              <w:rPr>
                <w:sz w:val="18"/>
                <w:szCs w:val="18"/>
              </w:rPr>
              <w:t>8</w:t>
            </w:r>
          </w:p>
        </w:tc>
        <w:tc>
          <w:tcPr>
            <w:tcW w:w="2188" w:type="dxa"/>
            <w:vAlign w:val="center"/>
          </w:tcPr>
          <w:p w14:paraId="44A40177" w14:textId="77777777" w:rsidR="00091BEE" w:rsidRPr="003C0800" w:rsidRDefault="00091BEE" w:rsidP="00091BEE">
            <w:pPr>
              <w:spacing w:before="0" w:after="0"/>
              <w:jc w:val="center"/>
              <w:rPr>
                <w:sz w:val="18"/>
                <w:szCs w:val="18"/>
              </w:rPr>
            </w:pPr>
            <w:r w:rsidRPr="003C0800">
              <w:rPr>
                <w:sz w:val="18"/>
                <w:szCs w:val="18"/>
              </w:rPr>
              <w:t>24</w:t>
            </w:r>
          </w:p>
        </w:tc>
      </w:tr>
      <w:tr w:rsidR="00091BEE" w:rsidRPr="00CF19F6" w14:paraId="5C1BB083" w14:textId="77777777" w:rsidTr="00F304B2">
        <w:trPr>
          <w:trHeight w:val="276"/>
        </w:trPr>
        <w:tc>
          <w:tcPr>
            <w:tcW w:w="993" w:type="dxa"/>
            <w:vAlign w:val="center"/>
          </w:tcPr>
          <w:p w14:paraId="3D828B43" w14:textId="77777777" w:rsidR="00091BEE" w:rsidRPr="003C0800" w:rsidRDefault="00091BEE" w:rsidP="00091BEE">
            <w:pPr>
              <w:spacing w:before="0" w:after="0"/>
              <w:jc w:val="center"/>
              <w:rPr>
                <w:sz w:val="18"/>
                <w:szCs w:val="18"/>
              </w:rPr>
            </w:pPr>
            <w:r w:rsidRPr="003C0800">
              <w:rPr>
                <w:sz w:val="18"/>
                <w:szCs w:val="18"/>
              </w:rPr>
              <w:t>Year 2</w:t>
            </w:r>
          </w:p>
        </w:tc>
        <w:tc>
          <w:tcPr>
            <w:tcW w:w="2551" w:type="dxa"/>
            <w:vAlign w:val="center"/>
          </w:tcPr>
          <w:p w14:paraId="5425534B" w14:textId="77777777" w:rsidR="00091BEE" w:rsidRPr="003C0800" w:rsidRDefault="00091BEE" w:rsidP="00091BEE">
            <w:pPr>
              <w:spacing w:before="0" w:after="0"/>
              <w:jc w:val="center"/>
              <w:rPr>
                <w:sz w:val="18"/>
                <w:szCs w:val="18"/>
              </w:rPr>
            </w:pPr>
            <w:r w:rsidRPr="003C0800">
              <w:rPr>
                <w:sz w:val="18"/>
                <w:szCs w:val="18"/>
              </w:rPr>
              <w:t>5</w:t>
            </w:r>
          </w:p>
        </w:tc>
        <w:tc>
          <w:tcPr>
            <w:tcW w:w="3402" w:type="dxa"/>
            <w:vAlign w:val="center"/>
          </w:tcPr>
          <w:p w14:paraId="36F948CD" w14:textId="77777777" w:rsidR="00091BEE" w:rsidRPr="003C0800" w:rsidRDefault="00091BEE" w:rsidP="00091BEE">
            <w:pPr>
              <w:spacing w:before="0" w:after="0"/>
              <w:jc w:val="center"/>
              <w:rPr>
                <w:sz w:val="18"/>
                <w:szCs w:val="18"/>
              </w:rPr>
            </w:pPr>
            <w:r w:rsidRPr="003C0800">
              <w:rPr>
                <w:sz w:val="18"/>
                <w:szCs w:val="18"/>
              </w:rPr>
              <w:t>8</w:t>
            </w:r>
          </w:p>
        </w:tc>
        <w:tc>
          <w:tcPr>
            <w:tcW w:w="2188" w:type="dxa"/>
            <w:vAlign w:val="center"/>
          </w:tcPr>
          <w:p w14:paraId="146AB12C" w14:textId="77777777" w:rsidR="00091BEE" w:rsidRPr="003C0800" w:rsidRDefault="00091BEE" w:rsidP="00091BEE">
            <w:pPr>
              <w:spacing w:before="0" w:after="0"/>
              <w:jc w:val="center"/>
              <w:rPr>
                <w:sz w:val="18"/>
                <w:szCs w:val="18"/>
              </w:rPr>
            </w:pPr>
            <w:r w:rsidRPr="003C0800">
              <w:rPr>
                <w:sz w:val="18"/>
                <w:szCs w:val="18"/>
              </w:rPr>
              <w:t>40</w:t>
            </w:r>
          </w:p>
        </w:tc>
      </w:tr>
      <w:tr w:rsidR="00091BEE" w:rsidRPr="00CF19F6" w14:paraId="454CA737" w14:textId="77777777" w:rsidTr="00F304B2">
        <w:trPr>
          <w:trHeight w:val="276"/>
        </w:trPr>
        <w:tc>
          <w:tcPr>
            <w:tcW w:w="993" w:type="dxa"/>
            <w:vAlign w:val="center"/>
          </w:tcPr>
          <w:p w14:paraId="2D4F6F07" w14:textId="77777777" w:rsidR="00091BEE" w:rsidRPr="003C0800" w:rsidRDefault="00091BEE" w:rsidP="00091BEE">
            <w:pPr>
              <w:spacing w:before="0" w:after="0"/>
              <w:jc w:val="center"/>
              <w:rPr>
                <w:sz w:val="18"/>
                <w:szCs w:val="18"/>
              </w:rPr>
            </w:pPr>
            <w:r w:rsidRPr="003C0800">
              <w:rPr>
                <w:sz w:val="18"/>
                <w:szCs w:val="18"/>
              </w:rPr>
              <w:t>Year 3</w:t>
            </w:r>
          </w:p>
        </w:tc>
        <w:tc>
          <w:tcPr>
            <w:tcW w:w="2551" w:type="dxa"/>
            <w:vAlign w:val="center"/>
          </w:tcPr>
          <w:p w14:paraId="5B63266C" w14:textId="77777777" w:rsidR="00091BEE" w:rsidRPr="003C0800" w:rsidRDefault="00091BEE" w:rsidP="00091BEE">
            <w:pPr>
              <w:spacing w:before="0" w:after="0"/>
              <w:jc w:val="center"/>
              <w:rPr>
                <w:sz w:val="18"/>
                <w:szCs w:val="18"/>
              </w:rPr>
            </w:pPr>
            <w:r w:rsidRPr="003C0800">
              <w:rPr>
                <w:sz w:val="18"/>
                <w:szCs w:val="18"/>
              </w:rPr>
              <w:t>7</w:t>
            </w:r>
          </w:p>
        </w:tc>
        <w:tc>
          <w:tcPr>
            <w:tcW w:w="3402" w:type="dxa"/>
            <w:vAlign w:val="center"/>
          </w:tcPr>
          <w:p w14:paraId="05C5F6FF" w14:textId="77777777" w:rsidR="00091BEE" w:rsidRPr="003C0800" w:rsidRDefault="00091BEE" w:rsidP="00091BEE">
            <w:pPr>
              <w:spacing w:before="0" w:after="0"/>
              <w:jc w:val="center"/>
              <w:rPr>
                <w:sz w:val="18"/>
                <w:szCs w:val="18"/>
              </w:rPr>
            </w:pPr>
            <w:r w:rsidRPr="003C0800">
              <w:rPr>
                <w:sz w:val="18"/>
                <w:szCs w:val="18"/>
              </w:rPr>
              <w:t>8</w:t>
            </w:r>
          </w:p>
        </w:tc>
        <w:tc>
          <w:tcPr>
            <w:tcW w:w="2188" w:type="dxa"/>
            <w:vAlign w:val="center"/>
          </w:tcPr>
          <w:p w14:paraId="16A14E7C" w14:textId="77777777" w:rsidR="00091BEE" w:rsidRPr="003C0800" w:rsidRDefault="00091BEE" w:rsidP="00091BEE">
            <w:pPr>
              <w:spacing w:before="0" w:after="0"/>
              <w:jc w:val="center"/>
              <w:rPr>
                <w:sz w:val="18"/>
                <w:szCs w:val="18"/>
              </w:rPr>
            </w:pPr>
            <w:r w:rsidRPr="003C0800">
              <w:rPr>
                <w:sz w:val="18"/>
                <w:szCs w:val="18"/>
              </w:rPr>
              <w:t>56</w:t>
            </w:r>
          </w:p>
        </w:tc>
      </w:tr>
      <w:tr w:rsidR="00091BEE" w:rsidRPr="00CF19F6" w14:paraId="5D1F7048" w14:textId="77777777" w:rsidTr="00F304B2">
        <w:trPr>
          <w:trHeight w:val="276"/>
        </w:trPr>
        <w:tc>
          <w:tcPr>
            <w:tcW w:w="993" w:type="dxa"/>
            <w:vAlign w:val="center"/>
          </w:tcPr>
          <w:p w14:paraId="28B7BD5A" w14:textId="77777777" w:rsidR="00091BEE" w:rsidRPr="003C0800" w:rsidRDefault="00091BEE" w:rsidP="00091BEE">
            <w:pPr>
              <w:spacing w:before="0" w:after="0"/>
              <w:jc w:val="center"/>
              <w:rPr>
                <w:sz w:val="18"/>
                <w:szCs w:val="18"/>
              </w:rPr>
            </w:pPr>
            <w:r w:rsidRPr="003C0800">
              <w:rPr>
                <w:sz w:val="18"/>
                <w:szCs w:val="18"/>
              </w:rPr>
              <w:t>Year 4</w:t>
            </w:r>
          </w:p>
        </w:tc>
        <w:tc>
          <w:tcPr>
            <w:tcW w:w="2551" w:type="dxa"/>
            <w:vAlign w:val="center"/>
          </w:tcPr>
          <w:p w14:paraId="2BE7ED67" w14:textId="77777777" w:rsidR="00091BEE" w:rsidRPr="003C0800" w:rsidRDefault="00091BEE" w:rsidP="00091BEE">
            <w:pPr>
              <w:spacing w:before="0" w:after="0"/>
              <w:jc w:val="center"/>
              <w:rPr>
                <w:sz w:val="18"/>
                <w:szCs w:val="18"/>
              </w:rPr>
            </w:pPr>
            <w:r w:rsidRPr="003C0800">
              <w:rPr>
                <w:sz w:val="18"/>
                <w:szCs w:val="18"/>
              </w:rPr>
              <w:t>10</w:t>
            </w:r>
          </w:p>
        </w:tc>
        <w:tc>
          <w:tcPr>
            <w:tcW w:w="3402" w:type="dxa"/>
            <w:vAlign w:val="center"/>
          </w:tcPr>
          <w:p w14:paraId="7B8B5BBC" w14:textId="77777777" w:rsidR="00091BEE" w:rsidRPr="003C0800" w:rsidRDefault="00091BEE" w:rsidP="00091BEE">
            <w:pPr>
              <w:spacing w:before="0" w:after="0"/>
              <w:jc w:val="center"/>
              <w:rPr>
                <w:sz w:val="18"/>
                <w:szCs w:val="18"/>
              </w:rPr>
            </w:pPr>
            <w:r w:rsidRPr="003C0800">
              <w:rPr>
                <w:sz w:val="18"/>
                <w:szCs w:val="18"/>
              </w:rPr>
              <w:t>10</w:t>
            </w:r>
          </w:p>
        </w:tc>
        <w:tc>
          <w:tcPr>
            <w:tcW w:w="2188" w:type="dxa"/>
            <w:vAlign w:val="center"/>
          </w:tcPr>
          <w:p w14:paraId="2C4B3AE7" w14:textId="77777777" w:rsidR="00091BEE" w:rsidRPr="003C0800" w:rsidRDefault="00091BEE" w:rsidP="00091BEE">
            <w:pPr>
              <w:spacing w:before="0" w:after="0"/>
              <w:jc w:val="center"/>
              <w:rPr>
                <w:sz w:val="18"/>
                <w:szCs w:val="18"/>
              </w:rPr>
            </w:pPr>
            <w:r w:rsidRPr="003C0800">
              <w:rPr>
                <w:sz w:val="18"/>
                <w:szCs w:val="18"/>
              </w:rPr>
              <w:t>100</w:t>
            </w:r>
          </w:p>
        </w:tc>
      </w:tr>
      <w:tr w:rsidR="00091BEE" w:rsidRPr="00CF19F6" w14:paraId="78C4196A" w14:textId="77777777" w:rsidTr="00F304B2">
        <w:trPr>
          <w:trHeight w:val="276"/>
        </w:trPr>
        <w:tc>
          <w:tcPr>
            <w:tcW w:w="993" w:type="dxa"/>
            <w:vAlign w:val="center"/>
          </w:tcPr>
          <w:p w14:paraId="1A23551F" w14:textId="77777777" w:rsidR="00091BEE" w:rsidRPr="003C0800" w:rsidRDefault="00091BEE" w:rsidP="00091BEE">
            <w:pPr>
              <w:spacing w:before="0" w:after="0"/>
              <w:jc w:val="center"/>
              <w:rPr>
                <w:sz w:val="18"/>
                <w:szCs w:val="18"/>
              </w:rPr>
            </w:pPr>
            <w:r w:rsidRPr="003C0800">
              <w:rPr>
                <w:sz w:val="18"/>
                <w:szCs w:val="18"/>
              </w:rPr>
              <w:t>Year 5</w:t>
            </w:r>
          </w:p>
        </w:tc>
        <w:tc>
          <w:tcPr>
            <w:tcW w:w="2551" w:type="dxa"/>
            <w:vAlign w:val="center"/>
          </w:tcPr>
          <w:p w14:paraId="58854D5E" w14:textId="77777777" w:rsidR="00091BEE" w:rsidRPr="003C0800" w:rsidRDefault="00091BEE" w:rsidP="00091BEE">
            <w:pPr>
              <w:spacing w:before="0" w:after="0"/>
              <w:jc w:val="center"/>
              <w:rPr>
                <w:sz w:val="18"/>
                <w:szCs w:val="18"/>
              </w:rPr>
            </w:pPr>
            <w:r w:rsidRPr="003C0800">
              <w:rPr>
                <w:sz w:val="18"/>
                <w:szCs w:val="18"/>
              </w:rPr>
              <w:t>15</w:t>
            </w:r>
          </w:p>
        </w:tc>
        <w:tc>
          <w:tcPr>
            <w:tcW w:w="3402" w:type="dxa"/>
            <w:vAlign w:val="center"/>
          </w:tcPr>
          <w:p w14:paraId="0CF5F774" w14:textId="77777777" w:rsidR="00091BEE" w:rsidRPr="003C0800" w:rsidRDefault="00091BEE" w:rsidP="00091BEE">
            <w:pPr>
              <w:spacing w:before="0" w:after="0"/>
              <w:jc w:val="center"/>
              <w:rPr>
                <w:sz w:val="18"/>
                <w:szCs w:val="18"/>
              </w:rPr>
            </w:pPr>
            <w:r w:rsidRPr="003C0800">
              <w:rPr>
                <w:sz w:val="18"/>
                <w:szCs w:val="18"/>
              </w:rPr>
              <w:t>10</w:t>
            </w:r>
          </w:p>
        </w:tc>
        <w:tc>
          <w:tcPr>
            <w:tcW w:w="2188" w:type="dxa"/>
            <w:vAlign w:val="center"/>
          </w:tcPr>
          <w:p w14:paraId="5322CA9F" w14:textId="77777777" w:rsidR="00091BEE" w:rsidRPr="003C0800" w:rsidRDefault="00091BEE" w:rsidP="00091BEE">
            <w:pPr>
              <w:spacing w:before="0" w:after="0"/>
              <w:jc w:val="center"/>
              <w:rPr>
                <w:sz w:val="18"/>
                <w:szCs w:val="18"/>
              </w:rPr>
            </w:pPr>
            <w:r w:rsidRPr="003C0800">
              <w:rPr>
                <w:sz w:val="18"/>
                <w:szCs w:val="18"/>
              </w:rPr>
              <w:t>150</w:t>
            </w:r>
          </w:p>
        </w:tc>
      </w:tr>
      <w:bookmarkEnd w:id="8"/>
    </w:tbl>
    <w:p w14:paraId="160FE7AE" w14:textId="15F004FA" w:rsidR="00091BEE" w:rsidRPr="00CF19F6" w:rsidRDefault="00091BEE" w:rsidP="00091BEE">
      <w:pPr>
        <w:spacing w:before="0" w:after="240" w:line="312" w:lineRule="auto"/>
        <w:rPr>
          <w:rFonts w:ascii="Calibri" w:eastAsia="Times New Roman" w:hAnsi="Calibri" w:cs="Tahoma"/>
          <w:color w:val="0070C0"/>
          <w:sz w:val="22"/>
          <w:lang w:eastAsia="en-AU"/>
        </w:rPr>
      </w:pPr>
    </w:p>
    <w:p w14:paraId="3AACBD9D" w14:textId="67EC6EC9" w:rsidR="000E11B2" w:rsidRPr="003C0800" w:rsidRDefault="000E11B2" w:rsidP="0043429E">
      <w:pPr>
        <w:ind w:left="301"/>
        <w:rPr>
          <w:szCs w:val="20"/>
        </w:rPr>
      </w:pPr>
      <w:r w:rsidRPr="003C0800">
        <w:t xml:space="preserve">Additionally, the applicant would like to propose the use of an item number for a case conference to determine eligibility for closed loop UAS, similar to those currently available for transcatheter aortic valve implantation (TAVI) (MBS items 6080 and 6081).  </w:t>
      </w:r>
      <w:r w:rsidR="00091BEE" w:rsidRPr="003C0800">
        <w:t>At a minimum, the team would include an ear, nose and throat surgeon and a sleep specialist.</w:t>
      </w:r>
    </w:p>
    <w:p w14:paraId="051DB062" w14:textId="77777777" w:rsidR="003433D1" w:rsidRDefault="003433D1">
      <w:pPr>
        <w:rPr>
          <w:b/>
          <w:sz w:val="32"/>
          <w:szCs w:val="32"/>
        </w:rPr>
      </w:pPr>
      <w:r>
        <w:rPr>
          <w:b/>
          <w:sz w:val="32"/>
          <w:szCs w:val="32"/>
        </w:rPr>
        <w:br w:type="page"/>
      </w:r>
    </w:p>
    <w:p w14:paraId="5F045C4B" w14:textId="77777777" w:rsidR="00951933" w:rsidRPr="00C776B1" w:rsidRDefault="001B5169" w:rsidP="0056015F">
      <w:pPr>
        <w:pStyle w:val="Heading1"/>
      </w:pPr>
      <w:r>
        <w:t>PART 8</w:t>
      </w:r>
      <w:r w:rsidR="00F93784">
        <w:t xml:space="preserve"> – </w:t>
      </w:r>
      <w:r w:rsidR="005A58BA">
        <w:t>COST</w:t>
      </w:r>
      <w:r w:rsidR="00951933" w:rsidRPr="00C776B1">
        <w:t xml:space="preserve"> INFORMATION</w:t>
      </w:r>
    </w:p>
    <w:p w14:paraId="45558808" w14:textId="645A1501" w:rsidR="006A649A"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6EE4B654" w14:textId="005E341C" w:rsidR="0043429E" w:rsidRDefault="0043429E" w:rsidP="0043429E">
      <w:pPr>
        <w:rPr>
          <w:b/>
          <w:bCs/>
        </w:rPr>
      </w:pPr>
      <w:r>
        <w:rPr>
          <w:b/>
          <w:bCs/>
        </w:rPr>
        <w:t>Table 8: Costs of Closed Loop UAS</w:t>
      </w:r>
    </w:p>
    <w:tbl>
      <w:tblPr>
        <w:tblStyle w:val="TableGrid"/>
        <w:tblW w:w="0" w:type="auto"/>
        <w:tblLook w:val="04A0" w:firstRow="1" w:lastRow="0" w:firstColumn="1" w:lastColumn="0" w:noHBand="0" w:noVBand="1"/>
        <w:tblCaption w:val="Table"/>
        <w:tblDescription w:val="Table"/>
      </w:tblPr>
      <w:tblGrid>
        <w:gridCol w:w="1838"/>
        <w:gridCol w:w="1701"/>
        <w:gridCol w:w="1276"/>
        <w:gridCol w:w="1276"/>
        <w:gridCol w:w="1422"/>
        <w:gridCol w:w="1503"/>
      </w:tblGrid>
      <w:tr w:rsidR="0043429E" w:rsidRPr="0043429E" w14:paraId="1383B398" w14:textId="77777777" w:rsidTr="00AB7A8D">
        <w:trPr>
          <w:tblHeader/>
        </w:trPr>
        <w:tc>
          <w:tcPr>
            <w:tcW w:w="1838" w:type="dxa"/>
            <w:shd w:val="clear" w:color="auto" w:fill="D9D9D9" w:themeFill="background1" w:themeFillShade="D9"/>
          </w:tcPr>
          <w:p w14:paraId="69D61FF9" w14:textId="77777777" w:rsidR="0043429E" w:rsidRPr="0043429E" w:rsidRDefault="0043429E" w:rsidP="0043429E">
            <w:pPr>
              <w:rPr>
                <w:b/>
                <w:bCs/>
              </w:rPr>
            </w:pPr>
            <w:r w:rsidRPr="0043429E">
              <w:rPr>
                <w:b/>
                <w:bCs/>
              </w:rPr>
              <w:t>Service</w:t>
            </w:r>
          </w:p>
        </w:tc>
        <w:tc>
          <w:tcPr>
            <w:tcW w:w="1701" w:type="dxa"/>
            <w:shd w:val="clear" w:color="auto" w:fill="D9D9D9" w:themeFill="background1" w:themeFillShade="D9"/>
          </w:tcPr>
          <w:p w14:paraId="56957B88" w14:textId="77777777" w:rsidR="0043429E" w:rsidRPr="0043429E" w:rsidRDefault="0043429E" w:rsidP="0043429E">
            <w:pPr>
              <w:rPr>
                <w:b/>
                <w:bCs/>
              </w:rPr>
            </w:pPr>
            <w:r w:rsidRPr="0043429E">
              <w:rPr>
                <w:b/>
                <w:bCs/>
              </w:rPr>
              <w:t>Source</w:t>
            </w:r>
          </w:p>
        </w:tc>
        <w:tc>
          <w:tcPr>
            <w:tcW w:w="1276" w:type="dxa"/>
            <w:shd w:val="clear" w:color="auto" w:fill="D9D9D9" w:themeFill="background1" w:themeFillShade="D9"/>
          </w:tcPr>
          <w:p w14:paraId="3FB0F5B6" w14:textId="77777777" w:rsidR="0043429E" w:rsidRPr="0043429E" w:rsidRDefault="0043429E" w:rsidP="0043429E">
            <w:pPr>
              <w:rPr>
                <w:b/>
                <w:bCs/>
              </w:rPr>
            </w:pPr>
            <w:r w:rsidRPr="0043429E">
              <w:rPr>
                <w:b/>
                <w:bCs/>
              </w:rPr>
              <w:t>Fee/Cost</w:t>
            </w:r>
          </w:p>
        </w:tc>
        <w:tc>
          <w:tcPr>
            <w:tcW w:w="1276" w:type="dxa"/>
            <w:shd w:val="clear" w:color="auto" w:fill="D9D9D9" w:themeFill="background1" w:themeFillShade="D9"/>
          </w:tcPr>
          <w:p w14:paraId="02CF10C7" w14:textId="77777777" w:rsidR="0043429E" w:rsidRPr="0043429E" w:rsidRDefault="0043429E" w:rsidP="0043429E">
            <w:pPr>
              <w:rPr>
                <w:b/>
                <w:bCs/>
              </w:rPr>
            </w:pPr>
            <w:r w:rsidRPr="0043429E">
              <w:rPr>
                <w:b/>
                <w:bCs/>
              </w:rPr>
              <w:t>Benefit</w:t>
            </w:r>
          </w:p>
        </w:tc>
        <w:tc>
          <w:tcPr>
            <w:tcW w:w="1422" w:type="dxa"/>
            <w:shd w:val="clear" w:color="auto" w:fill="D9D9D9" w:themeFill="background1" w:themeFillShade="D9"/>
          </w:tcPr>
          <w:p w14:paraId="5CC3449C" w14:textId="77777777" w:rsidR="0043429E" w:rsidRPr="0043429E" w:rsidRDefault="0043429E" w:rsidP="0043429E">
            <w:pPr>
              <w:rPr>
                <w:b/>
                <w:bCs/>
              </w:rPr>
            </w:pPr>
            <w:r w:rsidRPr="0043429E">
              <w:rPr>
                <w:b/>
                <w:bCs/>
              </w:rPr>
              <w:t>Frequency</w:t>
            </w:r>
          </w:p>
        </w:tc>
        <w:tc>
          <w:tcPr>
            <w:tcW w:w="1503" w:type="dxa"/>
            <w:shd w:val="clear" w:color="auto" w:fill="D9D9D9" w:themeFill="background1" w:themeFillShade="D9"/>
          </w:tcPr>
          <w:p w14:paraId="4A2BF5DB" w14:textId="77777777" w:rsidR="0043429E" w:rsidRPr="0043429E" w:rsidRDefault="0043429E" w:rsidP="0043429E">
            <w:pPr>
              <w:rPr>
                <w:b/>
                <w:bCs/>
              </w:rPr>
            </w:pPr>
            <w:r w:rsidRPr="0043429E">
              <w:rPr>
                <w:b/>
                <w:bCs/>
              </w:rPr>
              <w:t>Cost</w:t>
            </w:r>
          </w:p>
        </w:tc>
      </w:tr>
      <w:tr w:rsidR="0043429E" w:rsidRPr="0043429E" w14:paraId="44D1A464" w14:textId="77777777" w:rsidTr="00F304B2">
        <w:tc>
          <w:tcPr>
            <w:tcW w:w="1838" w:type="dxa"/>
          </w:tcPr>
          <w:p w14:paraId="3E8D8A50" w14:textId="77777777" w:rsidR="0043429E" w:rsidRPr="00F304B2" w:rsidRDefault="0043429E" w:rsidP="0043429E">
            <w:pPr>
              <w:rPr>
                <w:bCs/>
              </w:rPr>
            </w:pPr>
            <w:r w:rsidRPr="00F304B2">
              <w:rPr>
                <w:bCs/>
              </w:rPr>
              <w:t>Presurgical services</w:t>
            </w:r>
          </w:p>
        </w:tc>
        <w:tc>
          <w:tcPr>
            <w:tcW w:w="1701" w:type="dxa"/>
          </w:tcPr>
          <w:p w14:paraId="56FFEC76" w14:textId="77777777" w:rsidR="0043429E" w:rsidRPr="00F304B2" w:rsidRDefault="0043429E" w:rsidP="0043429E">
            <w:pPr>
              <w:rPr>
                <w:bCs/>
              </w:rPr>
            </w:pPr>
          </w:p>
        </w:tc>
        <w:tc>
          <w:tcPr>
            <w:tcW w:w="1276" w:type="dxa"/>
          </w:tcPr>
          <w:p w14:paraId="331F5D0F" w14:textId="77777777" w:rsidR="0043429E" w:rsidRPr="00F304B2" w:rsidRDefault="0043429E" w:rsidP="0043429E">
            <w:pPr>
              <w:rPr>
                <w:bCs/>
              </w:rPr>
            </w:pPr>
          </w:p>
        </w:tc>
        <w:tc>
          <w:tcPr>
            <w:tcW w:w="1276" w:type="dxa"/>
          </w:tcPr>
          <w:p w14:paraId="5541DB65" w14:textId="77777777" w:rsidR="0043429E" w:rsidRPr="00F304B2" w:rsidRDefault="0043429E" w:rsidP="0043429E">
            <w:pPr>
              <w:rPr>
                <w:bCs/>
              </w:rPr>
            </w:pPr>
          </w:p>
        </w:tc>
        <w:tc>
          <w:tcPr>
            <w:tcW w:w="1422" w:type="dxa"/>
          </w:tcPr>
          <w:p w14:paraId="5A8A8E74" w14:textId="77777777" w:rsidR="0043429E" w:rsidRPr="00F304B2" w:rsidRDefault="0043429E" w:rsidP="0043429E">
            <w:pPr>
              <w:rPr>
                <w:bCs/>
              </w:rPr>
            </w:pPr>
          </w:p>
        </w:tc>
        <w:tc>
          <w:tcPr>
            <w:tcW w:w="1503" w:type="dxa"/>
          </w:tcPr>
          <w:p w14:paraId="1087CD0A" w14:textId="77777777" w:rsidR="0043429E" w:rsidRPr="00F304B2" w:rsidRDefault="0043429E" w:rsidP="0043429E">
            <w:pPr>
              <w:rPr>
                <w:bCs/>
              </w:rPr>
            </w:pPr>
          </w:p>
        </w:tc>
      </w:tr>
      <w:tr w:rsidR="00F304B2" w:rsidRPr="0043429E" w14:paraId="09F15CA0" w14:textId="77777777" w:rsidTr="00F304B2">
        <w:tc>
          <w:tcPr>
            <w:tcW w:w="1838" w:type="dxa"/>
            <w:vMerge w:val="restart"/>
          </w:tcPr>
          <w:p w14:paraId="399C6D2A" w14:textId="77777777" w:rsidR="00F304B2" w:rsidRPr="00F304B2" w:rsidRDefault="00F304B2" w:rsidP="0043429E">
            <w:pPr>
              <w:rPr>
                <w:bCs/>
              </w:rPr>
            </w:pPr>
            <w:r w:rsidRPr="00F304B2">
              <w:rPr>
                <w:bCs/>
              </w:rPr>
              <w:t>DISE</w:t>
            </w:r>
          </w:p>
        </w:tc>
        <w:tc>
          <w:tcPr>
            <w:tcW w:w="1701" w:type="dxa"/>
          </w:tcPr>
          <w:p w14:paraId="4114C01F" w14:textId="77777777" w:rsidR="00F304B2" w:rsidRPr="00F304B2" w:rsidRDefault="00F304B2" w:rsidP="0043429E">
            <w:pPr>
              <w:rPr>
                <w:bCs/>
              </w:rPr>
            </w:pPr>
            <w:r w:rsidRPr="00F304B2">
              <w:rPr>
                <w:bCs/>
              </w:rPr>
              <w:t>MBS Item 41764</w:t>
            </w:r>
          </w:p>
        </w:tc>
        <w:tc>
          <w:tcPr>
            <w:tcW w:w="1276" w:type="dxa"/>
          </w:tcPr>
          <w:p w14:paraId="541B3343" w14:textId="77777777" w:rsidR="00F304B2" w:rsidRPr="00F304B2" w:rsidRDefault="00F304B2" w:rsidP="0043429E">
            <w:pPr>
              <w:rPr>
                <w:bCs/>
              </w:rPr>
            </w:pPr>
            <w:r w:rsidRPr="00F304B2">
              <w:rPr>
                <w:bCs/>
              </w:rPr>
              <w:t>$124.80</w:t>
            </w:r>
          </w:p>
        </w:tc>
        <w:tc>
          <w:tcPr>
            <w:tcW w:w="1276" w:type="dxa"/>
          </w:tcPr>
          <w:p w14:paraId="328A6E8D" w14:textId="77777777" w:rsidR="00F304B2" w:rsidRPr="00F304B2" w:rsidRDefault="00F304B2" w:rsidP="0043429E">
            <w:pPr>
              <w:rPr>
                <w:bCs/>
              </w:rPr>
            </w:pPr>
            <w:r w:rsidRPr="00F304B2">
              <w:rPr>
                <w:bCs/>
              </w:rPr>
              <w:t>$93.60</w:t>
            </w:r>
          </w:p>
        </w:tc>
        <w:tc>
          <w:tcPr>
            <w:tcW w:w="1422" w:type="dxa"/>
          </w:tcPr>
          <w:p w14:paraId="03BFEF91" w14:textId="77777777" w:rsidR="00F304B2" w:rsidRPr="00F304B2" w:rsidRDefault="00F304B2" w:rsidP="0043429E">
            <w:pPr>
              <w:rPr>
                <w:bCs/>
              </w:rPr>
            </w:pPr>
            <w:r w:rsidRPr="00F304B2">
              <w:rPr>
                <w:bCs/>
              </w:rPr>
              <w:t>1</w:t>
            </w:r>
          </w:p>
        </w:tc>
        <w:tc>
          <w:tcPr>
            <w:tcW w:w="1503" w:type="dxa"/>
          </w:tcPr>
          <w:p w14:paraId="75564711" w14:textId="77777777" w:rsidR="00F304B2" w:rsidRPr="00F304B2" w:rsidRDefault="00F304B2" w:rsidP="0043429E">
            <w:pPr>
              <w:rPr>
                <w:bCs/>
              </w:rPr>
            </w:pPr>
            <w:r w:rsidRPr="00F304B2">
              <w:rPr>
                <w:bCs/>
              </w:rPr>
              <w:t>$106.10</w:t>
            </w:r>
          </w:p>
        </w:tc>
      </w:tr>
      <w:tr w:rsidR="00F304B2" w:rsidRPr="0043429E" w14:paraId="3C1E23EB" w14:textId="77777777" w:rsidTr="00F304B2">
        <w:tc>
          <w:tcPr>
            <w:tcW w:w="1838" w:type="dxa"/>
            <w:vMerge/>
          </w:tcPr>
          <w:p w14:paraId="0B7B2CF0" w14:textId="77777777" w:rsidR="00F304B2" w:rsidRPr="00F304B2" w:rsidRDefault="00F304B2" w:rsidP="0043429E">
            <w:pPr>
              <w:rPr>
                <w:bCs/>
              </w:rPr>
            </w:pPr>
          </w:p>
        </w:tc>
        <w:tc>
          <w:tcPr>
            <w:tcW w:w="1701" w:type="dxa"/>
          </w:tcPr>
          <w:p w14:paraId="0F779941" w14:textId="77777777" w:rsidR="00F304B2" w:rsidRPr="00F304B2" w:rsidRDefault="00F304B2" w:rsidP="0043429E">
            <w:pPr>
              <w:rPr>
                <w:bCs/>
              </w:rPr>
            </w:pPr>
            <w:r w:rsidRPr="00F304B2">
              <w:rPr>
                <w:bCs/>
              </w:rPr>
              <w:t>MBS Item 41889</w:t>
            </w:r>
          </w:p>
        </w:tc>
        <w:tc>
          <w:tcPr>
            <w:tcW w:w="1276" w:type="dxa"/>
          </w:tcPr>
          <w:p w14:paraId="7A3F1093" w14:textId="77777777" w:rsidR="00F304B2" w:rsidRPr="00F304B2" w:rsidRDefault="00F304B2" w:rsidP="0043429E">
            <w:pPr>
              <w:rPr>
                <w:bCs/>
              </w:rPr>
            </w:pPr>
            <w:r w:rsidRPr="00F304B2">
              <w:rPr>
                <w:bCs/>
              </w:rPr>
              <w:t>$180.90</w:t>
            </w:r>
          </w:p>
        </w:tc>
        <w:tc>
          <w:tcPr>
            <w:tcW w:w="1276" w:type="dxa"/>
          </w:tcPr>
          <w:p w14:paraId="606BDFEC" w14:textId="77777777" w:rsidR="00F304B2" w:rsidRPr="00F304B2" w:rsidRDefault="00F304B2" w:rsidP="0043429E">
            <w:pPr>
              <w:rPr>
                <w:bCs/>
              </w:rPr>
            </w:pPr>
            <w:r w:rsidRPr="00F304B2">
              <w:rPr>
                <w:bCs/>
              </w:rPr>
              <w:t>$135.70</w:t>
            </w:r>
          </w:p>
        </w:tc>
        <w:tc>
          <w:tcPr>
            <w:tcW w:w="1422" w:type="dxa"/>
          </w:tcPr>
          <w:p w14:paraId="257A38C7" w14:textId="77777777" w:rsidR="00F304B2" w:rsidRPr="00F304B2" w:rsidRDefault="00F304B2" w:rsidP="0043429E">
            <w:pPr>
              <w:rPr>
                <w:bCs/>
              </w:rPr>
            </w:pPr>
            <w:r w:rsidRPr="00F304B2">
              <w:rPr>
                <w:bCs/>
              </w:rPr>
              <w:t>1</w:t>
            </w:r>
          </w:p>
        </w:tc>
        <w:tc>
          <w:tcPr>
            <w:tcW w:w="1503" w:type="dxa"/>
          </w:tcPr>
          <w:p w14:paraId="5CE0EE2D" w14:textId="77777777" w:rsidR="00F304B2" w:rsidRPr="00F304B2" w:rsidRDefault="00F304B2" w:rsidP="0043429E">
            <w:pPr>
              <w:rPr>
                <w:bCs/>
              </w:rPr>
            </w:pPr>
            <w:r w:rsidRPr="00F304B2">
              <w:rPr>
                <w:bCs/>
              </w:rPr>
              <w:t>$135.70</w:t>
            </w:r>
          </w:p>
        </w:tc>
      </w:tr>
      <w:tr w:rsidR="0043429E" w:rsidRPr="0043429E" w14:paraId="279FC716" w14:textId="77777777" w:rsidTr="00F304B2">
        <w:tc>
          <w:tcPr>
            <w:tcW w:w="1838" w:type="dxa"/>
          </w:tcPr>
          <w:p w14:paraId="226487E8" w14:textId="60092794" w:rsidR="0043429E" w:rsidRPr="00F304B2" w:rsidRDefault="0043429E" w:rsidP="0043429E">
            <w:pPr>
              <w:rPr>
                <w:bCs/>
              </w:rPr>
            </w:pPr>
            <w:r w:rsidRPr="00F304B2">
              <w:rPr>
                <w:bCs/>
              </w:rPr>
              <w:t>Case Conference - Coordination</w:t>
            </w:r>
          </w:p>
        </w:tc>
        <w:tc>
          <w:tcPr>
            <w:tcW w:w="1701" w:type="dxa"/>
          </w:tcPr>
          <w:p w14:paraId="05BE8BE7" w14:textId="7CBB4A2F" w:rsidR="0043429E" w:rsidRPr="00F304B2" w:rsidRDefault="0043429E" w:rsidP="0043429E">
            <w:pPr>
              <w:rPr>
                <w:bCs/>
              </w:rPr>
            </w:pPr>
            <w:r w:rsidRPr="00F304B2">
              <w:rPr>
                <w:bCs/>
              </w:rPr>
              <w:t>Proposed Fee</w:t>
            </w:r>
          </w:p>
        </w:tc>
        <w:tc>
          <w:tcPr>
            <w:tcW w:w="1276" w:type="dxa"/>
          </w:tcPr>
          <w:p w14:paraId="7A09CE5E" w14:textId="0F712E16" w:rsidR="0043429E" w:rsidRPr="00F304B2" w:rsidRDefault="0043429E" w:rsidP="0043429E">
            <w:pPr>
              <w:rPr>
                <w:bCs/>
              </w:rPr>
            </w:pPr>
            <w:r w:rsidRPr="00F304B2">
              <w:rPr>
                <w:bCs/>
              </w:rPr>
              <w:t>$52.50</w:t>
            </w:r>
          </w:p>
        </w:tc>
        <w:tc>
          <w:tcPr>
            <w:tcW w:w="1276" w:type="dxa"/>
          </w:tcPr>
          <w:p w14:paraId="653EE7DA" w14:textId="2AEAE5EE" w:rsidR="0043429E" w:rsidRPr="00F304B2" w:rsidRDefault="0043429E" w:rsidP="0043429E">
            <w:pPr>
              <w:rPr>
                <w:bCs/>
              </w:rPr>
            </w:pPr>
            <w:r w:rsidRPr="00F304B2">
              <w:rPr>
                <w:bCs/>
              </w:rPr>
              <w:t>$44.65</w:t>
            </w:r>
          </w:p>
        </w:tc>
        <w:tc>
          <w:tcPr>
            <w:tcW w:w="1422" w:type="dxa"/>
          </w:tcPr>
          <w:p w14:paraId="39519234" w14:textId="2063EF68" w:rsidR="0043429E" w:rsidRPr="00F304B2" w:rsidRDefault="0043429E" w:rsidP="0043429E">
            <w:pPr>
              <w:rPr>
                <w:bCs/>
              </w:rPr>
            </w:pPr>
            <w:r w:rsidRPr="00F304B2">
              <w:rPr>
                <w:bCs/>
              </w:rPr>
              <w:t>1</w:t>
            </w:r>
          </w:p>
        </w:tc>
        <w:tc>
          <w:tcPr>
            <w:tcW w:w="1503" w:type="dxa"/>
          </w:tcPr>
          <w:p w14:paraId="09629FF9" w14:textId="6062977F" w:rsidR="0043429E" w:rsidRPr="00F304B2" w:rsidRDefault="0043429E" w:rsidP="0043429E">
            <w:pPr>
              <w:rPr>
                <w:bCs/>
              </w:rPr>
            </w:pPr>
            <w:r w:rsidRPr="00F304B2">
              <w:rPr>
                <w:bCs/>
              </w:rPr>
              <w:t>$89.30</w:t>
            </w:r>
          </w:p>
        </w:tc>
      </w:tr>
      <w:tr w:rsidR="0043429E" w:rsidRPr="0043429E" w14:paraId="7FD5008B" w14:textId="77777777" w:rsidTr="00F304B2">
        <w:tc>
          <w:tcPr>
            <w:tcW w:w="1838" w:type="dxa"/>
          </w:tcPr>
          <w:p w14:paraId="3D0E99DC" w14:textId="5DB6551E" w:rsidR="0043429E" w:rsidRPr="00F304B2" w:rsidRDefault="0043429E" w:rsidP="0043429E">
            <w:pPr>
              <w:rPr>
                <w:bCs/>
              </w:rPr>
            </w:pPr>
            <w:r w:rsidRPr="00F304B2">
              <w:rPr>
                <w:bCs/>
              </w:rPr>
              <w:t>Attendance Case Conference</w:t>
            </w:r>
          </w:p>
        </w:tc>
        <w:tc>
          <w:tcPr>
            <w:tcW w:w="1701" w:type="dxa"/>
          </w:tcPr>
          <w:p w14:paraId="74315453" w14:textId="474DA27C" w:rsidR="0043429E" w:rsidRPr="00F304B2" w:rsidRDefault="0043429E" w:rsidP="0043429E">
            <w:pPr>
              <w:rPr>
                <w:bCs/>
              </w:rPr>
            </w:pPr>
            <w:r w:rsidRPr="00F304B2">
              <w:rPr>
                <w:bCs/>
              </w:rPr>
              <w:t>Proposed Fee</w:t>
            </w:r>
          </w:p>
        </w:tc>
        <w:tc>
          <w:tcPr>
            <w:tcW w:w="1276" w:type="dxa"/>
          </w:tcPr>
          <w:p w14:paraId="237CF854" w14:textId="0D17C5D6" w:rsidR="0043429E" w:rsidRPr="00F304B2" w:rsidRDefault="0043429E" w:rsidP="0043429E">
            <w:pPr>
              <w:rPr>
                <w:bCs/>
              </w:rPr>
            </w:pPr>
            <w:r w:rsidRPr="00F304B2">
              <w:rPr>
                <w:bCs/>
              </w:rPr>
              <w:t>$39.15</w:t>
            </w:r>
          </w:p>
        </w:tc>
        <w:tc>
          <w:tcPr>
            <w:tcW w:w="1276" w:type="dxa"/>
          </w:tcPr>
          <w:p w14:paraId="0C4F71E1" w14:textId="430E5135" w:rsidR="0043429E" w:rsidRPr="00F304B2" w:rsidRDefault="0043429E" w:rsidP="0043429E">
            <w:pPr>
              <w:rPr>
                <w:bCs/>
              </w:rPr>
            </w:pPr>
            <w:r w:rsidRPr="00F304B2">
              <w:rPr>
                <w:bCs/>
              </w:rPr>
              <w:t>$33.30</w:t>
            </w:r>
          </w:p>
        </w:tc>
        <w:tc>
          <w:tcPr>
            <w:tcW w:w="1422" w:type="dxa"/>
          </w:tcPr>
          <w:p w14:paraId="5ED08387" w14:textId="174E28BC" w:rsidR="0043429E" w:rsidRPr="00F304B2" w:rsidRDefault="0043429E" w:rsidP="0043429E">
            <w:pPr>
              <w:rPr>
                <w:bCs/>
              </w:rPr>
            </w:pPr>
            <w:r w:rsidRPr="00F304B2">
              <w:rPr>
                <w:bCs/>
              </w:rPr>
              <w:t>2</w:t>
            </w:r>
          </w:p>
        </w:tc>
        <w:tc>
          <w:tcPr>
            <w:tcW w:w="1503" w:type="dxa"/>
          </w:tcPr>
          <w:p w14:paraId="0052B421" w14:textId="7B8446F6" w:rsidR="0043429E" w:rsidRPr="00F304B2" w:rsidRDefault="0043429E" w:rsidP="0043429E">
            <w:pPr>
              <w:rPr>
                <w:bCs/>
              </w:rPr>
            </w:pPr>
            <w:r w:rsidRPr="00F304B2">
              <w:rPr>
                <w:bCs/>
              </w:rPr>
              <w:t>$66.60</w:t>
            </w:r>
          </w:p>
        </w:tc>
      </w:tr>
      <w:tr w:rsidR="0043429E" w:rsidRPr="0043429E" w14:paraId="652AE269" w14:textId="77777777" w:rsidTr="00F304B2">
        <w:tc>
          <w:tcPr>
            <w:tcW w:w="1838" w:type="dxa"/>
          </w:tcPr>
          <w:p w14:paraId="6B54B39A" w14:textId="77777777" w:rsidR="0043429E" w:rsidRPr="00F304B2" w:rsidRDefault="0043429E" w:rsidP="0043429E">
            <w:pPr>
              <w:rPr>
                <w:bCs/>
              </w:rPr>
            </w:pPr>
            <w:r w:rsidRPr="00F304B2">
              <w:rPr>
                <w:bCs/>
              </w:rPr>
              <w:t>Surgical Services</w:t>
            </w:r>
          </w:p>
        </w:tc>
        <w:tc>
          <w:tcPr>
            <w:tcW w:w="1701" w:type="dxa"/>
          </w:tcPr>
          <w:p w14:paraId="2B7B14DB" w14:textId="77777777" w:rsidR="0043429E" w:rsidRPr="00F304B2" w:rsidRDefault="0043429E" w:rsidP="0043429E">
            <w:pPr>
              <w:rPr>
                <w:bCs/>
              </w:rPr>
            </w:pPr>
          </w:p>
        </w:tc>
        <w:tc>
          <w:tcPr>
            <w:tcW w:w="1276" w:type="dxa"/>
          </w:tcPr>
          <w:p w14:paraId="2BDBDD6B" w14:textId="77777777" w:rsidR="0043429E" w:rsidRPr="00F304B2" w:rsidRDefault="0043429E" w:rsidP="0043429E">
            <w:pPr>
              <w:rPr>
                <w:bCs/>
              </w:rPr>
            </w:pPr>
          </w:p>
        </w:tc>
        <w:tc>
          <w:tcPr>
            <w:tcW w:w="1276" w:type="dxa"/>
          </w:tcPr>
          <w:p w14:paraId="2CCA0CC4" w14:textId="77777777" w:rsidR="0043429E" w:rsidRPr="00F304B2" w:rsidRDefault="0043429E" w:rsidP="0043429E">
            <w:pPr>
              <w:rPr>
                <w:bCs/>
              </w:rPr>
            </w:pPr>
          </w:p>
        </w:tc>
        <w:tc>
          <w:tcPr>
            <w:tcW w:w="1422" w:type="dxa"/>
          </w:tcPr>
          <w:p w14:paraId="5E588C33" w14:textId="77777777" w:rsidR="0043429E" w:rsidRPr="00F304B2" w:rsidRDefault="0043429E" w:rsidP="0043429E">
            <w:pPr>
              <w:rPr>
                <w:bCs/>
              </w:rPr>
            </w:pPr>
          </w:p>
        </w:tc>
        <w:tc>
          <w:tcPr>
            <w:tcW w:w="1503" w:type="dxa"/>
          </w:tcPr>
          <w:p w14:paraId="060767EF" w14:textId="77777777" w:rsidR="0043429E" w:rsidRPr="00F304B2" w:rsidRDefault="0043429E" w:rsidP="0043429E">
            <w:pPr>
              <w:rPr>
                <w:bCs/>
              </w:rPr>
            </w:pPr>
          </w:p>
        </w:tc>
      </w:tr>
      <w:tr w:rsidR="0043429E" w:rsidRPr="0043429E" w14:paraId="618CCCD6" w14:textId="77777777" w:rsidTr="00F304B2">
        <w:tc>
          <w:tcPr>
            <w:tcW w:w="1838" w:type="dxa"/>
          </w:tcPr>
          <w:p w14:paraId="393CC4E4" w14:textId="77777777" w:rsidR="0043429E" w:rsidRPr="00F304B2" w:rsidRDefault="0043429E" w:rsidP="0043429E">
            <w:pPr>
              <w:rPr>
                <w:bCs/>
              </w:rPr>
            </w:pPr>
            <w:r w:rsidRPr="00F304B2">
              <w:rPr>
                <w:bCs/>
              </w:rPr>
              <w:t xml:space="preserve">Subcutaneous Placement of IPG </w:t>
            </w:r>
          </w:p>
        </w:tc>
        <w:tc>
          <w:tcPr>
            <w:tcW w:w="1701" w:type="dxa"/>
          </w:tcPr>
          <w:p w14:paraId="6B5A2422" w14:textId="77777777" w:rsidR="0043429E" w:rsidRPr="00F304B2" w:rsidRDefault="0043429E" w:rsidP="0043429E">
            <w:pPr>
              <w:rPr>
                <w:bCs/>
              </w:rPr>
            </w:pPr>
            <w:r w:rsidRPr="00F304B2">
              <w:rPr>
                <w:bCs/>
              </w:rPr>
              <w:t xml:space="preserve">Proposed Fee </w:t>
            </w:r>
          </w:p>
        </w:tc>
        <w:tc>
          <w:tcPr>
            <w:tcW w:w="1276" w:type="dxa"/>
          </w:tcPr>
          <w:p w14:paraId="7C292D3A" w14:textId="77777777" w:rsidR="0043429E" w:rsidRPr="00F304B2" w:rsidRDefault="0043429E" w:rsidP="0043429E">
            <w:pPr>
              <w:rPr>
                <w:bCs/>
              </w:rPr>
            </w:pPr>
            <w:r w:rsidRPr="00F304B2">
              <w:rPr>
                <w:bCs/>
              </w:rPr>
              <w:t>$346.05</w:t>
            </w:r>
          </w:p>
        </w:tc>
        <w:tc>
          <w:tcPr>
            <w:tcW w:w="1276" w:type="dxa"/>
          </w:tcPr>
          <w:p w14:paraId="52B8F418" w14:textId="77777777" w:rsidR="0043429E" w:rsidRPr="00F304B2" w:rsidRDefault="0043429E" w:rsidP="0043429E">
            <w:pPr>
              <w:rPr>
                <w:bCs/>
              </w:rPr>
            </w:pPr>
            <w:r w:rsidRPr="00F304B2">
              <w:rPr>
                <w:bCs/>
              </w:rPr>
              <w:t>$259.55</w:t>
            </w:r>
          </w:p>
        </w:tc>
        <w:tc>
          <w:tcPr>
            <w:tcW w:w="1422" w:type="dxa"/>
          </w:tcPr>
          <w:p w14:paraId="1C791776" w14:textId="77777777" w:rsidR="0043429E" w:rsidRPr="00F304B2" w:rsidRDefault="0043429E" w:rsidP="0043429E">
            <w:pPr>
              <w:rPr>
                <w:bCs/>
              </w:rPr>
            </w:pPr>
            <w:r w:rsidRPr="00F304B2">
              <w:rPr>
                <w:bCs/>
              </w:rPr>
              <w:t>1</w:t>
            </w:r>
          </w:p>
        </w:tc>
        <w:tc>
          <w:tcPr>
            <w:tcW w:w="1503" w:type="dxa"/>
          </w:tcPr>
          <w:p w14:paraId="6C85BC11" w14:textId="77777777" w:rsidR="0043429E" w:rsidRPr="00F304B2" w:rsidRDefault="0043429E" w:rsidP="0043429E">
            <w:pPr>
              <w:rPr>
                <w:bCs/>
              </w:rPr>
            </w:pPr>
            <w:r w:rsidRPr="00F304B2">
              <w:rPr>
                <w:bCs/>
              </w:rPr>
              <w:t>$259.55</w:t>
            </w:r>
          </w:p>
        </w:tc>
      </w:tr>
      <w:tr w:rsidR="0043429E" w:rsidRPr="0043429E" w14:paraId="5E6A965C" w14:textId="77777777" w:rsidTr="00F304B2">
        <w:tc>
          <w:tcPr>
            <w:tcW w:w="1838" w:type="dxa"/>
          </w:tcPr>
          <w:p w14:paraId="719B26E6" w14:textId="77777777" w:rsidR="0043429E" w:rsidRPr="00F304B2" w:rsidRDefault="0043429E" w:rsidP="0043429E">
            <w:pPr>
              <w:rPr>
                <w:bCs/>
              </w:rPr>
            </w:pPr>
            <w:r w:rsidRPr="00F304B2">
              <w:rPr>
                <w:bCs/>
              </w:rPr>
              <w:t>Implantation of hypoglossal nerve lead</w:t>
            </w:r>
          </w:p>
        </w:tc>
        <w:tc>
          <w:tcPr>
            <w:tcW w:w="1701" w:type="dxa"/>
          </w:tcPr>
          <w:p w14:paraId="68303ABE" w14:textId="77777777" w:rsidR="0043429E" w:rsidRPr="00F304B2" w:rsidRDefault="0043429E" w:rsidP="0043429E">
            <w:pPr>
              <w:rPr>
                <w:bCs/>
              </w:rPr>
            </w:pPr>
            <w:r w:rsidRPr="00F304B2">
              <w:rPr>
                <w:bCs/>
              </w:rPr>
              <w:t>Proposed Fee</w:t>
            </w:r>
          </w:p>
        </w:tc>
        <w:tc>
          <w:tcPr>
            <w:tcW w:w="1276" w:type="dxa"/>
          </w:tcPr>
          <w:p w14:paraId="1D4A6829" w14:textId="77777777" w:rsidR="0043429E" w:rsidRPr="00F304B2" w:rsidRDefault="0043429E" w:rsidP="0043429E">
            <w:pPr>
              <w:rPr>
                <w:bCs/>
              </w:rPr>
            </w:pPr>
            <w:r w:rsidRPr="00F304B2">
              <w:rPr>
                <w:bCs/>
              </w:rPr>
              <w:t>$684.95</w:t>
            </w:r>
          </w:p>
        </w:tc>
        <w:tc>
          <w:tcPr>
            <w:tcW w:w="1276" w:type="dxa"/>
          </w:tcPr>
          <w:p w14:paraId="4A8ABE44" w14:textId="77777777" w:rsidR="0043429E" w:rsidRPr="00F304B2" w:rsidRDefault="0043429E" w:rsidP="0043429E">
            <w:pPr>
              <w:rPr>
                <w:bCs/>
              </w:rPr>
            </w:pPr>
            <w:r w:rsidRPr="00F304B2">
              <w:rPr>
                <w:bCs/>
              </w:rPr>
              <w:t>$513.75</w:t>
            </w:r>
          </w:p>
        </w:tc>
        <w:tc>
          <w:tcPr>
            <w:tcW w:w="1422" w:type="dxa"/>
          </w:tcPr>
          <w:p w14:paraId="47B21A95" w14:textId="77777777" w:rsidR="0043429E" w:rsidRPr="00F304B2" w:rsidRDefault="0043429E" w:rsidP="0043429E">
            <w:pPr>
              <w:rPr>
                <w:bCs/>
              </w:rPr>
            </w:pPr>
            <w:r w:rsidRPr="00F304B2">
              <w:rPr>
                <w:bCs/>
              </w:rPr>
              <w:t>1</w:t>
            </w:r>
          </w:p>
        </w:tc>
        <w:tc>
          <w:tcPr>
            <w:tcW w:w="1503" w:type="dxa"/>
          </w:tcPr>
          <w:p w14:paraId="16B2A4D7" w14:textId="77777777" w:rsidR="0043429E" w:rsidRPr="00F304B2" w:rsidRDefault="0043429E" w:rsidP="0043429E">
            <w:pPr>
              <w:rPr>
                <w:bCs/>
              </w:rPr>
            </w:pPr>
            <w:r w:rsidRPr="00F304B2">
              <w:rPr>
                <w:bCs/>
              </w:rPr>
              <w:t>$513.75</w:t>
            </w:r>
          </w:p>
        </w:tc>
      </w:tr>
      <w:tr w:rsidR="0043429E" w:rsidRPr="0043429E" w14:paraId="2E6F6225" w14:textId="77777777" w:rsidTr="00F304B2">
        <w:tc>
          <w:tcPr>
            <w:tcW w:w="1838" w:type="dxa"/>
          </w:tcPr>
          <w:p w14:paraId="3A17217D" w14:textId="77777777" w:rsidR="0043429E" w:rsidRPr="00F304B2" w:rsidRDefault="0043429E" w:rsidP="0043429E">
            <w:pPr>
              <w:rPr>
                <w:bCs/>
              </w:rPr>
            </w:pPr>
            <w:r w:rsidRPr="00F304B2">
              <w:rPr>
                <w:bCs/>
              </w:rPr>
              <w:t>Implantation of respiratory sensing lead</w:t>
            </w:r>
          </w:p>
        </w:tc>
        <w:tc>
          <w:tcPr>
            <w:tcW w:w="1701" w:type="dxa"/>
          </w:tcPr>
          <w:p w14:paraId="246C78A0" w14:textId="77777777" w:rsidR="0043429E" w:rsidRPr="00F304B2" w:rsidRDefault="0043429E" w:rsidP="0043429E">
            <w:pPr>
              <w:rPr>
                <w:bCs/>
              </w:rPr>
            </w:pPr>
            <w:r w:rsidRPr="00F304B2">
              <w:rPr>
                <w:bCs/>
              </w:rPr>
              <w:t>Proposed Fee</w:t>
            </w:r>
          </w:p>
        </w:tc>
        <w:tc>
          <w:tcPr>
            <w:tcW w:w="1276" w:type="dxa"/>
          </w:tcPr>
          <w:p w14:paraId="705C5F26" w14:textId="77777777" w:rsidR="0043429E" w:rsidRPr="00F304B2" w:rsidRDefault="0043429E" w:rsidP="0043429E">
            <w:pPr>
              <w:rPr>
                <w:bCs/>
              </w:rPr>
            </w:pPr>
            <w:r w:rsidRPr="00F304B2">
              <w:rPr>
                <w:bCs/>
              </w:rPr>
              <w:t>$684.95</w:t>
            </w:r>
          </w:p>
        </w:tc>
        <w:tc>
          <w:tcPr>
            <w:tcW w:w="1276" w:type="dxa"/>
          </w:tcPr>
          <w:p w14:paraId="22BB2A85" w14:textId="77777777" w:rsidR="0043429E" w:rsidRPr="00F304B2" w:rsidRDefault="0043429E" w:rsidP="0043429E">
            <w:pPr>
              <w:rPr>
                <w:bCs/>
              </w:rPr>
            </w:pPr>
            <w:r w:rsidRPr="00F304B2">
              <w:rPr>
                <w:bCs/>
              </w:rPr>
              <w:t>$513.65</w:t>
            </w:r>
          </w:p>
        </w:tc>
        <w:tc>
          <w:tcPr>
            <w:tcW w:w="1422" w:type="dxa"/>
          </w:tcPr>
          <w:p w14:paraId="015AF195" w14:textId="77777777" w:rsidR="0043429E" w:rsidRPr="00F304B2" w:rsidRDefault="0043429E" w:rsidP="0043429E">
            <w:pPr>
              <w:rPr>
                <w:bCs/>
              </w:rPr>
            </w:pPr>
            <w:r w:rsidRPr="00F304B2">
              <w:rPr>
                <w:bCs/>
              </w:rPr>
              <w:t>1</w:t>
            </w:r>
          </w:p>
        </w:tc>
        <w:tc>
          <w:tcPr>
            <w:tcW w:w="1503" w:type="dxa"/>
          </w:tcPr>
          <w:p w14:paraId="18F29CA0" w14:textId="77777777" w:rsidR="0043429E" w:rsidRPr="00F304B2" w:rsidRDefault="0043429E" w:rsidP="0043429E">
            <w:pPr>
              <w:rPr>
                <w:bCs/>
              </w:rPr>
            </w:pPr>
            <w:r w:rsidRPr="00F304B2">
              <w:rPr>
                <w:bCs/>
              </w:rPr>
              <w:t>$513.65</w:t>
            </w:r>
          </w:p>
        </w:tc>
      </w:tr>
      <w:tr w:rsidR="0043429E" w:rsidRPr="0043429E" w14:paraId="701BEC88" w14:textId="77777777" w:rsidTr="00F304B2">
        <w:tc>
          <w:tcPr>
            <w:tcW w:w="1838" w:type="dxa"/>
          </w:tcPr>
          <w:p w14:paraId="0214F761" w14:textId="77777777" w:rsidR="0043429E" w:rsidRPr="00F304B2" w:rsidRDefault="0043429E" w:rsidP="0043429E">
            <w:pPr>
              <w:rPr>
                <w:bCs/>
              </w:rPr>
            </w:pPr>
            <w:r w:rsidRPr="00F304B2">
              <w:rPr>
                <w:bCs/>
              </w:rPr>
              <w:t>Surgical repositioning or removal of IPG</w:t>
            </w:r>
          </w:p>
        </w:tc>
        <w:tc>
          <w:tcPr>
            <w:tcW w:w="1701" w:type="dxa"/>
          </w:tcPr>
          <w:p w14:paraId="7962FC78" w14:textId="77777777" w:rsidR="0043429E" w:rsidRPr="00F304B2" w:rsidRDefault="0043429E" w:rsidP="0043429E">
            <w:pPr>
              <w:rPr>
                <w:bCs/>
              </w:rPr>
            </w:pPr>
            <w:r w:rsidRPr="00F304B2">
              <w:rPr>
                <w:bCs/>
              </w:rPr>
              <w:t>Proposed Fee</w:t>
            </w:r>
          </w:p>
        </w:tc>
        <w:tc>
          <w:tcPr>
            <w:tcW w:w="1276" w:type="dxa"/>
          </w:tcPr>
          <w:p w14:paraId="657C80F1" w14:textId="77777777" w:rsidR="0043429E" w:rsidRPr="00F304B2" w:rsidRDefault="0043429E" w:rsidP="0043429E">
            <w:pPr>
              <w:rPr>
                <w:bCs/>
              </w:rPr>
            </w:pPr>
            <w:r w:rsidRPr="00F304B2">
              <w:rPr>
                <w:bCs/>
              </w:rPr>
              <w:t>$161.95</w:t>
            </w:r>
          </w:p>
        </w:tc>
        <w:tc>
          <w:tcPr>
            <w:tcW w:w="1276" w:type="dxa"/>
          </w:tcPr>
          <w:p w14:paraId="746B81BA" w14:textId="77777777" w:rsidR="0043429E" w:rsidRPr="00F304B2" w:rsidRDefault="0043429E" w:rsidP="0043429E">
            <w:pPr>
              <w:rPr>
                <w:bCs/>
              </w:rPr>
            </w:pPr>
            <w:r w:rsidRPr="00F304B2">
              <w:rPr>
                <w:bCs/>
              </w:rPr>
              <w:t>$121.50</w:t>
            </w:r>
          </w:p>
        </w:tc>
        <w:tc>
          <w:tcPr>
            <w:tcW w:w="1422" w:type="dxa"/>
          </w:tcPr>
          <w:p w14:paraId="5B5CB727" w14:textId="77777777" w:rsidR="0043429E" w:rsidRPr="00F304B2" w:rsidRDefault="0043429E" w:rsidP="0043429E">
            <w:pPr>
              <w:rPr>
                <w:bCs/>
              </w:rPr>
            </w:pPr>
            <w:r w:rsidRPr="00F304B2">
              <w:rPr>
                <w:bCs/>
              </w:rPr>
              <w:t>0.016</w:t>
            </w:r>
          </w:p>
        </w:tc>
        <w:tc>
          <w:tcPr>
            <w:tcW w:w="1503" w:type="dxa"/>
          </w:tcPr>
          <w:p w14:paraId="0EEB334E" w14:textId="77777777" w:rsidR="0043429E" w:rsidRPr="00F304B2" w:rsidRDefault="0043429E" w:rsidP="0043429E">
            <w:pPr>
              <w:rPr>
                <w:bCs/>
              </w:rPr>
            </w:pPr>
            <w:r w:rsidRPr="00F304B2">
              <w:rPr>
                <w:bCs/>
              </w:rPr>
              <w:t>$1.95</w:t>
            </w:r>
          </w:p>
        </w:tc>
      </w:tr>
      <w:tr w:rsidR="00F304B2" w:rsidRPr="0043429E" w14:paraId="6F2043F9" w14:textId="77777777" w:rsidTr="00F304B2">
        <w:tc>
          <w:tcPr>
            <w:tcW w:w="1838" w:type="dxa"/>
            <w:vMerge w:val="restart"/>
          </w:tcPr>
          <w:p w14:paraId="7A4E1C42" w14:textId="77777777" w:rsidR="00F304B2" w:rsidRPr="00F304B2" w:rsidRDefault="00F304B2" w:rsidP="0043429E">
            <w:pPr>
              <w:rPr>
                <w:bCs/>
              </w:rPr>
            </w:pPr>
            <w:r w:rsidRPr="00F304B2">
              <w:rPr>
                <w:bCs/>
              </w:rPr>
              <w:t>Anaesthesia</w:t>
            </w:r>
          </w:p>
        </w:tc>
        <w:tc>
          <w:tcPr>
            <w:tcW w:w="1701" w:type="dxa"/>
          </w:tcPr>
          <w:p w14:paraId="219EFDC0" w14:textId="77777777" w:rsidR="00F304B2" w:rsidRPr="00F304B2" w:rsidRDefault="00F304B2" w:rsidP="0043429E">
            <w:pPr>
              <w:rPr>
                <w:bCs/>
              </w:rPr>
            </w:pPr>
            <w:r w:rsidRPr="00F304B2">
              <w:rPr>
                <w:bCs/>
              </w:rPr>
              <w:t>MBS Item 20320</w:t>
            </w:r>
          </w:p>
        </w:tc>
        <w:tc>
          <w:tcPr>
            <w:tcW w:w="1276" w:type="dxa"/>
          </w:tcPr>
          <w:p w14:paraId="6B796645" w14:textId="77777777" w:rsidR="00F304B2" w:rsidRPr="00F304B2" w:rsidRDefault="00F304B2" w:rsidP="0043429E">
            <w:pPr>
              <w:rPr>
                <w:bCs/>
              </w:rPr>
            </w:pPr>
            <w:r w:rsidRPr="00F304B2">
              <w:rPr>
                <w:bCs/>
              </w:rPr>
              <w:t>$120.60</w:t>
            </w:r>
          </w:p>
        </w:tc>
        <w:tc>
          <w:tcPr>
            <w:tcW w:w="1276" w:type="dxa"/>
          </w:tcPr>
          <w:p w14:paraId="2B5555C3" w14:textId="77777777" w:rsidR="00F304B2" w:rsidRPr="00F304B2" w:rsidRDefault="00F304B2" w:rsidP="0043429E">
            <w:pPr>
              <w:rPr>
                <w:bCs/>
              </w:rPr>
            </w:pPr>
            <w:r w:rsidRPr="00F304B2">
              <w:rPr>
                <w:bCs/>
              </w:rPr>
              <w:t>$90.45</w:t>
            </w:r>
          </w:p>
        </w:tc>
        <w:tc>
          <w:tcPr>
            <w:tcW w:w="1422" w:type="dxa"/>
          </w:tcPr>
          <w:p w14:paraId="03C7D483" w14:textId="77777777" w:rsidR="00F304B2" w:rsidRPr="00F304B2" w:rsidRDefault="00F304B2" w:rsidP="0043429E">
            <w:pPr>
              <w:rPr>
                <w:bCs/>
              </w:rPr>
            </w:pPr>
            <w:r w:rsidRPr="00F304B2">
              <w:rPr>
                <w:bCs/>
              </w:rPr>
              <w:t>1</w:t>
            </w:r>
          </w:p>
        </w:tc>
        <w:tc>
          <w:tcPr>
            <w:tcW w:w="1503" w:type="dxa"/>
          </w:tcPr>
          <w:p w14:paraId="243061AF" w14:textId="77777777" w:rsidR="00F304B2" w:rsidRPr="00F304B2" w:rsidRDefault="00F304B2" w:rsidP="0043429E">
            <w:pPr>
              <w:rPr>
                <w:bCs/>
              </w:rPr>
            </w:pPr>
            <w:r w:rsidRPr="00F304B2">
              <w:rPr>
                <w:bCs/>
              </w:rPr>
              <w:t>$90.45</w:t>
            </w:r>
          </w:p>
        </w:tc>
      </w:tr>
      <w:tr w:rsidR="00F304B2" w:rsidRPr="0043429E" w14:paraId="5B52A423" w14:textId="77777777" w:rsidTr="00F304B2">
        <w:tc>
          <w:tcPr>
            <w:tcW w:w="1838" w:type="dxa"/>
            <w:vMerge/>
          </w:tcPr>
          <w:p w14:paraId="43DC99A6" w14:textId="77777777" w:rsidR="00F304B2" w:rsidRPr="00F304B2" w:rsidRDefault="00F304B2" w:rsidP="0043429E">
            <w:pPr>
              <w:rPr>
                <w:bCs/>
              </w:rPr>
            </w:pPr>
          </w:p>
        </w:tc>
        <w:tc>
          <w:tcPr>
            <w:tcW w:w="1701" w:type="dxa"/>
          </w:tcPr>
          <w:p w14:paraId="00FF4841" w14:textId="77777777" w:rsidR="00F304B2" w:rsidRPr="00F304B2" w:rsidRDefault="00F304B2" w:rsidP="0043429E">
            <w:pPr>
              <w:rPr>
                <w:bCs/>
              </w:rPr>
            </w:pPr>
            <w:r w:rsidRPr="00F304B2">
              <w:rPr>
                <w:bCs/>
              </w:rPr>
              <w:t>MBS Item 23091</w:t>
            </w:r>
          </w:p>
        </w:tc>
        <w:tc>
          <w:tcPr>
            <w:tcW w:w="1276" w:type="dxa"/>
          </w:tcPr>
          <w:p w14:paraId="5C839C03" w14:textId="77777777" w:rsidR="00F304B2" w:rsidRPr="00F304B2" w:rsidRDefault="00F304B2" w:rsidP="0043429E">
            <w:pPr>
              <w:rPr>
                <w:bCs/>
              </w:rPr>
            </w:pPr>
            <w:r w:rsidRPr="00F304B2">
              <w:rPr>
                <w:bCs/>
              </w:rPr>
              <w:t>$180.90</w:t>
            </w:r>
          </w:p>
        </w:tc>
        <w:tc>
          <w:tcPr>
            <w:tcW w:w="1276" w:type="dxa"/>
          </w:tcPr>
          <w:p w14:paraId="4004F3FC" w14:textId="77777777" w:rsidR="00F304B2" w:rsidRPr="00F304B2" w:rsidRDefault="00F304B2" w:rsidP="0043429E">
            <w:pPr>
              <w:rPr>
                <w:bCs/>
              </w:rPr>
            </w:pPr>
            <w:r w:rsidRPr="00F304B2">
              <w:rPr>
                <w:bCs/>
              </w:rPr>
              <w:t>$135.70</w:t>
            </w:r>
          </w:p>
        </w:tc>
        <w:tc>
          <w:tcPr>
            <w:tcW w:w="1422" w:type="dxa"/>
          </w:tcPr>
          <w:p w14:paraId="1910E823" w14:textId="77777777" w:rsidR="00F304B2" w:rsidRPr="00F304B2" w:rsidRDefault="00F304B2" w:rsidP="0043429E">
            <w:pPr>
              <w:rPr>
                <w:bCs/>
              </w:rPr>
            </w:pPr>
            <w:r w:rsidRPr="00F304B2">
              <w:rPr>
                <w:bCs/>
              </w:rPr>
              <w:t>1</w:t>
            </w:r>
          </w:p>
        </w:tc>
        <w:tc>
          <w:tcPr>
            <w:tcW w:w="1503" w:type="dxa"/>
          </w:tcPr>
          <w:p w14:paraId="38A6352C" w14:textId="77777777" w:rsidR="00F304B2" w:rsidRPr="00F304B2" w:rsidRDefault="00F304B2" w:rsidP="0043429E">
            <w:pPr>
              <w:rPr>
                <w:bCs/>
              </w:rPr>
            </w:pPr>
            <w:r w:rsidRPr="00F304B2">
              <w:rPr>
                <w:bCs/>
              </w:rPr>
              <w:t>$135.70</w:t>
            </w:r>
          </w:p>
        </w:tc>
      </w:tr>
      <w:tr w:rsidR="0043429E" w:rsidRPr="0043429E" w14:paraId="07B0DA8D" w14:textId="77777777" w:rsidTr="00F304B2">
        <w:tc>
          <w:tcPr>
            <w:tcW w:w="1838" w:type="dxa"/>
          </w:tcPr>
          <w:p w14:paraId="0C6FB3AD" w14:textId="77777777" w:rsidR="0043429E" w:rsidRPr="00F304B2" w:rsidRDefault="0043429E" w:rsidP="0043429E">
            <w:pPr>
              <w:rPr>
                <w:bCs/>
              </w:rPr>
            </w:pPr>
            <w:r w:rsidRPr="00F304B2">
              <w:rPr>
                <w:bCs/>
              </w:rPr>
              <w:t>Post-op Chest x-ray</w:t>
            </w:r>
          </w:p>
        </w:tc>
        <w:tc>
          <w:tcPr>
            <w:tcW w:w="1701" w:type="dxa"/>
          </w:tcPr>
          <w:p w14:paraId="344CA8F9" w14:textId="77777777" w:rsidR="0043429E" w:rsidRPr="00F304B2" w:rsidRDefault="0043429E" w:rsidP="0043429E">
            <w:pPr>
              <w:rPr>
                <w:bCs/>
              </w:rPr>
            </w:pPr>
            <w:r w:rsidRPr="00F304B2">
              <w:rPr>
                <w:bCs/>
              </w:rPr>
              <w:t>MBS Item 58500</w:t>
            </w:r>
          </w:p>
        </w:tc>
        <w:tc>
          <w:tcPr>
            <w:tcW w:w="1276" w:type="dxa"/>
          </w:tcPr>
          <w:p w14:paraId="7BFB29FA" w14:textId="77777777" w:rsidR="0043429E" w:rsidRPr="00F304B2" w:rsidRDefault="0043429E" w:rsidP="0043429E">
            <w:pPr>
              <w:rPr>
                <w:bCs/>
              </w:rPr>
            </w:pPr>
            <w:r w:rsidRPr="00F304B2">
              <w:rPr>
                <w:bCs/>
              </w:rPr>
              <w:t>$35.35</w:t>
            </w:r>
          </w:p>
        </w:tc>
        <w:tc>
          <w:tcPr>
            <w:tcW w:w="1276" w:type="dxa"/>
          </w:tcPr>
          <w:p w14:paraId="6D864DA2" w14:textId="77777777" w:rsidR="0043429E" w:rsidRPr="00F304B2" w:rsidRDefault="0043429E" w:rsidP="0043429E">
            <w:pPr>
              <w:rPr>
                <w:bCs/>
              </w:rPr>
            </w:pPr>
            <w:r w:rsidRPr="00F304B2">
              <w:rPr>
                <w:bCs/>
              </w:rPr>
              <w:t>$26.55</w:t>
            </w:r>
          </w:p>
        </w:tc>
        <w:tc>
          <w:tcPr>
            <w:tcW w:w="1422" w:type="dxa"/>
          </w:tcPr>
          <w:p w14:paraId="545D3CC2" w14:textId="77777777" w:rsidR="0043429E" w:rsidRPr="00F304B2" w:rsidRDefault="0043429E" w:rsidP="0043429E">
            <w:pPr>
              <w:rPr>
                <w:bCs/>
              </w:rPr>
            </w:pPr>
            <w:r w:rsidRPr="00F304B2">
              <w:rPr>
                <w:bCs/>
              </w:rPr>
              <w:t>1</w:t>
            </w:r>
          </w:p>
        </w:tc>
        <w:tc>
          <w:tcPr>
            <w:tcW w:w="1503" w:type="dxa"/>
          </w:tcPr>
          <w:p w14:paraId="17F0B087" w14:textId="77777777" w:rsidR="0043429E" w:rsidRPr="00F304B2" w:rsidRDefault="0043429E" w:rsidP="0043429E">
            <w:pPr>
              <w:rPr>
                <w:bCs/>
              </w:rPr>
            </w:pPr>
            <w:r w:rsidRPr="00F304B2">
              <w:rPr>
                <w:bCs/>
              </w:rPr>
              <w:t>$26.55</w:t>
            </w:r>
          </w:p>
        </w:tc>
      </w:tr>
      <w:tr w:rsidR="0043429E" w:rsidRPr="0043429E" w14:paraId="155EAC65" w14:textId="77777777" w:rsidTr="00F304B2">
        <w:tc>
          <w:tcPr>
            <w:tcW w:w="1838" w:type="dxa"/>
          </w:tcPr>
          <w:p w14:paraId="26BD0CD8" w14:textId="77777777" w:rsidR="0043429E" w:rsidRPr="00F304B2" w:rsidRDefault="0043429E" w:rsidP="0043429E">
            <w:pPr>
              <w:rPr>
                <w:bCs/>
              </w:rPr>
            </w:pPr>
            <w:r w:rsidRPr="00F304B2">
              <w:rPr>
                <w:bCs/>
              </w:rPr>
              <w:t>Post-op neck x-ray</w:t>
            </w:r>
          </w:p>
        </w:tc>
        <w:tc>
          <w:tcPr>
            <w:tcW w:w="1701" w:type="dxa"/>
          </w:tcPr>
          <w:p w14:paraId="3DA28818" w14:textId="77777777" w:rsidR="0043429E" w:rsidRPr="00F304B2" w:rsidRDefault="0043429E" w:rsidP="0043429E">
            <w:pPr>
              <w:rPr>
                <w:bCs/>
              </w:rPr>
            </w:pPr>
            <w:r w:rsidRPr="00F304B2">
              <w:rPr>
                <w:bCs/>
              </w:rPr>
              <w:t>MBS 57945</w:t>
            </w:r>
          </w:p>
        </w:tc>
        <w:tc>
          <w:tcPr>
            <w:tcW w:w="1276" w:type="dxa"/>
          </w:tcPr>
          <w:p w14:paraId="1F4BE174" w14:textId="77777777" w:rsidR="0043429E" w:rsidRPr="00F304B2" w:rsidRDefault="0043429E" w:rsidP="0043429E">
            <w:pPr>
              <w:rPr>
                <w:bCs/>
              </w:rPr>
            </w:pPr>
            <w:r w:rsidRPr="00F304B2">
              <w:rPr>
                <w:bCs/>
              </w:rPr>
              <w:t>$43.40</w:t>
            </w:r>
          </w:p>
        </w:tc>
        <w:tc>
          <w:tcPr>
            <w:tcW w:w="1276" w:type="dxa"/>
          </w:tcPr>
          <w:p w14:paraId="3D14E5B9" w14:textId="77777777" w:rsidR="0043429E" w:rsidRPr="00F304B2" w:rsidRDefault="0043429E" w:rsidP="0043429E">
            <w:pPr>
              <w:rPr>
                <w:bCs/>
              </w:rPr>
            </w:pPr>
            <w:r w:rsidRPr="00F304B2">
              <w:rPr>
                <w:bCs/>
              </w:rPr>
              <w:t>$32.85</w:t>
            </w:r>
          </w:p>
        </w:tc>
        <w:tc>
          <w:tcPr>
            <w:tcW w:w="1422" w:type="dxa"/>
          </w:tcPr>
          <w:p w14:paraId="65BDC817" w14:textId="77777777" w:rsidR="0043429E" w:rsidRPr="00F304B2" w:rsidRDefault="0043429E" w:rsidP="0043429E">
            <w:pPr>
              <w:rPr>
                <w:bCs/>
              </w:rPr>
            </w:pPr>
            <w:r w:rsidRPr="00F304B2">
              <w:rPr>
                <w:bCs/>
              </w:rPr>
              <w:t>1</w:t>
            </w:r>
          </w:p>
        </w:tc>
        <w:tc>
          <w:tcPr>
            <w:tcW w:w="1503" w:type="dxa"/>
          </w:tcPr>
          <w:p w14:paraId="3CB20B0C" w14:textId="77777777" w:rsidR="0043429E" w:rsidRPr="00F304B2" w:rsidRDefault="0043429E" w:rsidP="0043429E">
            <w:pPr>
              <w:rPr>
                <w:bCs/>
              </w:rPr>
            </w:pPr>
            <w:r w:rsidRPr="00F304B2">
              <w:rPr>
                <w:bCs/>
              </w:rPr>
              <w:t>$32.85</w:t>
            </w:r>
          </w:p>
        </w:tc>
      </w:tr>
      <w:tr w:rsidR="0043429E" w:rsidRPr="0043429E" w14:paraId="40B027BA" w14:textId="77777777" w:rsidTr="00F304B2">
        <w:tc>
          <w:tcPr>
            <w:tcW w:w="1838" w:type="dxa"/>
          </w:tcPr>
          <w:p w14:paraId="6C085AC8" w14:textId="77777777" w:rsidR="0043429E" w:rsidRPr="00F304B2" w:rsidRDefault="0043429E" w:rsidP="0043429E">
            <w:pPr>
              <w:rPr>
                <w:bCs/>
              </w:rPr>
            </w:pPr>
            <w:r w:rsidRPr="00F304B2">
              <w:rPr>
                <w:bCs/>
              </w:rPr>
              <w:t>Hospitalisation</w:t>
            </w:r>
          </w:p>
        </w:tc>
        <w:tc>
          <w:tcPr>
            <w:tcW w:w="1701" w:type="dxa"/>
          </w:tcPr>
          <w:p w14:paraId="178F9E6C" w14:textId="77777777" w:rsidR="0043429E" w:rsidRPr="00F304B2" w:rsidRDefault="0043429E" w:rsidP="0043429E">
            <w:pPr>
              <w:rPr>
                <w:bCs/>
              </w:rPr>
            </w:pPr>
            <w:r w:rsidRPr="00F304B2">
              <w:rPr>
                <w:bCs/>
              </w:rPr>
              <w:t>AR-DRG D12B</w:t>
            </w:r>
          </w:p>
        </w:tc>
        <w:tc>
          <w:tcPr>
            <w:tcW w:w="1276" w:type="dxa"/>
          </w:tcPr>
          <w:p w14:paraId="7BBD6122" w14:textId="77777777" w:rsidR="0043429E" w:rsidRPr="00F304B2" w:rsidRDefault="0043429E" w:rsidP="0043429E">
            <w:pPr>
              <w:rPr>
                <w:bCs/>
              </w:rPr>
            </w:pPr>
            <w:r w:rsidRPr="00F304B2">
              <w:rPr>
                <w:bCs/>
              </w:rPr>
              <w:t>$4,778</w:t>
            </w:r>
          </w:p>
        </w:tc>
        <w:tc>
          <w:tcPr>
            <w:tcW w:w="1276" w:type="dxa"/>
          </w:tcPr>
          <w:p w14:paraId="2B4455A1" w14:textId="77777777" w:rsidR="0043429E" w:rsidRPr="00F304B2" w:rsidRDefault="0043429E" w:rsidP="0043429E">
            <w:pPr>
              <w:rPr>
                <w:bCs/>
              </w:rPr>
            </w:pPr>
            <w:r w:rsidRPr="00F304B2">
              <w:rPr>
                <w:bCs/>
              </w:rPr>
              <w:t>$4,778</w:t>
            </w:r>
          </w:p>
        </w:tc>
        <w:tc>
          <w:tcPr>
            <w:tcW w:w="1422" w:type="dxa"/>
          </w:tcPr>
          <w:p w14:paraId="7795DA20" w14:textId="77777777" w:rsidR="0043429E" w:rsidRPr="00F304B2" w:rsidRDefault="0043429E" w:rsidP="0043429E">
            <w:pPr>
              <w:rPr>
                <w:bCs/>
              </w:rPr>
            </w:pPr>
            <w:r w:rsidRPr="00F304B2">
              <w:rPr>
                <w:bCs/>
              </w:rPr>
              <w:t>1</w:t>
            </w:r>
          </w:p>
        </w:tc>
        <w:tc>
          <w:tcPr>
            <w:tcW w:w="1503" w:type="dxa"/>
          </w:tcPr>
          <w:p w14:paraId="4ADDF942" w14:textId="77777777" w:rsidR="0043429E" w:rsidRPr="00F304B2" w:rsidRDefault="0043429E" w:rsidP="0043429E">
            <w:pPr>
              <w:rPr>
                <w:bCs/>
              </w:rPr>
            </w:pPr>
            <w:r w:rsidRPr="00F304B2">
              <w:rPr>
                <w:bCs/>
              </w:rPr>
              <w:t>$4,778</w:t>
            </w:r>
          </w:p>
        </w:tc>
      </w:tr>
      <w:tr w:rsidR="0043429E" w:rsidRPr="0043429E" w14:paraId="0482DEEF" w14:textId="77777777" w:rsidTr="00F304B2">
        <w:tc>
          <w:tcPr>
            <w:tcW w:w="1838" w:type="dxa"/>
          </w:tcPr>
          <w:p w14:paraId="40F0E0BD" w14:textId="77777777" w:rsidR="0043429E" w:rsidRPr="00F304B2" w:rsidRDefault="0043429E" w:rsidP="0043429E">
            <w:pPr>
              <w:rPr>
                <w:bCs/>
              </w:rPr>
            </w:pPr>
            <w:r w:rsidRPr="00F304B2">
              <w:rPr>
                <w:bCs/>
              </w:rPr>
              <w:t>Follow up</w:t>
            </w:r>
          </w:p>
        </w:tc>
        <w:tc>
          <w:tcPr>
            <w:tcW w:w="1701" w:type="dxa"/>
          </w:tcPr>
          <w:p w14:paraId="73EA8827" w14:textId="77777777" w:rsidR="0043429E" w:rsidRPr="00F304B2" w:rsidRDefault="0043429E" w:rsidP="0043429E">
            <w:pPr>
              <w:rPr>
                <w:bCs/>
              </w:rPr>
            </w:pPr>
          </w:p>
        </w:tc>
        <w:tc>
          <w:tcPr>
            <w:tcW w:w="1276" w:type="dxa"/>
          </w:tcPr>
          <w:p w14:paraId="077623AD" w14:textId="77777777" w:rsidR="0043429E" w:rsidRPr="00F304B2" w:rsidRDefault="0043429E" w:rsidP="0043429E">
            <w:pPr>
              <w:rPr>
                <w:bCs/>
              </w:rPr>
            </w:pPr>
          </w:p>
        </w:tc>
        <w:tc>
          <w:tcPr>
            <w:tcW w:w="1276" w:type="dxa"/>
          </w:tcPr>
          <w:p w14:paraId="5A435FB7" w14:textId="77777777" w:rsidR="0043429E" w:rsidRPr="00F304B2" w:rsidRDefault="0043429E" w:rsidP="0043429E">
            <w:pPr>
              <w:rPr>
                <w:bCs/>
              </w:rPr>
            </w:pPr>
          </w:p>
        </w:tc>
        <w:tc>
          <w:tcPr>
            <w:tcW w:w="1422" w:type="dxa"/>
          </w:tcPr>
          <w:p w14:paraId="65BBCE56" w14:textId="77777777" w:rsidR="0043429E" w:rsidRPr="00F304B2" w:rsidRDefault="0043429E" w:rsidP="0043429E">
            <w:pPr>
              <w:rPr>
                <w:bCs/>
              </w:rPr>
            </w:pPr>
          </w:p>
        </w:tc>
        <w:tc>
          <w:tcPr>
            <w:tcW w:w="1503" w:type="dxa"/>
          </w:tcPr>
          <w:p w14:paraId="70E7B7CB" w14:textId="77777777" w:rsidR="0043429E" w:rsidRPr="00F304B2" w:rsidRDefault="0043429E" w:rsidP="0043429E">
            <w:pPr>
              <w:rPr>
                <w:bCs/>
              </w:rPr>
            </w:pPr>
          </w:p>
        </w:tc>
      </w:tr>
      <w:tr w:rsidR="0043429E" w:rsidRPr="0043429E" w14:paraId="263125C6" w14:textId="77777777" w:rsidTr="00F304B2">
        <w:tc>
          <w:tcPr>
            <w:tcW w:w="1838" w:type="dxa"/>
          </w:tcPr>
          <w:p w14:paraId="2BAF37CA" w14:textId="77777777" w:rsidR="0043429E" w:rsidRPr="00F304B2" w:rsidRDefault="0043429E" w:rsidP="0043429E">
            <w:pPr>
              <w:rPr>
                <w:bCs/>
              </w:rPr>
            </w:pPr>
            <w:r w:rsidRPr="00F304B2">
              <w:rPr>
                <w:bCs/>
              </w:rPr>
              <w:t>Programming Inspire Device</w:t>
            </w:r>
          </w:p>
        </w:tc>
        <w:tc>
          <w:tcPr>
            <w:tcW w:w="1701" w:type="dxa"/>
          </w:tcPr>
          <w:p w14:paraId="7BFC065D" w14:textId="77777777" w:rsidR="0043429E" w:rsidRPr="00F304B2" w:rsidRDefault="0043429E" w:rsidP="0043429E">
            <w:pPr>
              <w:rPr>
                <w:bCs/>
              </w:rPr>
            </w:pPr>
            <w:r w:rsidRPr="00F304B2">
              <w:rPr>
                <w:bCs/>
              </w:rPr>
              <w:t>MBS 105</w:t>
            </w:r>
          </w:p>
        </w:tc>
        <w:tc>
          <w:tcPr>
            <w:tcW w:w="1276" w:type="dxa"/>
          </w:tcPr>
          <w:p w14:paraId="0E8D10A7" w14:textId="77777777" w:rsidR="0043429E" w:rsidRPr="00F304B2" w:rsidRDefault="0043429E" w:rsidP="0043429E">
            <w:pPr>
              <w:rPr>
                <w:bCs/>
              </w:rPr>
            </w:pPr>
            <w:r w:rsidRPr="00F304B2">
              <w:rPr>
                <w:bCs/>
              </w:rPr>
              <w:t>$44.35</w:t>
            </w:r>
          </w:p>
        </w:tc>
        <w:tc>
          <w:tcPr>
            <w:tcW w:w="1276" w:type="dxa"/>
          </w:tcPr>
          <w:p w14:paraId="54C49BAD" w14:textId="77777777" w:rsidR="0043429E" w:rsidRPr="00F304B2" w:rsidRDefault="0043429E" w:rsidP="0043429E">
            <w:pPr>
              <w:rPr>
                <w:bCs/>
              </w:rPr>
            </w:pPr>
            <w:r w:rsidRPr="00F304B2">
              <w:rPr>
                <w:bCs/>
              </w:rPr>
              <w:t>$37.70</w:t>
            </w:r>
          </w:p>
        </w:tc>
        <w:tc>
          <w:tcPr>
            <w:tcW w:w="1422" w:type="dxa"/>
          </w:tcPr>
          <w:p w14:paraId="159520DB" w14:textId="77777777" w:rsidR="0043429E" w:rsidRPr="00F304B2" w:rsidRDefault="0043429E" w:rsidP="0043429E">
            <w:pPr>
              <w:rPr>
                <w:bCs/>
              </w:rPr>
            </w:pPr>
            <w:r w:rsidRPr="00F304B2">
              <w:rPr>
                <w:bCs/>
              </w:rPr>
              <w:t>2</w:t>
            </w:r>
          </w:p>
        </w:tc>
        <w:tc>
          <w:tcPr>
            <w:tcW w:w="1503" w:type="dxa"/>
          </w:tcPr>
          <w:p w14:paraId="151A1F58" w14:textId="77777777" w:rsidR="0043429E" w:rsidRPr="00F304B2" w:rsidRDefault="0043429E" w:rsidP="0043429E">
            <w:pPr>
              <w:rPr>
                <w:bCs/>
              </w:rPr>
            </w:pPr>
            <w:r w:rsidRPr="00F304B2">
              <w:rPr>
                <w:bCs/>
              </w:rPr>
              <w:t>$75.40</w:t>
            </w:r>
          </w:p>
        </w:tc>
      </w:tr>
      <w:tr w:rsidR="0043429E" w:rsidRPr="0043429E" w14:paraId="7E486E72" w14:textId="77777777" w:rsidTr="00F304B2">
        <w:tc>
          <w:tcPr>
            <w:tcW w:w="1838" w:type="dxa"/>
          </w:tcPr>
          <w:p w14:paraId="4682D640" w14:textId="77777777" w:rsidR="0043429E" w:rsidRPr="00F304B2" w:rsidRDefault="0043429E" w:rsidP="0043429E">
            <w:pPr>
              <w:rPr>
                <w:bCs/>
              </w:rPr>
            </w:pPr>
            <w:r w:rsidRPr="00F304B2">
              <w:rPr>
                <w:bCs/>
              </w:rPr>
              <w:t>DISE</w:t>
            </w:r>
          </w:p>
        </w:tc>
        <w:tc>
          <w:tcPr>
            <w:tcW w:w="1701" w:type="dxa"/>
          </w:tcPr>
          <w:p w14:paraId="24622D5E" w14:textId="77777777" w:rsidR="0043429E" w:rsidRPr="00F304B2" w:rsidRDefault="0043429E" w:rsidP="0043429E">
            <w:pPr>
              <w:rPr>
                <w:bCs/>
              </w:rPr>
            </w:pPr>
            <w:r w:rsidRPr="00F304B2">
              <w:rPr>
                <w:bCs/>
              </w:rPr>
              <w:t>MBS Item 41764</w:t>
            </w:r>
          </w:p>
        </w:tc>
        <w:tc>
          <w:tcPr>
            <w:tcW w:w="1276" w:type="dxa"/>
          </w:tcPr>
          <w:p w14:paraId="65733A00" w14:textId="77777777" w:rsidR="0043429E" w:rsidRPr="00F304B2" w:rsidRDefault="0043429E" w:rsidP="0043429E">
            <w:pPr>
              <w:rPr>
                <w:bCs/>
              </w:rPr>
            </w:pPr>
            <w:r w:rsidRPr="00F304B2">
              <w:rPr>
                <w:bCs/>
              </w:rPr>
              <w:t>$124.80</w:t>
            </w:r>
          </w:p>
        </w:tc>
        <w:tc>
          <w:tcPr>
            <w:tcW w:w="1276" w:type="dxa"/>
          </w:tcPr>
          <w:p w14:paraId="1084FD73" w14:textId="77777777" w:rsidR="0043429E" w:rsidRPr="00F304B2" w:rsidRDefault="0043429E" w:rsidP="0043429E">
            <w:pPr>
              <w:rPr>
                <w:bCs/>
              </w:rPr>
            </w:pPr>
            <w:r w:rsidRPr="00F304B2">
              <w:rPr>
                <w:bCs/>
              </w:rPr>
              <w:t>$93.60</w:t>
            </w:r>
          </w:p>
        </w:tc>
        <w:tc>
          <w:tcPr>
            <w:tcW w:w="1422" w:type="dxa"/>
          </w:tcPr>
          <w:p w14:paraId="58FBEA62" w14:textId="77777777" w:rsidR="0043429E" w:rsidRPr="00F304B2" w:rsidRDefault="0043429E" w:rsidP="0043429E">
            <w:pPr>
              <w:rPr>
                <w:bCs/>
              </w:rPr>
            </w:pPr>
            <w:r w:rsidRPr="00F304B2">
              <w:rPr>
                <w:bCs/>
              </w:rPr>
              <w:t>1</w:t>
            </w:r>
          </w:p>
        </w:tc>
        <w:tc>
          <w:tcPr>
            <w:tcW w:w="1503" w:type="dxa"/>
          </w:tcPr>
          <w:p w14:paraId="535BA7FD" w14:textId="77777777" w:rsidR="0043429E" w:rsidRPr="00F304B2" w:rsidRDefault="0043429E" w:rsidP="0043429E">
            <w:pPr>
              <w:rPr>
                <w:bCs/>
              </w:rPr>
            </w:pPr>
            <w:r w:rsidRPr="00F304B2">
              <w:rPr>
                <w:bCs/>
              </w:rPr>
              <w:t>$106.10</w:t>
            </w:r>
          </w:p>
        </w:tc>
      </w:tr>
    </w:tbl>
    <w:p w14:paraId="3BC20DF1" w14:textId="77777777" w:rsidR="0043429E" w:rsidRPr="0043429E" w:rsidRDefault="0043429E" w:rsidP="0043429E">
      <w:pPr>
        <w:rPr>
          <w:b/>
          <w:bCs/>
        </w:rPr>
      </w:pPr>
    </w:p>
    <w:p w14:paraId="1E9D9A37" w14:textId="4501A76C" w:rsidR="0043429E" w:rsidRPr="003C0800" w:rsidRDefault="0043429E" w:rsidP="0043429E">
      <w:pPr>
        <w:rPr>
          <w:bCs/>
          <w:color w:val="0070C0"/>
        </w:rPr>
      </w:pPr>
      <w:r w:rsidRPr="003C0800">
        <w:rPr>
          <w:bCs/>
        </w:rPr>
        <w:t>The Inspire Upper Airways Stimulation System including IPG, stimulation lead, respiratory sensing lead and sleep remote is</w:t>
      </w:r>
      <w:bookmarkStart w:id="9" w:name="_Hlk66432911"/>
      <w:r w:rsidR="00272C1B" w:rsidRPr="003C0800">
        <w:rPr>
          <w:bCs/>
        </w:rPr>
        <w:t xml:space="preserve"> </w:t>
      </w:r>
      <w:r w:rsidR="00272C1B" w:rsidRPr="003C0800">
        <w:rPr>
          <w:b/>
          <w:bCs/>
        </w:rPr>
        <w:t>REDACTED</w:t>
      </w:r>
      <w:r w:rsidR="00F044A2" w:rsidRPr="003C0800">
        <w:rPr>
          <w:bCs/>
        </w:rPr>
        <w:t>.</w:t>
      </w:r>
    </w:p>
    <w:bookmarkEnd w:id="9"/>
    <w:p w14:paraId="580F6FC1" w14:textId="77777777" w:rsidR="0043429E" w:rsidRPr="0043429E" w:rsidRDefault="0043429E" w:rsidP="0043429E">
      <w:pPr>
        <w:numPr>
          <w:ilvl w:val="0"/>
          <w:numId w:val="1"/>
        </w:numPr>
        <w:rPr>
          <w:b/>
          <w:bCs/>
        </w:rPr>
      </w:pPr>
      <w:r w:rsidRPr="0043429E">
        <w:rPr>
          <w:b/>
          <w:bCs/>
        </w:rPr>
        <w:t>Specify how long the proposed medical service typically takes to perform:</w:t>
      </w:r>
    </w:p>
    <w:p w14:paraId="633F1188" w14:textId="77777777" w:rsidR="0043429E" w:rsidRPr="00B52BD6" w:rsidRDefault="0043429E" w:rsidP="0043429E">
      <w:r w:rsidRPr="00B52BD6">
        <w:t>The surgery takes approximately 2 hours to perform.</w:t>
      </w:r>
    </w:p>
    <w:p w14:paraId="2792D568" w14:textId="54754422" w:rsidR="00AB7A8D" w:rsidRDefault="0043429E" w:rsidP="00AB7A8D">
      <w:pPr>
        <w:numPr>
          <w:ilvl w:val="0"/>
          <w:numId w:val="1"/>
        </w:numPr>
        <w:rPr>
          <w:b/>
          <w:bCs/>
        </w:rPr>
      </w:pPr>
      <w:r w:rsidRPr="0043429E">
        <w:rPr>
          <w:b/>
          <w:bCs/>
        </w:rPr>
        <w:t>If public funding is sought through the MBS, please draft a proposed MBS item descriptor to define the population and medical service usage characteristics that would define eligibility for MBS funding.</w:t>
      </w:r>
    </w:p>
    <w:p w14:paraId="31C39EB3" w14:textId="0779A606" w:rsidR="00AB7A8D" w:rsidRDefault="00AB7A8D" w:rsidP="00AB7A8D">
      <w:pPr>
        <w:rPr>
          <w:b/>
          <w:bCs/>
        </w:rPr>
      </w:pPr>
    </w:p>
    <w:tbl>
      <w:tblPr>
        <w:tblStyle w:val="TableGrid"/>
        <w:tblW w:w="5000" w:type="pct"/>
        <w:tblLook w:val="04A0" w:firstRow="1" w:lastRow="0" w:firstColumn="1" w:lastColumn="0" w:noHBand="0" w:noVBand="1"/>
        <w:tblCaption w:val="Table"/>
        <w:tblDescription w:val="Table"/>
      </w:tblPr>
      <w:tblGrid>
        <w:gridCol w:w="9016"/>
      </w:tblGrid>
      <w:tr w:rsidR="00AB7A8D" w:rsidRPr="00D33FC3" w14:paraId="7F1198B0" w14:textId="77777777" w:rsidTr="00225472">
        <w:trPr>
          <w:tblHeader/>
        </w:trPr>
        <w:tc>
          <w:tcPr>
            <w:tcW w:w="5000" w:type="pct"/>
          </w:tcPr>
          <w:p w14:paraId="01DFBAE5" w14:textId="77777777" w:rsidR="00AB7A8D" w:rsidRPr="00AB7A8D" w:rsidRDefault="00AB7A8D" w:rsidP="00225472">
            <w:pPr>
              <w:pStyle w:val="Tabletextright"/>
              <w:keepLines/>
              <w:spacing w:before="40" w:after="40"/>
              <w:jc w:val="left"/>
              <w:rPr>
                <w:rFonts w:cstheme="minorHAnsi"/>
              </w:rPr>
            </w:pPr>
            <w:r w:rsidRPr="00AB7A8D">
              <w:rPr>
                <w:rFonts w:cstheme="minorHAnsi"/>
              </w:rPr>
              <w:t>Category 1 PROFESSIONAL ATTENDANCES</w:t>
            </w:r>
          </w:p>
        </w:tc>
      </w:tr>
      <w:tr w:rsidR="00AB7A8D" w:rsidRPr="000938E1" w14:paraId="1EAAB2B7" w14:textId="77777777" w:rsidTr="00225472">
        <w:tc>
          <w:tcPr>
            <w:tcW w:w="5000" w:type="pct"/>
          </w:tcPr>
          <w:p w14:paraId="611B8C4D" w14:textId="77777777" w:rsidR="00AB7A8D" w:rsidRPr="00AB7A8D" w:rsidRDefault="00AB7A8D" w:rsidP="00225472">
            <w:pPr>
              <w:pStyle w:val="Tabletext"/>
              <w:keepNext/>
              <w:keepLines/>
              <w:rPr>
                <w:rFonts w:cstheme="minorHAnsi"/>
                <w:szCs w:val="20"/>
              </w:rPr>
            </w:pPr>
            <w:r w:rsidRPr="00AB7A8D">
              <w:rPr>
                <w:rFonts w:cstheme="minorHAnsi"/>
                <w:szCs w:val="20"/>
              </w:rPr>
              <w:t>XXXX</w:t>
            </w:r>
          </w:p>
          <w:p w14:paraId="78E25A2F" w14:textId="77777777" w:rsidR="00AB7A8D" w:rsidRPr="00AB7A8D" w:rsidRDefault="00AB7A8D" w:rsidP="00225472">
            <w:pPr>
              <w:pStyle w:val="Tabletext"/>
              <w:keepNext/>
              <w:keepLines/>
              <w:rPr>
                <w:rFonts w:cstheme="minorHAnsi"/>
                <w:szCs w:val="20"/>
              </w:rPr>
            </w:pPr>
            <w:r w:rsidRPr="00AB7A8D">
              <w:rPr>
                <w:rFonts w:cstheme="minorHAnsi"/>
                <w:szCs w:val="20"/>
              </w:rPr>
              <w:t>Coordination of a Closed Loop UAS Case Conference by a Closed Loop Upper Airways Stimulation (UAS) practitioner where the Closed Loop UAS Case Conference has a duration of 10 minutes or more.</w:t>
            </w:r>
          </w:p>
        </w:tc>
      </w:tr>
      <w:tr w:rsidR="00AB7A8D" w14:paraId="55D701C7" w14:textId="77777777" w:rsidTr="00225472">
        <w:tc>
          <w:tcPr>
            <w:tcW w:w="5000" w:type="pct"/>
          </w:tcPr>
          <w:p w14:paraId="1596D0DA" w14:textId="77777777" w:rsidR="00AB7A8D" w:rsidRPr="00AB7A8D" w:rsidRDefault="00AB7A8D" w:rsidP="00225472">
            <w:pPr>
              <w:pStyle w:val="Tabletext"/>
              <w:spacing w:line="312" w:lineRule="auto"/>
              <w:rPr>
                <w:rFonts w:cstheme="minorHAnsi"/>
                <w:szCs w:val="20"/>
              </w:rPr>
            </w:pPr>
            <w:r w:rsidRPr="00AB7A8D">
              <w:rPr>
                <w:rFonts w:cstheme="minorHAnsi"/>
                <w:szCs w:val="20"/>
              </w:rPr>
              <w:t>Fee:  $52.50 Benefit: 75% = $39.40 85% = $44.65</w:t>
            </w:r>
          </w:p>
        </w:tc>
      </w:tr>
    </w:tbl>
    <w:p w14:paraId="60E2E81A" w14:textId="3367F70A" w:rsidR="00AB7A8D" w:rsidRDefault="00AB7A8D" w:rsidP="00AB7A8D">
      <w:pPr>
        <w:rPr>
          <w:b/>
          <w:bCs/>
        </w:rPr>
      </w:pPr>
    </w:p>
    <w:tbl>
      <w:tblPr>
        <w:tblStyle w:val="TableGrid"/>
        <w:tblW w:w="5000" w:type="pct"/>
        <w:tblLook w:val="04A0" w:firstRow="1" w:lastRow="0" w:firstColumn="1" w:lastColumn="0" w:noHBand="0" w:noVBand="1"/>
        <w:tblCaption w:val="Table"/>
        <w:tblDescription w:val="Table"/>
      </w:tblPr>
      <w:tblGrid>
        <w:gridCol w:w="9016"/>
      </w:tblGrid>
      <w:tr w:rsidR="00AB7A8D" w:rsidRPr="00D33FC3" w14:paraId="733B7B0C" w14:textId="77777777" w:rsidTr="00225472">
        <w:trPr>
          <w:tblHeader/>
        </w:trPr>
        <w:tc>
          <w:tcPr>
            <w:tcW w:w="5000" w:type="pct"/>
          </w:tcPr>
          <w:p w14:paraId="3928F493" w14:textId="77777777" w:rsidR="00AB7A8D" w:rsidRPr="00AB7A8D" w:rsidRDefault="00AB7A8D" w:rsidP="00225472">
            <w:pPr>
              <w:pStyle w:val="Tabletextright"/>
              <w:keepLines/>
              <w:spacing w:before="40" w:after="40"/>
              <w:jc w:val="left"/>
              <w:rPr>
                <w:rFonts w:cstheme="minorHAnsi"/>
              </w:rPr>
            </w:pPr>
            <w:r w:rsidRPr="00AB7A8D">
              <w:rPr>
                <w:rFonts w:cstheme="minorHAnsi"/>
              </w:rPr>
              <w:t>Category 1 PROFESSIONAL ATTENDANCES</w:t>
            </w:r>
          </w:p>
        </w:tc>
      </w:tr>
      <w:tr w:rsidR="00AB7A8D" w:rsidRPr="000938E1" w14:paraId="100469FB" w14:textId="77777777" w:rsidTr="00225472">
        <w:tc>
          <w:tcPr>
            <w:tcW w:w="5000" w:type="pct"/>
          </w:tcPr>
          <w:p w14:paraId="4BEC7EC9" w14:textId="77777777" w:rsidR="00AB7A8D" w:rsidRPr="00AB7A8D" w:rsidRDefault="00AB7A8D" w:rsidP="00225472">
            <w:pPr>
              <w:pStyle w:val="Tabletext"/>
              <w:keepNext/>
              <w:keepLines/>
              <w:rPr>
                <w:rFonts w:cstheme="minorHAnsi"/>
                <w:szCs w:val="20"/>
              </w:rPr>
            </w:pPr>
            <w:r w:rsidRPr="00AB7A8D">
              <w:rPr>
                <w:rFonts w:cstheme="minorHAnsi"/>
                <w:szCs w:val="20"/>
              </w:rPr>
              <w:t>XXXX</w:t>
            </w:r>
          </w:p>
          <w:p w14:paraId="4AC8AF93" w14:textId="77777777" w:rsidR="00AB7A8D" w:rsidRPr="00AB7A8D" w:rsidRDefault="00AB7A8D" w:rsidP="00225472">
            <w:pPr>
              <w:pStyle w:val="Tabletext"/>
              <w:keepNext/>
              <w:keepLines/>
              <w:rPr>
                <w:rFonts w:cstheme="minorHAnsi"/>
                <w:szCs w:val="20"/>
              </w:rPr>
            </w:pPr>
            <w:r w:rsidRPr="00AB7A8D">
              <w:rPr>
                <w:rFonts w:cstheme="minorHAnsi"/>
                <w:szCs w:val="20"/>
              </w:rPr>
              <w:t>Attendance at a Closed Loop UAS Case Conference by a specialist or consultant physician who does not also perform the service described in XXXX for the same Case Conference where the Closed Loop UAS Case Conference has a duration of 10 minutes or more.</w:t>
            </w:r>
          </w:p>
        </w:tc>
      </w:tr>
      <w:tr w:rsidR="00AB7A8D" w14:paraId="1FB8EC89" w14:textId="77777777" w:rsidTr="00225472">
        <w:tc>
          <w:tcPr>
            <w:tcW w:w="5000" w:type="pct"/>
          </w:tcPr>
          <w:p w14:paraId="146271EA" w14:textId="77777777" w:rsidR="00AB7A8D" w:rsidRPr="00AB7A8D" w:rsidRDefault="00AB7A8D" w:rsidP="00225472">
            <w:pPr>
              <w:pStyle w:val="Tabletext"/>
              <w:spacing w:line="312" w:lineRule="auto"/>
              <w:rPr>
                <w:rFonts w:cstheme="minorHAnsi"/>
                <w:szCs w:val="20"/>
              </w:rPr>
            </w:pPr>
            <w:r w:rsidRPr="00AB7A8D">
              <w:rPr>
                <w:rFonts w:cstheme="minorHAnsi"/>
                <w:szCs w:val="20"/>
              </w:rPr>
              <w:t>Fee:  $39.15 Benefit: 75% = $29.40 85% = $33.30</w:t>
            </w:r>
          </w:p>
        </w:tc>
      </w:tr>
    </w:tbl>
    <w:p w14:paraId="367D082F" w14:textId="1A951F61" w:rsidR="00AB7A8D" w:rsidRDefault="00AB7A8D" w:rsidP="00AB7A8D">
      <w:pPr>
        <w:rPr>
          <w:b/>
          <w:bCs/>
        </w:rPr>
      </w:pPr>
    </w:p>
    <w:tbl>
      <w:tblPr>
        <w:tblStyle w:val="TableGrid"/>
        <w:tblW w:w="5000" w:type="pct"/>
        <w:tblLook w:val="04A0" w:firstRow="1" w:lastRow="0" w:firstColumn="1" w:lastColumn="0" w:noHBand="0" w:noVBand="1"/>
        <w:tblCaption w:val="Table"/>
        <w:tblDescription w:val="Table"/>
      </w:tblPr>
      <w:tblGrid>
        <w:gridCol w:w="9016"/>
      </w:tblGrid>
      <w:tr w:rsidR="00AB7A8D" w:rsidRPr="00D33FC3" w14:paraId="42554624" w14:textId="77777777" w:rsidTr="00225472">
        <w:trPr>
          <w:tblHeader/>
        </w:trPr>
        <w:tc>
          <w:tcPr>
            <w:tcW w:w="5000" w:type="pct"/>
          </w:tcPr>
          <w:p w14:paraId="45A76833" w14:textId="77777777" w:rsidR="00AB7A8D" w:rsidRPr="00D33FC3" w:rsidRDefault="00AB7A8D" w:rsidP="00225472">
            <w:pPr>
              <w:pStyle w:val="Tabletextright"/>
              <w:keepLines/>
              <w:spacing w:before="40" w:after="40"/>
              <w:jc w:val="left"/>
              <w:rPr>
                <w:sz w:val="24"/>
              </w:rPr>
            </w:pPr>
            <w:r>
              <w:t>Category 3 – THERAPEUTIC PROCEDURES</w:t>
            </w:r>
          </w:p>
        </w:tc>
      </w:tr>
      <w:tr w:rsidR="00AB7A8D" w:rsidRPr="000938E1" w14:paraId="2770D295" w14:textId="77777777" w:rsidTr="00225472">
        <w:tc>
          <w:tcPr>
            <w:tcW w:w="5000" w:type="pct"/>
          </w:tcPr>
          <w:p w14:paraId="5C70B635" w14:textId="77777777" w:rsidR="00AB7A8D" w:rsidRDefault="00AB7A8D" w:rsidP="00225472">
            <w:pPr>
              <w:pStyle w:val="Tabletext"/>
              <w:keepNext/>
              <w:keepLines/>
              <w:rPr>
                <w:snapToGrid w:val="0"/>
                <w:sz w:val="24"/>
              </w:rPr>
            </w:pPr>
            <w:r>
              <w:rPr>
                <w:snapToGrid w:val="0"/>
              </w:rPr>
              <w:t>XXXX</w:t>
            </w:r>
          </w:p>
          <w:p w14:paraId="6B0AF501" w14:textId="77777777" w:rsidR="00AB7A8D" w:rsidRPr="002D2FF8" w:rsidRDefault="00AB7A8D" w:rsidP="00225472">
            <w:pPr>
              <w:pStyle w:val="Tabletext"/>
              <w:keepNext/>
              <w:keepLines/>
              <w:rPr>
                <w:rFonts w:cstheme="minorHAnsi"/>
              </w:rPr>
            </w:pPr>
            <w:r w:rsidRPr="002D2FF8">
              <w:rPr>
                <w:rFonts w:cstheme="minorHAnsi"/>
              </w:rPr>
              <w:t>Unilateral closed-loop hypoglossal nerve stimulation therapy through stimulation of the hypoglossal nerve, including:</w:t>
            </w:r>
          </w:p>
          <w:p w14:paraId="1E661AD5" w14:textId="77777777" w:rsidR="00AB7A8D" w:rsidRPr="002D2FF8" w:rsidRDefault="00AB7A8D" w:rsidP="00225472">
            <w:pPr>
              <w:pStyle w:val="Tabletext"/>
              <w:keepNext/>
              <w:keepLines/>
              <w:numPr>
                <w:ilvl w:val="0"/>
                <w:numId w:val="38"/>
              </w:numPr>
              <w:tabs>
                <w:tab w:val="left" w:pos="495"/>
              </w:tabs>
              <w:ind w:left="495" w:hanging="319"/>
              <w:jc w:val="both"/>
              <w:rPr>
                <w:rFonts w:cstheme="minorHAnsi"/>
              </w:rPr>
            </w:pPr>
            <w:r w:rsidRPr="002D2FF8">
              <w:rPr>
                <w:rFonts w:cstheme="minorHAnsi"/>
              </w:rPr>
              <w:t xml:space="preserve">subcutaneous placement of electrical pulse generator, </w:t>
            </w:r>
          </w:p>
          <w:p w14:paraId="4E200D68" w14:textId="77777777" w:rsidR="00AB7A8D" w:rsidRPr="002D2FF8" w:rsidRDefault="00AB7A8D" w:rsidP="00225472">
            <w:pPr>
              <w:pStyle w:val="Tabletext"/>
              <w:keepNext/>
              <w:keepLines/>
              <w:numPr>
                <w:ilvl w:val="0"/>
                <w:numId w:val="38"/>
              </w:numPr>
              <w:tabs>
                <w:tab w:val="left" w:pos="495"/>
              </w:tabs>
              <w:ind w:left="495" w:hanging="319"/>
              <w:jc w:val="both"/>
              <w:rPr>
                <w:rFonts w:cstheme="minorHAnsi"/>
              </w:rPr>
            </w:pPr>
            <w:r w:rsidRPr="002D2FF8">
              <w:rPr>
                <w:rFonts w:cstheme="minorHAnsi"/>
              </w:rPr>
              <w:t>surgical placement of lead including connection of the lead to the hypoglossal nerve and intra-operative test stimulation</w:t>
            </w:r>
          </w:p>
          <w:p w14:paraId="3EAF392E" w14:textId="77777777" w:rsidR="00AB7A8D" w:rsidRPr="002D2FF8" w:rsidRDefault="00AB7A8D" w:rsidP="00225472">
            <w:pPr>
              <w:pStyle w:val="Tabletext"/>
              <w:keepNext/>
              <w:keepLines/>
              <w:numPr>
                <w:ilvl w:val="0"/>
                <w:numId w:val="38"/>
              </w:numPr>
              <w:tabs>
                <w:tab w:val="left" w:pos="495"/>
              </w:tabs>
              <w:ind w:left="495" w:hanging="319"/>
              <w:jc w:val="both"/>
              <w:rPr>
                <w:rFonts w:cstheme="minorHAnsi"/>
              </w:rPr>
            </w:pPr>
            <w:r w:rsidRPr="002D2FF8">
              <w:rPr>
                <w:rFonts w:cstheme="minorHAnsi"/>
              </w:rPr>
              <w:t>surgical placement of respiratory lead and intra-operative test stimulation</w:t>
            </w:r>
            <w:r>
              <w:rPr>
                <w:rFonts w:cstheme="minorHAnsi"/>
              </w:rPr>
              <w:t xml:space="preserve"> </w:t>
            </w:r>
            <w:r w:rsidRPr="002D2FF8">
              <w:rPr>
                <w:rFonts w:cstheme="minorHAnsi"/>
              </w:rPr>
              <w:t>for management of moderate to severe obstructive sleep apnoea in a patient who:</w:t>
            </w:r>
          </w:p>
          <w:p w14:paraId="633170DA" w14:textId="77777777" w:rsidR="00AB7A8D" w:rsidRPr="002D2FF8" w:rsidRDefault="00AB7A8D" w:rsidP="00225472">
            <w:pPr>
              <w:pStyle w:val="Tabletext"/>
              <w:keepNext/>
              <w:keepLines/>
              <w:ind w:left="495"/>
              <w:rPr>
                <w:rFonts w:cstheme="minorHAnsi"/>
              </w:rPr>
            </w:pPr>
            <w:r w:rsidRPr="002D2FF8">
              <w:rPr>
                <w:rFonts w:cstheme="minorHAnsi"/>
              </w:rPr>
              <w:t>a) has an Apnoea Hypopnoea Index of greater than or equal to 15 and less than or equal to 65; and</w:t>
            </w:r>
          </w:p>
          <w:p w14:paraId="7AC33E8C" w14:textId="77777777" w:rsidR="00AB7A8D" w:rsidRPr="002D2FF8" w:rsidRDefault="00AB7A8D" w:rsidP="00225472">
            <w:pPr>
              <w:pStyle w:val="Tabletext"/>
              <w:keepNext/>
              <w:keepLines/>
              <w:ind w:left="495"/>
              <w:rPr>
                <w:rFonts w:cstheme="minorHAnsi"/>
              </w:rPr>
            </w:pPr>
            <w:r w:rsidRPr="002D2FF8">
              <w:rPr>
                <w:rFonts w:cstheme="minorHAnsi"/>
              </w:rPr>
              <w:t>b) is aged 18 and over; and</w:t>
            </w:r>
          </w:p>
          <w:p w14:paraId="2F437B85" w14:textId="77777777" w:rsidR="00AB7A8D" w:rsidRPr="002D2FF8" w:rsidRDefault="00AB7A8D" w:rsidP="00225472">
            <w:pPr>
              <w:pStyle w:val="Tabletext"/>
              <w:keepNext/>
              <w:keepLines/>
              <w:ind w:left="495"/>
              <w:rPr>
                <w:rFonts w:cstheme="minorHAnsi"/>
              </w:rPr>
            </w:pPr>
            <w:r w:rsidRPr="002D2FF8">
              <w:rPr>
                <w:rFonts w:cstheme="minorHAnsi"/>
              </w:rPr>
              <w:t>c) has failed or is intolerant to continuous positive airway pressure or bilevel airway pressure; and</w:t>
            </w:r>
          </w:p>
          <w:p w14:paraId="4AE65E21" w14:textId="77777777" w:rsidR="00AB7A8D" w:rsidRPr="002D2FF8" w:rsidRDefault="00AB7A8D" w:rsidP="00225472">
            <w:pPr>
              <w:pStyle w:val="Tabletext"/>
              <w:keepNext/>
              <w:keepLines/>
              <w:ind w:left="495"/>
              <w:rPr>
                <w:rFonts w:cstheme="minorHAnsi"/>
              </w:rPr>
            </w:pPr>
            <w:r w:rsidRPr="002D2FF8">
              <w:rPr>
                <w:rFonts w:cstheme="minorHAnsi"/>
              </w:rPr>
              <w:t>d) has a BMI less than or equal to 32 kg/m²; and</w:t>
            </w:r>
          </w:p>
          <w:p w14:paraId="02B5F667" w14:textId="77777777" w:rsidR="00AB7A8D" w:rsidRPr="002D2FF8" w:rsidRDefault="00AB7A8D" w:rsidP="00225472">
            <w:pPr>
              <w:pStyle w:val="Tabletext"/>
              <w:keepNext/>
              <w:keepLines/>
              <w:ind w:left="495"/>
              <w:rPr>
                <w:rFonts w:cstheme="minorHAnsi"/>
              </w:rPr>
            </w:pPr>
            <w:r w:rsidRPr="002D2FF8">
              <w:rPr>
                <w:rFonts w:cstheme="minorHAnsi"/>
              </w:rPr>
              <w:t>e) does not have complete concentr</w:t>
            </w:r>
            <w:r>
              <w:rPr>
                <w:rFonts w:cstheme="minorHAnsi"/>
              </w:rPr>
              <w:t>ic collapse of the upper airway</w:t>
            </w:r>
          </w:p>
          <w:p w14:paraId="19BA7BCD" w14:textId="77777777" w:rsidR="00AB7A8D" w:rsidRDefault="00AB7A8D" w:rsidP="00225472">
            <w:pPr>
              <w:pStyle w:val="Tabletext"/>
              <w:keepNext/>
              <w:keepLines/>
              <w:spacing w:before="240"/>
              <w:ind w:left="352"/>
              <w:rPr>
                <w:rFonts w:cstheme="minorHAnsi"/>
              </w:rPr>
            </w:pPr>
            <w:r w:rsidRPr="002D2FF8">
              <w:rPr>
                <w:rFonts w:cstheme="minorHAnsi"/>
              </w:rPr>
              <w:t>Only once per patient</w:t>
            </w:r>
          </w:p>
          <w:p w14:paraId="222C2BA9" w14:textId="77777777" w:rsidR="00AB7A8D" w:rsidRDefault="00AB7A8D" w:rsidP="00225472">
            <w:pPr>
              <w:pStyle w:val="Tabletext"/>
              <w:keepNext/>
              <w:keepLines/>
              <w:ind w:left="353"/>
              <w:rPr>
                <w:rFonts w:cstheme="minorHAnsi"/>
              </w:rPr>
            </w:pPr>
            <w:r>
              <w:rPr>
                <w:rFonts w:cstheme="minorHAnsi"/>
              </w:rPr>
              <w:t>Multiple Operation Rule</w:t>
            </w:r>
          </w:p>
          <w:p w14:paraId="1393C81E" w14:textId="77777777" w:rsidR="00AB7A8D" w:rsidRPr="000938E1" w:rsidRDefault="00AB7A8D" w:rsidP="00225472">
            <w:pPr>
              <w:pStyle w:val="Tabletext"/>
              <w:keepNext/>
              <w:keepLines/>
              <w:ind w:left="353"/>
              <w:rPr>
                <w:rFonts w:cstheme="minorHAnsi"/>
              </w:rPr>
            </w:pPr>
            <w:r>
              <w:rPr>
                <w:rFonts w:cstheme="minorHAnsi"/>
              </w:rPr>
              <w:t>(Anaes.)</w:t>
            </w:r>
          </w:p>
        </w:tc>
      </w:tr>
      <w:tr w:rsidR="00AB7A8D" w14:paraId="1FADDD9F" w14:textId="77777777" w:rsidTr="00225472">
        <w:tc>
          <w:tcPr>
            <w:tcW w:w="5000" w:type="pct"/>
          </w:tcPr>
          <w:p w14:paraId="2E4B7400" w14:textId="77777777" w:rsidR="00AB7A8D" w:rsidRDefault="00AB7A8D" w:rsidP="00225472">
            <w:pPr>
              <w:pStyle w:val="Tabletext"/>
              <w:spacing w:line="312" w:lineRule="auto"/>
              <w:rPr>
                <w:sz w:val="24"/>
              </w:rPr>
            </w:pPr>
            <w:r>
              <w:t xml:space="preserve">MBS </w:t>
            </w:r>
            <w:r w:rsidRPr="00C03585">
              <w:t xml:space="preserve">Fee: </w:t>
            </w:r>
            <w:r>
              <w:t>$943.00</w:t>
            </w:r>
            <w:r>
              <w:tab/>
            </w:r>
            <w:r w:rsidRPr="000938E1">
              <w:rPr>
                <w:rFonts w:cstheme="minorHAnsi"/>
              </w:rPr>
              <w:t>Benefit 75% = $707.25 (in-hospital/admitted patient only)</w:t>
            </w:r>
          </w:p>
        </w:tc>
      </w:tr>
    </w:tbl>
    <w:p w14:paraId="6939263C" w14:textId="32EF08FB" w:rsidR="00E63FD1" w:rsidRPr="003C0800" w:rsidRDefault="00A64F31" w:rsidP="00AB7A8D">
      <w:pPr>
        <w:pStyle w:val="Heading2"/>
        <w:numPr>
          <w:ilvl w:val="0"/>
          <w:numId w:val="0"/>
        </w:numPr>
        <w:ind w:left="426"/>
        <w:rPr>
          <w:b w:val="0"/>
          <w:bCs/>
        </w:rPr>
      </w:pPr>
      <w:bookmarkStart w:id="10" w:name="_Hlk66357748"/>
      <w:r w:rsidRPr="003C0800">
        <w:rPr>
          <w:b w:val="0"/>
          <w:bCs/>
        </w:rPr>
        <w:t>MSAC expressed concern that there might be additional costs due to the use of an assistant surgeon. There is no procedural reason that an assistant surgeon would need to participate in the surgery.</w:t>
      </w:r>
    </w:p>
    <w:bookmarkEnd w:id="10"/>
    <w:p w14:paraId="04C428A0" w14:textId="77777777" w:rsidR="00F304B2" w:rsidRDefault="00F304B2">
      <w:r>
        <w:br w:type="page"/>
      </w:r>
    </w:p>
    <w:tbl>
      <w:tblPr>
        <w:tblStyle w:val="TableGrid"/>
        <w:tblW w:w="4981" w:type="pct"/>
        <w:tblLook w:val="04A0" w:firstRow="1" w:lastRow="0" w:firstColumn="1" w:lastColumn="0" w:noHBand="0" w:noVBand="1"/>
        <w:tblCaption w:val="Table"/>
        <w:tblDescription w:val="Table"/>
      </w:tblPr>
      <w:tblGrid>
        <w:gridCol w:w="8982"/>
      </w:tblGrid>
      <w:tr w:rsidR="00F304B2" w:rsidRPr="003C0800" w14:paraId="57636D05" w14:textId="77777777" w:rsidTr="00D71FF5">
        <w:trPr>
          <w:tblHeader/>
        </w:trPr>
        <w:tc>
          <w:tcPr>
            <w:tcW w:w="5000" w:type="pct"/>
          </w:tcPr>
          <w:p w14:paraId="68A9DBD5" w14:textId="5138A2A3" w:rsidR="00E63FD1" w:rsidRPr="003C0800" w:rsidRDefault="00E63FD1" w:rsidP="00E63FD1">
            <w:pPr>
              <w:pStyle w:val="Tabletextright"/>
              <w:spacing w:before="40" w:after="40" w:line="312" w:lineRule="auto"/>
              <w:jc w:val="left"/>
              <w:rPr>
                <w:sz w:val="24"/>
              </w:rPr>
            </w:pPr>
            <w:r w:rsidRPr="003C0800">
              <w:t>Category 3 – THERAPEUTIC PROCEDURES</w:t>
            </w:r>
          </w:p>
        </w:tc>
      </w:tr>
      <w:tr w:rsidR="00F304B2" w:rsidRPr="003C0800" w14:paraId="35B35C0C" w14:textId="77777777" w:rsidTr="00D71FF5">
        <w:tc>
          <w:tcPr>
            <w:tcW w:w="5000" w:type="pct"/>
          </w:tcPr>
          <w:p w14:paraId="1C5A2F36" w14:textId="1D1517B3" w:rsidR="00E63FD1" w:rsidRPr="003C0800" w:rsidRDefault="00E63FD1" w:rsidP="00D71FF5">
            <w:pPr>
              <w:pStyle w:val="Tabletext"/>
              <w:spacing w:line="312" w:lineRule="auto"/>
              <w:rPr>
                <w:snapToGrid w:val="0"/>
                <w:sz w:val="24"/>
              </w:rPr>
            </w:pPr>
            <w:r w:rsidRPr="003C0800">
              <w:t>MBS item XXXX</w:t>
            </w:r>
          </w:p>
          <w:p w14:paraId="29E4C754" w14:textId="3403D80B" w:rsidR="00E63FD1" w:rsidRPr="003C0800" w:rsidRDefault="00E63FD1" w:rsidP="00E63FD1">
            <w:pPr>
              <w:pStyle w:val="Tabletext"/>
              <w:tabs>
                <w:tab w:val="left" w:pos="495"/>
              </w:tabs>
              <w:spacing w:line="312" w:lineRule="auto"/>
              <w:rPr>
                <w:rFonts w:cstheme="minorHAnsi"/>
                <w:strike/>
              </w:rPr>
            </w:pPr>
            <w:r w:rsidRPr="003C0800">
              <w:t>Unilateral closed-loop hypoglossal nerve stimulation therapy through stimulation of the hypoglossal nerve, surgical repositioning or removal of electrical pulse generator for management of moderate to severe obstructive sleep apnoea</w:t>
            </w:r>
            <w:r w:rsidRPr="003C0800">
              <w:rPr>
                <w:strike/>
              </w:rPr>
              <w:t xml:space="preserve"> in </w:t>
            </w:r>
          </w:p>
          <w:p w14:paraId="48BFBB34" w14:textId="77777777" w:rsidR="00E63FD1" w:rsidRPr="003C0800" w:rsidRDefault="00E63FD1" w:rsidP="00D71FF5">
            <w:pPr>
              <w:pStyle w:val="Tabletext"/>
              <w:spacing w:before="240" w:line="312" w:lineRule="auto"/>
              <w:ind w:left="352"/>
              <w:rPr>
                <w:rFonts w:cstheme="minorHAnsi"/>
              </w:rPr>
            </w:pPr>
            <w:r w:rsidRPr="003C0800">
              <w:rPr>
                <w:rFonts w:cstheme="minorHAnsi"/>
              </w:rPr>
              <w:t>Only once per patient</w:t>
            </w:r>
          </w:p>
          <w:p w14:paraId="7E7DA3FC" w14:textId="77777777" w:rsidR="00E63FD1" w:rsidRPr="003C0800" w:rsidRDefault="00E63FD1" w:rsidP="00D71FF5">
            <w:pPr>
              <w:pStyle w:val="Tabletext"/>
              <w:spacing w:line="312" w:lineRule="auto"/>
              <w:ind w:left="353"/>
              <w:rPr>
                <w:rFonts w:cstheme="minorHAnsi"/>
              </w:rPr>
            </w:pPr>
            <w:r w:rsidRPr="003C0800">
              <w:rPr>
                <w:rFonts w:cstheme="minorHAnsi"/>
              </w:rPr>
              <w:t>Multiple Operation Rule</w:t>
            </w:r>
          </w:p>
          <w:p w14:paraId="3509028B" w14:textId="77777777" w:rsidR="00E63FD1" w:rsidRPr="003C0800" w:rsidRDefault="00E63FD1" w:rsidP="00D71FF5">
            <w:pPr>
              <w:pStyle w:val="Tabletext"/>
              <w:spacing w:line="312" w:lineRule="auto"/>
              <w:ind w:left="353"/>
              <w:rPr>
                <w:rFonts w:cstheme="minorHAnsi"/>
              </w:rPr>
            </w:pPr>
            <w:r w:rsidRPr="003C0800">
              <w:rPr>
                <w:rFonts w:cstheme="minorHAnsi"/>
              </w:rPr>
              <w:t>(Anaes.)</w:t>
            </w:r>
          </w:p>
        </w:tc>
      </w:tr>
      <w:tr w:rsidR="00F304B2" w:rsidRPr="003C0800" w14:paraId="54C72054" w14:textId="77777777" w:rsidTr="00D71FF5">
        <w:tc>
          <w:tcPr>
            <w:tcW w:w="5000" w:type="pct"/>
          </w:tcPr>
          <w:p w14:paraId="3CDF1220" w14:textId="77777777" w:rsidR="00E63FD1" w:rsidRPr="003C0800" w:rsidRDefault="00E63FD1" w:rsidP="00D71FF5">
            <w:pPr>
              <w:pStyle w:val="Tabletext"/>
              <w:keepNext/>
              <w:keepLines/>
              <w:spacing w:line="312" w:lineRule="auto"/>
              <w:rPr>
                <w:sz w:val="24"/>
              </w:rPr>
            </w:pPr>
            <w:r w:rsidRPr="003C0800">
              <w:t>MBS Fee: $161.95</w:t>
            </w:r>
            <w:r w:rsidRPr="003C0800">
              <w:tab/>
            </w:r>
            <w:r w:rsidRPr="003C0800">
              <w:rPr>
                <w:rFonts w:cstheme="minorHAnsi"/>
              </w:rPr>
              <w:t>Benefit 75% = $121.50 (in-hospital/admitted patient only)</w:t>
            </w:r>
          </w:p>
        </w:tc>
      </w:tr>
    </w:tbl>
    <w:p w14:paraId="0195425E" w14:textId="03E68197" w:rsidR="00A64F31" w:rsidRPr="003C0800" w:rsidRDefault="00A64F31" w:rsidP="00A64F31">
      <w:pPr>
        <w:pStyle w:val="Heading2"/>
        <w:numPr>
          <w:ilvl w:val="0"/>
          <w:numId w:val="0"/>
        </w:numPr>
        <w:ind w:left="360"/>
        <w:rPr>
          <w:b w:val="0"/>
          <w:bCs/>
        </w:rPr>
      </w:pPr>
      <w:bookmarkStart w:id="11" w:name="_Hlk66357779"/>
      <w:r w:rsidRPr="003C0800">
        <w:rPr>
          <w:b w:val="0"/>
          <w:bCs/>
        </w:rPr>
        <w:t>MSAC expressed concern that there might be additional costs due to the use of an assistant surgeon. There is no procedural reason that an assistant surgeon would need to participate in the surgery.</w:t>
      </w:r>
    </w:p>
    <w:p w14:paraId="7729D739" w14:textId="77777777" w:rsidR="00E63FD1" w:rsidRPr="003C0800" w:rsidRDefault="00E63FD1" w:rsidP="00257F95">
      <w:pPr>
        <w:pStyle w:val="Heading2"/>
        <w:numPr>
          <w:ilvl w:val="0"/>
          <w:numId w:val="0"/>
        </w:numPr>
        <w:ind w:left="360"/>
      </w:pPr>
    </w:p>
    <w:tbl>
      <w:tblPr>
        <w:tblStyle w:val="TableGrid"/>
        <w:tblW w:w="4981" w:type="pct"/>
        <w:tblLook w:val="04A0" w:firstRow="1" w:lastRow="0" w:firstColumn="1" w:lastColumn="0" w:noHBand="0" w:noVBand="1"/>
        <w:tblCaption w:val="Table"/>
        <w:tblDescription w:val="Table"/>
      </w:tblPr>
      <w:tblGrid>
        <w:gridCol w:w="8982"/>
      </w:tblGrid>
      <w:tr w:rsidR="00E63FD1" w:rsidRPr="003C0800" w14:paraId="7D539895" w14:textId="77777777" w:rsidTr="00D71FF5">
        <w:trPr>
          <w:tblHeader/>
        </w:trPr>
        <w:tc>
          <w:tcPr>
            <w:tcW w:w="5000" w:type="pct"/>
          </w:tcPr>
          <w:bookmarkEnd w:id="11"/>
          <w:p w14:paraId="1B328CE3" w14:textId="7F1ECD25" w:rsidR="00E63FD1" w:rsidRPr="003C0800" w:rsidRDefault="00E63FD1" w:rsidP="00E63FD1">
            <w:pPr>
              <w:pStyle w:val="Tabletextright"/>
              <w:keepLines/>
              <w:spacing w:before="40" w:after="40"/>
              <w:jc w:val="left"/>
              <w:rPr>
                <w:sz w:val="24"/>
              </w:rPr>
            </w:pPr>
            <w:r w:rsidRPr="003C0800">
              <w:t>Category 3 – THERAPEUTIC PROCEDURES</w:t>
            </w:r>
          </w:p>
        </w:tc>
      </w:tr>
      <w:tr w:rsidR="00E63FD1" w:rsidRPr="003C0800" w14:paraId="35E04A11" w14:textId="77777777" w:rsidTr="00D71FF5">
        <w:tc>
          <w:tcPr>
            <w:tcW w:w="5000" w:type="pct"/>
          </w:tcPr>
          <w:p w14:paraId="0B118E35" w14:textId="00EA81CD" w:rsidR="00E63FD1" w:rsidRPr="003C0800" w:rsidRDefault="00E63FD1" w:rsidP="00D71FF5">
            <w:pPr>
              <w:pStyle w:val="Tabletext"/>
              <w:keepNext/>
              <w:keepLines/>
              <w:rPr>
                <w:snapToGrid w:val="0"/>
                <w:sz w:val="24"/>
              </w:rPr>
            </w:pPr>
            <w:r w:rsidRPr="003C0800">
              <w:t>MBS item XXXX</w:t>
            </w:r>
          </w:p>
          <w:p w14:paraId="4DD64AF6" w14:textId="77777777" w:rsidR="00E63FD1" w:rsidRPr="003C0800" w:rsidRDefault="00E63FD1" w:rsidP="00E63FD1">
            <w:pPr>
              <w:pStyle w:val="Tabletext"/>
              <w:keepNext/>
              <w:keepLines/>
              <w:tabs>
                <w:tab w:val="left" w:pos="495"/>
              </w:tabs>
            </w:pPr>
            <w:r w:rsidRPr="003C0800">
              <w:t>Unilateral closed loop hypoglossal nerve stimulation therapy through stimulation of the hypoglossal nerve, surgical replacement of electrical pulse generator</w:t>
            </w:r>
          </w:p>
          <w:p w14:paraId="67B15B15" w14:textId="77777777" w:rsidR="00E63FD1" w:rsidRPr="003C0800" w:rsidRDefault="00E63FD1" w:rsidP="00E63FD1">
            <w:pPr>
              <w:pStyle w:val="Tabletext"/>
              <w:keepNext/>
              <w:keepLines/>
              <w:tabs>
                <w:tab w:val="left" w:pos="495"/>
              </w:tabs>
            </w:pPr>
          </w:p>
          <w:p w14:paraId="281B2ED4" w14:textId="3106A9EB" w:rsidR="00E63FD1" w:rsidRPr="003C0800" w:rsidRDefault="00E63FD1" w:rsidP="00E63FD1">
            <w:pPr>
              <w:pStyle w:val="Tabletext"/>
              <w:keepNext/>
              <w:keepLines/>
              <w:tabs>
                <w:tab w:val="left" w:pos="495"/>
              </w:tabs>
              <w:rPr>
                <w:rFonts w:cstheme="minorHAnsi"/>
              </w:rPr>
            </w:pPr>
            <w:r w:rsidRPr="003C0800">
              <w:rPr>
                <w:rFonts w:cstheme="minorHAnsi"/>
              </w:rPr>
              <w:t>Multiple Operation Rule</w:t>
            </w:r>
          </w:p>
        </w:tc>
      </w:tr>
      <w:tr w:rsidR="00E63FD1" w:rsidRPr="003C0800" w14:paraId="50664B91" w14:textId="77777777" w:rsidTr="00D71FF5">
        <w:tc>
          <w:tcPr>
            <w:tcW w:w="5000" w:type="pct"/>
          </w:tcPr>
          <w:p w14:paraId="788639DA" w14:textId="11B77991" w:rsidR="00E63FD1" w:rsidRPr="003C0800" w:rsidRDefault="00E63FD1" w:rsidP="00D71FF5">
            <w:pPr>
              <w:pStyle w:val="Tabletext"/>
              <w:spacing w:line="312" w:lineRule="auto"/>
              <w:rPr>
                <w:sz w:val="24"/>
              </w:rPr>
            </w:pPr>
            <w:r w:rsidRPr="003C0800">
              <w:t>MBS Fee: $346.05</w:t>
            </w:r>
            <w:r w:rsidRPr="003C0800">
              <w:tab/>
            </w:r>
            <w:r w:rsidRPr="003C0800">
              <w:rPr>
                <w:rFonts w:cstheme="minorHAnsi"/>
              </w:rPr>
              <w:t>Benefit 75% = $259.55 (in-hospital/admitted patient only)</w:t>
            </w:r>
          </w:p>
        </w:tc>
      </w:tr>
    </w:tbl>
    <w:p w14:paraId="66E401E9" w14:textId="77777777" w:rsidR="00A64F31" w:rsidRPr="003C0800" w:rsidRDefault="00A64F31" w:rsidP="00A64F31">
      <w:pPr>
        <w:pStyle w:val="Heading2"/>
        <w:numPr>
          <w:ilvl w:val="0"/>
          <w:numId w:val="0"/>
        </w:numPr>
        <w:ind w:left="360"/>
        <w:rPr>
          <w:b w:val="0"/>
          <w:bCs/>
        </w:rPr>
      </w:pPr>
      <w:r w:rsidRPr="003C0800">
        <w:rPr>
          <w:b w:val="0"/>
          <w:bCs/>
        </w:rPr>
        <w:t>MSAC expressed concern that there might be additional costs due to the use of an assistant surgeon. There is no procedural reason that an assistant surgeon would need to participate in the surgery.</w:t>
      </w:r>
    </w:p>
    <w:p w14:paraId="542A406E" w14:textId="77777777" w:rsidR="00A64F31" w:rsidRDefault="00A64F31" w:rsidP="00A64F31">
      <w:pPr>
        <w:pStyle w:val="Heading2"/>
        <w:numPr>
          <w:ilvl w:val="0"/>
          <w:numId w:val="0"/>
        </w:numPr>
        <w:ind w:left="360"/>
      </w:pPr>
    </w:p>
    <w:p w14:paraId="65D5D475" w14:textId="60064ACF" w:rsidR="00451840" w:rsidRDefault="00451840" w:rsidP="003C0800">
      <w:pPr>
        <w:pStyle w:val="Heading2"/>
        <w:numPr>
          <w:ilvl w:val="0"/>
          <w:numId w:val="0"/>
        </w:numPr>
      </w:pPr>
    </w:p>
    <w:sectPr w:rsidR="00451840"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83F48" w14:textId="77777777" w:rsidR="00AC6F32" w:rsidRDefault="00AC6F32" w:rsidP="00CF2DFA">
      <w:pPr>
        <w:spacing w:after="0"/>
      </w:pPr>
      <w:r>
        <w:separator/>
      </w:r>
    </w:p>
  </w:endnote>
  <w:endnote w:type="continuationSeparator" w:id="0">
    <w:p w14:paraId="22A5782E" w14:textId="77777777" w:rsidR="00AC6F32" w:rsidRDefault="00AC6F32"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CAD08" w14:textId="77777777" w:rsidR="008904A9" w:rsidRDefault="00890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43AA89E4" w14:textId="18D54F79" w:rsidR="00AC6F32" w:rsidRDefault="00AC6F32">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8904A9" w:rsidRPr="008904A9">
          <w:rPr>
            <w:b/>
            <w:bCs/>
            <w:noProof/>
            <w:sz w:val="18"/>
            <w:szCs w:val="18"/>
          </w:rPr>
          <w:t>3</w:t>
        </w:r>
        <w:r w:rsidRPr="00CF2DFA">
          <w:rPr>
            <w:b/>
            <w:bCs/>
            <w:noProof/>
            <w:sz w:val="18"/>
            <w:szCs w:val="18"/>
          </w:rPr>
          <w:fldChar w:fldCharType="end"/>
        </w:r>
        <w:r w:rsidRPr="00CF2DFA">
          <w:rPr>
            <w:b/>
            <w:bCs/>
            <w:sz w:val="18"/>
            <w:szCs w:val="18"/>
          </w:rPr>
          <w:t xml:space="preserve"> |</w:t>
        </w:r>
        <w:r>
          <w:rPr>
            <w:color w:val="808080" w:themeColor="background1" w:themeShade="80"/>
            <w:spacing w:val="60"/>
            <w:sz w:val="18"/>
            <w:szCs w:val="18"/>
          </w:rPr>
          <w:tab/>
          <w:t>Application Form</w:t>
        </w:r>
      </w:p>
      <w:p w14:paraId="0078CA59" w14:textId="77777777" w:rsidR="00AC6F32" w:rsidRPr="003F7CB9" w:rsidRDefault="00AC6F32"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E9A79" w14:textId="77777777" w:rsidR="008904A9" w:rsidRDefault="00890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4C5EC" w14:textId="77777777" w:rsidR="00AC6F32" w:rsidRDefault="00AC6F32" w:rsidP="00CF2DFA">
      <w:pPr>
        <w:spacing w:after="0"/>
      </w:pPr>
      <w:r>
        <w:separator/>
      </w:r>
    </w:p>
  </w:footnote>
  <w:footnote w:type="continuationSeparator" w:id="0">
    <w:p w14:paraId="753FA96C" w14:textId="77777777" w:rsidR="00AC6F32" w:rsidRDefault="00AC6F32" w:rsidP="00CF2DFA">
      <w:pPr>
        <w:spacing w:after="0"/>
      </w:pPr>
      <w:r>
        <w:continuationSeparator/>
      </w:r>
    </w:p>
  </w:footnote>
  <w:footnote w:id="1">
    <w:p w14:paraId="05CABC66" w14:textId="77777777" w:rsidR="00E90A29" w:rsidRPr="00AD4BCB" w:rsidRDefault="00AC6F32" w:rsidP="002F5350">
      <w:pPr>
        <w:pStyle w:val="FootnoteText"/>
      </w:pPr>
      <w:r>
        <w:rPr>
          <w:rStyle w:val="FootnoteReference"/>
        </w:rPr>
        <w:footnoteRef/>
      </w:r>
      <w:r>
        <w:t xml:space="preserve"> </w:t>
      </w:r>
      <w:r w:rsidR="00E90A29">
        <w:t xml:space="preserve">Young T et al </w:t>
      </w:r>
      <w:r w:rsidR="00E90A29">
        <w:rPr>
          <w:i/>
          <w:iCs/>
        </w:rPr>
        <w:t xml:space="preserve">‘Predictors of sleep-disordered breathing in community-dwelling adults: The Sleep Heart Health Study.’ </w:t>
      </w:r>
      <w:r w:rsidR="00E90A29">
        <w:t>Archives of internal medicine 2002; 162 (8): 893-900</w:t>
      </w:r>
    </w:p>
  </w:footnote>
  <w:footnote w:id="2">
    <w:p w14:paraId="4DAA3A12" w14:textId="77777777" w:rsidR="00E90A29" w:rsidRPr="007E7337" w:rsidRDefault="00E90A29" w:rsidP="002F5350">
      <w:pPr>
        <w:pStyle w:val="FootnoteText"/>
      </w:pPr>
      <w:r>
        <w:rPr>
          <w:rStyle w:val="FootnoteReference"/>
        </w:rPr>
        <w:footnoteRef/>
      </w:r>
      <w:r>
        <w:t xml:space="preserve"> </w:t>
      </w:r>
      <w:bookmarkStart w:id="5" w:name="_Hlk13143569"/>
      <w:r>
        <w:t>‘</w:t>
      </w:r>
      <w:r w:rsidRPr="007E7337">
        <w:rPr>
          <w:i/>
          <w:iCs/>
        </w:rPr>
        <w:t>Re-awakening Australia.  The economic cost of sleep disorders in Australia 2010</w:t>
      </w:r>
      <w:r>
        <w:t>’ for the Sleep Health Foundation October 2011. Deloitte Access Economics</w:t>
      </w:r>
      <w:bookmarkEnd w:id="5"/>
      <w:r>
        <w:t>.</w:t>
      </w:r>
    </w:p>
  </w:footnote>
  <w:footnote w:id="3">
    <w:p w14:paraId="1682940A" w14:textId="77777777" w:rsidR="00E90A29" w:rsidRPr="00F2555C" w:rsidRDefault="00E90A29" w:rsidP="002F5350">
      <w:pPr>
        <w:pStyle w:val="FootnoteText"/>
        <w:rPr>
          <w:i/>
          <w:iCs/>
        </w:rPr>
      </w:pPr>
      <w:r>
        <w:rPr>
          <w:rStyle w:val="FootnoteReference"/>
        </w:rPr>
        <w:footnoteRef/>
      </w:r>
      <w:r>
        <w:t xml:space="preserve"> Adams R et al </w:t>
      </w:r>
      <w:r>
        <w:rPr>
          <w:i/>
          <w:iCs/>
        </w:rPr>
        <w:t>‘Report to the Sleep Health Foundation 2016 Sleep Health Survey of Australian Adults’.</w:t>
      </w:r>
    </w:p>
  </w:footnote>
  <w:footnote w:id="4">
    <w:p w14:paraId="2A7612C2" w14:textId="77777777" w:rsidR="00E90A29" w:rsidRPr="008B4CED" w:rsidRDefault="00E90A29" w:rsidP="002F5350">
      <w:pPr>
        <w:pStyle w:val="FootnoteText"/>
      </w:pPr>
      <w:r>
        <w:rPr>
          <w:rStyle w:val="FootnoteReference"/>
        </w:rPr>
        <w:footnoteRef/>
      </w:r>
      <w:r>
        <w:t xml:space="preserve"> Mashall NS et al </w:t>
      </w:r>
      <w:r>
        <w:rPr>
          <w:i/>
          <w:iCs/>
        </w:rPr>
        <w:t xml:space="preserve">‘Sleep Apnea as an Independent Risk Factor for All-Cause Mortality: The Busselton Health Study’ </w:t>
      </w:r>
      <w:r>
        <w:t>Sleep 2008 Aug 1; 31(8): 1079-1085</w:t>
      </w:r>
    </w:p>
  </w:footnote>
  <w:footnote w:id="5">
    <w:p w14:paraId="0EBA6F20" w14:textId="77777777" w:rsidR="00AC6F32" w:rsidRPr="005F1F45" w:rsidRDefault="00E90A29" w:rsidP="002F5350">
      <w:pPr>
        <w:pStyle w:val="FootnoteText"/>
      </w:pPr>
      <w:r>
        <w:rPr>
          <w:rStyle w:val="FootnoteReference"/>
        </w:rPr>
        <w:footnoteRef/>
      </w:r>
      <w:r>
        <w:t xml:space="preserve"> Marin JM </w:t>
      </w:r>
      <w:r>
        <w:rPr>
          <w:i/>
          <w:iCs/>
        </w:rPr>
        <w:t xml:space="preserve">‘Long-term cardiovascular outcomes in men with obstructive sleep apnoea-hypopnoea with or without treatment with continuous positive airway pressure: an observational study’ </w:t>
      </w:r>
      <w:r>
        <w:t>Lancet Vol 365, Iss 9464, P1046-1053, March 19, 2005</w:t>
      </w:r>
    </w:p>
  </w:footnote>
  <w:footnote w:id="6">
    <w:p w14:paraId="2145DF84" w14:textId="77777777" w:rsidR="00AC6F32" w:rsidRPr="00706866" w:rsidRDefault="00AC6F32" w:rsidP="002F5350">
      <w:pPr>
        <w:pStyle w:val="FootnoteText"/>
      </w:pPr>
      <w:r>
        <w:rPr>
          <w:rStyle w:val="FootnoteReference"/>
        </w:rPr>
        <w:footnoteRef/>
      </w:r>
      <w:r>
        <w:t xml:space="preserve">Treager S et al </w:t>
      </w:r>
      <w:r w:rsidRPr="00706866">
        <w:rPr>
          <w:i/>
          <w:iCs/>
        </w:rPr>
        <w:t>‘Obstructive sleep apnea and risk of motor vehicle crash: systemic review and meta-analysis</w:t>
      </w:r>
      <w:r>
        <w:rPr>
          <w:i/>
          <w:iCs/>
        </w:rPr>
        <w:t xml:space="preserve">’ </w:t>
      </w:r>
      <w:r>
        <w:t>J Clin Sleep Med 2009 Dec 15;5 (6): 573-81.</w:t>
      </w:r>
    </w:p>
  </w:footnote>
  <w:footnote w:id="7">
    <w:p w14:paraId="328EC37D" w14:textId="0D7129B2" w:rsidR="00AC6F32" w:rsidRPr="003716F1" w:rsidRDefault="00AC6F32">
      <w:pPr>
        <w:pStyle w:val="FootnoteText"/>
      </w:pPr>
      <w:r>
        <w:rPr>
          <w:rStyle w:val="FootnoteReference"/>
        </w:rPr>
        <w:footnoteRef/>
      </w:r>
      <w:r>
        <w:t xml:space="preserve"> Thaler E et al </w:t>
      </w:r>
      <w:r>
        <w:rPr>
          <w:i/>
          <w:iCs/>
        </w:rPr>
        <w:t xml:space="preserve">‘Results of the ADHERE Upper Airway Stimulation Registry and Predictors of Therapy Efficacy’ </w:t>
      </w:r>
      <w:r>
        <w:t>The Laryngoscope , 130:1333-1338,2020.</w:t>
      </w:r>
    </w:p>
  </w:footnote>
  <w:footnote w:id="8">
    <w:p w14:paraId="0BDC7B9B" w14:textId="7538419F" w:rsidR="00AC6F32" w:rsidRPr="00682125" w:rsidRDefault="00AC6F32">
      <w:pPr>
        <w:pStyle w:val="FootnoteText"/>
      </w:pPr>
      <w:r>
        <w:rPr>
          <w:rStyle w:val="FootnoteReference"/>
        </w:rPr>
        <w:footnoteRef/>
      </w:r>
      <w:r>
        <w:t xml:space="preserve"> Mehra R et al </w:t>
      </w:r>
      <w:r>
        <w:rPr>
          <w:i/>
          <w:iCs/>
        </w:rPr>
        <w:t xml:space="preserve">‘Upper Airway Stimulation versus Untreated Comparators in Positive Airway Pressure Treatment Refractory Obstructive Sleep Apnoea.’ </w:t>
      </w:r>
      <w:r>
        <w:t>ANNALSATS July 14, 2020 as 10.1513/AnnalsATS.202001-015OC</w:t>
      </w:r>
    </w:p>
  </w:footnote>
  <w:footnote w:id="9">
    <w:p w14:paraId="10F33353" w14:textId="70E31CFA" w:rsidR="00AC6F32" w:rsidRDefault="00AC6F32">
      <w:pPr>
        <w:pStyle w:val="FootnoteText"/>
      </w:pPr>
      <w:r>
        <w:rPr>
          <w:rStyle w:val="FootnoteReference"/>
        </w:rPr>
        <w:footnoteRef/>
      </w:r>
      <w:r>
        <w:t xml:space="preserve"> </w:t>
      </w:r>
      <w:r w:rsidRPr="00AF6849">
        <w:rPr>
          <w:lang w:val="en-US"/>
        </w:rPr>
        <w:t>Escourrou, P.</w:t>
      </w:r>
      <w:r w:rsidRPr="00AF6849">
        <w:rPr>
          <w:i/>
          <w:lang w:val="en-US"/>
        </w:rPr>
        <w:t xml:space="preserve"> et al.</w:t>
      </w:r>
      <w:r w:rsidRPr="00AF6849">
        <w:rPr>
          <w:lang w:val="en-US"/>
        </w:rPr>
        <w:t xml:space="preserve"> The diagnostic method has a strong influence on classification of obstructive sleep apnea. </w:t>
      </w:r>
      <w:r w:rsidRPr="00AF6849">
        <w:rPr>
          <w:i/>
          <w:lang w:val="en-US"/>
        </w:rPr>
        <w:t>J Sleep Res</w:t>
      </w:r>
      <w:r w:rsidRPr="00AF6849">
        <w:rPr>
          <w:lang w:val="en-US"/>
        </w:rPr>
        <w:t xml:space="preserve"> </w:t>
      </w:r>
      <w:r w:rsidRPr="00AF6849">
        <w:rPr>
          <w:b/>
          <w:lang w:val="en-US"/>
        </w:rPr>
        <w:t>24</w:t>
      </w:r>
      <w:r w:rsidRPr="00AF6849">
        <w:rPr>
          <w:lang w:val="en-US"/>
        </w:rPr>
        <w:t>, 730-738, doi:10.1111/jsr.12318 (2015).</w:t>
      </w:r>
    </w:p>
  </w:footnote>
  <w:footnote w:id="10">
    <w:p w14:paraId="044515FD" w14:textId="77777777" w:rsidR="00AC6F32" w:rsidRPr="007336D0" w:rsidRDefault="00AC6F32" w:rsidP="00AE78E4">
      <w:pPr>
        <w:pStyle w:val="FootnoteText"/>
      </w:pPr>
      <w:r>
        <w:rPr>
          <w:rStyle w:val="FootnoteReference"/>
        </w:rPr>
        <w:footnoteRef/>
      </w:r>
      <w:r>
        <w:t xml:space="preserve"> Australasian Sleep Association </w:t>
      </w:r>
      <w:r>
        <w:rPr>
          <w:i/>
          <w:iCs/>
        </w:rPr>
        <w:t>‘Australasian Sleep Association submission re: Adult Sleep Apnea Surgery’</w:t>
      </w:r>
      <w:r>
        <w:t xml:space="preserve"> 2013.  </w:t>
      </w:r>
      <w:hyperlink r:id="rId1" w:history="1">
        <w:r w:rsidRPr="007336D0">
          <w:rPr>
            <w:rStyle w:val="Hyperlink"/>
          </w:rPr>
          <w:t>https://sleep.org.au/common/Uploaded%20files/Public%20Files/Professional%20resources/Sleep%20Documents/ENT%20MSAC.pdf</w:t>
        </w:r>
      </w:hyperlink>
    </w:p>
  </w:footnote>
  <w:footnote w:id="11">
    <w:p w14:paraId="3AC2A9EF" w14:textId="1D391EE3" w:rsidR="00AC6F32" w:rsidRDefault="00AC6F32">
      <w:pPr>
        <w:pStyle w:val="FootnoteText"/>
      </w:pPr>
      <w:r>
        <w:rPr>
          <w:rStyle w:val="FootnoteReference"/>
        </w:rPr>
        <w:footnoteRef/>
      </w:r>
      <w:r>
        <w:t xml:space="preserve"> Gray et al </w:t>
      </w:r>
      <w:r>
        <w:rPr>
          <w:i/>
          <w:iCs/>
        </w:rPr>
        <w:t xml:space="preserve">‘Obstructive Sleep Apnea without Obesity Is Common and Difficult to Treat: Evidence for a Distinct Pathophysiological Phenotype’ </w:t>
      </w:r>
      <w:r>
        <w:t>J Clin Sleep Med. 2017; 13 (1): 81-88</w:t>
      </w:r>
    </w:p>
  </w:footnote>
  <w:footnote w:id="12">
    <w:p w14:paraId="1C468D72" w14:textId="77777777" w:rsidR="00AC6F32" w:rsidRDefault="00AC6F32" w:rsidP="006532B5">
      <w:pPr>
        <w:pStyle w:val="FootnoteText"/>
      </w:pPr>
      <w:r>
        <w:rPr>
          <w:rStyle w:val="FootnoteReference"/>
        </w:rPr>
        <w:footnoteRef/>
      </w:r>
      <w:r>
        <w:t xml:space="preserve"> </w:t>
      </w:r>
      <w:r w:rsidRPr="00FC1E74">
        <w:t>Strollo PK</w:t>
      </w:r>
      <w:r>
        <w:t xml:space="preserve"> et al</w:t>
      </w:r>
      <w:r w:rsidRPr="00FC1E74">
        <w:t xml:space="preserve"> ‘Upper-Airway Stimulation for Obstructive Sleep Apnea’ N Engl J Med 2014; 370:139-49</w:t>
      </w:r>
    </w:p>
  </w:footnote>
  <w:footnote w:id="13">
    <w:p w14:paraId="528688AA" w14:textId="77777777" w:rsidR="00AC6F32" w:rsidRDefault="00AC6F32" w:rsidP="00B04114">
      <w:pPr>
        <w:pStyle w:val="FootnoteText"/>
      </w:pPr>
      <w:r>
        <w:rPr>
          <w:rStyle w:val="FootnoteReference"/>
        </w:rPr>
        <w:footnoteRef/>
      </w:r>
      <w:r>
        <w:t xml:space="preserve"> Australian Department of Health, Otolaryngology 2016 Fact Sheet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8ECED" w14:textId="77777777" w:rsidR="008904A9" w:rsidRDefault="00890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1BCA4" w14:textId="77777777" w:rsidR="008904A9" w:rsidRDefault="008904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C0475" w14:textId="77777777" w:rsidR="008904A9" w:rsidRDefault="00890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8C003FB"/>
    <w:multiLevelType w:val="hybridMultilevel"/>
    <w:tmpl w:val="AF04DAE8"/>
    <w:lvl w:ilvl="0" w:tplc="0252401A">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E59697D"/>
    <w:multiLevelType w:val="hybridMultilevel"/>
    <w:tmpl w:val="3E4AEE78"/>
    <w:lvl w:ilvl="0" w:tplc="C58864F0">
      <w:start w:val="1"/>
      <w:numFmt w:val="lowerRoman"/>
      <w:lvlText w:val="%1)"/>
      <w:lvlJc w:val="left"/>
      <w:pPr>
        <w:ind w:left="1021" w:hanging="845"/>
      </w:pPr>
      <w:rPr>
        <w:rFonts w:hint="default"/>
      </w:rPr>
    </w:lvl>
    <w:lvl w:ilvl="1" w:tplc="08090019" w:tentative="1">
      <w:start w:val="1"/>
      <w:numFmt w:val="lowerLetter"/>
      <w:lvlText w:val="%2."/>
      <w:lvlJc w:val="left"/>
      <w:pPr>
        <w:ind w:left="1256" w:hanging="360"/>
      </w:pPr>
    </w:lvl>
    <w:lvl w:ilvl="2" w:tplc="0809001B" w:tentative="1">
      <w:start w:val="1"/>
      <w:numFmt w:val="lowerRoman"/>
      <w:lvlText w:val="%3."/>
      <w:lvlJc w:val="right"/>
      <w:pPr>
        <w:ind w:left="1976" w:hanging="180"/>
      </w:pPr>
    </w:lvl>
    <w:lvl w:ilvl="3" w:tplc="0809000F" w:tentative="1">
      <w:start w:val="1"/>
      <w:numFmt w:val="decimal"/>
      <w:lvlText w:val="%4."/>
      <w:lvlJc w:val="left"/>
      <w:pPr>
        <w:ind w:left="2696" w:hanging="360"/>
      </w:pPr>
    </w:lvl>
    <w:lvl w:ilvl="4" w:tplc="08090019" w:tentative="1">
      <w:start w:val="1"/>
      <w:numFmt w:val="lowerLetter"/>
      <w:lvlText w:val="%5."/>
      <w:lvlJc w:val="left"/>
      <w:pPr>
        <w:ind w:left="3416" w:hanging="360"/>
      </w:pPr>
    </w:lvl>
    <w:lvl w:ilvl="5" w:tplc="0809001B" w:tentative="1">
      <w:start w:val="1"/>
      <w:numFmt w:val="lowerRoman"/>
      <w:lvlText w:val="%6."/>
      <w:lvlJc w:val="right"/>
      <w:pPr>
        <w:ind w:left="4136" w:hanging="180"/>
      </w:pPr>
    </w:lvl>
    <w:lvl w:ilvl="6" w:tplc="0809000F" w:tentative="1">
      <w:start w:val="1"/>
      <w:numFmt w:val="decimal"/>
      <w:lvlText w:val="%7."/>
      <w:lvlJc w:val="left"/>
      <w:pPr>
        <w:ind w:left="4856" w:hanging="360"/>
      </w:pPr>
    </w:lvl>
    <w:lvl w:ilvl="7" w:tplc="08090019" w:tentative="1">
      <w:start w:val="1"/>
      <w:numFmt w:val="lowerLetter"/>
      <w:lvlText w:val="%8."/>
      <w:lvlJc w:val="left"/>
      <w:pPr>
        <w:ind w:left="5576" w:hanging="360"/>
      </w:pPr>
    </w:lvl>
    <w:lvl w:ilvl="8" w:tplc="0809001B" w:tentative="1">
      <w:start w:val="1"/>
      <w:numFmt w:val="lowerRoman"/>
      <w:lvlText w:val="%9."/>
      <w:lvlJc w:val="right"/>
      <w:pPr>
        <w:ind w:left="6296" w:hanging="180"/>
      </w:pPr>
    </w:lvl>
  </w:abstractNum>
  <w:num w:numId="1">
    <w:abstractNumId w:val="11"/>
  </w:num>
  <w:num w:numId="2">
    <w:abstractNumId w:val="4"/>
    <w:lvlOverride w:ilvl="0"/>
    <w:lvlOverride w:ilvl="1">
      <w:startOverride w:val="1"/>
    </w:lvlOverride>
    <w:lvlOverride w:ilvl="2"/>
    <w:lvlOverride w:ilvl="3"/>
    <w:lvlOverride w:ilvl="4"/>
    <w:lvlOverride w:ilvl="5"/>
    <w:lvlOverride w:ilvl="6"/>
    <w:lvlOverride w:ilvl="7"/>
    <w:lvlOverride w:ilvl="8"/>
  </w:num>
  <w:num w:numId="3">
    <w:abstractNumId w:val="8"/>
  </w:num>
  <w:num w:numId="4">
    <w:abstractNumId w:val="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
  </w:num>
  <w:num w:numId="25">
    <w:abstractNumId w:val="17"/>
  </w:num>
  <w:num w:numId="26">
    <w:abstractNumId w:val="3"/>
  </w:num>
  <w:num w:numId="27">
    <w:abstractNumId w:val="13"/>
  </w:num>
  <w:num w:numId="28">
    <w:abstractNumId w:val="9"/>
  </w:num>
  <w:num w:numId="29">
    <w:abstractNumId w:val="18"/>
  </w:num>
  <w:num w:numId="30">
    <w:abstractNumId w:val="2"/>
  </w:num>
  <w:num w:numId="31">
    <w:abstractNumId w:val="16"/>
  </w:num>
  <w:num w:numId="32">
    <w:abstractNumId w:val="6"/>
  </w:num>
  <w:num w:numId="33">
    <w:abstractNumId w:val="15"/>
  </w:num>
  <w:num w:numId="34">
    <w:abstractNumId w:val="5"/>
  </w:num>
  <w:num w:numId="35">
    <w:abstractNumId w:val="10"/>
  </w:num>
  <w:num w:numId="36">
    <w:abstractNumId w:val="0"/>
  </w:num>
  <w:num w:numId="37">
    <w:abstractNumId w:val="14"/>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C5"/>
    <w:rsid w:val="000110DC"/>
    <w:rsid w:val="000158AA"/>
    <w:rsid w:val="000159B9"/>
    <w:rsid w:val="00016B6E"/>
    <w:rsid w:val="00023E21"/>
    <w:rsid w:val="00025ABC"/>
    <w:rsid w:val="00026412"/>
    <w:rsid w:val="00031F6F"/>
    <w:rsid w:val="00034D6E"/>
    <w:rsid w:val="0005089D"/>
    <w:rsid w:val="000525BC"/>
    <w:rsid w:val="00073222"/>
    <w:rsid w:val="000770BA"/>
    <w:rsid w:val="00091BEE"/>
    <w:rsid w:val="00092580"/>
    <w:rsid w:val="000955E7"/>
    <w:rsid w:val="000A110D"/>
    <w:rsid w:val="000A4770"/>
    <w:rsid w:val="000A478F"/>
    <w:rsid w:val="000A5B32"/>
    <w:rsid w:val="000B3CD0"/>
    <w:rsid w:val="000B61CF"/>
    <w:rsid w:val="000D066E"/>
    <w:rsid w:val="000D0831"/>
    <w:rsid w:val="000E11B2"/>
    <w:rsid w:val="000E47E7"/>
    <w:rsid w:val="000E5439"/>
    <w:rsid w:val="000F4504"/>
    <w:rsid w:val="00102686"/>
    <w:rsid w:val="00106F3E"/>
    <w:rsid w:val="0011036E"/>
    <w:rsid w:val="001130B0"/>
    <w:rsid w:val="0011369B"/>
    <w:rsid w:val="0011742E"/>
    <w:rsid w:val="00123D10"/>
    <w:rsid w:val="00126B33"/>
    <w:rsid w:val="00154B00"/>
    <w:rsid w:val="001644E9"/>
    <w:rsid w:val="001753C7"/>
    <w:rsid w:val="001845D9"/>
    <w:rsid w:val="0018630F"/>
    <w:rsid w:val="001906CD"/>
    <w:rsid w:val="00191B99"/>
    <w:rsid w:val="00192401"/>
    <w:rsid w:val="0019694B"/>
    <w:rsid w:val="00197D29"/>
    <w:rsid w:val="001A02E3"/>
    <w:rsid w:val="001A1ADF"/>
    <w:rsid w:val="001A365C"/>
    <w:rsid w:val="001B171D"/>
    <w:rsid w:val="001B29A1"/>
    <w:rsid w:val="001B5169"/>
    <w:rsid w:val="001B6164"/>
    <w:rsid w:val="001D77ED"/>
    <w:rsid w:val="001E1180"/>
    <w:rsid w:val="001E23EA"/>
    <w:rsid w:val="001E4746"/>
    <w:rsid w:val="001E6919"/>
    <w:rsid w:val="001E6958"/>
    <w:rsid w:val="00201924"/>
    <w:rsid w:val="00202473"/>
    <w:rsid w:val="00202F87"/>
    <w:rsid w:val="002053F2"/>
    <w:rsid w:val="00206D63"/>
    <w:rsid w:val="0021185D"/>
    <w:rsid w:val="00226182"/>
    <w:rsid w:val="00226777"/>
    <w:rsid w:val="00235BD1"/>
    <w:rsid w:val="00242B0E"/>
    <w:rsid w:val="00246BC9"/>
    <w:rsid w:val="00247DF0"/>
    <w:rsid w:val="00254813"/>
    <w:rsid w:val="00257F95"/>
    <w:rsid w:val="00257FF2"/>
    <w:rsid w:val="0026329D"/>
    <w:rsid w:val="00265822"/>
    <w:rsid w:val="0027105F"/>
    <w:rsid w:val="002711FB"/>
    <w:rsid w:val="00272C1B"/>
    <w:rsid w:val="00282BE8"/>
    <w:rsid w:val="00283318"/>
    <w:rsid w:val="00285525"/>
    <w:rsid w:val="00294CD8"/>
    <w:rsid w:val="002A270B"/>
    <w:rsid w:val="002A50FD"/>
    <w:rsid w:val="002A6753"/>
    <w:rsid w:val="002B28D7"/>
    <w:rsid w:val="002B7EB6"/>
    <w:rsid w:val="002C0B61"/>
    <w:rsid w:val="002C15E6"/>
    <w:rsid w:val="002C247D"/>
    <w:rsid w:val="002C3345"/>
    <w:rsid w:val="002D409A"/>
    <w:rsid w:val="002E3641"/>
    <w:rsid w:val="002F30E7"/>
    <w:rsid w:val="002F5350"/>
    <w:rsid w:val="00300EEB"/>
    <w:rsid w:val="003013A9"/>
    <w:rsid w:val="00301958"/>
    <w:rsid w:val="003020B5"/>
    <w:rsid w:val="003027BB"/>
    <w:rsid w:val="00310A10"/>
    <w:rsid w:val="00327D25"/>
    <w:rsid w:val="00330EA0"/>
    <w:rsid w:val="0033157D"/>
    <w:rsid w:val="003319A7"/>
    <w:rsid w:val="00334FE3"/>
    <w:rsid w:val="003421AE"/>
    <w:rsid w:val="003433D1"/>
    <w:rsid w:val="00344B24"/>
    <w:rsid w:val="003456B9"/>
    <w:rsid w:val="0035067D"/>
    <w:rsid w:val="00353A16"/>
    <w:rsid w:val="0035776D"/>
    <w:rsid w:val="00364FD9"/>
    <w:rsid w:val="00367C1B"/>
    <w:rsid w:val="003716F1"/>
    <w:rsid w:val="00376B61"/>
    <w:rsid w:val="00382407"/>
    <w:rsid w:val="00386A64"/>
    <w:rsid w:val="00386FA1"/>
    <w:rsid w:val="00390142"/>
    <w:rsid w:val="003904AC"/>
    <w:rsid w:val="00392F00"/>
    <w:rsid w:val="00397377"/>
    <w:rsid w:val="003A22DE"/>
    <w:rsid w:val="003A2860"/>
    <w:rsid w:val="003A3C35"/>
    <w:rsid w:val="003A7D30"/>
    <w:rsid w:val="003B3C5C"/>
    <w:rsid w:val="003B3DBA"/>
    <w:rsid w:val="003C0800"/>
    <w:rsid w:val="003C47CA"/>
    <w:rsid w:val="003C5EC5"/>
    <w:rsid w:val="003D6DE1"/>
    <w:rsid w:val="003D795C"/>
    <w:rsid w:val="003E30FB"/>
    <w:rsid w:val="003F2711"/>
    <w:rsid w:val="003F32EC"/>
    <w:rsid w:val="003F6C70"/>
    <w:rsid w:val="003F7CB9"/>
    <w:rsid w:val="00403333"/>
    <w:rsid w:val="00411735"/>
    <w:rsid w:val="0041488C"/>
    <w:rsid w:val="00415C74"/>
    <w:rsid w:val="0043429E"/>
    <w:rsid w:val="0043654D"/>
    <w:rsid w:val="00437F60"/>
    <w:rsid w:val="00451840"/>
    <w:rsid w:val="00460C9A"/>
    <w:rsid w:val="00464924"/>
    <w:rsid w:val="0047581D"/>
    <w:rsid w:val="00480289"/>
    <w:rsid w:val="00481279"/>
    <w:rsid w:val="00483368"/>
    <w:rsid w:val="00494011"/>
    <w:rsid w:val="004A0BF4"/>
    <w:rsid w:val="004A263B"/>
    <w:rsid w:val="004B68AE"/>
    <w:rsid w:val="004C35B0"/>
    <w:rsid w:val="004C49EF"/>
    <w:rsid w:val="004C4A19"/>
    <w:rsid w:val="004C5570"/>
    <w:rsid w:val="004D00C9"/>
    <w:rsid w:val="004E16F5"/>
    <w:rsid w:val="004E3CC7"/>
    <w:rsid w:val="004E5B69"/>
    <w:rsid w:val="004F2A87"/>
    <w:rsid w:val="00507C56"/>
    <w:rsid w:val="0052344E"/>
    <w:rsid w:val="00526478"/>
    <w:rsid w:val="00530204"/>
    <w:rsid w:val="00534C5F"/>
    <w:rsid w:val="00540257"/>
    <w:rsid w:val="0054192F"/>
    <w:rsid w:val="00544EB3"/>
    <w:rsid w:val="0054594B"/>
    <w:rsid w:val="0054749B"/>
    <w:rsid w:val="00551CC6"/>
    <w:rsid w:val="00554E7A"/>
    <w:rsid w:val="0056015F"/>
    <w:rsid w:val="00560512"/>
    <w:rsid w:val="00560541"/>
    <w:rsid w:val="005672D0"/>
    <w:rsid w:val="00572CEB"/>
    <w:rsid w:val="005834C9"/>
    <w:rsid w:val="005A0C34"/>
    <w:rsid w:val="005A58BA"/>
    <w:rsid w:val="005A5D30"/>
    <w:rsid w:val="005A6AB9"/>
    <w:rsid w:val="005C333E"/>
    <w:rsid w:val="005C3AE7"/>
    <w:rsid w:val="005D0677"/>
    <w:rsid w:val="005E294C"/>
    <w:rsid w:val="005E2CE3"/>
    <w:rsid w:val="005E3294"/>
    <w:rsid w:val="005F3F07"/>
    <w:rsid w:val="00602750"/>
    <w:rsid w:val="00603D04"/>
    <w:rsid w:val="00606857"/>
    <w:rsid w:val="0061315A"/>
    <w:rsid w:val="00615F42"/>
    <w:rsid w:val="006258C2"/>
    <w:rsid w:val="00626365"/>
    <w:rsid w:val="00630E22"/>
    <w:rsid w:val="0064168C"/>
    <w:rsid w:val="006474AB"/>
    <w:rsid w:val="006532B5"/>
    <w:rsid w:val="00657B46"/>
    <w:rsid w:val="006764EC"/>
    <w:rsid w:val="00682125"/>
    <w:rsid w:val="006835FE"/>
    <w:rsid w:val="006915EF"/>
    <w:rsid w:val="00693BFD"/>
    <w:rsid w:val="00695065"/>
    <w:rsid w:val="006A1038"/>
    <w:rsid w:val="006A2AC0"/>
    <w:rsid w:val="006A649A"/>
    <w:rsid w:val="006B1B49"/>
    <w:rsid w:val="006B6390"/>
    <w:rsid w:val="006C0356"/>
    <w:rsid w:val="006C0843"/>
    <w:rsid w:val="006C74B1"/>
    <w:rsid w:val="006E57AA"/>
    <w:rsid w:val="006F1277"/>
    <w:rsid w:val="006F20CF"/>
    <w:rsid w:val="006F38ED"/>
    <w:rsid w:val="00702D17"/>
    <w:rsid w:val="00707D4D"/>
    <w:rsid w:val="00723446"/>
    <w:rsid w:val="00723503"/>
    <w:rsid w:val="00727F9B"/>
    <w:rsid w:val="00730C04"/>
    <w:rsid w:val="0073597B"/>
    <w:rsid w:val="007378F6"/>
    <w:rsid w:val="00743A22"/>
    <w:rsid w:val="0074545D"/>
    <w:rsid w:val="007522E3"/>
    <w:rsid w:val="0075335B"/>
    <w:rsid w:val="00753C44"/>
    <w:rsid w:val="00754383"/>
    <w:rsid w:val="007564D1"/>
    <w:rsid w:val="00757232"/>
    <w:rsid w:val="00760679"/>
    <w:rsid w:val="00763628"/>
    <w:rsid w:val="00767E99"/>
    <w:rsid w:val="00772E62"/>
    <w:rsid w:val="00775A6A"/>
    <w:rsid w:val="0077789B"/>
    <w:rsid w:val="00780D29"/>
    <w:rsid w:val="007859BF"/>
    <w:rsid w:val="00791C8D"/>
    <w:rsid w:val="0079354C"/>
    <w:rsid w:val="00794181"/>
    <w:rsid w:val="007A7F6F"/>
    <w:rsid w:val="007B4C76"/>
    <w:rsid w:val="007C2260"/>
    <w:rsid w:val="007D1E52"/>
    <w:rsid w:val="007D2358"/>
    <w:rsid w:val="007E39E4"/>
    <w:rsid w:val="007E6FB3"/>
    <w:rsid w:val="007F21B4"/>
    <w:rsid w:val="00802553"/>
    <w:rsid w:val="00803EAB"/>
    <w:rsid w:val="008046B5"/>
    <w:rsid w:val="00810224"/>
    <w:rsid w:val="008127C0"/>
    <w:rsid w:val="00812EDD"/>
    <w:rsid w:val="008139C5"/>
    <w:rsid w:val="0081650F"/>
    <w:rsid w:val="00832B31"/>
    <w:rsid w:val="008403E0"/>
    <w:rsid w:val="0084657B"/>
    <w:rsid w:val="00855944"/>
    <w:rsid w:val="008576B1"/>
    <w:rsid w:val="00862C13"/>
    <w:rsid w:val="00864A18"/>
    <w:rsid w:val="00870833"/>
    <w:rsid w:val="00874571"/>
    <w:rsid w:val="00881F93"/>
    <w:rsid w:val="00882CB5"/>
    <w:rsid w:val="00883641"/>
    <w:rsid w:val="00884E69"/>
    <w:rsid w:val="00890082"/>
    <w:rsid w:val="008904A9"/>
    <w:rsid w:val="008A071F"/>
    <w:rsid w:val="008A48D2"/>
    <w:rsid w:val="008A7423"/>
    <w:rsid w:val="008B2610"/>
    <w:rsid w:val="008B471D"/>
    <w:rsid w:val="008B49E4"/>
    <w:rsid w:val="008B70DC"/>
    <w:rsid w:val="008B729C"/>
    <w:rsid w:val="008C4A93"/>
    <w:rsid w:val="008E0E49"/>
    <w:rsid w:val="008E35FD"/>
    <w:rsid w:val="008E6227"/>
    <w:rsid w:val="008E78B9"/>
    <w:rsid w:val="008F73EC"/>
    <w:rsid w:val="00901F1C"/>
    <w:rsid w:val="0090543D"/>
    <w:rsid w:val="009056C5"/>
    <w:rsid w:val="009262F2"/>
    <w:rsid w:val="00937791"/>
    <w:rsid w:val="00951933"/>
    <w:rsid w:val="00954343"/>
    <w:rsid w:val="00955271"/>
    <w:rsid w:val="00961C3B"/>
    <w:rsid w:val="00963C9C"/>
    <w:rsid w:val="00965B6B"/>
    <w:rsid w:val="00971EDB"/>
    <w:rsid w:val="00974D50"/>
    <w:rsid w:val="00987ABE"/>
    <w:rsid w:val="00991EE4"/>
    <w:rsid w:val="009939DC"/>
    <w:rsid w:val="00993B9C"/>
    <w:rsid w:val="009B4E1E"/>
    <w:rsid w:val="009C03FB"/>
    <w:rsid w:val="009C4B4F"/>
    <w:rsid w:val="009F0C02"/>
    <w:rsid w:val="009F5758"/>
    <w:rsid w:val="00A0283F"/>
    <w:rsid w:val="00A04F4A"/>
    <w:rsid w:val="00A23B52"/>
    <w:rsid w:val="00A26343"/>
    <w:rsid w:val="00A408B5"/>
    <w:rsid w:val="00A441F1"/>
    <w:rsid w:val="00A529E2"/>
    <w:rsid w:val="00A539F8"/>
    <w:rsid w:val="00A6491A"/>
    <w:rsid w:val="00A64F31"/>
    <w:rsid w:val="00A6594E"/>
    <w:rsid w:val="00A727B6"/>
    <w:rsid w:val="00A81CC6"/>
    <w:rsid w:val="00A83EC6"/>
    <w:rsid w:val="00A8732C"/>
    <w:rsid w:val="00A9062D"/>
    <w:rsid w:val="00A93F58"/>
    <w:rsid w:val="00A96329"/>
    <w:rsid w:val="00AA134B"/>
    <w:rsid w:val="00AA2CFE"/>
    <w:rsid w:val="00AA5FDA"/>
    <w:rsid w:val="00AA6291"/>
    <w:rsid w:val="00AB7A8D"/>
    <w:rsid w:val="00AC0C91"/>
    <w:rsid w:val="00AC6F32"/>
    <w:rsid w:val="00AD37D4"/>
    <w:rsid w:val="00AD7986"/>
    <w:rsid w:val="00AE1188"/>
    <w:rsid w:val="00AE738C"/>
    <w:rsid w:val="00AE78E4"/>
    <w:rsid w:val="00AF1046"/>
    <w:rsid w:val="00AF4466"/>
    <w:rsid w:val="00AF5D1E"/>
    <w:rsid w:val="00AF6849"/>
    <w:rsid w:val="00B040A9"/>
    <w:rsid w:val="00B04114"/>
    <w:rsid w:val="00B1711E"/>
    <w:rsid w:val="00B17CBE"/>
    <w:rsid w:val="00B17E26"/>
    <w:rsid w:val="00B231A4"/>
    <w:rsid w:val="00B25D20"/>
    <w:rsid w:val="00B31C99"/>
    <w:rsid w:val="00B52BD6"/>
    <w:rsid w:val="00B53BA6"/>
    <w:rsid w:val="00B5731D"/>
    <w:rsid w:val="00B6378B"/>
    <w:rsid w:val="00B63E3A"/>
    <w:rsid w:val="00B75965"/>
    <w:rsid w:val="00B769AC"/>
    <w:rsid w:val="00B771AD"/>
    <w:rsid w:val="00B814CB"/>
    <w:rsid w:val="00BA0CF8"/>
    <w:rsid w:val="00BA1ADF"/>
    <w:rsid w:val="00BA51FC"/>
    <w:rsid w:val="00BB003A"/>
    <w:rsid w:val="00BB3358"/>
    <w:rsid w:val="00BB3382"/>
    <w:rsid w:val="00BB3643"/>
    <w:rsid w:val="00BC0DB1"/>
    <w:rsid w:val="00BC3DA0"/>
    <w:rsid w:val="00BC424B"/>
    <w:rsid w:val="00BE0FDE"/>
    <w:rsid w:val="00BE2E82"/>
    <w:rsid w:val="00BF6AC5"/>
    <w:rsid w:val="00C01121"/>
    <w:rsid w:val="00C030A5"/>
    <w:rsid w:val="00C05A45"/>
    <w:rsid w:val="00C0796F"/>
    <w:rsid w:val="00C11B34"/>
    <w:rsid w:val="00C12C5C"/>
    <w:rsid w:val="00C171FB"/>
    <w:rsid w:val="00C209C2"/>
    <w:rsid w:val="00C2267F"/>
    <w:rsid w:val="00C22AD8"/>
    <w:rsid w:val="00C22B2A"/>
    <w:rsid w:val="00C3557E"/>
    <w:rsid w:val="00C3594B"/>
    <w:rsid w:val="00C43102"/>
    <w:rsid w:val="00C4696B"/>
    <w:rsid w:val="00C50513"/>
    <w:rsid w:val="00C54503"/>
    <w:rsid w:val="00C63055"/>
    <w:rsid w:val="00C73B62"/>
    <w:rsid w:val="00C776B1"/>
    <w:rsid w:val="00C815FE"/>
    <w:rsid w:val="00C81FA0"/>
    <w:rsid w:val="00C847AE"/>
    <w:rsid w:val="00C854B1"/>
    <w:rsid w:val="00CA04C6"/>
    <w:rsid w:val="00CA26DD"/>
    <w:rsid w:val="00CA7E88"/>
    <w:rsid w:val="00CB062C"/>
    <w:rsid w:val="00CB12EC"/>
    <w:rsid w:val="00CB7576"/>
    <w:rsid w:val="00CC09D7"/>
    <w:rsid w:val="00CC12B8"/>
    <w:rsid w:val="00CC5AB1"/>
    <w:rsid w:val="00CD22E3"/>
    <w:rsid w:val="00CD4E44"/>
    <w:rsid w:val="00CD5AE4"/>
    <w:rsid w:val="00CD7A7D"/>
    <w:rsid w:val="00CF19F6"/>
    <w:rsid w:val="00CF1AFC"/>
    <w:rsid w:val="00CF2D8E"/>
    <w:rsid w:val="00CF2DFA"/>
    <w:rsid w:val="00CF5AD8"/>
    <w:rsid w:val="00D00122"/>
    <w:rsid w:val="00D01D2A"/>
    <w:rsid w:val="00D10B47"/>
    <w:rsid w:val="00D11EB1"/>
    <w:rsid w:val="00D17F17"/>
    <w:rsid w:val="00D23597"/>
    <w:rsid w:val="00D30BDC"/>
    <w:rsid w:val="00D30F4A"/>
    <w:rsid w:val="00D54ECB"/>
    <w:rsid w:val="00D57F88"/>
    <w:rsid w:val="00D60C47"/>
    <w:rsid w:val="00D7105C"/>
    <w:rsid w:val="00D71FF5"/>
    <w:rsid w:val="00D73646"/>
    <w:rsid w:val="00D777B4"/>
    <w:rsid w:val="00D77A90"/>
    <w:rsid w:val="00D8360B"/>
    <w:rsid w:val="00D85676"/>
    <w:rsid w:val="00D96ADA"/>
    <w:rsid w:val="00DA2886"/>
    <w:rsid w:val="00DA5E50"/>
    <w:rsid w:val="00DA66DF"/>
    <w:rsid w:val="00DA7D0C"/>
    <w:rsid w:val="00DB311C"/>
    <w:rsid w:val="00DB432D"/>
    <w:rsid w:val="00DB519B"/>
    <w:rsid w:val="00DC7694"/>
    <w:rsid w:val="00DC7FBE"/>
    <w:rsid w:val="00DD130E"/>
    <w:rsid w:val="00DD308E"/>
    <w:rsid w:val="00DE1C8D"/>
    <w:rsid w:val="00DE620E"/>
    <w:rsid w:val="00DF0C51"/>
    <w:rsid w:val="00DF0D47"/>
    <w:rsid w:val="00DF1652"/>
    <w:rsid w:val="00DF6D37"/>
    <w:rsid w:val="00E048ED"/>
    <w:rsid w:val="00E04FB3"/>
    <w:rsid w:val="00E0568D"/>
    <w:rsid w:val="00E058F2"/>
    <w:rsid w:val="00E05D9C"/>
    <w:rsid w:val="00E06102"/>
    <w:rsid w:val="00E228F7"/>
    <w:rsid w:val="00E23E71"/>
    <w:rsid w:val="00E30F19"/>
    <w:rsid w:val="00E33C4A"/>
    <w:rsid w:val="00E357B9"/>
    <w:rsid w:val="00E4321E"/>
    <w:rsid w:val="00E44B80"/>
    <w:rsid w:val="00E47623"/>
    <w:rsid w:val="00E60529"/>
    <w:rsid w:val="00E63FD1"/>
    <w:rsid w:val="00E641EF"/>
    <w:rsid w:val="00E65DF6"/>
    <w:rsid w:val="00E70D86"/>
    <w:rsid w:val="00E7544B"/>
    <w:rsid w:val="00E7628E"/>
    <w:rsid w:val="00E82F54"/>
    <w:rsid w:val="00E8445B"/>
    <w:rsid w:val="00E8649B"/>
    <w:rsid w:val="00E871CD"/>
    <w:rsid w:val="00E90990"/>
    <w:rsid w:val="00E90A29"/>
    <w:rsid w:val="00E95D3D"/>
    <w:rsid w:val="00EA0E25"/>
    <w:rsid w:val="00EA173C"/>
    <w:rsid w:val="00EB6586"/>
    <w:rsid w:val="00EC127A"/>
    <w:rsid w:val="00EC1FF9"/>
    <w:rsid w:val="00EC2737"/>
    <w:rsid w:val="00ED5277"/>
    <w:rsid w:val="00EE2716"/>
    <w:rsid w:val="00EE6450"/>
    <w:rsid w:val="00F01C2C"/>
    <w:rsid w:val="00F044A2"/>
    <w:rsid w:val="00F10ED8"/>
    <w:rsid w:val="00F222BE"/>
    <w:rsid w:val="00F24179"/>
    <w:rsid w:val="00F301F1"/>
    <w:rsid w:val="00F304B2"/>
    <w:rsid w:val="00F30C22"/>
    <w:rsid w:val="00F33F1A"/>
    <w:rsid w:val="00F547F7"/>
    <w:rsid w:val="00F54CCF"/>
    <w:rsid w:val="00F61D7A"/>
    <w:rsid w:val="00F637B3"/>
    <w:rsid w:val="00F63F61"/>
    <w:rsid w:val="00F66CF7"/>
    <w:rsid w:val="00F67BCB"/>
    <w:rsid w:val="00F77C57"/>
    <w:rsid w:val="00F813C7"/>
    <w:rsid w:val="00F83566"/>
    <w:rsid w:val="00F83A9D"/>
    <w:rsid w:val="00F906B5"/>
    <w:rsid w:val="00F93784"/>
    <w:rsid w:val="00F971CC"/>
    <w:rsid w:val="00FA2CAA"/>
    <w:rsid w:val="00FA3DA1"/>
    <w:rsid w:val="00FA6554"/>
    <w:rsid w:val="00FE16C1"/>
    <w:rsid w:val="00FE19FF"/>
    <w:rsid w:val="00FE33A6"/>
    <w:rsid w:val="00FE5452"/>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55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Summary box,Table Gridbeth"/>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paragraph" w:customStyle="1" w:styleId="Heading10">
    <w:name w:val="Heading1"/>
    <w:rsid w:val="0026329D"/>
    <w:pPr>
      <w:spacing w:line="240" w:lineRule="auto"/>
    </w:pPr>
    <w:rPr>
      <w:rFonts w:ascii="Calibri" w:eastAsia="Calibri" w:hAnsi="Calibri" w:cs="Calibri"/>
      <w:b/>
      <w:bCs/>
      <w:color w:val="000000"/>
      <w:sz w:val="36"/>
      <w:szCs w:val="36"/>
      <w:u w:color="000000"/>
      <w:lang w:val="en-US" w:eastAsia="en-AU"/>
    </w:rPr>
  </w:style>
  <w:style w:type="character" w:customStyle="1" w:styleId="UnresolvedMention">
    <w:name w:val="Unresolved Mention"/>
    <w:basedOn w:val="DefaultParagraphFont"/>
    <w:uiPriority w:val="99"/>
    <w:semiHidden/>
    <w:unhideWhenUsed/>
    <w:rsid w:val="006A2AC0"/>
    <w:rPr>
      <w:color w:val="605E5C"/>
      <w:shd w:val="clear" w:color="auto" w:fill="E1DFDD"/>
    </w:rPr>
  </w:style>
  <w:style w:type="paragraph" w:styleId="FootnoteText">
    <w:name w:val="footnote text"/>
    <w:basedOn w:val="Normal"/>
    <w:link w:val="FootnoteTextChar"/>
    <w:uiPriority w:val="99"/>
    <w:semiHidden/>
    <w:unhideWhenUsed/>
    <w:rsid w:val="002F5350"/>
    <w:pPr>
      <w:spacing w:before="0" w:after="0"/>
    </w:pPr>
    <w:rPr>
      <w:szCs w:val="20"/>
    </w:rPr>
  </w:style>
  <w:style w:type="character" w:customStyle="1" w:styleId="FootnoteTextChar">
    <w:name w:val="Footnote Text Char"/>
    <w:basedOn w:val="DefaultParagraphFont"/>
    <w:link w:val="FootnoteText"/>
    <w:uiPriority w:val="99"/>
    <w:semiHidden/>
    <w:rsid w:val="002F5350"/>
    <w:rPr>
      <w:sz w:val="20"/>
      <w:szCs w:val="20"/>
    </w:rPr>
  </w:style>
  <w:style w:type="character" w:styleId="FootnoteReference">
    <w:name w:val="footnote reference"/>
    <w:basedOn w:val="DefaultParagraphFont"/>
    <w:semiHidden/>
    <w:unhideWhenUsed/>
    <w:rsid w:val="002F5350"/>
    <w:rPr>
      <w:vertAlign w:val="superscript"/>
    </w:rPr>
  </w:style>
  <w:style w:type="table" w:customStyle="1" w:styleId="TableGrid2">
    <w:name w:val="Table Grid2"/>
    <w:basedOn w:val="TableNormal"/>
    <w:next w:val="TableGrid"/>
    <w:uiPriority w:val="59"/>
    <w:rsid w:val="00653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91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E63FD1"/>
    <w:pPr>
      <w:spacing w:before="40" w:after="40"/>
    </w:pPr>
    <w:rPr>
      <w:rFonts w:ascii="Arial Narrow" w:eastAsia="Times New Roman" w:hAnsi="Arial Narrow" w:cs="Times New Roman"/>
      <w:szCs w:val="24"/>
    </w:rPr>
  </w:style>
  <w:style w:type="character" w:customStyle="1" w:styleId="TabletextChar">
    <w:name w:val="Table text Char"/>
    <w:basedOn w:val="DefaultParagraphFont"/>
    <w:link w:val="Tabletext"/>
    <w:rsid w:val="00E63FD1"/>
    <w:rPr>
      <w:rFonts w:ascii="Arial Narrow" w:eastAsia="Times New Roman" w:hAnsi="Arial Narrow" w:cs="Times New Roman"/>
      <w:sz w:val="20"/>
      <w:szCs w:val="24"/>
    </w:rPr>
  </w:style>
  <w:style w:type="paragraph" w:customStyle="1" w:styleId="Tabletextright">
    <w:name w:val="Table text right"/>
    <w:basedOn w:val="Normal"/>
    <w:link w:val="TabletextrightChar"/>
    <w:qFormat/>
    <w:rsid w:val="00E63FD1"/>
    <w:pPr>
      <w:keepNext/>
      <w:spacing w:before="0" w:after="0"/>
      <w:jc w:val="right"/>
    </w:pPr>
    <w:rPr>
      <w:rFonts w:ascii="Arial Narrow" w:eastAsia="Times New Roman" w:hAnsi="Arial Narrow" w:cs="Arial"/>
      <w:szCs w:val="20"/>
    </w:rPr>
  </w:style>
  <w:style w:type="character" w:customStyle="1" w:styleId="TabletextrightChar">
    <w:name w:val="Table text right Char"/>
    <w:basedOn w:val="DefaultParagraphFont"/>
    <w:link w:val="Tabletextright"/>
    <w:rsid w:val="00E63FD1"/>
    <w:rPr>
      <w:rFonts w:ascii="Arial Narrow" w:eastAsia="Times New Roman" w:hAnsi="Arial Narrow"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www.ncbi.nlm.nih.gov/pmc/articles/PMC6319796/" TargetMode="Externa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s://clinicaltrials.gov/ct2/show/NCT03359096?cond=CARDIOSA-12&amp;draw=2&amp;rank=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nejm.org/doi/full/10.1056/NEJMoa1308659" TargetMode="External"/><Relationship Id="rId25" Type="http://schemas.openxmlformats.org/officeDocument/2006/relationships/image" Target="media/image5.png"/><Relationship Id="rId33"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clinicaltrials.gov/ct2/show/NCT03760328?term=EFFECT+upper+airway+stimulation&amp;draw=2&amp;rank=1" TargetMode="External"/><Relationship Id="rId29" Type="http://schemas.openxmlformats.org/officeDocument/2006/relationships/hyperlink" Target="http://www9.health.gov.au/mbs/search.cfm?q=TN.8.2&amp;Submit=&amp;sop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4.png"/><Relationship Id="rId32" Type="http://schemas.openxmlformats.org/officeDocument/2006/relationships/hyperlink" Target="http://www9.health.gov.au/mbs/search.cfm?q=TN.8.2&amp;Submit=&amp;sopt=S"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hyperlink" Target="http://www9.health.gov.au/mbs/search.cfm?q=TN.8.2&amp;Submit=&amp;sopt=S" TargetMode="External"/><Relationship Id="rId10" Type="http://schemas.openxmlformats.org/officeDocument/2006/relationships/hyperlink" Target="http://www.msac.gov.au/" TargetMode="External"/><Relationship Id="rId19" Type="http://schemas.openxmlformats.org/officeDocument/2006/relationships/hyperlink" Target="https://www.ncbi.nlm.nih.gov/pmc/articles/PMC4402668/" TargetMode="External"/><Relationship Id="rId31" Type="http://schemas.openxmlformats.org/officeDocument/2006/relationships/hyperlink" Target="http://www9.health.gov.au/mbs/search.cfm?q=TN.8.2&amp;Submit=&amp;sopt=S" TargetMode="Externa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hyperlink" Target="http://www9.health.gov.au/mbs/search.cfm?q=TN.8.2&amp;Submit=&amp;sopt=S"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leep.org.au/common/Uploaded%20files/Public%20Files/Professional%20resources/Sleep%20Documents/ENT%20MSA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C4D02-B491-476E-8EFF-676EEE52E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7829</Words>
  <Characters>44630</Characters>
  <Application>Microsoft Office Word</Application>
  <DocSecurity>0</DocSecurity>
  <Lines>371</Lines>
  <Paragraphs>104</Paragraphs>
  <ScaleCrop>false</ScaleCrop>
  <Company/>
  <LinksUpToDate>false</LinksUpToDate>
  <CharactersWithSpaces>52355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2021-05-18T01:07:00Z</dcterms:created>
  <dcterms:modified xsi:type="dcterms:W3CDTF">2021-05-18T01:07:00Z</dcterms:modified>
</cp:coreProperties>
</file>