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C9BE2" w14:textId="77777777" w:rsidR="005E3CDE" w:rsidRDefault="005E3CDE" w:rsidP="005E3CDE">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r>
        <w:rPr>
          <w:rFonts w:ascii="Arial" w:hAnsi="Arial" w:cs="Arial"/>
          <w:b/>
          <w:bCs/>
          <w:color w:val="000080"/>
          <w:sz w:val="36"/>
          <w:szCs w:val="36"/>
        </w:rPr>
        <w:t>Medical Services Advisory Committee (MSAC)</w:t>
      </w:r>
      <w:r>
        <w:rPr>
          <w:rFonts w:ascii="Arial" w:hAnsi="Arial" w:cs="Arial"/>
          <w:b/>
          <w:bCs/>
          <w:color w:val="000080"/>
          <w:sz w:val="36"/>
          <w:szCs w:val="36"/>
        </w:rPr>
        <w:br/>
      </w:r>
      <w:r w:rsidRPr="00F76D74">
        <w:rPr>
          <w:rFonts w:ascii="Arial" w:hAnsi="Arial" w:cs="Arial"/>
          <w:b/>
          <w:bCs/>
          <w:color w:val="000080"/>
          <w:sz w:val="36"/>
          <w:szCs w:val="36"/>
        </w:rPr>
        <w:t>Public Summary Document</w:t>
      </w:r>
    </w:p>
    <w:p w14:paraId="2012B462" w14:textId="77777777" w:rsidR="009C6639" w:rsidRPr="0044058B" w:rsidRDefault="009C6639" w:rsidP="009C6639">
      <w:pPr>
        <w:pStyle w:val="NormalWeb"/>
        <w:spacing w:after="0"/>
        <w:jc w:val="center"/>
        <w:rPr>
          <w:rFonts w:ascii="Arial" w:hAnsi="Arial" w:cs="Arial"/>
          <w:b/>
          <w:bCs/>
          <w:i/>
          <w:color w:val="000080"/>
          <w:sz w:val="28"/>
          <w:szCs w:val="28"/>
        </w:rPr>
      </w:pPr>
      <w:r w:rsidRPr="0044058B">
        <w:rPr>
          <w:rFonts w:ascii="Arial" w:hAnsi="Arial" w:cs="Arial"/>
          <w:b/>
          <w:bCs/>
          <w:i/>
          <w:color w:val="000080"/>
          <w:sz w:val="28"/>
          <w:szCs w:val="28"/>
        </w:rPr>
        <w:t xml:space="preserve">Application No. </w:t>
      </w:r>
      <w:r w:rsidRPr="00017D93">
        <w:rPr>
          <w:rFonts w:ascii="Arial" w:hAnsi="Arial" w:cs="Arial"/>
          <w:b/>
          <w:bCs/>
          <w:i/>
          <w:color w:val="000080"/>
          <w:sz w:val="28"/>
          <w:szCs w:val="28"/>
        </w:rPr>
        <w:t xml:space="preserve">1662.2 – The reduction of mitral regurgitation through tissue approximation using transvenous/transeptal </w:t>
      </w:r>
      <w:proofErr w:type="gramStart"/>
      <w:r w:rsidRPr="00017D93">
        <w:rPr>
          <w:rFonts w:ascii="Arial" w:hAnsi="Arial" w:cs="Arial"/>
          <w:b/>
          <w:bCs/>
          <w:i/>
          <w:color w:val="000080"/>
          <w:sz w:val="28"/>
          <w:szCs w:val="28"/>
        </w:rPr>
        <w:t>techniques</w:t>
      </w:r>
      <w:proofErr w:type="gramEnd"/>
    </w:p>
    <w:p w14:paraId="089ED817" w14:textId="19A89B33" w:rsidR="009C6639" w:rsidRPr="0044058B" w:rsidRDefault="009C6639" w:rsidP="009C6639">
      <w:pPr>
        <w:tabs>
          <w:tab w:val="left" w:pos="3686"/>
        </w:tabs>
        <w:spacing w:line="256" w:lineRule="auto"/>
        <w:rPr>
          <w:rFonts w:ascii="Arial" w:eastAsia="Calibri" w:hAnsi="Arial" w:cs="Arial"/>
          <w:b/>
          <w:szCs w:val="24"/>
        </w:rPr>
      </w:pPr>
      <w:r w:rsidRPr="0044058B">
        <w:rPr>
          <w:rFonts w:ascii="Arial" w:eastAsia="Calibri" w:hAnsi="Arial" w:cs="Arial"/>
          <w:b/>
          <w:szCs w:val="24"/>
        </w:rPr>
        <w:t>Applicant:</w:t>
      </w:r>
      <w:r w:rsidRPr="0044058B">
        <w:rPr>
          <w:rFonts w:ascii="Arial" w:eastAsia="Calibri" w:hAnsi="Arial" w:cs="Arial"/>
          <w:b/>
          <w:szCs w:val="24"/>
        </w:rPr>
        <w:tab/>
      </w:r>
      <w:r>
        <w:rPr>
          <w:rFonts w:ascii="Arial" w:eastAsia="Calibri" w:hAnsi="Arial" w:cs="Arial"/>
          <w:b/>
          <w:szCs w:val="24"/>
        </w:rPr>
        <w:t xml:space="preserve">Edwards Lifesciences </w:t>
      </w:r>
      <w:r w:rsidR="005E3CDE">
        <w:rPr>
          <w:rFonts w:ascii="Arial" w:eastAsia="Calibri" w:hAnsi="Arial" w:cs="Arial"/>
          <w:b/>
          <w:szCs w:val="24"/>
        </w:rPr>
        <w:t>Pty Limited</w:t>
      </w:r>
    </w:p>
    <w:p w14:paraId="50D49E94" w14:textId="4880F543" w:rsidR="009C6639" w:rsidRPr="00913AD6" w:rsidRDefault="009C6639" w:rsidP="009C6639">
      <w:pPr>
        <w:tabs>
          <w:tab w:val="left" w:pos="3686"/>
        </w:tabs>
        <w:spacing w:after="360"/>
        <w:rPr>
          <w:rFonts w:ascii="Arial" w:eastAsia="Calibri" w:hAnsi="Arial" w:cs="Arial"/>
          <w:b/>
          <w:szCs w:val="24"/>
        </w:rPr>
      </w:pPr>
      <w:r w:rsidRPr="002C0248">
        <w:rPr>
          <w:rFonts w:ascii="Arial" w:eastAsia="Calibri" w:hAnsi="Arial" w:cs="Arial"/>
          <w:b/>
          <w:szCs w:val="24"/>
        </w:rPr>
        <w:t xml:space="preserve">Date of </w:t>
      </w:r>
      <w:r w:rsidR="005E3CDE">
        <w:rPr>
          <w:rFonts w:ascii="Arial" w:eastAsia="Calibri" w:hAnsi="Arial" w:cs="Arial"/>
          <w:b/>
          <w:szCs w:val="24"/>
        </w:rPr>
        <w:t>MSAC</w:t>
      </w:r>
      <w:r w:rsidRPr="002C0248">
        <w:rPr>
          <w:rFonts w:ascii="Arial" w:eastAsia="Calibri" w:hAnsi="Arial" w:cs="Arial"/>
          <w:b/>
          <w:szCs w:val="24"/>
        </w:rPr>
        <w:t xml:space="preserve"> consideration:</w:t>
      </w:r>
      <w:r w:rsidRPr="002C0248">
        <w:rPr>
          <w:rFonts w:ascii="Arial" w:eastAsia="Calibri" w:hAnsi="Arial" w:cs="Arial"/>
          <w:b/>
          <w:szCs w:val="24"/>
        </w:rPr>
        <w:tab/>
      </w:r>
      <w:r w:rsidR="005E3CDE">
        <w:rPr>
          <w:rFonts w:ascii="Arial" w:eastAsia="Calibri" w:hAnsi="Arial" w:cs="Arial"/>
          <w:b/>
          <w:szCs w:val="24"/>
        </w:rPr>
        <w:t>4-5 April</w:t>
      </w:r>
      <w:r w:rsidRPr="00C26F2E">
        <w:rPr>
          <w:rFonts w:ascii="Arial" w:eastAsia="Calibri" w:hAnsi="Arial" w:cs="Arial"/>
          <w:b/>
          <w:szCs w:val="24"/>
        </w:rPr>
        <w:t xml:space="preserve"> 2024</w:t>
      </w:r>
    </w:p>
    <w:p w14:paraId="160E375F" w14:textId="77777777" w:rsidR="005E3CDE" w:rsidRPr="00415A9B" w:rsidRDefault="005E3CDE" w:rsidP="005E3CDE">
      <w:pPr>
        <w:spacing w:after="24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77335A16" w:rsidR="00772829" w:rsidRPr="00CE28E3" w:rsidRDefault="00C36633" w:rsidP="00C36633">
      <w:pPr>
        <w:pStyle w:val="Heading2"/>
        <w:numPr>
          <w:ilvl w:val="0"/>
          <w:numId w:val="0"/>
        </w:numPr>
      </w:pPr>
      <w:bookmarkStart w:id="0" w:name="_Toc69491415"/>
      <w:r>
        <w:t>1.</w:t>
      </w:r>
      <w:r>
        <w:tab/>
      </w:r>
      <w:r w:rsidR="00772829" w:rsidRPr="00CE28E3">
        <w:t xml:space="preserve">Purpose </w:t>
      </w:r>
      <w:r w:rsidR="00772829" w:rsidRPr="00CE28E3">
        <w:rPr>
          <w:szCs w:val="32"/>
        </w:rPr>
        <w:t>of</w:t>
      </w:r>
      <w:r w:rsidR="00772829" w:rsidRPr="00CE28E3">
        <w:t xml:space="preserve"> application</w:t>
      </w:r>
      <w:bookmarkEnd w:id="0"/>
    </w:p>
    <w:p w14:paraId="71B2F64A" w14:textId="3EAF9857" w:rsidR="00BB7F4A" w:rsidRDefault="00BB7F4A" w:rsidP="00BB7F4A">
      <w:pPr>
        <w:spacing w:after="240" w:line="240" w:lineRule="auto"/>
        <w:rPr>
          <w:iCs/>
          <w:szCs w:val="24"/>
        </w:rPr>
      </w:pPr>
      <w:bookmarkStart w:id="1" w:name="_Hlk69734469"/>
      <w:r w:rsidRPr="00BB7F4A">
        <w:rPr>
          <w:iCs/>
          <w:szCs w:val="24"/>
        </w:rPr>
        <w:t>An application requesting Medicare Benefits Schedule (MBS) listing for transcatheter mitral valve repair (</w:t>
      </w:r>
      <w:proofErr w:type="spellStart"/>
      <w:r w:rsidRPr="00BB7F4A">
        <w:rPr>
          <w:iCs/>
          <w:szCs w:val="24"/>
        </w:rPr>
        <w:t>TMVr</w:t>
      </w:r>
      <w:proofErr w:type="spellEnd"/>
      <w:r w:rsidRPr="00BB7F4A">
        <w:rPr>
          <w:iCs/>
          <w:szCs w:val="24"/>
        </w:rPr>
        <w:t>) using the PASCAL Transcatheter Valve Repair System (PASCAL) for the treatment of degenerative mitral regurgitation (DMR) was received from Edwards Lifesciences by the Department of Health and Age Care.</w:t>
      </w:r>
    </w:p>
    <w:p w14:paraId="55B05613" w14:textId="77777777" w:rsidR="005E3CDE" w:rsidRDefault="005E3CDE" w:rsidP="005E3CDE">
      <w:pPr>
        <w:pStyle w:val="Heading2"/>
        <w:numPr>
          <w:ilvl w:val="0"/>
          <w:numId w:val="0"/>
        </w:numPr>
      </w:pPr>
      <w:r>
        <w:t>2.</w:t>
      </w:r>
      <w:r>
        <w:tab/>
        <w:t>MSAC’s advice to the Minister</w:t>
      </w:r>
    </w:p>
    <w:p w14:paraId="18A32015" w14:textId="62FAE37A" w:rsidR="00575A21" w:rsidRDefault="005E3CDE" w:rsidP="00575A21">
      <w:pPr>
        <w:spacing w:after="240"/>
        <w:rPr>
          <w:rFonts w:eastAsia="Calibri" w:cs="Times New Roman"/>
          <w:lang w:val="en-US"/>
        </w:rPr>
      </w:pPr>
      <w:r w:rsidRPr="0C51D1D8">
        <w:t xml:space="preserve">After considering the strength of the available evidence in relation to comparative safety, clinical effectiveness, </w:t>
      </w:r>
      <w:proofErr w:type="gramStart"/>
      <w:r w:rsidRPr="0C51D1D8">
        <w:t>cost-effectiveness</w:t>
      </w:r>
      <w:proofErr w:type="gramEnd"/>
      <w:r w:rsidRPr="0C51D1D8">
        <w:t xml:space="preserve"> and total cost, </w:t>
      </w:r>
      <w:bookmarkStart w:id="2" w:name="_Hlk167095357"/>
      <w:r w:rsidR="00773A76">
        <w:rPr>
          <w:rStyle w:val="normaltextrun"/>
          <w:color w:val="000000"/>
          <w:shd w:val="clear" w:color="auto" w:fill="FFFFFF"/>
        </w:rPr>
        <w:t>MSAC supported the amendment of Medicare Benefits Schedule (MBS) item 38461 for transcatheter mitral valve repair (</w:t>
      </w:r>
      <w:proofErr w:type="spellStart"/>
      <w:r w:rsidR="00773A76">
        <w:rPr>
          <w:rStyle w:val="normaltextrun"/>
          <w:color w:val="000000"/>
          <w:shd w:val="clear" w:color="auto" w:fill="FFFFFF"/>
        </w:rPr>
        <w:t>TMVr</w:t>
      </w:r>
      <w:proofErr w:type="spellEnd"/>
      <w:r w:rsidR="00773A76">
        <w:rPr>
          <w:rStyle w:val="normaltextrun"/>
          <w:color w:val="000000"/>
          <w:shd w:val="clear" w:color="auto" w:fill="FFFFFF"/>
        </w:rPr>
        <w:t xml:space="preserve">) by transvenous or transeptal techniques to be device agnostic for the treatment of degenerative mitral regurgitation (DMR). </w:t>
      </w:r>
      <w:bookmarkEnd w:id="2"/>
      <w:r w:rsidR="00773A76">
        <w:rPr>
          <w:rStyle w:val="normaltextrun"/>
          <w:color w:val="000000"/>
          <w:shd w:val="clear" w:color="auto" w:fill="FFFFFF"/>
        </w:rPr>
        <w:t xml:space="preserve">MSAC accepted the high certainty evidence that </w:t>
      </w:r>
      <w:proofErr w:type="spellStart"/>
      <w:r w:rsidR="00773A76">
        <w:rPr>
          <w:rStyle w:val="normaltextrun"/>
          <w:color w:val="000000"/>
          <w:shd w:val="clear" w:color="auto" w:fill="FFFFFF"/>
        </w:rPr>
        <w:t>TMVr</w:t>
      </w:r>
      <w:proofErr w:type="spellEnd"/>
      <w:r w:rsidR="00773A76">
        <w:rPr>
          <w:rStyle w:val="normaltextrun"/>
          <w:color w:val="000000"/>
          <w:shd w:val="clear" w:color="auto" w:fill="FFFFFF"/>
        </w:rPr>
        <w:t xml:space="preserve"> using the PASCAL Transcatheter Valve Repair System™ had non</w:t>
      </w:r>
      <w:r w:rsidR="00501479">
        <w:rPr>
          <w:rStyle w:val="normaltextrun"/>
          <w:color w:val="000000"/>
          <w:shd w:val="clear" w:color="auto" w:fill="FFFFFF"/>
        </w:rPr>
        <w:t>-</w:t>
      </w:r>
      <w:r w:rsidR="00773A76">
        <w:rPr>
          <w:rStyle w:val="normaltextrun"/>
          <w:color w:val="000000"/>
          <w:shd w:val="clear" w:color="auto" w:fill="FFFFFF"/>
        </w:rPr>
        <w:t xml:space="preserve">inferior effectiveness and safety compared with </w:t>
      </w:r>
      <w:proofErr w:type="spellStart"/>
      <w:r w:rsidR="00773A76">
        <w:rPr>
          <w:rStyle w:val="normaltextrun"/>
          <w:color w:val="000000"/>
          <w:shd w:val="clear" w:color="auto" w:fill="FFFFFF"/>
        </w:rPr>
        <w:t>Mitraclip</w:t>
      </w:r>
      <w:proofErr w:type="spellEnd"/>
      <w:r w:rsidR="00773A76">
        <w:rPr>
          <w:rStyle w:val="normaltextrun"/>
          <w:color w:val="000000"/>
          <w:shd w:val="clear" w:color="auto" w:fill="FFFFFF"/>
        </w:rPr>
        <w:t>™</w:t>
      </w:r>
      <w:r w:rsidR="00066DD8" w:rsidRPr="0C51D1D8">
        <w:rPr>
          <w:rStyle w:val="normaltextrun"/>
          <w:color w:val="000000" w:themeColor="text1"/>
        </w:rPr>
        <w:t xml:space="preserve">, </w:t>
      </w:r>
      <w:r w:rsidR="00355CB9" w:rsidRPr="0C51D1D8">
        <w:rPr>
          <w:rStyle w:val="normaltextrun"/>
          <w:color w:val="000000" w:themeColor="text1"/>
        </w:rPr>
        <w:t xml:space="preserve">which is currently </w:t>
      </w:r>
      <w:r w:rsidR="00143F4B" w:rsidRPr="0C51D1D8">
        <w:rPr>
          <w:rStyle w:val="normaltextrun"/>
          <w:color w:val="000000" w:themeColor="text1"/>
        </w:rPr>
        <w:t>lis</w:t>
      </w:r>
      <w:r w:rsidR="00B47FE9" w:rsidRPr="0C51D1D8">
        <w:rPr>
          <w:rStyle w:val="normaltextrun"/>
          <w:color w:val="000000" w:themeColor="text1"/>
        </w:rPr>
        <w:t xml:space="preserve">ted for </w:t>
      </w:r>
      <w:proofErr w:type="spellStart"/>
      <w:r w:rsidR="00B47FE9" w:rsidRPr="0C51D1D8">
        <w:rPr>
          <w:rStyle w:val="normaltextrun"/>
          <w:color w:val="000000" w:themeColor="text1"/>
        </w:rPr>
        <w:t>TMVr</w:t>
      </w:r>
      <w:proofErr w:type="spellEnd"/>
      <w:r w:rsidR="00B47FE9" w:rsidRPr="0C51D1D8">
        <w:rPr>
          <w:rStyle w:val="normaltextrun"/>
          <w:color w:val="000000" w:themeColor="text1"/>
        </w:rPr>
        <w:t xml:space="preserve"> under MBS</w:t>
      </w:r>
      <w:r w:rsidR="00355CB9" w:rsidRPr="0C51D1D8">
        <w:rPr>
          <w:rStyle w:val="normaltextrun"/>
          <w:color w:val="000000" w:themeColor="text1"/>
        </w:rPr>
        <w:t xml:space="preserve"> item 38461</w:t>
      </w:r>
      <w:r w:rsidR="00773A76">
        <w:rPr>
          <w:rStyle w:val="normaltextrun"/>
          <w:color w:val="000000"/>
          <w:shd w:val="clear" w:color="auto" w:fill="FFFFFF"/>
        </w:rPr>
        <w:t xml:space="preserve">. MSAC noted there was no evidence presented in the current application to support unmet need given there is a predicate device, rather MSAC considered that the PASCAL device may provide clinicians with another option for treatment.  MSAC noted the cost minimisation model assumed the procedural and device costs to be equivalent for PASCAL and </w:t>
      </w:r>
      <w:proofErr w:type="spellStart"/>
      <w:r w:rsidR="00773A76">
        <w:rPr>
          <w:rStyle w:val="normaltextrun"/>
          <w:color w:val="000000"/>
          <w:shd w:val="clear" w:color="auto" w:fill="FFFFFF"/>
        </w:rPr>
        <w:t>MitraClip</w:t>
      </w:r>
      <w:proofErr w:type="spellEnd"/>
      <w:r w:rsidR="00773A76">
        <w:rPr>
          <w:rStyle w:val="normaltextrun"/>
          <w:color w:val="000000"/>
          <w:shd w:val="clear" w:color="auto" w:fill="FFFFFF"/>
        </w:rPr>
        <w:t xml:space="preserve"> and on this basis, and no increased utilisation, considered the PASCAL device should be cost neutral.</w:t>
      </w:r>
    </w:p>
    <w:p w14:paraId="20CF17E5" w14:textId="5C3E7746" w:rsidR="000F1F46" w:rsidRPr="00311B70" w:rsidRDefault="000F1F46" w:rsidP="00BE3DF3">
      <w:pPr>
        <w:spacing w:after="240"/>
        <w:rPr>
          <w:rFonts w:eastAsia="Calibri" w:cs="Times New Roman"/>
          <w:lang w:val="en-US"/>
        </w:rPr>
      </w:pPr>
      <w:r w:rsidRPr="00311B70">
        <w:rPr>
          <w:rFonts w:eastAsia="Calibri" w:cs="Times New Roman"/>
          <w:lang w:val="en-US"/>
        </w:rPr>
        <w:t xml:space="preserve">MSAC </w:t>
      </w:r>
      <w:r w:rsidR="0092525A">
        <w:rPr>
          <w:rFonts w:eastAsia="Calibri" w:cs="Times New Roman"/>
          <w:lang w:val="en-US"/>
        </w:rPr>
        <w:t>supported</w:t>
      </w:r>
      <w:r w:rsidR="0092525A" w:rsidRPr="00311B70">
        <w:rPr>
          <w:rFonts w:eastAsia="Calibri" w:cs="Times New Roman"/>
          <w:lang w:val="en-US"/>
        </w:rPr>
        <w:t xml:space="preserve"> </w:t>
      </w:r>
      <w:r w:rsidRPr="00311B70">
        <w:rPr>
          <w:rFonts w:eastAsia="Calibri" w:cs="Times New Roman"/>
          <w:lang w:val="en-US"/>
        </w:rPr>
        <w:t>the following MBS item descriptor</w:t>
      </w:r>
      <w:r w:rsidR="00783A97">
        <w:rPr>
          <w:rFonts w:eastAsia="Calibri" w:cs="Times New Roman"/>
          <w:lang w:val="en-US"/>
        </w:rPr>
        <w:t xml:space="preserve"> (amendment in strikethrough)</w:t>
      </w:r>
      <w:r w:rsidRPr="00311B70">
        <w:rPr>
          <w:rFonts w:eastAsia="Calibri" w:cs="Times New Roman"/>
          <w:lang w:val="en-US"/>
        </w:rPr>
        <w:t>:</w:t>
      </w:r>
    </w:p>
    <w:tbl>
      <w:tblPr>
        <w:tblStyle w:val="LashStyleTable21"/>
        <w:tblW w:w="0" w:type="auto"/>
        <w:tblInd w:w="0" w:type="dxa"/>
        <w:tblLook w:val="04A0" w:firstRow="1" w:lastRow="0" w:firstColumn="1" w:lastColumn="0" w:noHBand="0" w:noVBand="1"/>
        <w:tblCaption w:val="Proposed item descriptor for diagnostic testing"/>
        <w:tblDescription w:val="Proposed item descriptor for diagnostic testing"/>
      </w:tblPr>
      <w:tblGrid>
        <w:gridCol w:w="9016"/>
      </w:tblGrid>
      <w:tr w:rsidR="000F1F46" w:rsidRPr="00311B70" w14:paraId="460ACD6C" w14:textId="77777777">
        <w:trPr>
          <w:cnfStyle w:val="100000000000" w:firstRow="1" w:lastRow="0" w:firstColumn="0" w:lastColumn="0" w:oddVBand="0" w:evenVBand="0" w:oddHBand="0" w:evenHBand="0" w:firstRowFirstColumn="0" w:firstRowLastColumn="0" w:lastRowFirstColumn="0" w:lastRowLastColumn="0"/>
          <w:cantSplit/>
          <w:trHeight w:val="350"/>
          <w:tblHeader/>
        </w:trPr>
        <w:tc>
          <w:tcPr>
            <w:tcW w:w="9016" w:type="dxa"/>
            <w:tcBorders>
              <w:top w:val="single" w:sz="4" w:space="0" w:color="auto"/>
              <w:left w:val="single" w:sz="4" w:space="0" w:color="auto"/>
              <w:bottom w:val="single" w:sz="4" w:space="0" w:color="auto"/>
              <w:right w:val="single" w:sz="4" w:space="0" w:color="auto"/>
            </w:tcBorders>
            <w:hideMark/>
          </w:tcPr>
          <w:p w14:paraId="43D463F0" w14:textId="77777777" w:rsidR="000F1F46" w:rsidRPr="00311B70" w:rsidRDefault="000F1F46">
            <w:pPr>
              <w:spacing w:before="40" w:after="40"/>
              <w:jc w:val="both"/>
              <w:rPr>
                <w:rFonts w:ascii="Arial Narrow" w:eastAsia="Calibri" w:hAnsi="Arial Narrow" w:cs="Tahoma" w:hint="default"/>
              </w:rPr>
            </w:pPr>
            <w:r w:rsidRPr="00311B70">
              <w:rPr>
                <w:rFonts w:ascii="Arial Narrow" w:eastAsia="Calibri" w:hAnsi="Arial Narrow" w:cs="Tahoma" w:hint="default"/>
              </w:rPr>
              <w:lastRenderedPageBreak/>
              <w:t>Category 3 - Therapeutic Procedures</w:t>
            </w:r>
          </w:p>
        </w:tc>
      </w:tr>
      <w:tr w:rsidR="000F1F46" w:rsidRPr="00311B70" w14:paraId="482701D3" w14:textId="77777777">
        <w:trPr>
          <w:cantSplit/>
        </w:trPr>
        <w:tc>
          <w:tcPr>
            <w:tcW w:w="9016" w:type="dxa"/>
            <w:tcBorders>
              <w:top w:val="single" w:sz="4" w:space="0" w:color="auto"/>
              <w:left w:val="single" w:sz="4" w:space="0" w:color="auto"/>
              <w:bottom w:val="single" w:sz="4" w:space="0" w:color="auto"/>
              <w:right w:val="single" w:sz="4" w:space="0" w:color="auto"/>
            </w:tcBorders>
          </w:tcPr>
          <w:p w14:paraId="27777CE8" w14:textId="77777777" w:rsidR="000F1F46" w:rsidRPr="00311B70" w:rsidRDefault="000F1F46">
            <w:pPr>
              <w:spacing w:before="40" w:after="40"/>
              <w:jc w:val="both"/>
              <w:rPr>
                <w:rFonts w:ascii="Arial Narrow" w:eastAsia="Calibri" w:hAnsi="Arial Narrow" w:cs="Tahoma"/>
                <w:bCs/>
                <w:szCs w:val="20"/>
                <w:lang w:val="en-US" w:eastAsia="ja-JP"/>
              </w:rPr>
            </w:pPr>
            <w:r w:rsidRPr="00311B70">
              <w:rPr>
                <w:rFonts w:ascii="Arial Narrow" w:eastAsia="Calibri" w:hAnsi="Arial Narrow" w:cs="Tahoma"/>
                <w:bCs/>
                <w:szCs w:val="20"/>
                <w:lang w:val="en-US" w:eastAsia="ja-JP"/>
              </w:rPr>
              <w:t>MBS item 38461</w:t>
            </w:r>
          </w:p>
          <w:p w14:paraId="2DFF8D80" w14:textId="77777777" w:rsidR="000F1F46" w:rsidRPr="00311B70" w:rsidRDefault="000F1F46">
            <w:pPr>
              <w:spacing w:before="40" w:after="40"/>
              <w:jc w:val="both"/>
              <w:rPr>
                <w:rFonts w:ascii="Arial Narrow" w:eastAsia="Calibri" w:hAnsi="Arial Narrow" w:cs="Tahoma"/>
                <w:szCs w:val="20"/>
                <w:lang w:val="en-US" w:eastAsia="ja-JP"/>
              </w:rPr>
            </w:pPr>
          </w:p>
          <w:p w14:paraId="3FE42A56" w14:textId="1094AE07" w:rsidR="000F1F46" w:rsidRPr="00311B70" w:rsidRDefault="000F1F46">
            <w:pPr>
              <w:spacing w:before="40" w:after="40"/>
              <w:jc w:val="both"/>
              <w:rPr>
                <w:rFonts w:ascii="Arial Narrow" w:eastAsia="Times New Roman" w:hAnsi="Arial Narrow" w:cs="Tahoma"/>
                <w:szCs w:val="20"/>
              </w:rPr>
            </w:pPr>
            <w:proofErr w:type="spellStart"/>
            <w:r w:rsidRPr="00311B70">
              <w:rPr>
                <w:rFonts w:ascii="Arial Narrow" w:eastAsia="Times New Roman" w:hAnsi="Arial Narrow" w:cs="Tahoma"/>
                <w:szCs w:val="20"/>
              </w:rPr>
              <w:t>TMVr</w:t>
            </w:r>
            <w:proofErr w:type="spellEnd"/>
            <w:r w:rsidRPr="00311B70">
              <w:rPr>
                <w:rFonts w:ascii="Arial Narrow" w:eastAsia="Times New Roman" w:hAnsi="Arial Narrow" w:cs="Tahoma"/>
                <w:szCs w:val="20"/>
              </w:rPr>
              <w:t>, by transvenous or transeptal techniques, for permanent coaptation of mitral valve leaflets using one or more</w:t>
            </w:r>
            <w:r>
              <w:rPr>
                <w:rFonts w:ascii="Arial Narrow" w:eastAsia="Times New Roman" w:hAnsi="Arial Narrow" w:cs="Tahoma"/>
                <w:szCs w:val="20"/>
              </w:rPr>
              <w:t xml:space="preserve"> </w:t>
            </w:r>
            <w:proofErr w:type="spellStart"/>
            <w:r w:rsidRPr="00D32A98">
              <w:rPr>
                <w:rFonts w:ascii="Arial Narrow" w:eastAsia="Times New Roman" w:hAnsi="Arial Narrow" w:cs="Tahoma"/>
                <w:strike/>
                <w:szCs w:val="20"/>
              </w:rPr>
              <w:t>MitraClip</w:t>
            </w:r>
            <w:r w:rsidRPr="00D32A98">
              <w:rPr>
                <w:rFonts w:ascii="Arial Narrow" w:eastAsia="Times New Roman" w:hAnsi="Arial Narrow" w:cs="Tahoma"/>
                <w:strike/>
                <w:szCs w:val="20"/>
                <w:vertAlign w:val="superscript"/>
              </w:rPr>
              <w:t>TM</w:t>
            </w:r>
            <w:proofErr w:type="spellEnd"/>
            <w:r>
              <w:rPr>
                <w:rFonts w:ascii="Arial Narrow" w:eastAsia="Times New Roman" w:hAnsi="Arial Narrow" w:cs="Tahoma"/>
                <w:strike/>
                <w:szCs w:val="20"/>
              </w:rPr>
              <w:t xml:space="preserve"> </w:t>
            </w:r>
            <w:r w:rsidRPr="00311B70">
              <w:rPr>
                <w:rFonts w:ascii="Arial Narrow" w:eastAsia="Times New Roman" w:hAnsi="Arial Narrow" w:cs="Tahoma"/>
                <w:szCs w:val="20"/>
              </w:rPr>
              <w:t>tissue approximation implants, including intra</w:t>
            </w:r>
            <w:r w:rsidRPr="00311B70">
              <w:rPr>
                <w:rFonts w:ascii="Times New Roman" w:eastAsia="Times New Roman" w:hAnsi="Times New Roman" w:cs="Tahoma"/>
                <w:szCs w:val="20"/>
              </w:rPr>
              <w:noBreakHyphen/>
            </w:r>
            <w:r w:rsidRPr="00311B70">
              <w:rPr>
                <w:rFonts w:ascii="Arial Narrow" w:eastAsia="Times New Roman" w:hAnsi="Arial Narrow" w:cs="Tahoma"/>
                <w:szCs w:val="20"/>
              </w:rPr>
              <w:t>operative diagnostic imaging, if:</w:t>
            </w:r>
          </w:p>
          <w:p w14:paraId="2F38FFFB" w14:textId="77777777" w:rsidR="000F1F46" w:rsidRPr="00311B70" w:rsidRDefault="000F1F46">
            <w:pPr>
              <w:numPr>
                <w:ilvl w:val="0"/>
                <w:numId w:val="29"/>
              </w:numPr>
              <w:spacing w:before="40" w:after="40"/>
              <w:ind w:left="471"/>
              <w:jc w:val="both"/>
              <w:rPr>
                <w:rFonts w:ascii="Arial Narrow" w:eastAsia="Calibri" w:hAnsi="Arial Narrow" w:cs="Tahoma"/>
                <w:szCs w:val="20"/>
              </w:rPr>
            </w:pPr>
            <w:r w:rsidRPr="00311B70">
              <w:rPr>
                <w:rFonts w:ascii="Arial Narrow" w:eastAsia="Calibri" w:hAnsi="Arial Narrow" w:cs="Tahoma"/>
                <w:szCs w:val="20"/>
              </w:rPr>
              <w:t>the patient has each of the following risk factors:</w:t>
            </w:r>
          </w:p>
          <w:p w14:paraId="38C118C0" w14:textId="77777777" w:rsidR="000F1F46" w:rsidRPr="00311B70" w:rsidRDefault="000F1F46">
            <w:pPr>
              <w:numPr>
                <w:ilvl w:val="0"/>
                <w:numId w:val="30"/>
              </w:numPr>
              <w:spacing w:before="40" w:after="40"/>
              <w:jc w:val="both"/>
              <w:rPr>
                <w:rFonts w:ascii="Arial Narrow" w:eastAsia="Calibri" w:hAnsi="Arial Narrow" w:cs="Tahoma"/>
                <w:szCs w:val="20"/>
              </w:rPr>
            </w:pPr>
            <w:r w:rsidRPr="00311B70">
              <w:rPr>
                <w:rFonts w:ascii="Arial Narrow" w:eastAsia="Calibri" w:hAnsi="Arial Narrow" w:cs="Tahoma"/>
                <w:szCs w:val="20"/>
              </w:rPr>
              <w:t>moderate to severe, or severe, symptomatic degenerative (primary) mitral valve regurgitation (grade 3+ or 4+</w:t>
            </w:r>
            <w:proofErr w:type="gramStart"/>
            <w:r w:rsidRPr="00311B70">
              <w:rPr>
                <w:rFonts w:ascii="Arial Narrow" w:eastAsia="Calibri" w:hAnsi="Arial Narrow" w:cs="Tahoma"/>
                <w:szCs w:val="20"/>
              </w:rPr>
              <w:t>);</w:t>
            </w:r>
            <w:proofErr w:type="gramEnd"/>
          </w:p>
          <w:p w14:paraId="62DF4C0C" w14:textId="77777777" w:rsidR="000F1F46" w:rsidRPr="00311B70" w:rsidRDefault="000F1F46">
            <w:pPr>
              <w:numPr>
                <w:ilvl w:val="0"/>
                <w:numId w:val="30"/>
              </w:numPr>
              <w:spacing w:before="40" w:after="40"/>
              <w:jc w:val="both"/>
              <w:rPr>
                <w:rFonts w:ascii="Arial Narrow" w:eastAsia="Calibri" w:hAnsi="Arial Narrow" w:cs="Tahoma"/>
                <w:szCs w:val="20"/>
              </w:rPr>
            </w:pPr>
            <w:r w:rsidRPr="00311B70">
              <w:rPr>
                <w:rFonts w:ascii="Arial Narrow" w:eastAsia="Calibri" w:hAnsi="Arial Narrow" w:cs="Tahoma"/>
                <w:szCs w:val="20"/>
              </w:rPr>
              <w:t xml:space="preserve">left ventricular ejection fraction of 20% or </w:t>
            </w:r>
            <w:proofErr w:type="gramStart"/>
            <w:r w:rsidRPr="00311B70">
              <w:rPr>
                <w:rFonts w:ascii="Arial Narrow" w:eastAsia="Calibri" w:hAnsi="Arial Narrow" w:cs="Tahoma"/>
                <w:szCs w:val="20"/>
              </w:rPr>
              <w:t>more;</w:t>
            </w:r>
            <w:proofErr w:type="gramEnd"/>
          </w:p>
          <w:p w14:paraId="2B756172" w14:textId="77777777" w:rsidR="000F1F46" w:rsidRPr="00311B70" w:rsidRDefault="000F1F46">
            <w:pPr>
              <w:numPr>
                <w:ilvl w:val="0"/>
                <w:numId w:val="30"/>
              </w:numPr>
              <w:spacing w:before="40" w:after="40"/>
              <w:jc w:val="both"/>
              <w:rPr>
                <w:rFonts w:ascii="Arial Narrow" w:eastAsia="Calibri" w:hAnsi="Arial Narrow" w:cs="Tahoma"/>
                <w:szCs w:val="20"/>
              </w:rPr>
            </w:pPr>
            <w:r w:rsidRPr="00311B70">
              <w:rPr>
                <w:rFonts w:ascii="Arial Narrow" w:eastAsia="Calibri" w:hAnsi="Arial Narrow" w:cs="Tahoma"/>
                <w:szCs w:val="20"/>
              </w:rPr>
              <w:t xml:space="preserve">symptoms of mild, </w:t>
            </w:r>
            <w:proofErr w:type="gramStart"/>
            <w:r w:rsidRPr="00311B70">
              <w:rPr>
                <w:rFonts w:ascii="Arial Narrow" w:eastAsia="Calibri" w:hAnsi="Arial Narrow" w:cs="Tahoma"/>
                <w:szCs w:val="20"/>
              </w:rPr>
              <w:t>moderate</w:t>
            </w:r>
            <w:proofErr w:type="gramEnd"/>
            <w:r w:rsidRPr="00311B70">
              <w:rPr>
                <w:rFonts w:ascii="Arial Narrow" w:eastAsia="Calibri" w:hAnsi="Arial Narrow" w:cs="Tahoma"/>
                <w:szCs w:val="20"/>
              </w:rPr>
              <w:t xml:space="preserve"> or severe chronic heart failure (New York Heart Association class II, III or IV); and</w:t>
            </w:r>
          </w:p>
          <w:p w14:paraId="51281A45" w14:textId="77777777" w:rsidR="000F1F46" w:rsidRPr="00311B70" w:rsidRDefault="000F1F46">
            <w:pPr>
              <w:numPr>
                <w:ilvl w:val="0"/>
                <w:numId w:val="29"/>
              </w:numPr>
              <w:spacing w:before="40" w:after="40"/>
              <w:ind w:left="471"/>
              <w:jc w:val="both"/>
              <w:rPr>
                <w:rFonts w:ascii="Arial Narrow" w:eastAsia="Calibri" w:hAnsi="Arial Narrow" w:cs="Tahoma"/>
                <w:szCs w:val="20"/>
              </w:rPr>
            </w:pPr>
            <w:proofErr w:type="gramStart"/>
            <w:r w:rsidRPr="00311B70">
              <w:rPr>
                <w:rFonts w:ascii="Arial Narrow" w:eastAsia="Calibri" w:hAnsi="Arial Narrow" w:cs="Tahoma"/>
                <w:szCs w:val="20"/>
              </w:rPr>
              <w:t>as a result of</w:t>
            </w:r>
            <w:proofErr w:type="gramEnd"/>
            <w:r w:rsidRPr="00311B70">
              <w:rPr>
                <w:rFonts w:ascii="Arial Narrow" w:eastAsia="Calibri" w:hAnsi="Arial Narrow" w:cs="Tahoma"/>
                <w:szCs w:val="20"/>
              </w:rPr>
              <w:t xml:space="preserve"> a </w:t>
            </w:r>
            <w:proofErr w:type="spellStart"/>
            <w:r w:rsidRPr="00311B70">
              <w:rPr>
                <w:rFonts w:ascii="Arial Narrow" w:eastAsia="Calibri" w:hAnsi="Arial Narrow" w:cs="Tahoma"/>
                <w:szCs w:val="20"/>
              </w:rPr>
              <w:t>TMVr</w:t>
            </w:r>
            <w:proofErr w:type="spellEnd"/>
            <w:r w:rsidRPr="00311B70">
              <w:rPr>
                <w:rFonts w:ascii="Arial Narrow" w:eastAsia="Calibri" w:hAnsi="Arial Narrow" w:cs="Tahoma"/>
                <w:szCs w:val="20"/>
              </w:rPr>
              <w:t xml:space="preserve"> suitability case conference, the patient has been:</w:t>
            </w:r>
          </w:p>
          <w:p w14:paraId="0A84AA54" w14:textId="77777777" w:rsidR="000F1F46" w:rsidRPr="00311B70" w:rsidRDefault="000F1F46">
            <w:pPr>
              <w:numPr>
                <w:ilvl w:val="0"/>
                <w:numId w:val="31"/>
              </w:numPr>
              <w:spacing w:before="40" w:after="40"/>
              <w:jc w:val="both"/>
              <w:rPr>
                <w:rFonts w:ascii="Arial Narrow" w:eastAsia="Calibri" w:hAnsi="Arial Narrow" w:cs="Tahoma"/>
                <w:szCs w:val="20"/>
              </w:rPr>
            </w:pPr>
            <w:r w:rsidRPr="00311B70">
              <w:rPr>
                <w:rFonts w:ascii="Arial Narrow" w:eastAsia="Calibri" w:hAnsi="Arial Narrow" w:cs="Tahoma"/>
                <w:szCs w:val="20"/>
              </w:rPr>
              <w:t>assessed as having an unacceptably high risk for surgical mitral valve replacement; and</w:t>
            </w:r>
          </w:p>
          <w:p w14:paraId="1E870327" w14:textId="77777777" w:rsidR="000F1F46" w:rsidRPr="00311B70" w:rsidRDefault="000F1F46">
            <w:pPr>
              <w:numPr>
                <w:ilvl w:val="0"/>
                <w:numId w:val="31"/>
              </w:numPr>
              <w:spacing w:before="40" w:after="40"/>
              <w:jc w:val="both"/>
              <w:rPr>
                <w:rFonts w:ascii="Arial Narrow" w:eastAsia="Calibri" w:hAnsi="Arial Narrow" w:cs="Tahoma"/>
                <w:szCs w:val="20"/>
              </w:rPr>
            </w:pPr>
            <w:r w:rsidRPr="00311B70">
              <w:rPr>
                <w:rFonts w:ascii="Arial Narrow" w:eastAsia="Calibri" w:hAnsi="Arial Narrow" w:cs="Tahoma"/>
                <w:szCs w:val="20"/>
              </w:rPr>
              <w:t>recommended as being suitable for the service; and</w:t>
            </w:r>
          </w:p>
          <w:p w14:paraId="3C90B035" w14:textId="77777777" w:rsidR="000F1F46" w:rsidRPr="00311B70" w:rsidRDefault="000F1F46">
            <w:pPr>
              <w:numPr>
                <w:ilvl w:val="0"/>
                <w:numId w:val="29"/>
              </w:numPr>
              <w:spacing w:before="40" w:after="40"/>
              <w:ind w:left="471"/>
              <w:jc w:val="both"/>
              <w:rPr>
                <w:rFonts w:ascii="Arial Narrow" w:eastAsia="Calibri" w:hAnsi="Arial Narrow" w:cs="Tahoma"/>
                <w:szCs w:val="20"/>
              </w:rPr>
            </w:pPr>
            <w:r w:rsidRPr="00311B70">
              <w:rPr>
                <w:rFonts w:ascii="Arial Narrow" w:eastAsia="Calibri" w:hAnsi="Arial Narrow" w:cs="Tahoma"/>
                <w:szCs w:val="20"/>
              </w:rPr>
              <w:t>the service is performed:</w:t>
            </w:r>
          </w:p>
          <w:p w14:paraId="15C4AE35" w14:textId="77777777" w:rsidR="000F1F46" w:rsidRPr="00311B70" w:rsidRDefault="000F1F46">
            <w:pPr>
              <w:numPr>
                <w:ilvl w:val="0"/>
                <w:numId w:val="32"/>
              </w:numPr>
              <w:spacing w:before="40" w:after="40"/>
              <w:jc w:val="both"/>
              <w:rPr>
                <w:rFonts w:ascii="Arial Narrow" w:eastAsia="Calibri" w:hAnsi="Arial Narrow" w:cs="Tahoma"/>
                <w:szCs w:val="20"/>
              </w:rPr>
            </w:pPr>
            <w:r w:rsidRPr="00311B70">
              <w:rPr>
                <w:rFonts w:ascii="Arial Narrow" w:eastAsia="Calibri" w:hAnsi="Arial Narrow" w:cs="Tahoma"/>
                <w:szCs w:val="20"/>
              </w:rPr>
              <w:t xml:space="preserve">by a cardiothoracic surgeon, or an interventional cardiologist, accredited by the </w:t>
            </w:r>
            <w:proofErr w:type="spellStart"/>
            <w:r w:rsidRPr="00311B70">
              <w:rPr>
                <w:rFonts w:ascii="Arial Narrow" w:eastAsia="Calibri" w:hAnsi="Arial Narrow" w:cs="Tahoma"/>
                <w:szCs w:val="20"/>
              </w:rPr>
              <w:t>TMVr</w:t>
            </w:r>
            <w:proofErr w:type="spellEnd"/>
            <w:r w:rsidRPr="00311B70">
              <w:rPr>
                <w:rFonts w:ascii="Arial Narrow" w:eastAsia="Calibri" w:hAnsi="Arial Narrow" w:cs="Tahoma"/>
                <w:szCs w:val="20"/>
              </w:rPr>
              <w:t xml:space="preserve"> accreditation committee to perform the service; and</w:t>
            </w:r>
          </w:p>
          <w:p w14:paraId="355BEFA3" w14:textId="77777777" w:rsidR="000F1F46" w:rsidRPr="00311B70" w:rsidRDefault="000F1F46">
            <w:pPr>
              <w:numPr>
                <w:ilvl w:val="0"/>
                <w:numId w:val="32"/>
              </w:numPr>
              <w:spacing w:before="40" w:after="40"/>
              <w:jc w:val="both"/>
              <w:rPr>
                <w:rFonts w:ascii="Arial Narrow" w:eastAsia="Calibri" w:hAnsi="Arial Narrow" w:cs="Tahoma"/>
                <w:szCs w:val="20"/>
              </w:rPr>
            </w:pPr>
            <w:r w:rsidRPr="00311B70">
              <w:rPr>
                <w:rFonts w:ascii="Arial Narrow" w:eastAsia="Calibri" w:hAnsi="Arial Narrow" w:cs="Tahoma"/>
                <w:szCs w:val="20"/>
              </w:rPr>
              <w:t>via transfemoral venous delivery, unless transfemoral venous delivery is contraindicated or not feasible; and</w:t>
            </w:r>
          </w:p>
          <w:p w14:paraId="23050587" w14:textId="77777777" w:rsidR="000F1F46" w:rsidRPr="00311B70" w:rsidRDefault="000F1F46">
            <w:pPr>
              <w:numPr>
                <w:ilvl w:val="0"/>
                <w:numId w:val="32"/>
              </w:numPr>
              <w:spacing w:before="40" w:after="40"/>
              <w:jc w:val="both"/>
              <w:rPr>
                <w:rFonts w:ascii="Arial Narrow" w:eastAsia="Calibri" w:hAnsi="Arial Narrow" w:cs="Tahoma"/>
                <w:szCs w:val="20"/>
              </w:rPr>
            </w:pPr>
            <w:r w:rsidRPr="00311B70">
              <w:rPr>
                <w:rFonts w:ascii="Arial Narrow" w:eastAsia="Calibri" w:hAnsi="Arial Narrow" w:cs="Tahoma"/>
                <w:szCs w:val="20"/>
              </w:rPr>
              <w:t xml:space="preserve">in a hospital that is accredited by the </w:t>
            </w:r>
            <w:proofErr w:type="spellStart"/>
            <w:r w:rsidRPr="00311B70">
              <w:rPr>
                <w:rFonts w:ascii="Arial Narrow" w:eastAsia="Calibri" w:hAnsi="Arial Narrow" w:cs="Tahoma"/>
                <w:szCs w:val="20"/>
              </w:rPr>
              <w:t>TMVr</w:t>
            </w:r>
            <w:proofErr w:type="spellEnd"/>
            <w:r w:rsidRPr="00311B70">
              <w:rPr>
                <w:rFonts w:ascii="Arial Narrow" w:eastAsia="Calibri" w:hAnsi="Arial Narrow" w:cs="Tahoma"/>
                <w:szCs w:val="20"/>
              </w:rPr>
              <w:t xml:space="preserve"> accreditation committee as a suitable hospital for the service; and</w:t>
            </w:r>
          </w:p>
          <w:p w14:paraId="12B1C032" w14:textId="77777777" w:rsidR="000F1F46" w:rsidRPr="00311B70" w:rsidRDefault="000F1F46">
            <w:pPr>
              <w:numPr>
                <w:ilvl w:val="0"/>
                <w:numId w:val="29"/>
              </w:numPr>
              <w:spacing w:before="40" w:after="40"/>
              <w:ind w:left="471"/>
              <w:jc w:val="both"/>
              <w:rPr>
                <w:rFonts w:ascii="Arial Narrow" w:eastAsia="Calibri" w:hAnsi="Arial Narrow" w:cs="Tahoma"/>
                <w:szCs w:val="20"/>
              </w:rPr>
            </w:pPr>
            <w:r w:rsidRPr="00311B70">
              <w:rPr>
                <w:rFonts w:ascii="Arial Narrow" w:eastAsia="Calibri" w:hAnsi="Arial Narrow" w:cs="Tahoma"/>
                <w:szCs w:val="20"/>
              </w:rPr>
              <w:t>a service to which this item, or item 38463, applies has not been provided to the patient in the previous 5 years</w:t>
            </w:r>
          </w:p>
        </w:tc>
      </w:tr>
      <w:tr w:rsidR="000F1F46" w:rsidRPr="00311B70" w14:paraId="4593B306" w14:textId="77777777">
        <w:trPr>
          <w:cantSplit/>
          <w:trHeight w:val="33"/>
        </w:trPr>
        <w:tc>
          <w:tcPr>
            <w:tcW w:w="9016" w:type="dxa"/>
            <w:tcBorders>
              <w:top w:val="single" w:sz="4" w:space="0" w:color="auto"/>
              <w:left w:val="single" w:sz="4" w:space="0" w:color="auto"/>
              <w:bottom w:val="single" w:sz="4" w:space="0" w:color="auto"/>
              <w:right w:val="single" w:sz="4" w:space="0" w:color="auto"/>
            </w:tcBorders>
            <w:hideMark/>
          </w:tcPr>
          <w:p w14:paraId="1B7DD651" w14:textId="77777777" w:rsidR="000F1F46" w:rsidRPr="00311B70" w:rsidRDefault="000F1F46">
            <w:pPr>
              <w:spacing w:before="40" w:after="40"/>
              <w:jc w:val="both"/>
              <w:rPr>
                <w:rFonts w:ascii="Arial Narrow" w:eastAsia="Calibri" w:hAnsi="Arial Narrow" w:cs="Tahoma"/>
                <w:snapToGrid w:val="0"/>
                <w:szCs w:val="20"/>
              </w:rPr>
            </w:pPr>
            <w:r w:rsidRPr="00311B70">
              <w:rPr>
                <w:rFonts w:ascii="Arial Narrow" w:eastAsia="Calibri" w:hAnsi="Arial Narrow" w:cs="Tahoma"/>
                <w:szCs w:val="20"/>
              </w:rPr>
              <w:t>Fee: $1576.45</w:t>
            </w:r>
          </w:p>
        </w:tc>
      </w:tr>
    </w:tbl>
    <w:p w14:paraId="7758A451" w14:textId="77777777" w:rsidR="00311B70" w:rsidRPr="00311B70" w:rsidRDefault="00311B70" w:rsidP="00311B70">
      <w:pPr>
        <w:rPr>
          <w:rFonts w:eastAsia="Calibri" w:cs="Times New Roman"/>
          <w:szCs w:val="24"/>
        </w:rPr>
      </w:pPr>
    </w:p>
    <w:tbl>
      <w:tblPr>
        <w:tblStyle w:val="TableGrid"/>
        <w:tblW w:w="0" w:type="auto"/>
        <w:tblLook w:val="04A0" w:firstRow="1" w:lastRow="0" w:firstColumn="1" w:lastColumn="0" w:noHBand="0" w:noVBand="1"/>
        <w:tblDescription w:val="Consumer summary of MSAC consideration"/>
      </w:tblPr>
      <w:tblGrid>
        <w:gridCol w:w="9016"/>
      </w:tblGrid>
      <w:tr w:rsidR="00311B70" w:rsidRPr="00311B70" w14:paraId="2EF1DB00" w14:textId="77777777" w:rsidTr="0C51D1D8">
        <w:trPr>
          <w:tblHeader/>
        </w:trPr>
        <w:tc>
          <w:tcPr>
            <w:tcW w:w="9016" w:type="dxa"/>
          </w:tcPr>
          <w:p w14:paraId="1DD1E066" w14:textId="75B73F5A" w:rsidR="00311B70" w:rsidRPr="00311B70" w:rsidRDefault="00311B70" w:rsidP="335BAD61">
            <w:pPr>
              <w:pStyle w:val="Heading3"/>
              <w:spacing w:before="120"/>
              <w:rPr>
                <w:rFonts w:eastAsia="Calibri"/>
                <w:lang w:eastAsia="en-AU"/>
              </w:rPr>
            </w:pPr>
            <w:r w:rsidRPr="00311B70">
              <w:rPr>
                <w:lang w:eastAsia="en-AU"/>
              </w:rPr>
              <w:lastRenderedPageBreak/>
              <w:t>Consumer summary</w:t>
            </w:r>
          </w:p>
          <w:p w14:paraId="1F65B9E1" w14:textId="2BA96856" w:rsidR="00311B70" w:rsidRPr="00311B70" w:rsidRDefault="54F86125" w:rsidP="335BAD61">
            <w:pPr>
              <w:rPr>
                <w:lang w:eastAsia="en-AU"/>
              </w:rPr>
            </w:pPr>
            <w:r w:rsidRPr="335BAD61">
              <w:rPr>
                <w:lang w:eastAsia="en-AU"/>
              </w:rPr>
              <w:t>This is the third application from Edwards Lifesciences requesting Medicare Benefits Schedule (MBS) listing for a medical procedure called transcatheter mitral valve repair (</w:t>
            </w:r>
            <w:proofErr w:type="spellStart"/>
            <w:r w:rsidRPr="335BAD61">
              <w:rPr>
                <w:lang w:eastAsia="en-AU"/>
              </w:rPr>
              <w:t>TMVr</w:t>
            </w:r>
            <w:proofErr w:type="spellEnd"/>
            <w:r w:rsidRPr="335BAD61">
              <w:rPr>
                <w:lang w:eastAsia="en-AU"/>
              </w:rPr>
              <w:t>).</w:t>
            </w:r>
          </w:p>
          <w:p w14:paraId="52EFA92B" w14:textId="01208045" w:rsidR="00311B70" w:rsidRPr="00311B70" w:rsidRDefault="54F86125" w:rsidP="335BAD61">
            <w:pPr>
              <w:rPr>
                <w:lang w:eastAsia="en-AU"/>
              </w:rPr>
            </w:pPr>
            <w:r w:rsidRPr="335BAD61">
              <w:rPr>
                <w:lang w:eastAsia="en-AU"/>
              </w:rPr>
              <w:t>The mitral valve sits in the left side of the heart. The heart muscle has four sections, called chambers. When everything is working well, blood travelling from the arteries in the lungs enters the heart via the upper left heart chamber. When the heart beats, blood is first squeezed out of this top left chamber, through the one-way mitral valve, into the lower left chamber. The mitral valve is supposed to close tightly again before blood is then squeezed out towards the rest of the body.</w:t>
            </w:r>
          </w:p>
          <w:p w14:paraId="5DC92E15" w14:textId="3CA38283" w:rsidR="00311B70" w:rsidRPr="00311B70" w:rsidRDefault="54F86125" w:rsidP="335BAD61">
            <w:pPr>
              <w:rPr>
                <w:lang w:eastAsia="en-AU"/>
              </w:rPr>
            </w:pPr>
            <w:proofErr w:type="spellStart"/>
            <w:r w:rsidRPr="335BAD61">
              <w:rPr>
                <w:lang w:eastAsia="en-AU"/>
              </w:rPr>
              <w:t>TMVr</w:t>
            </w:r>
            <w:proofErr w:type="spellEnd"/>
            <w:r w:rsidRPr="335BAD61">
              <w:rPr>
                <w:lang w:eastAsia="en-AU"/>
              </w:rPr>
              <w:t xml:space="preserve"> is a procedure performed to manage a condition, called mitral regurgitation, in which the mitral valve does not close tightly. This means that, with each heartbeat, some blood can flow backward from the left lower chamber to the left upper chamber again. Mitral regurgitation is made up of two conditions, degenerative mitral regurgitation (DMR) and functional mitral regurgitation (FMR). DMR occurs when the valve itself is damaged, often caused by aging or structural problems with the valve and/or supporting structures. This damage to the mitral valve can then affect the normal flow of blood throughout the heart and lead to complications. FMR occurs when the mitral valve is structurally normal, however changes caused by a condition or disease affects the size, </w:t>
            </w:r>
            <w:proofErr w:type="gramStart"/>
            <w:r w:rsidRPr="335BAD61">
              <w:rPr>
                <w:lang w:eastAsia="en-AU"/>
              </w:rPr>
              <w:t>shape</w:t>
            </w:r>
            <w:proofErr w:type="gramEnd"/>
            <w:r w:rsidRPr="335BAD61">
              <w:rPr>
                <w:lang w:eastAsia="en-AU"/>
              </w:rPr>
              <w:t xml:space="preserve"> or function of the left side of the heart. These changes can then prevent the mitral valve from working as it normally would and lead to ineffective blood flow throughout the heart, which can cause complications. To summarise, DMR is a problem with the valve itself, whereas FMR is where a problem with the heart’s function prevents the mitral valve from working in the usual manner. These conditions make it difficult for the heart to pump blood around the body, which can cause shortness of breath and may cause heart failure in the long term. </w:t>
            </w:r>
            <w:proofErr w:type="spellStart"/>
            <w:r w:rsidRPr="335BAD61">
              <w:rPr>
                <w:lang w:eastAsia="en-AU"/>
              </w:rPr>
              <w:t>TMVr</w:t>
            </w:r>
            <w:proofErr w:type="spellEnd"/>
            <w:r w:rsidRPr="335BAD61">
              <w:rPr>
                <w:lang w:eastAsia="en-AU"/>
              </w:rPr>
              <w:t xml:space="preserve"> is already funded on the MBS for another type of device (called </w:t>
            </w:r>
            <w:proofErr w:type="spellStart"/>
            <w:r w:rsidRPr="335BAD61">
              <w:rPr>
                <w:lang w:eastAsia="en-AU"/>
              </w:rPr>
              <w:t>MitraClip</w:t>
            </w:r>
            <w:proofErr w:type="spellEnd"/>
            <w:r w:rsidRPr="335BAD61">
              <w:rPr>
                <w:lang w:eastAsia="en-AU"/>
              </w:rPr>
              <w:t>) for treatment of patients with DMR (MBS item 38461) and FMR (MBS item 38463).</w:t>
            </w:r>
          </w:p>
          <w:p w14:paraId="0492EEF6" w14:textId="7229F787" w:rsidR="00311B70" w:rsidRPr="00311B70" w:rsidRDefault="54F86125" w:rsidP="335BAD61">
            <w:pPr>
              <w:rPr>
                <w:lang w:eastAsia="en-AU"/>
              </w:rPr>
            </w:pPr>
            <w:r w:rsidRPr="335BAD61">
              <w:rPr>
                <w:lang w:eastAsia="en-AU"/>
              </w:rPr>
              <w:t>Edwards Lifesciences in this reapplication applied to amend the MBS item 38461 to include their device, termed the PASCAL system in the DMR population only.</w:t>
            </w:r>
          </w:p>
          <w:p w14:paraId="482C6918" w14:textId="77777777" w:rsidR="00311B70" w:rsidRPr="00311B70" w:rsidRDefault="54F86125" w:rsidP="335BAD61">
            <w:pPr>
              <w:rPr>
                <w:lang w:eastAsia="en-AU"/>
              </w:rPr>
            </w:pPr>
            <w:r w:rsidRPr="335BAD61">
              <w:rPr>
                <w:lang w:eastAsia="en-AU"/>
              </w:rPr>
              <w:t xml:space="preserve">The PASCAL system includes a small device made of clasps, </w:t>
            </w:r>
            <w:proofErr w:type="gramStart"/>
            <w:r w:rsidRPr="335BAD61">
              <w:rPr>
                <w:lang w:eastAsia="en-AU"/>
              </w:rPr>
              <w:t>paddles</w:t>
            </w:r>
            <w:proofErr w:type="gramEnd"/>
            <w:r w:rsidRPr="335BAD61">
              <w:rPr>
                <w:lang w:eastAsia="en-AU"/>
              </w:rPr>
              <w:t xml:space="preserve"> and spacers. The interventional cardiologist or surgeon uses a small, customised tube called a catheter to insert the device through a vein in the leg up to the heart. Inside the heart, the device gently grasps the edges of the faulty valve to help close the valve.</w:t>
            </w:r>
          </w:p>
          <w:p w14:paraId="55557177" w14:textId="77777777" w:rsidR="00311B70" w:rsidRPr="00311B70" w:rsidRDefault="54F86125" w:rsidP="335BAD61">
            <w:pPr>
              <w:rPr>
                <w:lang w:eastAsia="en-AU"/>
              </w:rPr>
            </w:pPr>
            <w:r w:rsidRPr="335BAD61">
              <w:rPr>
                <w:lang w:eastAsia="en-AU"/>
              </w:rPr>
              <w:t xml:space="preserve">Edwards Lifesciences has applied for public funding for the PASCAL device to be used for the </w:t>
            </w:r>
            <w:proofErr w:type="spellStart"/>
            <w:r w:rsidRPr="335BAD61">
              <w:rPr>
                <w:lang w:eastAsia="en-AU"/>
              </w:rPr>
              <w:t>TMVr</w:t>
            </w:r>
            <w:proofErr w:type="spellEnd"/>
            <w:r w:rsidRPr="335BAD61">
              <w:rPr>
                <w:lang w:eastAsia="en-AU"/>
              </w:rPr>
              <w:t xml:space="preserve"> procedure for people with mitral regurgitation who cannot have open heart surgery to repair their mitral valve. </w:t>
            </w:r>
            <w:proofErr w:type="spellStart"/>
            <w:r w:rsidRPr="335BAD61">
              <w:rPr>
                <w:lang w:eastAsia="en-AU"/>
              </w:rPr>
              <w:t>TMVr</w:t>
            </w:r>
            <w:proofErr w:type="spellEnd"/>
            <w:r w:rsidRPr="335BAD61">
              <w:rPr>
                <w:lang w:eastAsia="en-AU"/>
              </w:rPr>
              <w:t xml:space="preserve"> is currently already funded on the MBS when it is performed using the </w:t>
            </w:r>
            <w:proofErr w:type="spellStart"/>
            <w:r w:rsidRPr="335BAD61">
              <w:rPr>
                <w:lang w:eastAsia="en-AU"/>
              </w:rPr>
              <w:t>MitraClip</w:t>
            </w:r>
            <w:proofErr w:type="spellEnd"/>
            <w:r w:rsidRPr="335BAD61">
              <w:rPr>
                <w:lang w:eastAsia="en-AU"/>
              </w:rPr>
              <w:t xml:space="preserve"> device.</w:t>
            </w:r>
          </w:p>
          <w:p w14:paraId="0134B4EA" w14:textId="58852EF6" w:rsidR="00311B70" w:rsidRPr="00311B70" w:rsidRDefault="54F86125" w:rsidP="335BAD61">
            <w:pPr>
              <w:rPr>
                <w:lang w:eastAsia="en-AU"/>
              </w:rPr>
            </w:pPr>
            <w:r w:rsidRPr="335BAD61">
              <w:rPr>
                <w:lang w:eastAsia="en-AU"/>
              </w:rPr>
              <w:t xml:space="preserve">MSAC considered that high certainty clinical studies show that the PASCAL system is at least as safe and effective as </w:t>
            </w:r>
            <w:proofErr w:type="spellStart"/>
            <w:r w:rsidRPr="335BAD61">
              <w:rPr>
                <w:lang w:eastAsia="en-AU"/>
              </w:rPr>
              <w:t>MitraClip</w:t>
            </w:r>
            <w:proofErr w:type="spellEnd"/>
            <w:r w:rsidRPr="335BAD61">
              <w:rPr>
                <w:lang w:eastAsia="en-AU"/>
              </w:rPr>
              <w:t xml:space="preserve">. MSAC considered that PASCAL could be used as an alternative to </w:t>
            </w:r>
            <w:proofErr w:type="spellStart"/>
            <w:r w:rsidRPr="335BAD61">
              <w:rPr>
                <w:lang w:eastAsia="en-AU"/>
              </w:rPr>
              <w:t>MitraClip</w:t>
            </w:r>
            <w:proofErr w:type="spellEnd"/>
            <w:r w:rsidRPr="335BAD61">
              <w:rPr>
                <w:lang w:eastAsia="en-AU"/>
              </w:rPr>
              <w:t xml:space="preserve"> in patients who are having this procedure. The costs of both devices are the same, so there should be no extra cost.</w:t>
            </w:r>
          </w:p>
          <w:p w14:paraId="7945FB2E" w14:textId="0B27795F" w:rsidR="00311B70" w:rsidRPr="00311B70" w:rsidRDefault="54F86125" w:rsidP="335BAD61">
            <w:pPr>
              <w:rPr>
                <w:b/>
                <w:bCs/>
                <w:lang w:eastAsia="en-AU"/>
              </w:rPr>
            </w:pPr>
            <w:r w:rsidRPr="335BAD61">
              <w:rPr>
                <w:b/>
                <w:bCs/>
                <w:lang w:eastAsia="en-AU"/>
              </w:rPr>
              <w:t xml:space="preserve">MSAC’s advice to the </w:t>
            </w:r>
            <w:proofErr w:type="gramStart"/>
            <w:r w:rsidRPr="335BAD61">
              <w:rPr>
                <w:b/>
                <w:bCs/>
                <w:lang w:eastAsia="en-AU"/>
              </w:rPr>
              <w:t>Commonwealth Minister</w:t>
            </w:r>
            <w:proofErr w:type="gramEnd"/>
            <w:r w:rsidRPr="335BAD61">
              <w:rPr>
                <w:b/>
                <w:bCs/>
                <w:lang w:eastAsia="en-AU"/>
              </w:rPr>
              <w:t xml:space="preserve"> for Health and Aged Care</w:t>
            </w:r>
          </w:p>
          <w:p w14:paraId="1EA4AF9D" w14:textId="208FAAFB" w:rsidR="00311B70" w:rsidRPr="00311B70" w:rsidRDefault="54F86125" w:rsidP="003850A8">
            <w:pPr>
              <w:spacing w:after="120"/>
              <w:rPr>
                <w:lang w:eastAsia="en-AU"/>
              </w:rPr>
            </w:pPr>
            <w:r w:rsidRPr="335BAD61">
              <w:rPr>
                <w:lang w:eastAsia="en-AU"/>
              </w:rPr>
              <w:t xml:space="preserve">MSAC supported amending existing MBS item 38461 to be device agnostic and include the PASCAL system. MSAC considered that the PASCAL system is comparatively safe, </w:t>
            </w:r>
            <w:proofErr w:type="gramStart"/>
            <w:r w:rsidRPr="335BAD61">
              <w:rPr>
                <w:lang w:eastAsia="en-AU"/>
              </w:rPr>
              <w:t>effective</w:t>
            </w:r>
            <w:proofErr w:type="gramEnd"/>
            <w:r w:rsidRPr="335BAD61">
              <w:rPr>
                <w:lang w:eastAsia="en-AU"/>
              </w:rPr>
              <w:t xml:space="preserve"> and good value for money.</w:t>
            </w:r>
          </w:p>
        </w:tc>
      </w:tr>
    </w:tbl>
    <w:p w14:paraId="41794756" w14:textId="4088C127" w:rsidR="335BAD61" w:rsidRDefault="335BAD61"/>
    <w:p w14:paraId="39830182" w14:textId="50429748" w:rsidR="005E3CDE" w:rsidRDefault="005E3CDE" w:rsidP="005E3CDE">
      <w:pPr>
        <w:pStyle w:val="Heading2"/>
        <w:numPr>
          <w:ilvl w:val="1"/>
          <w:numId w:val="0"/>
        </w:numPr>
      </w:pPr>
      <w:r>
        <w:t>3.</w:t>
      </w:r>
      <w:r>
        <w:tab/>
        <w:t xml:space="preserve">Summary of consideration and rationale for MSAC’s </w:t>
      </w:r>
      <w:r>
        <w:tab/>
      </w:r>
      <w:r>
        <w:tab/>
        <w:t>advice</w:t>
      </w:r>
    </w:p>
    <w:p w14:paraId="59438BB4" w14:textId="0382337C" w:rsidR="006069D5" w:rsidRPr="006069D5" w:rsidRDefault="006069D5" w:rsidP="006069D5">
      <w:pPr>
        <w:spacing w:after="240" w:line="240" w:lineRule="auto"/>
        <w:rPr>
          <w:iCs/>
          <w:szCs w:val="24"/>
        </w:rPr>
      </w:pPr>
      <w:r w:rsidRPr="006069D5">
        <w:rPr>
          <w:iCs/>
          <w:szCs w:val="24"/>
        </w:rPr>
        <w:t xml:space="preserve">MSAC noted the purpose of this </w:t>
      </w:r>
      <w:r w:rsidR="00DC42CD">
        <w:rPr>
          <w:iCs/>
          <w:szCs w:val="24"/>
        </w:rPr>
        <w:t>re</w:t>
      </w:r>
      <w:r w:rsidRPr="006069D5">
        <w:rPr>
          <w:iCs/>
          <w:szCs w:val="24"/>
        </w:rPr>
        <w:t xml:space="preserve">application was to request MBS </w:t>
      </w:r>
      <w:r w:rsidR="00BF513E">
        <w:rPr>
          <w:iCs/>
          <w:szCs w:val="24"/>
        </w:rPr>
        <w:t xml:space="preserve">item 38461 be listed as device agnostic for </w:t>
      </w:r>
      <w:proofErr w:type="spellStart"/>
      <w:r w:rsidRPr="006069D5">
        <w:rPr>
          <w:iCs/>
          <w:szCs w:val="24"/>
        </w:rPr>
        <w:t>TMVr</w:t>
      </w:r>
      <w:proofErr w:type="spellEnd"/>
      <w:r w:rsidR="000843BF">
        <w:rPr>
          <w:iCs/>
          <w:szCs w:val="24"/>
        </w:rPr>
        <w:t xml:space="preserve">, to enable public funding for the use of the </w:t>
      </w:r>
      <w:r w:rsidRPr="006069D5">
        <w:rPr>
          <w:iCs/>
          <w:szCs w:val="24"/>
        </w:rPr>
        <w:t xml:space="preserve">PASCAL Transcatheter Valve Repair System (PASCAL) for the treatment of DMR. </w:t>
      </w:r>
      <w:r w:rsidR="007E5AB1">
        <w:rPr>
          <w:iCs/>
          <w:szCs w:val="24"/>
        </w:rPr>
        <w:t>MSAC noted that currently, MBS item 38461 is device</w:t>
      </w:r>
      <w:r w:rsidR="00CD26F7">
        <w:rPr>
          <w:iCs/>
          <w:szCs w:val="24"/>
        </w:rPr>
        <w:t>-</w:t>
      </w:r>
      <w:r w:rsidR="007E5AB1">
        <w:rPr>
          <w:iCs/>
          <w:szCs w:val="24"/>
        </w:rPr>
        <w:t xml:space="preserve">restricted </w:t>
      </w:r>
      <w:r w:rsidR="00734FE4">
        <w:rPr>
          <w:iCs/>
          <w:szCs w:val="24"/>
        </w:rPr>
        <w:t xml:space="preserve">to </w:t>
      </w:r>
      <w:proofErr w:type="spellStart"/>
      <w:r w:rsidR="00734FE4">
        <w:rPr>
          <w:iCs/>
          <w:szCs w:val="24"/>
        </w:rPr>
        <w:t>MitraClip</w:t>
      </w:r>
      <w:proofErr w:type="spellEnd"/>
      <w:r w:rsidR="00734FE4">
        <w:rPr>
          <w:iCs/>
          <w:szCs w:val="24"/>
        </w:rPr>
        <w:t xml:space="preserve"> for use in </w:t>
      </w:r>
      <w:proofErr w:type="spellStart"/>
      <w:r w:rsidR="00734FE4">
        <w:rPr>
          <w:iCs/>
          <w:szCs w:val="24"/>
        </w:rPr>
        <w:t>TMVr</w:t>
      </w:r>
      <w:proofErr w:type="spellEnd"/>
      <w:r w:rsidR="00146BE1">
        <w:rPr>
          <w:iCs/>
          <w:szCs w:val="24"/>
        </w:rPr>
        <w:t xml:space="preserve"> as per </w:t>
      </w:r>
      <w:hyperlink r:id="rId9" w:history="1">
        <w:r w:rsidR="00146BE1" w:rsidRPr="001849F9">
          <w:rPr>
            <w:rStyle w:val="Hyperlink"/>
            <w:iCs/>
            <w:szCs w:val="24"/>
          </w:rPr>
          <w:t>MSAC</w:t>
        </w:r>
        <w:r w:rsidR="0094758A" w:rsidRPr="001849F9">
          <w:rPr>
            <w:rStyle w:val="Hyperlink"/>
            <w:iCs/>
            <w:szCs w:val="24"/>
          </w:rPr>
          <w:t xml:space="preserve"> 11</w:t>
        </w:r>
        <w:r w:rsidR="00AF1363" w:rsidRPr="001849F9">
          <w:rPr>
            <w:rStyle w:val="Hyperlink"/>
            <w:iCs/>
            <w:szCs w:val="24"/>
          </w:rPr>
          <w:t>92.3 PSD</w:t>
        </w:r>
      </w:hyperlink>
      <w:r w:rsidR="00AF1363">
        <w:rPr>
          <w:iCs/>
          <w:szCs w:val="24"/>
        </w:rPr>
        <w:t>.</w:t>
      </w:r>
    </w:p>
    <w:p w14:paraId="0F535C46" w14:textId="5B0EDA0D" w:rsidR="006069D5" w:rsidRPr="006069D5" w:rsidRDefault="006069D5" w:rsidP="006069D5">
      <w:pPr>
        <w:spacing w:after="240" w:line="240" w:lineRule="auto"/>
        <w:rPr>
          <w:iCs/>
          <w:szCs w:val="24"/>
        </w:rPr>
      </w:pPr>
      <w:r w:rsidRPr="006069D5">
        <w:rPr>
          <w:iCs/>
          <w:szCs w:val="24"/>
        </w:rPr>
        <w:t>MSAC noted that this is the third application for this technology, which MSAC previously considered in November 2021</w:t>
      </w:r>
      <w:r w:rsidR="002F7160">
        <w:rPr>
          <w:iCs/>
          <w:szCs w:val="24"/>
        </w:rPr>
        <w:t xml:space="preserve"> (</w:t>
      </w:r>
      <w:hyperlink r:id="rId10" w:history="1">
        <w:r w:rsidR="002F7160" w:rsidRPr="00CC7B6A">
          <w:rPr>
            <w:rStyle w:val="Hyperlink"/>
            <w:iCs/>
            <w:szCs w:val="24"/>
          </w:rPr>
          <w:t>MSAC 1662</w:t>
        </w:r>
        <w:r w:rsidR="00005AA4" w:rsidRPr="00CC7B6A">
          <w:rPr>
            <w:rStyle w:val="Hyperlink"/>
            <w:iCs/>
            <w:szCs w:val="24"/>
          </w:rPr>
          <w:t xml:space="preserve"> PSD</w:t>
        </w:r>
      </w:hyperlink>
      <w:r w:rsidR="002061AC">
        <w:rPr>
          <w:iCs/>
          <w:szCs w:val="24"/>
        </w:rPr>
        <w:t>)</w:t>
      </w:r>
      <w:r w:rsidRPr="006069D5">
        <w:rPr>
          <w:iCs/>
          <w:szCs w:val="24"/>
        </w:rPr>
        <w:t xml:space="preserve"> and November 2022</w:t>
      </w:r>
      <w:r w:rsidR="002061AC">
        <w:rPr>
          <w:iCs/>
          <w:szCs w:val="24"/>
        </w:rPr>
        <w:t xml:space="preserve"> (</w:t>
      </w:r>
      <w:hyperlink r:id="rId11" w:history="1">
        <w:r w:rsidR="002061AC" w:rsidRPr="00AE193C">
          <w:rPr>
            <w:rStyle w:val="Hyperlink"/>
            <w:iCs/>
            <w:szCs w:val="24"/>
          </w:rPr>
          <w:t>MSAC 1662.1</w:t>
        </w:r>
        <w:r w:rsidR="00005AA4" w:rsidRPr="00AE193C">
          <w:rPr>
            <w:rStyle w:val="Hyperlink"/>
            <w:iCs/>
            <w:szCs w:val="24"/>
          </w:rPr>
          <w:t xml:space="preserve"> PSD</w:t>
        </w:r>
      </w:hyperlink>
      <w:r w:rsidR="002061AC">
        <w:rPr>
          <w:iCs/>
          <w:szCs w:val="24"/>
        </w:rPr>
        <w:t>)</w:t>
      </w:r>
      <w:r w:rsidRPr="006069D5">
        <w:rPr>
          <w:iCs/>
          <w:szCs w:val="24"/>
        </w:rPr>
        <w:t xml:space="preserve">. The previous applications sought amendments to the existing MBS items 38461 and 38463 to be device agnostic for the treatment of DMR and functional mitral regurgitation (FMR), respectively. </w:t>
      </w:r>
      <w:r w:rsidR="00BA7BFE">
        <w:rPr>
          <w:iCs/>
          <w:szCs w:val="24"/>
        </w:rPr>
        <w:t xml:space="preserve">MSAC recalled that the first submission in November 2021 lacked sufficient evidence to </w:t>
      </w:r>
      <w:r w:rsidR="00AE3C80">
        <w:rPr>
          <w:iCs/>
          <w:szCs w:val="24"/>
        </w:rPr>
        <w:t xml:space="preserve">support the </w:t>
      </w:r>
      <w:r w:rsidR="00BA7BFE">
        <w:rPr>
          <w:iCs/>
          <w:szCs w:val="24"/>
        </w:rPr>
        <w:t xml:space="preserve">claim </w:t>
      </w:r>
      <w:r w:rsidR="00AE3C80">
        <w:rPr>
          <w:iCs/>
          <w:szCs w:val="24"/>
        </w:rPr>
        <w:t xml:space="preserve">of </w:t>
      </w:r>
      <w:r w:rsidR="00BA7BFE">
        <w:rPr>
          <w:iCs/>
          <w:szCs w:val="24"/>
        </w:rPr>
        <w:t>non</w:t>
      </w:r>
      <w:r w:rsidR="002D7F86">
        <w:rPr>
          <w:iCs/>
          <w:szCs w:val="24"/>
        </w:rPr>
        <w:t>-</w:t>
      </w:r>
      <w:r w:rsidR="00BA7BFE">
        <w:rPr>
          <w:iCs/>
          <w:szCs w:val="24"/>
        </w:rPr>
        <w:t>inferiority safety/effect</w:t>
      </w:r>
      <w:r w:rsidR="00AE3C80">
        <w:rPr>
          <w:iCs/>
          <w:szCs w:val="24"/>
        </w:rPr>
        <w:t>iveness</w:t>
      </w:r>
      <w:r w:rsidR="00BA7BFE">
        <w:rPr>
          <w:iCs/>
          <w:szCs w:val="24"/>
        </w:rPr>
        <w:t xml:space="preserve"> and that the second submission in November 2022 similarly </w:t>
      </w:r>
      <w:r w:rsidR="004008C5">
        <w:rPr>
          <w:iCs/>
          <w:szCs w:val="24"/>
        </w:rPr>
        <w:t xml:space="preserve">did not produce adequate evidence to </w:t>
      </w:r>
      <w:r w:rsidR="002D7F86">
        <w:rPr>
          <w:iCs/>
          <w:szCs w:val="24"/>
        </w:rPr>
        <w:t>support</w:t>
      </w:r>
      <w:r w:rsidR="004008C5">
        <w:rPr>
          <w:iCs/>
          <w:szCs w:val="24"/>
        </w:rPr>
        <w:t xml:space="preserve"> </w:t>
      </w:r>
      <w:r w:rsidR="002D7F86">
        <w:rPr>
          <w:iCs/>
          <w:szCs w:val="24"/>
        </w:rPr>
        <w:t xml:space="preserve">non-inferior safety and did not demonstrate </w:t>
      </w:r>
      <w:r w:rsidR="00CA7CC7">
        <w:rPr>
          <w:iCs/>
          <w:szCs w:val="24"/>
        </w:rPr>
        <w:t>evidence to cla</w:t>
      </w:r>
      <w:r w:rsidR="00756DDE">
        <w:rPr>
          <w:iCs/>
          <w:szCs w:val="24"/>
        </w:rPr>
        <w:t xml:space="preserve">im an unmet need. MSAC noted that this </w:t>
      </w:r>
      <w:r w:rsidR="00A2726A">
        <w:rPr>
          <w:iCs/>
          <w:szCs w:val="24"/>
        </w:rPr>
        <w:t>reapplication</w:t>
      </w:r>
      <w:r w:rsidR="00756DDE">
        <w:rPr>
          <w:iCs/>
          <w:szCs w:val="24"/>
        </w:rPr>
        <w:t xml:space="preserve"> differs from the previous two, </w:t>
      </w:r>
      <w:r w:rsidR="00FB2837">
        <w:rPr>
          <w:iCs/>
          <w:szCs w:val="24"/>
        </w:rPr>
        <w:t>as</w:t>
      </w:r>
      <w:r w:rsidR="00756DDE">
        <w:rPr>
          <w:iCs/>
          <w:szCs w:val="24"/>
        </w:rPr>
        <w:t xml:space="preserve"> </w:t>
      </w:r>
      <w:r w:rsidR="00EC1E82">
        <w:rPr>
          <w:iCs/>
          <w:szCs w:val="24"/>
        </w:rPr>
        <w:t>it</w:t>
      </w:r>
      <w:r w:rsidR="00756DDE">
        <w:rPr>
          <w:iCs/>
          <w:szCs w:val="24"/>
        </w:rPr>
        <w:t xml:space="preserve"> seeks only to amend MBS item 3</w:t>
      </w:r>
      <w:r w:rsidR="00626FA5">
        <w:rPr>
          <w:iCs/>
          <w:szCs w:val="24"/>
        </w:rPr>
        <w:t>8461</w:t>
      </w:r>
      <w:r w:rsidR="00827CFA">
        <w:rPr>
          <w:iCs/>
          <w:szCs w:val="24"/>
        </w:rPr>
        <w:t xml:space="preserve"> (DMR)</w:t>
      </w:r>
      <w:r w:rsidR="00626FA5">
        <w:rPr>
          <w:iCs/>
          <w:szCs w:val="24"/>
        </w:rPr>
        <w:t xml:space="preserve"> to be device agnostic </w:t>
      </w:r>
      <w:r w:rsidRPr="006069D5">
        <w:rPr>
          <w:iCs/>
          <w:szCs w:val="24"/>
        </w:rPr>
        <w:t xml:space="preserve">to allow the PASCAL system to be used in the </w:t>
      </w:r>
      <w:proofErr w:type="spellStart"/>
      <w:r w:rsidRPr="006069D5">
        <w:rPr>
          <w:iCs/>
          <w:szCs w:val="24"/>
        </w:rPr>
        <w:t>TMVr</w:t>
      </w:r>
      <w:proofErr w:type="spellEnd"/>
      <w:r w:rsidRPr="006069D5">
        <w:rPr>
          <w:iCs/>
          <w:szCs w:val="24"/>
        </w:rPr>
        <w:t xml:space="preserve"> procedure for the treatment of patients with moderate–severe or severe DMR who are ineligible for open surgical management.</w:t>
      </w:r>
      <w:r w:rsidR="002A48A4">
        <w:rPr>
          <w:iCs/>
          <w:szCs w:val="24"/>
        </w:rPr>
        <w:t xml:space="preserve"> MSAC noted that this application</w:t>
      </w:r>
      <w:r w:rsidR="00FB2837">
        <w:rPr>
          <w:iCs/>
          <w:szCs w:val="24"/>
        </w:rPr>
        <w:t xml:space="preserve"> does not</w:t>
      </w:r>
      <w:r w:rsidR="002A48A4">
        <w:rPr>
          <w:iCs/>
          <w:szCs w:val="24"/>
        </w:rPr>
        <w:t xml:space="preserve"> seek to amend </w:t>
      </w:r>
      <w:r w:rsidR="00F035DB">
        <w:rPr>
          <w:iCs/>
          <w:szCs w:val="24"/>
        </w:rPr>
        <w:t xml:space="preserve">MBS item </w:t>
      </w:r>
      <w:r w:rsidR="00B54CAE">
        <w:rPr>
          <w:iCs/>
          <w:szCs w:val="24"/>
        </w:rPr>
        <w:t xml:space="preserve">38463 for </w:t>
      </w:r>
      <w:r w:rsidR="00D82C25">
        <w:rPr>
          <w:iCs/>
          <w:szCs w:val="24"/>
        </w:rPr>
        <w:t xml:space="preserve">patients with </w:t>
      </w:r>
      <w:r w:rsidR="00AD7983">
        <w:rPr>
          <w:iCs/>
          <w:szCs w:val="24"/>
        </w:rPr>
        <w:t xml:space="preserve">FMR, as </w:t>
      </w:r>
      <w:r w:rsidR="001360EA">
        <w:rPr>
          <w:iCs/>
          <w:szCs w:val="24"/>
        </w:rPr>
        <w:t>sought in the previous applications</w:t>
      </w:r>
      <w:r w:rsidR="008B0CB0">
        <w:rPr>
          <w:iCs/>
          <w:szCs w:val="24"/>
        </w:rPr>
        <w:t>. MSAC noted</w:t>
      </w:r>
      <w:r w:rsidR="006F7642">
        <w:rPr>
          <w:iCs/>
          <w:szCs w:val="24"/>
        </w:rPr>
        <w:t xml:space="preserve"> that this would need to be reevaluated as a </w:t>
      </w:r>
      <w:r w:rsidR="00D47584">
        <w:rPr>
          <w:iCs/>
          <w:szCs w:val="24"/>
        </w:rPr>
        <w:t xml:space="preserve">separate </w:t>
      </w:r>
      <w:r w:rsidR="006F7642">
        <w:rPr>
          <w:iCs/>
          <w:szCs w:val="24"/>
        </w:rPr>
        <w:t xml:space="preserve">new application if </w:t>
      </w:r>
      <w:r w:rsidR="00233DA6">
        <w:rPr>
          <w:iCs/>
          <w:szCs w:val="24"/>
        </w:rPr>
        <w:t>a future</w:t>
      </w:r>
      <w:r w:rsidR="006F7642">
        <w:rPr>
          <w:iCs/>
          <w:szCs w:val="24"/>
        </w:rPr>
        <w:t xml:space="preserve"> application was to seek device agnostic amendments for MBS item 38463.</w:t>
      </w:r>
    </w:p>
    <w:p w14:paraId="0C07A1C7" w14:textId="7BA7D2D5" w:rsidR="006069D5" w:rsidRPr="006069D5" w:rsidRDefault="006069D5" w:rsidP="006069D5">
      <w:pPr>
        <w:spacing w:after="240" w:line="240" w:lineRule="auto"/>
        <w:rPr>
          <w:iCs/>
          <w:szCs w:val="24"/>
        </w:rPr>
      </w:pPr>
      <w:r w:rsidRPr="006069D5">
        <w:rPr>
          <w:iCs/>
          <w:szCs w:val="24"/>
        </w:rPr>
        <w:t xml:space="preserve">MSAC noted the </w:t>
      </w:r>
      <w:r w:rsidR="00334DE0">
        <w:rPr>
          <w:iCs/>
          <w:szCs w:val="24"/>
        </w:rPr>
        <w:t xml:space="preserve">public </w:t>
      </w:r>
      <w:r w:rsidRPr="006069D5">
        <w:rPr>
          <w:iCs/>
          <w:szCs w:val="24"/>
        </w:rPr>
        <w:t>consultation feedback was broadly supportive of the application, stating that it would improve the quality of life of patients who are unsuitable for surgery</w:t>
      </w:r>
      <w:r w:rsidR="002B6CBC">
        <w:rPr>
          <w:iCs/>
          <w:szCs w:val="24"/>
        </w:rPr>
        <w:t xml:space="preserve"> by having </w:t>
      </w:r>
      <w:r w:rsidR="00492494">
        <w:rPr>
          <w:iCs/>
          <w:szCs w:val="24"/>
        </w:rPr>
        <w:t xml:space="preserve">an </w:t>
      </w:r>
      <w:r w:rsidR="002B6CBC">
        <w:rPr>
          <w:iCs/>
          <w:szCs w:val="24"/>
        </w:rPr>
        <w:t>additional treatment option</w:t>
      </w:r>
      <w:r w:rsidRPr="006069D5">
        <w:rPr>
          <w:iCs/>
          <w:szCs w:val="24"/>
        </w:rPr>
        <w:t xml:space="preserve">. One consultation submission, from the sponsor of </w:t>
      </w:r>
      <w:proofErr w:type="spellStart"/>
      <w:r w:rsidRPr="006069D5">
        <w:rPr>
          <w:iCs/>
          <w:szCs w:val="24"/>
        </w:rPr>
        <w:t>MitraClip</w:t>
      </w:r>
      <w:proofErr w:type="spellEnd"/>
      <w:r w:rsidRPr="006069D5">
        <w:rPr>
          <w:iCs/>
          <w:szCs w:val="24"/>
        </w:rPr>
        <w:t>, did not support the application</w:t>
      </w:r>
      <w:r w:rsidR="002B6CBC">
        <w:rPr>
          <w:iCs/>
          <w:szCs w:val="24"/>
        </w:rPr>
        <w:t xml:space="preserve"> – </w:t>
      </w:r>
      <w:r w:rsidR="00E77CF8">
        <w:rPr>
          <w:iCs/>
          <w:szCs w:val="24"/>
        </w:rPr>
        <w:t>citing</w:t>
      </w:r>
      <w:r w:rsidR="002B6CBC">
        <w:rPr>
          <w:iCs/>
          <w:szCs w:val="24"/>
        </w:rPr>
        <w:t xml:space="preserve"> </w:t>
      </w:r>
      <w:r w:rsidR="000F1CBB">
        <w:rPr>
          <w:iCs/>
          <w:szCs w:val="24"/>
        </w:rPr>
        <w:t xml:space="preserve">the evidence presented for the </w:t>
      </w:r>
      <w:r w:rsidR="004B57E5">
        <w:rPr>
          <w:iCs/>
          <w:szCs w:val="24"/>
        </w:rPr>
        <w:t xml:space="preserve">use of </w:t>
      </w:r>
      <w:proofErr w:type="spellStart"/>
      <w:r w:rsidR="000F1CBB">
        <w:rPr>
          <w:iCs/>
          <w:szCs w:val="24"/>
        </w:rPr>
        <w:t>MitraClip</w:t>
      </w:r>
      <w:proofErr w:type="spellEnd"/>
      <w:r w:rsidR="000F1CBB">
        <w:rPr>
          <w:iCs/>
          <w:szCs w:val="24"/>
        </w:rPr>
        <w:t xml:space="preserve"> was based on a mixed population of patients with FMR and DMR, </w:t>
      </w:r>
      <w:r w:rsidR="005B3D81">
        <w:rPr>
          <w:iCs/>
          <w:szCs w:val="24"/>
        </w:rPr>
        <w:t>with</w:t>
      </w:r>
      <w:r w:rsidR="004B57E5">
        <w:rPr>
          <w:iCs/>
          <w:szCs w:val="24"/>
        </w:rPr>
        <w:t xml:space="preserve"> no separate evidence for the DMR population alone</w:t>
      </w:r>
      <w:r w:rsidRPr="006069D5">
        <w:rPr>
          <w:iCs/>
          <w:szCs w:val="24"/>
        </w:rPr>
        <w:t>.</w:t>
      </w:r>
    </w:p>
    <w:p w14:paraId="1BD6198D" w14:textId="1315E0B6" w:rsidR="006069D5" w:rsidRPr="006069D5" w:rsidRDefault="006069D5" w:rsidP="006069D5">
      <w:pPr>
        <w:spacing w:after="240" w:line="240" w:lineRule="auto"/>
      </w:pPr>
      <w:r>
        <w:t xml:space="preserve">MSAC noted that the revised MBS item descriptor does not specify whether the device should be used for native mitral valve repair only, or whether valve-in-valve </w:t>
      </w:r>
      <w:r w:rsidR="00970C2E">
        <w:t>intervention</w:t>
      </w:r>
      <w:r w:rsidR="00D607A8">
        <w:t xml:space="preserve"> </w:t>
      </w:r>
      <w:r w:rsidR="00D607A8" w:rsidRPr="4D7650D7">
        <w:rPr>
          <w:color w:val="000000" w:themeColor="text1"/>
          <w:lang w:val="en-US"/>
        </w:rPr>
        <w:t xml:space="preserve">(following failed surgical or transcatheter implanted valve) </w:t>
      </w:r>
      <w:r>
        <w:t xml:space="preserve">is permitted. MSAC considered that the indication as defined in the Australian Register of Therapeutic Goods (ARTG) would adequately restrict </w:t>
      </w:r>
      <w:r w:rsidR="3C70BA4D">
        <w:t xml:space="preserve">PASCAL </w:t>
      </w:r>
      <w:r>
        <w:t>use to native valve repair. The Department noted that</w:t>
      </w:r>
      <w:r w:rsidR="49B55750">
        <w:t xml:space="preserve"> PASCAL</w:t>
      </w:r>
      <w:r w:rsidR="4441F0E7">
        <w:t xml:space="preserve"> or </w:t>
      </w:r>
      <w:proofErr w:type="spellStart"/>
      <w:r w:rsidR="4441F0E7">
        <w:t>MitraClip</w:t>
      </w:r>
      <w:proofErr w:type="spellEnd"/>
      <w:r w:rsidR="49B55750">
        <w:t xml:space="preserve"> use does not preclude the f</w:t>
      </w:r>
      <w:r w:rsidR="1925857E">
        <w:t xml:space="preserve">uture </w:t>
      </w:r>
      <w:r w:rsidR="49B55750">
        <w:t>use of a separate transcatheter-delivered</w:t>
      </w:r>
      <w:r w:rsidR="2F3B8AAD">
        <w:t>, or surgical</w:t>
      </w:r>
      <w:r w:rsidR="49B55750">
        <w:t xml:space="preserve"> valve replacement device</w:t>
      </w:r>
      <w:r w:rsidR="00ED56AF">
        <w:t>.</w:t>
      </w:r>
    </w:p>
    <w:p w14:paraId="5A4C2709" w14:textId="6105CEAD" w:rsidR="00710596" w:rsidRPr="006069D5" w:rsidRDefault="006069D5" w:rsidP="006069D5">
      <w:pPr>
        <w:spacing w:after="240" w:line="240" w:lineRule="auto"/>
        <w:rPr>
          <w:iCs/>
          <w:szCs w:val="24"/>
        </w:rPr>
      </w:pPr>
      <w:r w:rsidRPr="006069D5">
        <w:rPr>
          <w:iCs/>
          <w:szCs w:val="24"/>
        </w:rPr>
        <w:t xml:space="preserve">MSAC </w:t>
      </w:r>
      <w:r w:rsidR="0080754B">
        <w:rPr>
          <w:iCs/>
          <w:szCs w:val="24"/>
        </w:rPr>
        <w:t>supported</w:t>
      </w:r>
      <w:r w:rsidRPr="006069D5">
        <w:rPr>
          <w:iCs/>
          <w:szCs w:val="24"/>
        </w:rPr>
        <w:t xml:space="preserve"> that </w:t>
      </w:r>
      <w:r w:rsidR="00A35CA7">
        <w:rPr>
          <w:iCs/>
          <w:szCs w:val="24"/>
        </w:rPr>
        <w:t>as per</w:t>
      </w:r>
      <w:r w:rsidR="000F178A">
        <w:rPr>
          <w:iCs/>
          <w:szCs w:val="24"/>
        </w:rPr>
        <w:t xml:space="preserve"> the item descriptor for MBS item 38461, </w:t>
      </w:r>
      <w:r w:rsidRPr="006069D5">
        <w:rPr>
          <w:iCs/>
          <w:szCs w:val="24"/>
        </w:rPr>
        <w:t>this MBS service would continue to be available only to providers who are accredited with the Transcatheter Mitral Valve Therapies Accreditation Committee</w:t>
      </w:r>
      <w:r w:rsidR="00FB1153">
        <w:rPr>
          <w:iCs/>
          <w:szCs w:val="24"/>
        </w:rPr>
        <w:t xml:space="preserve">. MSAC </w:t>
      </w:r>
      <w:r w:rsidR="00523CE5">
        <w:rPr>
          <w:iCs/>
          <w:szCs w:val="24"/>
        </w:rPr>
        <w:t xml:space="preserve">also </w:t>
      </w:r>
      <w:r w:rsidR="00FB1153">
        <w:rPr>
          <w:iCs/>
          <w:szCs w:val="24"/>
        </w:rPr>
        <w:t xml:space="preserve">confirmed </w:t>
      </w:r>
      <w:r w:rsidR="00950C3B">
        <w:rPr>
          <w:iCs/>
          <w:szCs w:val="24"/>
        </w:rPr>
        <w:t>the</w:t>
      </w:r>
      <w:r w:rsidR="00523CE5">
        <w:rPr>
          <w:iCs/>
          <w:szCs w:val="24"/>
        </w:rPr>
        <w:t xml:space="preserve"> MBS item</w:t>
      </w:r>
      <w:r w:rsidR="0023403E">
        <w:rPr>
          <w:iCs/>
          <w:szCs w:val="24"/>
        </w:rPr>
        <w:t xml:space="preserve"> fee would remain at $1</w:t>
      </w:r>
      <w:r w:rsidR="00AB518A">
        <w:rPr>
          <w:iCs/>
          <w:szCs w:val="24"/>
        </w:rPr>
        <w:t>,</w:t>
      </w:r>
      <w:r w:rsidR="0023403E">
        <w:rPr>
          <w:iCs/>
          <w:szCs w:val="24"/>
        </w:rPr>
        <w:t>576.45 and</w:t>
      </w:r>
      <w:r w:rsidRPr="006069D5">
        <w:rPr>
          <w:iCs/>
          <w:szCs w:val="24"/>
        </w:rPr>
        <w:t xml:space="preserve"> that the 5-year claiming restriction valid.</w:t>
      </w:r>
    </w:p>
    <w:p w14:paraId="0E80E951" w14:textId="36D6A468" w:rsidR="006069D5" w:rsidRPr="006069D5" w:rsidRDefault="006069D5" w:rsidP="006069D5">
      <w:pPr>
        <w:spacing w:after="240" w:line="240" w:lineRule="auto"/>
        <w:rPr>
          <w:iCs/>
          <w:szCs w:val="24"/>
        </w:rPr>
      </w:pPr>
      <w:r w:rsidRPr="006069D5">
        <w:rPr>
          <w:iCs/>
          <w:szCs w:val="24"/>
        </w:rPr>
        <w:t xml:space="preserve">MSAC noted the proposed clinical management </w:t>
      </w:r>
      <w:r w:rsidR="00404A33" w:rsidRPr="006069D5">
        <w:rPr>
          <w:iCs/>
          <w:szCs w:val="24"/>
        </w:rPr>
        <w:t xml:space="preserve">algorithm </w:t>
      </w:r>
      <w:r w:rsidR="001A7B3C">
        <w:rPr>
          <w:iCs/>
          <w:szCs w:val="24"/>
        </w:rPr>
        <w:t xml:space="preserve">for </w:t>
      </w:r>
      <w:r w:rsidR="003B1424">
        <w:rPr>
          <w:iCs/>
          <w:szCs w:val="24"/>
        </w:rPr>
        <w:t xml:space="preserve">patients with </w:t>
      </w:r>
      <w:r w:rsidR="001A7B3C">
        <w:rPr>
          <w:iCs/>
          <w:szCs w:val="24"/>
        </w:rPr>
        <w:t>DMR</w:t>
      </w:r>
      <w:r w:rsidR="007C3816">
        <w:rPr>
          <w:iCs/>
          <w:szCs w:val="24"/>
        </w:rPr>
        <w:t xml:space="preserve">, </w:t>
      </w:r>
      <w:r w:rsidR="00F378EE">
        <w:rPr>
          <w:iCs/>
          <w:szCs w:val="24"/>
        </w:rPr>
        <w:t xml:space="preserve">who </w:t>
      </w:r>
      <w:r w:rsidR="008E0D72">
        <w:rPr>
          <w:iCs/>
          <w:szCs w:val="24"/>
        </w:rPr>
        <w:t>have</w:t>
      </w:r>
      <w:r w:rsidR="007C3816">
        <w:rPr>
          <w:iCs/>
          <w:szCs w:val="24"/>
        </w:rPr>
        <w:t xml:space="preserve"> an unacceptable high risk for surgical valve replacement </w:t>
      </w:r>
      <w:r w:rsidR="00404A33" w:rsidRPr="006069D5">
        <w:rPr>
          <w:iCs/>
          <w:szCs w:val="24"/>
        </w:rPr>
        <w:t>and</w:t>
      </w:r>
      <w:r w:rsidRPr="006069D5">
        <w:rPr>
          <w:iCs/>
          <w:szCs w:val="24"/>
        </w:rPr>
        <w:t xml:space="preserve"> </w:t>
      </w:r>
      <w:r w:rsidR="007E03DF">
        <w:rPr>
          <w:iCs/>
          <w:szCs w:val="24"/>
        </w:rPr>
        <w:t>considered</w:t>
      </w:r>
      <w:r w:rsidR="007E03DF" w:rsidRPr="006069D5">
        <w:rPr>
          <w:iCs/>
          <w:szCs w:val="24"/>
        </w:rPr>
        <w:t xml:space="preserve"> </w:t>
      </w:r>
      <w:r w:rsidRPr="006069D5">
        <w:rPr>
          <w:iCs/>
          <w:szCs w:val="24"/>
        </w:rPr>
        <w:t>that the comparator (</w:t>
      </w:r>
      <w:proofErr w:type="spellStart"/>
      <w:r w:rsidRPr="006069D5">
        <w:rPr>
          <w:iCs/>
          <w:szCs w:val="24"/>
        </w:rPr>
        <w:t>TMVr</w:t>
      </w:r>
      <w:proofErr w:type="spellEnd"/>
      <w:r w:rsidRPr="006069D5">
        <w:rPr>
          <w:iCs/>
          <w:szCs w:val="24"/>
        </w:rPr>
        <w:t xml:space="preserve"> using the </w:t>
      </w:r>
      <w:proofErr w:type="spellStart"/>
      <w:r w:rsidRPr="006069D5">
        <w:rPr>
          <w:iCs/>
          <w:szCs w:val="24"/>
        </w:rPr>
        <w:t>MitraClip</w:t>
      </w:r>
      <w:proofErr w:type="spellEnd"/>
      <w:r w:rsidRPr="006069D5">
        <w:rPr>
          <w:iCs/>
          <w:szCs w:val="24"/>
        </w:rPr>
        <w:t xml:space="preserve"> device) was appropriate.</w:t>
      </w:r>
    </w:p>
    <w:p w14:paraId="0DD4FC94" w14:textId="08676BA3" w:rsidR="00D402D0" w:rsidRPr="00097E8C" w:rsidRDefault="00D402D0" w:rsidP="00BE3DF3">
      <w:r>
        <w:lastRenderedPageBreak/>
        <w:t xml:space="preserve">MSAC noted that the current ADAR provided new evidence from the </w:t>
      </w:r>
      <w:r w:rsidR="000572C0">
        <w:t>low risk of bias</w:t>
      </w:r>
      <w:r w:rsidR="00092D0A">
        <w:t xml:space="preserve"> </w:t>
      </w:r>
      <w:r>
        <w:t xml:space="preserve">CLASP IID randomised control trial (RCT) to support the clinical claim that the PASCAL device is non-inferior in safety compared to the </w:t>
      </w:r>
      <w:proofErr w:type="spellStart"/>
      <w:r>
        <w:t>MitraClip</w:t>
      </w:r>
      <w:proofErr w:type="spellEnd"/>
      <w:r>
        <w:t xml:space="preserve"> device.</w:t>
      </w:r>
      <w:r w:rsidR="00222C6F">
        <w:t xml:space="preserve"> MSAC </w:t>
      </w:r>
      <w:r w:rsidR="00780C8C">
        <w:t>considered</w:t>
      </w:r>
      <w:r w:rsidR="00222C6F">
        <w:t xml:space="preserve"> the CLASP IID </w:t>
      </w:r>
      <w:r w:rsidR="00ED3FE3">
        <w:t xml:space="preserve">was a </w:t>
      </w:r>
      <w:r w:rsidR="00B523C1">
        <w:t>head-to-head</w:t>
      </w:r>
      <w:r w:rsidR="00ED3FE3">
        <w:t xml:space="preserve"> trial that </w:t>
      </w:r>
      <w:r w:rsidR="00B523C1">
        <w:t>included</w:t>
      </w:r>
      <w:r w:rsidR="00ED3FE3">
        <w:t xml:space="preserve"> direct evidence </w:t>
      </w:r>
      <w:r w:rsidR="00B523C1">
        <w:t>of comparative effectiveness</w:t>
      </w:r>
      <w:r w:rsidR="00ED3FE3">
        <w:t xml:space="preserve"> between the PASCAL and </w:t>
      </w:r>
      <w:proofErr w:type="spellStart"/>
      <w:r w:rsidR="00ED3FE3">
        <w:t>MitraClip</w:t>
      </w:r>
      <w:proofErr w:type="spellEnd"/>
      <w:r w:rsidR="00B523C1">
        <w:t xml:space="preserve"> device.</w:t>
      </w:r>
      <w:r>
        <w:t xml:space="preserve"> The primary safety endpoint was rate of </w:t>
      </w:r>
      <w:r w:rsidR="00AB7701">
        <w:t xml:space="preserve">composite </w:t>
      </w:r>
      <w:r>
        <w:t>major adverse events (MAEs) at 30 days, with secondary safety analysis of rate of MAEs at 1 year.</w:t>
      </w:r>
      <w:r w:rsidR="00097E8C">
        <w:t xml:space="preserve"> The primary effectiveness endpoint of the CLASP IID study was the proportion of patients with mitral regurgitation (MR) severity of ≤2+ at 6 months, with secondary analysis of MR severity at 1 year.</w:t>
      </w:r>
    </w:p>
    <w:p w14:paraId="227FCEAB" w14:textId="13D14F29" w:rsidR="00CD02B8" w:rsidRDefault="006913C9" w:rsidP="006069D5">
      <w:pPr>
        <w:spacing w:after="240" w:line="240" w:lineRule="auto"/>
        <w:rPr>
          <w:iCs/>
          <w:szCs w:val="24"/>
        </w:rPr>
      </w:pPr>
      <w:r>
        <w:rPr>
          <w:iCs/>
          <w:szCs w:val="24"/>
        </w:rPr>
        <w:t xml:space="preserve">In terms of </w:t>
      </w:r>
      <w:r w:rsidR="00FC0708">
        <w:rPr>
          <w:iCs/>
          <w:szCs w:val="24"/>
        </w:rPr>
        <w:t xml:space="preserve">comparative </w:t>
      </w:r>
      <w:r>
        <w:rPr>
          <w:iCs/>
          <w:szCs w:val="24"/>
        </w:rPr>
        <w:t xml:space="preserve">safety, </w:t>
      </w:r>
      <w:r w:rsidR="00A03F4C">
        <w:rPr>
          <w:iCs/>
          <w:szCs w:val="24"/>
        </w:rPr>
        <w:t xml:space="preserve">MSAC noted </w:t>
      </w:r>
      <w:r w:rsidR="008340F8">
        <w:rPr>
          <w:iCs/>
          <w:szCs w:val="24"/>
        </w:rPr>
        <w:t xml:space="preserve">the rate of MAEs at 30 days between PASCAL (4.6%) and </w:t>
      </w:r>
      <w:proofErr w:type="spellStart"/>
      <w:r w:rsidR="008340F8">
        <w:rPr>
          <w:iCs/>
          <w:szCs w:val="24"/>
        </w:rPr>
        <w:t>MitraClip</w:t>
      </w:r>
      <w:proofErr w:type="spellEnd"/>
      <w:r w:rsidR="008340F8">
        <w:rPr>
          <w:iCs/>
          <w:szCs w:val="24"/>
        </w:rPr>
        <w:t xml:space="preserve"> (5.4%) with an absolute difference of -</w:t>
      </w:r>
      <w:r w:rsidR="00A478FC">
        <w:rPr>
          <w:iCs/>
          <w:szCs w:val="24"/>
        </w:rPr>
        <w:t xml:space="preserve">0.8%. </w:t>
      </w:r>
      <w:r w:rsidR="005320DD">
        <w:rPr>
          <w:iCs/>
          <w:szCs w:val="24"/>
        </w:rPr>
        <w:t>MSAC considered</w:t>
      </w:r>
      <w:r w:rsidR="00797796">
        <w:rPr>
          <w:iCs/>
          <w:szCs w:val="24"/>
        </w:rPr>
        <w:t xml:space="preserve"> safety was well substantiated by the 95% CI,</w:t>
      </w:r>
      <w:r w:rsidR="0001133A">
        <w:rPr>
          <w:iCs/>
          <w:szCs w:val="24"/>
        </w:rPr>
        <w:t xml:space="preserve"> in</w:t>
      </w:r>
      <w:r w:rsidR="00674770">
        <w:rPr>
          <w:iCs/>
          <w:szCs w:val="24"/>
        </w:rPr>
        <w:t xml:space="preserve"> that </w:t>
      </w:r>
      <w:r w:rsidR="005320DD">
        <w:rPr>
          <w:iCs/>
          <w:szCs w:val="24"/>
        </w:rPr>
        <w:t xml:space="preserve">the </w:t>
      </w:r>
      <w:r w:rsidR="00BC37E1">
        <w:rPr>
          <w:iCs/>
          <w:szCs w:val="24"/>
        </w:rPr>
        <w:t>upper limit of the one-sided 95% CI of 4.6% was substantially lower and</w:t>
      </w:r>
      <w:r w:rsidR="003B1424">
        <w:rPr>
          <w:iCs/>
          <w:szCs w:val="24"/>
        </w:rPr>
        <w:t xml:space="preserve"> well</w:t>
      </w:r>
      <w:r w:rsidR="00BC37E1">
        <w:rPr>
          <w:iCs/>
          <w:szCs w:val="24"/>
        </w:rPr>
        <w:t xml:space="preserve"> within the pre-specified non-inferiority margin of 15%. </w:t>
      </w:r>
      <w:r w:rsidR="006C0D88">
        <w:rPr>
          <w:iCs/>
          <w:szCs w:val="24"/>
        </w:rPr>
        <w:t>MSAC noted the MAE</w:t>
      </w:r>
      <w:r w:rsidR="001678E2">
        <w:rPr>
          <w:iCs/>
          <w:szCs w:val="24"/>
        </w:rPr>
        <w:t>s</w:t>
      </w:r>
      <w:r w:rsidR="006C0D88">
        <w:rPr>
          <w:iCs/>
          <w:szCs w:val="24"/>
        </w:rPr>
        <w:t xml:space="preserve"> for PASCAL and </w:t>
      </w:r>
      <w:proofErr w:type="spellStart"/>
      <w:r w:rsidR="006C0D88">
        <w:rPr>
          <w:iCs/>
          <w:szCs w:val="24"/>
        </w:rPr>
        <w:t>MitraClip</w:t>
      </w:r>
      <w:proofErr w:type="spellEnd"/>
      <w:r w:rsidR="006C0D88">
        <w:rPr>
          <w:iCs/>
          <w:szCs w:val="24"/>
        </w:rPr>
        <w:t xml:space="preserve"> </w:t>
      </w:r>
      <w:r w:rsidR="001D27B0">
        <w:rPr>
          <w:iCs/>
          <w:szCs w:val="24"/>
        </w:rPr>
        <w:t>(</w:t>
      </w:r>
      <w:r w:rsidR="001D27B0">
        <w:rPr>
          <w:i/>
          <w:szCs w:val="24"/>
        </w:rPr>
        <w:t xml:space="preserve">n </w:t>
      </w:r>
      <w:r w:rsidR="001D27B0">
        <w:rPr>
          <w:iCs/>
          <w:szCs w:val="24"/>
        </w:rPr>
        <w:t xml:space="preserve">= 199 for PASCAL, </w:t>
      </w:r>
      <w:r w:rsidR="001D27B0">
        <w:rPr>
          <w:i/>
          <w:szCs w:val="24"/>
        </w:rPr>
        <w:t xml:space="preserve">n </w:t>
      </w:r>
      <w:r w:rsidR="001D27B0">
        <w:rPr>
          <w:iCs/>
          <w:szCs w:val="24"/>
        </w:rPr>
        <w:t xml:space="preserve">= 95 for </w:t>
      </w:r>
      <w:proofErr w:type="spellStart"/>
      <w:r w:rsidR="001D27B0">
        <w:rPr>
          <w:iCs/>
          <w:szCs w:val="24"/>
        </w:rPr>
        <w:t>MitraClip</w:t>
      </w:r>
      <w:proofErr w:type="spellEnd"/>
      <w:r w:rsidR="001D27B0">
        <w:rPr>
          <w:iCs/>
          <w:szCs w:val="24"/>
        </w:rPr>
        <w:t>)</w:t>
      </w:r>
      <w:r w:rsidR="006C0D88">
        <w:rPr>
          <w:iCs/>
          <w:szCs w:val="24"/>
        </w:rPr>
        <w:t xml:space="preserve"> was 8.2% and 9.6% at 6-months; 15.3% and 11.7% at 12-months respectively.</w:t>
      </w:r>
      <w:r w:rsidR="006D5E14">
        <w:rPr>
          <w:iCs/>
          <w:szCs w:val="24"/>
        </w:rPr>
        <w:t xml:space="preserve"> </w:t>
      </w:r>
      <w:r w:rsidR="00EB6326">
        <w:rPr>
          <w:iCs/>
          <w:szCs w:val="24"/>
        </w:rPr>
        <w:t xml:space="preserve">MSAC noted </w:t>
      </w:r>
      <w:r w:rsidR="00665EDD">
        <w:rPr>
          <w:iCs/>
          <w:szCs w:val="24"/>
        </w:rPr>
        <w:t>t</w:t>
      </w:r>
      <w:r w:rsidR="00665EDD" w:rsidRPr="00665EDD">
        <w:rPr>
          <w:iCs/>
          <w:szCs w:val="24"/>
        </w:rPr>
        <w:t xml:space="preserve">he </w:t>
      </w:r>
      <w:r w:rsidR="00654FD1">
        <w:rPr>
          <w:iCs/>
          <w:szCs w:val="24"/>
        </w:rPr>
        <w:t>comparative safety</w:t>
      </w:r>
      <w:r w:rsidR="00665EDD" w:rsidRPr="00665EDD">
        <w:rPr>
          <w:iCs/>
          <w:szCs w:val="24"/>
        </w:rPr>
        <w:t xml:space="preserve"> of </w:t>
      </w:r>
      <w:r w:rsidR="00654FD1">
        <w:rPr>
          <w:iCs/>
          <w:szCs w:val="24"/>
        </w:rPr>
        <w:t>both devices</w:t>
      </w:r>
      <w:r w:rsidR="00665EDD" w:rsidRPr="00665EDD">
        <w:rPr>
          <w:iCs/>
          <w:szCs w:val="24"/>
        </w:rPr>
        <w:t xml:space="preserve"> was </w:t>
      </w:r>
      <w:r w:rsidR="00654FD1">
        <w:rPr>
          <w:iCs/>
          <w:szCs w:val="24"/>
        </w:rPr>
        <w:t>maintained to 1 year</w:t>
      </w:r>
      <w:r w:rsidR="00557A92">
        <w:rPr>
          <w:iCs/>
          <w:szCs w:val="24"/>
        </w:rPr>
        <w:t>.</w:t>
      </w:r>
      <w:r w:rsidR="00E850A8">
        <w:rPr>
          <w:iCs/>
          <w:szCs w:val="24"/>
        </w:rPr>
        <w:t xml:space="preserve"> In addition,</w:t>
      </w:r>
      <w:r w:rsidR="00E850A8" w:rsidRPr="00E850A8">
        <w:rPr>
          <w:iCs/>
          <w:szCs w:val="24"/>
        </w:rPr>
        <w:t xml:space="preserve"> </w:t>
      </w:r>
      <w:r w:rsidR="00E850A8">
        <w:rPr>
          <w:iCs/>
          <w:szCs w:val="24"/>
        </w:rPr>
        <w:t xml:space="preserve">MSAC noted </w:t>
      </w:r>
      <w:r w:rsidR="00E850A8">
        <w:t>t</w:t>
      </w:r>
      <w:r w:rsidR="00E850A8" w:rsidRPr="00EB35D2">
        <w:t xml:space="preserve">he Kaplan-Meier (KM) estimate for freedom from MAE at 1 year was 84.7% </w:t>
      </w:r>
      <w:r w:rsidR="00E850A8">
        <w:t xml:space="preserve">for </w:t>
      </w:r>
      <w:r w:rsidR="00E850A8" w:rsidRPr="00EB35D2">
        <w:t xml:space="preserve">PASCAL and 88.3% for </w:t>
      </w:r>
      <w:proofErr w:type="spellStart"/>
      <w:r w:rsidR="00E850A8" w:rsidRPr="00EB35D2">
        <w:t>MitraClip</w:t>
      </w:r>
      <w:proofErr w:type="spellEnd"/>
      <w:r w:rsidR="00E850A8" w:rsidRPr="00EB35D2">
        <w:t xml:space="preserve"> (p=0.471)</w:t>
      </w:r>
      <w:r w:rsidR="00E850A8">
        <w:t>.</w:t>
      </w:r>
      <w:r w:rsidR="00E850A8">
        <w:rPr>
          <w:iCs/>
          <w:szCs w:val="24"/>
        </w:rPr>
        <w:t xml:space="preserve"> MSAC considered the KM adequately demonstrated</w:t>
      </w:r>
      <w:r w:rsidR="00E850A8" w:rsidRPr="006069D5">
        <w:rPr>
          <w:iCs/>
          <w:szCs w:val="24"/>
        </w:rPr>
        <w:t xml:space="preserve"> that freedom from hospitalisation due to heart failure at 1 year was similar for both PASCAL and </w:t>
      </w:r>
      <w:proofErr w:type="spellStart"/>
      <w:r w:rsidR="00E850A8" w:rsidRPr="006069D5">
        <w:rPr>
          <w:iCs/>
          <w:szCs w:val="24"/>
        </w:rPr>
        <w:t>MitraClip</w:t>
      </w:r>
      <w:proofErr w:type="spellEnd"/>
      <w:r w:rsidR="00E850A8" w:rsidRPr="006069D5">
        <w:rPr>
          <w:iCs/>
          <w:szCs w:val="24"/>
        </w:rPr>
        <w:t>.</w:t>
      </w:r>
    </w:p>
    <w:p w14:paraId="24E5B0DB" w14:textId="1D31204D" w:rsidR="0079284B" w:rsidRDefault="00CD02B8" w:rsidP="006069D5">
      <w:pPr>
        <w:spacing w:after="240" w:line="240" w:lineRule="auto"/>
      </w:pPr>
      <w:r>
        <w:rPr>
          <w:iCs/>
          <w:szCs w:val="24"/>
        </w:rPr>
        <w:t>In terms of comparative effectiveness</w:t>
      </w:r>
      <w:r w:rsidR="00F669C7">
        <w:rPr>
          <w:iCs/>
          <w:szCs w:val="24"/>
        </w:rPr>
        <w:t xml:space="preserve">, MSAC </w:t>
      </w:r>
      <w:r w:rsidR="00B236AB">
        <w:rPr>
          <w:iCs/>
          <w:szCs w:val="24"/>
        </w:rPr>
        <w:t>noted</w:t>
      </w:r>
      <w:r w:rsidR="00674770">
        <w:rPr>
          <w:iCs/>
          <w:szCs w:val="24"/>
        </w:rPr>
        <w:t xml:space="preserve"> </w:t>
      </w:r>
      <w:r w:rsidR="00387866">
        <w:rPr>
          <w:iCs/>
          <w:szCs w:val="24"/>
        </w:rPr>
        <w:t>the proportion of p</w:t>
      </w:r>
      <w:r w:rsidR="00402735">
        <w:rPr>
          <w:iCs/>
          <w:szCs w:val="24"/>
        </w:rPr>
        <w:t>atients</w:t>
      </w:r>
      <w:r w:rsidR="00387866">
        <w:rPr>
          <w:iCs/>
          <w:szCs w:val="24"/>
        </w:rPr>
        <w:t xml:space="preserve"> </w:t>
      </w:r>
      <w:r w:rsidR="00387866" w:rsidRPr="00B236AB">
        <w:rPr>
          <w:iCs/>
        </w:rPr>
        <w:t>with MR</w:t>
      </w:r>
      <w:r w:rsidR="00AF1D2E">
        <w:rPr>
          <w:iCs/>
        </w:rPr>
        <w:t> </w:t>
      </w:r>
      <w:r w:rsidR="00387866" w:rsidRPr="00B236AB">
        <w:rPr>
          <w:iCs/>
        </w:rPr>
        <w:t>severity</w:t>
      </w:r>
      <w:r w:rsidR="00680245">
        <w:rPr>
          <w:iCs/>
        </w:rPr>
        <w:t> </w:t>
      </w:r>
      <w:r w:rsidR="00B236AB" w:rsidRPr="00BE3DF3">
        <w:rPr>
          <w:rStyle w:val="normaltextrun"/>
          <w:color w:val="000000"/>
          <w:bdr w:val="none" w:sz="0" w:space="0" w:color="auto" w:frame="1"/>
        </w:rPr>
        <w:t>≤2+</w:t>
      </w:r>
      <w:r w:rsidR="00B236AB">
        <w:rPr>
          <w:rStyle w:val="normaltextrun"/>
          <w:color w:val="000000"/>
          <w:bdr w:val="none" w:sz="0" w:space="0" w:color="auto" w:frame="1"/>
        </w:rPr>
        <w:t xml:space="preserve"> </w:t>
      </w:r>
      <w:r w:rsidR="00945970">
        <w:rPr>
          <w:iCs/>
          <w:szCs w:val="24"/>
        </w:rPr>
        <w:t>at 6 months</w:t>
      </w:r>
      <w:r w:rsidR="00B236AB">
        <w:rPr>
          <w:rStyle w:val="normaltextrun"/>
          <w:color w:val="000000"/>
          <w:bdr w:val="none" w:sz="0" w:space="0" w:color="auto" w:frame="1"/>
        </w:rPr>
        <w:t xml:space="preserve"> </w:t>
      </w:r>
      <w:r w:rsidR="00945970">
        <w:rPr>
          <w:rStyle w:val="normaltextrun"/>
          <w:color w:val="000000"/>
          <w:bdr w:val="none" w:sz="0" w:space="0" w:color="auto" w:frame="1"/>
        </w:rPr>
        <w:t>was</w:t>
      </w:r>
      <w:r w:rsidR="00B236AB">
        <w:rPr>
          <w:rStyle w:val="normaltextrun"/>
          <w:color w:val="000000"/>
          <w:bdr w:val="none" w:sz="0" w:space="0" w:color="auto" w:frame="1"/>
        </w:rPr>
        <w:t xml:space="preserve"> 97.9% with PASCAL and 95.7% with </w:t>
      </w:r>
      <w:proofErr w:type="spellStart"/>
      <w:r w:rsidR="00B236AB">
        <w:rPr>
          <w:rStyle w:val="normaltextrun"/>
          <w:color w:val="000000"/>
          <w:bdr w:val="none" w:sz="0" w:space="0" w:color="auto" w:frame="1"/>
        </w:rPr>
        <w:t>MitraClip</w:t>
      </w:r>
      <w:proofErr w:type="spellEnd"/>
      <w:r w:rsidR="00B236AB">
        <w:rPr>
          <w:rStyle w:val="normaltextrun"/>
          <w:color w:val="000000"/>
          <w:bdr w:val="none" w:sz="0" w:space="0" w:color="auto" w:frame="1"/>
        </w:rPr>
        <w:t xml:space="preserve"> </w:t>
      </w:r>
      <w:r w:rsidR="00561E3D">
        <w:rPr>
          <w:rStyle w:val="normaltextrun"/>
          <w:color w:val="000000"/>
          <w:bdr w:val="none" w:sz="0" w:space="0" w:color="auto" w:frame="1"/>
        </w:rPr>
        <w:t>(</w:t>
      </w:r>
      <w:r w:rsidR="00B236AB">
        <w:rPr>
          <w:rStyle w:val="normaltextrun"/>
          <w:color w:val="000000"/>
          <w:bdr w:val="none" w:sz="0" w:space="0" w:color="auto" w:frame="1"/>
        </w:rPr>
        <w:t>absolute difference of 2.2%</w:t>
      </w:r>
      <w:r w:rsidR="00561E3D">
        <w:rPr>
          <w:rStyle w:val="normaltextrun"/>
          <w:color w:val="000000"/>
          <w:bdr w:val="none" w:sz="0" w:space="0" w:color="auto" w:frame="1"/>
        </w:rPr>
        <w:t>)</w:t>
      </w:r>
      <w:r w:rsidR="00B236AB">
        <w:rPr>
          <w:rStyle w:val="normaltextrun"/>
          <w:color w:val="000000"/>
          <w:bdr w:val="none" w:sz="0" w:space="0" w:color="auto" w:frame="1"/>
        </w:rPr>
        <w:t>.</w:t>
      </w:r>
      <w:r w:rsidR="00781FD1">
        <w:rPr>
          <w:rStyle w:val="normaltextrun"/>
          <w:color w:val="000000"/>
          <w:bdr w:val="none" w:sz="0" w:space="0" w:color="auto" w:frame="1"/>
        </w:rPr>
        <w:t xml:space="preserve"> MSAC </w:t>
      </w:r>
      <w:r w:rsidR="008475BB">
        <w:rPr>
          <w:rStyle w:val="normaltextrun"/>
          <w:color w:val="000000"/>
          <w:bdr w:val="none" w:sz="0" w:space="0" w:color="auto" w:frame="1"/>
        </w:rPr>
        <w:t>noted</w:t>
      </w:r>
      <w:r w:rsidR="00781FD1">
        <w:rPr>
          <w:rStyle w:val="normaltextrun"/>
          <w:color w:val="000000"/>
          <w:bdr w:val="none" w:sz="0" w:space="0" w:color="auto" w:frame="1"/>
        </w:rPr>
        <w:t xml:space="preserve"> the</w:t>
      </w:r>
      <w:r w:rsidR="00993E0F">
        <w:rPr>
          <w:rStyle w:val="normaltextrun"/>
          <w:color w:val="000000"/>
          <w:bdr w:val="none" w:sz="0" w:space="0" w:color="auto" w:frame="1"/>
        </w:rPr>
        <w:t xml:space="preserve"> lower </w:t>
      </w:r>
      <w:r w:rsidR="008D4D83">
        <w:rPr>
          <w:rStyle w:val="normaltextrun"/>
          <w:color w:val="000000"/>
          <w:bdr w:val="none" w:sz="0" w:space="0" w:color="auto" w:frame="1"/>
        </w:rPr>
        <w:t>limit</w:t>
      </w:r>
      <w:r w:rsidR="00993E0F">
        <w:rPr>
          <w:rStyle w:val="normaltextrun"/>
          <w:color w:val="000000"/>
          <w:bdr w:val="none" w:sz="0" w:space="0" w:color="auto" w:frame="1"/>
        </w:rPr>
        <w:t xml:space="preserve"> of the </w:t>
      </w:r>
      <w:r w:rsidR="00CF5646">
        <w:rPr>
          <w:rStyle w:val="normaltextrun"/>
          <w:color w:val="000000"/>
          <w:bdr w:val="none" w:sz="0" w:space="0" w:color="auto" w:frame="1"/>
        </w:rPr>
        <w:t>one-sided 95%</w:t>
      </w:r>
      <w:r w:rsidR="007F3F4A">
        <w:rPr>
          <w:rStyle w:val="normaltextrun"/>
          <w:color w:val="000000"/>
          <w:bdr w:val="none" w:sz="0" w:space="0" w:color="auto" w:frame="1"/>
        </w:rPr>
        <w:t xml:space="preserve"> CI </w:t>
      </w:r>
      <w:r w:rsidR="00561E3D">
        <w:rPr>
          <w:rStyle w:val="normaltextrun"/>
          <w:color w:val="000000"/>
          <w:bdr w:val="none" w:sz="0" w:space="0" w:color="auto" w:frame="1"/>
        </w:rPr>
        <w:t>at</w:t>
      </w:r>
      <w:r w:rsidR="008737B5">
        <w:rPr>
          <w:rStyle w:val="normaltextrun"/>
          <w:color w:val="000000"/>
          <w:bdr w:val="none" w:sz="0" w:space="0" w:color="auto" w:frame="1"/>
        </w:rPr>
        <w:t xml:space="preserve"> </w:t>
      </w:r>
      <w:r w:rsidR="00B0474B">
        <w:rPr>
          <w:rStyle w:val="normaltextrun"/>
          <w:color w:val="000000"/>
          <w:bdr w:val="none" w:sz="0" w:space="0" w:color="auto" w:frame="1"/>
        </w:rPr>
        <w:t>-</w:t>
      </w:r>
      <w:r w:rsidR="008737B5">
        <w:rPr>
          <w:rStyle w:val="normaltextrun"/>
          <w:color w:val="000000"/>
          <w:bdr w:val="none" w:sz="0" w:space="0" w:color="auto" w:frame="1"/>
        </w:rPr>
        <w:t>2.</w:t>
      </w:r>
      <w:r w:rsidR="006D442D">
        <w:rPr>
          <w:rStyle w:val="normaltextrun"/>
          <w:color w:val="000000"/>
          <w:bdr w:val="none" w:sz="0" w:space="0" w:color="auto" w:frame="1"/>
        </w:rPr>
        <w:t>5</w:t>
      </w:r>
      <w:r w:rsidR="008737B5">
        <w:rPr>
          <w:rStyle w:val="normaltextrun"/>
          <w:color w:val="000000"/>
          <w:bdr w:val="none" w:sz="0" w:space="0" w:color="auto" w:frame="1"/>
        </w:rPr>
        <w:t>%</w:t>
      </w:r>
      <w:r w:rsidR="008D4D83">
        <w:rPr>
          <w:rStyle w:val="normaltextrun"/>
          <w:color w:val="000000"/>
          <w:bdr w:val="none" w:sz="0" w:space="0" w:color="auto" w:frame="1"/>
        </w:rPr>
        <w:t xml:space="preserve"> was well within the </w:t>
      </w:r>
      <w:r w:rsidR="008D4D83" w:rsidRPr="00226F56">
        <w:rPr>
          <w:rStyle w:val="normaltextrun"/>
          <w:color w:val="000000"/>
          <w:bdr w:val="none" w:sz="0" w:space="0" w:color="auto" w:frame="1"/>
        </w:rPr>
        <w:t>proposed</w:t>
      </w:r>
      <w:r w:rsidR="008D4D83">
        <w:rPr>
          <w:rStyle w:val="normaltextrun"/>
          <w:color w:val="000000"/>
          <w:bdr w:val="none" w:sz="0" w:space="0" w:color="auto" w:frame="1"/>
        </w:rPr>
        <w:t xml:space="preserve"> 18% non-inferiority margin. </w:t>
      </w:r>
      <w:r w:rsidR="00083262">
        <w:rPr>
          <w:rStyle w:val="normaltextrun"/>
          <w:color w:val="000000"/>
          <w:bdr w:val="none" w:sz="0" w:space="0" w:color="auto" w:frame="1"/>
        </w:rPr>
        <w:t xml:space="preserve">MSAC noted that comparative effectiveness of both devices was maintained to </w:t>
      </w:r>
      <w:r w:rsidR="00D84F48">
        <w:rPr>
          <w:rStyle w:val="normaltextrun"/>
          <w:color w:val="000000"/>
          <w:bdr w:val="none" w:sz="0" w:space="0" w:color="auto" w:frame="1"/>
        </w:rPr>
        <w:t>1 year</w:t>
      </w:r>
      <w:r w:rsidR="00070FA1">
        <w:rPr>
          <w:rStyle w:val="normaltextrun"/>
          <w:color w:val="000000"/>
          <w:bdr w:val="none" w:sz="0" w:space="0" w:color="auto" w:frame="1"/>
        </w:rPr>
        <w:t xml:space="preserve">; the </w:t>
      </w:r>
      <w:r w:rsidR="00070FA1" w:rsidRPr="00A00556">
        <w:t>MR severity of ≤2+</w:t>
      </w:r>
      <w:r w:rsidR="00070FA1">
        <w:t xml:space="preserve"> was </w:t>
      </w:r>
      <w:r w:rsidR="00070FA1" w:rsidRPr="00A00556">
        <w:t xml:space="preserve">96.0% in the PASCAL group and 93.8% in the </w:t>
      </w:r>
      <w:proofErr w:type="spellStart"/>
      <w:r w:rsidR="00070FA1" w:rsidRPr="00A00556">
        <w:t>MitraClip</w:t>
      </w:r>
      <w:proofErr w:type="spellEnd"/>
      <w:r w:rsidR="00070FA1" w:rsidRPr="00A00556">
        <w:t xml:space="preserve"> group</w:t>
      </w:r>
      <w:r w:rsidR="00BD3838">
        <w:t>.</w:t>
      </w:r>
    </w:p>
    <w:p w14:paraId="2F113CFC" w14:textId="22CEA9DD" w:rsidR="00C0470B" w:rsidRDefault="00C0470B" w:rsidP="006069D5">
      <w:pPr>
        <w:spacing w:after="240" w:line="240" w:lineRule="auto"/>
        <w:rPr>
          <w:iCs/>
          <w:szCs w:val="24"/>
        </w:rPr>
      </w:pPr>
      <w:r>
        <w:t xml:space="preserve">MSAC noted </w:t>
      </w:r>
      <w:r w:rsidR="00867F08">
        <w:t>that</w:t>
      </w:r>
      <w:r>
        <w:t xml:space="preserve"> a </w:t>
      </w:r>
      <w:r w:rsidR="00E2177A">
        <w:t xml:space="preserve">more stringent </w:t>
      </w:r>
      <w:r>
        <w:t>margin of non-inferiority had not been presented</w:t>
      </w:r>
      <w:r w:rsidR="008B0B2D">
        <w:t>, as the margins were pre-specified in the CLASP IID trial protocol</w:t>
      </w:r>
      <w:r w:rsidR="00382329">
        <w:t>. However, MSAC</w:t>
      </w:r>
      <w:r w:rsidR="00150055">
        <w:t xml:space="preserve"> </w:t>
      </w:r>
      <w:r>
        <w:t>considered that the margins for safety and effectiveness at 6 months and 1 year were met and would hold under a stricter margin.</w:t>
      </w:r>
    </w:p>
    <w:p w14:paraId="71FDD0A3" w14:textId="0240A5D9" w:rsidR="00870231" w:rsidRDefault="001D7ECE" w:rsidP="006069D5">
      <w:pPr>
        <w:spacing w:after="240" w:line="240" w:lineRule="auto"/>
        <w:rPr>
          <w:iCs/>
          <w:szCs w:val="24"/>
        </w:rPr>
      </w:pPr>
      <w:r>
        <w:rPr>
          <w:iCs/>
          <w:szCs w:val="24"/>
        </w:rPr>
        <w:t>Ov</w:t>
      </w:r>
      <w:r w:rsidR="00B07BC5">
        <w:rPr>
          <w:iCs/>
          <w:szCs w:val="24"/>
        </w:rPr>
        <w:t xml:space="preserve">erall, </w:t>
      </w:r>
      <w:r w:rsidR="002423AD">
        <w:rPr>
          <w:iCs/>
          <w:szCs w:val="24"/>
        </w:rPr>
        <w:t xml:space="preserve">MSAC </w:t>
      </w:r>
      <w:r w:rsidR="006E604E">
        <w:rPr>
          <w:rStyle w:val="normaltextrun"/>
          <w:color w:val="000000"/>
          <w:shd w:val="clear" w:color="auto" w:fill="FFFFFF"/>
        </w:rPr>
        <w:t xml:space="preserve">accepted the high certainty from the evidence that </w:t>
      </w:r>
      <w:proofErr w:type="spellStart"/>
      <w:r w:rsidR="006E604E">
        <w:rPr>
          <w:rStyle w:val="normaltextrun"/>
          <w:color w:val="000000"/>
          <w:shd w:val="clear" w:color="auto" w:fill="FFFFFF"/>
        </w:rPr>
        <w:t>TMVr</w:t>
      </w:r>
      <w:proofErr w:type="spellEnd"/>
      <w:r w:rsidR="006E604E">
        <w:rPr>
          <w:rStyle w:val="normaltextrun"/>
          <w:color w:val="000000"/>
          <w:shd w:val="clear" w:color="auto" w:fill="FFFFFF"/>
        </w:rPr>
        <w:t xml:space="preserve"> using the PASCAL Transcatheter Valve Repair System™ had non</w:t>
      </w:r>
      <w:r w:rsidR="00501479">
        <w:rPr>
          <w:rStyle w:val="normaltextrun"/>
          <w:color w:val="000000"/>
          <w:shd w:val="clear" w:color="auto" w:fill="FFFFFF"/>
        </w:rPr>
        <w:t>-</w:t>
      </w:r>
      <w:r w:rsidR="006E604E">
        <w:rPr>
          <w:rStyle w:val="normaltextrun"/>
          <w:color w:val="000000"/>
          <w:shd w:val="clear" w:color="auto" w:fill="FFFFFF"/>
        </w:rPr>
        <w:t xml:space="preserve">inferior effectiveness and safety </w:t>
      </w:r>
      <w:r w:rsidR="00870231" w:rsidRPr="006069D5">
        <w:rPr>
          <w:iCs/>
          <w:szCs w:val="24"/>
        </w:rPr>
        <w:t xml:space="preserve">compared with </w:t>
      </w:r>
      <w:proofErr w:type="spellStart"/>
      <w:r w:rsidR="00870231" w:rsidRPr="006069D5">
        <w:rPr>
          <w:iCs/>
          <w:szCs w:val="24"/>
        </w:rPr>
        <w:t>MitraClip</w:t>
      </w:r>
      <w:proofErr w:type="spellEnd"/>
      <w:r w:rsidR="00870231">
        <w:rPr>
          <w:iCs/>
          <w:szCs w:val="24"/>
        </w:rPr>
        <w:t>.</w:t>
      </w:r>
    </w:p>
    <w:p w14:paraId="02836F2B" w14:textId="2485875D" w:rsidR="006069D5" w:rsidRPr="00BE3DF3" w:rsidRDefault="009139D3" w:rsidP="006069D5">
      <w:pPr>
        <w:spacing w:after="240" w:line="240" w:lineRule="auto"/>
        <w:rPr>
          <w:color w:val="000000"/>
          <w:bdr w:val="none" w:sz="0" w:space="0" w:color="auto" w:frame="1"/>
        </w:rPr>
      </w:pPr>
      <w:r>
        <w:t xml:space="preserve">MSAC </w:t>
      </w:r>
      <w:r w:rsidR="008649AD">
        <w:t xml:space="preserve">noted that </w:t>
      </w:r>
      <w:r w:rsidR="001F27CB">
        <w:t xml:space="preserve">the CLASP IID RCT data was only provided at </w:t>
      </w:r>
      <w:r w:rsidR="00684991">
        <w:t xml:space="preserve">the </w:t>
      </w:r>
      <w:r w:rsidR="001F27CB">
        <w:t>1</w:t>
      </w:r>
      <w:r w:rsidR="00684991">
        <w:t>-</w:t>
      </w:r>
      <w:r w:rsidR="001F27CB">
        <w:t>year</w:t>
      </w:r>
      <w:r w:rsidR="00684991">
        <w:t xml:space="preserve"> interval</w:t>
      </w:r>
      <w:r w:rsidR="00197C02">
        <w:t xml:space="preserve"> h</w:t>
      </w:r>
      <w:r w:rsidR="001F27CB">
        <w:t xml:space="preserve">owever, MSAC </w:t>
      </w:r>
      <w:r w:rsidR="00625843">
        <w:t>agreed with ESC</w:t>
      </w:r>
      <w:r w:rsidR="001F27CB">
        <w:t xml:space="preserve"> that th</w:t>
      </w:r>
      <w:r w:rsidR="0022079E">
        <w:t>e</w:t>
      </w:r>
      <w:r w:rsidR="001F27CB">
        <w:t xml:space="preserve"> </w:t>
      </w:r>
      <w:r w:rsidR="00900FCE">
        <w:t xml:space="preserve">available data at the </w:t>
      </w:r>
      <w:r w:rsidR="00A60C52">
        <w:t>1-year</w:t>
      </w:r>
      <w:r w:rsidR="001F27CB">
        <w:t xml:space="preserve"> </w:t>
      </w:r>
      <w:r w:rsidR="00900FCE">
        <w:t>interval</w:t>
      </w:r>
      <w:r w:rsidR="00A60C52">
        <w:t xml:space="preserve"> </w:t>
      </w:r>
      <w:r w:rsidR="001F27CB">
        <w:t>demonstr</w:t>
      </w:r>
      <w:r w:rsidR="00900FCE">
        <w:t>ated</w:t>
      </w:r>
      <w:r w:rsidR="001F27CB">
        <w:t xml:space="preserve"> no </w:t>
      </w:r>
      <w:r w:rsidR="00DE5BC2">
        <w:t xml:space="preserve">new </w:t>
      </w:r>
      <w:r w:rsidR="001F27CB">
        <w:t xml:space="preserve">signal for concern regarding </w:t>
      </w:r>
      <w:r w:rsidR="003631F9">
        <w:t xml:space="preserve">comparative </w:t>
      </w:r>
      <w:r w:rsidR="001F27CB">
        <w:t xml:space="preserve">safety and effectiveness, and that the outcomes </w:t>
      </w:r>
      <w:r w:rsidR="00364E90">
        <w:t xml:space="preserve">were </w:t>
      </w:r>
      <w:r w:rsidR="00A54A09">
        <w:t>similar</w:t>
      </w:r>
      <w:r w:rsidR="00364E90">
        <w:t xml:space="preserve"> between PASCAL and </w:t>
      </w:r>
      <w:proofErr w:type="spellStart"/>
      <w:r w:rsidR="00364E90">
        <w:t>MitraClip</w:t>
      </w:r>
      <w:proofErr w:type="spellEnd"/>
      <w:r w:rsidR="00364E90">
        <w:t xml:space="preserve"> at the same 1</w:t>
      </w:r>
      <w:r w:rsidR="00A60C52">
        <w:t>-</w:t>
      </w:r>
      <w:r w:rsidR="00364E90">
        <w:t xml:space="preserve">year </w:t>
      </w:r>
      <w:r w:rsidR="00A60C52">
        <w:t>interval.</w:t>
      </w:r>
      <w:r w:rsidR="006069D5">
        <w:t xml:space="preserve"> </w:t>
      </w:r>
    </w:p>
    <w:p w14:paraId="074C7494" w14:textId="697EBBA7" w:rsidR="006069D5" w:rsidRPr="006069D5" w:rsidRDefault="006069D5" w:rsidP="006069D5">
      <w:pPr>
        <w:spacing w:after="240" w:line="240" w:lineRule="auto"/>
        <w:rPr>
          <w:iCs/>
          <w:szCs w:val="24"/>
        </w:rPr>
      </w:pPr>
      <w:r w:rsidRPr="006069D5">
        <w:rPr>
          <w:iCs/>
          <w:szCs w:val="24"/>
        </w:rPr>
        <w:t xml:space="preserve">MSAC </w:t>
      </w:r>
      <w:r w:rsidR="00E31308">
        <w:rPr>
          <w:iCs/>
          <w:szCs w:val="24"/>
        </w:rPr>
        <w:t>noted the current ADAR did not make a claim of</w:t>
      </w:r>
      <w:r w:rsidRPr="006069D5">
        <w:rPr>
          <w:iCs/>
          <w:szCs w:val="24"/>
        </w:rPr>
        <w:t xml:space="preserve"> unmet clinical need</w:t>
      </w:r>
      <w:r w:rsidR="009C74C7">
        <w:rPr>
          <w:iCs/>
          <w:szCs w:val="24"/>
        </w:rPr>
        <w:t xml:space="preserve">. </w:t>
      </w:r>
      <w:r w:rsidR="00790DEE">
        <w:rPr>
          <w:iCs/>
          <w:szCs w:val="24"/>
        </w:rPr>
        <w:t>MSAC noted that the CLASP IID Registry contains evidence for some</w:t>
      </w:r>
      <w:r w:rsidR="00790DEE" w:rsidRPr="006069D5">
        <w:rPr>
          <w:iCs/>
          <w:szCs w:val="24"/>
        </w:rPr>
        <w:t xml:space="preserve"> patients who were </w:t>
      </w:r>
      <w:r w:rsidR="00790DEE">
        <w:rPr>
          <w:iCs/>
          <w:szCs w:val="24"/>
        </w:rPr>
        <w:t>unsuitable</w:t>
      </w:r>
      <w:r w:rsidR="00790DEE" w:rsidRPr="006069D5">
        <w:rPr>
          <w:iCs/>
          <w:szCs w:val="24"/>
        </w:rPr>
        <w:t xml:space="preserve"> for </w:t>
      </w:r>
      <w:proofErr w:type="spellStart"/>
      <w:r w:rsidR="00790DEE" w:rsidRPr="006069D5">
        <w:rPr>
          <w:iCs/>
          <w:szCs w:val="24"/>
        </w:rPr>
        <w:t>MitraClip</w:t>
      </w:r>
      <w:proofErr w:type="spellEnd"/>
      <w:r w:rsidR="00790DEE" w:rsidRPr="006069D5">
        <w:rPr>
          <w:iCs/>
          <w:szCs w:val="24"/>
        </w:rPr>
        <w:t xml:space="preserve"> </w:t>
      </w:r>
      <w:r w:rsidR="00790DEE">
        <w:rPr>
          <w:iCs/>
          <w:szCs w:val="24"/>
        </w:rPr>
        <w:t xml:space="preserve">mitral transcatheter edge-to-edge (TEER), </w:t>
      </w:r>
      <w:r w:rsidR="00790DEE" w:rsidRPr="006069D5">
        <w:rPr>
          <w:iCs/>
          <w:szCs w:val="24"/>
        </w:rPr>
        <w:t>went on to receive PASCAL</w:t>
      </w:r>
      <w:r w:rsidR="00790DEE">
        <w:rPr>
          <w:iCs/>
          <w:szCs w:val="24"/>
        </w:rPr>
        <w:t xml:space="preserve"> TEER</w:t>
      </w:r>
      <w:r w:rsidR="00790DEE" w:rsidRPr="006069D5">
        <w:rPr>
          <w:iCs/>
          <w:szCs w:val="24"/>
        </w:rPr>
        <w:t xml:space="preserve">, </w:t>
      </w:r>
      <w:r w:rsidR="00043787">
        <w:rPr>
          <w:iCs/>
          <w:szCs w:val="24"/>
        </w:rPr>
        <w:t xml:space="preserve">MSAC considered that </w:t>
      </w:r>
      <w:r w:rsidR="00C1750B">
        <w:rPr>
          <w:iCs/>
          <w:szCs w:val="24"/>
        </w:rPr>
        <w:t xml:space="preserve">some </w:t>
      </w:r>
      <w:r w:rsidR="00043787">
        <w:rPr>
          <w:iCs/>
          <w:szCs w:val="24"/>
        </w:rPr>
        <w:t xml:space="preserve">patients with </w:t>
      </w:r>
      <w:r w:rsidRPr="006069D5">
        <w:rPr>
          <w:iCs/>
          <w:szCs w:val="24"/>
        </w:rPr>
        <w:t>complex mitral valve anatomy</w:t>
      </w:r>
      <w:r w:rsidR="00043787">
        <w:rPr>
          <w:iCs/>
          <w:szCs w:val="24"/>
        </w:rPr>
        <w:t xml:space="preserve"> </w:t>
      </w:r>
      <w:r w:rsidR="00B217DE">
        <w:rPr>
          <w:iCs/>
          <w:szCs w:val="24"/>
        </w:rPr>
        <w:t>could</w:t>
      </w:r>
      <w:r w:rsidR="00043787">
        <w:rPr>
          <w:iCs/>
          <w:szCs w:val="24"/>
        </w:rPr>
        <w:t xml:space="preserve"> benefit from </w:t>
      </w:r>
      <w:r w:rsidR="00553FE2">
        <w:rPr>
          <w:iCs/>
          <w:szCs w:val="24"/>
        </w:rPr>
        <w:t>an additional</w:t>
      </w:r>
      <w:r w:rsidR="00B36076">
        <w:rPr>
          <w:iCs/>
          <w:szCs w:val="24"/>
        </w:rPr>
        <w:t xml:space="preserve"> treatment option</w:t>
      </w:r>
      <w:r w:rsidRPr="006069D5">
        <w:rPr>
          <w:iCs/>
          <w:szCs w:val="24"/>
        </w:rPr>
        <w:t xml:space="preserve">, as clinicians report that PASCAL is more manoeuvrable </w:t>
      </w:r>
      <w:r w:rsidR="00B217DE">
        <w:rPr>
          <w:iCs/>
          <w:szCs w:val="24"/>
        </w:rPr>
        <w:t>when compared with</w:t>
      </w:r>
      <w:r w:rsidR="00B217DE" w:rsidRPr="006069D5">
        <w:rPr>
          <w:iCs/>
          <w:szCs w:val="24"/>
        </w:rPr>
        <w:t xml:space="preserve"> </w:t>
      </w:r>
      <w:proofErr w:type="spellStart"/>
      <w:r w:rsidRPr="006069D5">
        <w:rPr>
          <w:iCs/>
          <w:szCs w:val="24"/>
        </w:rPr>
        <w:t>MitraClip</w:t>
      </w:r>
      <w:proofErr w:type="spellEnd"/>
      <w:r w:rsidRPr="006069D5">
        <w:rPr>
          <w:iCs/>
          <w:szCs w:val="24"/>
        </w:rPr>
        <w:t xml:space="preserve">. </w:t>
      </w:r>
      <w:r w:rsidR="00214C6B">
        <w:rPr>
          <w:iCs/>
          <w:szCs w:val="24"/>
        </w:rPr>
        <w:t xml:space="preserve">MSAC considered </w:t>
      </w:r>
      <w:r w:rsidR="00553356">
        <w:rPr>
          <w:iCs/>
          <w:szCs w:val="24"/>
        </w:rPr>
        <w:t>that although the PASCAL device</w:t>
      </w:r>
      <w:r w:rsidR="008D15F4">
        <w:rPr>
          <w:iCs/>
          <w:szCs w:val="24"/>
        </w:rPr>
        <w:t xml:space="preserve"> may</w:t>
      </w:r>
      <w:r w:rsidR="00553356">
        <w:rPr>
          <w:iCs/>
          <w:szCs w:val="24"/>
        </w:rPr>
        <w:t xml:space="preserve"> provide clinicians with </w:t>
      </w:r>
      <w:r w:rsidR="008D15F4">
        <w:rPr>
          <w:iCs/>
          <w:szCs w:val="24"/>
        </w:rPr>
        <w:t>an additional</w:t>
      </w:r>
      <w:r w:rsidR="00CA79CC">
        <w:rPr>
          <w:iCs/>
          <w:szCs w:val="24"/>
        </w:rPr>
        <w:t xml:space="preserve"> treatment </w:t>
      </w:r>
      <w:r w:rsidR="00141C67">
        <w:rPr>
          <w:iCs/>
          <w:szCs w:val="24"/>
        </w:rPr>
        <w:t xml:space="preserve">option </w:t>
      </w:r>
      <w:r w:rsidR="004E45A6">
        <w:rPr>
          <w:iCs/>
          <w:szCs w:val="24"/>
        </w:rPr>
        <w:t xml:space="preserve">for some patients due to </w:t>
      </w:r>
      <w:r w:rsidR="008D15F4">
        <w:rPr>
          <w:iCs/>
          <w:szCs w:val="24"/>
        </w:rPr>
        <w:t xml:space="preserve">their </w:t>
      </w:r>
      <w:r w:rsidR="00412131">
        <w:rPr>
          <w:iCs/>
          <w:szCs w:val="24"/>
        </w:rPr>
        <w:t xml:space="preserve">mitral anatomy, this does not </w:t>
      </w:r>
      <w:r w:rsidR="007D1865">
        <w:rPr>
          <w:iCs/>
          <w:szCs w:val="24"/>
        </w:rPr>
        <w:t xml:space="preserve">demonstrate </w:t>
      </w:r>
      <w:r w:rsidR="00E45F55">
        <w:rPr>
          <w:iCs/>
          <w:szCs w:val="24"/>
        </w:rPr>
        <w:t>filling</w:t>
      </w:r>
      <w:r w:rsidR="007D1865">
        <w:rPr>
          <w:iCs/>
          <w:szCs w:val="24"/>
        </w:rPr>
        <w:t xml:space="preserve"> unmet need</w:t>
      </w:r>
      <w:r w:rsidR="00CB2EE7">
        <w:rPr>
          <w:iCs/>
          <w:szCs w:val="24"/>
        </w:rPr>
        <w:t>.</w:t>
      </w:r>
    </w:p>
    <w:p w14:paraId="1719CC06" w14:textId="4D0869BD" w:rsidR="003C0188" w:rsidRDefault="006069D5" w:rsidP="006069D5">
      <w:pPr>
        <w:spacing w:after="240" w:line="240" w:lineRule="auto"/>
        <w:rPr>
          <w:iCs/>
          <w:szCs w:val="24"/>
        </w:rPr>
      </w:pPr>
      <w:r w:rsidRPr="006069D5">
        <w:rPr>
          <w:iCs/>
          <w:szCs w:val="24"/>
        </w:rPr>
        <w:t>MSAC noted the economic evaluation</w:t>
      </w:r>
      <w:r w:rsidR="000D7EE5">
        <w:rPr>
          <w:iCs/>
          <w:szCs w:val="24"/>
        </w:rPr>
        <w:t xml:space="preserve"> was </w:t>
      </w:r>
      <w:r w:rsidRPr="006069D5">
        <w:rPr>
          <w:iCs/>
          <w:szCs w:val="24"/>
        </w:rPr>
        <w:t xml:space="preserve">a cost-minimisation analysis. </w:t>
      </w:r>
      <w:r w:rsidR="00A87BD6">
        <w:rPr>
          <w:iCs/>
          <w:szCs w:val="24"/>
        </w:rPr>
        <w:t xml:space="preserve">MSAC noted the applicant </w:t>
      </w:r>
      <w:r w:rsidR="00E9153F">
        <w:rPr>
          <w:iCs/>
          <w:szCs w:val="24"/>
        </w:rPr>
        <w:t xml:space="preserve">considered </w:t>
      </w:r>
      <w:r w:rsidR="003961CE">
        <w:rPr>
          <w:iCs/>
          <w:szCs w:val="24"/>
        </w:rPr>
        <w:t xml:space="preserve">that PASCAL </w:t>
      </w:r>
      <w:r w:rsidR="003B13C7">
        <w:rPr>
          <w:iCs/>
          <w:szCs w:val="24"/>
        </w:rPr>
        <w:t>was</w:t>
      </w:r>
      <w:r w:rsidR="003961CE">
        <w:rPr>
          <w:iCs/>
          <w:szCs w:val="24"/>
        </w:rPr>
        <w:t xml:space="preserve"> likely to be cost-neutral, compared </w:t>
      </w:r>
      <w:r w:rsidR="008C22A2">
        <w:rPr>
          <w:iCs/>
          <w:szCs w:val="24"/>
        </w:rPr>
        <w:t>with</w:t>
      </w:r>
      <w:r w:rsidR="003961CE">
        <w:rPr>
          <w:iCs/>
          <w:szCs w:val="24"/>
        </w:rPr>
        <w:t xml:space="preserve"> </w:t>
      </w:r>
      <w:proofErr w:type="spellStart"/>
      <w:r w:rsidR="003961CE">
        <w:rPr>
          <w:iCs/>
          <w:szCs w:val="24"/>
        </w:rPr>
        <w:t>MitraClip</w:t>
      </w:r>
      <w:proofErr w:type="spellEnd"/>
      <w:r w:rsidR="003961CE">
        <w:rPr>
          <w:iCs/>
          <w:szCs w:val="24"/>
        </w:rPr>
        <w:t>.</w:t>
      </w:r>
      <w:r w:rsidR="00E45A82">
        <w:rPr>
          <w:iCs/>
          <w:szCs w:val="24"/>
        </w:rPr>
        <w:t xml:space="preserve"> </w:t>
      </w:r>
      <w:r w:rsidR="00D15C0C">
        <w:rPr>
          <w:iCs/>
          <w:szCs w:val="24"/>
        </w:rPr>
        <w:t xml:space="preserve">MSAC </w:t>
      </w:r>
      <w:r w:rsidR="00A87BD6">
        <w:rPr>
          <w:iCs/>
          <w:szCs w:val="24"/>
        </w:rPr>
        <w:t>considered</w:t>
      </w:r>
      <w:r w:rsidR="00D15C0C">
        <w:rPr>
          <w:iCs/>
          <w:szCs w:val="24"/>
        </w:rPr>
        <w:t xml:space="preserve"> the </w:t>
      </w:r>
      <w:r w:rsidR="00976E32">
        <w:rPr>
          <w:iCs/>
          <w:szCs w:val="24"/>
        </w:rPr>
        <w:t>procedure costs</w:t>
      </w:r>
      <w:r w:rsidR="007C6617">
        <w:rPr>
          <w:iCs/>
          <w:szCs w:val="24"/>
        </w:rPr>
        <w:t xml:space="preserve"> base case, 30 days</w:t>
      </w:r>
      <w:r w:rsidR="00976E32">
        <w:rPr>
          <w:iCs/>
          <w:szCs w:val="24"/>
        </w:rPr>
        <w:t xml:space="preserve"> for PASCAL and </w:t>
      </w:r>
      <w:proofErr w:type="spellStart"/>
      <w:r w:rsidR="00976E32">
        <w:rPr>
          <w:iCs/>
          <w:szCs w:val="24"/>
        </w:rPr>
        <w:t>MitraClip</w:t>
      </w:r>
      <w:proofErr w:type="spellEnd"/>
      <w:r w:rsidR="007C6617">
        <w:rPr>
          <w:iCs/>
          <w:szCs w:val="24"/>
        </w:rPr>
        <w:t xml:space="preserve"> </w:t>
      </w:r>
      <w:r w:rsidR="00976E32">
        <w:rPr>
          <w:iCs/>
          <w:szCs w:val="24"/>
        </w:rPr>
        <w:t xml:space="preserve">($34,374 and $34,374 respectively) </w:t>
      </w:r>
      <w:r w:rsidR="00992EA2">
        <w:rPr>
          <w:iCs/>
          <w:szCs w:val="24"/>
        </w:rPr>
        <w:t>had no difference and thus</w:t>
      </w:r>
      <w:r w:rsidR="007C6617">
        <w:rPr>
          <w:iCs/>
          <w:szCs w:val="24"/>
        </w:rPr>
        <w:t xml:space="preserve"> </w:t>
      </w:r>
      <w:r w:rsidR="00E45A82">
        <w:rPr>
          <w:iCs/>
          <w:szCs w:val="24"/>
        </w:rPr>
        <w:t xml:space="preserve">agreed with the applicant and ESC, </w:t>
      </w:r>
      <w:r w:rsidR="0094536E">
        <w:rPr>
          <w:iCs/>
          <w:szCs w:val="24"/>
        </w:rPr>
        <w:t>that amending</w:t>
      </w:r>
      <w:r w:rsidR="007C6617">
        <w:rPr>
          <w:iCs/>
          <w:szCs w:val="24"/>
        </w:rPr>
        <w:t xml:space="preserve"> MBS item 38461 </w:t>
      </w:r>
      <w:r w:rsidR="00E45A82">
        <w:rPr>
          <w:iCs/>
          <w:szCs w:val="24"/>
        </w:rPr>
        <w:t xml:space="preserve">to be listed </w:t>
      </w:r>
      <w:r w:rsidR="007C6617">
        <w:rPr>
          <w:iCs/>
          <w:szCs w:val="24"/>
        </w:rPr>
        <w:t>as device agnostic</w:t>
      </w:r>
      <w:r w:rsidR="008028E8">
        <w:rPr>
          <w:iCs/>
          <w:szCs w:val="24"/>
        </w:rPr>
        <w:t xml:space="preserve"> for </w:t>
      </w:r>
      <w:proofErr w:type="spellStart"/>
      <w:r w:rsidR="008028E8">
        <w:rPr>
          <w:iCs/>
          <w:szCs w:val="24"/>
        </w:rPr>
        <w:t>MitraClip</w:t>
      </w:r>
      <w:proofErr w:type="spellEnd"/>
      <w:r w:rsidR="008028E8">
        <w:rPr>
          <w:iCs/>
          <w:szCs w:val="24"/>
        </w:rPr>
        <w:t xml:space="preserve"> and PASCAL</w:t>
      </w:r>
      <w:r w:rsidR="002C587C">
        <w:rPr>
          <w:iCs/>
          <w:szCs w:val="24"/>
        </w:rPr>
        <w:t xml:space="preserve"> </w:t>
      </w:r>
      <w:r w:rsidR="009D0933">
        <w:rPr>
          <w:iCs/>
          <w:szCs w:val="24"/>
        </w:rPr>
        <w:t xml:space="preserve">would be </w:t>
      </w:r>
      <w:r w:rsidR="007C6617">
        <w:rPr>
          <w:iCs/>
          <w:szCs w:val="24"/>
        </w:rPr>
        <w:lastRenderedPageBreak/>
        <w:t>cost neutral</w:t>
      </w:r>
      <w:r w:rsidRPr="006069D5">
        <w:rPr>
          <w:iCs/>
          <w:szCs w:val="24"/>
        </w:rPr>
        <w:t>. Reintervention and adverse events</w:t>
      </w:r>
      <w:r w:rsidR="004E0A78">
        <w:rPr>
          <w:iCs/>
          <w:szCs w:val="24"/>
        </w:rPr>
        <w:t xml:space="preserve"> (AE)</w:t>
      </w:r>
      <w:r w:rsidRPr="006069D5">
        <w:rPr>
          <w:iCs/>
          <w:szCs w:val="24"/>
        </w:rPr>
        <w:t xml:space="preserve"> costs are included in the economic evaluation</w:t>
      </w:r>
      <w:r w:rsidR="004D5EB0">
        <w:rPr>
          <w:iCs/>
          <w:szCs w:val="24"/>
        </w:rPr>
        <w:t>,</w:t>
      </w:r>
      <w:r w:rsidRPr="006069D5">
        <w:rPr>
          <w:iCs/>
          <w:szCs w:val="24"/>
        </w:rPr>
        <w:t xml:space="preserve"> based on the CLASP IID trial direct comparative rate of </w:t>
      </w:r>
      <w:r w:rsidR="00D9274F">
        <w:rPr>
          <w:iCs/>
          <w:szCs w:val="24"/>
        </w:rPr>
        <w:t>MAEs</w:t>
      </w:r>
      <w:r w:rsidRPr="006069D5">
        <w:rPr>
          <w:iCs/>
          <w:szCs w:val="24"/>
        </w:rPr>
        <w:t xml:space="preserve"> at 30 days (base case) and 1 year (sensitivity analyses)</w:t>
      </w:r>
      <w:r w:rsidR="00072ABA">
        <w:rPr>
          <w:iCs/>
          <w:szCs w:val="24"/>
        </w:rPr>
        <w:t xml:space="preserve">. MSAC </w:t>
      </w:r>
      <w:r w:rsidR="00EE7D5C">
        <w:rPr>
          <w:iCs/>
          <w:szCs w:val="24"/>
        </w:rPr>
        <w:t xml:space="preserve">noted </w:t>
      </w:r>
      <w:r w:rsidR="00F470D2">
        <w:rPr>
          <w:iCs/>
          <w:szCs w:val="24"/>
        </w:rPr>
        <w:t xml:space="preserve">the </w:t>
      </w:r>
      <w:r w:rsidR="00F41FDC">
        <w:rPr>
          <w:iCs/>
          <w:szCs w:val="24"/>
        </w:rPr>
        <w:t xml:space="preserve">base case for PASCAL </w:t>
      </w:r>
      <w:r w:rsidR="003B493F">
        <w:rPr>
          <w:iCs/>
          <w:szCs w:val="24"/>
        </w:rPr>
        <w:t xml:space="preserve">had a cost saving </w:t>
      </w:r>
      <w:r w:rsidR="00631547">
        <w:rPr>
          <w:iCs/>
          <w:szCs w:val="24"/>
        </w:rPr>
        <w:t>at 30 days (</w:t>
      </w:r>
      <w:r w:rsidR="00C71B78">
        <w:rPr>
          <w:iCs/>
          <w:szCs w:val="24"/>
        </w:rPr>
        <w:t>$591 for PASCAL</w:t>
      </w:r>
      <w:r w:rsidR="00500FE9">
        <w:rPr>
          <w:iCs/>
          <w:szCs w:val="24"/>
        </w:rPr>
        <w:t xml:space="preserve">, compared </w:t>
      </w:r>
      <w:r w:rsidR="003203AC">
        <w:rPr>
          <w:iCs/>
          <w:szCs w:val="24"/>
        </w:rPr>
        <w:t>with</w:t>
      </w:r>
      <w:r w:rsidR="00C71B78">
        <w:rPr>
          <w:iCs/>
          <w:szCs w:val="24"/>
        </w:rPr>
        <w:t xml:space="preserve"> </w:t>
      </w:r>
      <w:r w:rsidR="008535F8">
        <w:rPr>
          <w:iCs/>
          <w:szCs w:val="24"/>
        </w:rPr>
        <w:t xml:space="preserve">$891 for </w:t>
      </w:r>
      <w:proofErr w:type="spellStart"/>
      <w:r w:rsidR="008535F8">
        <w:rPr>
          <w:iCs/>
          <w:szCs w:val="24"/>
        </w:rPr>
        <w:t>MitraClip</w:t>
      </w:r>
      <w:proofErr w:type="spellEnd"/>
      <w:r w:rsidR="008535F8">
        <w:rPr>
          <w:iCs/>
          <w:szCs w:val="24"/>
        </w:rPr>
        <w:t xml:space="preserve">) and </w:t>
      </w:r>
      <w:r w:rsidR="00C94850">
        <w:rPr>
          <w:iCs/>
          <w:szCs w:val="24"/>
        </w:rPr>
        <w:t>at 1-year (</w:t>
      </w:r>
      <w:r w:rsidR="00500FE9">
        <w:rPr>
          <w:iCs/>
          <w:szCs w:val="24"/>
        </w:rPr>
        <w:t>$1</w:t>
      </w:r>
      <w:r w:rsidR="006458B9">
        <w:rPr>
          <w:iCs/>
          <w:szCs w:val="24"/>
        </w:rPr>
        <w:t>,</w:t>
      </w:r>
      <w:r w:rsidR="00500FE9">
        <w:rPr>
          <w:iCs/>
          <w:szCs w:val="24"/>
        </w:rPr>
        <w:t xml:space="preserve">490 for PASCAL, compared </w:t>
      </w:r>
      <w:r w:rsidR="003203AC">
        <w:rPr>
          <w:iCs/>
          <w:szCs w:val="24"/>
        </w:rPr>
        <w:t>with</w:t>
      </w:r>
      <w:r w:rsidR="00500FE9">
        <w:rPr>
          <w:iCs/>
          <w:szCs w:val="24"/>
        </w:rPr>
        <w:t xml:space="preserve"> $1,</w:t>
      </w:r>
      <w:r w:rsidR="008D3ED5">
        <w:rPr>
          <w:iCs/>
          <w:szCs w:val="24"/>
        </w:rPr>
        <w:t xml:space="preserve">990 for </w:t>
      </w:r>
      <w:proofErr w:type="spellStart"/>
      <w:r w:rsidR="008D3ED5">
        <w:rPr>
          <w:iCs/>
          <w:szCs w:val="24"/>
        </w:rPr>
        <w:t>MitraClip</w:t>
      </w:r>
      <w:proofErr w:type="spellEnd"/>
      <w:r w:rsidR="008D3ED5">
        <w:rPr>
          <w:iCs/>
          <w:szCs w:val="24"/>
        </w:rPr>
        <w:t>). However,</w:t>
      </w:r>
      <w:r w:rsidR="00A636C7">
        <w:rPr>
          <w:iCs/>
          <w:szCs w:val="24"/>
        </w:rPr>
        <w:t xml:space="preserve"> </w:t>
      </w:r>
      <w:r w:rsidR="00CB3491">
        <w:rPr>
          <w:iCs/>
          <w:szCs w:val="24"/>
        </w:rPr>
        <w:t xml:space="preserve">MSAC </w:t>
      </w:r>
      <w:r w:rsidR="004D5EB0">
        <w:rPr>
          <w:iCs/>
          <w:szCs w:val="24"/>
        </w:rPr>
        <w:t>noted</w:t>
      </w:r>
      <w:r w:rsidR="00CB3491">
        <w:rPr>
          <w:iCs/>
          <w:szCs w:val="24"/>
        </w:rPr>
        <w:t xml:space="preserve"> </w:t>
      </w:r>
      <w:r w:rsidR="00A636C7">
        <w:rPr>
          <w:iCs/>
          <w:szCs w:val="24"/>
        </w:rPr>
        <w:t>that</w:t>
      </w:r>
      <w:r w:rsidR="00CB3491">
        <w:rPr>
          <w:iCs/>
          <w:szCs w:val="24"/>
        </w:rPr>
        <w:t xml:space="preserve"> </w:t>
      </w:r>
      <w:r w:rsidR="00CD2D75">
        <w:rPr>
          <w:iCs/>
          <w:szCs w:val="24"/>
        </w:rPr>
        <w:t>as</w:t>
      </w:r>
      <w:r w:rsidR="00CB3491">
        <w:rPr>
          <w:iCs/>
          <w:szCs w:val="24"/>
        </w:rPr>
        <w:t xml:space="preserve"> the total </w:t>
      </w:r>
      <w:r w:rsidR="00293E01">
        <w:rPr>
          <w:iCs/>
          <w:szCs w:val="24"/>
        </w:rPr>
        <w:t xml:space="preserve">AE </w:t>
      </w:r>
      <w:r w:rsidR="00CB3491">
        <w:rPr>
          <w:iCs/>
          <w:szCs w:val="24"/>
        </w:rPr>
        <w:t xml:space="preserve">cost </w:t>
      </w:r>
      <w:r w:rsidR="00A636C7">
        <w:rPr>
          <w:iCs/>
          <w:szCs w:val="24"/>
        </w:rPr>
        <w:t>for</w:t>
      </w:r>
      <w:r w:rsidR="00CB3491">
        <w:rPr>
          <w:iCs/>
          <w:szCs w:val="24"/>
        </w:rPr>
        <w:t xml:space="preserve"> </w:t>
      </w:r>
      <w:proofErr w:type="spellStart"/>
      <w:r w:rsidR="00CB3491">
        <w:rPr>
          <w:iCs/>
          <w:szCs w:val="24"/>
        </w:rPr>
        <w:t>MitraClip</w:t>
      </w:r>
      <w:proofErr w:type="spellEnd"/>
      <w:r w:rsidR="00CB3491">
        <w:rPr>
          <w:iCs/>
          <w:szCs w:val="24"/>
        </w:rPr>
        <w:t xml:space="preserve"> and PASCAL (including heart failure hospitalisation costs)</w:t>
      </w:r>
      <w:r w:rsidR="00CD2D75">
        <w:rPr>
          <w:iCs/>
          <w:szCs w:val="24"/>
        </w:rPr>
        <w:t xml:space="preserve"> </w:t>
      </w:r>
      <w:r w:rsidR="006E0347">
        <w:rPr>
          <w:iCs/>
          <w:szCs w:val="24"/>
        </w:rPr>
        <w:t>was neutral at</w:t>
      </w:r>
      <w:r w:rsidR="0060625B">
        <w:rPr>
          <w:iCs/>
          <w:szCs w:val="24"/>
        </w:rPr>
        <w:t xml:space="preserve"> both 30 days ($1</w:t>
      </w:r>
      <w:r w:rsidR="008759A9">
        <w:rPr>
          <w:iCs/>
          <w:szCs w:val="24"/>
        </w:rPr>
        <w:t>,</w:t>
      </w:r>
      <w:r w:rsidR="0060625B">
        <w:rPr>
          <w:iCs/>
          <w:szCs w:val="24"/>
        </w:rPr>
        <w:t>26</w:t>
      </w:r>
      <w:r w:rsidR="00B16566">
        <w:rPr>
          <w:iCs/>
          <w:szCs w:val="24"/>
        </w:rPr>
        <w:t>4</w:t>
      </w:r>
      <w:r w:rsidR="0060625B">
        <w:rPr>
          <w:iCs/>
          <w:szCs w:val="24"/>
        </w:rPr>
        <w:t xml:space="preserve"> and </w:t>
      </w:r>
      <w:r w:rsidR="002A7DC0">
        <w:rPr>
          <w:iCs/>
          <w:szCs w:val="24"/>
        </w:rPr>
        <w:t>$1,00</w:t>
      </w:r>
      <w:r w:rsidR="00710F7E">
        <w:rPr>
          <w:iCs/>
          <w:szCs w:val="24"/>
        </w:rPr>
        <w:t>9</w:t>
      </w:r>
      <w:r w:rsidR="002A7DC0">
        <w:rPr>
          <w:iCs/>
          <w:szCs w:val="24"/>
        </w:rPr>
        <w:t xml:space="preserve"> respectively) </w:t>
      </w:r>
      <w:r w:rsidR="0060625B">
        <w:rPr>
          <w:iCs/>
          <w:szCs w:val="24"/>
        </w:rPr>
        <w:t>and</w:t>
      </w:r>
      <w:r w:rsidR="006E0347">
        <w:rPr>
          <w:iCs/>
          <w:szCs w:val="24"/>
        </w:rPr>
        <w:t xml:space="preserve"> 1</w:t>
      </w:r>
      <w:r w:rsidR="00EA10AB">
        <w:rPr>
          <w:iCs/>
          <w:szCs w:val="24"/>
        </w:rPr>
        <w:t>-</w:t>
      </w:r>
      <w:r w:rsidR="006E0347">
        <w:rPr>
          <w:iCs/>
          <w:szCs w:val="24"/>
        </w:rPr>
        <w:t>year ($2,39</w:t>
      </w:r>
      <w:r w:rsidR="008759A9">
        <w:rPr>
          <w:iCs/>
          <w:szCs w:val="24"/>
        </w:rPr>
        <w:t>8</w:t>
      </w:r>
      <w:r w:rsidR="004F7C50">
        <w:rPr>
          <w:iCs/>
          <w:szCs w:val="24"/>
        </w:rPr>
        <w:t xml:space="preserve"> and $2,356 respectively)</w:t>
      </w:r>
      <w:r w:rsidR="004D5EB0">
        <w:rPr>
          <w:iCs/>
          <w:szCs w:val="24"/>
        </w:rPr>
        <w:t xml:space="preserve">. MSAC considered </w:t>
      </w:r>
      <w:r w:rsidR="003C0188">
        <w:rPr>
          <w:iCs/>
          <w:szCs w:val="24"/>
        </w:rPr>
        <w:t>th</w:t>
      </w:r>
      <w:r w:rsidR="004D5EB0">
        <w:rPr>
          <w:iCs/>
          <w:szCs w:val="24"/>
        </w:rPr>
        <w:t>e minimal difference in cost</w:t>
      </w:r>
      <w:r w:rsidR="00EA10AB">
        <w:rPr>
          <w:iCs/>
          <w:szCs w:val="24"/>
        </w:rPr>
        <w:t xml:space="preserve"> at 30 days and 1-year</w:t>
      </w:r>
      <w:r w:rsidR="003306E0">
        <w:rPr>
          <w:iCs/>
          <w:szCs w:val="24"/>
        </w:rPr>
        <w:t xml:space="preserve"> – inclusive of heart failure hospitalisation costs – resulted </w:t>
      </w:r>
      <w:r w:rsidR="003C0188">
        <w:rPr>
          <w:iCs/>
          <w:szCs w:val="24"/>
        </w:rPr>
        <w:t>in the devices being</w:t>
      </w:r>
      <w:r w:rsidR="000C2B4A">
        <w:rPr>
          <w:iCs/>
          <w:szCs w:val="24"/>
        </w:rPr>
        <w:t xml:space="preserve"> </w:t>
      </w:r>
      <w:r w:rsidR="00C530C6">
        <w:rPr>
          <w:iCs/>
          <w:szCs w:val="24"/>
        </w:rPr>
        <w:t xml:space="preserve">considered as </w:t>
      </w:r>
      <w:r w:rsidR="003C0188">
        <w:rPr>
          <w:iCs/>
          <w:szCs w:val="24"/>
        </w:rPr>
        <w:t>cost equivalent.</w:t>
      </w:r>
      <w:r w:rsidR="002D7751">
        <w:rPr>
          <w:iCs/>
          <w:szCs w:val="24"/>
        </w:rPr>
        <w:t xml:space="preserve"> </w:t>
      </w:r>
    </w:p>
    <w:p w14:paraId="1B210ED6" w14:textId="525A69A7" w:rsidR="006069D5" w:rsidRPr="006069D5" w:rsidRDefault="00D33069" w:rsidP="006069D5">
      <w:pPr>
        <w:spacing w:after="240" w:line="240" w:lineRule="auto"/>
        <w:rPr>
          <w:iCs/>
          <w:szCs w:val="24"/>
        </w:rPr>
      </w:pPr>
      <w:r>
        <w:rPr>
          <w:iCs/>
          <w:szCs w:val="24"/>
        </w:rPr>
        <w:t xml:space="preserve">MSAC </w:t>
      </w:r>
      <w:r w:rsidR="003A3D12">
        <w:rPr>
          <w:iCs/>
          <w:szCs w:val="24"/>
        </w:rPr>
        <w:t>noted</w:t>
      </w:r>
      <w:r>
        <w:rPr>
          <w:iCs/>
          <w:szCs w:val="24"/>
        </w:rPr>
        <w:t xml:space="preserve"> that </w:t>
      </w:r>
      <w:r w:rsidR="00237E57">
        <w:rPr>
          <w:iCs/>
          <w:szCs w:val="24"/>
        </w:rPr>
        <w:t>under the proposed amendments</w:t>
      </w:r>
      <w:r w:rsidR="00E273AC">
        <w:rPr>
          <w:iCs/>
          <w:szCs w:val="24"/>
        </w:rPr>
        <w:t xml:space="preserve"> for</w:t>
      </w:r>
      <w:r w:rsidR="00DB36A0">
        <w:rPr>
          <w:iCs/>
          <w:szCs w:val="24"/>
        </w:rPr>
        <w:t xml:space="preserve"> a</w:t>
      </w:r>
      <w:r w:rsidR="00E273AC">
        <w:rPr>
          <w:iCs/>
          <w:szCs w:val="24"/>
        </w:rPr>
        <w:t xml:space="preserve"> device agnostic listing, there would be no</w:t>
      </w:r>
      <w:r w:rsidR="001F6537">
        <w:rPr>
          <w:iCs/>
          <w:szCs w:val="24"/>
        </w:rPr>
        <w:t xml:space="preserve"> offsets as</w:t>
      </w:r>
      <w:r w:rsidR="00EA10AB">
        <w:rPr>
          <w:iCs/>
          <w:szCs w:val="24"/>
        </w:rPr>
        <w:t xml:space="preserve"> where clinically indicated,</w:t>
      </w:r>
      <w:r w:rsidR="001F6537">
        <w:rPr>
          <w:iCs/>
          <w:szCs w:val="24"/>
        </w:rPr>
        <w:t xml:space="preserve"> PASCAL would be replacing </w:t>
      </w:r>
      <w:proofErr w:type="spellStart"/>
      <w:r w:rsidR="001F6537">
        <w:rPr>
          <w:iCs/>
          <w:szCs w:val="24"/>
        </w:rPr>
        <w:t>MitraClip</w:t>
      </w:r>
      <w:proofErr w:type="spellEnd"/>
      <w:r w:rsidR="003A3D12">
        <w:rPr>
          <w:iCs/>
          <w:szCs w:val="24"/>
        </w:rPr>
        <w:t xml:space="preserve">. MSAC considered this </w:t>
      </w:r>
      <w:r w:rsidR="004D671A">
        <w:rPr>
          <w:iCs/>
          <w:szCs w:val="24"/>
        </w:rPr>
        <w:t>would</w:t>
      </w:r>
      <w:r w:rsidR="003A3D12">
        <w:rPr>
          <w:iCs/>
          <w:szCs w:val="24"/>
        </w:rPr>
        <w:t xml:space="preserve"> result in </w:t>
      </w:r>
      <w:r w:rsidR="00A505D1">
        <w:rPr>
          <w:iCs/>
          <w:szCs w:val="24"/>
        </w:rPr>
        <w:t>no</w:t>
      </w:r>
      <w:r w:rsidR="00E273AC">
        <w:rPr>
          <w:iCs/>
          <w:szCs w:val="24"/>
        </w:rPr>
        <w:t xml:space="preserve"> </w:t>
      </w:r>
      <w:r w:rsidR="003A3D12">
        <w:rPr>
          <w:iCs/>
          <w:szCs w:val="24"/>
        </w:rPr>
        <w:t>significant increase in</w:t>
      </w:r>
      <w:r w:rsidR="00A505D1">
        <w:rPr>
          <w:iCs/>
          <w:szCs w:val="24"/>
        </w:rPr>
        <w:t xml:space="preserve"> </w:t>
      </w:r>
      <w:r w:rsidR="006F7197">
        <w:rPr>
          <w:iCs/>
          <w:szCs w:val="24"/>
        </w:rPr>
        <w:t>utilisation</w:t>
      </w:r>
      <w:r w:rsidR="00A505D1">
        <w:rPr>
          <w:iCs/>
          <w:szCs w:val="24"/>
        </w:rPr>
        <w:t xml:space="preserve"> for MBS item 38461</w:t>
      </w:r>
      <w:r w:rsidR="003A3D12">
        <w:rPr>
          <w:iCs/>
          <w:szCs w:val="24"/>
        </w:rPr>
        <w:t xml:space="preserve"> if </w:t>
      </w:r>
      <w:r w:rsidR="004D671A">
        <w:rPr>
          <w:iCs/>
          <w:szCs w:val="24"/>
        </w:rPr>
        <w:t>listed as device agnostic</w:t>
      </w:r>
      <w:r w:rsidR="006F7197">
        <w:rPr>
          <w:iCs/>
          <w:szCs w:val="24"/>
        </w:rPr>
        <w:t xml:space="preserve">. </w:t>
      </w:r>
      <w:r w:rsidR="006069D5" w:rsidRPr="006069D5">
        <w:rPr>
          <w:iCs/>
          <w:szCs w:val="24"/>
        </w:rPr>
        <w:t xml:space="preserve">MSAC therefore agreed with ESC that the devices are cost </w:t>
      </w:r>
      <w:r w:rsidR="00D176B2">
        <w:rPr>
          <w:iCs/>
          <w:szCs w:val="24"/>
        </w:rPr>
        <w:t>neutral</w:t>
      </w:r>
      <w:r w:rsidR="004D671A">
        <w:rPr>
          <w:iCs/>
          <w:szCs w:val="24"/>
        </w:rPr>
        <w:t xml:space="preserve"> and</w:t>
      </w:r>
      <w:r w:rsidR="006F7197">
        <w:rPr>
          <w:iCs/>
          <w:szCs w:val="24"/>
        </w:rPr>
        <w:t xml:space="preserve"> no increase in utilisation</w:t>
      </w:r>
      <w:r w:rsidR="002423AD">
        <w:rPr>
          <w:iCs/>
          <w:szCs w:val="24"/>
        </w:rPr>
        <w:t xml:space="preserve"> was expected</w:t>
      </w:r>
      <w:r w:rsidR="006069D5" w:rsidRPr="006069D5">
        <w:rPr>
          <w:iCs/>
          <w:szCs w:val="24"/>
        </w:rPr>
        <w:t>.</w:t>
      </w:r>
    </w:p>
    <w:p w14:paraId="5E42F3A2" w14:textId="089D5936" w:rsidR="006069D5" w:rsidRPr="006069D5" w:rsidRDefault="7BDDD867" w:rsidP="006069D5">
      <w:pPr>
        <w:spacing w:after="240" w:line="240" w:lineRule="auto"/>
      </w:pPr>
      <w:r>
        <w:t xml:space="preserve">MSAC noted the financial and budgetary estimates, including the $0 net financial impact to the MBS. </w:t>
      </w:r>
      <w:r w:rsidR="3DD57C4F">
        <w:t xml:space="preserve">MSAC </w:t>
      </w:r>
      <w:r w:rsidR="2EA2AEAB">
        <w:t>noted</w:t>
      </w:r>
      <w:r w:rsidR="3DD57C4F">
        <w:t xml:space="preserve"> that the </w:t>
      </w:r>
      <w:r w:rsidR="2EA2AEAB">
        <w:t xml:space="preserve">market </w:t>
      </w:r>
      <w:r w:rsidR="3DD57C4F">
        <w:t>growth</w:t>
      </w:r>
      <w:r w:rsidR="42C3D90B">
        <w:t>/hospitalisations</w:t>
      </w:r>
      <w:r w:rsidR="3DD57C4F">
        <w:t xml:space="preserve"> </w:t>
      </w:r>
      <w:r w:rsidR="7732367F">
        <w:t>were</w:t>
      </w:r>
      <w:r w:rsidR="3DD57C4F">
        <w:t xml:space="preserve"> uncertain, however</w:t>
      </w:r>
      <w:r w:rsidR="000B225C">
        <w:t xml:space="preserve"> considered the </w:t>
      </w:r>
      <w:r w:rsidR="00DB36A0">
        <w:t>applicant’s</w:t>
      </w:r>
      <w:r w:rsidR="2EA2AEAB">
        <w:t xml:space="preserve"> 10%</w:t>
      </w:r>
      <w:r w:rsidR="00313FFE">
        <w:t xml:space="preserve"> assumed market growth</w:t>
      </w:r>
      <w:r w:rsidR="00F90167">
        <w:t xml:space="preserve"> to be a reasonab</w:t>
      </w:r>
      <w:r w:rsidR="00EA3962">
        <w:t>le estimate</w:t>
      </w:r>
      <w:r>
        <w:t xml:space="preserve">. MSAC agreed with ESC that the real-world data from the registry around the proportion of patients who have been treated using PASCAL rather than </w:t>
      </w:r>
      <w:proofErr w:type="spellStart"/>
      <w:r>
        <w:t>MitraClip</w:t>
      </w:r>
      <w:proofErr w:type="spellEnd"/>
      <w:r>
        <w:t xml:space="preserve"> could help validate the estimated 10% growth rate and aid decision making.</w:t>
      </w:r>
      <w:r w:rsidR="62270CE3">
        <w:t xml:space="preserve"> </w:t>
      </w:r>
      <w:r w:rsidR="23E8FF78">
        <w:t xml:space="preserve">However, </w:t>
      </w:r>
      <w:r w:rsidR="62270CE3">
        <w:t xml:space="preserve">MSAC considered that </w:t>
      </w:r>
      <w:r w:rsidR="5FD85F75">
        <w:t xml:space="preserve">irrespective of the estimated growth and hospitalisation rate, </w:t>
      </w:r>
      <w:r w:rsidR="0161F148">
        <w:t xml:space="preserve">the net financial impact to the MBS would be </w:t>
      </w:r>
      <w:r w:rsidR="0081EB59">
        <w:t>negligible.</w:t>
      </w:r>
      <w:r w:rsidR="3AB4450D">
        <w:t xml:space="preserve"> </w:t>
      </w:r>
    </w:p>
    <w:p w14:paraId="2854B519" w14:textId="5C2BAF92" w:rsidR="00F5292C" w:rsidRDefault="00D61CBF" w:rsidP="006069D5">
      <w:pPr>
        <w:spacing w:after="240" w:line="240" w:lineRule="auto"/>
      </w:pPr>
      <w:r w:rsidRPr="00B93382">
        <w:t xml:space="preserve">MSAC noted that the </w:t>
      </w:r>
      <w:r w:rsidR="007B2231" w:rsidRPr="00B93382">
        <w:t xml:space="preserve">applicant </w:t>
      </w:r>
      <w:r w:rsidR="00F42712" w:rsidRPr="00B93382">
        <w:t>has</w:t>
      </w:r>
      <w:r w:rsidR="00CC0EE6" w:rsidRPr="00B93382">
        <w:t xml:space="preserve"> requested that the Medical Devices and Human Tissue Advisory Committee (MDHTAC) </w:t>
      </w:r>
      <w:r w:rsidR="00BB2C7D" w:rsidRPr="00B93382">
        <w:t xml:space="preserve">review their prescribed list (PL) application for a </w:t>
      </w:r>
      <w:r w:rsidR="00B93382" w:rsidRPr="00B93382">
        <w:rPr>
          <w:b/>
        </w:rPr>
        <w:t>redacted</w:t>
      </w:r>
      <w:r w:rsidR="00BB2C7D" w:rsidRPr="00B93382">
        <w:t xml:space="preserve"> PL listing. </w:t>
      </w:r>
      <w:r w:rsidR="00F42712" w:rsidRPr="00B93382">
        <w:t>MSAC considered th</w:t>
      </w:r>
      <w:r w:rsidR="00EC4D9F" w:rsidRPr="00B93382">
        <w:t>at the PL listing (if supported by MDHTAC) would be subject to the amendment of MBS item 38461 to be listed as device agnostic</w:t>
      </w:r>
      <w:r w:rsidR="00204C0C" w:rsidRPr="00B93382">
        <w:t xml:space="preserve">. </w:t>
      </w:r>
      <w:r w:rsidR="00915020" w:rsidRPr="00B93382">
        <w:t>MSAC noted that as it s</w:t>
      </w:r>
      <w:r w:rsidR="00657F4B" w:rsidRPr="00B93382">
        <w:t>upport</w:t>
      </w:r>
      <w:r w:rsidR="008E0ACE" w:rsidRPr="00B93382">
        <w:t>ed</w:t>
      </w:r>
      <w:r w:rsidR="00657F4B" w:rsidRPr="00B93382">
        <w:t xml:space="preserve"> </w:t>
      </w:r>
      <w:r w:rsidR="006471E2" w:rsidRPr="00B93382">
        <w:t xml:space="preserve">amending </w:t>
      </w:r>
      <w:r w:rsidR="00657F4B" w:rsidRPr="00B93382">
        <w:t xml:space="preserve">MBS item 38461 to be device agnostic, </w:t>
      </w:r>
      <w:r w:rsidR="005B08E4" w:rsidRPr="00B93382">
        <w:t>PL l</w:t>
      </w:r>
      <w:r w:rsidR="00915020" w:rsidRPr="00B93382">
        <w:t xml:space="preserve">isting for the PASCAL device would </w:t>
      </w:r>
      <w:r w:rsidR="006471E2" w:rsidRPr="00B93382">
        <w:t>be subject to</w:t>
      </w:r>
      <w:r w:rsidR="00915020" w:rsidRPr="00B93382">
        <w:t xml:space="preserve"> Government</w:t>
      </w:r>
      <w:r w:rsidR="004E2675" w:rsidRPr="00B93382">
        <w:t>’s</w:t>
      </w:r>
      <w:r w:rsidR="00915020" w:rsidRPr="00B93382">
        <w:t xml:space="preserve"> consideration</w:t>
      </w:r>
      <w:r w:rsidR="006471E2" w:rsidRPr="00B93382">
        <w:t xml:space="preserve"> of MSAC’s recommendation</w:t>
      </w:r>
      <w:r w:rsidR="00915020" w:rsidRPr="00B93382">
        <w:t>, prior to consideration by MDHTAC.</w:t>
      </w:r>
      <w:r w:rsidR="00915020">
        <w:t xml:space="preserve"> </w:t>
      </w:r>
      <w:r w:rsidR="00B544C5" w:rsidRPr="00B93382">
        <w:t>MSAC advised the MHDTAC that</w:t>
      </w:r>
      <w:r w:rsidR="00C62837">
        <w:t xml:space="preserve"> MSAC’s</w:t>
      </w:r>
      <w:r w:rsidR="00B544C5" w:rsidRPr="00B93382">
        <w:t xml:space="preserve"> assessment of cost-effectiveness was based on an </w:t>
      </w:r>
      <w:r w:rsidR="00B544C5" w:rsidRPr="00B93382" w:rsidDel="0053672C">
        <w:t>all-inclusive price for</w:t>
      </w:r>
      <w:r w:rsidR="00C66911">
        <w:t xml:space="preserve"> the</w:t>
      </w:r>
      <w:r w:rsidR="00B544C5" w:rsidRPr="00B93382" w:rsidDel="0053672C">
        <w:t xml:space="preserve"> PASCAL</w:t>
      </w:r>
      <w:r w:rsidR="00676414">
        <w:t xml:space="preserve"> intervention and for the comparator (</w:t>
      </w:r>
      <w:proofErr w:type="gramStart"/>
      <w:r w:rsidR="00676414">
        <w:t>i.e.</w:t>
      </w:r>
      <w:proofErr w:type="gramEnd"/>
      <w:r w:rsidR="00676414">
        <w:t xml:space="preserve"> prices that include the main device and any ancillary devices or accessories required for implantation)</w:t>
      </w:r>
      <w:r w:rsidR="00B544C5" w:rsidRPr="00B93382">
        <w:t>.</w:t>
      </w:r>
      <w:r w:rsidR="00B544C5">
        <w:t xml:space="preserve"> </w:t>
      </w:r>
    </w:p>
    <w:p w14:paraId="0931510C" w14:textId="02F4E0BB" w:rsidR="00D61CBF" w:rsidRDefault="00D631D1" w:rsidP="006069D5">
      <w:pPr>
        <w:spacing w:after="240" w:line="240" w:lineRule="auto"/>
      </w:pPr>
      <w:r>
        <w:t xml:space="preserve">MSAC </w:t>
      </w:r>
      <w:r w:rsidR="007942CA">
        <w:t xml:space="preserve">recalled that </w:t>
      </w:r>
      <w:r w:rsidR="0015523A" w:rsidRPr="0015523A">
        <w:t xml:space="preserve">some hospitals are being charged costs higher than the </w:t>
      </w:r>
      <w:r w:rsidR="0015523A">
        <w:t>PL</w:t>
      </w:r>
      <w:r w:rsidR="0015523A" w:rsidRPr="0015523A">
        <w:t xml:space="preserve"> benefit for cardiac devices</w:t>
      </w:r>
      <w:r w:rsidR="0015523A">
        <w:t>, which may be incurred by the hospital or patient</w:t>
      </w:r>
      <w:r w:rsidR="0009615B">
        <w:t>.</w:t>
      </w:r>
      <w:r w:rsidR="00B544C5">
        <w:t xml:space="preserve"> MSAC noted </w:t>
      </w:r>
      <w:r w:rsidR="00B544C5" w:rsidRPr="00B544C5">
        <w:t>t</w:t>
      </w:r>
      <w:r w:rsidR="00B544C5" w:rsidRPr="00B93382">
        <w:t xml:space="preserve">he pre-ESC response confirmed that there are no proposed costs </w:t>
      </w:r>
      <w:r w:rsidR="0007236A">
        <w:t xml:space="preserve">for the PASCAL </w:t>
      </w:r>
      <w:r w:rsidR="00B544C5" w:rsidRPr="00B93382">
        <w:t>that will be charged outside of the standard hospital/insurer arrangements</w:t>
      </w:r>
      <w:r w:rsidR="00F173EE">
        <w:t>.</w:t>
      </w:r>
      <w:r w:rsidR="00F57EC0">
        <w:t xml:space="preserve"> </w:t>
      </w:r>
      <w:r w:rsidR="008C0567">
        <w:t xml:space="preserve"> </w:t>
      </w:r>
    </w:p>
    <w:p w14:paraId="1DD0F793" w14:textId="6E31AB27" w:rsidR="002B7490" w:rsidRPr="000249ED" w:rsidRDefault="008D335F" w:rsidP="000249ED">
      <w:pPr>
        <w:spacing w:after="240" w:line="240" w:lineRule="auto"/>
        <w:rPr>
          <w:iCs/>
          <w:szCs w:val="24"/>
        </w:rPr>
      </w:pPr>
      <w:r w:rsidRPr="006069D5">
        <w:rPr>
          <w:iCs/>
          <w:szCs w:val="24"/>
        </w:rPr>
        <w:t xml:space="preserve">MSAC </w:t>
      </w:r>
      <w:r w:rsidR="00240DD1">
        <w:rPr>
          <w:iCs/>
          <w:szCs w:val="24"/>
        </w:rPr>
        <w:t>supported</w:t>
      </w:r>
      <w:r w:rsidRPr="006069D5">
        <w:rPr>
          <w:iCs/>
          <w:szCs w:val="24"/>
        </w:rPr>
        <w:t xml:space="preserve"> the item descriptor should be</w:t>
      </w:r>
      <w:r w:rsidR="00C34D43">
        <w:rPr>
          <w:iCs/>
          <w:szCs w:val="24"/>
        </w:rPr>
        <w:t xml:space="preserve"> </w:t>
      </w:r>
      <w:r w:rsidR="0005716C">
        <w:rPr>
          <w:iCs/>
          <w:szCs w:val="24"/>
        </w:rPr>
        <w:t>amended</w:t>
      </w:r>
      <w:r w:rsidR="00C34D43">
        <w:rPr>
          <w:iCs/>
          <w:szCs w:val="24"/>
        </w:rPr>
        <w:t xml:space="preserve"> as</w:t>
      </w:r>
      <w:r w:rsidRPr="006069D5">
        <w:rPr>
          <w:iCs/>
          <w:szCs w:val="24"/>
        </w:rPr>
        <w:t xml:space="preserve"> device agnostic and mention “tissue approximation implants</w:t>
      </w:r>
      <w:r w:rsidR="00744F99">
        <w:rPr>
          <w:iCs/>
          <w:szCs w:val="24"/>
        </w:rPr>
        <w:t>,</w:t>
      </w:r>
      <w:r w:rsidRPr="006069D5">
        <w:rPr>
          <w:iCs/>
          <w:szCs w:val="24"/>
        </w:rPr>
        <w:t xml:space="preserve">” rather than specifying </w:t>
      </w:r>
      <w:r w:rsidR="0005716C">
        <w:rPr>
          <w:iCs/>
          <w:szCs w:val="24"/>
        </w:rPr>
        <w:t>the</w:t>
      </w:r>
      <w:r w:rsidR="00744F99">
        <w:rPr>
          <w:iCs/>
          <w:szCs w:val="24"/>
        </w:rPr>
        <w:t xml:space="preserve"> </w:t>
      </w:r>
      <w:r w:rsidR="0005716C">
        <w:rPr>
          <w:iCs/>
          <w:szCs w:val="24"/>
        </w:rPr>
        <w:t>device</w:t>
      </w:r>
      <w:r w:rsidR="00744F99">
        <w:rPr>
          <w:iCs/>
          <w:szCs w:val="24"/>
        </w:rPr>
        <w:t xml:space="preserve"> as </w:t>
      </w:r>
      <w:proofErr w:type="spellStart"/>
      <w:r w:rsidRPr="006069D5">
        <w:rPr>
          <w:iCs/>
          <w:szCs w:val="24"/>
        </w:rPr>
        <w:t>MitraClip</w:t>
      </w:r>
      <w:proofErr w:type="spellEnd"/>
      <w:r w:rsidRPr="006069D5">
        <w:rPr>
          <w:iCs/>
          <w:szCs w:val="24"/>
        </w:rPr>
        <w:t xml:space="preserve"> or PASCAL. </w:t>
      </w:r>
      <w:r w:rsidR="00095643">
        <w:rPr>
          <w:iCs/>
          <w:szCs w:val="24"/>
        </w:rPr>
        <w:t>M</w:t>
      </w:r>
      <w:r w:rsidR="00DB545E">
        <w:rPr>
          <w:iCs/>
          <w:szCs w:val="24"/>
        </w:rPr>
        <w:t>SAC noted</w:t>
      </w:r>
      <w:r w:rsidRPr="006069D5">
        <w:rPr>
          <w:iCs/>
          <w:szCs w:val="24"/>
        </w:rPr>
        <w:t xml:space="preserve"> this may mean than any future tissue approximation implants may be able to proceed directly from listing on the ARTG to the MDHTAC without the requirement for evaluation by MSAC. MSAC noted the desirability of device-agnostic MBS item descriptors, but also the need to ensure adequate evidence of clinical outcomes for new products. </w:t>
      </w:r>
      <w:bookmarkStart w:id="3" w:name="_Toc69491416"/>
      <w:bookmarkEnd w:id="1"/>
      <w:r w:rsidR="002B7490">
        <w:br w:type="page"/>
      </w:r>
    </w:p>
    <w:p w14:paraId="6710B69D" w14:textId="09C67707" w:rsidR="00772829" w:rsidRPr="00CE28E3" w:rsidRDefault="005E3CDE" w:rsidP="002A18BE">
      <w:pPr>
        <w:pStyle w:val="Heading2"/>
        <w:numPr>
          <w:ilvl w:val="0"/>
          <w:numId w:val="0"/>
        </w:numPr>
      </w:pPr>
      <w:r>
        <w:lastRenderedPageBreak/>
        <w:t>4</w:t>
      </w:r>
      <w:r w:rsidR="00C36633">
        <w:t>.</w:t>
      </w:r>
      <w:r w:rsidR="00C36633">
        <w:tab/>
      </w:r>
      <w:r w:rsidR="00772829" w:rsidRPr="00CE28E3">
        <w:t>Background</w:t>
      </w:r>
      <w:bookmarkEnd w:id="3"/>
    </w:p>
    <w:p w14:paraId="14E5C932" w14:textId="20A50260" w:rsidR="00264265" w:rsidRPr="0059126D" w:rsidRDefault="00264265" w:rsidP="00264265">
      <w:bookmarkStart w:id="4" w:name="_Hlk69734494"/>
      <w:r>
        <w:t xml:space="preserve">This is the third application for this technology. It was previously considered by </w:t>
      </w:r>
      <w:r w:rsidRPr="0059126D">
        <w:t>MSAC in November 2021 (</w:t>
      </w:r>
      <w:hyperlink r:id="rId12">
        <w:r w:rsidRPr="5B2FE3FC">
          <w:rPr>
            <w:rStyle w:val="Hyperlink"/>
          </w:rPr>
          <w:t>MSAC 1662 PSD</w:t>
        </w:r>
      </w:hyperlink>
      <w:r w:rsidRPr="0059126D">
        <w:t>) and November 2022 (</w:t>
      </w:r>
      <w:hyperlink r:id="rId13">
        <w:r w:rsidRPr="5B2FE3FC">
          <w:rPr>
            <w:rStyle w:val="Hyperlink"/>
          </w:rPr>
          <w:t>MSAC 1662.1 PSD</w:t>
        </w:r>
      </w:hyperlink>
      <w:r>
        <w:t>).</w:t>
      </w:r>
      <w:r w:rsidRPr="0059126D">
        <w:t xml:space="preserve"> These previous applications sought amendments of the existing MBS items 38461 and 38463 to be device agnostic for the treatment of </w:t>
      </w:r>
      <w:r w:rsidR="00DE4A38">
        <w:t>degenerative mitral regurgitation (</w:t>
      </w:r>
      <w:r w:rsidRPr="0059126D">
        <w:t>DMR</w:t>
      </w:r>
      <w:r w:rsidR="00DE4A38">
        <w:t>)</w:t>
      </w:r>
      <w:r w:rsidRPr="0059126D">
        <w:t xml:space="preserve"> and functional mitral regurgitation</w:t>
      </w:r>
      <w:r w:rsidR="005253A0">
        <w:t xml:space="preserve"> (FMR).</w:t>
      </w:r>
      <w:r w:rsidR="00443981">
        <w:t xml:space="preserve"> The current Applicant-Developed Assessment Report (ADAR)</w:t>
      </w:r>
      <w:r w:rsidR="000A46AF" w:rsidRPr="000A46AF">
        <w:t xml:space="preserve"> </w:t>
      </w:r>
      <w:r w:rsidR="006B2CF4">
        <w:t xml:space="preserve">only </w:t>
      </w:r>
      <w:r w:rsidR="0005248D">
        <w:t xml:space="preserve">proposes amendment of the MBS item 38461 to be device agnostic, allowing the PASCAL system to be used in the </w:t>
      </w:r>
      <w:proofErr w:type="spellStart"/>
      <w:r w:rsidR="0005248D">
        <w:t>TMVr</w:t>
      </w:r>
      <w:proofErr w:type="spellEnd"/>
      <w:r w:rsidR="0005248D">
        <w:t xml:space="preserve"> procedure for the treatment of patients with </w:t>
      </w:r>
      <w:r w:rsidR="0005248D" w:rsidRPr="009274A9">
        <w:t>moderate-severe or sever</w:t>
      </w:r>
      <w:r w:rsidR="0005248D">
        <w:t>e</w:t>
      </w:r>
      <w:r w:rsidR="0005248D" w:rsidRPr="009274A9">
        <w:t xml:space="preserve"> </w:t>
      </w:r>
      <w:r w:rsidR="0005248D">
        <w:t xml:space="preserve">DMR </w:t>
      </w:r>
      <w:r w:rsidR="0005248D" w:rsidRPr="00F47033">
        <w:t>who are ineligible for open surgical management</w:t>
      </w:r>
      <w:r w:rsidR="0005248D">
        <w:t>.</w:t>
      </w:r>
    </w:p>
    <w:p w14:paraId="4E64360A" w14:textId="77777777" w:rsidR="00264265" w:rsidRPr="0059126D" w:rsidRDefault="00264265" w:rsidP="00264265">
      <w:r w:rsidRPr="0059126D">
        <w:t xml:space="preserve">The MBS items 38461 and 38463 were introduced to the MBS in July 2021 for the provision of </w:t>
      </w:r>
      <w:proofErr w:type="spellStart"/>
      <w:r w:rsidRPr="0059126D">
        <w:t>TMVr</w:t>
      </w:r>
      <w:proofErr w:type="spellEnd"/>
      <w:r w:rsidRPr="0059126D">
        <w:t xml:space="preserve"> using the </w:t>
      </w:r>
      <w:proofErr w:type="spellStart"/>
      <w:r w:rsidRPr="0059126D">
        <w:t>MitraClip</w:t>
      </w:r>
      <w:proofErr w:type="spellEnd"/>
      <w:r w:rsidRPr="0059126D">
        <w:t xml:space="preserve"> system. The use of </w:t>
      </w:r>
      <w:proofErr w:type="spellStart"/>
      <w:r w:rsidRPr="0059126D">
        <w:t>MitraClip</w:t>
      </w:r>
      <w:proofErr w:type="spellEnd"/>
      <w:r w:rsidRPr="0059126D">
        <w:t xml:space="preserve"> technology was considered and supported by MSAC in September 2020 (</w:t>
      </w:r>
      <w:hyperlink r:id="rId14" w:history="1">
        <w:r w:rsidRPr="0059126D">
          <w:rPr>
            <w:rStyle w:val="Hyperlink"/>
          </w:rPr>
          <w:t>MSAC 1192.3 PSD</w:t>
        </w:r>
      </w:hyperlink>
      <w:r w:rsidRPr="0059126D">
        <w:t>).</w:t>
      </w:r>
    </w:p>
    <w:p w14:paraId="65033883" w14:textId="794B4594" w:rsidR="00264265" w:rsidRDefault="00264265" w:rsidP="00264265">
      <w:r>
        <w:t xml:space="preserve">In November 2021, MSAC considered application 1662 and did not support amending MBS items 38461 and 38463 for </w:t>
      </w:r>
      <w:proofErr w:type="spellStart"/>
      <w:r>
        <w:t>TMVr</w:t>
      </w:r>
      <w:proofErr w:type="spellEnd"/>
      <w:r>
        <w:t xml:space="preserve"> to be device agnostic or include the PASCAL system. MSAC considered the quality of evidence for </w:t>
      </w:r>
      <w:proofErr w:type="spellStart"/>
      <w:r>
        <w:t>TMVr</w:t>
      </w:r>
      <w:proofErr w:type="spellEnd"/>
      <w:r>
        <w:t xml:space="preserve"> using the PASCAL system to be low and did not adequately support the claim of clinical non-inferiority for safety and </w:t>
      </w:r>
      <w:r w:rsidRPr="00613081">
        <w:t>effectiveness. MSAC advised that higher quality evidence would be needed to support the claim of non-inferiority.  MSAC</w:t>
      </w:r>
      <w:r w:rsidRPr="00B61C6B">
        <w:t xml:space="preserve"> also considered that an unmet clinical need for an alternative device was not clearly demonstrated.</w:t>
      </w:r>
    </w:p>
    <w:p w14:paraId="479BEB42" w14:textId="7C4ECAE0" w:rsidR="00264265" w:rsidRDefault="00264265" w:rsidP="00264265">
      <w:r>
        <w:t xml:space="preserve">In November 2022, MSAC considered application 1662.1 and did not </w:t>
      </w:r>
      <w:r w:rsidR="007D6C15">
        <w:t>support</w:t>
      </w:r>
      <w:r w:rsidR="007D6C15" w:rsidRPr="00180466">
        <w:t xml:space="preserve"> </w:t>
      </w:r>
      <w:r w:rsidRPr="00180466">
        <w:t xml:space="preserve">updating </w:t>
      </w:r>
      <w:r>
        <w:t xml:space="preserve">the above-mentioned </w:t>
      </w:r>
      <w:r w:rsidRPr="00180466">
        <w:t>MBS item</w:t>
      </w:r>
      <w:r>
        <w:t>s</w:t>
      </w:r>
      <w:r w:rsidRPr="00180466">
        <w:t xml:space="preserve"> to be device agnostic</w:t>
      </w:r>
      <w:r>
        <w:t xml:space="preserve">. </w:t>
      </w:r>
      <w:r w:rsidRPr="00AE5082">
        <w:t xml:space="preserve">MSAC considered that the limited new evidence presented did not change its previous conclusions from November 2021, that the evidence </w:t>
      </w:r>
      <w:r w:rsidR="00C167A4">
        <w:t>did</w:t>
      </w:r>
      <w:r w:rsidR="00C167A4" w:rsidRPr="00AE5082">
        <w:t xml:space="preserve"> </w:t>
      </w:r>
      <w:r w:rsidRPr="00AE5082">
        <w:t xml:space="preserve">not adequately support the claim of non-inferior safety and effectiveness of </w:t>
      </w:r>
      <w:proofErr w:type="spellStart"/>
      <w:r w:rsidRPr="00AE5082">
        <w:t>TMVr</w:t>
      </w:r>
      <w:proofErr w:type="spellEnd"/>
      <w:r w:rsidRPr="00AE5082">
        <w:t xml:space="preserve"> using the PASCAL </w:t>
      </w:r>
      <w:r>
        <w:t xml:space="preserve">system </w:t>
      </w:r>
      <w:r w:rsidRPr="00AE5082">
        <w:t xml:space="preserve">compared to </w:t>
      </w:r>
      <w:proofErr w:type="spellStart"/>
      <w:r w:rsidRPr="00AE5082">
        <w:t>MitraClip</w:t>
      </w:r>
      <w:proofErr w:type="spellEnd"/>
      <w:r w:rsidR="00C167A4">
        <w:t>,</w:t>
      </w:r>
      <w:r w:rsidRPr="00AE5082">
        <w:t xml:space="preserve"> and that an unmet clinical need was not clearly demonstrated.</w:t>
      </w:r>
    </w:p>
    <w:p w14:paraId="76078B6E" w14:textId="6AA71F8A" w:rsidR="00BF6BDC" w:rsidRPr="000249ED" w:rsidRDefault="00145B84" w:rsidP="000249ED">
      <w:r>
        <w:fldChar w:fldCharType="begin"/>
      </w:r>
      <w:r>
        <w:instrText xml:space="preserve"> REF _Ref152154101 \h </w:instrText>
      </w:r>
      <w:r>
        <w:fldChar w:fldCharType="separate"/>
      </w:r>
      <w:r w:rsidRPr="00CE28E3">
        <w:t>Table</w:t>
      </w:r>
      <w:r>
        <w:t> </w:t>
      </w:r>
      <w:r>
        <w:rPr>
          <w:noProof/>
        </w:rPr>
        <w:t>1</w:t>
      </w:r>
      <w:r>
        <w:fldChar w:fldCharType="end"/>
      </w:r>
      <w:r>
        <w:t xml:space="preserve"> </w:t>
      </w:r>
      <w:r w:rsidR="00264265" w:rsidRPr="00613081">
        <w:t>presents the key issues raised by MSAC and ESC during their previous consideration of this application in November 202</w:t>
      </w:r>
      <w:r w:rsidR="00264265">
        <w:t>2</w:t>
      </w:r>
      <w:r w:rsidR="00264265" w:rsidRPr="00613081">
        <w:t>, and how these issues are addressed in this ADAR.</w:t>
      </w:r>
      <w:r w:rsidR="00BF6BDC">
        <w:br w:type="page"/>
      </w:r>
    </w:p>
    <w:p w14:paraId="7ACF4D78" w14:textId="7558DCB6" w:rsidR="00264265" w:rsidRDefault="00264265" w:rsidP="00370EF2">
      <w:pPr>
        <w:pStyle w:val="TableFigureHeading"/>
      </w:pPr>
      <w:bookmarkStart w:id="5" w:name="_Ref152154101"/>
      <w:r w:rsidRPr="00CE28E3">
        <w:lastRenderedPageBreak/>
        <w:t>Table</w:t>
      </w:r>
      <w:r>
        <w:t> </w:t>
      </w:r>
      <w:r>
        <w:fldChar w:fldCharType="begin"/>
      </w:r>
      <w:r>
        <w:instrText>SEQ Table \* ARABIC</w:instrText>
      </w:r>
      <w:r>
        <w:fldChar w:fldCharType="separate"/>
      </w:r>
      <w:r w:rsidR="009D67C6">
        <w:rPr>
          <w:noProof/>
        </w:rPr>
        <w:t>1</w:t>
      </w:r>
      <w:r>
        <w:fldChar w:fldCharType="end"/>
      </w:r>
      <w:bookmarkEnd w:id="5"/>
      <w:r w:rsidR="00675EF6">
        <w:t xml:space="preserve"> </w:t>
      </w:r>
      <w:r w:rsidRPr="00CE28E3">
        <w:t>Summary of key matters of concern</w:t>
      </w:r>
    </w:p>
    <w:tbl>
      <w:tblPr>
        <w:tblStyle w:val="MSAC"/>
        <w:tblW w:w="5000" w:type="pct"/>
        <w:tblLook w:val="04A0" w:firstRow="1" w:lastRow="0" w:firstColumn="1" w:lastColumn="0" w:noHBand="0" w:noVBand="1"/>
      </w:tblPr>
      <w:tblGrid>
        <w:gridCol w:w="1288"/>
        <w:gridCol w:w="3873"/>
        <w:gridCol w:w="3855"/>
      </w:tblGrid>
      <w:tr w:rsidR="00264265" w:rsidRPr="00EB47AA" w14:paraId="065072D6" w14:textId="77777777" w:rsidTr="00A76930">
        <w:trPr>
          <w:cnfStyle w:val="100000000000" w:firstRow="1" w:lastRow="0" w:firstColumn="0" w:lastColumn="0" w:oddVBand="0" w:evenVBand="0" w:oddHBand="0" w:evenHBand="0" w:firstRowFirstColumn="0" w:firstRowLastColumn="0" w:lastRowFirstColumn="0" w:lastRowLastColumn="0"/>
        </w:trPr>
        <w:tc>
          <w:tcPr>
            <w:tcW w:w="714" w:type="pct"/>
          </w:tcPr>
          <w:p w14:paraId="7DDBED3A" w14:textId="77777777" w:rsidR="00264265" w:rsidRPr="00EB47AA" w:rsidRDefault="00264265">
            <w:pPr>
              <w:pStyle w:val="TableText"/>
            </w:pPr>
            <w:r w:rsidRPr="00EB47AA">
              <w:t>Component</w:t>
            </w:r>
          </w:p>
        </w:tc>
        <w:tc>
          <w:tcPr>
            <w:tcW w:w="2148" w:type="pct"/>
          </w:tcPr>
          <w:p w14:paraId="7928B4FD" w14:textId="77777777" w:rsidR="00264265" w:rsidRPr="00EB47AA" w:rsidRDefault="00264265">
            <w:pPr>
              <w:pStyle w:val="TableText"/>
            </w:pPr>
            <w:r w:rsidRPr="00EB47AA">
              <w:t>Matter of concern</w:t>
            </w:r>
          </w:p>
        </w:tc>
        <w:tc>
          <w:tcPr>
            <w:tcW w:w="2138" w:type="pct"/>
          </w:tcPr>
          <w:p w14:paraId="29B455E8" w14:textId="77777777" w:rsidR="00264265" w:rsidRPr="00EB47AA" w:rsidRDefault="00264265">
            <w:pPr>
              <w:pStyle w:val="TableText"/>
            </w:pPr>
            <w:r w:rsidRPr="00EB47AA">
              <w:t>How the current assessment report addresses it</w:t>
            </w:r>
          </w:p>
        </w:tc>
      </w:tr>
      <w:tr w:rsidR="00264265" w:rsidRPr="00EB47AA" w14:paraId="4787977E" w14:textId="77777777" w:rsidTr="00A76930">
        <w:tc>
          <w:tcPr>
            <w:tcW w:w="714" w:type="pct"/>
          </w:tcPr>
          <w:p w14:paraId="57522F24" w14:textId="77777777" w:rsidR="00264265" w:rsidRPr="00EB47AA" w:rsidRDefault="00264265">
            <w:pPr>
              <w:pStyle w:val="TableText"/>
            </w:pPr>
            <w:r w:rsidRPr="00EB47AA">
              <w:t>Clinical need</w:t>
            </w:r>
          </w:p>
        </w:tc>
        <w:tc>
          <w:tcPr>
            <w:tcW w:w="2148" w:type="pct"/>
          </w:tcPr>
          <w:p w14:paraId="06E76926" w14:textId="77777777" w:rsidR="00264265" w:rsidRPr="00EB47AA" w:rsidRDefault="00264265">
            <w:pPr>
              <w:pStyle w:val="TableText"/>
            </w:pPr>
            <w:r w:rsidRPr="00EB47AA">
              <w:t>MSAC considered that an unmet clinical need for an alternative device was not clearly demonstrated (PSD</w:t>
            </w:r>
            <w:r>
              <w:t>, p3</w:t>
            </w:r>
            <w:r w:rsidRPr="00EB47AA">
              <w:t>).</w:t>
            </w:r>
          </w:p>
        </w:tc>
        <w:tc>
          <w:tcPr>
            <w:tcW w:w="2138" w:type="pct"/>
          </w:tcPr>
          <w:p w14:paraId="76B98DF3" w14:textId="6D182907" w:rsidR="00264265" w:rsidRPr="00EB47AA" w:rsidRDefault="001E3D57">
            <w:pPr>
              <w:pStyle w:val="TableText"/>
            </w:pPr>
            <w:r>
              <w:t>No unmet need has been claimed in this ADAR.</w:t>
            </w:r>
            <w:r w:rsidR="00264265" w:rsidRPr="00EB47AA">
              <w:t xml:space="preserve"> </w:t>
            </w:r>
          </w:p>
        </w:tc>
      </w:tr>
      <w:tr w:rsidR="00264265" w:rsidRPr="00EB47AA" w14:paraId="2C7CF848" w14:textId="77777777" w:rsidTr="00A76930">
        <w:tc>
          <w:tcPr>
            <w:tcW w:w="714" w:type="pct"/>
          </w:tcPr>
          <w:p w14:paraId="37CB8C20" w14:textId="77777777" w:rsidR="00264265" w:rsidRPr="00EB47AA" w:rsidRDefault="00264265">
            <w:pPr>
              <w:pStyle w:val="TableText"/>
            </w:pPr>
            <w:r w:rsidRPr="00EB47AA">
              <w:t>Clinical claim – Safety</w:t>
            </w:r>
          </w:p>
        </w:tc>
        <w:tc>
          <w:tcPr>
            <w:tcW w:w="2148" w:type="pct"/>
          </w:tcPr>
          <w:p w14:paraId="16CB68D1" w14:textId="77777777" w:rsidR="00264265" w:rsidRPr="00EB47AA" w:rsidRDefault="00264265">
            <w:pPr>
              <w:pStyle w:val="TableText"/>
            </w:pPr>
            <w:r w:rsidRPr="00EB47AA">
              <w:t>MSAC considered the safety profile of PASCAL to be promising, but longer-term comparative safety is uncertain</w:t>
            </w:r>
            <w:r>
              <w:t xml:space="preserve"> </w:t>
            </w:r>
            <w:r w:rsidRPr="008C4916">
              <w:t>(PSD, p4).</w:t>
            </w:r>
          </w:p>
        </w:tc>
        <w:tc>
          <w:tcPr>
            <w:tcW w:w="2138" w:type="pct"/>
          </w:tcPr>
          <w:p w14:paraId="1480CE74" w14:textId="163259DB" w:rsidR="00264265" w:rsidRPr="00EB47AA" w:rsidRDefault="005A3CF6" w:rsidP="00C54F8F">
            <w:pPr>
              <w:pStyle w:val="TableText"/>
            </w:pPr>
            <w:r>
              <w:t>T</w:t>
            </w:r>
            <w:r w:rsidR="0024071D">
              <w:t xml:space="preserve">he ADAR </w:t>
            </w:r>
            <w:r w:rsidR="0031520D">
              <w:t>newly present</w:t>
            </w:r>
            <w:r w:rsidR="008624DC">
              <w:t>s</w:t>
            </w:r>
            <w:r w:rsidR="0031520D">
              <w:t xml:space="preserve"> </w:t>
            </w:r>
            <w:r w:rsidR="00C51A40">
              <w:t xml:space="preserve">direct comparative </w:t>
            </w:r>
            <w:r w:rsidR="00DA282A">
              <w:t xml:space="preserve">evidence </w:t>
            </w:r>
            <w:r w:rsidR="00C51A40">
              <w:t xml:space="preserve">for the 1-year follow-up for </w:t>
            </w:r>
            <w:r w:rsidR="00C51A40" w:rsidRPr="00EB47AA">
              <w:t>CLASP IID</w:t>
            </w:r>
            <w:r w:rsidR="00C51A40">
              <w:t xml:space="preserve"> </w:t>
            </w:r>
            <w:proofErr w:type="gramStart"/>
            <w:r w:rsidR="00C51A40">
              <w:t>trial</w:t>
            </w:r>
            <w:proofErr w:type="gramEnd"/>
            <w:r w:rsidR="00C51A40">
              <w:t xml:space="preserve"> </w:t>
            </w:r>
            <w:r w:rsidR="00421054">
              <w:t>and this include</w:t>
            </w:r>
            <w:r w:rsidR="00611F85">
              <w:t>s</w:t>
            </w:r>
            <w:r w:rsidR="00421054">
              <w:t xml:space="preserve"> </w:t>
            </w:r>
            <w:r w:rsidR="00A8644E">
              <w:t>MAE</w:t>
            </w:r>
            <w:r w:rsidR="00D07C66">
              <w:t>s</w:t>
            </w:r>
            <w:r w:rsidR="00967DCF">
              <w:t xml:space="preserve">, cardiac mortality and </w:t>
            </w:r>
            <w:r w:rsidR="00421054">
              <w:t>mortali</w:t>
            </w:r>
            <w:r w:rsidR="00DF5E58">
              <w:t>ty</w:t>
            </w:r>
            <w:r w:rsidR="00541938">
              <w:t xml:space="preserve">. </w:t>
            </w:r>
            <w:r w:rsidR="00D416E8">
              <w:t>Res</w:t>
            </w:r>
            <w:r w:rsidR="009E2244">
              <w:t xml:space="preserve">ults </w:t>
            </w:r>
            <w:r w:rsidR="00C54F8F">
              <w:t>show that s</w:t>
            </w:r>
            <w:r w:rsidR="00C54F8F" w:rsidRPr="00C54F8F">
              <w:t xml:space="preserve">evere bleeding events remained higher </w:t>
            </w:r>
            <w:r w:rsidR="003A15CD">
              <w:t xml:space="preserve">for patients </w:t>
            </w:r>
            <w:r w:rsidR="00C54F8F" w:rsidRPr="00C54F8F">
              <w:t xml:space="preserve">in the PASCAL group compared to </w:t>
            </w:r>
            <w:proofErr w:type="spellStart"/>
            <w:r w:rsidR="00C54F8F" w:rsidRPr="00C54F8F">
              <w:t>MitraClip</w:t>
            </w:r>
            <w:proofErr w:type="spellEnd"/>
            <w:r w:rsidR="00C54F8F" w:rsidRPr="00C54F8F">
              <w:t xml:space="preserve"> at both 6 months and 12 months (10.2% versus 5.5%). Cardiovascular death was higher in the </w:t>
            </w:r>
            <w:proofErr w:type="spellStart"/>
            <w:r w:rsidR="00C54F8F" w:rsidRPr="00C54F8F">
              <w:t>MitraClip</w:t>
            </w:r>
            <w:proofErr w:type="spellEnd"/>
            <w:r w:rsidR="00C54F8F" w:rsidRPr="00C54F8F">
              <w:t xml:space="preserve"> group compared to PASCAL at both 6 months and 12 months (7.4% versus 3.7%). </w:t>
            </w:r>
            <w:r w:rsidR="001830A3">
              <w:t>While these differences were not statistically significant, t</w:t>
            </w:r>
            <w:r w:rsidR="008A31D6">
              <w:t xml:space="preserve">he trial was powered for composite </w:t>
            </w:r>
            <w:r w:rsidR="001830A3">
              <w:t xml:space="preserve">rather than individual </w:t>
            </w:r>
            <w:r w:rsidR="008A31D6">
              <w:t>MAEs.</w:t>
            </w:r>
          </w:p>
        </w:tc>
      </w:tr>
      <w:tr w:rsidR="00264265" w:rsidRPr="00EB47AA" w14:paraId="280B6A0D" w14:textId="77777777" w:rsidTr="00A76930">
        <w:tc>
          <w:tcPr>
            <w:tcW w:w="714" w:type="pct"/>
          </w:tcPr>
          <w:p w14:paraId="514DA837" w14:textId="77777777" w:rsidR="00264265" w:rsidRPr="00EB47AA" w:rsidRDefault="00264265">
            <w:pPr>
              <w:pStyle w:val="TableText"/>
            </w:pPr>
            <w:r w:rsidRPr="00EB47AA">
              <w:t>Clinical claim – Effectiveness</w:t>
            </w:r>
          </w:p>
        </w:tc>
        <w:tc>
          <w:tcPr>
            <w:tcW w:w="2148" w:type="pct"/>
          </w:tcPr>
          <w:p w14:paraId="2B3B1974" w14:textId="77777777" w:rsidR="00264265" w:rsidRPr="00EB47AA" w:rsidRDefault="00264265">
            <w:pPr>
              <w:pStyle w:val="TableText"/>
            </w:pPr>
            <w:r w:rsidRPr="00EB47AA">
              <w:t>MSAC considered the point estimates from CLASP IID to be suggestive of non-inferiority, but MSAC was concerned that these conclusions were based on a wide margin for non-inferiority. MSAC had the same concerns with the comparative effectiveness evidence as it did with the comparative safety evidence (sample size and long-term outcomes). MSAC concerns included small sample sizes for long-term outcomes, variable or incomplete follow-up for the published comparative studies, limitation with unanchored MAIC and naïve comparisons limited by not having a common comparator (PSD</w:t>
            </w:r>
            <w:r>
              <w:t xml:space="preserve">, </w:t>
            </w:r>
            <w:r w:rsidRPr="00EB47AA">
              <w:t>p4-5).</w:t>
            </w:r>
          </w:p>
        </w:tc>
        <w:tc>
          <w:tcPr>
            <w:tcW w:w="2138" w:type="pct"/>
          </w:tcPr>
          <w:p w14:paraId="154C37F5" w14:textId="42714450" w:rsidR="00264265" w:rsidRPr="00EB47AA" w:rsidRDefault="00491950" w:rsidP="00B2092F">
            <w:pPr>
              <w:pStyle w:val="TableText"/>
            </w:pPr>
            <w:r>
              <w:t>T</w:t>
            </w:r>
            <w:r w:rsidR="00DA282A">
              <w:t xml:space="preserve">he ADAR newly presents direct comparative evidence for the 1-year follow-up for </w:t>
            </w:r>
            <w:r w:rsidR="00DA282A" w:rsidRPr="00EB47AA">
              <w:t>CLASP IID</w:t>
            </w:r>
            <w:r w:rsidR="00DA282A">
              <w:t xml:space="preserve"> </w:t>
            </w:r>
            <w:proofErr w:type="gramStart"/>
            <w:r w:rsidR="00DA282A">
              <w:t>trial</w:t>
            </w:r>
            <w:proofErr w:type="gramEnd"/>
            <w:r w:rsidR="00DA282A">
              <w:t xml:space="preserve"> and this include</w:t>
            </w:r>
            <w:r w:rsidR="008A31D6">
              <w:t>s</w:t>
            </w:r>
            <w:r w:rsidR="00DA282A">
              <w:t xml:space="preserve"> </w:t>
            </w:r>
            <w:r w:rsidR="00FA03D1">
              <w:t>reduction in MR severity</w:t>
            </w:r>
            <w:r w:rsidR="000020F0">
              <w:t xml:space="preserve">, </w:t>
            </w:r>
            <w:r w:rsidR="00E0108C">
              <w:t>NYHA</w:t>
            </w:r>
            <w:r w:rsidR="00CE5235">
              <w:t xml:space="preserve"> functional class</w:t>
            </w:r>
            <w:r w:rsidR="005A22E0">
              <w:t xml:space="preserve"> and </w:t>
            </w:r>
            <w:r w:rsidR="00AA0B99">
              <w:t>quality of life outcomes</w:t>
            </w:r>
            <w:r w:rsidR="0033466D">
              <w:t>.</w:t>
            </w:r>
            <w:r w:rsidR="00FA2531">
              <w:t xml:space="preserve"> </w:t>
            </w:r>
            <w:r w:rsidR="00B2092F" w:rsidRPr="00B2092F">
              <w:t xml:space="preserve">MSAC have previously considered </w:t>
            </w:r>
            <w:r w:rsidR="00851D87">
              <w:t>that</w:t>
            </w:r>
            <w:r w:rsidR="00B2092F" w:rsidRPr="00B2092F">
              <w:t xml:space="preserve"> 2-year outcomes for functional outcomes such as overall survival and NYHA class would be informative for demonstrating non-inferiority. </w:t>
            </w:r>
            <w:r w:rsidR="00FA2531" w:rsidRPr="002849C2">
              <w:rPr>
                <w:rStyle w:val="ui-provider"/>
              </w:rPr>
              <w:t xml:space="preserve">MSAC previously noted that non-inferiority should be assessed using a more stringent non-inferiority margin than used in the interim CLASP IID trial results, however no changes have been made to the non-inferiority margins. The applicant suggests calculation parameters are based on published </w:t>
            </w:r>
            <w:proofErr w:type="gramStart"/>
            <w:r w:rsidR="00FA2531" w:rsidRPr="002849C2">
              <w:rPr>
                <w:rStyle w:val="ui-provider"/>
              </w:rPr>
              <w:t>literature, but</w:t>
            </w:r>
            <w:proofErr w:type="gramEnd"/>
            <w:r w:rsidR="00FA2531" w:rsidRPr="002849C2">
              <w:rPr>
                <w:rStyle w:val="ui-provider"/>
              </w:rPr>
              <w:t xml:space="preserve"> does not provide the references for these st</w:t>
            </w:r>
            <w:r w:rsidR="00FC0E5A">
              <w:rPr>
                <w:rStyle w:val="ui-provider"/>
              </w:rPr>
              <w:t xml:space="preserve">udies. Nonetheless, the CLASP IID RCT results suggest that a stricter non-inferiority margin would have been satisfied. </w:t>
            </w:r>
            <w:r w:rsidR="00FA2531">
              <w:rPr>
                <w:rStyle w:val="ui-provider"/>
                <w:i/>
                <w:iCs/>
              </w:rPr>
              <w:t> </w:t>
            </w:r>
            <w:r w:rsidR="00FA2531">
              <w:rPr>
                <w:rStyle w:val="ui-provider"/>
              </w:rPr>
              <w:t> </w:t>
            </w:r>
          </w:p>
        </w:tc>
      </w:tr>
      <w:tr w:rsidR="00264265" w:rsidRPr="00EB47AA" w14:paraId="70A9F69F" w14:textId="77777777" w:rsidTr="00A76930">
        <w:tc>
          <w:tcPr>
            <w:tcW w:w="714" w:type="pct"/>
          </w:tcPr>
          <w:p w14:paraId="58F04977" w14:textId="77777777" w:rsidR="00264265" w:rsidRPr="00EB47AA" w:rsidRDefault="00264265">
            <w:pPr>
              <w:pStyle w:val="TableText"/>
            </w:pPr>
            <w:r w:rsidRPr="00EB47AA">
              <w:t>Cost-minimisation</w:t>
            </w:r>
          </w:p>
        </w:tc>
        <w:tc>
          <w:tcPr>
            <w:tcW w:w="2148" w:type="pct"/>
          </w:tcPr>
          <w:p w14:paraId="153F44C8" w14:textId="32893700" w:rsidR="00264265" w:rsidRPr="00EB47AA" w:rsidRDefault="00264265">
            <w:pPr>
              <w:pStyle w:val="TableText"/>
            </w:pPr>
            <w:r w:rsidRPr="00EB47AA">
              <w:t xml:space="preserve">MSAC considered the cost-minimisation analysis used for the economic evaluation to be appropriate but was not supported by sufficient clinical evidence </w:t>
            </w:r>
            <w:r w:rsidR="00E85CA7">
              <w:t>for</w:t>
            </w:r>
            <w:r w:rsidRPr="00EB47AA">
              <w:t xml:space="preserve"> the clinical claim of non-inferiority</w:t>
            </w:r>
            <w:r>
              <w:t xml:space="preserve"> </w:t>
            </w:r>
            <w:r w:rsidRPr="008C4916">
              <w:t>(PSD, p</w:t>
            </w:r>
            <w:r>
              <w:t>5</w:t>
            </w:r>
            <w:r w:rsidRPr="008C4916">
              <w:t>).</w:t>
            </w:r>
            <w:r w:rsidRPr="00EB47AA">
              <w:t xml:space="preserve"> </w:t>
            </w:r>
          </w:p>
        </w:tc>
        <w:tc>
          <w:tcPr>
            <w:tcW w:w="2138" w:type="pct"/>
          </w:tcPr>
          <w:p w14:paraId="373E6B5F" w14:textId="741ECECA" w:rsidR="00264265" w:rsidRPr="00EB47AA" w:rsidRDefault="00264265">
            <w:pPr>
              <w:pStyle w:val="TableText"/>
            </w:pPr>
            <w:r w:rsidRPr="00EB47AA">
              <w:t xml:space="preserve">The cost-minimisation approach presented in MSAC Application No. 1662.1 has been updated with </w:t>
            </w:r>
            <w:r w:rsidR="0038735C">
              <w:t xml:space="preserve">new </w:t>
            </w:r>
            <w:r w:rsidRPr="00EB47AA">
              <w:t>comparative safety</w:t>
            </w:r>
            <w:r w:rsidR="0068565C">
              <w:t xml:space="preserve"> </w:t>
            </w:r>
            <w:r w:rsidR="006E5C48">
              <w:t>data on the rates of MAEs</w:t>
            </w:r>
            <w:r w:rsidRPr="00EB47AA">
              <w:t xml:space="preserve"> from the CLASP IID study</w:t>
            </w:r>
            <w:r w:rsidR="0038735C">
              <w:t xml:space="preserve"> </w:t>
            </w:r>
            <w:r w:rsidR="0098505E">
              <w:t>at</w:t>
            </w:r>
            <w:r w:rsidR="0038735C">
              <w:t xml:space="preserve"> 30 days (base case) and 1 year (sensitivity analysis)</w:t>
            </w:r>
            <w:r w:rsidR="0098505E">
              <w:t xml:space="preserve"> follow-up</w:t>
            </w:r>
            <w:r w:rsidR="0038735C">
              <w:t xml:space="preserve">. </w:t>
            </w:r>
            <w:r w:rsidR="00E63739">
              <w:t>The cost minimisation analysis claims</w:t>
            </w:r>
            <w:r w:rsidRPr="00EB47AA">
              <w:t xml:space="preserve"> cost-neutrality of PASCAL compared to </w:t>
            </w:r>
            <w:proofErr w:type="spellStart"/>
            <w:r w:rsidRPr="00EB47AA">
              <w:t>MitraClip</w:t>
            </w:r>
            <w:proofErr w:type="spellEnd"/>
            <w:r w:rsidRPr="00EB47AA">
              <w:t>.</w:t>
            </w:r>
            <w:r w:rsidR="003A1E5F">
              <w:t xml:space="preserve"> </w:t>
            </w:r>
          </w:p>
        </w:tc>
      </w:tr>
      <w:tr w:rsidR="00264265" w:rsidRPr="00EB47AA" w14:paraId="24018A57" w14:textId="77777777" w:rsidTr="00A76930">
        <w:tc>
          <w:tcPr>
            <w:tcW w:w="714" w:type="pct"/>
          </w:tcPr>
          <w:p w14:paraId="43672D2B" w14:textId="646ED07A" w:rsidR="00264265" w:rsidRPr="00EB47AA" w:rsidRDefault="00916861">
            <w:pPr>
              <w:pStyle w:val="TableText"/>
            </w:pPr>
            <w:r>
              <w:t>Financial</w:t>
            </w:r>
            <w:r w:rsidR="007E7EE4">
              <w:t xml:space="preserve">- </w:t>
            </w:r>
            <w:r w:rsidR="00471DF3">
              <w:t>device cost</w:t>
            </w:r>
            <w:r>
              <w:t xml:space="preserve"> </w:t>
            </w:r>
          </w:p>
        </w:tc>
        <w:tc>
          <w:tcPr>
            <w:tcW w:w="2148" w:type="pct"/>
          </w:tcPr>
          <w:p w14:paraId="683CAAC1" w14:textId="05DEB7D3" w:rsidR="00264265" w:rsidRPr="00EB47AA" w:rsidRDefault="00264265">
            <w:pPr>
              <w:pStyle w:val="TableText"/>
            </w:pPr>
            <w:r w:rsidRPr="00EB47AA">
              <w:t xml:space="preserve">MSAC noted that some hospitals are being charged costs higher than the </w:t>
            </w:r>
            <w:r w:rsidR="00D51BEE" w:rsidRPr="00D51BEE">
              <w:t xml:space="preserve">Prescribed List of Medical Devices and Human Tissue Products (Prescribed </w:t>
            </w:r>
            <w:r w:rsidR="00E75B5C">
              <w:t>L</w:t>
            </w:r>
            <w:r w:rsidR="00D51BEE" w:rsidRPr="00D51BEE">
              <w:t>ist, formally known as Prosthesis List)</w:t>
            </w:r>
            <w:r w:rsidR="005D44A5">
              <w:t xml:space="preserve"> </w:t>
            </w:r>
            <w:r w:rsidRPr="00EB47AA">
              <w:t xml:space="preserve">benefit for cardiac devices. MSAC noted the applicant confirmed that the proposed </w:t>
            </w:r>
            <w:r w:rsidR="00BB1CCB">
              <w:t xml:space="preserve">Prescribed </w:t>
            </w:r>
            <w:r w:rsidRPr="00EB47AA">
              <w:t>List benefit will fully reimburse the price of the PASCAL device, implant system and guide sheath, but did not confirm if there were additional consumable costs that may be charged outside of the standard hospital/insurer arrangements</w:t>
            </w:r>
            <w:r>
              <w:t xml:space="preserve"> </w:t>
            </w:r>
            <w:r w:rsidRPr="008C4916">
              <w:t>(PSD, p</w:t>
            </w:r>
            <w:r>
              <w:t>5</w:t>
            </w:r>
            <w:r w:rsidRPr="008C4916">
              <w:t>).</w:t>
            </w:r>
          </w:p>
        </w:tc>
        <w:tc>
          <w:tcPr>
            <w:tcW w:w="2138" w:type="pct"/>
          </w:tcPr>
          <w:p w14:paraId="7A6F89AC" w14:textId="48B58FD8" w:rsidR="00264265" w:rsidRPr="00EB47AA" w:rsidRDefault="007C4FFD">
            <w:pPr>
              <w:pStyle w:val="TableText"/>
            </w:pPr>
            <w:r>
              <w:t>The applicant</w:t>
            </w:r>
            <w:r w:rsidRPr="007C4FFD">
              <w:t xml:space="preserve"> proposes a</w:t>
            </w:r>
            <w:r w:rsidR="00804D72">
              <w:t>n</w:t>
            </w:r>
            <w:r w:rsidRPr="007C4FFD">
              <w:t xml:space="preserve"> arrangement where the device fee will only be charged once per procedure</w:t>
            </w:r>
            <w:r w:rsidR="00804D72">
              <w:t xml:space="preserve">, as per MSAC Application No. 1192.3. </w:t>
            </w:r>
            <w:r w:rsidR="00E8282F">
              <w:t xml:space="preserve">MSACs concerns about additional consumable costs are not addressed. </w:t>
            </w:r>
          </w:p>
        </w:tc>
      </w:tr>
      <w:tr w:rsidR="00264265" w:rsidRPr="00EB47AA" w14:paraId="7EC854F1" w14:textId="77777777" w:rsidTr="00A76930">
        <w:tc>
          <w:tcPr>
            <w:tcW w:w="714" w:type="pct"/>
          </w:tcPr>
          <w:p w14:paraId="6A24F303" w14:textId="374F4593" w:rsidR="00264265" w:rsidRPr="00EB47AA" w:rsidRDefault="00264265">
            <w:pPr>
              <w:pStyle w:val="TableText"/>
            </w:pPr>
            <w:r w:rsidRPr="00EB47AA">
              <w:t>Financial</w:t>
            </w:r>
            <w:r w:rsidR="00471DF3">
              <w:t xml:space="preserve"> - </w:t>
            </w:r>
            <w:r w:rsidR="00471DF3">
              <w:lastRenderedPageBreak/>
              <w:t>utilisation</w:t>
            </w:r>
          </w:p>
        </w:tc>
        <w:tc>
          <w:tcPr>
            <w:tcW w:w="2148" w:type="pct"/>
          </w:tcPr>
          <w:p w14:paraId="268B97E7" w14:textId="77777777" w:rsidR="00264265" w:rsidRPr="00EB47AA" w:rsidRDefault="00264265">
            <w:pPr>
              <w:pStyle w:val="TableText"/>
            </w:pPr>
            <w:r w:rsidRPr="00EB47AA">
              <w:lastRenderedPageBreak/>
              <w:t xml:space="preserve">MSAC considered the utilisation estimates to be </w:t>
            </w:r>
            <w:r w:rsidRPr="00EB47AA">
              <w:lastRenderedPageBreak/>
              <w:t xml:space="preserve">uncertain. MSAC advised that a claim of unmet clinical need should be addressed in the context of patients who are unable to undergo </w:t>
            </w:r>
            <w:proofErr w:type="spellStart"/>
            <w:r w:rsidRPr="00EB47AA">
              <w:t>TMVr</w:t>
            </w:r>
            <w:proofErr w:type="spellEnd"/>
            <w:r w:rsidRPr="00EB47AA">
              <w:t xml:space="preserve"> using current generation </w:t>
            </w:r>
            <w:proofErr w:type="spellStart"/>
            <w:r w:rsidRPr="00EB47AA">
              <w:t>MitraClip</w:t>
            </w:r>
            <w:proofErr w:type="spellEnd"/>
            <w:r w:rsidRPr="00EB47AA">
              <w:t xml:space="preserve"> devices</w:t>
            </w:r>
            <w:r>
              <w:t xml:space="preserve"> </w:t>
            </w:r>
            <w:r w:rsidRPr="008C4916">
              <w:t>(PSD, p</w:t>
            </w:r>
            <w:r>
              <w:t>5</w:t>
            </w:r>
            <w:r w:rsidRPr="008C4916">
              <w:t>).</w:t>
            </w:r>
          </w:p>
        </w:tc>
        <w:tc>
          <w:tcPr>
            <w:tcW w:w="2138" w:type="pct"/>
          </w:tcPr>
          <w:p w14:paraId="544F3C47" w14:textId="2719BFB4" w:rsidR="00264265" w:rsidRPr="00EB47AA" w:rsidRDefault="00E27102">
            <w:pPr>
              <w:pStyle w:val="TableText"/>
            </w:pPr>
            <w:r>
              <w:lastRenderedPageBreak/>
              <w:t xml:space="preserve">The current ADAR has not claimed unmet need or </w:t>
            </w:r>
            <w:r>
              <w:lastRenderedPageBreak/>
              <w:t>technical superiority</w:t>
            </w:r>
            <w:r w:rsidR="007C09FE">
              <w:t xml:space="preserve"> over the current </w:t>
            </w:r>
            <w:proofErr w:type="spellStart"/>
            <w:r w:rsidR="007C09FE">
              <w:t>MitraClip</w:t>
            </w:r>
            <w:proofErr w:type="spellEnd"/>
            <w:r w:rsidR="007C09FE">
              <w:t xml:space="preserve"> device. However, t</w:t>
            </w:r>
            <w:r w:rsidR="009222B8" w:rsidRPr="009222B8">
              <w:t xml:space="preserve">here remains uncertainty as to how much </w:t>
            </w:r>
            <w:r w:rsidR="00BF5415">
              <w:t>larger</w:t>
            </w:r>
            <w:r w:rsidR="009222B8" w:rsidRPr="009222B8">
              <w:t xml:space="preserve"> the total number of </w:t>
            </w:r>
            <w:proofErr w:type="spellStart"/>
            <w:r w:rsidR="009222B8" w:rsidRPr="009222B8">
              <w:t>TMVr</w:t>
            </w:r>
            <w:proofErr w:type="spellEnd"/>
            <w:r w:rsidR="009222B8" w:rsidRPr="009222B8">
              <w:t xml:space="preserve"> market may become should the PASCAL device become available. </w:t>
            </w:r>
            <w:r w:rsidR="009222B8" w:rsidRPr="00B93382">
              <w:t>The applicant notes that an increase of 10% in the market size would add ~$</w:t>
            </w:r>
            <w:r w:rsidR="00B93382" w:rsidRPr="00B93382">
              <w:rPr>
                <w:b/>
              </w:rPr>
              <w:t>redacted</w:t>
            </w:r>
            <w:r w:rsidR="009222B8" w:rsidRPr="00B93382">
              <w:t xml:space="preserve"> in net costs to the health system, which provides an indication of the cost of any increases in the market size.</w:t>
            </w:r>
          </w:p>
        </w:tc>
      </w:tr>
    </w:tbl>
    <w:p w14:paraId="666FA9FE" w14:textId="6F64E621" w:rsidR="00264265" w:rsidRDefault="00264265" w:rsidP="00A67166">
      <w:pPr>
        <w:pStyle w:val="TableFooter"/>
      </w:pPr>
      <w:r>
        <w:lastRenderedPageBreak/>
        <w:t>Source: Table 2, p18-19 of MSAC 1662.2 ADAR.</w:t>
      </w:r>
    </w:p>
    <w:p w14:paraId="64D96CA2" w14:textId="60D0AC81" w:rsidR="00264265" w:rsidRDefault="006425C8" w:rsidP="00264265">
      <w:pPr>
        <w:pStyle w:val="TableFooter"/>
      </w:pPr>
      <w:r>
        <w:t xml:space="preserve">Abbreviations: </w:t>
      </w:r>
      <w:r w:rsidR="00264265">
        <w:t xml:space="preserve">ADAR, </w:t>
      </w:r>
      <w:r w:rsidR="00264265" w:rsidRPr="001F0AD7">
        <w:t>Applicant-Developed Assessment Report</w:t>
      </w:r>
      <w:r w:rsidR="00264265">
        <w:t xml:space="preserve">; </w:t>
      </w:r>
      <w:r w:rsidR="00264265" w:rsidRPr="000B50D0">
        <w:t xml:space="preserve">MAEs, major adverse events; </w:t>
      </w:r>
      <w:r w:rsidR="003C1CA8">
        <w:t>MAIC,</w:t>
      </w:r>
      <w:r w:rsidR="003C1CA8" w:rsidRPr="003C1CA8">
        <w:rPr>
          <w:rFonts w:ascii="Merriweather" w:eastAsiaTheme="minorHAnsi" w:hAnsi="Merriweather" w:cstheme="minorBidi"/>
          <w:color w:val="222222"/>
          <w:sz w:val="27"/>
          <w:szCs w:val="27"/>
          <w:shd w:val="clear" w:color="auto" w:fill="FFFFFF"/>
        </w:rPr>
        <w:t xml:space="preserve"> </w:t>
      </w:r>
      <w:r w:rsidR="003C1CA8" w:rsidRPr="003C1CA8">
        <w:t>matching-adjusted indirect comparison</w:t>
      </w:r>
      <w:r w:rsidR="003C1CA8">
        <w:t xml:space="preserve">; </w:t>
      </w:r>
      <w:r w:rsidR="00264265" w:rsidRPr="000B50D0">
        <w:t>MR, mitral regurgitation; MSAC, Medicare Services Advisory Committee;</w:t>
      </w:r>
      <w:r w:rsidR="005B0924">
        <w:t xml:space="preserve"> </w:t>
      </w:r>
      <w:r w:rsidR="00867996" w:rsidRPr="00B758EE">
        <w:t>NYHA, New York Heart Association</w:t>
      </w:r>
      <w:r w:rsidR="00867996">
        <w:t xml:space="preserve">; </w:t>
      </w:r>
      <w:r w:rsidR="005B0924">
        <w:t>PSD, Public Summary Document;</w:t>
      </w:r>
      <w:r w:rsidR="00264265" w:rsidRPr="000B50D0">
        <w:t xml:space="preserve"> </w:t>
      </w:r>
      <w:proofErr w:type="spellStart"/>
      <w:r w:rsidR="00264265" w:rsidRPr="000B50D0">
        <w:t>TMVr</w:t>
      </w:r>
      <w:proofErr w:type="spellEnd"/>
      <w:r w:rsidR="00264265" w:rsidRPr="000B50D0">
        <w:t>, transcatheter mitral valve repair</w:t>
      </w:r>
      <w:r w:rsidR="00264265">
        <w:t>.</w:t>
      </w:r>
    </w:p>
    <w:p w14:paraId="6F52500A" w14:textId="422ECE65" w:rsidR="00772829" w:rsidRPr="00CE28E3" w:rsidRDefault="005E3CDE" w:rsidP="002A18BE">
      <w:pPr>
        <w:pStyle w:val="Heading2"/>
        <w:numPr>
          <w:ilvl w:val="0"/>
          <w:numId w:val="0"/>
        </w:numPr>
      </w:pPr>
      <w:bookmarkStart w:id="6" w:name="_Toc69491417"/>
      <w:bookmarkEnd w:id="4"/>
      <w:r>
        <w:t>5</w:t>
      </w:r>
      <w:r w:rsidR="00C36633">
        <w:t>.</w:t>
      </w:r>
      <w:r w:rsidR="00C36633">
        <w:tab/>
      </w:r>
      <w:r w:rsidR="00772829" w:rsidRPr="00CE28E3">
        <w:t>Prerequisites to implementation of any funding advice</w:t>
      </w:r>
      <w:bookmarkEnd w:id="6"/>
    </w:p>
    <w:p w14:paraId="07151E53" w14:textId="0579A5E4" w:rsidR="00102435" w:rsidRDefault="00102435" w:rsidP="00102435">
      <w:r w:rsidRPr="00245F4F">
        <w:t>Items on the ARTG that are relevant to this application are shown in</w:t>
      </w:r>
      <w:r>
        <w:t xml:space="preserve"> </w:t>
      </w:r>
      <w:r w:rsidR="009B4B57">
        <w:fldChar w:fldCharType="begin"/>
      </w:r>
      <w:r w:rsidR="009B4B57">
        <w:instrText xml:space="preserve"> REF _Ref152154320 \h </w:instrText>
      </w:r>
      <w:r w:rsidR="009B4B57">
        <w:fldChar w:fldCharType="separate"/>
      </w:r>
      <w:r w:rsidR="009B4B57">
        <w:t xml:space="preserve">Table </w:t>
      </w:r>
      <w:r w:rsidR="009B4B57">
        <w:rPr>
          <w:noProof/>
        </w:rPr>
        <w:t>2</w:t>
      </w:r>
      <w:r w:rsidR="009B4B57">
        <w:fldChar w:fldCharType="end"/>
      </w:r>
      <w:r w:rsidRPr="00245F4F">
        <w:t>.</w:t>
      </w:r>
    </w:p>
    <w:p w14:paraId="503914CB" w14:textId="74031A51" w:rsidR="00102435" w:rsidRDefault="009B4B57" w:rsidP="00DA079E">
      <w:pPr>
        <w:pStyle w:val="TableFigureHeading"/>
      </w:pPr>
      <w:bookmarkStart w:id="7" w:name="_Ref152154320"/>
      <w:r>
        <w:t xml:space="preserve">Table </w:t>
      </w:r>
      <w:r>
        <w:fldChar w:fldCharType="begin"/>
      </w:r>
      <w:r>
        <w:instrText>SEQ Table \* ARABIC</w:instrText>
      </w:r>
      <w:r>
        <w:fldChar w:fldCharType="separate"/>
      </w:r>
      <w:r w:rsidR="009D67C6">
        <w:rPr>
          <w:noProof/>
        </w:rPr>
        <w:t>2</w:t>
      </w:r>
      <w:r>
        <w:fldChar w:fldCharType="end"/>
      </w:r>
      <w:bookmarkEnd w:id="7"/>
      <w:r w:rsidR="00102435">
        <w:t xml:space="preserve"> </w:t>
      </w:r>
      <w:r w:rsidR="00102435" w:rsidRPr="00B30441">
        <w:t xml:space="preserve">Edwards PASCAL Transcatheter Valve Repair System listed on the </w:t>
      </w:r>
      <w:proofErr w:type="gramStart"/>
      <w:r w:rsidR="00102435" w:rsidRPr="00B30441">
        <w:t>ARTG</w:t>
      </w:r>
      <w:proofErr w:type="gramEnd"/>
    </w:p>
    <w:tbl>
      <w:tblPr>
        <w:tblStyle w:val="Style2"/>
        <w:tblW w:w="5000" w:type="pct"/>
        <w:tblBorders>
          <w:left w:val="single" w:sz="4" w:space="0" w:color="auto"/>
          <w:right w:val="single" w:sz="4" w:space="0" w:color="auto"/>
          <w:insideV w:val="single" w:sz="4" w:space="0" w:color="auto"/>
        </w:tblBorders>
        <w:tblLook w:val="04A0" w:firstRow="1" w:lastRow="0" w:firstColumn="1" w:lastColumn="0" w:noHBand="0" w:noVBand="1"/>
      </w:tblPr>
      <w:tblGrid>
        <w:gridCol w:w="1699"/>
        <w:gridCol w:w="7317"/>
      </w:tblGrid>
      <w:tr w:rsidR="00102435" w:rsidRPr="000B50D0" w14:paraId="5DEDE1F5" w14:textId="77777777">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42" w:type="pct"/>
          </w:tcPr>
          <w:p w14:paraId="38DF83E4" w14:textId="77777777" w:rsidR="00102435" w:rsidRPr="000B50D0" w:rsidRDefault="00102435" w:rsidP="00102435">
            <w:pPr>
              <w:pStyle w:val="Tabletext0"/>
            </w:pPr>
            <w:r w:rsidRPr="000B50D0">
              <w:t>ARTG ID</w:t>
            </w:r>
          </w:p>
        </w:tc>
        <w:tc>
          <w:tcPr>
            <w:tcW w:w="4058" w:type="pct"/>
          </w:tcPr>
          <w:p w14:paraId="71D39AFD" w14:textId="77777777" w:rsidR="00102435" w:rsidRPr="000B50D0" w:rsidRDefault="00102435" w:rsidP="00102435">
            <w:pPr>
              <w:pStyle w:val="Tabletext0"/>
              <w:cnfStyle w:val="100000000000" w:firstRow="1" w:lastRow="0" w:firstColumn="0" w:lastColumn="0" w:oddVBand="0" w:evenVBand="0" w:oddHBand="0" w:evenHBand="0" w:firstRowFirstColumn="0" w:firstRowLastColumn="0" w:lastRowFirstColumn="0" w:lastRowLastColumn="0"/>
            </w:pPr>
            <w:r w:rsidRPr="000B50D0">
              <w:t>ARTG name</w:t>
            </w:r>
          </w:p>
        </w:tc>
      </w:tr>
      <w:tr w:rsidR="00102435" w:rsidRPr="000B50D0" w14:paraId="373709E0" w14:textId="77777777" w:rsidTr="002F1124">
        <w:trPr>
          <w:trHeight w:val="283"/>
        </w:trPr>
        <w:tc>
          <w:tcPr>
            <w:cnfStyle w:val="001000000000" w:firstRow="0" w:lastRow="0" w:firstColumn="1" w:lastColumn="0" w:oddVBand="0" w:evenVBand="0" w:oddHBand="0" w:evenHBand="0" w:firstRowFirstColumn="0" w:firstRowLastColumn="0" w:lastRowFirstColumn="0" w:lastRowLastColumn="0"/>
            <w:tcW w:w="942" w:type="pct"/>
            <w:shd w:val="clear" w:color="auto" w:fill="auto"/>
          </w:tcPr>
          <w:p w14:paraId="0A024C33" w14:textId="77777777" w:rsidR="00102435" w:rsidRPr="000B50D0" w:rsidRDefault="00102435" w:rsidP="00102435">
            <w:pPr>
              <w:pStyle w:val="Tabletext0"/>
            </w:pPr>
            <w:r w:rsidRPr="000B50D0">
              <w:t>342270</w:t>
            </w:r>
          </w:p>
        </w:tc>
        <w:tc>
          <w:tcPr>
            <w:tcW w:w="4058" w:type="pct"/>
            <w:shd w:val="clear" w:color="auto" w:fill="auto"/>
          </w:tcPr>
          <w:p w14:paraId="1531EBFD" w14:textId="77777777" w:rsidR="00102435" w:rsidRPr="000B50D0" w:rsidRDefault="00102435" w:rsidP="00102435">
            <w:pPr>
              <w:pStyle w:val="Tabletext0"/>
              <w:cnfStyle w:val="000000000000" w:firstRow="0" w:lastRow="0" w:firstColumn="0" w:lastColumn="0" w:oddVBand="0" w:evenVBand="0" w:oddHBand="0" w:evenHBand="0" w:firstRowFirstColumn="0" w:firstRowLastColumn="0" w:lastRowFirstColumn="0" w:lastRowLastColumn="0"/>
            </w:pPr>
            <w:r w:rsidRPr="000B50D0">
              <w:t>Edwards Lifesciences Pty Ltd - PASCAL Transcatheter Valve Repair System – Implant System - mitral valve clip</w:t>
            </w:r>
          </w:p>
        </w:tc>
      </w:tr>
      <w:tr w:rsidR="00102435" w:rsidRPr="000B50D0" w14:paraId="5AAEE608" w14:textId="77777777" w:rsidTr="002F1124">
        <w:trPr>
          <w:trHeight w:val="283"/>
        </w:trPr>
        <w:tc>
          <w:tcPr>
            <w:cnfStyle w:val="001000000000" w:firstRow="0" w:lastRow="0" w:firstColumn="1" w:lastColumn="0" w:oddVBand="0" w:evenVBand="0" w:oddHBand="0" w:evenHBand="0" w:firstRowFirstColumn="0" w:firstRowLastColumn="0" w:lastRowFirstColumn="0" w:lastRowLastColumn="0"/>
            <w:tcW w:w="942" w:type="pct"/>
            <w:shd w:val="clear" w:color="auto" w:fill="auto"/>
          </w:tcPr>
          <w:p w14:paraId="55829C5B" w14:textId="77777777" w:rsidR="00102435" w:rsidRPr="000B50D0" w:rsidRDefault="00102435" w:rsidP="00102435">
            <w:pPr>
              <w:pStyle w:val="Tabletext0"/>
            </w:pPr>
            <w:r w:rsidRPr="000B50D0">
              <w:t>342271</w:t>
            </w:r>
          </w:p>
        </w:tc>
        <w:tc>
          <w:tcPr>
            <w:tcW w:w="4058" w:type="pct"/>
            <w:shd w:val="clear" w:color="auto" w:fill="auto"/>
          </w:tcPr>
          <w:p w14:paraId="0EB541ED" w14:textId="77777777" w:rsidR="00102435" w:rsidRPr="000B50D0" w:rsidRDefault="00102435" w:rsidP="00102435">
            <w:pPr>
              <w:pStyle w:val="Tabletext0"/>
              <w:cnfStyle w:val="000000000000" w:firstRow="0" w:lastRow="0" w:firstColumn="0" w:lastColumn="0" w:oddVBand="0" w:evenVBand="0" w:oddHBand="0" w:evenHBand="0" w:firstRowFirstColumn="0" w:firstRowLastColumn="0" w:lastRowFirstColumn="0" w:lastRowLastColumn="0"/>
            </w:pPr>
            <w:r w:rsidRPr="000B50D0">
              <w:t>Edwards Lifesciences Pty Ltd - PASCAL Transcatheter Valve Repair System – Guide Sheath - Catheter, intravascular, guiding</w:t>
            </w:r>
          </w:p>
        </w:tc>
      </w:tr>
      <w:tr w:rsidR="00102435" w:rsidRPr="000B50D0" w14:paraId="4B4839B8" w14:textId="77777777" w:rsidTr="002F1124">
        <w:trPr>
          <w:trHeight w:val="283"/>
        </w:trPr>
        <w:tc>
          <w:tcPr>
            <w:cnfStyle w:val="001000000000" w:firstRow="0" w:lastRow="0" w:firstColumn="1" w:lastColumn="0" w:oddVBand="0" w:evenVBand="0" w:oddHBand="0" w:evenHBand="0" w:firstRowFirstColumn="0" w:firstRowLastColumn="0" w:lastRowFirstColumn="0" w:lastRowLastColumn="0"/>
            <w:tcW w:w="942" w:type="pct"/>
            <w:shd w:val="clear" w:color="auto" w:fill="auto"/>
          </w:tcPr>
          <w:p w14:paraId="02BB9EF2" w14:textId="77777777" w:rsidR="00102435" w:rsidRPr="000B50D0" w:rsidRDefault="00102435" w:rsidP="00102435">
            <w:pPr>
              <w:pStyle w:val="Tabletext0"/>
            </w:pPr>
            <w:r w:rsidRPr="000B50D0">
              <w:t>329680</w:t>
            </w:r>
          </w:p>
        </w:tc>
        <w:tc>
          <w:tcPr>
            <w:tcW w:w="4058" w:type="pct"/>
            <w:shd w:val="clear" w:color="auto" w:fill="auto"/>
          </w:tcPr>
          <w:p w14:paraId="72CD5BD0" w14:textId="77777777" w:rsidR="00102435" w:rsidRPr="000B50D0" w:rsidRDefault="00102435" w:rsidP="00102435">
            <w:pPr>
              <w:pStyle w:val="Tabletext0"/>
              <w:cnfStyle w:val="000000000000" w:firstRow="0" w:lastRow="0" w:firstColumn="0" w:lastColumn="0" w:oddVBand="0" w:evenVBand="0" w:oddHBand="0" w:evenHBand="0" w:firstRowFirstColumn="0" w:firstRowLastColumn="0" w:lastRowFirstColumn="0" w:lastRowLastColumn="0"/>
            </w:pPr>
            <w:r w:rsidRPr="000B50D0">
              <w:t>Edwards Lifesciences Pty Ltd - Cardiac implantation catheter holder</w:t>
            </w:r>
          </w:p>
        </w:tc>
      </w:tr>
      <w:tr w:rsidR="00102435" w:rsidRPr="000B50D0" w14:paraId="6C501B05" w14:textId="77777777" w:rsidTr="002F1124">
        <w:trPr>
          <w:trHeight w:val="283"/>
        </w:trPr>
        <w:tc>
          <w:tcPr>
            <w:cnfStyle w:val="001000000000" w:firstRow="0" w:lastRow="0" w:firstColumn="1" w:lastColumn="0" w:oddVBand="0" w:evenVBand="0" w:oddHBand="0" w:evenHBand="0" w:firstRowFirstColumn="0" w:firstRowLastColumn="0" w:lastRowFirstColumn="0" w:lastRowLastColumn="0"/>
            <w:tcW w:w="942" w:type="pct"/>
            <w:shd w:val="clear" w:color="auto" w:fill="auto"/>
          </w:tcPr>
          <w:p w14:paraId="2CDB1BB1" w14:textId="77777777" w:rsidR="00102435" w:rsidRPr="000B50D0" w:rsidRDefault="00102435" w:rsidP="00102435">
            <w:pPr>
              <w:pStyle w:val="Tabletext0"/>
            </w:pPr>
            <w:r w:rsidRPr="000B50D0">
              <w:t>329150</w:t>
            </w:r>
          </w:p>
        </w:tc>
        <w:tc>
          <w:tcPr>
            <w:tcW w:w="4058" w:type="pct"/>
            <w:shd w:val="clear" w:color="auto" w:fill="auto"/>
          </w:tcPr>
          <w:p w14:paraId="6CC21297" w14:textId="77777777" w:rsidR="00102435" w:rsidRPr="000B50D0" w:rsidRDefault="00102435" w:rsidP="00102435">
            <w:pPr>
              <w:pStyle w:val="Tabletext0"/>
              <w:cnfStyle w:val="000000000000" w:firstRow="0" w:lastRow="0" w:firstColumn="0" w:lastColumn="0" w:oddVBand="0" w:evenVBand="0" w:oddHBand="0" w:evenHBand="0" w:firstRowFirstColumn="0" w:firstRowLastColumn="0" w:lastRowFirstColumn="0" w:lastRowLastColumn="0"/>
            </w:pPr>
            <w:r w:rsidRPr="000B50D0">
              <w:t>Edwards Lifesciences Pty Ltd - Cardiac implantation catheter table</w:t>
            </w:r>
          </w:p>
        </w:tc>
      </w:tr>
      <w:tr w:rsidR="00102435" w:rsidRPr="000B50D0" w14:paraId="733D0942" w14:textId="77777777">
        <w:trPr>
          <w:trHeight w:val="283"/>
        </w:trPr>
        <w:tc>
          <w:tcPr>
            <w:cnfStyle w:val="001000000000" w:firstRow="0" w:lastRow="0" w:firstColumn="1" w:lastColumn="0" w:oddVBand="0" w:evenVBand="0" w:oddHBand="0" w:evenHBand="0" w:firstRowFirstColumn="0" w:firstRowLastColumn="0" w:lastRowFirstColumn="0" w:lastRowLastColumn="0"/>
            <w:tcW w:w="942" w:type="pct"/>
          </w:tcPr>
          <w:p w14:paraId="58298BDF" w14:textId="77777777" w:rsidR="00102435" w:rsidRPr="000B50D0" w:rsidRDefault="00102435" w:rsidP="00102435">
            <w:pPr>
              <w:pStyle w:val="Tabletext0"/>
            </w:pPr>
            <w:r w:rsidRPr="000B50D0">
              <w:t>410289</w:t>
            </w:r>
          </w:p>
        </w:tc>
        <w:tc>
          <w:tcPr>
            <w:tcW w:w="4058" w:type="pct"/>
          </w:tcPr>
          <w:p w14:paraId="4CE7C9FF" w14:textId="77777777" w:rsidR="00102435" w:rsidRPr="000B50D0" w:rsidRDefault="00102435" w:rsidP="00102435">
            <w:pPr>
              <w:pStyle w:val="Tabletext0"/>
              <w:cnfStyle w:val="000000000000" w:firstRow="0" w:lastRow="0" w:firstColumn="0" w:lastColumn="0" w:oddVBand="0" w:evenVBand="0" w:oddHBand="0" w:evenHBand="0" w:firstRowFirstColumn="0" w:firstRowLastColumn="0" w:lastRowFirstColumn="0" w:lastRowLastColumn="0"/>
            </w:pPr>
            <w:r w:rsidRPr="000B50D0">
              <w:t>Edwards Lifesciences Pty Ltd – PASCAL Precision System – PASCAL Ace Implant System – mitral valve clip</w:t>
            </w:r>
          </w:p>
        </w:tc>
      </w:tr>
      <w:tr w:rsidR="00102435" w:rsidRPr="000B50D0" w14:paraId="211FC5CE" w14:textId="77777777">
        <w:trPr>
          <w:trHeight w:val="283"/>
        </w:trPr>
        <w:tc>
          <w:tcPr>
            <w:cnfStyle w:val="001000000000" w:firstRow="0" w:lastRow="0" w:firstColumn="1" w:lastColumn="0" w:oddVBand="0" w:evenVBand="0" w:oddHBand="0" w:evenHBand="0" w:firstRowFirstColumn="0" w:firstRowLastColumn="0" w:lastRowFirstColumn="0" w:lastRowLastColumn="0"/>
            <w:tcW w:w="942" w:type="pct"/>
          </w:tcPr>
          <w:p w14:paraId="07993013" w14:textId="77777777" w:rsidR="00102435" w:rsidRPr="000B50D0" w:rsidRDefault="00102435" w:rsidP="00102435">
            <w:pPr>
              <w:pStyle w:val="Tabletext0"/>
            </w:pPr>
            <w:r w:rsidRPr="000B50D0">
              <w:t>410290</w:t>
            </w:r>
          </w:p>
        </w:tc>
        <w:tc>
          <w:tcPr>
            <w:tcW w:w="4058" w:type="pct"/>
          </w:tcPr>
          <w:p w14:paraId="1AD60F90" w14:textId="77777777" w:rsidR="00102435" w:rsidRPr="000B50D0" w:rsidRDefault="00102435" w:rsidP="00102435">
            <w:pPr>
              <w:pStyle w:val="Tabletext0"/>
              <w:cnfStyle w:val="000000000000" w:firstRow="0" w:lastRow="0" w:firstColumn="0" w:lastColumn="0" w:oddVBand="0" w:evenVBand="0" w:oddHBand="0" w:evenHBand="0" w:firstRowFirstColumn="0" w:firstRowLastColumn="0" w:lastRowFirstColumn="0" w:lastRowLastColumn="0"/>
            </w:pPr>
            <w:r w:rsidRPr="000B50D0">
              <w:t>Edwards Lifesciences Pty Ltd – PASCAL Precision System – Guide Sheath – mitral valve clip</w:t>
            </w:r>
          </w:p>
        </w:tc>
      </w:tr>
      <w:tr w:rsidR="00102435" w:rsidRPr="000B50D0" w14:paraId="1709BF5B" w14:textId="77777777">
        <w:trPr>
          <w:trHeight w:val="283"/>
        </w:trPr>
        <w:tc>
          <w:tcPr>
            <w:cnfStyle w:val="001000000000" w:firstRow="0" w:lastRow="0" w:firstColumn="1" w:lastColumn="0" w:oddVBand="0" w:evenVBand="0" w:oddHBand="0" w:evenHBand="0" w:firstRowFirstColumn="0" w:firstRowLastColumn="0" w:lastRowFirstColumn="0" w:lastRowLastColumn="0"/>
            <w:tcW w:w="942" w:type="pct"/>
          </w:tcPr>
          <w:p w14:paraId="5AF4360B" w14:textId="77777777" w:rsidR="00102435" w:rsidRPr="000B50D0" w:rsidRDefault="00102435" w:rsidP="00102435">
            <w:pPr>
              <w:pStyle w:val="Tabletext0"/>
            </w:pPr>
            <w:r w:rsidRPr="000B50D0">
              <w:t>410288</w:t>
            </w:r>
          </w:p>
        </w:tc>
        <w:tc>
          <w:tcPr>
            <w:tcW w:w="4058" w:type="pct"/>
          </w:tcPr>
          <w:p w14:paraId="65CA2567" w14:textId="77777777" w:rsidR="00102435" w:rsidRPr="000B50D0" w:rsidRDefault="00102435" w:rsidP="00102435">
            <w:pPr>
              <w:pStyle w:val="Tabletext0"/>
              <w:cnfStyle w:val="000000000000" w:firstRow="0" w:lastRow="0" w:firstColumn="0" w:lastColumn="0" w:oddVBand="0" w:evenVBand="0" w:oddHBand="0" w:evenHBand="0" w:firstRowFirstColumn="0" w:firstRowLastColumn="0" w:lastRowFirstColumn="0" w:lastRowLastColumn="0"/>
            </w:pPr>
            <w:r w:rsidRPr="000B50D0">
              <w:t>Edwards Lifesciences Pty Ltd – PASCAL Precision System –Implant System – mitral valve clip</w:t>
            </w:r>
          </w:p>
        </w:tc>
      </w:tr>
      <w:tr w:rsidR="00102435" w:rsidRPr="000B50D0" w14:paraId="5F8CBCC0" w14:textId="77777777" w:rsidTr="002F1124">
        <w:trPr>
          <w:trHeight w:val="283"/>
        </w:trPr>
        <w:tc>
          <w:tcPr>
            <w:cnfStyle w:val="001000000000" w:firstRow="0" w:lastRow="0" w:firstColumn="1" w:lastColumn="0" w:oddVBand="0" w:evenVBand="0" w:oddHBand="0" w:evenHBand="0" w:firstRowFirstColumn="0" w:firstRowLastColumn="0" w:lastRowFirstColumn="0" w:lastRowLastColumn="0"/>
            <w:tcW w:w="942" w:type="pct"/>
            <w:shd w:val="clear" w:color="auto" w:fill="auto"/>
          </w:tcPr>
          <w:p w14:paraId="6BFEBEDA" w14:textId="77777777" w:rsidR="00102435" w:rsidRPr="000B50D0" w:rsidRDefault="00102435" w:rsidP="00102435">
            <w:pPr>
              <w:pStyle w:val="Tabletext0"/>
            </w:pPr>
            <w:r w:rsidRPr="000B50D0">
              <w:t>371670</w:t>
            </w:r>
          </w:p>
        </w:tc>
        <w:tc>
          <w:tcPr>
            <w:tcW w:w="4058" w:type="pct"/>
            <w:shd w:val="clear" w:color="auto" w:fill="auto"/>
          </w:tcPr>
          <w:p w14:paraId="26ECA543" w14:textId="77777777" w:rsidR="00102435" w:rsidRPr="000B50D0" w:rsidRDefault="00102435" w:rsidP="00102435">
            <w:pPr>
              <w:pStyle w:val="Tabletext0"/>
              <w:cnfStyle w:val="000000000000" w:firstRow="0" w:lastRow="0" w:firstColumn="0" w:lastColumn="0" w:oddVBand="0" w:evenVBand="0" w:oddHBand="0" w:evenHBand="0" w:firstRowFirstColumn="0" w:firstRowLastColumn="0" w:lastRowFirstColumn="0" w:lastRowLastColumn="0"/>
            </w:pPr>
            <w:r w:rsidRPr="000B50D0">
              <w:t>Edwards Lifesciences Pty Ltd – PASCAL Transcatheter Valve Repair System – PASCAL Ace Implant System – mitral valve clip</w:t>
            </w:r>
          </w:p>
        </w:tc>
      </w:tr>
      <w:tr w:rsidR="00102435" w:rsidRPr="000B50D0" w14:paraId="64353365" w14:textId="77777777">
        <w:trPr>
          <w:trHeight w:val="283"/>
        </w:trPr>
        <w:tc>
          <w:tcPr>
            <w:cnfStyle w:val="001000000000" w:firstRow="0" w:lastRow="0" w:firstColumn="1" w:lastColumn="0" w:oddVBand="0" w:evenVBand="0" w:oddHBand="0" w:evenHBand="0" w:firstRowFirstColumn="0" w:firstRowLastColumn="0" w:lastRowFirstColumn="0" w:lastRowLastColumn="0"/>
            <w:tcW w:w="942" w:type="pct"/>
          </w:tcPr>
          <w:p w14:paraId="3532018B" w14:textId="77777777" w:rsidR="00102435" w:rsidRPr="000B50D0" w:rsidRDefault="00102435" w:rsidP="00102435">
            <w:pPr>
              <w:pStyle w:val="Tabletext0"/>
            </w:pPr>
            <w:r w:rsidRPr="000B50D0">
              <w:t>421719</w:t>
            </w:r>
          </w:p>
        </w:tc>
        <w:tc>
          <w:tcPr>
            <w:tcW w:w="4058" w:type="pct"/>
          </w:tcPr>
          <w:p w14:paraId="5A720BA2" w14:textId="77777777" w:rsidR="00102435" w:rsidRPr="000B50D0" w:rsidRDefault="00102435" w:rsidP="00102435">
            <w:pPr>
              <w:pStyle w:val="Tabletext0"/>
              <w:cnfStyle w:val="000000000000" w:firstRow="0" w:lastRow="0" w:firstColumn="0" w:lastColumn="0" w:oddVBand="0" w:evenVBand="0" w:oddHBand="0" w:evenHBand="0" w:firstRowFirstColumn="0" w:firstRowLastColumn="0" w:lastRowFirstColumn="0" w:lastRowLastColumn="0"/>
            </w:pPr>
            <w:r w:rsidRPr="000B50D0">
              <w:t>Edwards Lifesciences Pty Ltd – Cardiac implantation catheter table</w:t>
            </w:r>
          </w:p>
        </w:tc>
      </w:tr>
    </w:tbl>
    <w:p w14:paraId="680198F5" w14:textId="77777777" w:rsidR="00102435" w:rsidRPr="002C7ABE" w:rsidRDefault="00102435" w:rsidP="00A67166">
      <w:pPr>
        <w:pStyle w:val="TableFooter"/>
      </w:pPr>
      <w:r w:rsidRPr="002C7ABE">
        <w:t>Source: Table 3, p19 of</w:t>
      </w:r>
      <w:r>
        <w:t xml:space="preserve"> MSAC 1662.2 ADAR.</w:t>
      </w:r>
    </w:p>
    <w:p w14:paraId="2055E518" w14:textId="36159435" w:rsidR="00102435" w:rsidRDefault="00FD0ACC" w:rsidP="00102435">
      <w:pPr>
        <w:pStyle w:val="TableFooter"/>
      </w:pPr>
      <w:r>
        <w:t xml:space="preserve">Abbreviations: </w:t>
      </w:r>
      <w:r w:rsidR="00102435" w:rsidRPr="002C7ABE">
        <w:t>ARTG, Australian Register of Therapeutic Goods</w:t>
      </w:r>
      <w:r w:rsidR="003C1CA8">
        <w:t>.</w:t>
      </w:r>
    </w:p>
    <w:p w14:paraId="4722BE12" w14:textId="74E3759D" w:rsidR="00F5158E" w:rsidRPr="00A24EE0" w:rsidRDefault="00F5158E" w:rsidP="00F5158E">
      <w:r>
        <w:t>P</w:t>
      </w:r>
      <w:r w:rsidRPr="00A24EE0">
        <w:t xml:space="preserve">hysicians and relevant hospital staff (scrub nurse, radiographers, echo technicians) </w:t>
      </w:r>
      <w:r>
        <w:t xml:space="preserve">require </w:t>
      </w:r>
      <w:r w:rsidRPr="00A24EE0">
        <w:t>accredit</w:t>
      </w:r>
      <w:r>
        <w:t>ation</w:t>
      </w:r>
      <w:r w:rsidRPr="00A24EE0">
        <w:t xml:space="preserve"> by qualified Edwards Lifesciences personnel before involvement in a PASCAL </w:t>
      </w:r>
      <w:proofErr w:type="spellStart"/>
      <w:r w:rsidRPr="00A24EE0">
        <w:t>TMVr</w:t>
      </w:r>
      <w:proofErr w:type="spellEnd"/>
      <w:r w:rsidRPr="00A24EE0">
        <w:t xml:space="preserve"> procedure.</w:t>
      </w:r>
      <w:r>
        <w:t xml:space="preserve"> </w:t>
      </w:r>
      <w:r w:rsidRPr="00A24EE0">
        <w:t>Physician accreditation includes an initial intensive training program which includes the Procedure Didactic, Echo Didactic, Septal Puncture/Echo recommendations, Dry Bench and simulator training, and device delivery through a Beating Heart Model</w:t>
      </w:r>
      <w:r>
        <w:t>:</w:t>
      </w:r>
    </w:p>
    <w:p w14:paraId="1AE2978D" w14:textId="77777777" w:rsidR="00F5158E" w:rsidRPr="00C11756" w:rsidRDefault="00F5158E" w:rsidP="00626B64">
      <w:pPr>
        <w:pStyle w:val="ListParagraph"/>
        <w:numPr>
          <w:ilvl w:val="0"/>
          <w:numId w:val="11"/>
        </w:numPr>
      </w:pPr>
      <w:r w:rsidRPr="00C11756">
        <w:t>Device procedure classroom training &gt;1 hour,</w:t>
      </w:r>
    </w:p>
    <w:p w14:paraId="01DCBBFE" w14:textId="2ADF470E" w:rsidR="00F5158E" w:rsidRPr="00C11756" w:rsidRDefault="00F5158E" w:rsidP="00626B64">
      <w:pPr>
        <w:pStyle w:val="ListParagraph"/>
        <w:numPr>
          <w:ilvl w:val="0"/>
          <w:numId w:val="11"/>
        </w:numPr>
      </w:pPr>
      <w:r w:rsidRPr="00C11756">
        <w:t>Demo device hands-on training &gt; 1hour,</w:t>
      </w:r>
      <w:r w:rsidR="5D1DDE43">
        <w:t xml:space="preserve"> </w:t>
      </w:r>
    </w:p>
    <w:p w14:paraId="0C24A27E" w14:textId="77777777" w:rsidR="00F5158E" w:rsidRPr="00C11756" w:rsidRDefault="00F5158E" w:rsidP="00626B64">
      <w:pPr>
        <w:pStyle w:val="ListParagraph"/>
        <w:numPr>
          <w:ilvl w:val="0"/>
          <w:numId w:val="11"/>
        </w:numPr>
      </w:pPr>
      <w:r w:rsidRPr="00C11756">
        <w:t>Imaging/Echo classroom training &gt; 1hour,</w:t>
      </w:r>
    </w:p>
    <w:p w14:paraId="747A7D7C" w14:textId="77777777" w:rsidR="00F5158E" w:rsidRPr="00C11756" w:rsidRDefault="00F5158E" w:rsidP="00626B64">
      <w:pPr>
        <w:pStyle w:val="ListParagraph"/>
        <w:numPr>
          <w:ilvl w:val="0"/>
          <w:numId w:val="11"/>
        </w:numPr>
      </w:pPr>
      <w:r w:rsidRPr="00C11756">
        <w:t>Case discussion &gt; 1hour.</w:t>
      </w:r>
    </w:p>
    <w:p w14:paraId="1A2CFA59" w14:textId="4CF860A9" w:rsidR="00F5158E" w:rsidRPr="00A24EE0" w:rsidRDefault="000A482E" w:rsidP="00F5158E">
      <w:r>
        <w:t>To</w:t>
      </w:r>
      <w:r w:rsidR="00F5158E" w:rsidRPr="00A24EE0">
        <w:t xml:space="preserve"> be eligible for the training program the physician must meet the following requirements:</w:t>
      </w:r>
    </w:p>
    <w:p w14:paraId="4A8CD9B6" w14:textId="77777777" w:rsidR="00F5158E" w:rsidRPr="00C11756" w:rsidRDefault="00F5158E" w:rsidP="00626B64">
      <w:pPr>
        <w:pStyle w:val="ListParagraph"/>
        <w:numPr>
          <w:ilvl w:val="0"/>
          <w:numId w:val="12"/>
        </w:numPr>
      </w:pPr>
      <w:r w:rsidRPr="00C11756">
        <w:t>Be either a cardiologist or a cardiac surgeon,</w:t>
      </w:r>
    </w:p>
    <w:p w14:paraId="1888E97F" w14:textId="77777777" w:rsidR="00F5158E" w:rsidRPr="00C11756" w:rsidRDefault="00F5158E" w:rsidP="00626B64">
      <w:pPr>
        <w:pStyle w:val="ListParagraph"/>
        <w:numPr>
          <w:ilvl w:val="0"/>
          <w:numId w:val="12"/>
        </w:numPr>
      </w:pPr>
      <w:r w:rsidRPr="00C11756">
        <w:lastRenderedPageBreak/>
        <w:t xml:space="preserve">Have experience in transseptal technique and have an understanding or experience in structural heart disease (patent foramen </w:t>
      </w:r>
      <w:proofErr w:type="spellStart"/>
      <w:r w:rsidRPr="00C11756">
        <w:t>ovale</w:t>
      </w:r>
      <w:proofErr w:type="spellEnd"/>
      <w:r w:rsidRPr="00C11756">
        <w:t>, atrial septal defect, aortic valve, etc.),</w:t>
      </w:r>
    </w:p>
    <w:p w14:paraId="57726076" w14:textId="77777777" w:rsidR="00F5158E" w:rsidRPr="00C11756" w:rsidRDefault="00F5158E" w:rsidP="00626B64">
      <w:pPr>
        <w:pStyle w:val="ListParagraph"/>
        <w:numPr>
          <w:ilvl w:val="0"/>
          <w:numId w:val="12"/>
        </w:numPr>
      </w:pPr>
      <w:r w:rsidRPr="00C11756">
        <w:t>Have a multidisciplinary team to support the procedure, including:</w:t>
      </w:r>
    </w:p>
    <w:p w14:paraId="59EB78F7" w14:textId="77777777" w:rsidR="00F5158E" w:rsidRPr="00C11756" w:rsidRDefault="00F5158E" w:rsidP="00626B64">
      <w:pPr>
        <w:pStyle w:val="ListParagraph"/>
        <w:numPr>
          <w:ilvl w:val="1"/>
          <w:numId w:val="12"/>
        </w:numPr>
      </w:pPr>
      <w:r w:rsidRPr="00C11756">
        <w:t>A dedicated echocardiologist for patient screening and to be present during the procedure,</w:t>
      </w:r>
    </w:p>
    <w:p w14:paraId="398C7D5D" w14:textId="77777777" w:rsidR="00F5158E" w:rsidRPr="00C11756" w:rsidRDefault="00F5158E" w:rsidP="00626B64">
      <w:pPr>
        <w:pStyle w:val="ListParagraph"/>
        <w:numPr>
          <w:ilvl w:val="1"/>
          <w:numId w:val="12"/>
        </w:numPr>
      </w:pPr>
      <w:r w:rsidRPr="00C11756">
        <w:t>A cardiac surgeon or interventional cardiologist to provide support,</w:t>
      </w:r>
    </w:p>
    <w:p w14:paraId="5DB22642" w14:textId="77777777" w:rsidR="00F5158E" w:rsidRPr="00C11756" w:rsidRDefault="00F5158E" w:rsidP="00626B64">
      <w:pPr>
        <w:pStyle w:val="ListParagraph"/>
        <w:numPr>
          <w:ilvl w:val="0"/>
          <w:numId w:val="12"/>
        </w:numPr>
      </w:pPr>
      <w:r w:rsidRPr="00C11756">
        <w:t>Identify five suitable patients prior to training,</w:t>
      </w:r>
    </w:p>
    <w:p w14:paraId="1672AB23" w14:textId="77777777" w:rsidR="00F5158E" w:rsidRDefault="00F5158E" w:rsidP="00626B64">
      <w:pPr>
        <w:pStyle w:val="ListParagraph"/>
        <w:numPr>
          <w:ilvl w:val="0"/>
          <w:numId w:val="12"/>
        </w:numPr>
      </w:pPr>
      <w:r w:rsidRPr="00C11756">
        <w:t xml:space="preserve">Be able to continue to have a reasonable volume of patients </w:t>
      </w:r>
      <w:proofErr w:type="gramStart"/>
      <w:r w:rsidRPr="00C11756">
        <w:t>so as to</w:t>
      </w:r>
      <w:proofErr w:type="gramEnd"/>
      <w:r w:rsidRPr="00C11756">
        <w:t xml:space="preserve"> maintain minimum skills levels and optimal patient outcomes.</w:t>
      </w:r>
    </w:p>
    <w:p w14:paraId="481C2C8A" w14:textId="5A9D939D" w:rsidR="00F5158E" w:rsidRPr="00C11756" w:rsidRDefault="00F5158E" w:rsidP="00F5158E">
      <w:r w:rsidRPr="00507501">
        <w:t>The PASCAL device</w:t>
      </w:r>
      <w:r w:rsidR="0021447A">
        <w:t xml:space="preserve"> </w:t>
      </w:r>
      <w:r w:rsidR="003F0E8B">
        <w:t>is not currently listed on the Prescribed List of Medical Devices and Human Tissue Products (Pr</w:t>
      </w:r>
      <w:r w:rsidR="0021447A">
        <w:t>escribed List).</w:t>
      </w:r>
      <w:r w:rsidRPr="00507501">
        <w:t xml:space="preserve"> </w:t>
      </w:r>
    </w:p>
    <w:p w14:paraId="44C3B242" w14:textId="5366D31E" w:rsidR="00772829" w:rsidRPr="00CE28E3" w:rsidRDefault="005E3CDE" w:rsidP="002A18BE">
      <w:pPr>
        <w:pStyle w:val="Heading2"/>
        <w:numPr>
          <w:ilvl w:val="0"/>
          <w:numId w:val="0"/>
        </w:numPr>
      </w:pPr>
      <w:bookmarkStart w:id="8" w:name="_Toc69491418"/>
      <w:r>
        <w:t>6</w:t>
      </w:r>
      <w:r w:rsidR="00C36633">
        <w:t>.</w:t>
      </w:r>
      <w:r w:rsidR="00C36633">
        <w:tab/>
      </w:r>
      <w:r w:rsidR="00772829" w:rsidRPr="00CE28E3">
        <w:t>Proposal for public funding</w:t>
      </w:r>
      <w:bookmarkEnd w:id="8"/>
    </w:p>
    <w:p w14:paraId="4283971F" w14:textId="03A4304E" w:rsidR="00DA32A3" w:rsidRDefault="00855B74" w:rsidP="00DA32A3">
      <w:r w:rsidRPr="00855B74">
        <w:t xml:space="preserve">This </w:t>
      </w:r>
      <w:r w:rsidR="00691C26">
        <w:t>application</w:t>
      </w:r>
      <w:r w:rsidRPr="00855B74">
        <w:t xml:space="preserve"> has excluded MBS item 38463 compared to </w:t>
      </w:r>
      <w:r w:rsidR="000E1E6A">
        <w:t>the</w:t>
      </w:r>
      <w:r w:rsidRPr="00855B74">
        <w:t xml:space="preserve"> previous application </w:t>
      </w:r>
      <w:r w:rsidR="002F2403" w:rsidRPr="00855B74">
        <w:t>1662.1</w:t>
      </w:r>
      <w:r w:rsidR="002F2403">
        <w:t xml:space="preserve"> and</w:t>
      </w:r>
      <w:r w:rsidR="008716DC">
        <w:t xml:space="preserve"> </w:t>
      </w:r>
      <w:r w:rsidR="00DA32A3">
        <w:t xml:space="preserve">seeks to modify existing MBS item 38461 for </w:t>
      </w:r>
      <w:proofErr w:type="spellStart"/>
      <w:r w:rsidR="00DA32A3">
        <w:t>TMVr</w:t>
      </w:r>
      <w:proofErr w:type="spellEnd"/>
      <w:r w:rsidR="00DA32A3">
        <w:t xml:space="preserve"> using the </w:t>
      </w:r>
      <w:proofErr w:type="spellStart"/>
      <w:r w:rsidR="00DA32A3">
        <w:t>MitraClip</w:t>
      </w:r>
      <w:proofErr w:type="spellEnd"/>
      <w:r w:rsidR="00DA32A3">
        <w:t xml:space="preserve"> system for the treatment of moderate-severe or severe DMR to become device-agnostic. The proposed amendments are presented in </w:t>
      </w:r>
      <w:r w:rsidR="00794C49">
        <w:fldChar w:fldCharType="begin"/>
      </w:r>
      <w:r w:rsidR="00794C49">
        <w:instrText xml:space="preserve"> REF _Ref152154411 \h </w:instrText>
      </w:r>
      <w:r w:rsidR="00794C49">
        <w:fldChar w:fldCharType="separate"/>
      </w:r>
      <w:r w:rsidR="00794C49">
        <w:t xml:space="preserve">Table </w:t>
      </w:r>
      <w:r w:rsidR="00794C49">
        <w:rPr>
          <w:noProof/>
        </w:rPr>
        <w:t>3</w:t>
      </w:r>
      <w:r w:rsidR="00794C49">
        <w:fldChar w:fldCharType="end"/>
      </w:r>
      <w:r w:rsidR="00DA32A3">
        <w:t xml:space="preserve">. </w:t>
      </w:r>
    </w:p>
    <w:p w14:paraId="4D494DF6" w14:textId="6A34D270" w:rsidR="00DA32A3" w:rsidRDefault="00794C49" w:rsidP="00DA079E">
      <w:pPr>
        <w:pStyle w:val="TableFigureHeading"/>
      </w:pPr>
      <w:bookmarkStart w:id="9" w:name="_Ref152154411"/>
      <w:bookmarkStart w:id="10" w:name="_Ref69481033"/>
      <w:r>
        <w:t xml:space="preserve">Table </w:t>
      </w:r>
      <w:r>
        <w:fldChar w:fldCharType="begin"/>
      </w:r>
      <w:r>
        <w:instrText>SEQ Table \* ARABIC</w:instrText>
      </w:r>
      <w:r>
        <w:fldChar w:fldCharType="separate"/>
      </w:r>
      <w:r w:rsidR="009D67C6">
        <w:rPr>
          <w:noProof/>
        </w:rPr>
        <w:t>3</w:t>
      </w:r>
      <w:r>
        <w:fldChar w:fldCharType="end"/>
      </w:r>
      <w:bookmarkEnd w:id="9"/>
      <w:r>
        <w:t xml:space="preserve"> </w:t>
      </w:r>
      <w:bookmarkEnd w:id="10"/>
      <w:r w:rsidR="00DA32A3" w:rsidRPr="00CE28E3">
        <w:t xml:space="preserve">Presentation of </w:t>
      </w:r>
      <w:r w:rsidR="00DA32A3">
        <w:t xml:space="preserve">the proposed </w:t>
      </w:r>
      <w:r w:rsidR="00DA32A3" w:rsidRPr="00CE28E3">
        <w:t>MBS item</w:t>
      </w:r>
    </w:p>
    <w:tbl>
      <w:tblPr>
        <w:tblStyle w:val="LashStyleTable2"/>
        <w:tblW w:w="0" w:type="auto"/>
        <w:tblLook w:val="04A0" w:firstRow="1" w:lastRow="0" w:firstColumn="1" w:lastColumn="0" w:noHBand="0" w:noVBand="1"/>
        <w:tblCaption w:val="Proposed item descriptor for diagnostic testing"/>
        <w:tblDescription w:val="Proposed item descriptor for diagnostic testing"/>
      </w:tblPr>
      <w:tblGrid>
        <w:gridCol w:w="9016"/>
      </w:tblGrid>
      <w:tr w:rsidR="00DA32A3" w:rsidRPr="00B17A46" w14:paraId="1EC87B01" w14:textId="77777777" w:rsidTr="5DB01F6B">
        <w:trPr>
          <w:cnfStyle w:val="100000000000" w:firstRow="1" w:lastRow="0" w:firstColumn="0" w:lastColumn="0" w:oddVBand="0" w:evenVBand="0" w:oddHBand="0" w:evenHBand="0" w:firstRowFirstColumn="0" w:firstRowLastColumn="0" w:lastRowFirstColumn="0" w:lastRowLastColumn="0"/>
          <w:cantSplit/>
          <w:trHeight w:val="350"/>
        </w:trPr>
        <w:tc>
          <w:tcPr>
            <w:tcW w:w="0" w:type="dxa"/>
            <w:shd w:val="clear" w:color="auto" w:fill="auto"/>
          </w:tcPr>
          <w:p w14:paraId="1040BE12" w14:textId="77777777" w:rsidR="00DA32A3" w:rsidRPr="00B17A46" w:rsidRDefault="00DA32A3">
            <w:pPr>
              <w:pStyle w:val="Tabletext0"/>
              <w:rPr>
                <w:rFonts w:eastAsiaTheme="minorHAnsi"/>
              </w:rPr>
            </w:pPr>
            <w:r w:rsidRPr="00B17A46">
              <w:rPr>
                <w:rFonts w:eastAsiaTheme="minorHAnsi"/>
              </w:rPr>
              <w:t>Category 3 - Therapeutic Procedures</w:t>
            </w:r>
          </w:p>
        </w:tc>
      </w:tr>
      <w:tr w:rsidR="00DA32A3" w:rsidRPr="00B17A46" w14:paraId="18263B54" w14:textId="77777777" w:rsidTr="5DB01F6B">
        <w:trPr>
          <w:cantSplit/>
        </w:trPr>
        <w:tc>
          <w:tcPr>
            <w:tcW w:w="0" w:type="dxa"/>
            <w:shd w:val="clear" w:color="auto" w:fill="auto"/>
          </w:tcPr>
          <w:p w14:paraId="0C238D43" w14:textId="77777777" w:rsidR="00DA32A3" w:rsidRPr="00B17A46" w:rsidRDefault="00DA32A3">
            <w:pPr>
              <w:pStyle w:val="Tabletext0"/>
              <w:rPr>
                <w:rFonts w:eastAsiaTheme="minorHAnsi"/>
                <w:bCs/>
                <w:lang w:val="en-US" w:eastAsia="ja-JP"/>
              </w:rPr>
            </w:pPr>
            <w:r w:rsidRPr="00B17A46">
              <w:rPr>
                <w:rFonts w:eastAsiaTheme="minorHAnsi"/>
                <w:bCs/>
                <w:lang w:val="en-US" w:eastAsia="ja-JP"/>
              </w:rPr>
              <w:t>MBS item 38461</w:t>
            </w:r>
          </w:p>
          <w:p w14:paraId="4AEF0A26" w14:textId="77777777" w:rsidR="00DA32A3" w:rsidRPr="00B17A46" w:rsidRDefault="00DA32A3">
            <w:pPr>
              <w:pStyle w:val="Tabletext0"/>
              <w:rPr>
                <w:rFonts w:eastAsiaTheme="minorHAnsi"/>
                <w:lang w:val="en-US" w:eastAsia="ja-JP"/>
              </w:rPr>
            </w:pPr>
          </w:p>
          <w:p w14:paraId="4F65203B" w14:textId="370B79A9" w:rsidR="00DA32A3" w:rsidRPr="00B17A46" w:rsidRDefault="00DA32A3" w:rsidP="5DB01F6B">
            <w:pPr>
              <w:pStyle w:val="Tabletext0"/>
              <w:rPr>
                <w:rFonts w:eastAsiaTheme="minorEastAsia"/>
              </w:rPr>
            </w:pPr>
            <w:proofErr w:type="spellStart"/>
            <w:r w:rsidRPr="5DB01F6B">
              <w:rPr>
                <w:rFonts w:eastAsiaTheme="minorEastAsia"/>
              </w:rPr>
              <w:t>TMVr</w:t>
            </w:r>
            <w:proofErr w:type="spellEnd"/>
            <w:r w:rsidRPr="5DB01F6B">
              <w:rPr>
                <w:rFonts w:eastAsiaTheme="minorEastAsia"/>
              </w:rPr>
              <w:t>, by transvenous or transeptal techniques, for permanent coaptation of mitral valve leaflets using one or more</w:t>
            </w:r>
            <w:r w:rsidRPr="5DB01F6B">
              <w:rPr>
                <w:rFonts w:eastAsiaTheme="minorEastAsia"/>
                <w:strike/>
              </w:rPr>
              <w:t xml:space="preserve"> </w:t>
            </w:r>
            <w:proofErr w:type="spellStart"/>
            <w:r w:rsidRPr="5DB01F6B">
              <w:rPr>
                <w:rFonts w:eastAsiaTheme="minorEastAsia"/>
                <w:strike/>
              </w:rPr>
              <w:t>MitraClips</w:t>
            </w:r>
            <w:proofErr w:type="spellEnd"/>
            <w:r w:rsidRPr="5DB01F6B">
              <w:rPr>
                <w:rFonts w:eastAsiaTheme="minorEastAsia"/>
                <w:strike/>
              </w:rPr>
              <w:t>™</w:t>
            </w:r>
            <w:r w:rsidRPr="5DB01F6B">
              <w:rPr>
                <w:rFonts w:eastAsiaTheme="minorEastAsia"/>
              </w:rPr>
              <w:t xml:space="preserve"> </w:t>
            </w:r>
            <w:r w:rsidRPr="5DB01F6B">
              <w:rPr>
                <w:rFonts w:eastAsiaTheme="minorEastAsia"/>
                <w:i/>
                <w:iCs/>
              </w:rPr>
              <w:t>tissue approximation implants</w:t>
            </w:r>
            <w:r w:rsidRPr="5DB01F6B">
              <w:rPr>
                <w:rFonts w:eastAsiaTheme="minorEastAsia"/>
              </w:rPr>
              <w:t>, including intra</w:t>
            </w:r>
            <w:r w:rsidRPr="5DB01F6B">
              <w:rPr>
                <w:rFonts w:ascii="Times New Roman" w:eastAsiaTheme="minorEastAsia" w:hAnsi="Times New Roman"/>
              </w:rPr>
              <w:t>‑</w:t>
            </w:r>
            <w:r w:rsidRPr="5DB01F6B">
              <w:rPr>
                <w:rFonts w:eastAsiaTheme="minorEastAsia"/>
              </w:rPr>
              <w:t>operative diagnostic imaging, if:</w:t>
            </w:r>
          </w:p>
          <w:p w14:paraId="75925BC2" w14:textId="77777777" w:rsidR="00DA32A3" w:rsidRPr="00B17A46" w:rsidRDefault="00DA32A3" w:rsidP="00626B64">
            <w:pPr>
              <w:pStyle w:val="Tabletext0"/>
              <w:numPr>
                <w:ilvl w:val="0"/>
                <w:numId w:val="16"/>
              </w:numPr>
              <w:ind w:left="471"/>
              <w:rPr>
                <w:rFonts w:eastAsiaTheme="minorHAnsi"/>
              </w:rPr>
            </w:pPr>
            <w:r w:rsidRPr="00B17A46">
              <w:rPr>
                <w:rFonts w:eastAsiaTheme="minorHAnsi"/>
              </w:rPr>
              <w:t>the patient has each of the following risk factors:</w:t>
            </w:r>
          </w:p>
          <w:p w14:paraId="0AD72A00" w14:textId="77777777" w:rsidR="00DA32A3" w:rsidRPr="00B17A46" w:rsidRDefault="00DA32A3" w:rsidP="00626B64">
            <w:pPr>
              <w:pStyle w:val="Tabletext0"/>
              <w:numPr>
                <w:ilvl w:val="0"/>
                <w:numId w:val="13"/>
              </w:numPr>
              <w:rPr>
                <w:rFonts w:eastAsiaTheme="minorHAnsi"/>
              </w:rPr>
            </w:pPr>
            <w:r w:rsidRPr="00B17A46">
              <w:rPr>
                <w:rFonts w:eastAsiaTheme="minorHAnsi"/>
              </w:rPr>
              <w:t>moderate to severe, or severe, symptomatic degenerative (primary) mitral valve regurgitation (grade 3+ or 4+</w:t>
            </w:r>
            <w:proofErr w:type="gramStart"/>
            <w:r w:rsidRPr="00B17A46">
              <w:rPr>
                <w:rFonts w:eastAsiaTheme="minorHAnsi"/>
              </w:rPr>
              <w:t>);</w:t>
            </w:r>
            <w:proofErr w:type="gramEnd"/>
          </w:p>
          <w:p w14:paraId="7B72F3AD" w14:textId="77777777" w:rsidR="00DA32A3" w:rsidRPr="00B17A46" w:rsidRDefault="00DA32A3" w:rsidP="00626B64">
            <w:pPr>
              <w:pStyle w:val="Tabletext0"/>
              <w:numPr>
                <w:ilvl w:val="0"/>
                <w:numId w:val="13"/>
              </w:numPr>
              <w:rPr>
                <w:rFonts w:eastAsiaTheme="minorHAnsi"/>
              </w:rPr>
            </w:pPr>
            <w:r w:rsidRPr="00B17A46">
              <w:rPr>
                <w:rFonts w:eastAsiaTheme="minorHAnsi"/>
              </w:rPr>
              <w:t xml:space="preserve">left ventricular ejection fraction of 20% or </w:t>
            </w:r>
            <w:proofErr w:type="gramStart"/>
            <w:r w:rsidRPr="00B17A46">
              <w:rPr>
                <w:rFonts w:eastAsiaTheme="minorHAnsi"/>
              </w:rPr>
              <w:t>more;</w:t>
            </w:r>
            <w:proofErr w:type="gramEnd"/>
          </w:p>
          <w:p w14:paraId="03FB1E1A" w14:textId="77777777" w:rsidR="00DA32A3" w:rsidRPr="00B17A46" w:rsidRDefault="00DA32A3" w:rsidP="00626B64">
            <w:pPr>
              <w:pStyle w:val="Tabletext0"/>
              <w:numPr>
                <w:ilvl w:val="0"/>
                <w:numId w:val="13"/>
              </w:numPr>
              <w:rPr>
                <w:rFonts w:eastAsiaTheme="minorHAnsi"/>
              </w:rPr>
            </w:pPr>
            <w:r w:rsidRPr="00B17A46">
              <w:rPr>
                <w:rFonts w:eastAsiaTheme="minorHAnsi"/>
              </w:rPr>
              <w:t xml:space="preserve">symptoms of mild, </w:t>
            </w:r>
            <w:proofErr w:type="gramStart"/>
            <w:r w:rsidRPr="00B17A46">
              <w:rPr>
                <w:rFonts w:eastAsiaTheme="minorHAnsi"/>
              </w:rPr>
              <w:t>moderate</w:t>
            </w:r>
            <w:proofErr w:type="gramEnd"/>
            <w:r w:rsidRPr="00B17A46">
              <w:rPr>
                <w:rFonts w:eastAsiaTheme="minorHAnsi"/>
              </w:rPr>
              <w:t xml:space="preserve"> or severe chronic heart failure (New York Heart Association class II, III or IV); and</w:t>
            </w:r>
          </w:p>
          <w:p w14:paraId="53BE6E70" w14:textId="77777777" w:rsidR="00DA32A3" w:rsidRPr="00B17A46" w:rsidRDefault="00DA32A3" w:rsidP="00626B64">
            <w:pPr>
              <w:pStyle w:val="Tabletext0"/>
              <w:numPr>
                <w:ilvl w:val="0"/>
                <w:numId w:val="16"/>
              </w:numPr>
              <w:ind w:left="471"/>
              <w:rPr>
                <w:rFonts w:eastAsiaTheme="minorHAnsi"/>
              </w:rPr>
            </w:pPr>
            <w:proofErr w:type="gramStart"/>
            <w:r w:rsidRPr="00B17A46">
              <w:rPr>
                <w:rFonts w:eastAsiaTheme="minorHAnsi"/>
              </w:rPr>
              <w:t>as a result of</w:t>
            </w:r>
            <w:proofErr w:type="gramEnd"/>
            <w:r w:rsidRPr="00B17A46">
              <w:rPr>
                <w:rFonts w:eastAsiaTheme="minorHAnsi"/>
              </w:rPr>
              <w:t xml:space="preserve"> a </w:t>
            </w:r>
            <w:proofErr w:type="spellStart"/>
            <w:r w:rsidRPr="00B17A46">
              <w:rPr>
                <w:rFonts w:eastAsiaTheme="minorHAnsi"/>
              </w:rPr>
              <w:t>TMVr</w:t>
            </w:r>
            <w:proofErr w:type="spellEnd"/>
            <w:r w:rsidRPr="00B17A46">
              <w:rPr>
                <w:rFonts w:eastAsiaTheme="minorHAnsi"/>
              </w:rPr>
              <w:t xml:space="preserve"> suitability case conference, the patient has been:</w:t>
            </w:r>
          </w:p>
          <w:p w14:paraId="4B9F91DC" w14:textId="77777777" w:rsidR="00DA32A3" w:rsidRPr="00B17A46" w:rsidRDefault="00DA32A3" w:rsidP="00626B64">
            <w:pPr>
              <w:pStyle w:val="Tabletext0"/>
              <w:numPr>
                <w:ilvl w:val="0"/>
                <w:numId w:val="14"/>
              </w:numPr>
              <w:rPr>
                <w:rFonts w:eastAsiaTheme="minorHAnsi"/>
              </w:rPr>
            </w:pPr>
            <w:r w:rsidRPr="00B17A46">
              <w:rPr>
                <w:rFonts w:eastAsiaTheme="minorHAnsi"/>
              </w:rPr>
              <w:t>assessed as having an unacceptably high risk for surgical mitral valve replacement; and</w:t>
            </w:r>
          </w:p>
          <w:p w14:paraId="43AB703A" w14:textId="77777777" w:rsidR="00DA32A3" w:rsidRPr="00B17A46" w:rsidRDefault="00DA32A3" w:rsidP="00626B64">
            <w:pPr>
              <w:pStyle w:val="Tabletext0"/>
              <w:numPr>
                <w:ilvl w:val="0"/>
                <w:numId w:val="14"/>
              </w:numPr>
              <w:rPr>
                <w:rFonts w:eastAsiaTheme="minorHAnsi"/>
              </w:rPr>
            </w:pPr>
            <w:r w:rsidRPr="00B17A46">
              <w:rPr>
                <w:rFonts w:eastAsiaTheme="minorHAnsi"/>
              </w:rPr>
              <w:t>recommended as being suitable for the service; and</w:t>
            </w:r>
          </w:p>
          <w:p w14:paraId="22FD299A" w14:textId="77777777" w:rsidR="00DA32A3" w:rsidRPr="00B17A46" w:rsidRDefault="00DA32A3" w:rsidP="00626B64">
            <w:pPr>
              <w:pStyle w:val="Tabletext0"/>
              <w:numPr>
                <w:ilvl w:val="0"/>
                <w:numId w:val="16"/>
              </w:numPr>
              <w:ind w:left="471"/>
              <w:rPr>
                <w:rFonts w:eastAsiaTheme="minorHAnsi"/>
              </w:rPr>
            </w:pPr>
            <w:r w:rsidRPr="00B17A46">
              <w:rPr>
                <w:rFonts w:eastAsiaTheme="minorHAnsi"/>
              </w:rPr>
              <w:t>the service is performed:</w:t>
            </w:r>
          </w:p>
          <w:p w14:paraId="6531CC30" w14:textId="77777777" w:rsidR="00DA32A3" w:rsidRPr="00B17A46" w:rsidRDefault="00DA32A3" w:rsidP="00626B64">
            <w:pPr>
              <w:pStyle w:val="Tabletext0"/>
              <w:numPr>
                <w:ilvl w:val="0"/>
                <w:numId w:val="15"/>
              </w:numPr>
              <w:rPr>
                <w:rFonts w:eastAsiaTheme="minorHAnsi"/>
              </w:rPr>
            </w:pPr>
            <w:r w:rsidRPr="00B17A46">
              <w:rPr>
                <w:rFonts w:eastAsiaTheme="minorHAnsi"/>
              </w:rPr>
              <w:t xml:space="preserve">by a cardiothoracic surgeon, or an interventional cardiologist, accredited by the </w:t>
            </w:r>
            <w:proofErr w:type="spellStart"/>
            <w:r w:rsidRPr="00B17A46">
              <w:rPr>
                <w:rFonts w:eastAsiaTheme="minorHAnsi"/>
              </w:rPr>
              <w:t>TMVr</w:t>
            </w:r>
            <w:proofErr w:type="spellEnd"/>
            <w:r w:rsidRPr="00B17A46">
              <w:rPr>
                <w:rFonts w:eastAsiaTheme="minorHAnsi"/>
              </w:rPr>
              <w:t xml:space="preserve"> accreditation committee to perform the service; and</w:t>
            </w:r>
          </w:p>
          <w:p w14:paraId="42734612" w14:textId="77777777" w:rsidR="00DA32A3" w:rsidRPr="00B17A46" w:rsidRDefault="00DA32A3" w:rsidP="00626B64">
            <w:pPr>
              <w:pStyle w:val="Tabletext0"/>
              <w:numPr>
                <w:ilvl w:val="0"/>
                <w:numId w:val="15"/>
              </w:numPr>
              <w:rPr>
                <w:rFonts w:eastAsiaTheme="minorHAnsi"/>
              </w:rPr>
            </w:pPr>
            <w:r w:rsidRPr="00B17A46">
              <w:rPr>
                <w:rFonts w:eastAsiaTheme="minorHAnsi"/>
              </w:rPr>
              <w:t>via transfemoral venous delivery, unless transfemoral venous delivery is contraindicated or not feasible; and</w:t>
            </w:r>
          </w:p>
          <w:p w14:paraId="5B540B4F" w14:textId="77777777" w:rsidR="00DA32A3" w:rsidRPr="00B17A46" w:rsidRDefault="00DA32A3" w:rsidP="00626B64">
            <w:pPr>
              <w:pStyle w:val="Tabletext0"/>
              <w:numPr>
                <w:ilvl w:val="0"/>
                <w:numId w:val="15"/>
              </w:numPr>
              <w:rPr>
                <w:rFonts w:eastAsiaTheme="minorHAnsi"/>
              </w:rPr>
            </w:pPr>
            <w:r w:rsidRPr="00B17A46">
              <w:rPr>
                <w:rFonts w:eastAsiaTheme="minorHAnsi"/>
              </w:rPr>
              <w:t xml:space="preserve">in a hospital that is accredited by the </w:t>
            </w:r>
            <w:proofErr w:type="spellStart"/>
            <w:r w:rsidRPr="00B17A46">
              <w:rPr>
                <w:rFonts w:eastAsiaTheme="minorHAnsi"/>
              </w:rPr>
              <w:t>TMVr</w:t>
            </w:r>
            <w:proofErr w:type="spellEnd"/>
            <w:r w:rsidRPr="00B17A46">
              <w:rPr>
                <w:rFonts w:eastAsiaTheme="minorHAnsi"/>
              </w:rPr>
              <w:t xml:space="preserve"> accreditation committee as a suitable hospital for the service; and</w:t>
            </w:r>
          </w:p>
          <w:p w14:paraId="4242CFAF" w14:textId="77777777" w:rsidR="00DA32A3" w:rsidRPr="00B17A46" w:rsidRDefault="00DA32A3" w:rsidP="00626B64">
            <w:pPr>
              <w:pStyle w:val="Tabletext0"/>
              <w:numPr>
                <w:ilvl w:val="0"/>
                <w:numId w:val="16"/>
              </w:numPr>
              <w:ind w:left="471"/>
              <w:rPr>
                <w:rFonts w:eastAsiaTheme="minorHAnsi"/>
              </w:rPr>
            </w:pPr>
            <w:r w:rsidRPr="00B17A46">
              <w:rPr>
                <w:rFonts w:eastAsiaTheme="minorHAnsi"/>
              </w:rPr>
              <w:t>a service to which this item, or item 38463, applies has not been provided to the patient in the previous 5 years</w:t>
            </w:r>
          </w:p>
        </w:tc>
      </w:tr>
      <w:tr w:rsidR="00DA32A3" w:rsidRPr="00B17A46" w14:paraId="683EE048" w14:textId="77777777" w:rsidTr="5DB01F6B">
        <w:trPr>
          <w:cantSplit/>
          <w:trHeight w:val="223"/>
        </w:trPr>
        <w:tc>
          <w:tcPr>
            <w:tcW w:w="9016" w:type="dxa"/>
          </w:tcPr>
          <w:p w14:paraId="0DBEB553" w14:textId="47AC8EBB" w:rsidR="00DA32A3" w:rsidRPr="00B17A46" w:rsidRDefault="00DA32A3">
            <w:pPr>
              <w:pStyle w:val="Tabletext0"/>
              <w:rPr>
                <w:rFonts w:eastAsiaTheme="minorHAnsi"/>
                <w:snapToGrid w:val="0"/>
              </w:rPr>
            </w:pPr>
            <w:r w:rsidRPr="00B17A46">
              <w:rPr>
                <w:rFonts w:eastAsiaTheme="minorHAnsi"/>
              </w:rPr>
              <w:t>Fee:</w:t>
            </w:r>
            <w:r w:rsidR="0070355A">
              <w:rPr>
                <w:rFonts w:eastAsiaTheme="minorHAnsi"/>
              </w:rPr>
              <w:t xml:space="preserve"> </w:t>
            </w:r>
            <w:r w:rsidR="005B74C8">
              <w:rPr>
                <w:rFonts w:eastAsiaTheme="minorHAnsi"/>
              </w:rPr>
              <w:t>$1576.45</w:t>
            </w:r>
          </w:p>
        </w:tc>
      </w:tr>
    </w:tbl>
    <w:p w14:paraId="4F2F0DA9" w14:textId="77777777" w:rsidR="00DA32A3" w:rsidRDefault="00DA32A3" w:rsidP="00A67166">
      <w:pPr>
        <w:pStyle w:val="TableFooter"/>
      </w:pPr>
      <w:r>
        <w:t>Source: Table 8, p26 of MSAC 1662.2 ADAR</w:t>
      </w:r>
    </w:p>
    <w:p w14:paraId="5B2BEEA0" w14:textId="41EC7F83" w:rsidR="00DA32A3" w:rsidRDefault="00285D12" w:rsidP="00DA32A3">
      <w:pPr>
        <w:pStyle w:val="TableFooter"/>
      </w:pPr>
      <w:r>
        <w:t>Abbreviations</w:t>
      </w:r>
      <w:r w:rsidR="007B3F13">
        <w:t xml:space="preserve">: </w:t>
      </w:r>
      <w:r w:rsidR="00DA32A3" w:rsidRPr="008338D5">
        <w:t xml:space="preserve">MBS, Medicare Benefits Schedule; </w:t>
      </w:r>
      <w:proofErr w:type="spellStart"/>
      <w:r w:rsidR="00DA32A3" w:rsidRPr="008338D5">
        <w:t>TMVr</w:t>
      </w:r>
      <w:proofErr w:type="spellEnd"/>
      <w:r w:rsidR="00DA32A3" w:rsidRPr="008338D5">
        <w:t>, transcatheter mitral valve repair</w:t>
      </w:r>
      <w:r w:rsidR="00DA32A3">
        <w:t>.</w:t>
      </w:r>
    </w:p>
    <w:p w14:paraId="3F6E4EFC" w14:textId="77777777" w:rsidR="00DA32A3" w:rsidRDefault="00DA32A3" w:rsidP="00DA32A3">
      <w:r>
        <w:t xml:space="preserve">The PASCAL system is a catheter-based technique for the delivery of a permanent implant to the mitral valve via transeptal access. The PASCAL system consists of the Implant System, Guide Sheath as well as the optional stabiliser and cardiac implantation catheter table. The implant clasps the anterior and posterior leaflets around a spacer, thus creating a double orifice and reducing mitral regurgitation. </w:t>
      </w:r>
    </w:p>
    <w:p w14:paraId="05D8F1BE" w14:textId="77777777" w:rsidR="00DA32A3" w:rsidRDefault="00DA32A3" w:rsidP="00DA32A3">
      <w:r>
        <w:t xml:space="preserve">This proposal indicates that PASCAL system would be delivered to the same DMR patients and in the same clinical setting as the </w:t>
      </w:r>
      <w:proofErr w:type="spellStart"/>
      <w:r>
        <w:t>MitraClip</w:t>
      </w:r>
      <w:proofErr w:type="spellEnd"/>
      <w:r>
        <w:t xml:space="preserve"> system. The current MBS item can only be claimed once every five years for each patient. Patient’s risk factors and suitability for </w:t>
      </w:r>
      <w:proofErr w:type="spellStart"/>
      <w:r>
        <w:t>TMVr</w:t>
      </w:r>
      <w:proofErr w:type="spellEnd"/>
      <w:r>
        <w:t xml:space="preserve"> procedure should </w:t>
      </w:r>
      <w:r>
        <w:lastRenderedPageBreak/>
        <w:t xml:space="preserve">be determined by </w:t>
      </w:r>
      <w:r w:rsidRPr="00920570">
        <w:t>a multidisciplinary heart team</w:t>
      </w:r>
      <w:r>
        <w:t xml:space="preserve"> (MDHT)</w:t>
      </w:r>
      <w:r w:rsidRPr="00920570">
        <w:t xml:space="preserve">. </w:t>
      </w:r>
      <w:r>
        <w:t xml:space="preserve">The delivery of PASCAL system is restricted to be performed only by a cardiothoracic surgeon, or an interventional cardiologist, accredited by the </w:t>
      </w:r>
      <w:proofErr w:type="spellStart"/>
      <w:r>
        <w:t>TMVr</w:t>
      </w:r>
      <w:proofErr w:type="spellEnd"/>
      <w:r>
        <w:t xml:space="preserve"> accreditation committee to perform the service in a hospital accredited to perform the procedure. The ADAR also stated that physicians and relevant hospital staff must be accredited by qualified Edwards Lifesciences personnel.</w:t>
      </w:r>
    </w:p>
    <w:p w14:paraId="6EBEB17B" w14:textId="77777777" w:rsidR="00DA32A3" w:rsidRDefault="00DA32A3" w:rsidP="00DA32A3">
      <w:r w:rsidRPr="004F7AC6">
        <w:t>The proposed MBS item fee is the same as the existing fee for MBS items 38461.</w:t>
      </w:r>
    </w:p>
    <w:p w14:paraId="056048FE" w14:textId="4CDDC174" w:rsidR="00FC1898" w:rsidRDefault="00DA32A3" w:rsidP="00FC1898">
      <w:r>
        <w:t xml:space="preserve">If the MBS item 38461 become device agnostic, it would allow for all future similar devices to be used </w:t>
      </w:r>
      <w:proofErr w:type="gramStart"/>
      <w:r>
        <w:t>as long as</w:t>
      </w:r>
      <w:proofErr w:type="gramEnd"/>
      <w:r>
        <w:t xml:space="preserve"> the safety, effectiveness and cost effectiveness had been assessed</w:t>
      </w:r>
      <w:r w:rsidR="005B619D">
        <w:t>.</w:t>
      </w:r>
    </w:p>
    <w:p w14:paraId="34E0B08F" w14:textId="5A27B7DE" w:rsidR="00772829" w:rsidRPr="00CE28E3" w:rsidRDefault="005E3CDE" w:rsidP="002A18BE">
      <w:pPr>
        <w:pStyle w:val="Heading2"/>
        <w:numPr>
          <w:ilvl w:val="0"/>
          <w:numId w:val="0"/>
        </w:numPr>
      </w:pPr>
      <w:bookmarkStart w:id="11" w:name="_Toc69491419"/>
      <w:r>
        <w:t>7</w:t>
      </w:r>
      <w:r w:rsidR="00C36633">
        <w:t>.</w:t>
      </w:r>
      <w:r w:rsidR="00C36633">
        <w:tab/>
      </w:r>
      <w:r w:rsidR="00772829" w:rsidRPr="00CE28E3">
        <w:t>Population</w:t>
      </w:r>
      <w:bookmarkEnd w:id="11"/>
      <w:r w:rsidR="00772829" w:rsidRPr="00CE28E3">
        <w:t xml:space="preserve"> </w:t>
      </w:r>
    </w:p>
    <w:p w14:paraId="3715854F" w14:textId="734B341A" w:rsidR="00DB2274" w:rsidRDefault="00C91833" w:rsidP="00DB2274">
      <w:r w:rsidRPr="00C91833">
        <w:t xml:space="preserve">The proposed population for </w:t>
      </w:r>
      <w:proofErr w:type="spellStart"/>
      <w:r w:rsidRPr="00C91833">
        <w:t>TMVr</w:t>
      </w:r>
      <w:proofErr w:type="spellEnd"/>
      <w:r w:rsidRPr="00C91833">
        <w:t xml:space="preserve"> using the PASCAL system has changed from MSAC’s previous 2022 consideration. This ADAR excluded the MBS item 38463 and consequently treatment for the FMR population. However, the proposed DMR population (MBS item 38461) remains the same</w:t>
      </w:r>
      <w:r w:rsidR="00454C8D">
        <w:t xml:space="preserve"> and </w:t>
      </w:r>
      <w:r w:rsidR="00DB2274" w:rsidRPr="00B30C29">
        <w:t>align</w:t>
      </w:r>
      <w:r w:rsidR="00146518">
        <w:t>s</w:t>
      </w:r>
      <w:r w:rsidR="00DB2274" w:rsidRPr="00B30C29">
        <w:t xml:space="preserve"> with the current population already listed for this procedure on the MBS using the </w:t>
      </w:r>
      <w:proofErr w:type="spellStart"/>
      <w:r w:rsidR="00DB2274" w:rsidRPr="00B30C29">
        <w:t>MitraClip</w:t>
      </w:r>
      <w:proofErr w:type="spellEnd"/>
      <w:r w:rsidR="00DB2274" w:rsidRPr="00B30C29">
        <w:t xml:space="preserve"> system (item 38461).</w:t>
      </w:r>
    </w:p>
    <w:p w14:paraId="4FA7F89F" w14:textId="77777777" w:rsidR="00DB2274" w:rsidRDefault="00DB2274" w:rsidP="00DB2274">
      <w:r>
        <w:t>Patients with DMR:</w:t>
      </w:r>
    </w:p>
    <w:p w14:paraId="79F9CC31" w14:textId="77777777" w:rsidR="00DB2274" w:rsidRDefault="00DB2274" w:rsidP="00626B64">
      <w:pPr>
        <w:pStyle w:val="ListParagraph"/>
        <w:numPr>
          <w:ilvl w:val="0"/>
          <w:numId w:val="17"/>
        </w:numPr>
      </w:pPr>
      <w:r>
        <w:t>Moderate-severe or severe mitral regurgitation (grade 3+ or 4+)</w:t>
      </w:r>
    </w:p>
    <w:p w14:paraId="7F1B6B3C" w14:textId="77777777" w:rsidR="00DB2274" w:rsidRDefault="00DB2274" w:rsidP="00626B64">
      <w:pPr>
        <w:pStyle w:val="ListParagraph"/>
        <w:numPr>
          <w:ilvl w:val="0"/>
          <w:numId w:val="17"/>
        </w:numPr>
      </w:pPr>
      <w:r>
        <w:t>Left ventricular ejection fraction (LVEF) ≥20%</w:t>
      </w:r>
    </w:p>
    <w:p w14:paraId="59EDCB51" w14:textId="32C093D2" w:rsidR="00DB2274" w:rsidRDefault="00DB2274" w:rsidP="00626B64">
      <w:pPr>
        <w:pStyle w:val="ListParagraph"/>
        <w:numPr>
          <w:ilvl w:val="0"/>
          <w:numId w:val="17"/>
        </w:numPr>
      </w:pPr>
      <w:r>
        <w:t xml:space="preserve">Symptoms of mild, </w:t>
      </w:r>
      <w:proofErr w:type="gramStart"/>
      <w:r>
        <w:t>moderate</w:t>
      </w:r>
      <w:proofErr w:type="gramEnd"/>
      <w:r>
        <w:t xml:space="preserve"> or severe chronic heart failure (</w:t>
      </w:r>
      <w:r w:rsidR="00F815CB">
        <w:t xml:space="preserve">New York Heart Association </w:t>
      </w:r>
      <w:r w:rsidR="0090735A">
        <w:t>[</w:t>
      </w:r>
      <w:r>
        <w:t>NYHA</w:t>
      </w:r>
      <w:r w:rsidR="0090735A">
        <w:t>]</w:t>
      </w:r>
      <w:r>
        <w:t xml:space="preserve"> class II, III, or IV)</w:t>
      </w:r>
    </w:p>
    <w:p w14:paraId="129DB945" w14:textId="77777777" w:rsidR="00DB2274" w:rsidRDefault="00DB2274" w:rsidP="00626B64">
      <w:pPr>
        <w:pStyle w:val="ListParagraph"/>
        <w:numPr>
          <w:ilvl w:val="0"/>
          <w:numId w:val="17"/>
        </w:numPr>
      </w:pPr>
      <w:r>
        <w:t xml:space="preserve">Assessed as having unacceptably high risk for surgical valve replacement by a </w:t>
      </w:r>
      <w:proofErr w:type="spellStart"/>
      <w:r>
        <w:t>TMVr</w:t>
      </w:r>
      <w:proofErr w:type="spellEnd"/>
      <w:r>
        <w:t xml:space="preserve"> case </w:t>
      </w:r>
      <w:proofErr w:type="gramStart"/>
      <w:r>
        <w:t>conference</w:t>
      </w:r>
      <w:proofErr w:type="gramEnd"/>
    </w:p>
    <w:p w14:paraId="776706A3" w14:textId="22445F26" w:rsidR="00DB2274" w:rsidRDefault="00DB2274" w:rsidP="00DB2274">
      <w:r w:rsidRPr="001850A3">
        <w:t>The proposed clinical management algorithm for DMR patients</w:t>
      </w:r>
      <w:r>
        <w:t xml:space="preserve">, shown in </w:t>
      </w:r>
      <w:r w:rsidR="00716FD9" w:rsidRPr="00716FD9">
        <w:fldChar w:fldCharType="begin"/>
      </w:r>
      <w:r w:rsidR="00716FD9" w:rsidRPr="00716FD9">
        <w:instrText xml:space="preserve"> REF _Ref152154594 \h </w:instrText>
      </w:r>
      <w:r w:rsidR="00716FD9">
        <w:instrText xml:space="preserve"> \* MERGEFORMAT </w:instrText>
      </w:r>
      <w:r w:rsidR="00716FD9" w:rsidRPr="00716FD9">
        <w:fldChar w:fldCharType="separate"/>
      </w:r>
      <w:r w:rsidR="00716FD9" w:rsidRPr="00716FD9">
        <w:t xml:space="preserve">Figure </w:t>
      </w:r>
      <w:r w:rsidR="00716FD9" w:rsidRPr="00716FD9">
        <w:rPr>
          <w:noProof/>
        </w:rPr>
        <w:t>1</w:t>
      </w:r>
      <w:r w:rsidR="00716FD9" w:rsidRPr="00716FD9">
        <w:fldChar w:fldCharType="end"/>
      </w:r>
      <w:r>
        <w:t>,</w:t>
      </w:r>
      <w:r w:rsidRPr="001850A3">
        <w:t xml:space="preserve"> remains unchanged from </w:t>
      </w:r>
      <w:r w:rsidR="000267D4">
        <w:t>the previous application</w:t>
      </w:r>
      <w:r w:rsidRPr="001850A3">
        <w:t>. This algorithm was based on the clinical algorithm presented in MSAC application 1192.3 (</w:t>
      </w:r>
      <w:r>
        <w:t xml:space="preserve">for </w:t>
      </w:r>
      <w:proofErr w:type="spellStart"/>
      <w:r>
        <w:t>MitraClip</w:t>
      </w:r>
      <w:proofErr w:type="spellEnd"/>
      <w:r w:rsidRPr="001850A3">
        <w:t>) and aligns with the proposed MBS item descriptor.</w:t>
      </w:r>
    </w:p>
    <w:p w14:paraId="4D68A404" w14:textId="3A109DB8" w:rsidR="00A41856" w:rsidRPr="001F2B69" w:rsidRDefault="003842E9" w:rsidP="00DA079E">
      <w:pPr>
        <w:pStyle w:val="TableFigureHeading"/>
      </w:pPr>
      <w:bookmarkStart w:id="12" w:name="_Ref152154594"/>
      <w:r w:rsidRPr="002F1124">
        <w:lastRenderedPageBreak/>
        <w:t xml:space="preserve">Figure </w:t>
      </w:r>
      <w:r>
        <w:fldChar w:fldCharType="begin"/>
      </w:r>
      <w:r>
        <w:instrText>SEQ Figure \* ARABIC</w:instrText>
      </w:r>
      <w:r>
        <w:fldChar w:fldCharType="separate"/>
      </w:r>
      <w:r w:rsidR="007B4C94">
        <w:rPr>
          <w:noProof/>
        </w:rPr>
        <w:t>1</w:t>
      </w:r>
      <w:r>
        <w:fldChar w:fldCharType="end"/>
      </w:r>
      <w:bookmarkEnd w:id="12"/>
      <w:r w:rsidRPr="002F1124">
        <w:t xml:space="preserve"> </w:t>
      </w:r>
      <w:r w:rsidR="00A41856" w:rsidRPr="002F1124">
        <w:t xml:space="preserve">Proposed clinical management algorithm for </w:t>
      </w:r>
      <w:proofErr w:type="gramStart"/>
      <w:r w:rsidR="00A41856" w:rsidRPr="002F1124">
        <w:t>DMR</w:t>
      </w:r>
      <w:proofErr w:type="gramEnd"/>
    </w:p>
    <w:p w14:paraId="4268FAF7" w14:textId="77777777" w:rsidR="00A41856" w:rsidRDefault="00A41856" w:rsidP="00A41856">
      <w:r w:rsidRPr="000E3F6C">
        <w:rPr>
          <w:noProof/>
        </w:rPr>
        <w:drawing>
          <wp:inline distT="0" distB="0" distL="0" distR="0" wp14:anchorId="302E33D5" wp14:editId="47109160">
            <wp:extent cx="5731510" cy="3390906"/>
            <wp:effectExtent l="0" t="0" r="2540" b="0"/>
            <wp:docPr id="8" name="Picture 8" descr="Figure showing the proposed clinical management algorithm for D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showing the proposed clinical management algorithm for DM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3390906"/>
                    </a:xfrm>
                    <a:prstGeom prst="rect">
                      <a:avLst/>
                    </a:prstGeom>
                    <a:noFill/>
                  </pic:spPr>
                </pic:pic>
              </a:graphicData>
            </a:graphic>
          </wp:inline>
        </w:drawing>
      </w:r>
    </w:p>
    <w:p w14:paraId="5070BF3B" w14:textId="7396B17D" w:rsidR="00A41856" w:rsidRDefault="00A41856" w:rsidP="00A41856">
      <w:pPr>
        <w:pStyle w:val="TableFooter"/>
      </w:pPr>
      <w:r>
        <w:t>Source: Figure 1, p25 of MSAC 1662.2</w:t>
      </w:r>
      <w:r w:rsidR="00184CD4">
        <w:t xml:space="preserve"> ADAR.</w:t>
      </w:r>
    </w:p>
    <w:p w14:paraId="10650AAF" w14:textId="71DFA9A5" w:rsidR="00A41856" w:rsidRDefault="00776AD0" w:rsidP="00A41856">
      <w:pPr>
        <w:pStyle w:val="TableFooter"/>
      </w:pPr>
      <w:r>
        <w:t xml:space="preserve">Abbreviations: </w:t>
      </w:r>
      <w:r w:rsidR="003F1DD7">
        <w:t>DMR,</w:t>
      </w:r>
      <w:r w:rsidR="003F1DD7" w:rsidRPr="003F1DD7">
        <w:rPr>
          <w:iCs/>
          <w:szCs w:val="24"/>
        </w:rPr>
        <w:t xml:space="preserve"> </w:t>
      </w:r>
      <w:r w:rsidR="003F1DD7" w:rsidRPr="00BB7F4A">
        <w:rPr>
          <w:iCs/>
          <w:szCs w:val="24"/>
        </w:rPr>
        <w:t>degenerative mitral regurgitation</w:t>
      </w:r>
      <w:r w:rsidR="003F1DD7">
        <w:rPr>
          <w:iCs/>
          <w:szCs w:val="24"/>
        </w:rPr>
        <w:t xml:space="preserve">; </w:t>
      </w:r>
      <w:r w:rsidR="00A41856">
        <w:t xml:space="preserve">LVEF, left ventricular ejection fraction; MDHT, multidisciplinary heart team; </w:t>
      </w:r>
      <w:proofErr w:type="spellStart"/>
      <w:r w:rsidR="00A41856">
        <w:t>TMVr</w:t>
      </w:r>
      <w:proofErr w:type="spellEnd"/>
      <w:r w:rsidR="00A41856">
        <w:t>, transcatheter mitral valve repair</w:t>
      </w:r>
      <w:r w:rsidR="003F1DD7">
        <w:t>.</w:t>
      </w:r>
    </w:p>
    <w:p w14:paraId="74A89A62" w14:textId="40C5AF24" w:rsidR="00D35CDF" w:rsidRDefault="00A41856" w:rsidP="00A41856">
      <w:pPr>
        <w:pStyle w:val="TableFooter"/>
      </w:pPr>
      <w:r>
        <w:t xml:space="preserve">Notes: 1. Symptomatic DMR defined as NYHA class ≥2 and MR grade 3+ or 4+; 2. Eligibility for surgery determined considering frailty, surgical risk score, major organ system dysfunction, and procedure-specific impediments; 3. Eligibility for </w:t>
      </w:r>
      <w:proofErr w:type="spellStart"/>
      <w:r>
        <w:t>TMVr</w:t>
      </w:r>
      <w:proofErr w:type="spellEnd"/>
      <w:r>
        <w:t xml:space="preserve"> requires MR grade 3+ or 4+, LVEF ≥20%, symptoms of mild, moderate or severe chronic heart failure (NYHA class II, III or IV); 4. Maximally tolerated guideline-directed medical therapy; 5. Extended heart failure treatment included heart transplant, cardiac resynchronisation therapy; ventricular assist devices; and cardiac restraint devices</w:t>
      </w:r>
    </w:p>
    <w:p w14:paraId="66BDFCC1" w14:textId="060BE36D" w:rsidR="00772829" w:rsidRPr="00CE28E3" w:rsidRDefault="005E3CDE" w:rsidP="002A18BE">
      <w:pPr>
        <w:pStyle w:val="Heading2"/>
        <w:numPr>
          <w:ilvl w:val="0"/>
          <w:numId w:val="0"/>
        </w:numPr>
      </w:pPr>
      <w:bookmarkStart w:id="13" w:name="_Toc69491420"/>
      <w:r>
        <w:t>8</w:t>
      </w:r>
      <w:r w:rsidR="00C36633">
        <w:t>.</w:t>
      </w:r>
      <w:r w:rsidR="00C36633">
        <w:tab/>
      </w:r>
      <w:r w:rsidR="00772829" w:rsidRPr="00CE28E3">
        <w:t>Comparator</w:t>
      </w:r>
      <w:bookmarkEnd w:id="13"/>
    </w:p>
    <w:p w14:paraId="2F59E148" w14:textId="71642115" w:rsidR="00665699" w:rsidRDefault="0036323A" w:rsidP="00665699">
      <w:r w:rsidRPr="005A39DC">
        <w:t xml:space="preserve">The proposed comparator is </w:t>
      </w:r>
      <w:proofErr w:type="spellStart"/>
      <w:r w:rsidRPr="005A39DC">
        <w:t>TMVr</w:t>
      </w:r>
      <w:proofErr w:type="spellEnd"/>
      <w:r w:rsidRPr="005A39DC">
        <w:t xml:space="preserve"> using the </w:t>
      </w:r>
      <w:proofErr w:type="spellStart"/>
      <w:r w:rsidRPr="005A39DC">
        <w:t>MitraClip</w:t>
      </w:r>
      <w:proofErr w:type="spellEnd"/>
      <w:r w:rsidRPr="005A39DC">
        <w:t xml:space="preserve"> device</w:t>
      </w:r>
      <w:r w:rsidR="001206D9">
        <w:t>. This comparator is unchanged from the previous application</w:t>
      </w:r>
      <w:r w:rsidR="0037770C">
        <w:t>.</w:t>
      </w:r>
    </w:p>
    <w:p w14:paraId="5ECB227F" w14:textId="77777777" w:rsidR="005E3CDE" w:rsidRDefault="005E3CDE" w:rsidP="005E3CDE">
      <w:pPr>
        <w:pStyle w:val="Heading2"/>
        <w:numPr>
          <w:ilvl w:val="0"/>
          <w:numId w:val="0"/>
        </w:numPr>
      </w:pPr>
      <w:r>
        <w:t>9.</w:t>
      </w:r>
      <w:r>
        <w:tab/>
      </w:r>
      <w:r w:rsidRPr="00CE28E3">
        <w:t xml:space="preserve">Summary of public consultation </w:t>
      </w:r>
      <w:r>
        <w:t>input</w:t>
      </w:r>
    </w:p>
    <w:p w14:paraId="675F578C" w14:textId="77777777" w:rsidR="005E3CDE" w:rsidRPr="005E3CDE" w:rsidRDefault="005E3CDE" w:rsidP="005E3CDE">
      <w:pPr>
        <w:pStyle w:val="paragraph"/>
        <w:spacing w:before="0" w:beforeAutospacing="0" w:after="0" w:afterAutospacing="0"/>
        <w:textAlignment w:val="baseline"/>
        <w:rPr>
          <w:rFonts w:ascii="Franklin Gothic Book" w:hAnsi="Franklin Gothic Book" w:cs="Segoe UI"/>
          <w:sz w:val="18"/>
          <w:szCs w:val="18"/>
        </w:rPr>
      </w:pPr>
      <w:r w:rsidRPr="005E3CDE">
        <w:rPr>
          <w:rStyle w:val="normaltextrun"/>
          <w:rFonts w:ascii="Franklin Gothic Book" w:hAnsi="Franklin Gothic Book" w:cs="Calibri"/>
          <w:sz w:val="22"/>
          <w:szCs w:val="22"/>
        </w:rPr>
        <w:t>Consultation input was welcomed from two (2) professional organisations: </w:t>
      </w:r>
      <w:r w:rsidRPr="005E3CDE">
        <w:rPr>
          <w:rStyle w:val="eop"/>
          <w:rFonts w:ascii="Franklin Gothic Book" w:hAnsi="Franklin Gothic Book" w:cs="Calibri"/>
          <w:sz w:val="22"/>
          <w:szCs w:val="22"/>
        </w:rPr>
        <w:t> </w:t>
      </w:r>
    </w:p>
    <w:p w14:paraId="4FAE92C4" w14:textId="77777777" w:rsidR="005E3CDE" w:rsidRPr="005E3CDE" w:rsidRDefault="005E3CDE" w:rsidP="005E3CDE">
      <w:pPr>
        <w:pStyle w:val="paragraph"/>
        <w:numPr>
          <w:ilvl w:val="0"/>
          <w:numId w:val="28"/>
        </w:numPr>
        <w:tabs>
          <w:tab w:val="clear" w:pos="720"/>
        </w:tabs>
        <w:spacing w:before="0" w:beforeAutospacing="0" w:after="0" w:afterAutospacing="0"/>
        <w:ind w:left="426" w:firstLine="0"/>
        <w:textAlignment w:val="baseline"/>
        <w:rPr>
          <w:rFonts w:ascii="Franklin Gothic Book" w:hAnsi="Franklin Gothic Book" w:cs="Calibri"/>
          <w:sz w:val="22"/>
          <w:szCs w:val="22"/>
        </w:rPr>
      </w:pPr>
      <w:r w:rsidRPr="005E3CDE">
        <w:rPr>
          <w:rStyle w:val="normaltextrun"/>
          <w:rFonts w:ascii="Franklin Gothic Book" w:hAnsi="Franklin Gothic Book" w:cs="Calibri"/>
          <w:sz w:val="22"/>
          <w:szCs w:val="22"/>
        </w:rPr>
        <w:t>Australian &amp; New Zealand Society of Cardiac &amp; Thoracic Surgeons (ANZSCTS)</w:t>
      </w:r>
      <w:r w:rsidRPr="005E3CDE">
        <w:rPr>
          <w:rStyle w:val="eop"/>
          <w:rFonts w:ascii="Franklin Gothic Book" w:hAnsi="Franklin Gothic Book" w:cs="Calibri"/>
          <w:sz w:val="22"/>
          <w:szCs w:val="22"/>
        </w:rPr>
        <w:t> </w:t>
      </w:r>
    </w:p>
    <w:p w14:paraId="77413B2C" w14:textId="77777777" w:rsidR="005E3CDE" w:rsidRPr="005E3CDE" w:rsidRDefault="005E3CDE" w:rsidP="005E3CDE">
      <w:pPr>
        <w:pStyle w:val="paragraph"/>
        <w:numPr>
          <w:ilvl w:val="0"/>
          <w:numId w:val="28"/>
        </w:numPr>
        <w:tabs>
          <w:tab w:val="clear" w:pos="720"/>
        </w:tabs>
        <w:spacing w:before="0" w:beforeAutospacing="0" w:after="0" w:afterAutospacing="0"/>
        <w:ind w:left="426" w:firstLine="0"/>
        <w:textAlignment w:val="baseline"/>
        <w:rPr>
          <w:rFonts w:ascii="Franklin Gothic Book" w:hAnsi="Franklin Gothic Book" w:cs="Calibri"/>
          <w:sz w:val="22"/>
          <w:szCs w:val="22"/>
        </w:rPr>
      </w:pPr>
      <w:r w:rsidRPr="005E3CDE">
        <w:rPr>
          <w:rStyle w:val="normaltextrun"/>
          <w:rFonts w:ascii="Franklin Gothic Book" w:hAnsi="Franklin Gothic Book" w:cs="Calibri"/>
          <w:sz w:val="22"/>
          <w:szCs w:val="22"/>
        </w:rPr>
        <w:t>Abbott Medical Australia Pty Ltd.</w:t>
      </w:r>
      <w:r w:rsidRPr="005E3CDE">
        <w:rPr>
          <w:rStyle w:val="eop"/>
          <w:rFonts w:ascii="Franklin Gothic Book" w:hAnsi="Franklin Gothic Book" w:cs="Calibri"/>
          <w:sz w:val="22"/>
          <w:szCs w:val="22"/>
        </w:rPr>
        <w:t> </w:t>
      </w:r>
    </w:p>
    <w:p w14:paraId="1C87FC40" w14:textId="77777777" w:rsidR="005E3CDE" w:rsidRPr="005E3CDE" w:rsidRDefault="005E3CDE" w:rsidP="005E3CDE">
      <w:pPr>
        <w:pStyle w:val="paragraph"/>
        <w:spacing w:before="0" w:beforeAutospacing="0" w:after="0" w:afterAutospacing="0"/>
        <w:ind w:left="720"/>
        <w:textAlignment w:val="baseline"/>
        <w:rPr>
          <w:rFonts w:ascii="Franklin Gothic Book" w:hAnsi="Franklin Gothic Book" w:cs="Segoe UI"/>
          <w:sz w:val="18"/>
          <w:szCs w:val="18"/>
        </w:rPr>
      </w:pPr>
      <w:r w:rsidRPr="005E3CDE">
        <w:rPr>
          <w:rStyle w:val="eop"/>
          <w:rFonts w:ascii="Franklin Gothic Book" w:hAnsi="Franklin Gothic Book" w:cs="Calibri"/>
          <w:sz w:val="22"/>
          <w:szCs w:val="22"/>
        </w:rPr>
        <w:t> </w:t>
      </w:r>
    </w:p>
    <w:p w14:paraId="27E4E111" w14:textId="5E20E240" w:rsidR="005E3CDE" w:rsidRPr="005E3CDE" w:rsidRDefault="005E3CDE" w:rsidP="005E3CDE">
      <w:pPr>
        <w:pStyle w:val="paragraph"/>
        <w:spacing w:before="0" w:beforeAutospacing="0" w:after="0" w:afterAutospacing="0"/>
        <w:textAlignment w:val="baseline"/>
        <w:rPr>
          <w:rFonts w:ascii="Franklin Gothic Book" w:hAnsi="Franklin Gothic Book" w:cs="Segoe UI"/>
          <w:sz w:val="18"/>
          <w:szCs w:val="18"/>
        </w:rPr>
      </w:pPr>
      <w:r w:rsidRPr="1EC09553">
        <w:rPr>
          <w:rStyle w:val="normaltextrun"/>
          <w:rFonts w:ascii="Franklin Gothic Book" w:hAnsi="Franklin Gothic Book" w:cs="Calibri"/>
          <w:sz w:val="22"/>
          <w:szCs w:val="22"/>
        </w:rPr>
        <w:t>ANZ</w:t>
      </w:r>
      <w:r w:rsidR="40783C4E" w:rsidRPr="1EC09553">
        <w:rPr>
          <w:rStyle w:val="normaltextrun"/>
          <w:rFonts w:ascii="Franklin Gothic Book" w:hAnsi="Franklin Gothic Book" w:cs="Calibri"/>
          <w:sz w:val="22"/>
          <w:szCs w:val="22"/>
        </w:rPr>
        <w:t>S</w:t>
      </w:r>
      <w:r w:rsidRPr="1EC09553">
        <w:rPr>
          <w:rStyle w:val="normaltextrun"/>
          <w:rFonts w:ascii="Franklin Gothic Book" w:hAnsi="Franklin Gothic Book" w:cs="Calibri"/>
          <w:sz w:val="22"/>
          <w:szCs w:val="22"/>
        </w:rPr>
        <w:t>CTS</w:t>
      </w:r>
      <w:r w:rsidRPr="005E3CDE">
        <w:rPr>
          <w:rStyle w:val="normaltextrun"/>
          <w:rFonts w:ascii="Franklin Gothic Book" w:hAnsi="Franklin Gothic Book" w:cs="Calibri"/>
          <w:sz w:val="22"/>
          <w:szCs w:val="22"/>
        </w:rPr>
        <w:t xml:space="preserve"> was supportive of the application and noted percutaneous therapies potentially offer better symptom control and quality of life (when combined with optimal medical therapy) for specific populations considered not suitable / or high risk for surgery.</w:t>
      </w:r>
      <w:r w:rsidRPr="005E3CDE">
        <w:rPr>
          <w:rStyle w:val="eop"/>
          <w:rFonts w:ascii="Franklin Gothic Book" w:hAnsi="Franklin Gothic Book" w:cs="Calibri"/>
          <w:sz w:val="22"/>
          <w:szCs w:val="22"/>
        </w:rPr>
        <w:t> </w:t>
      </w:r>
    </w:p>
    <w:p w14:paraId="129B1D66" w14:textId="0E9E9919" w:rsidR="005E3CDE" w:rsidRPr="005E3CDE" w:rsidRDefault="005E3CDE" w:rsidP="005E3CDE">
      <w:pPr>
        <w:pStyle w:val="paragraph"/>
        <w:spacing w:before="240" w:beforeAutospacing="0" w:after="0" w:afterAutospacing="0"/>
        <w:textAlignment w:val="baseline"/>
        <w:rPr>
          <w:rFonts w:ascii="Franklin Gothic Book" w:hAnsi="Franklin Gothic Book" w:cs="Segoe UI"/>
          <w:sz w:val="18"/>
          <w:szCs w:val="18"/>
        </w:rPr>
      </w:pPr>
      <w:r w:rsidRPr="1EC09553">
        <w:rPr>
          <w:rStyle w:val="normaltextrun"/>
          <w:rFonts w:ascii="Franklin Gothic Book" w:hAnsi="Franklin Gothic Book" w:cs="Calibri"/>
          <w:sz w:val="22"/>
          <w:szCs w:val="22"/>
        </w:rPr>
        <w:t>ANZ</w:t>
      </w:r>
      <w:r w:rsidR="40E35438" w:rsidRPr="1EC09553">
        <w:rPr>
          <w:rStyle w:val="normaltextrun"/>
          <w:rFonts w:ascii="Franklin Gothic Book" w:hAnsi="Franklin Gothic Book" w:cs="Calibri"/>
          <w:sz w:val="22"/>
          <w:szCs w:val="22"/>
        </w:rPr>
        <w:t>S</w:t>
      </w:r>
      <w:r w:rsidRPr="1EC09553">
        <w:rPr>
          <w:rStyle w:val="normaltextrun"/>
          <w:rFonts w:ascii="Franklin Gothic Book" w:hAnsi="Franklin Gothic Book" w:cs="Calibri"/>
          <w:sz w:val="22"/>
          <w:szCs w:val="22"/>
        </w:rPr>
        <w:t>CTS</w:t>
      </w:r>
      <w:r w:rsidRPr="005E3CDE">
        <w:rPr>
          <w:rStyle w:val="normaltextrun"/>
          <w:rFonts w:ascii="Franklin Gothic Book" w:hAnsi="Franklin Gothic Book" w:cs="Calibri"/>
          <w:sz w:val="22"/>
          <w:szCs w:val="22"/>
        </w:rPr>
        <w:t xml:space="preserve"> supported the change of MBS descriptors </w:t>
      </w:r>
      <w:r w:rsidRPr="005E3CDE">
        <w:rPr>
          <w:rStyle w:val="normaltextrun"/>
          <w:rFonts w:ascii="Franklin Gothic Book" w:hAnsi="Franklin Gothic Book" w:cs="Arial"/>
          <w:sz w:val="22"/>
          <w:szCs w:val="22"/>
        </w:rPr>
        <w:t xml:space="preserve">38461 </w:t>
      </w:r>
      <w:r w:rsidRPr="005E3CDE">
        <w:rPr>
          <w:rStyle w:val="normaltextrun"/>
          <w:rFonts w:ascii="Franklin Gothic Book" w:hAnsi="Franklin Gothic Book" w:cs="Calibri"/>
          <w:sz w:val="22"/>
          <w:szCs w:val="22"/>
        </w:rPr>
        <w:t xml:space="preserve">and </w:t>
      </w:r>
      <w:r w:rsidRPr="005E3CDE">
        <w:rPr>
          <w:rStyle w:val="normaltextrun"/>
          <w:rFonts w:ascii="Franklin Gothic Book" w:hAnsi="Franklin Gothic Book" w:cs="Arial"/>
          <w:sz w:val="22"/>
          <w:szCs w:val="22"/>
        </w:rPr>
        <w:t>38463</w:t>
      </w:r>
      <w:r w:rsidRPr="005E3CDE">
        <w:rPr>
          <w:rStyle w:val="normaltextrun"/>
          <w:rFonts w:ascii="Franklin Gothic Book" w:hAnsi="Franklin Gothic Book" w:cs="Calibri"/>
          <w:sz w:val="22"/>
          <w:szCs w:val="22"/>
        </w:rPr>
        <w:t>, and recommended these item numbers should not be restrictive to a specific company’s brand.</w:t>
      </w:r>
      <w:r w:rsidRPr="005E3CDE">
        <w:rPr>
          <w:rStyle w:val="eop"/>
          <w:rFonts w:ascii="Franklin Gothic Book" w:hAnsi="Franklin Gothic Book" w:cs="Calibri"/>
          <w:sz w:val="22"/>
          <w:szCs w:val="22"/>
        </w:rPr>
        <w:t> </w:t>
      </w:r>
    </w:p>
    <w:p w14:paraId="63C38BD3" w14:textId="77777777" w:rsidR="005E3CDE" w:rsidRPr="005E3CDE" w:rsidRDefault="005E3CDE" w:rsidP="005E3CDE">
      <w:pPr>
        <w:pStyle w:val="paragraph"/>
        <w:spacing w:before="240" w:beforeAutospacing="0" w:after="0" w:afterAutospacing="0"/>
        <w:textAlignment w:val="baseline"/>
        <w:rPr>
          <w:rFonts w:ascii="Franklin Gothic Book" w:hAnsi="Franklin Gothic Book" w:cs="Segoe UI"/>
          <w:sz w:val="18"/>
          <w:szCs w:val="18"/>
        </w:rPr>
      </w:pPr>
      <w:r w:rsidRPr="005E3CDE">
        <w:rPr>
          <w:rStyle w:val="normaltextrun"/>
          <w:rFonts w:ascii="Franklin Gothic Book" w:hAnsi="Franklin Gothic Book" w:cs="Calibri"/>
          <w:sz w:val="22"/>
          <w:szCs w:val="22"/>
        </w:rPr>
        <w:t>Abbott Medical Australia was not supportive of the application. Abbott Australasia Pty Ltd was the Applicant for MSAC Application 1192.3, where MSAC supported public funding of Transcatheter mitral valve repair (</w:t>
      </w:r>
      <w:proofErr w:type="spellStart"/>
      <w:r w:rsidRPr="005E3CDE">
        <w:rPr>
          <w:rStyle w:val="normaltextrun"/>
          <w:rFonts w:ascii="Franklin Gothic Book" w:hAnsi="Franklin Gothic Book" w:cs="Calibri"/>
          <w:sz w:val="22"/>
          <w:szCs w:val="22"/>
        </w:rPr>
        <w:t>TMVr</w:t>
      </w:r>
      <w:proofErr w:type="spellEnd"/>
      <w:r w:rsidRPr="005E3CDE">
        <w:rPr>
          <w:rStyle w:val="normaltextrun"/>
          <w:rFonts w:ascii="Franklin Gothic Book" w:hAnsi="Franklin Gothic Book" w:cs="Calibri"/>
          <w:sz w:val="22"/>
          <w:szCs w:val="22"/>
        </w:rPr>
        <w:t xml:space="preserve">) with </w:t>
      </w:r>
      <w:proofErr w:type="spellStart"/>
      <w:r w:rsidRPr="005E3CDE">
        <w:rPr>
          <w:rStyle w:val="normaltextrun"/>
          <w:rFonts w:ascii="Franklin Gothic Book" w:hAnsi="Franklin Gothic Book" w:cs="Calibri"/>
          <w:sz w:val="22"/>
          <w:szCs w:val="22"/>
        </w:rPr>
        <w:t>MitraClip</w:t>
      </w:r>
      <w:proofErr w:type="spellEnd"/>
      <w:r w:rsidRPr="005E3CDE">
        <w:rPr>
          <w:rStyle w:val="normaltextrun"/>
          <w:rFonts w:ascii="Franklin Gothic Book" w:hAnsi="Franklin Gothic Book" w:cs="Calibri"/>
          <w:sz w:val="22"/>
          <w:szCs w:val="22"/>
        </w:rPr>
        <w:t xml:space="preserve">™ for patients with both DMR (degenerative mitral regurgitation) and FMR (functional mitral regurgitation), leading to the implementation of Medicare Benefits Schedule (MBS) items 38461 and 38463, specific to </w:t>
      </w:r>
      <w:proofErr w:type="spellStart"/>
      <w:r w:rsidRPr="005E3CDE">
        <w:rPr>
          <w:rStyle w:val="normaltextrun"/>
          <w:rFonts w:ascii="Franklin Gothic Book" w:hAnsi="Franklin Gothic Book" w:cs="Calibri"/>
          <w:sz w:val="22"/>
          <w:szCs w:val="22"/>
        </w:rPr>
        <w:t>MitraClip</w:t>
      </w:r>
      <w:proofErr w:type="spellEnd"/>
      <w:r w:rsidRPr="005E3CDE">
        <w:rPr>
          <w:rStyle w:val="normaltextrun"/>
          <w:rFonts w:ascii="Franklin Gothic Book" w:hAnsi="Franklin Gothic Book" w:cs="Calibri"/>
          <w:sz w:val="22"/>
          <w:szCs w:val="22"/>
        </w:rPr>
        <w:t xml:space="preserve"> technology.</w:t>
      </w:r>
      <w:r w:rsidRPr="005E3CDE">
        <w:rPr>
          <w:rStyle w:val="eop"/>
          <w:rFonts w:ascii="Franklin Gothic Book" w:hAnsi="Franklin Gothic Book" w:cs="Calibri"/>
          <w:sz w:val="22"/>
          <w:szCs w:val="22"/>
        </w:rPr>
        <w:t> </w:t>
      </w:r>
    </w:p>
    <w:p w14:paraId="5FD7F937" w14:textId="2D35A560" w:rsidR="005E3CDE" w:rsidRPr="005E3CDE" w:rsidRDefault="005E3CDE" w:rsidP="005E3CDE">
      <w:pPr>
        <w:pStyle w:val="paragraph"/>
        <w:spacing w:before="240" w:beforeAutospacing="0" w:after="0" w:afterAutospacing="0"/>
        <w:textAlignment w:val="baseline"/>
        <w:rPr>
          <w:rFonts w:ascii="Franklin Gothic Book" w:hAnsi="Franklin Gothic Book" w:cs="Segoe UI"/>
          <w:sz w:val="18"/>
          <w:szCs w:val="18"/>
        </w:rPr>
      </w:pPr>
      <w:r w:rsidRPr="005E3CDE">
        <w:rPr>
          <w:rStyle w:val="normaltextrun"/>
          <w:rFonts w:ascii="Franklin Gothic Book" w:hAnsi="Franklin Gothic Book" w:cs="Calibri"/>
          <w:sz w:val="22"/>
          <w:szCs w:val="22"/>
        </w:rPr>
        <w:lastRenderedPageBreak/>
        <w:t xml:space="preserve">Abbott Medical Australia states that the PASCAL Transcatheter Valve Repair System™ (PASCAL™) does not meet the same standard of clinical evidence that was demonstrated by </w:t>
      </w:r>
      <w:proofErr w:type="spellStart"/>
      <w:r w:rsidRPr="005E3CDE">
        <w:rPr>
          <w:rStyle w:val="normaltextrun"/>
          <w:rFonts w:ascii="Franklin Gothic Book" w:hAnsi="Franklin Gothic Book" w:cs="Calibri"/>
          <w:sz w:val="22"/>
          <w:szCs w:val="22"/>
        </w:rPr>
        <w:t>MitraClip</w:t>
      </w:r>
      <w:proofErr w:type="spellEnd"/>
      <w:r w:rsidRPr="005E3CDE">
        <w:rPr>
          <w:rStyle w:val="normaltextrun"/>
          <w:rFonts w:ascii="Franklin Gothic Book" w:hAnsi="Franklin Gothic Book" w:cs="Calibri"/>
          <w:sz w:val="22"/>
          <w:szCs w:val="22"/>
        </w:rPr>
        <w:t xml:space="preserve"> as part of MSAC Application 1192.3. Additionally, the randomised controlled trial data for PASCAL is limited to the DMR population, the clinical study follow-up in the DMR population is limited to 12</w:t>
      </w:r>
      <w:r>
        <w:rPr>
          <w:rStyle w:val="normaltextrun"/>
          <w:rFonts w:ascii="Franklin Gothic Book" w:hAnsi="Franklin Gothic Book" w:cs="Calibri"/>
          <w:sz w:val="22"/>
          <w:szCs w:val="22"/>
        </w:rPr>
        <w:t> </w:t>
      </w:r>
      <w:r w:rsidRPr="005E3CDE">
        <w:rPr>
          <w:rStyle w:val="normaltextrun"/>
          <w:rFonts w:ascii="Franklin Gothic Book" w:hAnsi="Franklin Gothic Book" w:cs="Calibri"/>
          <w:sz w:val="22"/>
          <w:szCs w:val="22"/>
        </w:rPr>
        <w:t>months, and as the comparator (</w:t>
      </w:r>
      <w:proofErr w:type="spellStart"/>
      <w:r w:rsidRPr="005E3CDE">
        <w:rPr>
          <w:rStyle w:val="normaltextrun"/>
          <w:rFonts w:ascii="Franklin Gothic Book" w:hAnsi="Franklin Gothic Book" w:cs="Calibri"/>
          <w:sz w:val="22"/>
          <w:szCs w:val="22"/>
        </w:rPr>
        <w:t>MitraClip</w:t>
      </w:r>
      <w:proofErr w:type="spellEnd"/>
      <w:r w:rsidRPr="005E3CDE">
        <w:rPr>
          <w:rStyle w:val="normaltextrun"/>
          <w:rFonts w:ascii="Franklin Gothic Book" w:hAnsi="Franklin Gothic Book" w:cs="Calibri"/>
          <w:sz w:val="22"/>
          <w:szCs w:val="22"/>
        </w:rPr>
        <w:t xml:space="preserve">) arm of the CLASP IID study did not fully represent the most advanced generation i.e., fourth generation of </w:t>
      </w:r>
      <w:proofErr w:type="spellStart"/>
      <w:r w:rsidRPr="005E3CDE">
        <w:rPr>
          <w:rStyle w:val="normaltextrun"/>
          <w:rFonts w:ascii="Franklin Gothic Book" w:hAnsi="Franklin Gothic Book" w:cs="Calibri"/>
          <w:sz w:val="22"/>
          <w:szCs w:val="22"/>
        </w:rPr>
        <w:t>MitraClip</w:t>
      </w:r>
      <w:proofErr w:type="spellEnd"/>
      <w:r w:rsidRPr="005E3CDE">
        <w:rPr>
          <w:rStyle w:val="normaltextrun"/>
          <w:rFonts w:ascii="Franklin Gothic Book" w:hAnsi="Franklin Gothic Book" w:cs="Calibri"/>
          <w:sz w:val="22"/>
          <w:szCs w:val="22"/>
        </w:rPr>
        <w:t>. </w:t>
      </w:r>
      <w:r w:rsidRPr="005E3CDE">
        <w:rPr>
          <w:rStyle w:val="eop"/>
          <w:rFonts w:ascii="Franklin Gothic Book" w:hAnsi="Franklin Gothic Book" w:cs="Calibri"/>
          <w:sz w:val="22"/>
          <w:szCs w:val="22"/>
        </w:rPr>
        <w:t> </w:t>
      </w:r>
    </w:p>
    <w:p w14:paraId="7B808B78" w14:textId="77777777" w:rsidR="005E3CDE" w:rsidRPr="005E3CDE" w:rsidRDefault="005E3CDE" w:rsidP="005E3CDE">
      <w:pPr>
        <w:pStyle w:val="paragraph"/>
        <w:spacing w:before="240" w:beforeAutospacing="0" w:after="0" w:afterAutospacing="0"/>
        <w:textAlignment w:val="baseline"/>
        <w:rPr>
          <w:rFonts w:ascii="Franklin Gothic Book" w:hAnsi="Franklin Gothic Book" w:cs="Segoe UI"/>
          <w:sz w:val="18"/>
          <w:szCs w:val="18"/>
        </w:rPr>
      </w:pPr>
      <w:r w:rsidRPr="005E3CDE">
        <w:rPr>
          <w:rStyle w:val="normaltextrun"/>
          <w:rFonts w:ascii="Franklin Gothic Book" w:hAnsi="Franklin Gothic Book" w:cs="Calibri"/>
          <w:sz w:val="22"/>
          <w:szCs w:val="22"/>
        </w:rPr>
        <w:t>Abbott Medical Australia considered that although the proposed population is consistent with MBS item 38461 only (DMR) and not with 38463 (FMR), it was important to note that there is a mixed aetiology group (presenting with both DMR and FMR). Abbott Medical Australia considered that indication creep from DMR to FMR through mixed aetiology could pose a significant clinical risk to the patients funded through the MBS in Australia.  </w:t>
      </w:r>
      <w:r w:rsidRPr="005E3CDE">
        <w:rPr>
          <w:rStyle w:val="eop"/>
          <w:rFonts w:ascii="Franklin Gothic Book" w:hAnsi="Franklin Gothic Book" w:cs="Calibri"/>
          <w:sz w:val="22"/>
          <w:szCs w:val="22"/>
        </w:rPr>
        <w:t> </w:t>
      </w:r>
    </w:p>
    <w:p w14:paraId="03C7A1F1" w14:textId="1B55E1AB" w:rsidR="00772829" w:rsidRPr="00CE28E3" w:rsidRDefault="005E3CDE" w:rsidP="002A18BE">
      <w:pPr>
        <w:pStyle w:val="Heading2"/>
        <w:numPr>
          <w:ilvl w:val="1"/>
          <w:numId w:val="0"/>
        </w:numPr>
      </w:pPr>
      <w:bookmarkStart w:id="14" w:name="_Toc69491422"/>
      <w:r>
        <w:t>10</w:t>
      </w:r>
      <w:r w:rsidR="00C36633">
        <w:t>.</w:t>
      </w:r>
      <w:r w:rsidR="00C36633">
        <w:tab/>
      </w:r>
      <w:r w:rsidR="00772829">
        <w:t>Characteristics of the evidence base</w:t>
      </w:r>
      <w:bookmarkEnd w:id="14"/>
    </w:p>
    <w:p w14:paraId="2B9A6407" w14:textId="5A199010" w:rsidR="00185EF9" w:rsidRPr="00185EF9" w:rsidRDefault="00FD37CE" w:rsidP="00185EF9">
      <w:pPr>
        <w:pStyle w:val="Instructionaltext"/>
        <w:rPr>
          <w:iCs/>
          <w:color w:val="auto"/>
        </w:rPr>
      </w:pPr>
      <w:bookmarkStart w:id="15" w:name="_Ref69725651"/>
      <w:r>
        <w:rPr>
          <w:iCs/>
          <w:color w:val="auto"/>
        </w:rPr>
        <w:t>In November 202</w:t>
      </w:r>
      <w:r w:rsidR="00E96407">
        <w:rPr>
          <w:iCs/>
          <w:color w:val="auto"/>
        </w:rPr>
        <w:t>2</w:t>
      </w:r>
      <w:r>
        <w:rPr>
          <w:iCs/>
          <w:color w:val="auto"/>
        </w:rPr>
        <w:t>, MSAC did not support MSAC application 1662.1 a</w:t>
      </w:r>
      <w:r w:rsidR="00AB7853">
        <w:rPr>
          <w:iCs/>
          <w:color w:val="auto"/>
        </w:rPr>
        <w:t>s it</w:t>
      </w:r>
      <w:r>
        <w:rPr>
          <w:iCs/>
          <w:color w:val="auto"/>
        </w:rPr>
        <w:t xml:space="preserve"> considered that the quality of evidence </w:t>
      </w:r>
      <w:r w:rsidR="00C2629A">
        <w:rPr>
          <w:iCs/>
          <w:color w:val="auto"/>
        </w:rPr>
        <w:t>remained largely unchanged from the initial application (1662)</w:t>
      </w:r>
      <w:r w:rsidR="0088739E">
        <w:rPr>
          <w:iCs/>
          <w:color w:val="auto"/>
        </w:rPr>
        <w:t xml:space="preserve"> and did</w:t>
      </w:r>
      <w:r>
        <w:rPr>
          <w:iCs/>
          <w:color w:val="auto"/>
        </w:rPr>
        <w:t xml:space="preserve"> not adequately support the clinical claim of non-inferiority. </w:t>
      </w:r>
      <w:r w:rsidR="00185EF9" w:rsidRPr="00185EF9">
        <w:rPr>
          <w:iCs/>
          <w:color w:val="auto"/>
        </w:rPr>
        <w:t>MSAC advised that</w:t>
      </w:r>
      <w:r w:rsidR="00185EF9">
        <w:rPr>
          <w:iCs/>
          <w:color w:val="auto"/>
        </w:rPr>
        <w:t xml:space="preserve"> additional evidence</w:t>
      </w:r>
      <w:r w:rsidR="00E36A51">
        <w:rPr>
          <w:iCs/>
          <w:color w:val="auto"/>
        </w:rPr>
        <w:t xml:space="preserve"> </w:t>
      </w:r>
      <w:r w:rsidR="00185EF9" w:rsidRPr="00185EF9">
        <w:rPr>
          <w:iCs/>
          <w:color w:val="auto"/>
        </w:rPr>
        <w:t xml:space="preserve">should </w:t>
      </w:r>
      <w:r w:rsidR="00E36A51">
        <w:rPr>
          <w:iCs/>
          <w:color w:val="auto"/>
        </w:rPr>
        <w:t>be</w:t>
      </w:r>
      <w:r w:rsidR="00185EF9" w:rsidRPr="00185EF9">
        <w:rPr>
          <w:iCs/>
          <w:color w:val="auto"/>
        </w:rPr>
        <w:t xml:space="preserve"> adequately powered,</w:t>
      </w:r>
      <w:r w:rsidR="00E36A51">
        <w:rPr>
          <w:iCs/>
          <w:color w:val="auto"/>
        </w:rPr>
        <w:t xml:space="preserve"> </w:t>
      </w:r>
      <w:r w:rsidR="00562565">
        <w:rPr>
          <w:iCs/>
          <w:color w:val="auto"/>
        </w:rPr>
        <w:t>with</w:t>
      </w:r>
      <w:r w:rsidR="00185EF9" w:rsidRPr="00185EF9">
        <w:rPr>
          <w:iCs/>
          <w:color w:val="auto"/>
        </w:rPr>
        <w:t xml:space="preserve"> direct comparative reporting</w:t>
      </w:r>
      <w:r w:rsidR="00562565">
        <w:rPr>
          <w:iCs/>
          <w:color w:val="auto"/>
        </w:rPr>
        <w:t xml:space="preserve"> of</w:t>
      </w:r>
      <w:r w:rsidR="00185EF9" w:rsidRPr="00185EF9">
        <w:rPr>
          <w:iCs/>
          <w:color w:val="auto"/>
        </w:rPr>
        <w:t xml:space="preserve">: </w:t>
      </w:r>
    </w:p>
    <w:p w14:paraId="4EB568AF" w14:textId="77777777" w:rsidR="00185EF9" w:rsidRPr="00185EF9" w:rsidRDefault="00185EF9" w:rsidP="00C60C55">
      <w:pPr>
        <w:pStyle w:val="Instructionaltext"/>
        <w:numPr>
          <w:ilvl w:val="0"/>
          <w:numId w:val="18"/>
        </w:numPr>
        <w:spacing w:before="100" w:after="40"/>
        <w:ind w:left="714" w:hanging="357"/>
        <w:rPr>
          <w:iCs/>
          <w:color w:val="auto"/>
        </w:rPr>
      </w:pPr>
      <w:r w:rsidRPr="00185EF9">
        <w:rPr>
          <w:iCs/>
          <w:color w:val="auto"/>
        </w:rPr>
        <w:t xml:space="preserve">Rates of MAEs including reintervention with at least 12 months follow-up, </w:t>
      </w:r>
    </w:p>
    <w:p w14:paraId="195F8BC6" w14:textId="77777777" w:rsidR="00185EF9" w:rsidRPr="00185EF9" w:rsidRDefault="00185EF9" w:rsidP="00C60C55">
      <w:pPr>
        <w:pStyle w:val="Instructionaltext"/>
        <w:numPr>
          <w:ilvl w:val="0"/>
          <w:numId w:val="18"/>
        </w:numPr>
        <w:spacing w:before="0" w:after="60"/>
        <w:ind w:left="714" w:hanging="357"/>
        <w:rPr>
          <w:iCs/>
          <w:color w:val="auto"/>
        </w:rPr>
      </w:pPr>
      <w:r w:rsidRPr="00185EF9">
        <w:rPr>
          <w:iCs/>
          <w:color w:val="auto"/>
        </w:rPr>
        <w:t xml:space="preserve">MR reduction and with at least 12 months follow-up in the FMR and DMR populations, </w:t>
      </w:r>
    </w:p>
    <w:p w14:paraId="7160095E" w14:textId="77777777" w:rsidR="00185EF9" w:rsidRPr="00185EF9" w:rsidRDefault="00185EF9" w:rsidP="00C60C55">
      <w:pPr>
        <w:pStyle w:val="Instructionaltext"/>
        <w:numPr>
          <w:ilvl w:val="0"/>
          <w:numId w:val="18"/>
        </w:numPr>
        <w:spacing w:before="0" w:after="60"/>
        <w:ind w:left="714" w:hanging="357"/>
        <w:rPr>
          <w:iCs/>
          <w:color w:val="auto"/>
        </w:rPr>
      </w:pPr>
      <w:r w:rsidRPr="00185EF9">
        <w:rPr>
          <w:iCs/>
          <w:color w:val="auto"/>
        </w:rPr>
        <w:t xml:space="preserve">Quality of life data, </w:t>
      </w:r>
    </w:p>
    <w:p w14:paraId="7269D958" w14:textId="6111E32A" w:rsidR="00185EF9" w:rsidRPr="00185EF9" w:rsidRDefault="00185EF9" w:rsidP="00185EF9">
      <w:pPr>
        <w:pStyle w:val="Instructionaltext"/>
        <w:rPr>
          <w:iCs/>
          <w:color w:val="auto"/>
        </w:rPr>
      </w:pPr>
      <w:r w:rsidRPr="00185EF9">
        <w:rPr>
          <w:iCs/>
          <w:color w:val="auto"/>
        </w:rPr>
        <w:t>MSAC considered 2-year outcomes for functional outcomes such as overall survival and NYHA</w:t>
      </w:r>
      <w:r w:rsidR="00E0127B">
        <w:rPr>
          <w:iCs/>
          <w:color w:val="auto"/>
        </w:rPr>
        <w:t xml:space="preserve"> </w:t>
      </w:r>
      <w:r w:rsidRPr="00185EF9">
        <w:rPr>
          <w:iCs/>
          <w:color w:val="auto"/>
        </w:rPr>
        <w:t xml:space="preserve">class would also be informative for demonstrating non-inferiority. MSAC considered that non-inferiority should be assessed using a more stringent non-inferiority margin than used in the interim CLASP IID trial results.  </w:t>
      </w:r>
    </w:p>
    <w:p w14:paraId="1D1700C7" w14:textId="1B8D389C" w:rsidR="335BAD61" w:rsidRDefault="00B66D93" w:rsidP="335BAD61">
      <w:r>
        <w:t xml:space="preserve">The current ADAR (1662.2) sought to address these concerns by presenting new </w:t>
      </w:r>
      <w:r w:rsidR="006852F5">
        <w:t xml:space="preserve">direct comparative </w:t>
      </w:r>
      <w:r>
        <w:t xml:space="preserve">evidence from </w:t>
      </w:r>
      <w:r w:rsidR="006852F5">
        <w:t xml:space="preserve">the </w:t>
      </w:r>
      <w:r>
        <w:t xml:space="preserve">CLASP IID </w:t>
      </w:r>
      <w:r w:rsidR="007B22BD">
        <w:t>RCT</w:t>
      </w:r>
      <w:r>
        <w:t xml:space="preserve"> that directly compared </w:t>
      </w:r>
      <w:r w:rsidR="003A5D7E">
        <w:t>PASCAL</w:t>
      </w:r>
      <w:r>
        <w:t xml:space="preserve"> to the </w:t>
      </w:r>
      <w:proofErr w:type="spellStart"/>
      <w:r>
        <w:t>MitraClip</w:t>
      </w:r>
      <w:proofErr w:type="spellEnd"/>
      <w:r>
        <w:t xml:space="preserve">. </w:t>
      </w:r>
    </w:p>
    <w:p w14:paraId="58873A07" w14:textId="153DA0C3" w:rsidR="00FD37CE" w:rsidRDefault="00FD37CE" w:rsidP="00624E34">
      <w:r>
        <w:t xml:space="preserve">The key features of the </w:t>
      </w:r>
      <w:r w:rsidR="00961BCD">
        <w:t xml:space="preserve">CLASP IID trial </w:t>
      </w:r>
      <w:r>
        <w:t>included in the current ADAR are provided in</w:t>
      </w:r>
      <w:r w:rsidR="00C077F5">
        <w:t xml:space="preserve"> </w:t>
      </w:r>
      <w:r w:rsidR="00C077F5" w:rsidRPr="00C077F5">
        <w:fldChar w:fldCharType="begin"/>
      </w:r>
      <w:r w:rsidR="00C077F5" w:rsidRPr="00C077F5">
        <w:instrText xml:space="preserve"> REF _Ref152154964 \h </w:instrText>
      </w:r>
      <w:r w:rsidR="009475D0">
        <w:instrText xml:space="preserve"> \* MERGEFORMAT </w:instrText>
      </w:r>
      <w:r w:rsidR="00C077F5" w:rsidRPr="00C077F5">
        <w:fldChar w:fldCharType="separate"/>
      </w:r>
      <w:r w:rsidR="00624E34" w:rsidRPr="00CE28E3">
        <w:t>Table</w:t>
      </w:r>
      <w:r w:rsidR="00624E34">
        <w:t> 4</w:t>
      </w:r>
      <w:r w:rsidR="00C077F5" w:rsidRPr="00C077F5">
        <w:fldChar w:fldCharType="end"/>
      </w:r>
      <w:r>
        <w:t>.</w:t>
      </w:r>
    </w:p>
    <w:p w14:paraId="692BCA4B" w14:textId="5C1034D1" w:rsidR="00956ACE" w:rsidRPr="00330A0A" w:rsidRDefault="00956ACE" w:rsidP="00DA079E">
      <w:pPr>
        <w:pStyle w:val="TableFigureHeading"/>
        <w:rPr>
          <w:color w:val="538135" w:themeColor="accent6" w:themeShade="BF"/>
          <w:sz w:val="16"/>
          <w:szCs w:val="16"/>
        </w:rPr>
      </w:pPr>
      <w:bookmarkStart w:id="16" w:name="_Ref152154964"/>
      <w:r w:rsidRPr="00CE28E3">
        <w:lastRenderedPageBreak/>
        <w:t>Table</w:t>
      </w:r>
      <w:r w:rsidR="004A4FDF">
        <w:t> </w:t>
      </w:r>
      <w:r>
        <w:fldChar w:fldCharType="begin"/>
      </w:r>
      <w:r>
        <w:instrText>SEQ Table \* ARABIC</w:instrText>
      </w:r>
      <w:r>
        <w:fldChar w:fldCharType="separate"/>
      </w:r>
      <w:r w:rsidR="009475D0">
        <w:rPr>
          <w:noProof/>
        </w:rPr>
        <w:t>4</w:t>
      </w:r>
      <w:r>
        <w:fldChar w:fldCharType="end"/>
      </w:r>
      <w:bookmarkEnd w:id="15"/>
      <w:bookmarkEnd w:id="16"/>
      <w:r w:rsidR="00C077F5">
        <w:t xml:space="preserve"> </w:t>
      </w:r>
      <w:r w:rsidRPr="00CE28E3">
        <w:t>Key features of the included evidence</w:t>
      </w:r>
      <w:r w:rsidRPr="00330A0A">
        <w:rPr>
          <w:color w:val="538135" w:themeColor="accent6" w:themeShade="B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95"/>
        <w:gridCol w:w="754"/>
        <w:gridCol w:w="1324"/>
        <w:gridCol w:w="691"/>
        <w:gridCol w:w="2128"/>
        <w:gridCol w:w="1554"/>
        <w:gridCol w:w="1370"/>
      </w:tblGrid>
      <w:tr w:rsidR="00956ACE" w:rsidRPr="00CE28E3" w14:paraId="475D8C60" w14:textId="77777777" w:rsidTr="002F1124">
        <w:trPr>
          <w:cantSplit/>
          <w:tblHeader/>
        </w:trPr>
        <w:tc>
          <w:tcPr>
            <w:tcW w:w="663" w:type="pct"/>
            <w:shd w:val="clear" w:color="auto" w:fill="auto"/>
          </w:tcPr>
          <w:p w14:paraId="4FFC981B" w14:textId="77777777" w:rsidR="00956ACE" w:rsidRPr="00BA7A96" w:rsidRDefault="00956ACE" w:rsidP="00821355">
            <w:pPr>
              <w:pStyle w:val="In-tableHeading"/>
              <w:jc w:val="center"/>
            </w:pPr>
            <w:bookmarkStart w:id="17" w:name="ColumnTitle_Table3"/>
            <w:bookmarkStart w:id="18" w:name="_Hlk68276112"/>
            <w:bookmarkEnd w:id="17"/>
            <w:r w:rsidRPr="00BA7A96">
              <w:t>References</w:t>
            </w:r>
          </w:p>
        </w:tc>
        <w:tc>
          <w:tcPr>
            <w:tcW w:w="418" w:type="pct"/>
            <w:shd w:val="clear" w:color="auto" w:fill="auto"/>
          </w:tcPr>
          <w:p w14:paraId="28641D20" w14:textId="77777777" w:rsidR="00956ACE" w:rsidRPr="00BA7A96" w:rsidRDefault="00956ACE" w:rsidP="00821355">
            <w:pPr>
              <w:pStyle w:val="In-tableHeading"/>
              <w:jc w:val="center"/>
            </w:pPr>
            <w:r w:rsidRPr="00BA7A96">
              <w:t>N</w:t>
            </w:r>
          </w:p>
        </w:tc>
        <w:tc>
          <w:tcPr>
            <w:tcW w:w="734" w:type="pct"/>
            <w:shd w:val="clear" w:color="auto" w:fill="auto"/>
          </w:tcPr>
          <w:p w14:paraId="23BE1BE2" w14:textId="7FD81986" w:rsidR="00956ACE" w:rsidRPr="00BA7A96" w:rsidRDefault="00956ACE" w:rsidP="00821355">
            <w:pPr>
              <w:pStyle w:val="In-tableHeading"/>
              <w:jc w:val="center"/>
            </w:pPr>
            <w:r w:rsidRPr="00BA7A96">
              <w:t>Design/duration</w:t>
            </w:r>
          </w:p>
        </w:tc>
        <w:tc>
          <w:tcPr>
            <w:tcW w:w="383" w:type="pct"/>
            <w:shd w:val="clear" w:color="auto" w:fill="auto"/>
          </w:tcPr>
          <w:p w14:paraId="4F407CF9" w14:textId="77777777" w:rsidR="00956ACE" w:rsidRPr="00BA7A96" w:rsidRDefault="00956ACE" w:rsidP="00821355">
            <w:pPr>
              <w:pStyle w:val="In-tableHeading"/>
              <w:jc w:val="center"/>
            </w:pPr>
            <w:r w:rsidRPr="00BA7A96">
              <w:t>Risk of bias</w:t>
            </w:r>
          </w:p>
        </w:tc>
        <w:tc>
          <w:tcPr>
            <w:tcW w:w="1180" w:type="pct"/>
            <w:shd w:val="clear" w:color="auto" w:fill="auto"/>
          </w:tcPr>
          <w:p w14:paraId="78074E6B" w14:textId="77777777" w:rsidR="00956ACE" w:rsidRPr="00BA7A96" w:rsidRDefault="00956ACE" w:rsidP="00821355">
            <w:pPr>
              <w:pStyle w:val="In-tableHeading"/>
              <w:jc w:val="center"/>
            </w:pPr>
            <w:r w:rsidRPr="00BA7A96">
              <w:t>Patient population</w:t>
            </w:r>
          </w:p>
        </w:tc>
        <w:tc>
          <w:tcPr>
            <w:tcW w:w="862" w:type="pct"/>
            <w:shd w:val="clear" w:color="auto" w:fill="auto"/>
          </w:tcPr>
          <w:p w14:paraId="4B5869A3" w14:textId="77777777" w:rsidR="00956ACE" w:rsidRPr="00BA7A96" w:rsidRDefault="00956ACE" w:rsidP="00821355">
            <w:pPr>
              <w:pStyle w:val="In-tableHeading"/>
              <w:jc w:val="center"/>
            </w:pPr>
            <w:r w:rsidRPr="00BA7A96">
              <w:t>Outcome(s)</w:t>
            </w:r>
          </w:p>
        </w:tc>
        <w:tc>
          <w:tcPr>
            <w:tcW w:w="760" w:type="pct"/>
            <w:shd w:val="clear" w:color="auto" w:fill="auto"/>
          </w:tcPr>
          <w:p w14:paraId="19D97B58" w14:textId="7227292C" w:rsidR="00956ACE" w:rsidRPr="00BA7A96" w:rsidRDefault="00956ACE" w:rsidP="00821355">
            <w:pPr>
              <w:pStyle w:val="In-tableHeading"/>
              <w:jc w:val="center"/>
            </w:pPr>
            <w:r w:rsidRPr="00BA7A96">
              <w:t>Use in modelled evaluation</w:t>
            </w:r>
          </w:p>
        </w:tc>
      </w:tr>
      <w:tr w:rsidR="00956ACE" w:rsidRPr="00CE28E3" w14:paraId="0C31313E" w14:textId="77777777" w:rsidTr="36DB2115">
        <w:trPr>
          <w:cantSplit/>
        </w:trPr>
        <w:tc>
          <w:tcPr>
            <w:tcW w:w="5000" w:type="pct"/>
            <w:gridSpan w:val="7"/>
            <w:shd w:val="clear" w:color="auto" w:fill="auto"/>
            <w:vAlign w:val="center"/>
          </w:tcPr>
          <w:p w14:paraId="6ADF1B8F" w14:textId="0D3818FE" w:rsidR="00956ACE" w:rsidRPr="00CE28E3" w:rsidRDefault="00FC556D" w:rsidP="00821355">
            <w:pPr>
              <w:pStyle w:val="In-tableHeading"/>
            </w:pPr>
            <w:r>
              <w:t>Direct randomized comparative study</w:t>
            </w:r>
          </w:p>
        </w:tc>
      </w:tr>
      <w:tr w:rsidR="36DB2115" w14:paraId="151827F1" w14:textId="77777777" w:rsidTr="002F1124">
        <w:trPr>
          <w:cantSplit/>
          <w:trHeight w:val="300"/>
        </w:trPr>
        <w:tc>
          <w:tcPr>
            <w:tcW w:w="663" w:type="pct"/>
            <w:shd w:val="clear" w:color="auto" w:fill="auto"/>
            <w:vAlign w:val="center"/>
          </w:tcPr>
          <w:p w14:paraId="3000B715" w14:textId="490A1F59" w:rsidR="31D02924" w:rsidRDefault="31D02924" w:rsidP="00821355">
            <w:pPr>
              <w:pStyle w:val="TableText"/>
              <w:spacing w:before="0" w:after="0"/>
              <w:rPr>
                <w:lang w:val="en-US"/>
              </w:rPr>
            </w:pPr>
            <w:r w:rsidRPr="36DB2115">
              <w:rPr>
                <w:lang w:val="en-US"/>
              </w:rPr>
              <w:t>Clinical Trial - Edwards PASCAL CLASP IID/ IIF Pivotal Clinical Trial (CLASP IID/IIF)</w:t>
            </w:r>
            <w:r>
              <w:br/>
            </w:r>
          </w:p>
        </w:tc>
        <w:tc>
          <w:tcPr>
            <w:tcW w:w="418" w:type="pct"/>
            <w:shd w:val="clear" w:color="auto" w:fill="auto"/>
            <w:vAlign w:val="center"/>
          </w:tcPr>
          <w:p w14:paraId="47956037" w14:textId="56D84F7C" w:rsidR="3342C247" w:rsidRDefault="3342C247" w:rsidP="00821355">
            <w:pPr>
              <w:pStyle w:val="TableText"/>
              <w:spacing w:before="0" w:after="0"/>
              <w:jc w:val="center"/>
              <w:rPr>
                <w:lang w:val="en-US"/>
              </w:rPr>
            </w:pPr>
            <w:r w:rsidRPr="36DB2115">
              <w:rPr>
                <w:lang w:val="en-US"/>
              </w:rPr>
              <w:t>300</w:t>
            </w:r>
          </w:p>
        </w:tc>
        <w:tc>
          <w:tcPr>
            <w:tcW w:w="734" w:type="pct"/>
            <w:shd w:val="clear" w:color="auto" w:fill="auto"/>
            <w:vAlign w:val="center"/>
          </w:tcPr>
          <w:p w14:paraId="73BB15CA" w14:textId="52F31458" w:rsidR="3342C247" w:rsidRDefault="3342C247" w:rsidP="00821355">
            <w:pPr>
              <w:pStyle w:val="TableText"/>
              <w:spacing w:before="0" w:after="0"/>
              <w:jc w:val="center"/>
              <w:rPr>
                <w:lang w:val="en-US"/>
              </w:rPr>
            </w:pPr>
            <w:r w:rsidRPr="36DB2115">
              <w:rPr>
                <w:lang w:val="en-US"/>
              </w:rPr>
              <w:t xml:space="preserve">A prospective, </w:t>
            </w:r>
            <w:r w:rsidR="22CF31E3" w:rsidRPr="36DB2115">
              <w:rPr>
                <w:lang w:val="en-US"/>
              </w:rPr>
              <w:t xml:space="preserve">multicenter, </w:t>
            </w:r>
            <w:r w:rsidR="27E09CCA" w:rsidRPr="36DB2115">
              <w:rPr>
                <w:lang w:val="en-US"/>
              </w:rPr>
              <w:t>randomized</w:t>
            </w:r>
            <w:r w:rsidRPr="36DB2115">
              <w:rPr>
                <w:lang w:val="en-US"/>
              </w:rPr>
              <w:t>, controlled pivotal trial</w:t>
            </w:r>
            <w:r w:rsidR="7DFB4AAC" w:rsidRPr="36DB2115">
              <w:rPr>
                <w:lang w:val="en-US"/>
              </w:rPr>
              <w:t xml:space="preserve"> (ongoing)</w:t>
            </w:r>
          </w:p>
          <w:p w14:paraId="11AE3CC8" w14:textId="4FAF30EB" w:rsidR="698FAF2F" w:rsidRDefault="698FAF2F" w:rsidP="00672B23">
            <w:pPr>
              <w:pStyle w:val="TableText"/>
              <w:spacing w:before="0" w:after="0"/>
              <w:rPr>
                <w:lang w:val="en-US"/>
              </w:rPr>
            </w:pPr>
          </w:p>
        </w:tc>
        <w:tc>
          <w:tcPr>
            <w:tcW w:w="383" w:type="pct"/>
            <w:shd w:val="clear" w:color="auto" w:fill="auto"/>
            <w:vAlign w:val="center"/>
          </w:tcPr>
          <w:p w14:paraId="7319164B" w14:textId="6732ED72" w:rsidR="3342C247" w:rsidRDefault="3342C247" w:rsidP="00821355">
            <w:pPr>
              <w:pStyle w:val="TableText"/>
              <w:spacing w:before="0" w:after="0"/>
              <w:jc w:val="center"/>
              <w:rPr>
                <w:lang w:val="en-US"/>
              </w:rPr>
            </w:pPr>
            <w:r w:rsidRPr="00FC3E55">
              <w:rPr>
                <w:lang w:val="en-US"/>
              </w:rPr>
              <w:t>Low</w:t>
            </w:r>
          </w:p>
        </w:tc>
        <w:tc>
          <w:tcPr>
            <w:tcW w:w="1180" w:type="pct"/>
            <w:shd w:val="clear" w:color="auto" w:fill="auto"/>
            <w:vAlign w:val="center"/>
          </w:tcPr>
          <w:p w14:paraId="72464206" w14:textId="77777777" w:rsidR="793683EC" w:rsidRDefault="793683EC" w:rsidP="00821355">
            <w:pPr>
              <w:pStyle w:val="TableTextCA"/>
              <w:spacing w:before="0" w:after="0"/>
              <w:rPr>
                <w:lang w:val="en-US"/>
              </w:rPr>
            </w:pPr>
            <w:r w:rsidRPr="36DB2115">
              <w:rPr>
                <w:lang w:val="en-US"/>
              </w:rPr>
              <w:t>At least moderate-severe DMR at prohibitive surgical risk</w:t>
            </w:r>
            <w:r w:rsidR="00AA6414">
              <w:rPr>
                <w:lang w:val="en-US"/>
              </w:rPr>
              <w:t>.</w:t>
            </w:r>
          </w:p>
          <w:p w14:paraId="4CA8F40F" w14:textId="77777777" w:rsidR="00AA6414" w:rsidRPr="00D3043A" w:rsidRDefault="00AA6414" w:rsidP="00821355">
            <w:pPr>
              <w:pStyle w:val="TableTextCA"/>
              <w:spacing w:before="0" w:after="0"/>
              <w:rPr>
                <w:snapToGrid w:val="0"/>
              </w:rPr>
            </w:pPr>
            <w:r w:rsidRPr="00D3043A">
              <w:rPr>
                <w:snapToGrid w:val="0"/>
                <w:lang w:val="en-US"/>
              </w:rPr>
              <w:t>Age ≥18 years</w:t>
            </w:r>
          </w:p>
          <w:p w14:paraId="08A7B234" w14:textId="77777777" w:rsidR="00AA6414" w:rsidRPr="00D3043A" w:rsidRDefault="00AA6414" w:rsidP="00821355">
            <w:pPr>
              <w:pStyle w:val="TableTextCA"/>
              <w:spacing w:before="0" w:after="0"/>
              <w:rPr>
                <w:snapToGrid w:val="0"/>
              </w:rPr>
            </w:pPr>
            <w:r w:rsidRPr="00D3043A">
              <w:rPr>
                <w:snapToGrid w:val="0"/>
                <w:lang w:val="en-US"/>
              </w:rPr>
              <w:t xml:space="preserve">Prohibitive risk for mitral valve surgery </w:t>
            </w:r>
          </w:p>
          <w:p w14:paraId="246C24B2" w14:textId="77777777" w:rsidR="00AA6414" w:rsidRPr="00D3043A" w:rsidRDefault="00AA6414" w:rsidP="00821355">
            <w:pPr>
              <w:pStyle w:val="TableTextCA"/>
              <w:spacing w:before="0" w:after="0"/>
              <w:rPr>
                <w:snapToGrid w:val="0"/>
              </w:rPr>
            </w:pPr>
            <w:r w:rsidRPr="00D3043A">
              <w:rPr>
                <w:snapToGrid w:val="0"/>
                <w:lang w:val="en-US"/>
              </w:rPr>
              <w:t>Candidate for M-TEER with the PASCAL system</w:t>
            </w:r>
            <w:r>
              <w:rPr>
                <w:snapToGrid w:val="0"/>
                <w:lang w:val="en-US"/>
              </w:rPr>
              <w:t xml:space="preserve"> but not for </w:t>
            </w:r>
            <w:proofErr w:type="spellStart"/>
            <w:r>
              <w:rPr>
                <w:snapToGrid w:val="0"/>
                <w:lang w:val="en-US"/>
              </w:rPr>
              <w:t>MitraClip</w:t>
            </w:r>
            <w:proofErr w:type="spellEnd"/>
          </w:p>
          <w:p w14:paraId="63C89628" w14:textId="77777777" w:rsidR="00AA6414" w:rsidRPr="00D3043A" w:rsidRDefault="00AA6414" w:rsidP="00821355">
            <w:pPr>
              <w:pStyle w:val="TableTextCA"/>
              <w:spacing w:before="0" w:after="0"/>
              <w:rPr>
                <w:snapToGrid w:val="0"/>
              </w:rPr>
            </w:pPr>
            <w:r w:rsidRPr="00D3043A">
              <w:rPr>
                <w:snapToGrid w:val="0"/>
                <w:lang w:val="en-US"/>
              </w:rPr>
              <w:t>Degenerative mitral regurgitation (3+ to 4+)</w:t>
            </w:r>
          </w:p>
          <w:p w14:paraId="2135600A" w14:textId="77777777" w:rsidR="00AA6414" w:rsidRPr="00D3043A" w:rsidRDefault="00AA6414" w:rsidP="00821355">
            <w:pPr>
              <w:pStyle w:val="TableTextCA"/>
              <w:spacing w:before="0" w:after="0"/>
              <w:rPr>
                <w:snapToGrid w:val="0"/>
              </w:rPr>
            </w:pPr>
            <w:r w:rsidRPr="00D3043A">
              <w:rPr>
                <w:snapToGrid w:val="0"/>
                <w:lang w:val="en-US"/>
              </w:rPr>
              <w:t>Suitable valve and regurgitant jet morphology</w:t>
            </w:r>
          </w:p>
          <w:p w14:paraId="2EE5F1D9" w14:textId="17B21B81" w:rsidR="793683EC" w:rsidRDefault="00AA6414" w:rsidP="00821355">
            <w:pPr>
              <w:pStyle w:val="TableTextCA"/>
              <w:spacing w:before="0" w:after="0"/>
              <w:rPr>
                <w:lang w:val="en-US"/>
              </w:rPr>
            </w:pPr>
            <w:r w:rsidRPr="00D3043A">
              <w:rPr>
                <w:snapToGrid w:val="0"/>
                <w:lang w:val="en-US"/>
              </w:rPr>
              <w:t>LVEF ≥20%, LVEDD ≤80 mm</w:t>
            </w:r>
          </w:p>
        </w:tc>
        <w:tc>
          <w:tcPr>
            <w:tcW w:w="862" w:type="pct"/>
            <w:shd w:val="clear" w:color="auto" w:fill="auto"/>
            <w:vAlign w:val="center"/>
          </w:tcPr>
          <w:p w14:paraId="391F0309" w14:textId="2C32E976" w:rsidR="0020628F" w:rsidRDefault="0020628F" w:rsidP="00821355">
            <w:pPr>
              <w:pStyle w:val="TableTextCA"/>
              <w:spacing w:before="0" w:after="0"/>
            </w:pPr>
            <w:r>
              <w:t>SAFETY:</w:t>
            </w:r>
          </w:p>
          <w:p w14:paraId="75C431AE" w14:textId="45FD8F6D" w:rsidR="0020628F" w:rsidRDefault="0020628F" w:rsidP="00821355">
            <w:pPr>
              <w:pStyle w:val="TableTextCA"/>
              <w:spacing w:before="0" w:after="0"/>
            </w:pPr>
            <w:r>
              <w:t xml:space="preserve">Adverse events at 30 days, </w:t>
            </w:r>
            <w:r w:rsidR="00B66D93">
              <w:t xml:space="preserve">6 months, </w:t>
            </w:r>
            <w:r>
              <w:t xml:space="preserve">12 </w:t>
            </w:r>
            <w:proofErr w:type="gramStart"/>
            <w:r>
              <w:t>months</w:t>
            </w:r>
            <w:r w:rsidR="009E40B2">
              <w:t>;</w:t>
            </w:r>
            <w:proofErr w:type="gramEnd"/>
          </w:p>
          <w:p w14:paraId="02B2D002" w14:textId="41FE8AA2" w:rsidR="0020628F" w:rsidRDefault="00B66D93" w:rsidP="00821355">
            <w:pPr>
              <w:pStyle w:val="TableTextCA"/>
              <w:spacing w:before="0" w:after="0"/>
            </w:pPr>
            <w:r>
              <w:t>M</w:t>
            </w:r>
            <w:r w:rsidR="0020628F">
              <w:t>ortality</w:t>
            </w:r>
            <w:r>
              <w:t xml:space="preserve"> and cardiac mortality at </w:t>
            </w:r>
            <w:r w:rsidR="009E40B2">
              <w:t>1 year</w:t>
            </w:r>
          </w:p>
          <w:p w14:paraId="20E29081" w14:textId="77777777" w:rsidR="0020628F" w:rsidRDefault="0020628F" w:rsidP="00821355">
            <w:pPr>
              <w:pStyle w:val="TableTextCA"/>
              <w:spacing w:before="0" w:after="0"/>
            </w:pPr>
            <w:r>
              <w:t>EFFICACY:</w:t>
            </w:r>
          </w:p>
          <w:p w14:paraId="2ECE6C0D" w14:textId="1005FE80" w:rsidR="0020628F" w:rsidRDefault="0020628F" w:rsidP="00821355">
            <w:pPr>
              <w:pStyle w:val="TableTextCA"/>
              <w:spacing w:before="0" w:after="0"/>
            </w:pPr>
            <w:r>
              <w:t xml:space="preserve">MR severity ≤2+ </w:t>
            </w:r>
            <w:r w:rsidR="009E40B2">
              <w:t xml:space="preserve">and ≤1+ </w:t>
            </w:r>
            <w:r>
              <w:t xml:space="preserve">at 30 days, 6 months, 1 </w:t>
            </w:r>
            <w:proofErr w:type="gramStart"/>
            <w:r>
              <w:t>year</w:t>
            </w:r>
            <w:r w:rsidR="009E40B2">
              <w:t>;</w:t>
            </w:r>
            <w:proofErr w:type="gramEnd"/>
            <w:r w:rsidR="009E40B2">
              <w:t xml:space="preserve"> </w:t>
            </w:r>
          </w:p>
          <w:p w14:paraId="3BED9519" w14:textId="6F173B1B" w:rsidR="793683EC" w:rsidRDefault="0020628F" w:rsidP="00821355">
            <w:pPr>
              <w:pStyle w:val="TableTextCA"/>
              <w:spacing w:before="0" w:after="0"/>
            </w:pPr>
            <w:r>
              <w:t>NYHA functional class at 6 months</w:t>
            </w:r>
            <w:r w:rsidR="009E40B2">
              <w:t xml:space="preserve"> and 12 months</w:t>
            </w:r>
            <w:r>
              <w:t>, and QoL</w:t>
            </w:r>
            <w:r w:rsidR="009E40B2">
              <w:t xml:space="preserve"> at 6 and 12 months</w:t>
            </w:r>
          </w:p>
        </w:tc>
        <w:tc>
          <w:tcPr>
            <w:tcW w:w="760" w:type="pct"/>
            <w:shd w:val="clear" w:color="auto" w:fill="auto"/>
            <w:vAlign w:val="center"/>
          </w:tcPr>
          <w:p w14:paraId="3E8C5AF3" w14:textId="419F449E" w:rsidR="1801C7BC" w:rsidRDefault="00DA42DF" w:rsidP="00821355">
            <w:pPr>
              <w:pStyle w:val="TableTextCA"/>
              <w:spacing w:before="0" w:after="0"/>
              <w:rPr>
                <w:lang w:val="en-US"/>
              </w:rPr>
            </w:pPr>
            <w:r w:rsidRPr="002F1124">
              <w:t>Adverse events at 30 days and 1 year are used in the updated cost-minimisation</w:t>
            </w:r>
            <w:r>
              <w:rPr>
                <w:lang w:val="en-US"/>
              </w:rPr>
              <w:t>.</w:t>
            </w:r>
          </w:p>
        </w:tc>
      </w:tr>
    </w:tbl>
    <w:p w14:paraId="77F184CE" w14:textId="184A0439" w:rsidR="00956ACE" w:rsidRDefault="00537C8C" w:rsidP="00672B23">
      <w:pPr>
        <w:pStyle w:val="TableFooter"/>
        <w:jc w:val="left"/>
      </w:pPr>
      <w:bookmarkStart w:id="19" w:name="_Hlk68276176"/>
      <w:bookmarkEnd w:id="18"/>
      <w:r>
        <w:t xml:space="preserve">Abbreviations: </w:t>
      </w:r>
      <w:r w:rsidR="00956ACE">
        <w:t>DB</w:t>
      </w:r>
      <w:r>
        <w:t xml:space="preserve">, </w:t>
      </w:r>
      <w:r w:rsidR="00956ACE">
        <w:t>double blind;</w:t>
      </w:r>
      <w:r w:rsidR="00162F16">
        <w:t xml:space="preserve"> D</w:t>
      </w:r>
      <w:r w:rsidR="00162F16" w:rsidRPr="00B84EBA">
        <w:t xml:space="preserve">MR, </w:t>
      </w:r>
      <w:r w:rsidR="00162F16">
        <w:t xml:space="preserve">degenerative </w:t>
      </w:r>
      <w:r w:rsidR="00162F16" w:rsidRPr="00B84EBA">
        <w:t>mitral regurgitation</w:t>
      </w:r>
      <w:r w:rsidR="00162F16">
        <w:t>;</w:t>
      </w:r>
      <w:r w:rsidR="00956ACE">
        <w:t xml:space="preserve"> </w:t>
      </w:r>
      <w:r w:rsidR="00593074" w:rsidRPr="00D3043A">
        <w:rPr>
          <w:snapToGrid w:val="0"/>
          <w:lang w:val="en-US"/>
        </w:rPr>
        <w:t>LVEDD</w:t>
      </w:r>
      <w:r w:rsidR="00593074">
        <w:t>, left ventricular end-diastoli</w:t>
      </w:r>
      <w:r w:rsidR="001B176D">
        <w:t xml:space="preserve">c diameter; </w:t>
      </w:r>
      <w:r w:rsidR="009720DA">
        <w:t xml:space="preserve">LVEF, left ventricular ejection fraction; </w:t>
      </w:r>
      <w:r w:rsidR="00956ACE">
        <w:t>OL</w:t>
      </w:r>
      <w:r>
        <w:t xml:space="preserve">, </w:t>
      </w:r>
      <w:r w:rsidR="00956ACE">
        <w:t>open label; OS</w:t>
      </w:r>
      <w:r>
        <w:t xml:space="preserve">, </w:t>
      </w:r>
      <w:r w:rsidR="00956ACE">
        <w:t>overall survival; PFS</w:t>
      </w:r>
      <w:r>
        <w:t xml:space="preserve">, </w:t>
      </w:r>
      <w:r w:rsidR="00956ACE">
        <w:t>progression-free survival;</w:t>
      </w:r>
      <w:r w:rsidR="005164AC">
        <w:t xml:space="preserve"> </w:t>
      </w:r>
      <w:r w:rsidR="001B176D" w:rsidRPr="000B50D0">
        <w:t>MR, mitral regurgitation</w:t>
      </w:r>
      <w:r w:rsidR="001B176D">
        <w:t xml:space="preserve">; </w:t>
      </w:r>
      <w:r w:rsidR="00B676CD" w:rsidRPr="00B758EE">
        <w:t>NYHA, New York Heart Association</w:t>
      </w:r>
      <w:r w:rsidR="009720DA">
        <w:t>.</w:t>
      </w:r>
    </w:p>
    <w:p w14:paraId="38A5A2A1" w14:textId="2B4FB3F5" w:rsidR="00CE7F0D" w:rsidRPr="00E727A5" w:rsidRDefault="00717E7D" w:rsidP="00372AA7">
      <w:r w:rsidRPr="002F1124">
        <w:t>T</w:t>
      </w:r>
      <w:r w:rsidR="00CE7F0D" w:rsidRPr="00E727A5">
        <w:t>he CLASP IID study</w:t>
      </w:r>
      <w:r w:rsidRPr="002F1124">
        <w:t xml:space="preserve"> included </w:t>
      </w:r>
      <w:r w:rsidR="00D23929" w:rsidRPr="002F1124">
        <w:t>different device generation</w:t>
      </w:r>
      <w:r w:rsidR="003E4A1A" w:rsidRPr="002F1124">
        <w:t>s</w:t>
      </w:r>
      <w:r w:rsidR="0020149A" w:rsidRPr="002F1124">
        <w:t xml:space="preserve"> of PA</w:t>
      </w:r>
      <w:r w:rsidR="003E4A1A" w:rsidRPr="002F1124">
        <w:t>S</w:t>
      </w:r>
      <w:r w:rsidR="0020149A" w:rsidRPr="002F1124">
        <w:t>C</w:t>
      </w:r>
      <w:r w:rsidR="003E4A1A" w:rsidRPr="002F1124">
        <w:t>A</w:t>
      </w:r>
      <w:r w:rsidR="0020149A" w:rsidRPr="002F1124">
        <w:t xml:space="preserve">L and </w:t>
      </w:r>
      <w:proofErr w:type="spellStart"/>
      <w:r w:rsidR="0020149A" w:rsidRPr="002F1124">
        <w:t>MitraClip</w:t>
      </w:r>
      <w:proofErr w:type="spellEnd"/>
      <w:r w:rsidR="0020149A" w:rsidRPr="002F1124">
        <w:t>.</w:t>
      </w:r>
      <w:r w:rsidR="0009277D" w:rsidRPr="002F1124">
        <w:t xml:space="preserve"> </w:t>
      </w:r>
      <w:r w:rsidR="00CE7F0D" w:rsidRPr="00E727A5">
        <w:t xml:space="preserve">In the PASCAL group, 52.6% of patients received the PASCAL implant, 39.2% received the PASCAL Ace implant and 8.2% received a combination. In the </w:t>
      </w:r>
      <w:proofErr w:type="spellStart"/>
      <w:r w:rsidR="00CE7F0D" w:rsidRPr="00E727A5">
        <w:t>MitraClip</w:t>
      </w:r>
      <w:proofErr w:type="spellEnd"/>
      <w:r w:rsidR="00CE7F0D" w:rsidRPr="00E727A5">
        <w:t xml:space="preserve"> group, 30.5% of patients received NT, NTR, XTR implants, 68.4% received (G4) NT, NTW, XT or XTW implants and 1.1% received a combination. </w:t>
      </w:r>
    </w:p>
    <w:p w14:paraId="3B9FC2AD" w14:textId="7789AE06" w:rsidR="00772829" w:rsidRPr="00CE28E3" w:rsidRDefault="005E3CDE" w:rsidP="002A18BE">
      <w:pPr>
        <w:pStyle w:val="Heading2"/>
        <w:numPr>
          <w:ilvl w:val="0"/>
          <w:numId w:val="0"/>
        </w:numPr>
      </w:pPr>
      <w:bookmarkStart w:id="20" w:name="ColumnTitle_Table4"/>
      <w:bookmarkStart w:id="21" w:name="_Toc69491423"/>
      <w:bookmarkEnd w:id="19"/>
      <w:bookmarkEnd w:id="20"/>
      <w:r>
        <w:t>11</w:t>
      </w:r>
      <w:r w:rsidR="00C36633">
        <w:t>.</w:t>
      </w:r>
      <w:r w:rsidR="00C36633">
        <w:tab/>
      </w:r>
      <w:r w:rsidR="00772829" w:rsidRPr="00CE28E3">
        <w:t>Comparative safety</w:t>
      </w:r>
      <w:bookmarkEnd w:id="21"/>
    </w:p>
    <w:p w14:paraId="0090B16B" w14:textId="340DFA96" w:rsidR="006B20E3" w:rsidRDefault="00826907" w:rsidP="36DB2115">
      <w:r>
        <w:t xml:space="preserve">The current ADAR </w:t>
      </w:r>
      <w:r w:rsidR="00D82FDD">
        <w:t>provided new evidence f</w:t>
      </w:r>
      <w:r w:rsidR="0090155E">
        <w:t>ro</w:t>
      </w:r>
      <w:r w:rsidR="00D82FDD">
        <w:t xml:space="preserve">m the CLASP IID RCT to support the clinical claim that the PASCAL device is non-inferior in safety compared to the </w:t>
      </w:r>
      <w:proofErr w:type="spellStart"/>
      <w:r w:rsidR="00D82FDD">
        <w:t>MitraClip</w:t>
      </w:r>
      <w:proofErr w:type="spellEnd"/>
      <w:r w:rsidR="00D82FDD">
        <w:t xml:space="preserve"> device. </w:t>
      </w:r>
      <w:r w:rsidR="00F25782">
        <w:t>The p</w:t>
      </w:r>
      <w:r w:rsidR="00793A27" w:rsidRPr="007811AB">
        <w:t xml:space="preserve">rimary safety endpoint </w:t>
      </w:r>
      <w:r w:rsidR="005C4805">
        <w:t>w</w:t>
      </w:r>
      <w:r w:rsidR="00F25782">
        <w:t>as</w:t>
      </w:r>
      <w:r w:rsidR="005C4805">
        <w:t xml:space="preserve"> </w:t>
      </w:r>
      <w:r w:rsidR="00A90D40">
        <w:t xml:space="preserve">rate of </w:t>
      </w:r>
      <w:r w:rsidR="005C4805">
        <w:t>MAEs</w:t>
      </w:r>
      <w:r w:rsidR="003E5729">
        <w:t xml:space="preserve"> at 30 days with secondary safety </w:t>
      </w:r>
      <w:r w:rsidR="00E96E17">
        <w:t xml:space="preserve">analysis of </w:t>
      </w:r>
      <w:r w:rsidR="00A90D40">
        <w:t xml:space="preserve">rate of </w:t>
      </w:r>
      <w:r w:rsidR="00E96E17">
        <w:t>MAEs</w:t>
      </w:r>
      <w:r w:rsidR="003E5729">
        <w:t xml:space="preserve"> at 1 year</w:t>
      </w:r>
      <w:r w:rsidR="003C35CD">
        <w:t xml:space="preserve"> (</w:t>
      </w:r>
      <w:r w:rsidR="00CB06A5">
        <w:fldChar w:fldCharType="begin"/>
      </w:r>
      <w:r w:rsidR="00CB06A5">
        <w:instrText xml:space="preserve"> REF _Ref146639661 \h </w:instrText>
      </w:r>
      <w:r w:rsidR="00CB06A5">
        <w:fldChar w:fldCharType="separate"/>
      </w:r>
      <w:r w:rsidR="00606394">
        <w:t xml:space="preserve">Table </w:t>
      </w:r>
      <w:r w:rsidR="00606394">
        <w:rPr>
          <w:noProof/>
        </w:rPr>
        <w:t>5</w:t>
      </w:r>
      <w:r w:rsidR="00CB06A5">
        <w:fldChar w:fldCharType="end"/>
      </w:r>
      <w:r w:rsidR="003C35CD">
        <w:t>)</w:t>
      </w:r>
      <w:r w:rsidR="00793A27" w:rsidRPr="007811AB">
        <w:t xml:space="preserve">. </w:t>
      </w:r>
    </w:p>
    <w:p w14:paraId="7A252183" w14:textId="17532AAE" w:rsidR="00872637" w:rsidRDefault="00982527" w:rsidP="00982527">
      <w:r>
        <w:t xml:space="preserve">The rate of </w:t>
      </w:r>
      <w:r w:rsidR="003E07D3">
        <w:t xml:space="preserve">composite </w:t>
      </w:r>
      <w:r>
        <w:t>MAEs at 30 days</w:t>
      </w:r>
      <w:r w:rsidR="00AC5200">
        <w:t xml:space="preserve"> (</w:t>
      </w:r>
      <w:r w:rsidR="00AC5200">
        <w:fldChar w:fldCharType="begin"/>
      </w:r>
      <w:r w:rsidR="00AC5200">
        <w:instrText xml:space="preserve"> REF _Ref155616612 \h </w:instrText>
      </w:r>
      <w:r w:rsidR="00AC5200">
        <w:fldChar w:fldCharType="separate"/>
      </w:r>
      <w:r w:rsidR="00AC5200" w:rsidRPr="00DA079E">
        <w:t xml:space="preserve">Figure </w:t>
      </w:r>
      <w:r w:rsidR="00AC5200">
        <w:rPr>
          <w:noProof/>
        </w:rPr>
        <w:t>2</w:t>
      </w:r>
      <w:r w:rsidR="00AC5200">
        <w:fldChar w:fldCharType="end"/>
      </w:r>
      <w:r w:rsidR="00224A83">
        <w:t>)</w:t>
      </w:r>
      <w:r>
        <w:t xml:space="preserve"> was 4.6% </w:t>
      </w:r>
      <w:r w:rsidR="00F50139">
        <w:t>for patients</w:t>
      </w:r>
      <w:r>
        <w:t xml:space="preserve"> in the PASCAL arm compared to 5.4% in the </w:t>
      </w:r>
      <w:proofErr w:type="spellStart"/>
      <w:r>
        <w:t>MitraClip</w:t>
      </w:r>
      <w:proofErr w:type="spellEnd"/>
      <w:r>
        <w:t xml:space="preserve"> arm (absolute difference –0.8%). The upper limit of the one-sided 95% CI (4.6%) was lower than the pre-specified non-inferiority margin of 15%. </w:t>
      </w:r>
      <w:r w:rsidR="0042423F">
        <w:t xml:space="preserve">No literature was provided to support the non-inferiority margin. </w:t>
      </w:r>
    </w:p>
    <w:p w14:paraId="6ADF46CB" w14:textId="0D36785E" w:rsidR="00DA079E" w:rsidRDefault="00DA079E" w:rsidP="00DA079E">
      <w:pPr>
        <w:pStyle w:val="TableFigureHeading"/>
      </w:pPr>
      <w:bookmarkStart w:id="22" w:name="_Ref155616612"/>
      <w:bookmarkStart w:id="23" w:name="_Ref155616563"/>
      <w:bookmarkStart w:id="24" w:name="_Ref155689406"/>
      <w:r w:rsidRPr="00DA079E">
        <w:lastRenderedPageBreak/>
        <w:t xml:space="preserve">Figure </w:t>
      </w:r>
      <w:r>
        <w:fldChar w:fldCharType="begin"/>
      </w:r>
      <w:r>
        <w:instrText>SEQ Figure \* ARABIC</w:instrText>
      </w:r>
      <w:r>
        <w:fldChar w:fldCharType="separate"/>
      </w:r>
      <w:r w:rsidR="007B4C94">
        <w:rPr>
          <w:noProof/>
        </w:rPr>
        <w:t>2</w:t>
      </w:r>
      <w:r>
        <w:fldChar w:fldCharType="end"/>
      </w:r>
      <w:bookmarkEnd w:id="22"/>
      <w:r w:rsidRPr="00DA079E">
        <w:t xml:space="preserve"> </w:t>
      </w:r>
      <w:proofErr w:type="gramStart"/>
      <w:r w:rsidRPr="00DA079E">
        <w:t>Non-inferiority</w:t>
      </w:r>
      <w:proofErr w:type="gramEnd"/>
      <w:r w:rsidRPr="00DA079E">
        <w:t xml:space="preserve"> for safety </w:t>
      </w:r>
      <w:bookmarkEnd w:id="23"/>
      <w:r w:rsidR="000716CE">
        <w:t>and effectiveness</w:t>
      </w:r>
      <w:bookmarkEnd w:id="24"/>
    </w:p>
    <w:p w14:paraId="58E8B5F6" w14:textId="1E78FF19" w:rsidR="00FE64E3" w:rsidRPr="00624E34" w:rsidRDefault="00FE64E3" w:rsidP="00624E34">
      <w:pPr>
        <w:pStyle w:val="In-tableHeading"/>
        <w:rPr>
          <w:lang w:val="en-AU"/>
        </w:rPr>
      </w:pPr>
      <w:r w:rsidRPr="00EB48EF">
        <w:rPr>
          <w:noProof/>
        </w:rPr>
        <w:drawing>
          <wp:inline distT="0" distB="0" distL="0" distR="0" wp14:anchorId="14476E4F" wp14:editId="2E9ED03F">
            <wp:extent cx="5292090" cy="3017520"/>
            <wp:effectExtent l="0" t="0" r="3810" b="0"/>
            <wp:docPr id="3" name="Picture 3" descr="Non-inferiority Met for primary safety and effectiveness end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on-inferiority Met for primary safety and effectiveness endpoin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2090" cy="3017520"/>
                    </a:xfrm>
                    <a:prstGeom prst="rect">
                      <a:avLst/>
                    </a:prstGeom>
                    <a:noFill/>
                  </pic:spPr>
                </pic:pic>
              </a:graphicData>
            </a:graphic>
          </wp:inline>
        </w:drawing>
      </w:r>
    </w:p>
    <w:p w14:paraId="4D770425" w14:textId="75E14EFA" w:rsidR="00191717" w:rsidRPr="002F1124" w:rsidRDefault="00191717" w:rsidP="002F1124">
      <w:pPr>
        <w:pStyle w:val="TableFooter"/>
      </w:pPr>
      <w:r w:rsidRPr="002F1124">
        <w:rPr>
          <w:rFonts w:eastAsiaTheme="majorEastAsia"/>
        </w:rPr>
        <w:t>Source:</w:t>
      </w:r>
      <w:r w:rsidR="003459AD" w:rsidRPr="002F1124">
        <w:rPr>
          <w:rFonts w:eastAsiaTheme="majorEastAsia"/>
        </w:rPr>
        <w:t xml:space="preserve"> </w:t>
      </w:r>
      <w:r w:rsidR="000A6625">
        <w:rPr>
          <w:rFonts w:eastAsiaTheme="majorEastAsia"/>
        </w:rPr>
        <w:t>Figure 3, p40 of MSAC 1662.2 ADAR.</w:t>
      </w:r>
    </w:p>
    <w:p w14:paraId="69943861" w14:textId="76A25A81" w:rsidR="00191717" w:rsidRPr="001F1DAD" w:rsidRDefault="00191717" w:rsidP="002F1124">
      <w:pPr>
        <w:pStyle w:val="TableFooter"/>
      </w:pPr>
      <w:r w:rsidRPr="001F1DAD">
        <w:t>Abbreviations: CI, confidence interval; MAE, major adverse events; MR, mitral regurgitation</w:t>
      </w:r>
    </w:p>
    <w:p w14:paraId="62F25F81" w14:textId="48E3FDF7" w:rsidR="00992D25" w:rsidRPr="00542C2D" w:rsidRDefault="00982527" w:rsidP="00542C2D">
      <w:r w:rsidRPr="00467292">
        <w:t xml:space="preserve">At 1 year, </w:t>
      </w:r>
      <w:r w:rsidR="008D4613">
        <w:t xml:space="preserve">the rate of composite MAEs was 15.3% for patients in the PASCAL arm compared to 11.7% in the </w:t>
      </w:r>
      <w:proofErr w:type="spellStart"/>
      <w:r w:rsidR="008D4613">
        <w:t>MitraClip</w:t>
      </w:r>
      <w:proofErr w:type="spellEnd"/>
      <w:r w:rsidR="008D4613">
        <w:t xml:space="preserve"> arm</w:t>
      </w:r>
      <w:r w:rsidR="001D2776">
        <w:t xml:space="preserve"> for an absolute difference of 3.6%. The upper limit of the one-sided 95% CI </w:t>
      </w:r>
      <w:r w:rsidR="001E5C09">
        <w:t xml:space="preserve">was 11.9% which is lower than the pre-specified non-inferiority margin of 15%. </w:t>
      </w:r>
      <w:r w:rsidR="001F0AC9">
        <w:t>T</w:t>
      </w:r>
      <w:r w:rsidRPr="00467292">
        <w:t>here were no statistical differences</w:t>
      </w:r>
      <w:r w:rsidR="00E419E0">
        <w:t xml:space="preserve"> in MAEs</w:t>
      </w:r>
      <w:r w:rsidRPr="00467292">
        <w:t xml:space="preserve"> </w:t>
      </w:r>
      <w:r w:rsidR="00E419E0">
        <w:t xml:space="preserve">between the PASCAL and </w:t>
      </w:r>
      <w:proofErr w:type="spellStart"/>
      <w:r w:rsidR="00E419E0">
        <w:t>MitraClip</w:t>
      </w:r>
      <w:proofErr w:type="spellEnd"/>
      <w:r w:rsidR="00E419E0">
        <w:t xml:space="preserve"> groups (</w:t>
      </w:r>
      <w:r w:rsidR="00CB06A5">
        <w:fldChar w:fldCharType="begin"/>
      </w:r>
      <w:r w:rsidR="00CB06A5">
        <w:instrText xml:space="preserve"> REF _Ref146639661 \h </w:instrText>
      </w:r>
      <w:r w:rsidR="00CB06A5">
        <w:fldChar w:fldCharType="separate"/>
      </w:r>
      <w:r w:rsidR="009475D0">
        <w:t xml:space="preserve">Table </w:t>
      </w:r>
      <w:r w:rsidR="009475D0">
        <w:rPr>
          <w:noProof/>
        </w:rPr>
        <w:t>5</w:t>
      </w:r>
      <w:r w:rsidR="00CB06A5">
        <w:fldChar w:fldCharType="end"/>
      </w:r>
      <w:r w:rsidR="00E419E0">
        <w:t>).</w:t>
      </w:r>
      <w:r w:rsidR="00992D25">
        <w:br w:type="page"/>
      </w:r>
    </w:p>
    <w:p w14:paraId="1BEEEA8B" w14:textId="18119E9A" w:rsidR="009F5715" w:rsidRDefault="009F5715" w:rsidP="00DA079E">
      <w:pPr>
        <w:pStyle w:val="TableFigureHeading"/>
      </w:pPr>
      <w:bookmarkStart w:id="25" w:name="_Ref145597885"/>
      <w:bookmarkStart w:id="26" w:name="_Ref146639661"/>
      <w:bookmarkStart w:id="27" w:name="_Toc146813366"/>
      <w:r>
        <w:lastRenderedPageBreak/>
        <w:t xml:space="preserve">Table </w:t>
      </w:r>
      <w:bookmarkEnd w:id="25"/>
      <w:r>
        <w:fldChar w:fldCharType="begin"/>
      </w:r>
      <w:r>
        <w:instrText xml:space="preserve"> SEQ Table \* ARABIC </w:instrText>
      </w:r>
      <w:r>
        <w:fldChar w:fldCharType="separate"/>
      </w:r>
      <w:r w:rsidR="009475D0">
        <w:rPr>
          <w:noProof/>
        </w:rPr>
        <w:t>5</w:t>
      </w:r>
      <w:r>
        <w:fldChar w:fldCharType="end"/>
      </w:r>
      <w:bookmarkEnd w:id="26"/>
      <w:r w:rsidR="00CB06A5">
        <w:t xml:space="preserve"> </w:t>
      </w:r>
      <w:r>
        <w:t>Summary of MAEs at 30 days and 1 year</w:t>
      </w:r>
      <w:bookmarkEnd w:id="27"/>
    </w:p>
    <w:tbl>
      <w:tblPr>
        <w:tblStyle w:val="TableGrid"/>
        <w:tblW w:w="5000" w:type="pct"/>
        <w:tblLook w:val="0420" w:firstRow="1" w:lastRow="0" w:firstColumn="0" w:lastColumn="0" w:noHBand="0" w:noVBand="1"/>
      </w:tblPr>
      <w:tblGrid>
        <w:gridCol w:w="3270"/>
        <w:gridCol w:w="1102"/>
        <w:gridCol w:w="1342"/>
        <w:gridCol w:w="1226"/>
        <w:gridCol w:w="1223"/>
        <w:gridCol w:w="853"/>
      </w:tblGrid>
      <w:tr w:rsidR="004D5060" w14:paraId="50E8B1A1" w14:textId="77777777" w:rsidTr="002F1124">
        <w:trPr>
          <w:trHeight w:val="435"/>
        </w:trPr>
        <w:tc>
          <w:tcPr>
            <w:tcW w:w="1813" w:type="pct"/>
            <w:tcBorders>
              <w:bottom w:val="nil"/>
            </w:tcBorders>
          </w:tcPr>
          <w:p w14:paraId="642291A2" w14:textId="77777777" w:rsidR="004D5060" w:rsidRDefault="004D5060">
            <w:pPr>
              <w:pStyle w:val="TableText"/>
            </w:pPr>
          </w:p>
        </w:tc>
        <w:tc>
          <w:tcPr>
            <w:tcW w:w="1355" w:type="pct"/>
            <w:gridSpan w:val="2"/>
          </w:tcPr>
          <w:p w14:paraId="1D39DEB4" w14:textId="77777777" w:rsidR="004D5060" w:rsidRDefault="004D5060" w:rsidP="002F1124">
            <w:pPr>
              <w:pStyle w:val="In-tableHeading"/>
              <w:jc w:val="center"/>
            </w:pPr>
            <w:r w:rsidRPr="36DB2115">
              <w:t>PASCAL</w:t>
            </w:r>
          </w:p>
          <w:p w14:paraId="5021539D" w14:textId="77777777" w:rsidR="004D5060" w:rsidRPr="36DB2115" w:rsidRDefault="004D5060" w:rsidP="002F1124">
            <w:pPr>
              <w:pStyle w:val="In-tableHeading"/>
              <w:jc w:val="center"/>
            </w:pPr>
            <w:r w:rsidRPr="36DB2115">
              <w:t>N=199</w:t>
            </w:r>
          </w:p>
        </w:tc>
        <w:tc>
          <w:tcPr>
            <w:tcW w:w="1358" w:type="pct"/>
            <w:gridSpan w:val="2"/>
          </w:tcPr>
          <w:p w14:paraId="29919F07" w14:textId="77777777" w:rsidR="004D5060" w:rsidRDefault="004D5060" w:rsidP="002F1124">
            <w:pPr>
              <w:pStyle w:val="In-tableHeading"/>
              <w:jc w:val="center"/>
            </w:pPr>
            <w:proofErr w:type="spellStart"/>
            <w:r w:rsidRPr="36DB2115">
              <w:t>MitraClip</w:t>
            </w:r>
            <w:proofErr w:type="spellEnd"/>
          </w:p>
          <w:p w14:paraId="528EA616" w14:textId="77777777" w:rsidR="004D5060" w:rsidRDefault="004D5060" w:rsidP="002F1124">
            <w:pPr>
              <w:pStyle w:val="In-tableHeading"/>
              <w:jc w:val="center"/>
            </w:pPr>
            <w:r w:rsidRPr="36DB2115">
              <w:t>N=95</w:t>
            </w:r>
          </w:p>
        </w:tc>
        <w:tc>
          <w:tcPr>
            <w:tcW w:w="473" w:type="pct"/>
          </w:tcPr>
          <w:p w14:paraId="45866BF7" w14:textId="77777777" w:rsidR="004D5060" w:rsidRPr="36DB2115" w:rsidRDefault="004D5060" w:rsidP="002F1124">
            <w:pPr>
              <w:pStyle w:val="In-tableHeading"/>
            </w:pPr>
          </w:p>
        </w:tc>
      </w:tr>
      <w:tr w:rsidR="004D5060" w14:paraId="2B48149C" w14:textId="77777777" w:rsidTr="002F1124">
        <w:trPr>
          <w:trHeight w:val="435"/>
        </w:trPr>
        <w:tc>
          <w:tcPr>
            <w:tcW w:w="1813" w:type="pct"/>
            <w:tcBorders>
              <w:top w:val="nil"/>
            </w:tcBorders>
          </w:tcPr>
          <w:p w14:paraId="09F35199" w14:textId="77777777" w:rsidR="004D5060" w:rsidRDefault="004D5060">
            <w:pPr>
              <w:pStyle w:val="TableText"/>
            </w:pPr>
          </w:p>
        </w:tc>
        <w:tc>
          <w:tcPr>
            <w:tcW w:w="611" w:type="pct"/>
          </w:tcPr>
          <w:p w14:paraId="568E0178" w14:textId="77777777" w:rsidR="004D5060" w:rsidRDefault="004D5060" w:rsidP="002F1124">
            <w:pPr>
              <w:pStyle w:val="In-tableHeading"/>
            </w:pPr>
            <w:r>
              <w:t>6 months</w:t>
            </w:r>
          </w:p>
        </w:tc>
        <w:tc>
          <w:tcPr>
            <w:tcW w:w="744" w:type="pct"/>
          </w:tcPr>
          <w:p w14:paraId="20DB3CDA" w14:textId="77777777" w:rsidR="004D5060" w:rsidRDefault="004D5060" w:rsidP="002F1124">
            <w:pPr>
              <w:pStyle w:val="In-tableHeading"/>
            </w:pPr>
            <w:r w:rsidRPr="36DB2115">
              <w:t>1 year</w:t>
            </w:r>
          </w:p>
        </w:tc>
        <w:tc>
          <w:tcPr>
            <w:tcW w:w="680" w:type="pct"/>
          </w:tcPr>
          <w:p w14:paraId="15BA2C06" w14:textId="77777777" w:rsidR="004D5060" w:rsidRDefault="004D5060" w:rsidP="002F1124">
            <w:pPr>
              <w:pStyle w:val="In-tableHeading"/>
            </w:pPr>
            <w:r>
              <w:t>6 months</w:t>
            </w:r>
          </w:p>
        </w:tc>
        <w:tc>
          <w:tcPr>
            <w:tcW w:w="678" w:type="pct"/>
          </w:tcPr>
          <w:p w14:paraId="223797D5" w14:textId="77777777" w:rsidR="004D5060" w:rsidRDefault="004D5060" w:rsidP="002F1124">
            <w:pPr>
              <w:pStyle w:val="In-tableHeading"/>
            </w:pPr>
            <w:r w:rsidRPr="36DB2115">
              <w:t>1 year</w:t>
            </w:r>
          </w:p>
        </w:tc>
        <w:tc>
          <w:tcPr>
            <w:tcW w:w="473" w:type="pct"/>
          </w:tcPr>
          <w:p w14:paraId="49C87BF4" w14:textId="77777777" w:rsidR="004D5060" w:rsidRPr="36DB2115" w:rsidRDefault="004D5060" w:rsidP="002F1124">
            <w:pPr>
              <w:pStyle w:val="In-tableHeading"/>
            </w:pPr>
            <w:r>
              <w:t>p-value (1 year)</w:t>
            </w:r>
          </w:p>
        </w:tc>
      </w:tr>
      <w:tr w:rsidR="004D5060" w14:paraId="79CF0B96" w14:textId="77777777" w:rsidTr="002F1124">
        <w:trPr>
          <w:trHeight w:val="435"/>
        </w:trPr>
        <w:tc>
          <w:tcPr>
            <w:tcW w:w="1813" w:type="pct"/>
            <w:tcBorders>
              <w:top w:val="nil"/>
            </w:tcBorders>
          </w:tcPr>
          <w:p w14:paraId="074B7DC4" w14:textId="77777777" w:rsidR="004D5060" w:rsidRDefault="004D5060">
            <w:pPr>
              <w:pStyle w:val="TableText"/>
            </w:pPr>
            <w:r w:rsidRPr="36DB2115">
              <w:rPr>
                <w:b/>
                <w:bCs/>
                <w:lang w:val="en-US"/>
              </w:rPr>
              <w:t xml:space="preserve">Composite MAE rate </w:t>
            </w:r>
            <w:r>
              <w:rPr>
                <w:b/>
                <w:bCs/>
                <w:vertAlign w:val="superscript"/>
                <w:lang w:val="en-US"/>
              </w:rPr>
              <w:t>a</w:t>
            </w:r>
          </w:p>
        </w:tc>
        <w:tc>
          <w:tcPr>
            <w:tcW w:w="611" w:type="pct"/>
          </w:tcPr>
          <w:p w14:paraId="76247A8D" w14:textId="77777777" w:rsidR="004D5060" w:rsidRPr="00366165" w:rsidRDefault="004D5060" w:rsidP="002F1124">
            <w:pPr>
              <w:pStyle w:val="TableText"/>
              <w:jc w:val="center"/>
              <w:rPr>
                <w:b/>
                <w:bCs/>
              </w:rPr>
            </w:pPr>
            <w:r w:rsidRPr="00366165">
              <w:rPr>
                <w:b/>
                <w:bCs/>
              </w:rPr>
              <w:t>16 (8.2%)</w:t>
            </w:r>
          </w:p>
        </w:tc>
        <w:tc>
          <w:tcPr>
            <w:tcW w:w="744" w:type="pct"/>
          </w:tcPr>
          <w:p w14:paraId="707E75D2" w14:textId="77777777" w:rsidR="004D5060" w:rsidRPr="00366165" w:rsidRDefault="004D5060" w:rsidP="002F1124">
            <w:pPr>
              <w:pStyle w:val="TableText"/>
              <w:jc w:val="center"/>
              <w:rPr>
                <w:b/>
                <w:bCs/>
              </w:rPr>
            </w:pPr>
            <w:r w:rsidRPr="00366165">
              <w:rPr>
                <w:b/>
                <w:bCs/>
              </w:rPr>
              <w:t>29 (15.3%)</w:t>
            </w:r>
          </w:p>
        </w:tc>
        <w:tc>
          <w:tcPr>
            <w:tcW w:w="680" w:type="pct"/>
          </w:tcPr>
          <w:p w14:paraId="3E7AEA35" w14:textId="77777777" w:rsidR="004D5060" w:rsidRPr="00366165" w:rsidRDefault="004D5060" w:rsidP="002F1124">
            <w:pPr>
              <w:pStyle w:val="TableText"/>
              <w:jc w:val="center"/>
              <w:rPr>
                <w:b/>
                <w:bCs/>
              </w:rPr>
            </w:pPr>
            <w:r w:rsidRPr="00366165">
              <w:rPr>
                <w:b/>
                <w:bCs/>
              </w:rPr>
              <w:t>9 (9.6%)</w:t>
            </w:r>
          </w:p>
        </w:tc>
        <w:tc>
          <w:tcPr>
            <w:tcW w:w="678" w:type="pct"/>
          </w:tcPr>
          <w:p w14:paraId="0C77C2E8" w14:textId="77777777" w:rsidR="004D5060" w:rsidRPr="00366165" w:rsidRDefault="004D5060" w:rsidP="002F1124">
            <w:pPr>
              <w:pStyle w:val="TableText"/>
              <w:jc w:val="center"/>
              <w:rPr>
                <w:b/>
                <w:bCs/>
              </w:rPr>
            </w:pPr>
            <w:r w:rsidRPr="00366165">
              <w:rPr>
                <w:b/>
                <w:bCs/>
              </w:rPr>
              <w:t>11 (11.7%)</w:t>
            </w:r>
          </w:p>
        </w:tc>
        <w:tc>
          <w:tcPr>
            <w:tcW w:w="473" w:type="pct"/>
          </w:tcPr>
          <w:p w14:paraId="697CF4FA" w14:textId="77777777" w:rsidR="004D5060" w:rsidRPr="00366165" w:rsidRDefault="004D5060" w:rsidP="002F1124">
            <w:pPr>
              <w:pStyle w:val="TableText"/>
              <w:jc w:val="center"/>
              <w:rPr>
                <w:b/>
                <w:bCs/>
              </w:rPr>
            </w:pPr>
            <w:r w:rsidRPr="00366165">
              <w:rPr>
                <w:b/>
                <w:bCs/>
              </w:rPr>
              <w:t>0.471</w:t>
            </w:r>
          </w:p>
        </w:tc>
      </w:tr>
      <w:tr w:rsidR="004D5060" w14:paraId="48862309" w14:textId="77777777" w:rsidTr="002F1124">
        <w:trPr>
          <w:trHeight w:val="270"/>
        </w:trPr>
        <w:tc>
          <w:tcPr>
            <w:tcW w:w="1813" w:type="pct"/>
          </w:tcPr>
          <w:p w14:paraId="16FC617F" w14:textId="77777777" w:rsidR="004D5060" w:rsidRDefault="004D5060">
            <w:pPr>
              <w:pStyle w:val="TableText"/>
            </w:pPr>
            <w:r w:rsidRPr="36DB2115">
              <w:rPr>
                <w:lang w:val="en-US"/>
              </w:rPr>
              <w:t>Cardiovascular mortality</w:t>
            </w:r>
          </w:p>
        </w:tc>
        <w:tc>
          <w:tcPr>
            <w:tcW w:w="611" w:type="pct"/>
          </w:tcPr>
          <w:p w14:paraId="6B34FD1B" w14:textId="77777777" w:rsidR="004D5060" w:rsidRDefault="004D5060" w:rsidP="002F1124">
            <w:pPr>
              <w:pStyle w:val="TableText"/>
              <w:jc w:val="center"/>
            </w:pPr>
            <w:r w:rsidRPr="00D30A04">
              <w:t>3 (1.6%)</w:t>
            </w:r>
          </w:p>
        </w:tc>
        <w:tc>
          <w:tcPr>
            <w:tcW w:w="744" w:type="pct"/>
          </w:tcPr>
          <w:p w14:paraId="6ADEE8F2" w14:textId="77777777" w:rsidR="004D5060" w:rsidRDefault="004D5060" w:rsidP="002F1124">
            <w:pPr>
              <w:pStyle w:val="TableText"/>
              <w:jc w:val="center"/>
            </w:pPr>
            <w:r w:rsidRPr="00D30A04">
              <w:t>7 (3.7%)</w:t>
            </w:r>
          </w:p>
        </w:tc>
        <w:tc>
          <w:tcPr>
            <w:tcW w:w="680" w:type="pct"/>
          </w:tcPr>
          <w:p w14:paraId="049B7ABD" w14:textId="77777777" w:rsidR="004D5060" w:rsidRDefault="004D5060" w:rsidP="002F1124">
            <w:pPr>
              <w:pStyle w:val="TableText"/>
              <w:jc w:val="center"/>
            </w:pPr>
            <w:r w:rsidRPr="00D30A04">
              <w:t>5 (5.3%)</w:t>
            </w:r>
          </w:p>
        </w:tc>
        <w:tc>
          <w:tcPr>
            <w:tcW w:w="678" w:type="pct"/>
          </w:tcPr>
          <w:p w14:paraId="5BC04AA6" w14:textId="77777777" w:rsidR="004D5060" w:rsidRDefault="004D5060" w:rsidP="002F1124">
            <w:pPr>
              <w:pStyle w:val="TableText"/>
              <w:jc w:val="center"/>
            </w:pPr>
            <w:r w:rsidRPr="00D30A04">
              <w:t>7 (7.4%)</w:t>
            </w:r>
          </w:p>
        </w:tc>
        <w:tc>
          <w:tcPr>
            <w:tcW w:w="473" w:type="pct"/>
          </w:tcPr>
          <w:p w14:paraId="7AFC9FA9" w14:textId="77777777" w:rsidR="004D5060" w:rsidRPr="36DB2115" w:rsidRDefault="004D5060" w:rsidP="002F1124">
            <w:pPr>
              <w:pStyle w:val="TableText"/>
              <w:jc w:val="center"/>
            </w:pPr>
            <w:r w:rsidRPr="00D30A04">
              <w:t>0.165</w:t>
            </w:r>
          </w:p>
        </w:tc>
      </w:tr>
      <w:tr w:rsidR="004D5060" w14:paraId="22A82059" w14:textId="77777777" w:rsidTr="002F1124">
        <w:trPr>
          <w:trHeight w:val="150"/>
        </w:trPr>
        <w:tc>
          <w:tcPr>
            <w:tcW w:w="1813" w:type="pct"/>
          </w:tcPr>
          <w:p w14:paraId="5CFAE7DC" w14:textId="77777777" w:rsidR="004D5060" w:rsidRDefault="004D5060">
            <w:pPr>
              <w:pStyle w:val="TableText"/>
            </w:pPr>
            <w:r w:rsidRPr="36DB2115">
              <w:rPr>
                <w:lang w:val="en-US"/>
              </w:rPr>
              <w:t>Stroke</w:t>
            </w:r>
          </w:p>
        </w:tc>
        <w:tc>
          <w:tcPr>
            <w:tcW w:w="611" w:type="pct"/>
          </w:tcPr>
          <w:p w14:paraId="209DC9BA" w14:textId="77777777" w:rsidR="004D5060" w:rsidRDefault="004D5060" w:rsidP="002F1124">
            <w:pPr>
              <w:pStyle w:val="TableText"/>
              <w:jc w:val="center"/>
            </w:pPr>
            <w:r w:rsidRPr="00D30A04">
              <w:t>1 (0.5%)</w:t>
            </w:r>
          </w:p>
        </w:tc>
        <w:tc>
          <w:tcPr>
            <w:tcW w:w="744" w:type="pct"/>
          </w:tcPr>
          <w:p w14:paraId="6050A023" w14:textId="77777777" w:rsidR="004D5060" w:rsidRDefault="004D5060" w:rsidP="002F1124">
            <w:pPr>
              <w:pStyle w:val="TableText"/>
              <w:jc w:val="center"/>
            </w:pPr>
            <w:r w:rsidRPr="00D30A04">
              <w:t>4 (2.2%)</w:t>
            </w:r>
          </w:p>
        </w:tc>
        <w:tc>
          <w:tcPr>
            <w:tcW w:w="680" w:type="pct"/>
          </w:tcPr>
          <w:p w14:paraId="101C4811" w14:textId="77777777" w:rsidR="004D5060" w:rsidRDefault="004D5060" w:rsidP="002F1124">
            <w:pPr>
              <w:pStyle w:val="TableText"/>
              <w:jc w:val="center"/>
            </w:pPr>
            <w:r w:rsidRPr="00D30A04">
              <w:t>1 (1.1%)</w:t>
            </w:r>
          </w:p>
        </w:tc>
        <w:tc>
          <w:tcPr>
            <w:tcW w:w="678" w:type="pct"/>
          </w:tcPr>
          <w:p w14:paraId="2805767D" w14:textId="77777777" w:rsidR="004D5060" w:rsidRDefault="004D5060" w:rsidP="002F1124">
            <w:pPr>
              <w:pStyle w:val="TableText"/>
              <w:jc w:val="center"/>
            </w:pPr>
            <w:r w:rsidRPr="00D30A04">
              <w:t>1 (1.1 %)</w:t>
            </w:r>
          </w:p>
        </w:tc>
        <w:tc>
          <w:tcPr>
            <w:tcW w:w="473" w:type="pct"/>
          </w:tcPr>
          <w:p w14:paraId="749F69BB" w14:textId="77777777" w:rsidR="004D5060" w:rsidRPr="36DB2115" w:rsidRDefault="004D5060" w:rsidP="002F1124">
            <w:pPr>
              <w:pStyle w:val="TableText"/>
              <w:jc w:val="center"/>
            </w:pPr>
            <w:r w:rsidRPr="00D30A04">
              <w:t>0.552</w:t>
            </w:r>
          </w:p>
        </w:tc>
      </w:tr>
      <w:tr w:rsidR="004D5060" w14:paraId="05CEFFA9" w14:textId="77777777" w:rsidTr="002F1124">
        <w:trPr>
          <w:trHeight w:val="195"/>
        </w:trPr>
        <w:tc>
          <w:tcPr>
            <w:tcW w:w="1813" w:type="pct"/>
          </w:tcPr>
          <w:p w14:paraId="26EDC216" w14:textId="77777777" w:rsidR="004D5060" w:rsidRDefault="004D5060">
            <w:pPr>
              <w:pStyle w:val="TableText"/>
            </w:pPr>
            <w:r w:rsidRPr="36DB2115">
              <w:rPr>
                <w:lang w:val="en-US"/>
              </w:rPr>
              <w:t>Myocardial infarction</w:t>
            </w:r>
          </w:p>
        </w:tc>
        <w:tc>
          <w:tcPr>
            <w:tcW w:w="611" w:type="pct"/>
          </w:tcPr>
          <w:p w14:paraId="0A3B91F9" w14:textId="77777777" w:rsidR="004D5060" w:rsidRDefault="004D5060" w:rsidP="002F1124">
            <w:pPr>
              <w:pStyle w:val="TableText"/>
              <w:jc w:val="center"/>
            </w:pPr>
            <w:r w:rsidRPr="00D30A04">
              <w:t>0 (0.0%)</w:t>
            </w:r>
          </w:p>
        </w:tc>
        <w:tc>
          <w:tcPr>
            <w:tcW w:w="744" w:type="pct"/>
          </w:tcPr>
          <w:p w14:paraId="2A5BB7FA" w14:textId="77777777" w:rsidR="004D5060" w:rsidRDefault="004D5060" w:rsidP="002F1124">
            <w:pPr>
              <w:pStyle w:val="TableText"/>
              <w:jc w:val="center"/>
            </w:pPr>
            <w:r w:rsidRPr="00D30A04">
              <w:t>0 (0.0%)</w:t>
            </w:r>
          </w:p>
        </w:tc>
        <w:tc>
          <w:tcPr>
            <w:tcW w:w="680" w:type="pct"/>
          </w:tcPr>
          <w:p w14:paraId="1BADC658" w14:textId="77777777" w:rsidR="004D5060" w:rsidRDefault="004D5060" w:rsidP="002F1124">
            <w:pPr>
              <w:pStyle w:val="TableText"/>
              <w:jc w:val="center"/>
            </w:pPr>
            <w:r w:rsidRPr="00D30A04">
              <w:t>1 (1.1 %)</w:t>
            </w:r>
          </w:p>
        </w:tc>
        <w:tc>
          <w:tcPr>
            <w:tcW w:w="678" w:type="pct"/>
          </w:tcPr>
          <w:p w14:paraId="749ECD3F" w14:textId="77777777" w:rsidR="004D5060" w:rsidRDefault="004D5060" w:rsidP="002F1124">
            <w:pPr>
              <w:pStyle w:val="TableText"/>
              <w:jc w:val="center"/>
            </w:pPr>
            <w:r w:rsidRPr="00D30A04">
              <w:t>1 (1.1 %)</w:t>
            </w:r>
          </w:p>
        </w:tc>
        <w:tc>
          <w:tcPr>
            <w:tcW w:w="473" w:type="pct"/>
          </w:tcPr>
          <w:p w14:paraId="0B34DB55" w14:textId="77777777" w:rsidR="004D5060" w:rsidRPr="36DB2115" w:rsidRDefault="004D5060" w:rsidP="002F1124">
            <w:pPr>
              <w:pStyle w:val="TableText"/>
              <w:jc w:val="center"/>
            </w:pPr>
            <w:r w:rsidRPr="00D30A04">
              <w:t>0.143</w:t>
            </w:r>
          </w:p>
        </w:tc>
      </w:tr>
      <w:tr w:rsidR="004D5060" w14:paraId="2817C015" w14:textId="77777777" w:rsidTr="002F1124">
        <w:trPr>
          <w:trHeight w:val="240"/>
        </w:trPr>
        <w:tc>
          <w:tcPr>
            <w:tcW w:w="1813" w:type="pct"/>
          </w:tcPr>
          <w:p w14:paraId="71329736" w14:textId="77777777" w:rsidR="004D5060" w:rsidRDefault="004D5060">
            <w:pPr>
              <w:pStyle w:val="TableText"/>
            </w:pPr>
            <w:r w:rsidRPr="36DB2115">
              <w:rPr>
                <w:lang w:val="en-US"/>
              </w:rPr>
              <w:t>Need for new renal replacement therapy</w:t>
            </w:r>
          </w:p>
        </w:tc>
        <w:tc>
          <w:tcPr>
            <w:tcW w:w="611" w:type="pct"/>
          </w:tcPr>
          <w:p w14:paraId="3CDFE1E3" w14:textId="77777777" w:rsidR="004D5060" w:rsidRDefault="004D5060" w:rsidP="002F1124">
            <w:pPr>
              <w:pStyle w:val="TableText"/>
              <w:jc w:val="center"/>
            </w:pPr>
            <w:r w:rsidRPr="00D30A04">
              <w:t>2 (1.1%)</w:t>
            </w:r>
          </w:p>
        </w:tc>
        <w:tc>
          <w:tcPr>
            <w:tcW w:w="744" w:type="pct"/>
          </w:tcPr>
          <w:p w14:paraId="73E99143" w14:textId="77777777" w:rsidR="004D5060" w:rsidRDefault="004D5060" w:rsidP="002F1124">
            <w:pPr>
              <w:pStyle w:val="TableText"/>
              <w:jc w:val="center"/>
            </w:pPr>
            <w:r w:rsidRPr="00D30A04">
              <w:t>2 (1.1%)</w:t>
            </w:r>
          </w:p>
        </w:tc>
        <w:tc>
          <w:tcPr>
            <w:tcW w:w="680" w:type="pct"/>
          </w:tcPr>
          <w:p w14:paraId="6276A256" w14:textId="77777777" w:rsidR="004D5060" w:rsidRDefault="004D5060" w:rsidP="002F1124">
            <w:pPr>
              <w:pStyle w:val="TableText"/>
              <w:jc w:val="center"/>
            </w:pPr>
            <w:r w:rsidRPr="00D30A04">
              <w:t>0 (0.0%)</w:t>
            </w:r>
          </w:p>
        </w:tc>
        <w:tc>
          <w:tcPr>
            <w:tcW w:w="678" w:type="pct"/>
          </w:tcPr>
          <w:p w14:paraId="7C3EA5C4" w14:textId="77777777" w:rsidR="004D5060" w:rsidRDefault="004D5060" w:rsidP="002F1124">
            <w:pPr>
              <w:pStyle w:val="TableText"/>
              <w:jc w:val="center"/>
            </w:pPr>
            <w:r w:rsidRPr="00D30A04">
              <w:t>1 (1.1 %)</w:t>
            </w:r>
          </w:p>
        </w:tc>
        <w:tc>
          <w:tcPr>
            <w:tcW w:w="473" w:type="pct"/>
          </w:tcPr>
          <w:p w14:paraId="0A6A38F5" w14:textId="77777777" w:rsidR="004D5060" w:rsidRPr="36DB2115" w:rsidRDefault="004D5060" w:rsidP="002F1124">
            <w:pPr>
              <w:pStyle w:val="TableText"/>
              <w:jc w:val="center"/>
            </w:pPr>
            <w:r w:rsidRPr="00D30A04">
              <w:t>0.975</w:t>
            </w:r>
          </w:p>
        </w:tc>
      </w:tr>
      <w:tr w:rsidR="004D5060" w14:paraId="077178F6" w14:textId="77777777" w:rsidTr="002F1124">
        <w:trPr>
          <w:trHeight w:val="135"/>
        </w:trPr>
        <w:tc>
          <w:tcPr>
            <w:tcW w:w="1813" w:type="pct"/>
          </w:tcPr>
          <w:p w14:paraId="3230BE7F" w14:textId="77777777" w:rsidR="004D5060" w:rsidRDefault="004D5060">
            <w:pPr>
              <w:pStyle w:val="TableText"/>
            </w:pPr>
            <w:r w:rsidRPr="36DB2115">
              <w:rPr>
                <w:lang w:val="en-US"/>
              </w:rPr>
              <w:t xml:space="preserve">Severe bleeding </w:t>
            </w:r>
            <w:r>
              <w:rPr>
                <w:vertAlign w:val="superscript"/>
                <w:lang w:val="en-US"/>
              </w:rPr>
              <w:t>b</w:t>
            </w:r>
            <w:r w:rsidRPr="36DB2115">
              <w:rPr>
                <w:lang w:val="en-US"/>
              </w:rPr>
              <w:t xml:space="preserve"> </w:t>
            </w:r>
          </w:p>
        </w:tc>
        <w:tc>
          <w:tcPr>
            <w:tcW w:w="611" w:type="pct"/>
          </w:tcPr>
          <w:p w14:paraId="1308D1F3" w14:textId="77777777" w:rsidR="004D5060" w:rsidRDefault="004D5060" w:rsidP="002F1124">
            <w:pPr>
              <w:pStyle w:val="TableText"/>
              <w:jc w:val="center"/>
            </w:pPr>
            <w:r w:rsidRPr="00D30A04">
              <w:t>10 (5.1%)</w:t>
            </w:r>
          </w:p>
        </w:tc>
        <w:tc>
          <w:tcPr>
            <w:tcW w:w="744" w:type="pct"/>
          </w:tcPr>
          <w:p w14:paraId="546B1983" w14:textId="77777777" w:rsidR="004D5060" w:rsidRDefault="004D5060" w:rsidP="002F1124">
            <w:pPr>
              <w:pStyle w:val="TableText"/>
              <w:jc w:val="center"/>
            </w:pPr>
            <w:r w:rsidRPr="00D30A04">
              <w:t>19 (10.2%)</w:t>
            </w:r>
          </w:p>
        </w:tc>
        <w:tc>
          <w:tcPr>
            <w:tcW w:w="680" w:type="pct"/>
          </w:tcPr>
          <w:p w14:paraId="2BBEA64F" w14:textId="77777777" w:rsidR="004D5060" w:rsidRDefault="004D5060" w:rsidP="002F1124">
            <w:pPr>
              <w:pStyle w:val="TableText"/>
              <w:jc w:val="center"/>
            </w:pPr>
            <w:r w:rsidRPr="00D30A04">
              <w:t>4 (4.4%)</w:t>
            </w:r>
          </w:p>
        </w:tc>
        <w:tc>
          <w:tcPr>
            <w:tcW w:w="678" w:type="pct"/>
          </w:tcPr>
          <w:p w14:paraId="4BFEF7DF" w14:textId="77777777" w:rsidR="004D5060" w:rsidRDefault="004D5060" w:rsidP="002F1124">
            <w:pPr>
              <w:pStyle w:val="TableText"/>
              <w:jc w:val="center"/>
            </w:pPr>
            <w:r w:rsidRPr="00D30A04">
              <w:t>5 (5.5%)</w:t>
            </w:r>
          </w:p>
        </w:tc>
        <w:tc>
          <w:tcPr>
            <w:tcW w:w="473" w:type="pct"/>
          </w:tcPr>
          <w:p w14:paraId="0F77F151" w14:textId="77777777" w:rsidR="004D5060" w:rsidRPr="36DB2115" w:rsidRDefault="004D5060" w:rsidP="002F1124">
            <w:pPr>
              <w:pStyle w:val="TableText"/>
              <w:jc w:val="center"/>
            </w:pPr>
            <w:r w:rsidRPr="00D30A04">
              <w:t>0.209</w:t>
            </w:r>
          </w:p>
        </w:tc>
      </w:tr>
      <w:tr w:rsidR="004D5060" w14:paraId="4E12C7F3" w14:textId="77777777" w:rsidTr="002F1124">
        <w:trPr>
          <w:trHeight w:val="480"/>
        </w:trPr>
        <w:tc>
          <w:tcPr>
            <w:tcW w:w="1813" w:type="pct"/>
          </w:tcPr>
          <w:p w14:paraId="273A2240" w14:textId="77777777" w:rsidR="004D5060" w:rsidRDefault="004D5060">
            <w:pPr>
              <w:pStyle w:val="TableText"/>
            </w:pPr>
            <w:r w:rsidRPr="36DB2115">
              <w:rPr>
                <w:lang w:val="en-US"/>
              </w:rPr>
              <w:t>Nonelective mitral valve reintervention (percutaneous or surgical)</w:t>
            </w:r>
          </w:p>
        </w:tc>
        <w:tc>
          <w:tcPr>
            <w:tcW w:w="611" w:type="pct"/>
          </w:tcPr>
          <w:p w14:paraId="7C40C385" w14:textId="77777777" w:rsidR="004D5060" w:rsidRDefault="004D5060" w:rsidP="002F1124">
            <w:pPr>
              <w:pStyle w:val="TableText"/>
              <w:jc w:val="center"/>
            </w:pPr>
            <w:r w:rsidRPr="00D30A04">
              <w:t>4 (2.1 %)</w:t>
            </w:r>
          </w:p>
        </w:tc>
        <w:tc>
          <w:tcPr>
            <w:tcW w:w="744" w:type="pct"/>
          </w:tcPr>
          <w:p w14:paraId="5B99B016" w14:textId="77777777" w:rsidR="004D5060" w:rsidRDefault="004D5060" w:rsidP="002F1124">
            <w:pPr>
              <w:pStyle w:val="TableText"/>
              <w:jc w:val="center"/>
            </w:pPr>
            <w:r w:rsidRPr="00D30A04">
              <w:t>4 (2.1 %)</w:t>
            </w:r>
          </w:p>
        </w:tc>
        <w:tc>
          <w:tcPr>
            <w:tcW w:w="680" w:type="pct"/>
          </w:tcPr>
          <w:p w14:paraId="3205360D" w14:textId="77777777" w:rsidR="004D5060" w:rsidRDefault="004D5060" w:rsidP="002F1124">
            <w:pPr>
              <w:pStyle w:val="TableText"/>
              <w:jc w:val="center"/>
            </w:pPr>
            <w:r w:rsidRPr="00D30A04">
              <w:t>2 (2.1%)</w:t>
            </w:r>
          </w:p>
        </w:tc>
        <w:tc>
          <w:tcPr>
            <w:tcW w:w="678" w:type="pct"/>
          </w:tcPr>
          <w:p w14:paraId="0CF76672" w14:textId="77777777" w:rsidR="004D5060" w:rsidRDefault="004D5060" w:rsidP="002F1124">
            <w:pPr>
              <w:pStyle w:val="TableText"/>
              <w:jc w:val="center"/>
            </w:pPr>
            <w:r w:rsidRPr="00D30A04">
              <w:t>2 (2.1%)</w:t>
            </w:r>
          </w:p>
        </w:tc>
        <w:tc>
          <w:tcPr>
            <w:tcW w:w="473" w:type="pct"/>
          </w:tcPr>
          <w:p w14:paraId="0A21CF1A" w14:textId="77777777" w:rsidR="004D5060" w:rsidRPr="36DB2115" w:rsidRDefault="004D5060" w:rsidP="002F1124">
            <w:pPr>
              <w:pStyle w:val="TableText"/>
              <w:jc w:val="center"/>
            </w:pPr>
            <w:r w:rsidRPr="00D30A04">
              <w:t>0.962</w:t>
            </w:r>
          </w:p>
        </w:tc>
      </w:tr>
      <w:tr w:rsidR="004D5060" w14:paraId="4B2F7B4E" w14:textId="77777777" w:rsidTr="002F1124">
        <w:trPr>
          <w:trHeight w:val="150"/>
        </w:trPr>
        <w:tc>
          <w:tcPr>
            <w:tcW w:w="1813" w:type="pct"/>
          </w:tcPr>
          <w:p w14:paraId="418D9543" w14:textId="77777777" w:rsidR="004D5060" w:rsidRPr="003F0493" w:rsidRDefault="004D5060">
            <w:pPr>
              <w:pStyle w:val="TableText"/>
              <w:rPr>
                <w:b/>
                <w:bCs/>
              </w:rPr>
            </w:pPr>
            <w:r w:rsidRPr="003F0493">
              <w:rPr>
                <w:b/>
                <w:bCs/>
              </w:rPr>
              <w:t>Other events</w:t>
            </w:r>
          </w:p>
        </w:tc>
        <w:tc>
          <w:tcPr>
            <w:tcW w:w="611" w:type="pct"/>
          </w:tcPr>
          <w:p w14:paraId="6FA3F8F7" w14:textId="77777777" w:rsidR="004D5060" w:rsidRDefault="004D5060" w:rsidP="002F1124">
            <w:pPr>
              <w:pStyle w:val="TableText"/>
              <w:jc w:val="center"/>
            </w:pPr>
          </w:p>
        </w:tc>
        <w:tc>
          <w:tcPr>
            <w:tcW w:w="744" w:type="pct"/>
          </w:tcPr>
          <w:p w14:paraId="0092FC78" w14:textId="77777777" w:rsidR="004D5060" w:rsidRDefault="004D5060" w:rsidP="002F1124">
            <w:pPr>
              <w:pStyle w:val="TableText"/>
              <w:jc w:val="center"/>
            </w:pPr>
          </w:p>
        </w:tc>
        <w:tc>
          <w:tcPr>
            <w:tcW w:w="680" w:type="pct"/>
          </w:tcPr>
          <w:p w14:paraId="21EC27E4" w14:textId="77777777" w:rsidR="004D5060" w:rsidRDefault="004D5060" w:rsidP="002F1124">
            <w:pPr>
              <w:pStyle w:val="TableText"/>
              <w:jc w:val="center"/>
            </w:pPr>
          </w:p>
        </w:tc>
        <w:tc>
          <w:tcPr>
            <w:tcW w:w="678" w:type="pct"/>
          </w:tcPr>
          <w:p w14:paraId="7BC31451" w14:textId="77777777" w:rsidR="004D5060" w:rsidRDefault="004D5060" w:rsidP="002F1124">
            <w:pPr>
              <w:pStyle w:val="TableText"/>
              <w:jc w:val="center"/>
              <w:rPr>
                <w:b/>
                <w:bCs/>
              </w:rPr>
            </w:pPr>
          </w:p>
        </w:tc>
        <w:tc>
          <w:tcPr>
            <w:tcW w:w="473" w:type="pct"/>
          </w:tcPr>
          <w:p w14:paraId="05EF5F81" w14:textId="77777777" w:rsidR="004D5060" w:rsidRPr="36DB2115" w:rsidRDefault="004D5060" w:rsidP="002F1124">
            <w:pPr>
              <w:pStyle w:val="TableText"/>
              <w:jc w:val="center"/>
              <w:rPr>
                <w:b/>
                <w:bCs/>
              </w:rPr>
            </w:pPr>
          </w:p>
        </w:tc>
      </w:tr>
      <w:tr w:rsidR="004D5060" w14:paraId="16290E93" w14:textId="77777777" w:rsidTr="002F1124">
        <w:trPr>
          <w:trHeight w:val="150"/>
        </w:trPr>
        <w:tc>
          <w:tcPr>
            <w:tcW w:w="1813" w:type="pct"/>
          </w:tcPr>
          <w:p w14:paraId="779A35F3" w14:textId="77777777" w:rsidR="004D5060" w:rsidRDefault="004D5060">
            <w:pPr>
              <w:pStyle w:val="TableText"/>
            </w:pPr>
            <w:r>
              <w:t>All-cause death</w:t>
            </w:r>
          </w:p>
        </w:tc>
        <w:tc>
          <w:tcPr>
            <w:tcW w:w="611" w:type="pct"/>
          </w:tcPr>
          <w:p w14:paraId="7214AA94" w14:textId="77777777" w:rsidR="004D5060" w:rsidRDefault="004D5060" w:rsidP="002F1124">
            <w:pPr>
              <w:pStyle w:val="TableText"/>
              <w:jc w:val="center"/>
            </w:pPr>
            <w:r w:rsidRPr="00B56413">
              <w:t>9 (4.6%)</w:t>
            </w:r>
          </w:p>
        </w:tc>
        <w:tc>
          <w:tcPr>
            <w:tcW w:w="744" w:type="pct"/>
          </w:tcPr>
          <w:p w14:paraId="1DE0E0FC" w14:textId="77777777" w:rsidR="004D5060" w:rsidRDefault="004D5060" w:rsidP="002F1124">
            <w:pPr>
              <w:pStyle w:val="TableText"/>
              <w:jc w:val="center"/>
            </w:pPr>
            <w:r w:rsidRPr="00B56413">
              <w:t>17 (8.8%)</w:t>
            </w:r>
          </w:p>
        </w:tc>
        <w:tc>
          <w:tcPr>
            <w:tcW w:w="680" w:type="pct"/>
          </w:tcPr>
          <w:p w14:paraId="5723E8B4" w14:textId="77777777" w:rsidR="004D5060" w:rsidRDefault="004D5060" w:rsidP="002F1124">
            <w:pPr>
              <w:pStyle w:val="TableText"/>
              <w:jc w:val="center"/>
            </w:pPr>
            <w:r w:rsidRPr="00B56413">
              <w:t>6 (6.3%)</w:t>
            </w:r>
          </w:p>
        </w:tc>
        <w:tc>
          <w:tcPr>
            <w:tcW w:w="678" w:type="pct"/>
          </w:tcPr>
          <w:p w14:paraId="17A33455" w14:textId="77777777" w:rsidR="004D5060" w:rsidRDefault="004D5060" w:rsidP="002F1124">
            <w:pPr>
              <w:pStyle w:val="TableText"/>
              <w:jc w:val="center"/>
              <w:rPr>
                <w:b/>
                <w:bCs/>
              </w:rPr>
            </w:pPr>
            <w:r w:rsidRPr="00B56413">
              <w:t>8 (8.4%)</w:t>
            </w:r>
          </w:p>
        </w:tc>
        <w:tc>
          <w:tcPr>
            <w:tcW w:w="473" w:type="pct"/>
          </w:tcPr>
          <w:p w14:paraId="6B1B6CC7" w14:textId="77777777" w:rsidR="004D5060" w:rsidRPr="36DB2115" w:rsidRDefault="004D5060" w:rsidP="002F1124">
            <w:pPr>
              <w:pStyle w:val="TableText"/>
              <w:jc w:val="center"/>
              <w:rPr>
                <w:b/>
                <w:bCs/>
              </w:rPr>
            </w:pPr>
            <w:r w:rsidRPr="00B56413">
              <w:t>0.953</w:t>
            </w:r>
          </w:p>
        </w:tc>
      </w:tr>
      <w:tr w:rsidR="004D5060" w14:paraId="38573BBF" w14:textId="77777777" w:rsidTr="002F1124">
        <w:trPr>
          <w:trHeight w:val="150"/>
        </w:trPr>
        <w:tc>
          <w:tcPr>
            <w:tcW w:w="1813" w:type="pct"/>
          </w:tcPr>
          <w:p w14:paraId="4020CFAE" w14:textId="77777777" w:rsidR="004D5060" w:rsidRDefault="004D5060">
            <w:pPr>
              <w:pStyle w:val="TableText"/>
            </w:pPr>
            <w:r>
              <w:t xml:space="preserve">Heart failure hospitalisation </w:t>
            </w:r>
          </w:p>
        </w:tc>
        <w:tc>
          <w:tcPr>
            <w:tcW w:w="611" w:type="pct"/>
          </w:tcPr>
          <w:p w14:paraId="45CC1B7B" w14:textId="77777777" w:rsidR="004D5060" w:rsidRDefault="004D5060" w:rsidP="002F1124">
            <w:pPr>
              <w:pStyle w:val="TableText"/>
              <w:jc w:val="center"/>
            </w:pPr>
            <w:r w:rsidRPr="00B56413">
              <w:t>7 (3.7%)</w:t>
            </w:r>
          </w:p>
        </w:tc>
        <w:tc>
          <w:tcPr>
            <w:tcW w:w="744" w:type="pct"/>
          </w:tcPr>
          <w:p w14:paraId="42470C49" w14:textId="77777777" w:rsidR="004D5060" w:rsidRDefault="004D5060" w:rsidP="002F1124">
            <w:pPr>
              <w:pStyle w:val="TableText"/>
              <w:jc w:val="center"/>
            </w:pPr>
            <w:r w:rsidRPr="00B56413">
              <w:t>15 (8.1%)</w:t>
            </w:r>
          </w:p>
        </w:tc>
        <w:tc>
          <w:tcPr>
            <w:tcW w:w="680" w:type="pct"/>
          </w:tcPr>
          <w:p w14:paraId="3AAF14C0" w14:textId="77777777" w:rsidR="004D5060" w:rsidRDefault="004D5060" w:rsidP="002F1124">
            <w:pPr>
              <w:pStyle w:val="TableText"/>
              <w:jc w:val="center"/>
            </w:pPr>
            <w:r w:rsidRPr="00B56413">
              <w:t>3 (3.3%)</w:t>
            </w:r>
          </w:p>
        </w:tc>
        <w:tc>
          <w:tcPr>
            <w:tcW w:w="678" w:type="pct"/>
          </w:tcPr>
          <w:p w14:paraId="69BBE77C" w14:textId="77777777" w:rsidR="004D5060" w:rsidRDefault="004D5060" w:rsidP="002F1124">
            <w:pPr>
              <w:pStyle w:val="TableText"/>
              <w:jc w:val="center"/>
              <w:rPr>
                <w:b/>
                <w:bCs/>
              </w:rPr>
            </w:pPr>
            <w:r w:rsidRPr="00B56413">
              <w:t>3 (3.3%)</w:t>
            </w:r>
          </w:p>
        </w:tc>
        <w:tc>
          <w:tcPr>
            <w:tcW w:w="473" w:type="pct"/>
          </w:tcPr>
          <w:p w14:paraId="68AC62CD" w14:textId="77777777" w:rsidR="004D5060" w:rsidRPr="36DB2115" w:rsidRDefault="004D5060" w:rsidP="002F1124">
            <w:pPr>
              <w:pStyle w:val="TableText"/>
              <w:jc w:val="center"/>
              <w:rPr>
                <w:b/>
                <w:bCs/>
              </w:rPr>
            </w:pPr>
            <w:r w:rsidRPr="00B56413">
              <w:t>0.146</w:t>
            </w:r>
          </w:p>
        </w:tc>
      </w:tr>
      <w:tr w:rsidR="004D5060" w14:paraId="2CA71005" w14:textId="77777777" w:rsidTr="002F1124">
        <w:trPr>
          <w:trHeight w:val="150"/>
        </w:trPr>
        <w:tc>
          <w:tcPr>
            <w:tcW w:w="1813" w:type="pct"/>
          </w:tcPr>
          <w:p w14:paraId="059BF019" w14:textId="77777777" w:rsidR="004D5060" w:rsidRDefault="004D5060">
            <w:pPr>
              <w:pStyle w:val="TableText"/>
            </w:pPr>
            <w:r>
              <w:t>Transient ischemic attack</w:t>
            </w:r>
          </w:p>
        </w:tc>
        <w:tc>
          <w:tcPr>
            <w:tcW w:w="611" w:type="pct"/>
          </w:tcPr>
          <w:p w14:paraId="4A569D2A" w14:textId="77777777" w:rsidR="004D5060" w:rsidRDefault="004D5060" w:rsidP="002F1124">
            <w:pPr>
              <w:pStyle w:val="TableText"/>
              <w:jc w:val="center"/>
            </w:pPr>
            <w:r w:rsidRPr="00B56413">
              <w:t>-</w:t>
            </w:r>
          </w:p>
        </w:tc>
        <w:tc>
          <w:tcPr>
            <w:tcW w:w="744" w:type="pct"/>
          </w:tcPr>
          <w:p w14:paraId="77D822EE" w14:textId="77777777" w:rsidR="004D5060" w:rsidRDefault="004D5060" w:rsidP="002F1124">
            <w:pPr>
              <w:pStyle w:val="TableText"/>
              <w:jc w:val="center"/>
            </w:pPr>
            <w:r w:rsidRPr="00B56413">
              <w:t>1 (0.5%)</w:t>
            </w:r>
          </w:p>
        </w:tc>
        <w:tc>
          <w:tcPr>
            <w:tcW w:w="680" w:type="pct"/>
          </w:tcPr>
          <w:p w14:paraId="39C0FA06" w14:textId="77777777" w:rsidR="004D5060" w:rsidRDefault="004D5060" w:rsidP="002F1124">
            <w:pPr>
              <w:pStyle w:val="TableText"/>
              <w:jc w:val="center"/>
            </w:pPr>
            <w:r w:rsidRPr="00B56413">
              <w:t>-</w:t>
            </w:r>
          </w:p>
        </w:tc>
        <w:tc>
          <w:tcPr>
            <w:tcW w:w="678" w:type="pct"/>
          </w:tcPr>
          <w:p w14:paraId="3B4491DF" w14:textId="77777777" w:rsidR="004D5060" w:rsidRDefault="004D5060" w:rsidP="002F1124">
            <w:pPr>
              <w:pStyle w:val="TableText"/>
              <w:jc w:val="center"/>
              <w:rPr>
                <w:b/>
                <w:bCs/>
              </w:rPr>
            </w:pPr>
            <w:r w:rsidRPr="00B56413">
              <w:t>1 (1.1%)</w:t>
            </w:r>
          </w:p>
        </w:tc>
        <w:tc>
          <w:tcPr>
            <w:tcW w:w="473" w:type="pct"/>
          </w:tcPr>
          <w:p w14:paraId="509CDBBF" w14:textId="77777777" w:rsidR="004D5060" w:rsidRPr="36DB2115" w:rsidRDefault="004D5060" w:rsidP="002F1124">
            <w:pPr>
              <w:pStyle w:val="TableText"/>
              <w:jc w:val="center"/>
              <w:rPr>
                <w:b/>
                <w:bCs/>
              </w:rPr>
            </w:pPr>
            <w:r w:rsidRPr="00B56413">
              <w:t>0.595</w:t>
            </w:r>
          </w:p>
        </w:tc>
      </w:tr>
      <w:tr w:rsidR="004D5060" w14:paraId="748C002A" w14:textId="77777777" w:rsidTr="002F1124">
        <w:trPr>
          <w:trHeight w:val="150"/>
        </w:trPr>
        <w:tc>
          <w:tcPr>
            <w:tcW w:w="1813" w:type="pct"/>
          </w:tcPr>
          <w:p w14:paraId="201E5D4B" w14:textId="77777777" w:rsidR="004D5060" w:rsidRDefault="004D5060">
            <w:pPr>
              <w:pStyle w:val="TableText"/>
            </w:pPr>
            <w:r>
              <w:t>Major vascular events</w:t>
            </w:r>
          </w:p>
        </w:tc>
        <w:tc>
          <w:tcPr>
            <w:tcW w:w="611" w:type="pct"/>
          </w:tcPr>
          <w:p w14:paraId="47EDD90B" w14:textId="77777777" w:rsidR="004D5060" w:rsidRDefault="004D5060" w:rsidP="002F1124">
            <w:pPr>
              <w:pStyle w:val="TableText"/>
              <w:jc w:val="center"/>
            </w:pPr>
            <w:r w:rsidRPr="00B56413">
              <w:t>-</w:t>
            </w:r>
          </w:p>
        </w:tc>
        <w:tc>
          <w:tcPr>
            <w:tcW w:w="744" w:type="pct"/>
          </w:tcPr>
          <w:p w14:paraId="0AAC49D3" w14:textId="77777777" w:rsidR="004D5060" w:rsidRDefault="004D5060" w:rsidP="002F1124">
            <w:pPr>
              <w:pStyle w:val="TableText"/>
              <w:jc w:val="center"/>
            </w:pPr>
            <w:r w:rsidRPr="00B56413">
              <w:t>0 (0.0%)</w:t>
            </w:r>
          </w:p>
        </w:tc>
        <w:tc>
          <w:tcPr>
            <w:tcW w:w="680" w:type="pct"/>
          </w:tcPr>
          <w:p w14:paraId="0E98DA6E" w14:textId="77777777" w:rsidR="004D5060" w:rsidRDefault="004D5060" w:rsidP="002F1124">
            <w:pPr>
              <w:pStyle w:val="TableText"/>
              <w:jc w:val="center"/>
            </w:pPr>
            <w:r w:rsidRPr="00B56413">
              <w:t>-</w:t>
            </w:r>
          </w:p>
        </w:tc>
        <w:tc>
          <w:tcPr>
            <w:tcW w:w="678" w:type="pct"/>
          </w:tcPr>
          <w:p w14:paraId="190058F9" w14:textId="77777777" w:rsidR="004D5060" w:rsidRDefault="004D5060" w:rsidP="002F1124">
            <w:pPr>
              <w:pStyle w:val="TableText"/>
              <w:jc w:val="center"/>
              <w:rPr>
                <w:b/>
                <w:bCs/>
              </w:rPr>
            </w:pPr>
            <w:r w:rsidRPr="00B56413">
              <w:t>0 (0.0%)</w:t>
            </w:r>
          </w:p>
        </w:tc>
        <w:tc>
          <w:tcPr>
            <w:tcW w:w="473" w:type="pct"/>
          </w:tcPr>
          <w:p w14:paraId="3D6205F9" w14:textId="77777777" w:rsidR="004D5060" w:rsidRPr="36DB2115" w:rsidRDefault="004D5060" w:rsidP="002F1124">
            <w:pPr>
              <w:pStyle w:val="TableText"/>
              <w:jc w:val="center"/>
              <w:rPr>
                <w:b/>
                <w:bCs/>
              </w:rPr>
            </w:pPr>
            <w:r w:rsidRPr="00B56413">
              <w:t>-</w:t>
            </w:r>
          </w:p>
        </w:tc>
      </w:tr>
    </w:tbl>
    <w:p w14:paraId="39EF3BE0" w14:textId="060FC954" w:rsidR="004D5060" w:rsidRPr="002F1124" w:rsidRDefault="004D5060" w:rsidP="004D5060">
      <w:pPr>
        <w:pStyle w:val="TableFooter"/>
      </w:pPr>
      <w:r w:rsidRPr="002F1124">
        <w:t xml:space="preserve">Source: Table 16, p54 of </w:t>
      </w:r>
      <w:r w:rsidR="00601485">
        <w:t>MSAC</w:t>
      </w:r>
      <w:r w:rsidRPr="002F1124">
        <w:t xml:space="preserve"> 1662.2</w:t>
      </w:r>
      <w:r w:rsidR="00601485">
        <w:t xml:space="preserve"> ADAR.</w:t>
      </w:r>
    </w:p>
    <w:p w14:paraId="29D8DA84" w14:textId="77777777" w:rsidR="004D5060" w:rsidRPr="002F1124" w:rsidRDefault="004D5060" w:rsidP="004D5060">
      <w:pPr>
        <w:pStyle w:val="TableFooter"/>
      </w:pPr>
      <w:r w:rsidRPr="002F1124">
        <w:t>Abbreviations: CEC, clinical events committee; MAE, major adverse event.</w:t>
      </w:r>
    </w:p>
    <w:p w14:paraId="7F43C122" w14:textId="77777777" w:rsidR="004D5060" w:rsidRPr="002F1124" w:rsidRDefault="004D5060" w:rsidP="004D5060">
      <w:pPr>
        <w:pStyle w:val="TableFooter"/>
      </w:pPr>
      <w:r w:rsidRPr="002F1124">
        <w:t xml:space="preserve">Notes: Categorical variables: Patients n (%). Denominator includes patients who had an MAE or did not have an MAE but were followed for at least 30 days. 6 patient(s) did not have an MAE and were not followed for at least 30 days. </w:t>
      </w:r>
    </w:p>
    <w:p w14:paraId="6555249E" w14:textId="77777777" w:rsidR="004D5060" w:rsidRPr="002F1124" w:rsidRDefault="004D5060" w:rsidP="004D5060">
      <w:pPr>
        <w:pStyle w:val="TableFooter"/>
      </w:pPr>
      <w:r w:rsidRPr="002F1124">
        <w:rPr>
          <w:vertAlign w:val="superscript"/>
        </w:rPr>
        <w:t>a</w:t>
      </w:r>
      <w:r w:rsidRPr="002F1124">
        <w:t xml:space="preserve"> patients may experience more than one event.</w:t>
      </w:r>
    </w:p>
    <w:p w14:paraId="0E6AB790" w14:textId="77777777" w:rsidR="004D5060" w:rsidRPr="002F1124" w:rsidRDefault="004D5060" w:rsidP="004D5060">
      <w:pPr>
        <w:pStyle w:val="TableFooter"/>
      </w:pPr>
      <w:r w:rsidRPr="002F1124">
        <w:rPr>
          <w:vertAlign w:val="superscript"/>
        </w:rPr>
        <w:t xml:space="preserve">b </w:t>
      </w:r>
      <w:r w:rsidRPr="002F1124">
        <w:t xml:space="preserve">major, extensive, life-threatening, or fatal bleeding defined by the Mitral Valve Academic Research Consortium criteria. </w:t>
      </w:r>
    </w:p>
    <w:p w14:paraId="3164D9D2" w14:textId="681A5464" w:rsidR="00AC66B3" w:rsidRPr="001D6326" w:rsidRDefault="00704392" w:rsidP="00AC66B3">
      <w:r>
        <w:t xml:space="preserve">The commentary considered </w:t>
      </w:r>
      <w:r w:rsidR="001F4E63">
        <w:t>that</w:t>
      </w:r>
      <w:r>
        <w:t xml:space="preserve"> the CLASP IID RCT evidence supported the applicant’s claim of non-inferiority in terms of safety, as measured by MAEs at 30 days and 1 year. The remaining considerations are the wide window of measurement, where ’30 day’ results were measured between 23 and 270 days, and ‘1 year’ results were measured between 223 and 579 days. The RCT results could be biased if one arm of the </w:t>
      </w:r>
      <w:r w:rsidR="00724841">
        <w:t xml:space="preserve">trial </w:t>
      </w:r>
      <w:r>
        <w:t xml:space="preserve">systematically measured earlier or later than the other. </w:t>
      </w:r>
      <w:r w:rsidR="007A6995">
        <w:t>However, t</w:t>
      </w:r>
      <w:r w:rsidR="00ED698B">
        <w:t xml:space="preserve">he </w:t>
      </w:r>
      <w:r w:rsidR="002F2CDC">
        <w:t xml:space="preserve">CLASP IID </w:t>
      </w:r>
      <w:r w:rsidR="00ED698B">
        <w:t>Post Approval Study Report (PASR)</w:t>
      </w:r>
      <w:r w:rsidR="002F2CDC">
        <w:t xml:space="preserve"> </w:t>
      </w:r>
      <w:r w:rsidR="004D059A">
        <w:t xml:space="preserve">shows that 81.9% </w:t>
      </w:r>
      <w:r w:rsidR="0018364A">
        <w:t xml:space="preserve">of PASCAL and 81.1% of </w:t>
      </w:r>
      <w:proofErr w:type="spellStart"/>
      <w:r w:rsidR="0018364A">
        <w:t>MitraClip</w:t>
      </w:r>
      <w:proofErr w:type="spellEnd"/>
      <w:r w:rsidR="0018364A">
        <w:t xml:space="preserve"> patients were visited within a</w:t>
      </w:r>
      <w:r w:rsidR="00BD6BB1">
        <w:t xml:space="preserve"> tighter window</w:t>
      </w:r>
      <w:r w:rsidR="003B3375">
        <w:t xml:space="preserve"> of </w:t>
      </w:r>
      <w:r w:rsidR="00E535B2">
        <w:t>23</w:t>
      </w:r>
      <w:r w:rsidR="00E93512">
        <w:t xml:space="preserve"> to </w:t>
      </w:r>
      <w:r w:rsidR="00E535B2">
        <w:t xml:space="preserve">37 days for the </w:t>
      </w:r>
      <w:proofErr w:type="gramStart"/>
      <w:r w:rsidR="00E93512">
        <w:t>30 day</w:t>
      </w:r>
      <w:proofErr w:type="gramEnd"/>
      <w:r w:rsidR="00E93512">
        <w:t xml:space="preserve"> results</w:t>
      </w:r>
      <w:r w:rsidR="003B3375">
        <w:t xml:space="preserve">. Similarly, the PASR </w:t>
      </w:r>
      <w:r w:rsidR="00904DCB">
        <w:t>reports</w:t>
      </w:r>
      <w:r w:rsidR="003B3375">
        <w:t xml:space="preserve"> that 72.9</w:t>
      </w:r>
      <w:r w:rsidR="00904DCB">
        <w:t>%</w:t>
      </w:r>
      <w:r w:rsidR="003B3375">
        <w:t xml:space="preserve"> </w:t>
      </w:r>
      <w:r w:rsidR="00904DCB">
        <w:t xml:space="preserve">of PASCAL patients </w:t>
      </w:r>
      <w:r w:rsidR="003B3375">
        <w:t xml:space="preserve">and 76.8% of </w:t>
      </w:r>
      <w:proofErr w:type="spellStart"/>
      <w:r w:rsidR="003B3375">
        <w:t>MitraClip</w:t>
      </w:r>
      <w:proofErr w:type="spellEnd"/>
      <w:r w:rsidR="003B3375">
        <w:t xml:space="preserve"> </w:t>
      </w:r>
      <w:r w:rsidR="00904DCB">
        <w:t xml:space="preserve">patients were visited within a tighter window of </w:t>
      </w:r>
      <w:r w:rsidR="00E93512">
        <w:t>320 to 410 days for the 1-year results</w:t>
      </w:r>
      <w:r w:rsidR="000452AF">
        <w:t>, suggesting the risk of bias from this issue is low</w:t>
      </w:r>
      <w:r w:rsidR="00196CCE">
        <w:t>.</w:t>
      </w:r>
      <w:r w:rsidR="00700A97">
        <w:t xml:space="preserve"> </w:t>
      </w:r>
      <w:r w:rsidR="00ED698B">
        <w:t xml:space="preserve"> </w:t>
      </w:r>
      <w:r w:rsidR="00AC66B3" w:rsidRPr="00EB35D2">
        <w:t xml:space="preserve">The Kaplan-Meier (KM) estimate for freedom from MAE at 1 year was 84.7% for </w:t>
      </w:r>
      <w:r w:rsidR="00FD7D4A">
        <w:t xml:space="preserve">patients in </w:t>
      </w:r>
      <w:r w:rsidR="00AC66B3" w:rsidRPr="00EB35D2">
        <w:t xml:space="preserve">the PASCAL group and 88.3% for the </w:t>
      </w:r>
      <w:proofErr w:type="spellStart"/>
      <w:r w:rsidR="00AC66B3" w:rsidRPr="00EB35D2">
        <w:t>MitraClip</w:t>
      </w:r>
      <w:proofErr w:type="spellEnd"/>
      <w:r w:rsidR="00AC66B3" w:rsidRPr="00EB35D2">
        <w:t xml:space="preserve"> group </w:t>
      </w:r>
      <w:r w:rsidRPr="00EB35D2">
        <w:t>(p=0.471)</w:t>
      </w:r>
      <w:r>
        <w:t xml:space="preserve"> </w:t>
      </w:r>
      <w:r w:rsidRPr="006A1574">
        <w:t>(</w:t>
      </w:r>
      <w:r w:rsidR="00D17A61">
        <w:fldChar w:fldCharType="begin"/>
      </w:r>
      <w:r w:rsidR="00D17A61">
        <w:instrText xml:space="preserve"> REF _Ref155616804 \h </w:instrText>
      </w:r>
      <w:r w:rsidR="00D17A61">
        <w:fldChar w:fldCharType="separate"/>
      </w:r>
      <w:r w:rsidR="00D17A61">
        <w:t xml:space="preserve">Figure </w:t>
      </w:r>
      <w:r w:rsidR="00D17A61">
        <w:rPr>
          <w:noProof/>
        </w:rPr>
        <w:t>3</w:t>
      </w:r>
      <w:r w:rsidR="00D17A61">
        <w:fldChar w:fldCharType="end"/>
      </w:r>
      <w:r w:rsidRPr="006A1574">
        <w:t>).</w:t>
      </w:r>
      <w:r w:rsidR="00AC66B3" w:rsidRPr="00EB35D2">
        <w:t xml:space="preserve">The Kaplan-Meier (KM) estimate for freedom from MAE at 1 year was 84.7% for </w:t>
      </w:r>
      <w:r w:rsidR="00FD7D4A">
        <w:t xml:space="preserve">patients in </w:t>
      </w:r>
      <w:r w:rsidR="00AC66B3" w:rsidRPr="00EB35D2">
        <w:t xml:space="preserve">the PASCAL group and 88.3% for the </w:t>
      </w:r>
      <w:proofErr w:type="spellStart"/>
      <w:r w:rsidR="00AC66B3" w:rsidRPr="00EB35D2">
        <w:t>MitraClip</w:t>
      </w:r>
      <w:proofErr w:type="spellEnd"/>
      <w:r w:rsidR="00AC66B3" w:rsidRPr="00EB35D2">
        <w:t xml:space="preserve"> group (p=0.471)</w:t>
      </w:r>
      <w:r w:rsidR="007B4C94">
        <w:t>.</w:t>
      </w:r>
      <w:r w:rsidR="00AC66B3">
        <w:t xml:space="preserve"> </w:t>
      </w:r>
      <w:r w:rsidR="000F4795">
        <w:fldChar w:fldCharType="begin"/>
      </w:r>
      <w:r w:rsidR="000F4795">
        <w:instrText xml:space="preserve"> REF _Ref145692475 \h </w:instrText>
      </w:r>
      <w:r w:rsidR="000F4795">
        <w:fldChar w:fldCharType="separate"/>
      </w:r>
      <w:r w:rsidR="000F4795" w:rsidRPr="006A1574">
        <w:t xml:space="preserve"> </w:t>
      </w:r>
      <w:r w:rsidR="000F4795">
        <w:fldChar w:fldCharType="end"/>
      </w:r>
    </w:p>
    <w:p w14:paraId="2C8AB597" w14:textId="3CDACDAB" w:rsidR="00704392" w:rsidRDefault="00704392" w:rsidP="00704392">
      <w:r>
        <w:t>The commentary also noted the high</w:t>
      </w:r>
      <w:r w:rsidR="00397B24">
        <w:t>er</w:t>
      </w:r>
      <w:r>
        <w:t xml:space="preserve"> rates of severe bleeding</w:t>
      </w:r>
      <w:r w:rsidR="00931075">
        <w:t xml:space="preserve"> for PASCAL</w:t>
      </w:r>
      <w:r>
        <w:t xml:space="preserve">, which occurred </w:t>
      </w:r>
      <w:r w:rsidR="00A500EF">
        <w:t xml:space="preserve">for </w:t>
      </w:r>
      <w:r>
        <w:t xml:space="preserve">10.2% of </w:t>
      </w:r>
      <w:r w:rsidR="00FD7D4A">
        <w:t>patients</w:t>
      </w:r>
      <w:r>
        <w:t xml:space="preserve"> the PASCAL arm versus 5.5% in the </w:t>
      </w:r>
      <w:proofErr w:type="spellStart"/>
      <w:r>
        <w:t>MitraClip</w:t>
      </w:r>
      <w:proofErr w:type="spellEnd"/>
      <w:r>
        <w:t xml:space="preserve"> arm. The </w:t>
      </w:r>
      <w:r w:rsidR="00CA2940">
        <w:t xml:space="preserve">ADAR states that the majority </w:t>
      </w:r>
      <w:r w:rsidR="002535DB">
        <w:t xml:space="preserve">of these events were </w:t>
      </w:r>
      <w:r>
        <w:t xml:space="preserve">unrelated to the PASCAL </w:t>
      </w:r>
      <w:proofErr w:type="gramStart"/>
      <w:r>
        <w:t>device</w:t>
      </w:r>
      <w:proofErr w:type="gramEnd"/>
      <w:r>
        <w:t xml:space="preserve"> but </w:t>
      </w:r>
      <w:r w:rsidR="002535DB">
        <w:t>no further information was</w:t>
      </w:r>
      <w:r w:rsidR="008A4BC2">
        <w:t xml:space="preserve"> provided</w:t>
      </w:r>
      <w:r w:rsidR="009B57C8">
        <w:t xml:space="preserve"> </w:t>
      </w:r>
      <w:r>
        <w:t>to support this claim.</w:t>
      </w:r>
    </w:p>
    <w:p w14:paraId="1DA14537" w14:textId="1042331B" w:rsidR="00D17A61" w:rsidRPr="000716CE" w:rsidRDefault="00D17A61" w:rsidP="002F1124">
      <w:pPr>
        <w:pStyle w:val="TableFigureHeading"/>
      </w:pPr>
      <w:bookmarkStart w:id="28" w:name="_Ref155616804"/>
      <w:r w:rsidRPr="000716CE">
        <w:lastRenderedPageBreak/>
        <w:t xml:space="preserve">Figure </w:t>
      </w:r>
      <w:r>
        <w:fldChar w:fldCharType="begin"/>
      </w:r>
      <w:r>
        <w:instrText>SEQ Figure \* ARABIC</w:instrText>
      </w:r>
      <w:r>
        <w:fldChar w:fldCharType="separate"/>
      </w:r>
      <w:r w:rsidR="007B4C94">
        <w:rPr>
          <w:noProof/>
        </w:rPr>
        <w:t>3</w:t>
      </w:r>
      <w:r>
        <w:fldChar w:fldCharType="end"/>
      </w:r>
      <w:bookmarkEnd w:id="28"/>
      <w:r w:rsidRPr="000716CE">
        <w:t xml:space="preserve"> KM curve for major adverse events</w:t>
      </w:r>
    </w:p>
    <w:p w14:paraId="5C29F0B2" w14:textId="4B59E958" w:rsidR="000716CE" w:rsidRDefault="00704392" w:rsidP="002F1124">
      <w:pPr>
        <w:spacing w:before="0" w:after="0"/>
      </w:pPr>
      <w:r>
        <w:rPr>
          <w:rFonts w:ascii="Arial Narrow" w:eastAsia="Times New Roman" w:hAnsi="Arial Narrow" w:cs="Arial"/>
          <w:noProof/>
          <w:sz w:val="18"/>
          <w:szCs w:val="20"/>
        </w:rPr>
        <w:drawing>
          <wp:inline distT="0" distB="0" distL="0" distR="0" wp14:anchorId="68567EC3" wp14:editId="49E1E824">
            <wp:extent cx="5007130" cy="2753262"/>
            <wp:effectExtent l="0" t="0" r="3175" b="9525"/>
            <wp:docPr id="5" name="Picture 5" descr="A figure showing the KM curve for major adverse ev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figure showing the KM curve for major adverse events "/>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5027286" cy="2764345"/>
                    </a:xfrm>
                    <a:prstGeom prst="rect">
                      <a:avLst/>
                    </a:prstGeom>
                    <a:noFill/>
                    <a:ln>
                      <a:noFill/>
                    </a:ln>
                    <a:extLst>
                      <a:ext uri="{53640926-AAD7-44D8-BBD7-CCE9431645EC}">
                        <a14:shadowObscured xmlns:a14="http://schemas.microsoft.com/office/drawing/2010/main"/>
                      </a:ext>
                    </a:extLst>
                  </pic:spPr>
                </pic:pic>
              </a:graphicData>
            </a:graphic>
          </wp:inline>
        </w:drawing>
      </w:r>
    </w:p>
    <w:p w14:paraId="394FCDA8" w14:textId="5359BB52" w:rsidR="00704392" w:rsidRDefault="00704392" w:rsidP="002F1124">
      <w:pPr>
        <w:pStyle w:val="TableFooter"/>
      </w:pPr>
      <w:r>
        <w:t xml:space="preserve">Source: </w:t>
      </w:r>
      <w:r w:rsidR="00601485">
        <w:t>Figure 4, p</w:t>
      </w:r>
      <w:r w:rsidR="00A56BD6">
        <w:t>43 of MSAC 1662.2 ADAR.</w:t>
      </w:r>
    </w:p>
    <w:p w14:paraId="45916964" w14:textId="77777777" w:rsidR="00704392" w:rsidRDefault="00704392" w:rsidP="002F1124">
      <w:pPr>
        <w:pStyle w:val="TableFooter"/>
      </w:pPr>
      <w:r>
        <w:t>Abbreviations: KM, Kaplan-Meier</w:t>
      </w:r>
    </w:p>
    <w:p w14:paraId="7685067A" w14:textId="77777777" w:rsidR="00704392" w:rsidRDefault="00704392" w:rsidP="002F1124">
      <w:pPr>
        <w:pStyle w:val="TableFooter"/>
      </w:pPr>
      <w:r>
        <w:t xml:space="preserve">Notes: </w:t>
      </w:r>
      <w:r w:rsidRPr="00F07617">
        <w:t>Kaplan-Meier estimates for freedom from major adverse events (MAE) (Kaplan-Meier estimate ± SE). Error bars represent 95% CI.</w:t>
      </w:r>
    </w:p>
    <w:p w14:paraId="71A331FB" w14:textId="34741746" w:rsidR="00816FBD" w:rsidRPr="001D6326" w:rsidRDefault="00816FBD" w:rsidP="00816FBD">
      <w:r w:rsidRPr="008941ED">
        <w:t xml:space="preserve">The KM estimates for freedom from all-cause mortality at 1 year were similar, PASCAL 91.2% vs </w:t>
      </w:r>
      <w:proofErr w:type="spellStart"/>
      <w:r w:rsidRPr="008941ED">
        <w:t>MitraClip</w:t>
      </w:r>
      <w:proofErr w:type="spellEnd"/>
      <w:r w:rsidRPr="008941ED">
        <w:t xml:space="preserve"> 91.6% (</w:t>
      </w:r>
      <w:r w:rsidRPr="008D51B3">
        <w:rPr>
          <w:i/>
          <w:iCs/>
        </w:rPr>
        <w:t>p</w:t>
      </w:r>
      <w:r>
        <w:t xml:space="preserve"> </w:t>
      </w:r>
      <w:r w:rsidRPr="008941ED">
        <w:t>=</w:t>
      </w:r>
      <w:r>
        <w:t xml:space="preserve"> </w:t>
      </w:r>
      <w:r w:rsidRPr="008941ED">
        <w:t xml:space="preserve">0.953). Freedom from cardiovascular mortality was 96.3% for the PASCAL group vs 92.6% for the </w:t>
      </w:r>
      <w:proofErr w:type="spellStart"/>
      <w:r w:rsidRPr="008941ED">
        <w:t>MitraClip</w:t>
      </w:r>
      <w:proofErr w:type="spellEnd"/>
      <w:r w:rsidRPr="008941ED">
        <w:t>, (</w:t>
      </w:r>
      <w:r w:rsidRPr="008D51B3">
        <w:rPr>
          <w:i/>
          <w:iCs/>
        </w:rPr>
        <w:t>p</w:t>
      </w:r>
      <w:r>
        <w:t xml:space="preserve"> </w:t>
      </w:r>
      <w:r w:rsidRPr="008941ED">
        <w:t>=</w:t>
      </w:r>
      <w:r>
        <w:t xml:space="preserve"> </w:t>
      </w:r>
      <w:r w:rsidRPr="008941ED">
        <w:t>0.165) and freedom from HFH was 91.9% vs 96.7%, respectively (</w:t>
      </w:r>
      <w:r w:rsidRPr="008D51B3">
        <w:rPr>
          <w:i/>
          <w:iCs/>
        </w:rPr>
        <w:t>p</w:t>
      </w:r>
      <w:r>
        <w:t xml:space="preserve"> </w:t>
      </w:r>
      <w:r w:rsidRPr="008941ED">
        <w:t>=</w:t>
      </w:r>
      <w:r>
        <w:t xml:space="preserve"> </w:t>
      </w:r>
      <w:r w:rsidRPr="008941ED">
        <w:t>0.146). The KM estimate for freedom from all-cause mortality and HFH was 84.9% vs 89.4%, respectively (</w:t>
      </w:r>
      <w:r w:rsidRPr="008D51B3">
        <w:rPr>
          <w:i/>
          <w:iCs/>
        </w:rPr>
        <w:t>p</w:t>
      </w:r>
      <w:r>
        <w:t xml:space="preserve"> </w:t>
      </w:r>
      <w:r w:rsidRPr="008941ED">
        <w:t>=</w:t>
      </w:r>
      <w:r>
        <w:t xml:space="preserve"> </w:t>
      </w:r>
      <w:r w:rsidRPr="008941ED">
        <w:t>0.340) (</w:t>
      </w:r>
      <w:r w:rsidR="00D17A61">
        <w:fldChar w:fldCharType="begin"/>
      </w:r>
      <w:r w:rsidR="00D17A61">
        <w:instrText xml:space="preserve"> REF _Ref155617280 \h </w:instrText>
      </w:r>
      <w:r w:rsidR="00D17A61">
        <w:fldChar w:fldCharType="separate"/>
      </w:r>
      <w:r w:rsidR="00D17A61" w:rsidRPr="00D17A61">
        <w:t xml:space="preserve">Figure </w:t>
      </w:r>
      <w:r w:rsidR="00D17A61" w:rsidRPr="002F1124">
        <w:t>4</w:t>
      </w:r>
      <w:r w:rsidR="00D17A61">
        <w:fldChar w:fldCharType="end"/>
      </w:r>
      <w:r w:rsidRPr="008941ED">
        <w:t>).</w:t>
      </w:r>
      <w:r w:rsidRPr="00C11756">
        <w:t xml:space="preserve"> </w:t>
      </w:r>
    </w:p>
    <w:p w14:paraId="58748D85" w14:textId="77777777" w:rsidR="00F254AF" w:rsidRDefault="00F254AF" w:rsidP="00816FBD">
      <w:pPr>
        <w:sectPr w:rsidR="00F254AF" w:rsidSect="00615D3A">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9" w:footer="283" w:gutter="0"/>
          <w:cols w:space="708"/>
          <w:docGrid w:linePitch="360"/>
        </w:sectPr>
      </w:pPr>
      <w:bookmarkStart w:id="29" w:name="_Ref145692526"/>
      <w:bookmarkStart w:id="30" w:name="_Toc146813396"/>
    </w:p>
    <w:p w14:paraId="0A264A1A" w14:textId="584175B1" w:rsidR="00D17A61" w:rsidRPr="00D17A61" w:rsidRDefault="00D17A61" w:rsidP="002F1124">
      <w:pPr>
        <w:pStyle w:val="TableFigureHeading"/>
      </w:pPr>
      <w:bookmarkStart w:id="31" w:name="_Ref155617280"/>
      <w:bookmarkEnd w:id="29"/>
      <w:bookmarkEnd w:id="30"/>
      <w:r w:rsidRPr="00D17A61">
        <w:lastRenderedPageBreak/>
        <w:t xml:space="preserve">Figure </w:t>
      </w:r>
      <w:r>
        <w:fldChar w:fldCharType="begin"/>
      </w:r>
      <w:r>
        <w:instrText>SEQ Figure \* ARABIC</w:instrText>
      </w:r>
      <w:r>
        <w:fldChar w:fldCharType="separate"/>
      </w:r>
      <w:r w:rsidR="007B4C94">
        <w:rPr>
          <w:noProof/>
        </w:rPr>
        <w:t>4</w:t>
      </w:r>
      <w:r>
        <w:fldChar w:fldCharType="end"/>
      </w:r>
      <w:bookmarkEnd w:id="31"/>
      <w:r w:rsidRPr="00D17A61">
        <w:t xml:space="preserve"> KM curve for freedom from CEC-adjudicated mortality and heart failure hospitalisation</w:t>
      </w:r>
    </w:p>
    <w:p w14:paraId="40F062BF" w14:textId="77777777" w:rsidR="00816FBD" w:rsidRDefault="00816FBD" w:rsidP="002F1124">
      <w:pPr>
        <w:spacing w:before="0" w:after="0"/>
      </w:pPr>
      <w:r>
        <w:rPr>
          <w:noProof/>
        </w:rPr>
        <w:drawing>
          <wp:inline distT="0" distB="0" distL="0" distR="0" wp14:anchorId="394040B6" wp14:editId="4EDFA6DC">
            <wp:extent cx="8620125" cy="4815458"/>
            <wp:effectExtent l="0" t="0" r="0" b="4445"/>
            <wp:docPr id="7" name="Picture 7" descr="A figure showing KM curve for freedom from CEC-adjudicated mortality and heart failure hospital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figure showing KM curve for freedom from CEC-adjudicated mortality and heart failure hospitalisati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655447" cy="4835190"/>
                    </a:xfrm>
                    <a:prstGeom prst="rect">
                      <a:avLst/>
                    </a:prstGeom>
                    <a:noFill/>
                  </pic:spPr>
                </pic:pic>
              </a:graphicData>
            </a:graphic>
          </wp:inline>
        </w:drawing>
      </w:r>
    </w:p>
    <w:p w14:paraId="61091672" w14:textId="3E84E44A" w:rsidR="00816FBD" w:rsidRDefault="00816FBD" w:rsidP="002F1124">
      <w:pPr>
        <w:pStyle w:val="TableFooter"/>
      </w:pPr>
      <w:r>
        <w:t xml:space="preserve">Source: </w:t>
      </w:r>
      <w:r w:rsidR="00A56BD6">
        <w:t>Figure 5, p45 of MSAC 1662.2 ADAR.</w:t>
      </w:r>
    </w:p>
    <w:p w14:paraId="34AF042F" w14:textId="77777777" w:rsidR="00816FBD" w:rsidRDefault="00816FBD" w:rsidP="002F1124">
      <w:pPr>
        <w:pStyle w:val="TableFooter"/>
      </w:pPr>
      <w:r>
        <w:t>Abbreviations: CEC, Clinical events committee; CV, cardiovascular; HFH, heart failure hospitalisation; KM, Kaplan-Meier</w:t>
      </w:r>
    </w:p>
    <w:p w14:paraId="0E2C1218" w14:textId="04D287BB" w:rsidR="00EE539D" w:rsidRPr="00A3786A" w:rsidRDefault="00EE539D" w:rsidP="002F1124">
      <w:pPr>
        <w:pStyle w:val="TableFooter"/>
        <w:rPr>
          <w:i/>
        </w:rPr>
        <w:sectPr w:rsidR="00EE539D" w:rsidRPr="00A3786A" w:rsidSect="00615D3A">
          <w:footerReference w:type="even" r:id="rId25"/>
          <w:footerReference w:type="default" r:id="rId26"/>
          <w:pgSz w:w="16838" w:h="11906" w:orient="landscape"/>
          <w:pgMar w:top="1440" w:right="1440" w:bottom="1440" w:left="1440" w:header="709" w:footer="709" w:gutter="0"/>
          <w:cols w:space="708"/>
          <w:docGrid w:linePitch="360"/>
        </w:sectPr>
      </w:pPr>
      <w:r>
        <w:t xml:space="preserve">Notes: </w:t>
      </w:r>
      <w:r w:rsidRPr="00A3786A">
        <w:t>Kaplan-Meier estimates for freedom from A) all-cause mortality, B) cardiovascular mortality, C) heart failure hospitali</w:t>
      </w:r>
      <w:r>
        <w:t>s</w:t>
      </w:r>
      <w:r w:rsidRPr="00A3786A">
        <w:t>ation and D) all-cause mortality and heart failure hospitali</w:t>
      </w:r>
      <w:r>
        <w:t>s</w:t>
      </w:r>
      <w:r w:rsidRPr="00A3786A">
        <w:t>ation. Graph shows KM estimate ± SE and error bars represent 95% CI</w:t>
      </w:r>
    </w:p>
    <w:p w14:paraId="3717AA01" w14:textId="7FBA16C9" w:rsidR="00772829" w:rsidRPr="00CE28E3" w:rsidRDefault="005E3CDE" w:rsidP="002A18BE">
      <w:pPr>
        <w:pStyle w:val="Heading2"/>
        <w:numPr>
          <w:ilvl w:val="0"/>
          <w:numId w:val="0"/>
        </w:numPr>
      </w:pPr>
      <w:bookmarkStart w:id="32" w:name="_Toc69491424"/>
      <w:r>
        <w:lastRenderedPageBreak/>
        <w:t>12</w:t>
      </w:r>
      <w:r w:rsidR="00C36633">
        <w:t>.</w:t>
      </w:r>
      <w:r w:rsidR="00C36633">
        <w:tab/>
      </w:r>
      <w:r w:rsidR="00772829" w:rsidRPr="00CE28E3">
        <w:t>Comparative effectiveness</w:t>
      </w:r>
      <w:bookmarkEnd w:id="32"/>
    </w:p>
    <w:p w14:paraId="3E85EC02" w14:textId="50641CFC" w:rsidR="00B11044" w:rsidRDefault="00EF602F" w:rsidP="00B11044">
      <w:bookmarkStart w:id="33" w:name="_Toc69491425"/>
      <w:r>
        <w:t xml:space="preserve">The current ADAR provided new </w:t>
      </w:r>
      <w:r w:rsidR="000424BD">
        <w:t xml:space="preserve">direct comparative </w:t>
      </w:r>
      <w:r>
        <w:t>evidence f</w:t>
      </w:r>
      <w:r w:rsidR="0090155E">
        <w:t>ro</w:t>
      </w:r>
      <w:r>
        <w:t xml:space="preserve">m the CLASP IID RCT to support the clinical claim that the PASCAL device is non-inferior in effectiveness compared to the </w:t>
      </w:r>
      <w:proofErr w:type="spellStart"/>
      <w:r>
        <w:t>MitraClip</w:t>
      </w:r>
      <w:proofErr w:type="spellEnd"/>
      <w:r>
        <w:t xml:space="preserve"> device. </w:t>
      </w:r>
      <w:r w:rsidR="00406555">
        <w:t xml:space="preserve">The primary effectiveness endpoint </w:t>
      </w:r>
      <w:r w:rsidR="00B11044">
        <w:t xml:space="preserve">of the CLASP IID study was the proportion of patients with MR severity </w:t>
      </w:r>
      <w:r w:rsidR="00B11044">
        <w:rPr>
          <w:rFonts w:cs="Calibri"/>
        </w:rPr>
        <w:t>≤</w:t>
      </w:r>
      <w:r w:rsidR="00B11044">
        <w:t>2+ at 6 months</w:t>
      </w:r>
      <w:r w:rsidR="003B4BB5">
        <w:t xml:space="preserve">, with secondary analysis of MR severity at 1 year. </w:t>
      </w:r>
      <w:r w:rsidR="00E045D1">
        <w:t>A non-inferiority margin of -18% was pre-specified</w:t>
      </w:r>
      <w:r w:rsidR="002A4983">
        <w:t xml:space="preserve"> however, no</w:t>
      </w:r>
      <w:r w:rsidR="00E045D1">
        <w:t xml:space="preserve"> literature was provided to support the </w:t>
      </w:r>
      <w:r w:rsidR="002A4983">
        <w:t xml:space="preserve">chosen </w:t>
      </w:r>
      <w:r w:rsidR="00F6080E">
        <w:t>non-inferiority margin.</w:t>
      </w:r>
    </w:p>
    <w:p w14:paraId="22C8A024" w14:textId="4CA4BBB8" w:rsidR="00C61906" w:rsidRDefault="00972546" w:rsidP="00972546">
      <w:pPr>
        <w:rPr>
          <w:rFonts w:cs="Calibri"/>
        </w:rPr>
      </w:pPr>
      <w:r>
        <w:t xml:space="preserve">MR </w:t>
      </w:r>
      <w:r>
        <w:rPr>
          <w:rFonts w:cs="Calibri"/>
        </w:rPr>
        <w:t xml:space="preserve">≤2+ at 6 months was achieved by 97.9% and 95.7% of </w:t>
      </w:r>
      <w:r w:rsidR="000424BD">
        <w:rPr>
          <w:rFonts w:cs="Calibri"/>
        </w:rPr>
        <w:t xml:space="preserve">patients in the </w:t>
      </w:r>
      <w:r>
        <w:rPr>
          <w:rFonts w:cs="Calibri"/>
        </w:rPr>
        <w:t xml:space="preserve">PASCAL and </w:t>
      </w:r>
      <w:proofErr w:type="spellStart"/>
      <w:r>
        <w:rPr>
          <w:rFonts w:cs="Calibri"/>
        </w:rPr>
        <w:t>MitraClip</w:t>
      </w:r>
      <w:proofErr w:type="spellEnd"/>
      <w:r>
        <w:rPr>
          <w:rFonts w:cs="Calibri"/>
        </w:rPr>
        <w:t xml:space="preserve"> groups respectively </w:t>
      </w:r>
      <w:r w:rsidR="000716CE">
        <w:rPr>
          <w:rFonts w:cs="Calibri"/>
        </w:rPr>
        <w:t>(</w:t>
      </w:r>
      <w:r w:rsidR="000716CE">
        <w:rPr>
          <w:rFonts w:cs="Calibri"/>
        </w:rPr>
        <w:fldChar w:fldCharType="begin"/>
      </w:r>
      <w:r w:rsidR="000716CE">
        <w:rPr>
          <w:rFonts w:cs="Calibri"/>
        </w:rPr>
        <w:instrText xml:space="preserve"> REF _Ref155616612 \h </w:instrText>
      </w:r>
      <w:r w:rsidR="000716CE">
        <w:rPr>
          <w:rFonts w:cs="Calibri"/>
        </w:rPr>
      </w:r>
      <w:r w:rsidR="000716CE">
        <w:rPr>
          <w:rFonts w:cs="Calibri"/>
        </w:rPr>
        <w:fldChar w:fldCharType="separate"/>
      </w:r>
      <w:r w:rsidR="000716CE" w:rsidRPr="00DA079E">
        <w:t xml:space="preserve">Figure </w:t>
      </w:r>
      <w:r w:rsidR="000716CE">
        <w:rPr>
          <w:noProof/>
        </w:rPr>
        <w:t>2</w:t>
      </w:r>
      <w:r w:rsidR="000716CE">
        <w:rPr>
          <w:rFonts w:cs="Calibri"/>
        </w:rPr>
        <w:fldChar w:fldCharType="end"/>
      </w:r>
      <w:r>
        <w:rPr>
          <w:rFonts w:cs="Calibri"/>
        </w:rPr>
        <w:t>). The absolute difference was 2.2% and the lower bound of the one-sided 95% CI was –2</w:t>
      </w:r>
      <w:r w:rsidR="00C61906">
        <w:rPr>
          <w:rFonts w:cs="Calibri"/>
        </w:rPr>
        <w:t>.5%</w:t>
      </w:r>
      <w:r>
        <w:rPr>
          <w:rFonts w:cs="Calibri"/>
        </w:rPr>
        <w:t xml:space="preserve">. This was within the pre-specified non-inferiority margin of –18%. </w:t>
      </w:r>
    </w:p>
    <w:p w14:paraId="411A31C5" w14:textId="7B071680" w:rsidR="00433312" w:rsidRDefault="000C3CDF" w:rsidP="000C3CDF">
      <w:r w:rsidRPr="0097758F">
        <w:t>The proportion of patients with MR</w:t>
      </w:r>
      <w:r>
        <w:t xml:space="preserve"> </w:t>
      </w:r>
      <w:r w:rsidRPr="0097758F">
        <w:t xml:space="preserve">≤2+ at 1 year was 96.0% in the PASCAL group and 93.8% in the </w:t>
      </w:r>
      <w:proofErr w:type="spellStart"/>
      <w:r w:rsidRPr="0097758F">
        <w:t>MitraClip</w:t>
      </w:r>
      <w:proofErr w:type="spellEnd"/>
      <w:r w:rsidRPr="0097758F">
        <w:t xml:space="preserve"> group with an absolute difference of 2.2%</w:t>
      </w:r>
      <w:r w:rsidR="007B4C94">
        <w:t xml:space="preserve"> (</w:t>
      </w:r>
      <w:r w:rsidR="007B4C94">
        <w:fldChar w:fldCharType="begin"/>
      </w:r>
      <w:r w:rsidR="007B4C94">
        <w:instrText xml:space="preserve"> REF _Ref155689713 \h </w:instrText>
      </w:r>
      <w:r w:rsidR="007B4C94">
        <w:fldChar w:fldCharType="separate"/>
      </w:r>
      <w:r w:rsidR="007B4C94">
        <w:t xml:space="preserve">Figure </w:t>
      </w:r>
      <w:r w:rsidR="007B4C94">
        <w:rPr>
          <w:noProof/>
        </w:rPr>
        <w:t>5</w:t>
      </w:r>
      <w:r w:rsidR="007B4C94">
        <w:fldChar w:fldCharType="end"/>
      </w:r>
      <w:r w:rsidR="007B4C94">
        <w:t>)</w:t>
      </w:r>
      <w:r w:rsidRPr="0097758F">
        <w:t xml:space="preserve">. The one-sided 95% lower confidence bound was </w:t>
      </w:r>
      <w:r>
        <w:t>–</w:t>
      </w:r>
      <w:r w:rsidRPr="0097758F">
        <w:t>3.9% which was within the pre</w:t>
      </w:r>
      <w:r>
        <w:t>-specified</w:t>
      </w:r>
      <w:r w:rsidRPr="0097758F">
        <w:t xml:space="preserve"> non</w:t>
      </w:r>
      <w:r>
        <w:t>-inferiority</w:t>
      </w:r>
      <w:r w:rsidRPr="0097758F">
        <w:t xml:space="preserve"> margin of </w:t>
      </w:r>
      <w:r>
        <w:t>–</w:t>
      </w:r>
      <w:r w:rsidRPr="0097758F">
        <w:t xml:space="preserve">18.0%. </w:t>
      </w:r>
    </w:p>
    <w:p w14:paraId="748941EC" w14:textId="43DD67DB" w:rsidR="007B4C94" w:rsidRDefault="007B4C94" w:rsidP="002F1124">
      <w:pPr>
        <w:pStyle w:val="Caption"/>
        <w:jc w:val="both"/>
      </w:pPr>
      <w:bookmarkStart w:id="34" w:name="_Ref155689713"/>
      <w:r>
        <w:t xml:space="preserve">Figure </w:t>
      </w:r>
      <w:r>
        <w:fldChar w:fldCharType="begin"/>
      </w:r>
      <w:r>
        <w:instrText>SEQ Figure \* ARABIC</w:instrText>
      </w:r>
      <w:r>
        <w:fldChar w:fldCharType="separate"/>
      </w:r>
      <w:r>
        <w:rPr>
          <w:noProof/>
        </w:rPr>
        <w:t>5</w:t>
      </w:r>
      <w:r>
        <w:fldChar w:fldCharType="end"/>
      </w:r>
      <w:bookmarkEnd w:id="34"/>
      <w:r>
        <w:t xml:space="preserve"> </w:t>
      </w:r>
      <w:proofErr w:type="gramStart"/>
      <w:r w:rsidRPr="00755AE1">
        <w:t>Non-inferiority</w:t>
      </w:r>
      <w:proofErr w:type="gramEnd"/>
      <w:r w:rsidRPr="00755AE1">
        <w:t xml:space="preserve"> for effectiveness at 1 year</w:t>
      </w:r>
    </w:p>
    <w:p w14:paraId="27DF92C5" w14:textId="1FE61CFE" w:rsidR="00047153" w:rsidRPr="00740D45" w:rsidRDefault="00047153" w:rsidP="002F1124">
      <w:pPr>
        <w:pStyle w:val="TableFooter"/>
        <w:rPr>
          <w:bCs/>
        </w:rPr>
      </w:pPr>
      <w:r>
        <w:rPr>
          <w:noProof/>
        </w:rPr>
        <w:drawing>
          <wp:inline distT="0" distB="0" distL="0" distR="0" wp14:anchorId="0E02D710" wp14:editId="0012C856">
            <wp:extent cx="5639435" cy="2750185"/>
            <wp:effectExtent l="0" t="0" r="0" b="0"/>
            <wp:docPr id="1495764083" name="Picture 1495764083" descr="Non-inferiority for effectiveness at 1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764083" name="Picture 1495764083" descr="Non-inferiority for effectiveness at 1 year"/>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5639435" cy="2750185"/>
                    </a:xfrm>
                    <a:prstGeom prst="rect">
                      <a:avLst/>
                    </a:prstGeom>
                    <a:noFill/>
                    <a:ln>
                      <a:noFill/>
                    </a:ln>
                    <a:extLst>
                      <a:ext uri="{53640926-AAD7-44D8-BBD7-CCE9431645EC}">
                        <a14:shadowObscured xmlns:a14="http://schemas.microsoft.com/office/drawing/2010/main"/>
                      </a:ext>
                    </a:extLst>
                  </pic:spPr>
                </pic:pic>
              </a:graphicData>
            </a:graphic>
          </wp:inline>
        </w:drawing>
      </w:r>
      <w:r w:rsidRPr="00EE1A57">
        <w:rPr>
          <w:b/>
          <w:bCs/>
        </w:rPr>
        <w:t xml:space="preserve"> </w:t>
      </w:r>
      <w:r w:rsidRPr="007B4C94">
        <w:t xml:space="preserve">Source: </w:t>
      </w:r>
      <w:r w:rsidR="00DD30A1">
        <w:t>Figure 7, p47 of MSAC 1662.2 ADAR.</w:t>
      </w:r>
    </w:p>
    <w:p w14:paraId="142592F7" w14:textId="0ECDBD7F" w:rsidR="00047153" w:rsidRPr="002B11C3" w:rsidRDefault="00047153" w:rsidP="002B11C3">
      <w:pPr>
        <w:pStyle w:val="TableFooter"/>
        <w:rPr>
          <w:bCs/>
        </w:rPr>
      </w:pPr>
      <w:r w:rsidRPr="00740D45">
        <w:t>Abbreviations: CI, confidence interval; MAE, major adverse events; MR, mitral regurgitation</w:t>
      </w:r>
    </w:p>
    <w:p w14:paraId="53DB3AC7" w14:textId="1778ED70" w:rsidR="0050693F" w:rsidRDefault="0050693F" w:rsidP="00DA079E">
      <w:pPr>
        <w:pStyle w:val="TableFigureHeading"/>
      </w:pPr>
      <w:bookmarkStart w:id="35" w:name="_Ref145598149"/>
      <w:bookmarkStart w:id="36" w:name="_Toc146813402"/>
      <w:r>
        <w:lastRenderedPageBreak/>
        <w:t xml:space="preserve">Figure </w:t>
      </w:r>
      <w:r>
        <w:fldChar w:fldCharType="begin"/>
      </w:r>
      <w:r>
        <w:instrText>SEQ Figure \* ARABIC</w:instrText>
      </w:r>
      <w:r>
        <w:fldChar w:fldCharType="separate"/>
      </w:r>
      <w:r w:rsidR="007B4C94">
        <w:rPr>
          <w:noProof/>
        </w:rPr>
        <w:t>6</w:t>
      </w:r>
      <w:r>
        <w:fldChar w:fldCharType="end"/>
      </w:r>
      <w:bookmarkEnd w:id="35"/>
      <w:r>
        <w:tab/>
        <w:t xml:space="preserve">MR severity assessed by </w:t>
      </w:r>
      <w:proofErr w:type="gramStart"/>
      <w:r>
        <w:t>TTE</w:t>
      </w:r>
      <w:bookmarkEnd w:id="36"/>
      <w:proofErr w:type="gramEnd"/>
    </w:p>
    <w:p w14:paraId="1C6AD237" w14:textId="77777777" w:rsidR="0050693F" w:rsidRPr="00CA065D" w:rsidRDefault="0050693F" w:rsidP="002F1124">
      <w:pPr>
        <w:spacing w:before="0" w:after="0"/>
      </w:pPr>
      <w:r>
        <w:rPr>
          <w:noProof/>
        </w:rPr>
        <w:drawing>
          <wp:inline distT="0" distB="0" distL="0" distR="0" wp14:anchorId="0AB7789C" wp14:editId="15B6BFE4">
            <wp:extent cx="5731510" cy="3001010"/>
            <wp:effectExtent l="0" t="0" r="2540" b="8890"/>
            <wp:docPr id="10" name="Picture 10" descr="A figure showing the MR severity assessed by 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figure showing the MR severity assessed by TT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3001010"/>
                    </a:xfrm>
                    <a:prstGeom prst="rect">
                      <a:avLst/>
                    </a:prstGeom>
                    <a:noFill/>
                  </pic:spPr>
                </pic:pic>
              </a:graphicData>
            </a:graphic>
          </wp:inline>
        </w:drawing>
      </w:r>
    </w:p>
    <w:p w14:paraId="490F4D5D" w14:textId="1539AA72" w:rsidR="0050693F" w:rsidRDefault="0050693F" w:rsidP="002F1124">
      <w:pPr>
        <w:pStyle w:val="TableFooter"/>
      </w:pPr>
      <w:r>
        <w:t xml:space="preserve">Source: </w:t>
      </w:r>
      <w:r w:rsidR="00DD30A1">
        <w:t>Figure 11</w:t>
      </w:r>
      <w:r w:rsidR="005D635C">
        <w:t>, p55 of MSAC 1662.2 ADAR.</w:t>
      </w:r>
    </w:p>
    <w:p w14:paraId="6B17CA44" w14:textId="42F029C1" w:rsidR="0050693F" w:rsidRDefault="0050693F" w:rsidP="002F1124">
      <w:pPr>
        <w:pStyle w:val="TableFooter"/>
      </w:pPr>
      <w:r>
        <w:t>Abbreviations: MR, mitral regurgitation; TTE, transthoracic echocardiogram</w:t>
      </w:r>
      <w:r w:rsidR="00691F66">
        <w:t>.</w:t>
      </w:r>
    </w:p>
    <w:p w14:paraId="3EBE60EE" w14:textId="77777777" w:rsidR="00B36A21" w:rsidRDefault="002E62EA" w:rsidP="00B11044">
      <w:r>
        <w:t xml:space="preserve">The commentary considered that the CLASP IID RCT results support the clinical claim of non-inferiority in effectiveness outcomes between PASCAL and </w:t>
      </w:r>
      <w:proofErr w:type="spellStart"/>
      <w:r>
        <w:t>MitraClip</w:t>
      </w:r>
      <w:proofErr w:type="spellEnd"/>
      <w:r>
        <w:t xml:space="preserve"> at 6 months and 1 year. </w:t>
      </w:r>
      <w:r w:rsidR="007A6A0C">
        <w:t xml:space="preserve">The remaining considerations </w:t>
      </w:r>
      <w:r w:rsidR="005F0B83">
        <w:t>are</w:t>
      </w:r>
      <w:r w:rsidR="00B36A21">
        <w:t>:</w:t>
      </w:r>
    </w:p>
    <w:p w14:paraId="41A6B460" w14:textId="759E25CC" w:rsidR="009D2185" w:rsidRPr="002F1124" w:rsidRDefault="00E106F9" w:rsidP="00B36A21">
      <w:pPr>
        <w:pStyle w:val="Bullet"/>
        <w:rPr>
          <w:rFonts w:ascii="Franklin Gothic Book" w:hAnsi="Franklin Gothic Book"/>
        </w:rPr>
      </w:pPr>
      <w:r>
        <w:rPr>
          <w:rFonts w:ascii="Franklin Gothic Book" w:hAnsi="Franklin Gothic Book"/>
        </w:rPr>
        <w:t>T</w:t>
      </w:r>
      <w:r w:rsidR="005F0B83" w:rsidRPr="002F1124">
        <w:rPr>
          <w:rFonts w:ascii="Franklin Gothic Book" w:hAnsi="Franklin Gothic Book"/>
        </w:rPr>
        <w:t xml:space="preserve">he imbalance in the initial MR severity between arms, </w:t>
      </w:r>
      <w:r w:rsidR="00E01143" w:rsidRPr="002F1124">
        <w:rPr>
          <w:rFonts w:ascii="Franklin Gothic Book" w:hAnsi="Franklin Gothic Book"/>
        </w:rPr>
        <w:t>with the PASCAL group having a lower proportion of MR 4+ relative t</w:t>
      </w:r>
      <w:r w:rsidR="00642979" w:rsidRPr="002F1124">
        <w:rPr>
          <w:rFonts w:ascii="Franklin Gothic Book" w:hAnsi="Franklin Gothic Book"/>
        </w:rPr>
        <w:t xml:space="preserve">o the </w:t>
      </w:r>
      <w:proofErr w:type="spellStart"/>
      <w:r w:rsidR="00642979" w:rsidRPr="002F1124">
        <w:rPr>
          <w:rFonts w:ascii="Franklin Gothic Book" w:hAnsi="Franklin Gothic Book"/>
        </w:rPr>
        <w:t>MitraClip</w:t>
      </w:r>
      <w:proofErr w:type="spellEnd"/>
      <w:r w:rsidR="00642979" w:rsidRPr="002F1124">
        <w:rPr>
          <w:rFonts w:ascii="Franklin Gothic Book" w:hAnsi="Franklin Gothic Book"/>
        </w:rPr>
        <w:t xml:space="preserve"> group (73.2% to 81.1%</w:t>
      </w:r>
      <w:r w:rsidR="00B50E98" w:rsidRPr="002F1124">
        <w:rPr>
          <w:rFonts w:ascii="Franklin Gothic Book" w:hAnsi="Franklin Gothic Book"/>
        </w:rPr>
        <w:t>, p = 0.113). While the difference is not statistically significant, reduction in MR severity is a key effectiveness outcome. As a result</w:t>
      </w:r>
      <w:r w:rsidR="00075241">
        <w:rPr>
          <w:rFonts w:ascii="Franklin Gothic Book" w:hAnsi="Franklin Gothic Book"/>
        </w:rPr>
        <w:t>,</w:t>
      </w:r>
      <w:r w:rsidR="00B50E98" w:rsidRPr="002F1124">
        <w:rPr>
          <w:rFonts w:ascii="Franklin Gothic Book" w:hAnsi="Franklin Gothic Book"/>
        </w:rPr>
        <w:t xml:space="preserve"> imbalance at b</w:t>
      </w:r>
      <w:r w:rsidR="178812C3" w:rsidRPr="6E8CB65F">
        <w:rPr>
          <w:rFonts w:ascii="Franklin Gothic Book" w:hAnsi="Franklin Gothic Book"/>
        </w:rPr>
        <w:t>aseline</w:t>
      </w:r>
      <w:r w:rsidR="00B50E98" w:rsidRPr="002F1124">
        <w:rPr>
          <w:rFonts w:ascii="Franklin Gothic Book" w:hAnsi="Franklin Gothic Book"/>
        </w:rPr>
        <w:t xml:space="preserve"> could bias the study </w:t>
      </w:r>
      <w:r w:rsidR="001653DB" w:rsidRPr="002F1124">
        <w:rPr>
          <w:rFonts w:ascii="Franklin Gothic Book" w:hAnsi="Franklin Gothic Book"/>
        </w:rPr>
        <w:t>in favour of PASCAL if it remains unadjusted for</w:t>
      </w:r>
      <w:r w:rsidR="00C96A82" w:rsidRPr="002F1124">
        <w:rPr>
          <w:rFonts w:ascii="Franklin Gothic Book" w:hAnsi="Franklin Gothic Book"/>
        </w:rPr>
        <w:t>, and</w:t>
      </w:r>
    </w:p>
    <w:p w14:paraId="4814CC81" w14:textId="71153603" w:rsidR="002E62EA" w:rsidRPr="00F72C79" w:rsidRDefault="00E106F9" w:rsidP="002F1124">
      <w:pPr>
        <w:pStyle w:val="Bullet"/>
      </w:pPr>
      <w:r>
        <w:rPr>
          <w:rFonts w:ascii="Franklin Gothic Book" w:hAnsi="Franklin Gothic Book"/>
        </w:rPr>
        <w:t>T</w:t>
      </w:r>
      <w:r w:rsidR="00C96A82" w:rsidRPr="00F72C79">
        <w:rPr>
          <w:rFonts w:ascii="Franklin Gothic Book" w:hAnsi="Franklin Gothic Book"/>
        </w:rPr>
        <w:t xml:space="preserve">he -18% non-inferiority margin which has previously been </w:t>
      </w:r>
      <w:r w:rsidR="00442D73" w:rsidRPr="00F72C79">
        <w:rPr>
          <w:rFonts w:ascii="Franklin Gothic Book" w:hAnsi="Franklin Gothic Book"/>
        </w:rPr>
        <w:t xml:space="preserve">considered too large </w:t>
      </w:r>
      <w:r w:rsidR="00C96A82" w:rsidRPr="00F72C79">
        <w:rPr>
          <w:rFonts w:ascii="Franklin Gothic Book" w:hAnsi="Franklin Gothic Book"/>
        </w:rPr>
        <w:t xml:space="preserve">by MSAC. </w:t>
      </w:r>
      <w:r w:rsidR="005E4649" w:rsidRPr="00F72C79">
        <w:rPr>
          <w:rFonts w:ascii="Franklin Gothic Book" w:hAnsi="Franklin Gothic Book"/>
        </w:rPr>
        <w:t>This has not been revised</w:t>
      </w:r>
      <w:r w:rsidR="00C952C1" w:rsidRPr="00F72C79">
        <w:rPr>
          <w:rFonts w:ascii="Franklin Gothic Book" w:hAnsi="Franklin Gothic Book"/>
        </w:rPr>
        <w:t>. The ADAR states that this margin is considered clinically acceptable, and that the components used to determine the rate of control are based on a review of published literature</w:t>
      </w:r>
      <w:r w:rsidR="000842B6" w:rsidRPr="00F72C79">
        <w:rPr>
          <w:rFonts w:ascii="Franklin Gothic Book" w:hAnsi="Franklin Gothic Book"/>
        </w:rPr>
        <w:t>. This literature is not specified. The ADAR notes</w:t>
      </w:r>
      <w:r w:rsidR="00F72C79" w:rsidRPr="00F72C79">
        <w:rPr>
          <w:rFonts w:ascii="Franklin Gothic Book" w:hAnsi="Franklin Gothic Book"/>
        </w:rPr>
        <w:t xml:space="preserve"> that the finding of non-inferiority would hold under a stricter margin.</w:t>
      </w:r>
      <w:r w:rsidR="005E4649" w:rsidRPr="00F72C79">
        <w:rPr>
          <w:rFonts w:ascii="Franklin Gothic Book" w:hAnsi="Franklin Gothic Book"/>
        </w:rPr>
        <w:t xml:space="preserve"> </w:t>
      </w:r>
    </w:p>
    <w:p w14:paraId="0DAD9E86" w14:textId="76350018" w:rsidR="00B6111E" w:rsidRDefault="00355833" w:rsidP="00355833">
      <w:r>
        <w:t xml:space="preserve">The CLASP IID study also showed </w:t>
      </w:r>
      <w:r w:rsidR="00653864">
        <w:t>significant</w:t>
      </w:r>
      <w:r w:rsidR="00885A13">
        <w:t xml:space="preserve"> and comparable</w:t>
      </w:r>
      <w:r w:rsidR="00653864">
        <w:t xml:space="preserve"> </w:t>
      </w:r>
      <w:r w:rsidR="002C5BAE">
        <w:t>improvement in</w:t>
      </w:r>
      <w:r>
        <w:t xml:space="preserve"> functional and quality of life outcomes, specifically </w:t>
      </w:r>
      <w:r w:rsidR="00442D73">
        <w:t xml:space="preserve">the </w:t>
      </w:r>
      <w:r w:rsidR="005D15A4">
        <w:t>NYHA</w:t>
      </w:r>
      <w:r>
        <w:t xml:space="preserve"> functional class, KCCQ, and EQ-5D scores</w:t>
      </w:r>
      <w:r w:rsidR="002C5BAE">
        <w:t xml:space="preserve">, for </w:t>
      </w:r>
      <w:r w:rsidR="001A6379">
        <w:t xml:space="preserve">patients in </w:t>
      </w:r>
      <w:r w:rsidR="002C5BAE">
        <w:t xml:space="preserve">both PASCAL and </w:t>
      </w:r>
      <w:proofErr w:type="spellStart"/>
      <w:r w:rsidR="002C5BAE">
        <w:t>MitraClip</w:t>
      </w:r>
      <w:proofErr w:type="spellEnd"/>
      <w:r w:rsidR="002C5BAE">
        <w:t xml:space="preserve"> arms</w:t>
      </w:r>
      <w:r w:rsidR="00C66CCA">
        <w:t>:</w:t>
      </w:r>
      <w:r>
        <w:t xml:space="preserve"> </w:t>
      </w:r>
    </w:p>
    <w:p w14:paraId="174E8E49" w14:textId="72AC8DC4" w:rsidR="00980194" w:rsidRPr="002F1124" w:rsidRDefault="00B6111E" w:rsidP="00B6111E">
      <w:pPr>
        <w:pStyle w:val="Bullet"/>
        <w:rPr>
          <w:rFonts w:ascii="Franklin Gothic Book" w:hAnsi="Franklin Gothic Book"/>
        </w:rPr>
      </w:pPr>
      <w:r w:rsidRPr="002F1124">
        <w:rPr>
          <w:rFonts w:ascii="Franklin Gothic Book" w:hAnsi="Franklin Gothic Book"/>
        </w:rPr>
        <w:t>In both arms, p</w:t>
      </w:r>
      <w:r w:rsidR="00355833" w:rsidRPr="002F1124">
        <w:rPr>
          <w:rFonts w:ascii="Franklin Gothic Book" w:hAnsi="Franklin Gothic Book"/>
        </w:rPr>
        <w:t xml:space="preserve">atients experienced improvement in NYHA functional class following treatment, with the proportion of people in NYHA functional class I-II being 88.3% for PASCAL and 86.8% for </w:t>
      </w:r>
      <w:proofErr w:type="spellStart"/>
      <w:r w:rsidR="00355833" w:rsidRPr="002F1124">
        <w:rPr>
          <w:rFonts w:ascii="Franklin Gothic Book" w:hAnsi="Franklin Gothic Book"/>
        </w:rPr>
        <w:t>MitraClip</w:t>
      </w:r>
      <w:proofErr w:type="spellEnd"/>
      <w:r w:rsidR="00355833" w:rsidRPr="002F1124">
        <w:rPr>
          <w:rFonts w:ascii="Franklin Gothic Book" w:hAnsi="Franklin Gothic Book"/>
        </w:rPr>
        <w:t xml:space="preserve"> at 1 year</w:t>
      </w:r>
      <w:r w:rsidRPr="002F1124">
        <w:rPr>
          <w:rFonts w:ascii="Franklin Gothic Book" w:hAnsi="Franklin Gothic Book"/>
        </w:rPr>
        <w:t xml:space="preserve"> (p = 0.834)</w:t>
      </w:r>
      <w:r w:rsidR="00355833" w:rsidRPr="002F1124">
        <w:rPr>
          <w:rFonts w:ascii="Franklin Gothic Book" w:hAnsi="Franklin Gothic Book"/>
        </w:rPr>
        <w:t xml:space="preserve">. </w:t>
      </w:r>
      <w:r w:rsidR="00806565" w:rsidRPr="002F1124">
        <w:rPr>
          <w:rFonts w:ascii="Franklin Gothic Book" w:hAnsi="Franklin Gothic Book"/>
        </w:rPr>
        <w:t xml:space="preserve">MSAC </w:t>
      </w:r>
      <w:r w:rsidR="00C32042">
        <w:rPr>
          <w:rFonts w:ascii="Franklin Gothic Book" w:hAnsi="Franklin Gothic Book"/>
        </w:rPr>
        <w:t>had</w:t>
      </w:r>
      <w:r w:rsidR="00806565" w:rsidRPr="002F1124">
        <w:rPr>
          <w:rFonts w:ascii="Franklin Gothic Book" w:hAnsi="Franklin Gothic Book"/>
        </w:rPr>
        <w:t xml:space="preserve"> previously </w:t>
      </w:r>
      <w:r w:rsidR="00C32042">
        <w:rPr>
          <w:rFonts w:ascii="Franklin Gothic Book" w:hAnsi="Franklin Gothic Book"/>
        </w:rPr>
        <w:t>considered</w:t>
      </w:r>
      <w:r w:rsidR="00806565" w:rsidRPr="002F1124">
        <w:rPr>
          <w:rFonts w:ascii="Franklin Gothic Book" w:hAnsi="Franklin Gothic Book"/>
        </w:rPr>
        <w:t xml:space="preserve"> that 2</w:t>
      </w:r>
      <w:r w:rsidR="005D15A4" w:rsidRPr="002F1124">
        <w:rPr>
          <w:rFonts w:ascii="Franklin Gothic Book" w:hAnsi="Franklin Gothic Book"/>
        </w:rPr>
        <w:t>-</w:t>
      </w:r>
      <w:r w:rsidR="00806565" w:rsidRPr="002F1124">
        <w:rPr>
          <w:rFonts w:ascii="Franklin Gothic Book" w:hAnsi="Franklin Gothic Book"/>
        </w:rPr>
        <w:t>year</w:t>
      </w:r>
      <w:r w:rsidR="00706691" w:rsidRPr="002F1124">
        <w:rPr>
          <w:rFonts w:ascii="Franklin Gothic Book" w:hAnsi="Franklin Gothic Book"/>
        </w:rPr>
        <w:t xml:space="preserve"> NYHA</w:t>
      </w:r>
      <w:r w:rsidR="00806565" w:rsidRPr="002F1124">
        <w:rPr>
          <w:rFonts w:ascii="Franklin Gothic Book" w:hAnsi="Franklin Gothic Book"/>
        </w:rPr>
        <w:t xml:space="preserve"> follow up would be informative for </w:t>
      </w:r>
      <w:r w:rsidR="00706691" w:rsidRPr="002F1124">
        <w:rPr>
          <w:rFonts w:ascii="Franklin Gothic Book" w:hAnsi="Franklin Gothic Book"/>
        </w:rPr>
        <w:t>supporting non-inferiority.</w:t>
      </w:r>
    </w:p>
    <w:p w14:paraId="009F8449" w14:textId="77777777" w:rsidR="005D17C8" w:rsidRPr="002F1124" w:rsidRDefault="005D17C8" w:rsidP="005D17C8">
      <w:pPr>
        <w:pStyle w:val="Bullet"/>
        <w:rPr>
          <w:rFonts w:ascii="Franklin Gothic Book" w:hAnsi="Franklin Gothic Book"/>
        </w:rPr>
      </w:pPr>
      <w:r w:rsidRPr="002F1124">
        <w:rPr>
          <w:rFonts w:ascii="Franklin Gothic Book" w:hAnsi="Franklin Gothic Book"/>
        </w:rPr>
        <w:t xml:space="preserve">Significant improvement from baseline to 1 year was observed in both groups for KCCQ scores (p&lt;0.05 vs baseline). The mean overall KCCQ score improved by 15.2 points in the PASCAL group and 15.1 points in the </w:t>
      </w:r>
      <w:proofErr w:type="spellStart"/>
      <w:r w:rsidRPr="002F1124">
        <w:rPr>
          <w:rFonts w:ascii="Franklin Gothic Book" w:hAnsi="Franklin Gothic Book"/>
        </w:rPr>
        <w:t>MitraClip</w:t>
      </w:r>
      <w:proofErr w:type="spellEnd"/>
      <w:r w:rsidRPr="002F1124">
        <w:rPr>
          <w:rFonts w:ascii="Franklin Gothic Book" w:hAnsi="Franklin Gothic Book"/>
        </w:rPr>
        <w:t xml:space="preserve"> group corresponding to a moderate to large improvement in </w:t>
      </w:r>
      <w:proofErr w:type="gramStart"/>
      <w:r w:rsidRPr="002F1124">
        <w:rPr>
          <w:rFonts w:ascii="Franklin Gothic Book" w:hAnsi="Franklin Gothic Book"/>
        </w:rPr>
        <w:t>quality of life</w:t>
      </w:r>
      <w:proofErr w:type="gramEnd"/>
      <w:r w:rsidRPr="002F1124">
        <w:rPr>
          <w:rFonts w:ascii="Franklin Gothic Book" w:hAnsi="Franklin Gothic Book"/>
        </w:rPr>
        <w:t xml:space="preserve"> following </w:t>
      </w:r>
      <w:proofErr w:type="spellStart"/>
      <w:r w:rsidRPr="002F1124">
        <w:rPr>
          <w:rFonts w:ascii="Franklin Gothic Book" w:hAnsi="Franklin Gothic Book"/>
        </w:rPr>
        <w:t>TMVr</w:t>
      </w:r>
      <w:proofErr w:type="spellEnd"/>
      <w:r w:rsidRPr="002F1124">
        <w:rPr>
          <w:rFonts w:ascii="Franklin Gothic Book" w:hAnsi="Franklin Gothic Book"/>
        </w:rPr>
        <w:t>. ANCOVA analysis found no significant difference between groups at 1 year (p=0.447).</w:t>
      </w:r>
    </w:p>
    <w:p w14:paraId="094BB2BC" w14:textId="6D92CE96" w:rsidR="00355833" w:rsidRDefault="005D17C8" w:rsidP="002F1124">
      <w:pPr>
        <w:pStyle w:val="Bullet"/>
      </w:pPr>
      <w:r w:rsidRPr="005D17C8">
        <w:rPr>
          <w:rFonts w:ascii="Franklin Gothic Book" w:hAnsi="Franklin Gothic Book"/>
        </w:rPr>
        <w:t xml:space="preserve">Significant improvements in EQ-5D-5L scores were observed for both the PASCAL and </w:t>
      </w:r>
      <w:proofErr w:type="spellStart"/>
      <w:r w:rsidRPr="005D17C8">
        <w:rPr>
          <w:rFonts w:ascii="Franklin Gothic Book" w:hAnsi="Franklin Gothic Book"/>
        </w:rPr>
        <w:t>MitraClip</w:t>
      </w:r>
      <w:proofErr w:type="spellEnd"/>
      <w:r w:rsidRPr="005D17C8">
        <w:rPr>
          <w:rFonts w:ascii="Franklin Gothic Book" w:hAnsi="Franklin Gothic Book"/>
        </w:rPr>
        <w:t xml:space="preserve"> groups at 1 year (p&lt;0.05 vs baseline). Scores improved by 9.7 and 7.5 points, in the PASCAL and </w:t>
      </w:r>
      <w:proofErr w:type="spellStart"/>
      <w:r w:rsidRPr="005D17C8">
        <w:rPr>
          <w:rFonts w:ascii="Franklin Gothic Book" w:hAnsi="Franklin Gothic Book"/>
        </w:rPr>
        <w:t>MitraClip</w:t>
      </w:r>
      <w:proofErr w:type="spellEnd"/>
      <w:r w:rsidRPr="005D17C8">
        <w:rPr>
          <w:rFonts w:ascii="Franklin Gothic Book" w:hAnsi="Franklin Gothic Book"/>
        </w:rPr>
        <w:t xml:space="preserve"> groups, respectively. ANCOVA analysis found no significant difference between groups at 1 year (p=0.766).</w:t>
      </w:r>
      <w:r w:rsidR="00706691">
        <w:t xml:space="preserve"> </w:t>
      </w:r>
    </w:p>
    <w:p w14:paraId="0D09C9E4" w14:textId="761D4097" w:rsidR="00772829" w:rsidRPr="00CE28E3" w:rsidRDefault="00C36633" w:rsidP="002A18BE">
      <w:pPr>
        <w:pStyle w:val="Heading2"/>
        <w:numPr>
          <w:ilvl w:val="0"/>
          <w:numId w:val="0"/>
        </w:numPr>
      </w:pPr>
      <w:r>
        <w:lastRenderedPageBreak/>
        <w:t>1</w:t>
      </w:r>
      <w:r w:rsidR="005E3CDE">
        <w:t>3</w:t>
      </w:r>
      <w:r>
        <w:t>.</w:t>
      </w:r>
      <w:r>
        <w:tab/>
      </w:r>
      <w:r w:rsidR="00772829" w:rsidRPr="00CE28E3">
        <w:t>Economic evaluation</w:t>
      </w:r>
      <w:bookmarkEnd w:id="33"/>
    </w:p>
    <w:p w14:paraId="45DA0332" w14:textId="1F48BC09" w:rsidR="00692F23" w:rsidRPr="001F604B" w:rsidRDefault="00692F23" w:rsidP="000E5531">
      <w:pPr>
        <w:pStyle w:val="Guidelinescross-ref"/>
        <w:rPr>
          <w:b w:val="0"/>
          <w:color w:val="auto"/>
          <w:sz w:val="22"/>
        </w:rPr>
      </w:pPr>
      <w:r w:rsidRPr="001F604B">
        <w:rPr>
          <w:b w:val="0"/>
          <w:color w:val="auto"/>
          <w:sz w:val="22"/>
        </w:rPr>
        <w:t xml:space="preserve">The ADAR presented a cost-minimisation model </w:t>
      </w:r>
      <w:r w:rsidR="00F63D44">
        <w:rPr>
          <w:b w:val="0"/>
          <w:color w:val="auto"/>
          <w:sz w:val="22"/>
        </w:rPr>
        <w:t>(</w:t>
      </w:r>
      <w:r w:rsidR="007B4C94" w:rsidRPr="007B4C94">
        <w:rPr>
          <w:b w:val="0"/>
          <w:bCs/>
          <w:color w:val="auto"/>
          <w:sz w:val="22"/>
        </w:rPr>
        <w:fldChar w:fldCharType="begin"/>
      </w:r>
      <w:r w:rsidR="007B4C94" w:rsidRPr="007B4C94">
        <w:rPr>
          <w:b w:val="0"/>
          <w:bCs/>
          <w:color w:val="auto"/>
          <w:sz w:val="22"/>
        </w:rPr>
        <w:instrText xml:space="preserve"> REF _Ref69725820 \h </w:instrText>
      </w:r>
      <w:r w:rsidR="007B4C94" w:rsidRPr="002F1124">
        <w:rPr>
          <w:b w:val="0"/>
          <w:bCs/>
          <w:color w:val="auto"/>
          <w:sz w:val="22"/>
        </w:rPr>
        <w:instrText xml:space="preserve"> \* MERGEFORMAT </w:instrText>
      </w:r>
      <w:r w:rsidR="007B4C94" w:rsidRPr="007B4C94">
        <w:rPr>
          <w:b w:val="0"/>
          <w:bCs/>
          <w:color w:val="auto"/>
          <w:sz w:val="22"/>
        </w:rPr>
      </w:r>
      <w:r w:rsidR="007B4C94" w:rsidRPr="007B4C94">
        <w:rPr>
          <w:b w:val="0"/>
          <w:bCs/>
          <w:color w:val="auto"/>
          <w:sz w:val="22"/>
        </w:rPr>
        <w:fldChar w:fldCharType="separate"/>
      </w:r>
      <w:r w:rsidR="007B4C94" w:rsidRPr="002F1124">
        <w:rPr>
          <w:b w:val="0"/>
          <w:bCs/>
          <w:color w:val="auto"/>
          <w:sz w:val="22"/>
        </w:rPr>
        <w:t>Table 6</w:t>
      </w:r>
      <w:r w:rsidR="007B4C94" w:rsidRPr="007B4C94">
        <w:rPr>
          <w:b w:val="0"/>
          <w:bCs/>
          <w:color w:val="auto"/>
          <w:sz w:val="22"/>
        </w:rPr>
        <w:fldChar w:fldCharType="end"/>
      </w:r>
      <w:r w:rsidR="00F63D44">
        <w:rPr>
          <w:b w:val="0"/>
          <w:color w:val="auto"/>
          <w:sz w:val="22"/>
        </w:rPr>
        <w:t>)</w:t>
      </w:r>
      <w:r w:rsidRPr="001F604B">
        <w:rPr>
          <w:b w:val="0"/>
          <w:color w:val="auto"/>
          <w:sz w:val="22"/>
        </w:rPr>
        <w:t xml:space="preserve"> as per the previous </w:t>
      </w:r>
      <w:r w:rsidR="00A735F4" w:rsidRPr="001F604B">
        <w:rPr>
          <w:b w:val="0"/>
          <w:color w:val="auto"/>
          <w:sz w:val="22"/>
        </w:rPr>
        <w:t>ADAR</w:t>
      </w:r>
      <w:r w:rsidR="00E51702" w:rsidRPr="001F604B">
        <w:rPr>
          <w:b w:val="0"/>
          <w:color w:val="auto"/>
          <w:sz w:val="22"/>
        </w:rPr>
        <w:t xml:space="preserve"> (MSAC 1662.1)</w:t>
      </w:r>
      <w:r w:rsidR="00A735F4" w:rsidRPr="001F604B">
        <w:rPr>
          <w:b w:val="0"/>
          <w:color w:val="auto"/>
          <w:sz w:val="22"/>
        </w:rPr>
        <w:t>, with the following adjustments:</w:t>
      </w:r>
    </w:p>
    <w:p w14:paraId="76A182B2" w14:textId="7EA897EF" w:rsidR="00A735F4" w:rsidRPr="001F604B" w:rsidRDefault="00A735F4" w:rsidP="00626B64">
      <w:pPr>
        <w:pStyle w:val="Guidelinescross-ref"/>
        <w:numPr>
          <w:ilvl w:val="0"/>
          <w:numId w:val="9"/>
        </w:numPr>
        <w:rPr>
          <w:b w:val="0"/>
          <w:color w:val="auto"/>
          <w:sz w:val="22"/>
        </w:rPr>
      </w:pPr>
      <w:r w:rsidRPr="001F604B">
        <w:rPr>
          <w:b w:val="0"/>
          <w:color w:val="auto"/>
          <w:sz w:val="22"/>
        </w:rPr>
        <w:t>Confined to DMR a</w:t>
      </w:r>
      <w:r w:rsidR="00621BC9" w:rsidRPr="001F604B">
        <w:rPr>
          <w:b w:val="0"/>
          <w:color w:val="auto"/>
          <w:sz w:val="22"/>
        </w:rPr>
        <w:t xml:space="preserve">s FMR </w:t>
      </w:r>
      <w:r w:rsidR="00E36FFE">
        <w:rPr>
          <w:b w:val="0"/>
          <w:color w:val="auto"/>
          <w:sz w:val="22"/>
        </w:rPr>
        <w:t xml:space="preserve">was </w:t>
      </w:r>
      <w:r w:rsidR="00621BC9" w:rsidRPr="001F604B">
        <w:rPr>
          <w:b w:val="0"/>
          <w:color w:val="auto"/>
          <w:sz w:val="22"/>
        </w:rPr>
        <w:t xml:space="preserve">removed from this </w:t>
      </w:r>
      <w:proofErr w:type="gramStart"/>
      <w:r w:rsidR="00621BC9" w:rsidRPr="001F604B">
        <w:rPr>
          <w:b w:val="0"/>
          <w:color w:val="auto"/>
          <w:sz w:val="22"/>
        </w:rPr>
        <w:t>application</w:t>
      </w:r>
      <w:proofErr w:type="gramEnd"/>
    </w:p>
    <w:p w14:paraId="57253505" w14:textId="3D32F6A6" w:rsidR="00621BC9" w:rsidRPr="001F604B" w:rsidRDefault="00621BC9" w:rsidP="00626B64">
      <w:pPr>
        <w:pStyle w:val="Guidelinescross-ref"/>
        <w:numPr>
          <w:ilvl w:val="0"/>
          <w:numId w:val="9"/>
        </w:numPr>
        <w:rPr>
          <w:b w:val="0"/>
          <w:color w:val="auto"/>
          <w:sz w:val="22"/>
        </w:rPr>
      </w:pPr>
      <w:r w:rsidRPr="001F604B">
        <w:rPr>
          <w:b w:val="0"/>
          <w:color w:val="auto"/>
          <w:sz w:val="22"/>
        </w:rPr>
        <w:t xml:space="preserve">Updated rates of adverse advents based on the randomised control trial direct comparison between PASCAL and the </w:t>
      </w:r>
      <w:proofErr w:type="spellStart"/>
      <w:r w:rsidRPr="001F604B">
        <w:rPr>
          <w:b w:val="0"/>
          <w:color w:val="auto"/>
          <w:sz w:val="22"/>
        </w:rPr>
        <w:t>MitraClip</w:t>
      </w:r>
      <w:proofErr w:type="spellEnd"/>
      <w:r w:rsidRPr="001F604B">
        <w:rPr>
          <w:b w:val="0"/>
          <w:color w:val="auto"/>
          <w:sz w:val="22"/>
        </w:rPr>
        <w:t>.</w:t>
      </w:r>
    </w:p>
    <w:p w14:paraId="7832FEBA" w14:textId="36E1B6C3" w:rsidR="00C107C3" w:rsidRPr="00CE28E3" w:rsidRDefault="00C107C3" w:rsidP="00DA079E">
      <w:pPr>
        <w:pStyle w:val="TableFigureHeading"/>
      </w:pPr>
      <w:bookmarkStart w:id="37" w:name="_Ref69725820"/>
      <w:bookmarkStart w:id="38" w:name="_Ref155689987"/>
      <w:r w:rsidRPr="00CE28E3">
        <w:t>Table</w:t>
      </w:r>
      <w:r w:rsidR="004A4FDF">
        <w:t> </w:t>
      </w:r>
      <w:r w:rsidRPr="00CE28E3">
        <w:rPr>
          <w:noProof/>
        </w:rPr>
        <w:fldChar w:fldCharType="begin"/>
      </w:r>
      <w:r w:rsidRPr="00CE28E3">
        <w:rPr>
          <w:noProof/>
        </w:rPr>
        <w:instrText xml:space="preserve"> SEQ Table \* ARABIC </w:instrText>
      </w:r>
      <w:r w:rsidRPr="00CE28E3">
        <w:rPr>
          <w:noProof/>
        </w:rPr>
        <w:fldChar w:fldCharType="separate"/>
      </w:r>
      <w:r w:rsidR="007B4C94">
        <w:rPr>
          <w:noProof/>
        </w:rPr>
        <w:t>6</w:t>
      </w:r>
      <w:r w:rsidRPr="00CE28E3">
        <w:rPr>
          <w:noProof/>
        </w:rPr>
        <w:fldChar w:fldCharType="end"/>
      </w:r>
      <w:bookmarkEnd w:id="37"/>
      <w:r w:rsidR="002067B3">
        <w:t xml:space="preserve"> </w:t>
      </w:r>
      <w:r w:rsidRPr="00CE28E3">
        <w:t>Summary of the economic evaluation</w:t>
      </w:r>
      <w:bookmarkEnd w:id="38"/>
      <w:r w:rsidRPr="00CE28E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1777"/>
        <w:gridCol w:w="7239"/>
      </w:tblGrid>
      <w:tr w:rsidR="00C72890" w:rsidRPr="00CE28E3" w14:paraId="3C0DF1BD" w14:textId="2726922C" w:rsidTr="002F1124">
        <w:trPr>
          <w:tblHeader/>
        </w:trPr>
        <w:tc>
          <w:tcPr>
            <w:tcW w:w="0" w:type="auto"/>
            <w:shd w:val="clear" w:color="auto" w:fill="auto"/>
          </w:tcPr>
          <w:p w14:paraId="57632985" w14:textId="77777777" w:rsidR="00C72890" w:rsidRPr="000449D1" w:rsidRDefault="00C72890" w:rsidP="002F1124">
            <w:pPr>
              <w:pStyle w:val="In-tableHeading"/>
            </w:pPr>
            <w:bookmarkStart w:id="39" w:name="Title_Table5"/>
            <w:bookmarkStart w:id="40" w:name="_Hlk68276446"/>
            <w:bookmarkEnd w:id="39"/>
            <w:r w:rsidRPr="000449D1">
              <w:t>Component</w:t>
            </w:r>
          </w:p>
        </w:tc>
        <w:tc>
          <w:tcPr>
            <w:tcW w:w="0" w:type="auto"/>
            <w:shd w:val="clear" w:color="auto" w:fill="auto"/>
          </w:tcPr>
          <w:p w14:paraId="123CA837" w14:textId="77777777" w:rsidR="00C72890" w:rsidRPr="000449D1" w:rsidRDefault="00C72890" w:rsidP="002F1124">
            <w:pPr>
              <w:pStyle w:val="In-tableHeading"/>
            </w:pPr>
            <w:r w:rsidRPr="000449D1">
              <w:t>Description</w:t>
            </w:r>
          </w:p>
        </w:tc>
      </w:tr>
      <w:tr w:rsidR="00C72890" w:rsidRPr="000449D1" w14:paraId="31113E27" w14:textId="755DAA21" w:rsidTr="002F1124">
        <w:tc>
          <w:tcPr>
            <w:tcW w:w="0" w:type="auto"/>
            <w:shd w:val="clear" w:color="auto" w:fill="auto"/>
          </w:tcPr>
          <w:p w14:paraId="7DFFBC7E" w14:textId="77777777" w:rsidR="00C72890" w:rsidRPr="000449D1" w:rsidRDefault="00C72890" w:rsidP="00670650">
            <w:pPr>
              <w:pStyle w:val="TableText"/>
              <w:keepNext/>
              <w:rPr>
                <w:szCs w:val="20"/>
              </w:rPr>
            </w:pPr>
            <w:r w:rsidRPr="000449D1">
              <w:rPr>
                <w:szCs w:val="20"/>
              </w:rPr>
              <w:t>Perspective</w:t>
            </w:r>
          </w:p>
        </w:tc>
        <w:tc>
          <w:tcPr>
            <w:tcW w:w="0" w:type="auto"/>
            <w:shd w:val="clear" w:color="auto" w:fill="auto"/>
          </w:tcPr>
          <w:p w14:paraId="56EF2FFF" w14:textId="5E218EFE" w:rsidR="00C72890" w:rsidRPr="000449D1" w:rsidRDefault="00C72890" w:rsidP="00670650">
            <w:pPr>
              <w:pStyle w:val="TableText"/>
              <w:keepNext/>
              <w:rPr>
                <w:szCs w:val="20"/>
              </w:rPr>
            </w:pPr>
            <w:r>
              <w:rPr>
                <w:szCs w:val="20"/>
              </w:rPr>
              <w:t>Australian Healthcare System</w:t>
            </w:r>
          </w:p>
        </w:tc>
      </w:tr>
      <w:tr w:rsidR="00C72890" w:rsidRPr="000449D1" w14:paraId="750830A5" w14:textId="33978BE8" w:rsidTr="002F1124">
        <w:tc>
          <w:tcPr>
            <w:tcW w:w="0" w:type="auto"/>
            <w:shd w:val="clear" w:color="auto" w:fill="auto"/>
          </w:tcPr>
          <w:p w14:paraId="59B80C68" w14:textId="77777777" w:rsidR="00C72890" w:rsidRPr="000449D1" w:rsidRDefault="00C72890" w:rsidP="00670650">
            <w:pPr>
              <w:pStyle w:val="TableText"/>
              <w:keepNext/>
              <w:rPr>
                <w:szCs w:val="20"/>
              </w:rPr>
            </w:pPr>
            <w:r w:rsidRPr="000449D1">
              <w:rPr>
                <w:szCs w:val="20"/>
              </w:rPr>
              <w:t>Comparator</w:t>
            </w:r>
          </w:p>
        </w:tc>
        <w:tc>
          <w:tcPr>
            <w:tcW w:w="0" w:type="auto"/>
            <w:shd w:val="clear" w:color="auto" w:fill="auto"/>
          </w:tcPr>
          <w:p w14:paraId="04C0D717" w14:textId="448A8397" w:rsidR="00C72890" w:rsidRPr="000449D1" w:rsidRDefault="00C72890" w:rsidP="00670650">
            <w:pPr>
              <w:pStyle w:val="TableText"/>
              <w:keepNext/>
              <w:rPr>
                <w:szCs w:val="20"/>
              </w:rPr>
            </w:pPr>
            <w:proofErr w:type="spellStart"/>
            <w:r>
              <w:rPr>
                <w:szCs w:val="20"/>
              </w:rPr>
              <w:t>MitraClip</w:t>
            </w:r>
            <w:proofErr w:type="spellEnd"/>
          </w:p>
        </w:tc>
      </w:tr>
      <w:tr w:rsidR="00C72890" w:rsidRPr="000449D1" w14:paraId="352DFBB5" w14:textId="23E331A7" w:rsidTr="002F1124">
        <w:tc>
          <w:tcPr>
            <w:tcW w:w="0" w:type="auto"/>
            <w:shd w:val="clear" w:color="auto" w:fill="auto"/>
          </w:tcPr>
          <w:p w14:paraId="563F18FC" w14:textId="77777777" w:rsidR="00C72890" w:rsidRPr="000449D1" w:rsidRDefault="00C72890" w:rsidP="00670650">
            <w:pPr>
              <w:pStyle w:val="TableText"/>
              <w:keepNext/>
              <w:rPr>
                <w:szCs w:val="20"/>
              </w:rPr>
            </w:pPr>
            <w:r w:rsidRPr="000449D1">
              <w:rPr>
                <w:szCs w:val="20"/>
              </w:rPr>
              <w:t>Type(s) of analysis</w:t>
            </w:r>
          </w:p>
        </w:tc>
        <w:tc>
          <w:tcPr>
            <w:tcW w:w="0" w:type="auto"/>
            <w:shd w:val="clear" w:color="auto" w:fill="auto"/>
          </w:tcPr>
          <w:p w14:paraId="4DAE5CE1" w14:textId="6398D0DB" w:rsidR="00C72890" w:rsidRPr="000449D1" w:rsidRDefault="00C72890" w:rsidP="00670650">
            <w:pPr>
              <w:pStyle w:val="TableText"/>
              <w:keepNext/>
              <w:rPr>
                <w:szCs w:val="20"/>
              </w:rPr>
            </w:pPr>
            <w:r>
              <w:rPr>
                <w:szCs w:val="20"/>
              </w:rPr>
              <w:t>Cost minimisation</w:t>
            </w:r>
          </w:p>
        </w:tc>
      </w:tr>
      <w:tr w:rsidR="00C72890" w:rsidRPr="000449D1" w14:paraId="643C0794" w14:textId="7BA4E085" w:rsidTr="002F1124">
        <w:tc>
          <w:tcPr>
            <w:tcW w:w="0" w:type="auto"/>
            <w:shd w:val="clear" w:color="auto" w:fill="auto"/>
          </w:tcPr>
          <w:p w14:paraId="42B1D84D" w14:textId="77777777" w:rsidR="00C72890" w:rsidRPr="000449D1" w:rsidRDefault="00C72890" w:rsidP="00670650">
            <w:pPr>
              <w:pStyle w:val="TableText"/>
              <w:keepNext/>
              <w:rPr>
                <w:szCs w:val="20"/>
              </w:rPr>
            </w:pPr>
            <w:r w:rsidRPr="000449D1">
              <w:rPr>
                <w:szCs w:val="20"/>
              </w:rPr>
              <w:t>Time horizon</w:t>
            </w:r>
          </w:p>
        </w:tc>
        <w:tc>
          <w:tcPr>
            <w:tcW w:w="0" w:type="auto"/>
            <w:shd w:val="clear" w:color="auto" w:fill="auto"/>
          </w:tcPr>
          <w:p w14:paraId="3BC3DE82" w14:textId="5D5A8247" w:rsidR="00C72890" w:rsidRPr="000449D1" w:rsidRDefault="00C72890" w:rsidP="00670650">
            <w:pPr>
              <w:pStyle w:val="TableText"/>
              <w:keepNext/>
              <w:rPr>
                <w:szCs w:val="20"/>
              </w:rPr>
            </w:pPr>
            <w:r>
              <w:rPr>
                <w:szCs w:val="20"/>
              </w:rPr>
              <w:t>30 days (also 1 year presented in Excel model but not presented in ADAR)</w:t>
            </w:r>
          </w:p>
        </w:tc>
      </w:tr>
      <w:tr w:rsidR="00C72890" w:rsidRPr="000449D1" w14:paraId="0949BCCC" w14:textId="4456977C" w:rsidTr="002F1124">
        <w:tc>
          <w:tcPr>
            <w:tcW w:w="0" w:type="auto"/>
            <w:shd w:val="clear" w:color="auto" w:fill="auto"/>
          </w:tcPr>
          <w:p w14:paraId="6DFB973F" w14:textId="77777777" w:rsidR="00C72890" w:rsidRPr="000449D1" w:rsidRDefault="00C72890" w:rsidP="00670650">
            <w:pPr>
              <w:pStyle w:val="TableText"/>
              <w:keepNext/>
              <w:rPr>
                <w:szCs w:val="20"/>
              </w:rPr>
            </w:pPr>
            <w:r w:rsidRPr="000449D1">
              <w:rPr>
                <w:szCs w:val="20"/>
              </w:rPr>
              <w:t>Computational method</w:t>
            </w:r>
          </w:p>
        </w:tc>
        <w:tc>
          <w:tcPr>
            <w:tcW w:w="0" w:type="auto"/>
            <w:shd w:val="clear" w:color="auto" w:fill="auto"/>
          </w:tcPr>
          <w:p w14:paraId="67E64DF6" w14:textId="70FB8BD2" w:rsidR="00C72890" w:rsidRPr="000449D1" w:rsidRDefault="00C72890" w:rsidP="00670650">
            <w:pPr>
              <w:pStyle w:val="TableText"/>
              <w:keepNext/>
              <w:rPr>
                <w:szCs w:val="20"/>
              </w:rPr>
            </w:pPr>
            <w:r>
              <w:rPr>
                <w:szCs w:val="20"/>
              </w:rPr>
              <w:t>C</w:t>
            </w:r>
            <w:r w:rsidRPr="000449D1">
              <w:rPr>
                <w:szCs w:val="20"/>
              </w:rPr>
              <w:t>ohort expected value</w:t>
            </w:r>
          </w:p>
        </w:tc>
      </w:tr>
      <w:tr w:rsidR="00C72890" w:rsidRPr="000449D1" w14:paraId="780AB6C6" w14:textId="5D51678D" w:rsidTr="002F1124">
        <w:tc>
          <w:tcPr>
            <w:tcW w:w="0" w:type="auto"/>
            <w:shd w:val="clear" w:color="auto" w:fill="auto"/>
          </w:tcPr>
          <w:p w14:paraId="6CDC9D32" w14:textId="77777777" w:rsidR="00C72890" w:rsidRPr="000449D1" w:rsidRDefault="00C72890" w:rsidP="00670650">
            <w:pPr>
              <w:pStyle w:val="TableText"/>
              <w:keepNext/>
              <w:rPr>
                <w:szCs w:val="20"/>
              </w:rPr>
            </w:pPr>
            <w:r w:rsidRPr="000449D1">
              <w:rPr>
                <w:szCs w:val="20"/>
              </w:rPr>
              <w:t>Generation of the base case</w:t>
            </w:r>
          </w:p>
        </w:tc>
        <w:tc>
          <w:tcPr>
            <w:tcW w:w="0" w:type="auto"/>
            <w:shd w:val="clear" w:color="auto" w:fill="auto"/>
          </w:tcPr>
          <w:p w14:paraId="6687851E" w14:textId="4FD40500" w:rsidR="00C72890" w:rsidRPr="000449D1" w:rsidRDefault="00C72890" w:rsidP="00670650">
            <w:pPr>
              <w:pStyle w:val="TableText"/>
              <w:keepNext/>
              <w:rPr>
                <w:szCs w:val="20"/>
              </w:rPr>
            </w:pPr>
            <w:r>
              <w:rPr>
                <w:szCs w:val="20"/>
              </w:rPr>
              <w:t>Trial-based</w:t>
            </w:r>
          </w:p>
        </w:tc>
      </w:tr>
      <w:tr w:rsidR="00EC7D21" w:rsidRPr="000449D1" w14:paraId="51C39041" w14:textId="77777777" w:rsidTr="002F1124">
        <w:tc>
          <w:tcPr>
            <w:tcW w:w="0" w:type="auto"/>
            <w:shd w:val="clear" w:color="auto" w:fill="auto"/>
          </w:tcPr>
          <w:p w14:paraId="01366702" w14:textId="45EEC715" w:rsidR="00EC7D21" w:rsidRPr="000449D1" w:rsidRDefault="0084322A" w:rsidP="00670650">
            <w:pPr>
              <w:pStyle w:val="TableText"/>
              <w:keepNext/>
              <w:rPr>
                <w:szCs w:val="20"/>
              </w:rPr>
            </w:pPr>
            <w:r>
              <w:rPr>
                <w:szCs w:val="20"/>
              </w:rPr>
              <w:t>Direct health technology costs</w:t>
            </w:r>
          </w:p>
        </w:tc>
        <w:tc>
          <w:tcPr>
            <w:tcW w:w="0" w:type="auto"/>
            <w:shd w:val="clear" w:color="auto" w:fill="auto"/>
          </w:tcPr>
          <w:p w14:paraId="1F1A5F37" w14:textId="33861E14" w:rsidR="00EC7D21" w:rsidRDefault="0084322A" w:rsidP="00670650">
            <w:pPr>
              <w:pStyle w:val="TableText"/>
              <w:keepNext/>
              <w:rPr>
                <w:szCs w:val="20"/>
              </w:rPr>
            </w:pPr>
            <w:r>
              <w:rPr>
                <w:szCs w:val="20"/>
              </w:rPr>
              <w:t xml:space="preserve">The direct healthcare cost (procedural cost) of PASCAL is equivalent to </w:t>
            </w:r>
            <w:proofErr w:type="spellStart"/>
            <w:r>
              <w:rPr>
                <w:szCs w:val="20"/>
              </w:rPr>
              <w:t>MitraClip</w:t>
            </w:r>
            <w:proofErr w:type="spellEnd"/>
          </w:p>
        </w:tc>
      </w:tr>
      <w:tr w:rsidR="0084322A" w:rsidRPr="000449D1" w14:paraId="15161454" w14:textId="77777777" w:rsidTr="002F1124">
        <w:tc>
          <w:tcPr>
            <w:tcW w:w="0" w:type="auto"/>
            <w:tcBorders>
              <w:bottom w:val="single" w:sz="4" w:space="0" w:color="auto"/>
            </w:tcBorders>
            <w:shd w:val="clear" w:color="auto" w:fill="auto"/>
          </w:tcPr>
          <w:p w14:paraId="51AF6D4F" w14:textId="3317B716" w:rsidR="0084322A" w:rsidRDefault="0084322A" w:rsidP="00670650">
            <w:pPr>
              <w:pStyle w:val="TableText"/>
              <w:keepNext/>
              <w:rPr>
                <w:szCs w:val="20"/>
              </w:rPr>
            </w:pPr>
            <w:r>
              <w:rPr>
                <w:szCs w:val="20"/>
              </w:rPr>
              <w:t>Other costs or cost offsets</w:t>
            </w:r>
          </w:p>
        </w:tc>
        <w:tc>
          <w:tcPr>
            <w:tcW w:w="0" w:type="auto"/>
            <w:tcBorders>
              <w:bottom w:val="single" w:sz="4" w:space="0" w:color="auto"/>
            </w:tcBorders>
            <w:shd w:val="clear" w:color="auto" w:fill="auto"/>
          </w:tcPr>
          <w:p w14:paraId="5201408C" w14:textId="5059A3B0" w:rsidR="0084322A" w:rsidRDefault="0084322A" w:rsidP="00670650">
            <w:pPr>
              <w:pStyle w:val="TableText"/>
              <w:keepNext/>
              <w:rPr>
                <w:szCs w:val="20"/>
              </w:rPr>
            </w:pPr>
            <w:r>
              <w:rPr>
                <w:szCs w:val="20"/>
              </w:rPr>
              <w:t xml:space="preserve">Reintervention and adverse event costs are included in the economic evaluation based on the </w:t>
            </w:r>
            <w:r w:rsidR="00E36FFE">
              <w:rPr>
                <w:szCs w:val="20"/>
              </w:rPr>
              <w:t xml:space="preserve">CLASP </w:t>
            </w:r>
            <w:r>
              <w:rPr>
                <w:szCs w:val="20"/>
              </w:rPr>
              <w:t>IID RCT</w:t>
            </w:r>
            <w:r w:rsidR="00654ACB">
              <w:rPr>
                <w:szCs w:val="20"/>
              </w:rPr>
              <w:t xml:space="preserve"> direct comparative </w:t>
            </w:r>
            <w:r w:rsidR="00AD3DA9">
              <w:rPr>
                <w:szCs w:val="20"/>
              </w:rPr>
              <w:t xml:space="preserve">rate of </w:t>
            </w:r>
            <w:r w:rsidR="00654ACB">
              <w:rPr>
                <w:szCs w:val="20"/>
              </w:rPr>
              <w:t>MAEs at 30 days (base case) and 1 year (sensitivity analysis)</w:t>
            </w:r>
            <w:r>
              <w:rPr>
                <w:szCs w:val="20"/>
              </w:rPr>
              <w:t xml:space="preserve">. </w:t>
            </w:r>
          </w:p>
        </w:tc>
      </w:tr>
      <w:tr w:rsidR="00C72890" w:rsidRPr="000449D1" w14:paraId="507E6356" w14:textId="7BFC4306" w:rsidTr="002F1124">
        <w:tc>
          <w:tcPr>
            <w:tcW w:w="0" w:type="auto"/>
            <w:shd w:val="clear" w:color="auto" w:fill="auto"/>
          </w:tcPr>
          <w:p w14:paraId="23A08C87" w14:textId="77777777" w:rsidR="00C72890" w:rsidRPr="000449D1" w:rsidRDefault="00C72890" w:rsidP="00670650">
            <w:pPr>
              <w:pStyle w:val="TableText"/>
              <w:keepNext/>
              <w:rPr>
                <w:szCs w:val="20"/>
              </w:rPr>
            </w:pPr>
            <w:r w:rsidRPr="000449D1">
              <w:rPr>
                <w:szCs w:val="20"/>
              </w:rPr>
              <w:t>Software</w:t>
            </w:r>
          </w:p>
        </w:tc>
        <w:tc>
          <w:tcPr>
            <w:tcW w:w="0" w:type="auto"/>
            <w:shd w:val="clear" w:color="auto" w:fill="auto"/>
          </w:tcPr>
          <w:p w14:paraId="613BDC46" w14:textId="5E3E2EBB" w:rsidR="00C72890" w:rsidRPr="000449D1" w:rsidRDefault="00C72890" w:rsidP="00670650">
            <w:pPr>
              <w:pStyle w:val="TableText"/>
              <w:keepNext/>
            </w:pPr>
            <w:r>
              <w:t>Excel</w:t>
            </w:r>
          </w:p>
        </w:tc>
      </w:tr>
    </w:tbl>
    <w:bookmarkEnd w:id="40"/>
    <w:p w14:paraId="2B96D74F" w14:textId="60F2A0E5" w:rsidR="009600FC" w:rsidRDefault="009600FC" w:rsidP="002F1124">
      <w:pPr>
        <w:pStyle w:val="TableFooter"/>
      </w:pPr>
      <w:r>
        <w:t xml:space="preserve">Source: </w:t>
      </w:r>
      <w:r w:rsidR="001B2F97">
        <w:t>Table 17, p58 of MSAC</w:t>
      </w:r>
      <w:r w:rsidR="000A0118">
        <w:t xml:space="preserve"> 1662.2 ADAR</w:t>
      </w:r>
      <w:r w:rsidR="005726BA">
        <w:t>.</w:t>
      </w:r>
    </w:p>
    <w:p w14:paraId="7316DBF0" w14:textId="6DF30E61" w:rsidR="00BF4608" w:rsidRDefault="00BF4608" w:rsidP="002F1124">
      <w:pPr>
        <w:pStyle w:val="TableFooter"/>
      </w:pPr>
      <w:r>
        <w:t xml:space="preserve">Abbreviations: MAEs, </w:t>
      </w:r>
      <w:r w:rsidRPr="00F07617">
        <w:t>major adverse events</w:t>
      </w:r>
      <w:r w:rsidR="00B81742">
        <w:t>.</w:t>
      </w:r>
      <w:r w:rsidR="00260A52">
        <w:t xml:space="preserve"> </w:t>
      </w:r>
    </w:p>
    <w:p w14:paraId="313E24AD" w14:textId="38B78284" w:rsidR="002751FE" w:rsidRPr="00602103" w:rsidRDefault="002751FE" w:rsidP="002751FE">
      <w:pPr>
        <w:pStyle w:val="Guidelinescross-ref"/>
        <w:rPr>
          <w:i/>
          <w:color w:val="auto"/>
        </w:rPr>
      </w:pPr>
      <w:r w:rsidRPr="00602103">
        <w:rPr>
          <w:i/>
          <w:color w:val="auto"/>
        </w:rPr>
        <w:t>Procedure costs</w:t>
      </w:r>
    </w:p>
    <w:p w14:paraId="348D0106" w14:textId="14CAAB53" w:rsidR="00E107C7" w:rsidRPr="002B11C3" w:rsidRDefault="002751FE" w:rsidP="002B11C3">
      <w:pPr>
        <w:pStyle w:val="Guidelinescross-ref"/>
        <w:rPr>
          <w:b w:val="0"/>
          <w:color w:val="auto"/>
          <w:sz w:val="22"/>
        </w:rPr>
      </w:pPr>
      <w:r w:rsidRPr="0078303D">
        <w:rPr>
          <w:b w:val="0"/>
          <w:color w:val="auto"/>
          <w:sz w:val="22"/>
        </w:rPr>
        <w:t xml:space="preserve">As per the previous ADAR, the current ADAR reported the costs of the procedure include MBS and non-MBS related costs and are assumed to be equal for both PASCAL and </w:t>
      </w:r>
      <w:proofErr w:type="spellStart"/>
      <w:r w:rsidRPr="0078303D">
        <w:rPr>
          <w:b w:val="0"/>
          <w:color w:val="auto"/>
          <w:sz w:val="22"/>
        </w:rPr>
        <w:t>MitraClip</w:t>
      </w:r>
      <w:proofErr w:type="spellEnd"/>
      <w:r w:rsidRPr="0078303D">
        <w:rPr>
          <w:b w:val="0"/>
          <w:color w:val="auto"/>
          <w:sz w:val="22"/>
        </w:rPr>
        <w:t xml:space="preserve"> populations </w:t>
      </w:r>
      <w:r w:rsidR="00370EF2" w:rsidRPr="00370EF2">
        <w:rPr>
          <w:b w:val="0"/>
          <w:color w:val="auto"/>
          <w:sz w:val="22"/>
        </w:rPr>
        <w:t>(</w:t>
      </w:r>
      <w:r w:rsidR="00370EF2" w:rsidRPr="00370EF2">
        <w:rPr>
          <w:b w:val="0"/>
          <w:color w:val="auto"/>
          <w:sz w:val="22"/>
        </w:rPr>
        <w:fldChar w:fldCharType="begin"/>
      </w:r>
      <w:r w:rsidR="00370EF2" w:rsidRPr="00370EF2">
        <w:rPr>
          <w:b w:val="0"/>
          <w:color w:val="auto"/>
          <w:sz w:val="22"/>
        </w:rPr>
        <w:instrText xml:space="preserve"> REF _Ref155690194 \h </w:instrText>
      </w:r>
      <w:r w:rsidR="00370EF2" w:rsidRPr="002F1124">
        <w:rPr>
          <w:b w:val="0"/>
          <w:color w:val="auto"/>
          <w:sz w:val="22"/>
        </w:rPr>
        <w:instrText xml:space="preserve"> \* MERGEFORMAT </w:instrText>
      </w:r>
      <w:r w:rsidR="00370EF2" w:rsidRPr="00370EF2">
        <w:rPr>
          <w:b w:val="0"/>
          <w:color w:val="auto"/>
          <w:sz w:val="22"/>
        </w:rPr>
      </w:r>
      <w:r w:rsidR="00370EF2" w:rsidRPr="00370EF2">
        <w:rPr>
          <w:b w:val="0"/>
          <w:color w:val="auto"/>
          <w:sz w:val="22"/>
        </w:rPr>
        <w:fldChar w:fldCharType="separate"/>
      </w:r>
      <w:r w:rsidR="00370EF2" w:rsidRPr="002F1124">
        <w:rPr>
          <w:b w:val="0"/>
          <w:color w:val="auto"/>
          <w:sz w:val="22"/>
        </w:rPr>
        <w:t xml:space="preserve">Table </w:t>
      </w:r>
      <w:r w:rsidR="00370EF2" w:rsidRPr="002F1124">
        <w:rPr>
          <w:b w:val="0"/>
          <w:noProof/>
          <w:color w:val="auto"/>
          <w:sz w:val="22"/>
        </w:rPr>
        <w:t>7</w:t>
      </w:r>
      <w:r w:rsidR="00370EF2" w:rsidRPr="00370EF2">
        <w:rPr>
          <w:b w:val="0"/>
          <w:color w:val="auto"/>
          <w:sz w:val="22"/>
        </w:rPr>
        <w:fldChar w:fldCharType="end"/>
      </w:r>
      <w:r w:rsidRPr="0078303D">
        <w:rPr>
          <w:b w:val="0"/>
          <w:color w:val="auto"/>
          <w:sz w:val="22"/>
        </w:rPr>
        <w:t>).</w:t>
      </w:r>
      <w:r w:rsidR="0038798F" w:rsidRPr="0078303D">
        <w:rPr>
          <w:b w:val="0"/>
          <w:color w:val="auto"/>
          <w:sz w:val="22"/>
        </w:rPr>
        <w:t xml:space="preserve"> </w:t>
      </w:r>
      <w:r w:rsidR="00040904">
        <w:rPr>
          <w:b w:val="0"/>
          <w:color w:val="auto"/>
          <w:sz w:val="22"/>
        </w:rPr>
        <w:t xml:space="preserve">Minor changes were made in the current ADAR to reflect </w:t>
      </w:r>
      <w:proofErr w:type="gramStart"/>
      <w:r w:rsidR="00040904">
        <w:rPr>
          <w:b w:val="0"/>
          <w:color w:val="auto"/>
          <w:sz w:val="22"/>
        </w:rPr>
        <w:t>2023 unit</w:t>
      </w:r>
      <w:proofErr w:type="gramEnd"/>
      <w:r w:rsidR="00040904">
        <w:rPr>
          <w:b w:val="0"/>
          <w:color w:val="auto"/>
          <w:sz w:val="22"/>
        </w:rPr>
        <w:t xml:space="preserve"> costs. </w:t>
      </w:r>
      <w:r w:rsidR="0038798F" w:rsidRPr="0078303D">
        <w:rPr>
          <w:b w:val="0"/>
          <w:color w:val="auto"/>
          <w:sz w:val="22"/>
        </w:rPr>
        <w:t>The commentary considered these costings to be appropriate</w:t>
      </w:r>
      <w:r w:rsidR="00855BFC">
        <w:rPr>
          <w:b w:val="0"/>
          <w:color w:val="auto"/>
          <w:sz w:val="22"/>
        </w:rPr>
        <w:t xml:space="preserve">, </w:t>
      </w:r>
      <w:proofErr w:type="gramStart"/>
      <w:r w:rsidR="00855BFC">
        <w:rPr>
          <w:b w:val="0"/>
          <w:color w:val="auto"/>
          <w:sz w:val="22"/>
        </w:rPr>
        <w:t>with the exception of</w:t>
      </w:r>
      <w:proofErr w:type="gramEnd"/>
      <w:r w:rsidR="00855BFC">
        <w:rPr>
          <w:b w:val="0"/>
          <w:color w:val="auto"/>
          <w:sz w:val="22"/>
        </w:rPr>
        <w:t xml:space="preserve"> the post-procedure echocardiogram which</w:t>
      </w:r>
      <w:r w:rsidR="001176B2">
        <w:rPr>
          <w:b w:val="0"/>
          <w:color w:val="auto"/>
          <w:sz w:val="22"/>
        </w:rPr>
        <w:t>, following advice from the department</w:t>
      </w:r>
      <w:r w:rsidR="00465CDC">
        <w:rPr>
          <w:b w:val="0"/>
          <w:color w:val="auto"/>
          <w:sz w:val="22"/>
        </w:rPr>
        <w:t>,</w:t>
      </w:r>
      <w:r w:rsidR="00855BFC">
        <w:rPr>
          <w:b w:val="0"/>
          <w:color w:val="auto"/>
          <w:sz w:val="22"/>
        </w:rPr>
        <w:t xml:space="preserve"> </w:t>
      </w:r>
      <w:r w:rsidR="00982943">
        <w:rPr>
          <w:b w:val="0"/>
          <w:color w:val="auto"/>
          <w:sz w:val="22"/>
        </w:rPr>
        <w:t>is more appropriately modelled off</w:t>
      </w:r>
      <w:r w:rsidR="00790C07">
        <w:rPr>
          <w:b w:val="0"/>
          <w:color w:val="auto"/>
          <w:sz w:val="22"/>
        </w:rPr>
        <w:t xml:space="preserve"> MBS item 55127 instead of item 55133.</w:t>
      </w:r>
      <w:r w:rsidR="00E107C7">
        <w:br w:type="page"/>
      </w:r>
    </w:p>
    <w:p w14:paraId="1D78A0B6" w14:textId="21DE1BC1" w:rsidR="002751FE" w:rsidRDefault="00F6347E" w:rsidP="00DA079E">
      <w:pPr>
        <w:pStyle w:val="TableFigureHeading"/>
      </w:pPr>
      <w:bookmarkStart w:id="41" w:name="_Ref152156925"/>
      <w:bookmarkStart w:id="42" w:name="_Ref155690194"/>
      <w:bookmarkStart w:id="43" w:name="_Toc146813373"/>
      <w:r>
        <w:lastRenderedPageBreak/>
        <w:t>Table</w:t>
      </w:r>
      <w:bookmarkEnd w:id="41"/>
      <w:r>
        <w:t xml:space="preserve"> </w:t>
      </w:r>
      <w:r>
        <w:fldChar w:fldCharType="begin"/>
      </w:r>
      <w:r>
        <w:instrText>SEQ Table \* ARABIC</w:instrText>
      </w:r>
      <w:r>
        <w:fldChar w:fldCharType="separate"/>
      </w:r>
      <w:r w:rsidR="00370EF2">
        <w:rPr>
          <w:noProof/>
        </w:rPr>
        <w:t>7</w:t>
      </w:r>
      <w:r>
        <w:fldChar w:fldCharType="end"/>
      </w:r>
      <w:bookmarkEnd w:id="42"/>
      <w:r w:rsidR="00EC2D92">
        <w:t xml:space="preserve"> </w:t>
      </w:r>
      <w:r w:rsidR="002751FE">
        <w:t xml:space="preserve">Disaggregated and total cost of PASCAL and </w:t>
      </w:r>
      <w:proofErr w:type="spellStart"/>
      <w:r w:rsidR="002751FE">
        <w:t>MitraClip</w:t>
      </w:r>
      <w:proofErr w:type="spellEnd"/>
      <w:r w:rsidR="002751FE">
        <w:t xml:space="preserve"> over 30 days in the base case</w:t>
      </w:r>
      <w:bookmarkEnd w:id="43"/>
    </w:p>
    <w:tbl>
      <w:tblPr>
        <w:tblStyle w:val="Style2"/>
        <w:tblW w:w="5000" w:type="pct"/>
        <w:tblBorders>
          <w:left w:val="single" w:sz="4" w:space="0" w:color="auto"/>
          <w:right w:val="single" w:sz="4" w:space="0" w:color="auto"/>
          <w:insideV w:val="single" w:sz="4" w:space="0" w:color="auto"/>
        </w:tblBorders>
        <w:tblLook w:val="0420" w:firstRow="1" w:lastRow="0" w:firstColumn="0" w:lastColumn="0" w:noHBand="0" w:noVBand="1"/>
      </w:tblPr>
      <w:tblGrid>
        <w:gridCol w:w="5700"/>
        <w:gridCol w:w="1659"/>
        <w:gridCol w:w="1657"/>
      </w:tblGrid>
      <w:tr w:rsidR="002751FE" w:rsidRPr="00E02605" w14:paraId="143BDC25" w14:textId="77777777" w:rsidTr="002F1124">
        <w:trPr>
          <w:cnfStyle w:val="100000000000" w:firstRow="1" w:lastRow="0" w:firstColumn="0" w:lastColumn="0" w:oddVBand="0" w:evenVBand="0" w:oddHBand="0" w:evenHBand="0" w:firstRowFirstColumn="0" w:firstRowLastColumn="0" w:lastRowFirstColumn="0" w:lastRowLastColumn="0"/>
          <w:trHeight w:val="432"/>
        </w:trPr>
        <w:tc>
          <w:tcPr>
            <w:tcW w:w="3161" w:type="pct"/>
            <w:shd w:val="clear" w:color="auto" w:fill="auto"/>
          </w:tcPr>
          <w:p w14:paraId="37BA1FAA" w14:textId="45A8FC99" w:rsidR="002751FE" w:rsidRPr="00420B46" w:rsidRDefault="00A877F3" w:rsidP="00491950">
            <w:pPr>
              <w:pStyle w:val="TableText"/>
              <w:jc w:val="left"/>
            </w:pPr>
            <w:r w:rsidRPr="00703970">
              <w:t>Procedural costs</w:t>
            </w:r>
          </w:p>
        </w:tc>
        <w:tc>
          <w:tcPr>
            <w:tcW w:w="920" w:type="pct"/>
            <w:shd w:val="clear" w:color="auto" w:fill="auto"/>
          </w:tcPr>
          <w:p w14:paraId="7A5D8369" w14:textId="77777777" w:rsidR="002751FE" w:rsidRPr="00E02605" w:rsidRDefault="002751FE" w:rsidP="002F1124">
            <w:pPr>
              <w:pStyle w:val="In-tableHeading"/>
            </w:pPr>
            <w:r w:rsidRPr="002F1124">
              <w:rPr>
                <w:b/>
              </w:rPr>
              <w:t>PASCAL</w:t>
            </w:r>
          </w:p>
        </w:tc>
        <w:tc>
          <w:tcPr>
            <w:tcW w:w="919" w:type="pct"/>
            <w:shd w:val="clear" w:color="auto" w:fill="auto"/>
          </w:tcPr>
          <w:p w14:paraId="70875E5C" w14:textId="77777777" w:rsidR="002751FE" w:rsidRPr="00E02605" w:rsidRDefault="002751FE" w:rsidP="002F1124">
            <w:pPr>
              <w:pStyle w:val="In-tableHeading"/>
            </w:pPr>
            <w:proofErr w:type="spellStart"/>
            <w:r w:rsidRPr="002F1124">
              <w:rPr>
                <w:b/>
              </w:rPr>
              <w:t>MitraClip</w:t>
            </w:r>
            <w:proofErr w:type="spellEnd"/>
          </w:p>
        </w:tc>
      </w:tr>
      <w:tr w:rsidR="002751FE" w:rsidRPr="00E02605" w14:paraId="7541C189" w14:textId="77777777" w:rsidTr="002F1124">
        <w:trPr>
          <w:trHeight w:val="145"/>
        </w:trPr>
        <w:tc>
          <w:tcPr>
            <w:tcW w:w="3161" w:type="pct"/>
            <w:shd w:val="clear" w:color="auto" w:fill="auto"/>
            <w:vAlign w:val="top"/>
            <w:hideMark/>
          </w:tcPr>
          <w:p w14:paraId="1A572FD4" w14:textId="77777777" w:rsidR="002751FE" w:rsidRPr="00420B46" w:rsidRDefault="002751FE" w:rsidP="00491950">
            <w:pPr>
              <w:pStyle w:val="TableText"/>
              <w:jc w:val="left"/>
            </w:pPr>
            <w:r w:rsidRPr="00703970">
              <w:t>MDHT coordination</w:t>
            </w:r>
            <w:r>
              <w:t xml:space="preserve"> (MBS item 6082)</w:t>
            </w:r>
          </w:p>
        </w:tc>
        <w:tc>
          <w:tcPr>
            <w:tcW w:w="920" w:type="pct"/>
            <w:shd w:val="clear" w:color="auto" w:fill="auto"/>
            <w:vAlign w:val="top"/>
          </w:tcPr>
          <w:p w14:paraId="1DD2899F" w14:textId="1A81C922" w:rsidR="002751FE" w:rsidRPr="00E02605" w:rsidRDefault="002751FE" w:rsidP="00491950">
            <w:pPr>
              <w:pStyle w:val="TableTextCA"/>
            </w:pPr>
            <w:r w:rsidRPr="00EB7369">
              <w:t>$5</w:t>
            </w:r>
            <w:r w:rsidR="00AF16F9">
              <w:t>6.05</w:t>
            </w:r>
          </w:p>
        </w:tc>
        <w:tc>
          <w:tcPr>
            <w:tcW w:w="919" w:type="pct"/>
            <w:shd w:val="clear" w:color="auto" w:fill="auto"/>
            <w:vAlign w:val="top"/>
          </w:tcPr>
          <w:p w14:paraId="30F655AE" w14:textId="000DCEE2" w:rsidR="002751FE" w:rsidRPr="00E02605" w:rsidRDefault="002751FE" w:rsidP="00491950">
            <w:pPr>
              <w:pStyle w:val="TableTextCA"/>
            </w:pPr>
            <w:r w:rsidRPr="00EB7369">
              <w:t>$5</w:t>
            </w:r>
            <w:r w:rsidR="00AF16F9">
              <w:t>6.05</w:t>
            </w:r>
          </w:p>
        </w:tc>
      </w:tr>
      <w:tr w:rsidR="002751FE" w:rsidRPr="00E02605" w14:paraId="70718D73" w14:textId="77777777" w:rsidTr="002F1124">
        <w:trPr>
          <w:trHeight w:val="191"/>
        </w:trPr>
        <w:tc>
          <w:tcPr>
            <w:tcW w:w="3161" w:type="pct"/>
            <w:shd w:val="clear" w:color="auto" w:fill="auto"/>
            <w:vAlign w:val="top"/>
            <w:hideMark/>
          </w:tcPr>
          <w:p w14:paraId="76AA8FFD" w14:textId="77777777" w:rsidR="002751FE" w:rsidRPr="00420B46" w:rsidRDefault="002751FE" w:rsidP="00491950">
            <w:pPr>
              <w:pStyle w:val="TableText"/>
              <w:jc w:val="left"/>
            </w:pPr>
            <w:r w:rsidRPr="00703970">
              <w:t>MDHT attendance</w:t>
            </w:r>
            <w:r>
              <w:t xml:space="preserve"> (MBS item (6084)</w:t>
            </w:r>
          </w:p>
        </w:tc>
        <w:tc>
          <w:tcPr>
            <w:tcW w:w="920" w:type="pct"/>
            <w:shd w:val="clear" w:color="auto" w:fill="auto"/>
            <w:vAlign w:val="top"/>
          </w:tcPr>
          <w:p w14:paraId="0862DA6B" w14:textId="2CC66A0D" w:rsidR="002751FE" w:rsidRPr="00E02605" w:rsidRDefault="002751FE" w:rsidP="00491950">
            <w:pPr>
              <w:pStyle w:val="TableTextCA"/>
            </w:pPr>
            <w:r w:rsidRPr="00EB7369">
              <w:t>$12</w:t>
            </w:r>
            <w:r w:rsidR="00AF16F9">
              <w:t>5.40</w:t>
            </w:r>
          </w:p>
        </w:tc>
        <w:tc>
          <w:tcPr>
            <w:tcW w:w="919" w:type="pct"/>
            <w:shd w:val="clear" w:color="auto" w:fill="auto"/>
            <w:vAlign w:val="top"/>
          </w:tcPr>
          <w:p w14:paraId="5361F7F0" w14:textId="52DF462C" w:rsidR="002751FE" w:rsidRPr="00E02605" w:rsidRDefault="002751FE" w:rsidP="00491950">
            <w:pPr>
              <w:pStyle w:val="TableTextCA"/>
            </w:pPr>
            <w:r w:rsidRPr="00EB7369">
              <w:t>$12</w:t>
            </w:r>
            <w:r w:rsidR="00AF16F9">
              <w:t>5.40</w:t>
            </w:r>
          </w:p>
        </w:tc>
      </w:tr>
      <w:tr w:rsidR="002751FE" w:rsidRPr="00E02605" w14:paraId="34F4D751" w14:textId="77777777" w:rsidTr="002F1124">
        <w:trPr>
          <w:trHeight w:val="237"/>
        </w:trPr>
        <w:tc>
          <w:tcPr>
            <w:tcW w:w="3161" w:type="pct"/>
            <w:shd w:val="clear" w:color="auto" w:fill="auto"/>
            <w:vAlign w:val="top"/>
            <w:hideMark/>
          </w:tcPr>
          <w:p w14:paraId="4F4C57C2" w14:textId="77777777" w:rsidR="002751FE" w:rsidRPr="00420B46" w:rsidRDefault="002751FE" w:rsidP="00491950">
            <w:pPr>
              <w:pStyle w:val="TableText"/>
              <w:jc w:val="left"/>
            </w:pPr>
            <w:r w:rsidRPr="00703970">
              <w:t>Anaesthetics</w:t>
            </w:r>
            <w:r>
              <w:t xml:space="preserve"> (MBS item 21936)</w:t>
            </w:r>
          </w:p>
        </w:tc>
        <w:tc>
          <w:tcPr>
            <w:tcW w:w="920" w:type="pct"/>
            <w:shd w:val="clear" w:color="auto" w:fill="auto"/>
            <w:vAlign w:val="top"/>
          </w:tcPr>
          <w:p w14:paraId="3ECF855E" w14:textId="5A93D81B" w:rsidR="002751FE" w:rsidRPr="00E02605" w:rsidRDefault="002751FE" w:rsidP="00491950">
            <w:pPr>
              <w:pStyle w:val="TableTextCA"/>
            </w:pPr>
            <w:r w:rsidRPr="00EB7369">
              <w:t>$10</w:t>
            </w:r>
            <w:r w:rsidR="00AF16F9">
              <w:t>9.00</w:t>
            </w:r>
          </w:p>
        </w:tc>
        <w:tc>
          <w:tcPr>
            <w:tcW w:w="919" w:type="pct"/>
            <w:shd w:val="clear" w:color="auto" w:fill="auto"/>
            <w:vAlign w:val="top"/>
          </w:tcPr>
          <w:p w14:paraId="3A3C4376" w14:textId="74D660A4" w:rsidR="002751FE" w:rsidRPr="00E02605" w:rsidRDefault="002751FE" w:rsidP="00491950">
            <w:pPr>
              <w:pStyle w:val="TableTextCA"/>
            </w:pPr>
            <w:r w:rsidRPr="00EB7369">
              <w:t>$10</w:t>
            </w:r>
            <w:r w:rsidR="00AF16F9">
              <w:t>9.00</w:t>
            </w:r>
          </w:p>
        </w:tc>
      </w:tr>
      <w:tr w:rsidR="002751FE" w:rsidRPr="00E02605" w14:paraId="45028B24" w14:textId="77777777" w:rsidTr="002F1124">
        <w:trPr>
          <w:trHeight w:val="128"/>
        </w:trPr>
        <w:tc>
          <w:tcPr>
            <w:tcW w:w="3161" w:type="pct"/>
            <w:shd w:val="clear" w:color="auto" w:fill="auto"/>
            <w:vAlign w:val="top"/>
            <w:hideMark/>
          </w:tcPr>
          <w:p w14:paraId="2FF502E9" w14:textId="5F4675CD" w:rsidR="002751FE" w:rsidRPr="00420B46" w:rsidRDefault="002751FE" w:rsidP="00491950">
            <w:pPr>
              <w:pStyle w:val="TableText"/>
              <w:jc w:val="left"/>
            </w:pPr>
            <w:r w:rsidRPr="00703970">
              <w:t>Post-procedure echocardiogram</w:t>
            </w:r>
            <w:r>
              <w:t xml:space="preserve"> (MBS item 551</w:t>
            </w:r>
            <w:r w:rsidR="00F50FCF">
              <w:t>27</w:t>
            </w:r>
            <w:r>
              <w:t>)</w:t>
            </w:r>
          </w:p>
        </w:tc>
        <w:tc>
          <w:tcPr>
            <w:tcW w:w="920" w:type="pct"/>
            <w:shd w:val="clear" w:color="auto" w:fill="auto"/>
            <w:vAlign w:val="top"/>
          </w:tcPr>
          <w:p w14:paraId="657D7F3B" w14:textId="2D222DFD" w:rsidR="002751FE" w:rsidRPr="00E02605" w:rsidRDefault="002751FE" w:rsidP="00491950">
            <w:pPr>
              <w:pStyle w:val="TableTextCA"/>
            </w:pPr>
            <w:r w:rsidRPr="00EB7369">
              <w:t>$2</w:t>
            </w:r>
            <w:r w:rsidR="00AF16F9">
              <w:t>49.95</w:t>
            </w:r>
          </w:p>
        </w:tc>
        <w:tc>
          <w:tcPr>
            <w:tcW w:w="919" w:type="pct"/>
            <w:shd w:val="clear" w:color="auto" w:fill="auto"/>
            <w:vAlign w:val="top"/>
          </w:tcPr>
          <w:p w14:paraId="1A86EB6E" w14:textId="134B07B3" w:rsidR="002751FE" w:rsidRPr="00E02605" w:rsidRDefault="002751FE" w:rsidP="00491950">
            <w:pPr>
              <w:pStyle w:val="TableTextCA"/>
            </w:pPr>
            <w:r w:rsidRPr="00EB7369">
              <w:t>$2</w:t>
            </w:r>
            <w:r w:rsidR="00AF16F9">
              <w:t>49.95</w:t>
            </w:r>
          </w:p>
        </w:tc>
      </w:tr>
      <w:tr w:rsidR="002751FE" w:rsidRPr="00E02605" w14:paraId="6114A3E6" w14:textId="77777777" w:rsidTr="002F1124">
        <w:trPr>
          <w:trHeight w:val="485"/>
        </w:trPr>
        <w:tc>
          <w:tcPr>
            <w:tcW w:w="3161" w:type="pct"/>
            <w:shd w:val="clear" w:color="auto" w:fill="auto"/>
            <w:vAlign w:val="top"/>
            <w:hideMark/>
          </w:tcPr>
          <w:p w14:paraId="0DA0B60E" w14:textId="77777777" w:rsidR="002751FE" w:rsidRPr="00420B46" w:rsidRDefault="002751FE" w:rsidP="00491950">
            <w:pPr>
              <w:pStyle w:val="TableText"/>
              <w:jc w:val="left"/>
            </w:pPr>
            <w:proofErr w:type="spellStart"/>
            <w:r w:rsidRPr="00703970">
              <w:t>TMVr</w:t>
            </w:r>
            <w:proofErr w:type="spellEnd"/>
            <w:r w:rsidRPr="00703970">
              <w:t xml:space="preserve"> procedure</w:t>
            </w:r>
            <w:r>
              <w:t xml:space="preserve"> (MBS item 38461)</w:t>
            </w:r>
          </w:p>
        </w:tc>
        <w:tc>
          <w:tcPr>
            <w:tcW w:w="920" w:type="pct"/>
            <w:shd w:val="clear" w:color="auto" w:fill="auto"/>
            <w:vAlign w:val="top"/>
          </w:tcPr>
          <w:p w14:paraId="6974DF9F" w14:textId="407307C3" w:rsidR="002751FE" w:rsidRPr="00E02605" w:rsidRDefault="002751FE" w:rsidP="00491950">
            <w:pPr>
              <w:pStyle w:val="TableTextCA"/>
            </w:pPr>
            <w:r w:rsidRPr="00EB7369">
              <w:t>$1,5</w:t>
            </w:r>
            <w:r w:rsidR="00AF16F9">
              <w:t>76.45</w:t>
            </w:r>
          </w:p>
        </w:tc>
        <w:tc>
          <w:tcPr>
            <w:tcW w:w="919" w:type="pct"/>
            <w:shd w:val="clear" w:color="auto" w:fill="auto"/>
            <w:vAlign w:val="top"/>
          </w:tcPr>
          <w:p w14:paraId="43B3BADE" w14:textId="17FDA45A" w:rsidR="002751FE" w:rsidRPr="00E02605" w:rsidRDefault="002751FE" w:rsidP="00491950">
            <w:pPr>
              <w:pStyle w:val="TableTextCA"/>
            </w:pPr>
            <w:r w:rsidRPr="00EB7369">
              <w:t>$1,5</w:t>
            </w:r>
            <w:r w:rsidR="00AF16F9">
              <w:t>76.45</w:t>
            </w:r>
          </w:p>
        </w:tc>
      </w:tr>
      <w:tr w:rsidR="002751FE" w:rsidRPr="00E02605" w14:paraId="61D039A0" w14:textId="77777777" w:rsidTr="002F1124">
        <w:trPr>
          <w:trHeight w:val="485"/>
        </w:trPr>
        <w:tc>
          <w:tcPr>
            <w:tcW w:w="3161" w:type="pct"/>
            <w:shd w:val="clear" w:color="auto" w:fill="auto"/>
            <w:vAlign w:val="top"/>
          </w:tcPr>
          <w:p w14:paraId="6FE092CE" w14:textId="77777777" w:rsidR="002751FE" w:rsidRPr="00420B46" w:rsidRDefault="002751FE" w:rsidP="00491950">
            <w:pPr>
              <w:pStyle w:val="TableText"/>
              <w:jc w:val="left"/>
            </w:pPr>
            <w:r w:rsidRPr="00703970">
              <w:t>non-ICU stay</w:t>
            </w:r>
            <w:r>
              <w:t xml:space="preserve"> (Hospital cost associated with </w:t>
            </w:r>
            <w:proofErr w:type="spellStart"/>
            <w:r>
              <w:t>TMVr</w:t>
            </w:r>
            <w:proofErr w:type="spellEnd"/>
            <w:r>
              <w:t>)</w:t>
            </w:r>
          </w:p>
        </w:tc>
        <w:tc>
          <w:tcPr>
            <w:tcW w:w="920" w:type="pct"/>
            <w:shd w:val="clear" w:color="auto" w:fill="auto"/>
            <w:vAlign w:val="top"/>
          </w:tcPr>
          <w:p w14:paraId="156CEA64" w14:textId="77777777" w:rsidR="002751FE" w:rsidRDefault="002751FE" w:rsidP="00491950">
            <w:pPr>
              <w:pStyle w:val="TableTextCA"/>
            </w:pPr>
            <w:r w:rsidRPr="00EB7369">
              <w:t>$2,271.37</w:t>
            </w:r>
          </w:p>
        </w:tc>
        <w:tc>
          <w:tcPr>
            <w:tcW w:w="919" w:type="pct"/>
            <w:shd w:val="clear" w:color="auto" w:fill="auto"/>
            <w:vAlign w:val="top"/>
          </w:tcPr>
          <w:p w14:paraId="0E68B40E" w14:textId="77777777" w:rsidR="002751FE" w:rsidRPr="00E02605" w:rsidRDefault="002751FE" w:rsidP="00491950">
            <w:pPr>
              <w:pStyle w:val="TableTextCA"/>
            </w:pPr>
            <w:r w:rsidRPr="00EB7369">
              <w:t>$2,271.37</w:t>
            </w:r>
          </w:p>
        </w:tc>
      </w:tr>
      <w:tr w:rsidR="002751FE" w:rsidRPr="00C54DC8" w14:paraId="3ADBAFE9" w14:textId="77777777" w:rsidTr="002F1124">
        <w:trPr>
          <w:trHeight w:val="151"/>
        </w:trPr>
        <w:tc>
          <w:tcPr>
            <w:tcW w:w="3161" w:type="pct"/>
            <w:shd w:val="clear" w:color="auto" w:fill="auto"/>
            <w:vAlign w:val="top"/>
          </w:tcPr>
          <w:p w14:paraId="0C3FA657" w14:textId="77777777" w:rsidR="002751FE" w:rsidRPr="00420B46" w:rsidRDefault="002751FE" w:rsidP="00491950">
            <w:pPr>
              <w:pStyle w:val="TableText"/>
              <w:jc w:val="left"/>
            </w:pPr>
            <w:r w:rsidRPr="00703970">
              <w:t>ICU stay</w:t>
            </w:r>
            <w:r>
              <w:t xml:space="preserve"> (Hospital cost associated with </w:t>
            </w:r>
            <w:proofErr w:type="spellStart"/>
            <w:r>
              <w:t>TMVr</w:t>
            </w:r>
            <w:proofErr w:type="spellEnd"/>
            <w:r>
              <w:t>)</w:t>
            </w:r>
          </w:p>
        </w:tc>
        <w:tc>
          <w:tcPr>
            <w:tcW w:w="920" w:type="pct"/>
            <w:shd w:val="clear" w:color="auto" w:fill="auto"/>
            <w:vAlign w:val="top"/>
          </w:tcPr>
          <w:p w14:paraId="00DD0AB6" w14:textId="77777777" w:rsidR="002751FE" w:rsidRPr="00C54DC8" w:rsidRDefault="002751FE" w:rsidP="00491950">
            <w:pPr>
              <w:pStyle w:val="TableTextCA"/>
            </w:pPr>
            <w:r w:rsidRPr="00EB7369">
              <w:t>$3,600.00</w:t>
            </w:r>
          </w:p>
        </w:tc>
        <w:tc>
          <w:tcPr>
            <w:tcW w:w="919" w:type="pct"/>
            <w:shd w:val="clear" w:color="auto" w:fill="auto"/>
            <w:vAlign w:val="top"/>
          </w:tcPr>
          <w:p w14:paraId="3AF096F3" w14:textId="77777777" w:rsidR="002751FE" w:rsidRPr="00C54DC8" w:rsidRDefault="002751FE" w:rsidP="00491950">
            <w:pPr>
              <w:pStyle w:val="TableTextCA"/>
            </w:pPr>
            <w:r w:rsidRPr="00EB7369">
              <w:t>$3,600.00</w:t>
            </w:r>
          </w:p>
        </w:tc>
      </w:tr>
      <w:tr w:rsidR="002751FE" w:rsidRPr="00C54DC8" w14:paraId="69875B8C" w14:textId="77777777" w:rsidTr="002F1124">
        <w:trPr>
          <w:trHeight w:val="151"/>
        </w:trPr>
        <w:tc>
          <w:tcPr>
            <w:tcW w:w="3161" w:type="pct"/>
            <w:shd w:val="clear" w:color="auto" w:fill="auto"/>
            <w:vAlign w:val="top"/>
          </w:tcPr>
          <w:p w14:paraId="18F85577" w14:textId="77777777" w:rsidR="002751FE" w:rsidRPr="00420B46" w:rsidRDefault="002751FE" w:rsidP="00491950">
            <w:pPr>
              <w:pStyle w:val="TableText"/>
              <w:jc w:val="left"/>
            </w:pPr>
            <w:r w:rsidRPr="00703970">
              <w:t>PASCAL device</w:t>
            </w:r>
          </w:p>
        </w:tc>
        <w:tc>
          <w:tcPr>
            <w:tcW w:w="920" w:type="pct"/>
            <w:shd w:val="clear" w:color="auto" w:fill="auto"/>
            <w:vAlign w:val="top"/>
          </w:tcPr>
          <w:p w14:paraId="09F36537" w14:textId="77777777" w:rsidR="002751FE" w:rsidRPr="00C54DC8" w:rsidRDefault="002751FE" w:rsidP="00491950">
            <w:pPr>
              <w:pStyle w:val="TableTextCA"/>
            </w:pPr>
            <w:r w:rsidRPr="00EB7369">
              <w:t>$26,386.00</w:t>
            </w:r>
          </w:p>
        </w:tc>
        <w:tc>
          <w:tcPr>
            <w:tcW w:w="919" w:type="pct"/>
            <w:shd w:val="clear" w:color="auto" w:fill="auto"/>
            <w:vAlign w:val="top"/>
          </w:tcPr>
          <w:p w14:paraId="597E9E2F" w14:textId="77777777" w:rsidR="002751FE" w:rsidRPr="00C54DC8" w:rsidRDefault="002751FE" w:rsidP="00491950">
            <w:pPr>
              <w:pStyle w:val="TableTextCA"/>
            </w:pPr>
            <w:r w:rsidRPr="00EB7369">
              <w:t>$0.00</w:t>
            </w:r>
          </w:p>
        </w:tc>
      </w:tr>
      <w:tr w:rsidR="002751FE" w:rsidRPr="00C54DC8" w14:paraId="38A761A8" w14:textId="77777777" w:rsidTr="002F1124">
        <w:trPr>
          <w:trHeight w:val="151"/>
        </w:trPr>
        <w:tc>
          <w:tcPr>
            <w:tcW w:w="3161" w:type="pct"/>
            <w:shd w:val="clear" w:color="auto" w:fill="auto"/>
          </w:tcPr>
          <w:p w14:paraId="08CFE7F9" w14:textId="77777777" w:rsidR="002751FE" w:rsidRDefault="002751FE" w:rsidP="00491950">
            <w:pPr>
              <w:pStyle w:val="TableText"/>
              <w:jc w:val="left"/>
            </w:pPr>
            <w:proofErr w:type="spellStart"/>
            <w:r w:rsidRPr="00703970">
              <w:t>MitraClip</w:t>
            </w:r>
            <w:proofErr w:type="spellEnd"/>
            <w:r w:rsidRPr="00703970">
              <w:t xml:space="preserve"> device</w:t>
            </w:r>
          </w:p>
        </w:tc>
        <w:tc>
          <w:tcPr>
            <w:tcW w:w="920" w:type="pct"/>
            <w:shd w:val="clear" w:color="auto" w:fill="auto"/>
            <w:vAlign w:val="top"/>
          </w:tcPr>
          <w:p w14:paraId="2B02F454" w14:textId="77777777" w:rsidR="002751FE" w:rsidRDefault="002751FE" w:rsidP="00491950">
            <w:pPr>
              <w:pStyle w:val="TableTextCA"/>
            </w:pPr>
            <w:r w:rsidRPr="00EB7369">
              <w:t>$0.00</w:t>
            </w:r>
          </w:p>
        </w:tc>
        <w:tc>
          <w:tcPr>
            <w:tcW w:w="919" w:type="pct"/>
            <w:shd w:val="clear" w:color="auto" w:fill="auto"/>
            <w:vAlign w:val="top"/>
          </w:tcPr>
          <w:p w14:paraId="2B640F30" w14:textId="77777777" w:rsidR="002751FE" w:rsidRDefault="002751FE" w:rsidP="00491950">
            <w:pPr>
              <w:pStyle w:val="TableTextCA"/>
            </w:pPr>
            <w:r w:rsidRPr="00EB7369">
              <w:t>$26,386.00</w:t>
            </w:r>
          </w:p>
        </w:tc>
      </w:tr>
      <w:tr w:rsidR="002751FE" w:rsidRPr="00C54DC8" w14:paraId="753F98B4" w14:textId="77777777" w:rsidTr="002F1124">
        <w:trPr>
          <w:trHeight w:val="151"/>
        </w:trPr>
        <w:tc>
          <w:tcPr>
            <w:tcW w:w="3161" w:type="pct"/>
          </w:tcPr>
          <w:p w14:paraId="085A2CDF" w14:textId="77777777" w:rsidR="002751FE" w:rsidRPr="007A28B4" w:rsidRDefault="002751FE" w:rsidP="00491950">
            <w:pPr>
              <w:pStyle w:val="TableText"/>
              <w:jc w:val="left"/>
              <w:rPr>
                <w:b/>
                <w:bCs/>
              </w:rPr>
            </w:pPr>
            <w:r w:rsidRPr="007A28B4">
              <w:rPr>
                <w:b/>
                <w:bCs/>
              </w:rPr>
              <w:t>Total procedure costs</w:t>
            </w:r>
          </w:p>
        </w:tc>
        <w:tc>
          <w:tcPr>
            <w:tcW w:w="920" w:type="pct"/>
            <w:vAlign w:val="top"/>
          </w:tcPr>
          <w:p w14:paraId="06781B64" w14:textId="7896C25F" w:rsidR="002751FE" w:rsidRPr="0045055A" w:rsidRDefault="002751FE" w:rsidP="00491950">
            <w:pPr>
              <w:pStyle w:val="TableTextCA"/>
              <w:rPr>
                <w:b/>
                <w:bCs/>
              </w:rPr>
            </w:pPr>
            <w:r w:rsidRPr="0045055A">
              <w:rPr>
                <w:b/>
                <w:bCs/>
              </w:rPr>
              <w:t>$34,3</w:t>
            </w:r>
            <w:r w:rsidR="00DF0EB3">
              <w:rPr>
                <w:b/>
                <w:bCs/>
              </w:rPr>
              <w:t>74.22</w:t>
            </w:r>
          </w:p>
        </w:tc>
        <w:tc>
          <w:tcPr>
            <w:tcW w:w="919" w:type="pct"/>
            <w:vAlign w:val="top"/>
          </w:tcPr>
          <w:p w14:paraId="48BF7D88" w14:textId="4AABA0C2" w:rsidR="002751FE" w:rsidRPr="0045055A" w:rsidRDefault="002751FE" w:rsidP="00491950">
            <w:pPr>
              <w:pStyle w:val="TableTextCA"/>
              <w:rPr>
                <w:b/>
                <w:bCs/>
              </w:rPr>
            </w:pPr>
            <w:r w:rsidRPr="0045055A">
              <w:rPr>
                <w:b/>
                <w:bCs/>
              </w:rPr>
              <w:t>$34,3</w:t>
            </w:r>
            <w:r w:rsidR="00DF0EB3">
              <w:rPr>
                <w:b/>
                <w:bCs/>
              </w:rPr>
              <w:t>74.22</w:t>
            </w:r>
          </w:p>
        </w:tc>
      </w:tr>
    </w:tbl>
    <w:p w14:paraId="23D22A7A" w14:textId="42440AF5" w:rsidR="002751FE" w:rsidRDefault="002751FE" w:rsidP="002F1124">
      <w:pPr>
        <w:pStyle w:val="TableFooter"/>
      </w:pPr>
      <w:r>
        <w:t xml:space="preserve">Source: </w:t>
      </w:r>
      <w:r w:rsidR="00B4322F">
        <w:t>Table 23, p63-64 of MSAC 1662.2 ADAR.</w:t>
      </w:r>
    </w:p>
    <w:p w14:paraId="50B4522D" w14:textId="77777777" w:rsidR="002751FE" w:rsidRDefault="002751FE" w:rsidP="002F1124">
      <w:pPr>
        <w:pStyle w:val="TableFooter"/>
      </w:pPr>
      <w:r>
        <w:t xml:space="preserve">Abbreviations: ICU, intensive care unit; MDHT, multidisciplinary heart team; </w:t>
      </w:r>
      <w:proofErr w:type="spellStart"/>
      <w:r>
        <w:t>TMVr</w:t>
      </w:r>
      <w:proofErr w:type="spellEnd"/>
      <w:r>
        <w:t>, transcatheter mitral valve repair</w:t>
      </w:r>
    </w:p>
    <w:p w14:paraId="77E9CEAE" w14:textId="14EDC00A" w:rsidR="00655866" w:rsidRPr="00655866" w:rsidRDefault="00655866" w:rsidP="002751FE">
      <w:pPr>
        <w:pStyle w:val="Guidelinescross-ref"/>
        <w:rPr>
          <w:i/>
          <w:color w:val="auto"/>
        </w:rPr>
      </w:pPr>
      <w:r>
        <w:rPr>
          <w:i/>
          <w:color w:val="auto"/>
        </w:rPr>
        <w:t>Major adverse event</w:t>
      </w:r>
      <w:r w:rsidRPr="00602103">
        <w:rPr>
          <w:i/>
          <w:color w:val="auto"/>
        </w:rPr>
        <w:t xml:space="preserve"> costs</w:t>
      </w:r>
    </w:p>
    <w:p w14:paraId="4D0C7848" w14:textId="55F90ED4" w:rsidR="004D5BB3" w:rsidRPr="0078303D" w:rsidRDefault="002751FE" w:rsidP="002751FE">
      <w:pPr>
        <w:pStyle w:val="Guidelinescross-ref"/>
        <w:rPr>
          <w:b w:val="0"/>
          <w:color w:val="auto"/>
          <w:sz w:val="22"/>
        </w:rPr>
      </w:pPr>
      <w:r w:rsidRPr="0078303D">
        <w:rPr>
          <w:b w:val="0"/>
          <w:color w:val="auto"/>
          <w:sz w:val="22"/>
        </w:rPr>
        <w:t>The difference between this ADAR and the previous ADAR</w:t>
      </w:r>
      <w:r w:rsidR="0078303D">
        <w:rPr>
          <w:b w:val="0"/>
          <w:color w:val="auto"/>
          <w:sz w:val="22"/>
        </w:rPr>
        <w:t xml:space="preserve"> (1662.1)</w:t>
      </w:r>
      <w:r w:rsidRPr="0078303D">
        <w:rPr>
          <w:b w:val="0"/>
          <w:color w:val="auto"/>
          <w:sz w:val="22"/>
        </w:rPr>
        <w:t xml:space="preserve"> is the evidence to support the rates of AEs, which are derived from the updated data (in both the 30 day and </w:t>
      </w:r>
      <w:r w:rsidR="007D14E3" w:rsidRPr="0078303D">
        <w:rPr>
          <w:b w:val="0"/>
          <w:color w:val="auto"/>
          <w:sz w:val="22"/>
        </w:rPr>
        <w:t>1-year</w:t>
      </w:r>
      <w:r w:rsidRPr="0078303D">
        <w:rPr>
          <w:b w:val="0"/>
          <w:color w:val="auto"/>
          <w:sz w:val="22"/>
        </w:rPr>
        <w:t xml:space="preserve"> models)</w:t>
      </w:r>
      <w:r w:rsidR="00A02253" w:rsidRPr="0078303D">
        <w:rPr>
          <w:b w:val="0"/>
          <w:color w:val="auto"/>
          <w:sz w:val="22"/>
        </w:rPr>
        <w:t xml:space="preserve"> and costed based on </w:t>
      </w:r>
      <w:r w:rsidR="004D5BB3" w:rsidRPr="0078303D">
        <w:rPr>
          <w:b w:val="0"/>
          <w:color w:val="auto"/>
          <w:sz w:val="22"/>
        </w:rPr>
        <w:t>mapping of ICD-10 procedures to DRG codes.</w:t>
      </w:r>
      <w:r w:rsidR="00CE3784" w:rsidRPr="0078303D">
        <w:rPr>
          <w:b w:val="0"/>
          <w:color w:val="auto"/>
          <w:sz w:val="22"/>
        </w:rPr>
        <w:t xml:space="preserve"> Based on the rate of MAEs observed in each arm, the total downstream cost for PASCAL and </w:t>
      </w:r>
      <w:proofErr w:type="spellStart"/>
      <w:r w:rsidR="00CE3784" w:rsidRPr="0078303D">
        <w:rPr>
          <w:b w:val="0"/>
          <w:color w:val="auto"/>
          <w:sz w:val="22"/>
        </w:rPr>
        <w:t>MitraClip</w:t>
      </w:r>
      <w:proofErr w:type="spellEnd"/>
      <w:r w:rsidR="00CE3784" w:rsidRPr="0078303D">
        <w:rPr>
          <w:b w:val="0"/>
          <w:color w:val="auto"/>
          <w:sz w:val="22"/>
        </w:rPr>
        <w:t xml:space="preserve"> are presented in </w:t>
      </w:r>
      <w:r w:rsidR="00370EF2" w:rsidRPr="00370EF2">
        <w:rPr>
          <w:b w:val="0"/>
          <w:color w:val="auto"/>
          <w:sz w:val="22"/>
        </w:rPr>
        <w:fldChar w:fldCharType="begin"/>
      </w:r>
      <w:r w:rsidR="00370EF2" w:rsidRPr="00370EF2">
        <w:rPr>
          <w:b w:val="0"/>
          <w:color w:val="auto"/>
          <w:sz w:val="22"/>
        </w:rPr>
        <w:instrText xml:space="preserve"> REF _Ref155690640 \h </w:instrText>
      </w:r>
      <w:r w:rsidR="00370EF2" w:rsidRPr="002F1124">
        <w:rPr>
          <w:b w:val="0"/>
          <w:color w:val="auto"/>
          <w:sz w:val="22"/>
        </w:rPr>
        <w:instrText xml:space="preserve"> \* MERGEFORMAT </w:instrText>
      </w:r>
      <w:r w:rsidR="00370EF2" w:rsidRPr="00370EF2">
        <w:rPr>
          <w:b w:val="0"/>
          <w:color w:val="auto"/>
          <w:sz w:val="22"/>
        </w:rPr>
      </w:r>
      <w:r w:rsidR="00370EF2" w:rsidRPr="00370EF2">
        <w:rPr>
          <w:b w:val="0"/>
          <w:color w:val="auto"/>
          <w:sz w:val="22"/>
        </w:rPr>
        <w:fldChar w:fldCharType="separate"/>
      </w:r>
      <w:r w:rsidR="00370EF2" w:rsidRPr="002F1124">
        <w:rPr>
          <w:b w:val="0"/>
          <w:color w:val="auto"/>
          <w:sz w:val="22"/>
        </w:rPr>
        <w:t xml:space="preserve">Table </w:t>
      </w:r>
      <w:r w:rsidR="00370EF2" w:rsidRPr="002F1124">
        <w:rPr>
          <w:b w:val="0"/>
          <w:noProof/>
          <w:color w:val="auto"/>
          <w:sz w:val="22"/>
        </w:rPr>
        <w:t>8</w:t>
      </w:r>
      <w:r w:rsidR="00370EF2" w:rsidRPr="00370EF2">
        <w:rPr>
          <w:b w:val="0"/>
          <w:color w:val="auto"/>
          <w:sz w:val="22"/>
        </w:rPr>
        <w:fldChar w:fldCharType="end"/>
      </w:r>
      <w:r w:rsidR="00CE3784" w:rsidRPr="00370EF2">
        <w:rPr>
          <w:b w:val="0"/>
          <w:color w:val="auto"/>
          <w:sz w:val="22"/>
        </w:rPr>
        <w:t xml:space="preserve">. </w:t>
      </w:r>
    </w:p>
    <w:p w14:paraId="685A3944" w14:textId="153497E4" w:rsidR="00370EF2" w:rsidRDefault="00370EF2" w:rsidP="002F1124">
      <w:pPr>
        <w:pStyle w:val="Caption"/>
      </w:pPr>
      <w:bookmarkStart w:id="44" w:name="_Ref155690640"/>
      <w:r>
        <w:t xml:space="preserve">Table </w:t>
      </w:r>
      <w:r>
        <w:fldChar w:fldCharType="begin"/>
      </w:r>
      <w:r>
        <w:instrText>SEQ Table \* ARABIC</w:instrText>
      </w:r>
      <w:r>
        <w:fldChar w:fldCharType="separate"/>
      </w:r>
      <w:r>
        <w:rPr>
          <w:noProof/>
        </w:rPr>
        <w:t>8</w:t>
      </w:r>
      <w:r>
        <w:fldChar w:fldCharType="end"/>
      </w:r>
      <w:bookmarkEnd w:id="44"/>
      <w:r>
        <w:t xml:space="preserve"> </w:t>
      </w:r>
      <w:r w:rsidRPr="00BE10A1">
        <w:t xml:space="preserve">Cost of MAEs at 30 days and </w:t>
      </w:r>
      <w:r>
        <w:t>1 year</w:t>
      </w:r>
    </w:p>
    <w:tbl>
      <w:tblPr>
        <w:tblStyle w:val="TableGrid"/>
        <w:tblW w:w="5000" w:type="pct"/>
        <w:tblLook w:val="0420" w:firstRow="1" w:lastRow="0" w:firstColumn="0" w:lastColumn="0" w:noHBand="0" w:noVBand="1"/>
      </w:tblPr>
      <w:tblGrid>
        <w:gridCol w:w="4957"/>
        <w:gridCol w:w="1129"/>
        <w:gridCol w:w="977"/>
        <w:gridCol w:w="977"/>
        <w:gridCol w:w="976"/>
      </w:tblGrid>
      <w:tr w:rsidR="00A9194A" w:rsidRPr="000A0B8F" w14:paraId="1DF1A20E" w14:textId="77777777" w:rsidTr="002F1124">
        <w:trPr>
          <w:trHeight w:val="432"/>
        </w:trPr>
        <w:tc>
          <w:tcPr>
            <w:tcW w:w="2749" w:type="pct"/>
            <w:tcBorders>
              <w:bottom w:val="nil"/>
            </w:tcBorders>
            <w:hideMark/>
          </w:tcPr>
          <w:p w14:paraId="38F82511" w14:textId="77777777" w:rsidR="004B4DC3" w:rsidRPr="00370EF2" w:rsidRDefault="004B4DC3" w:rsidP="002F1124">
            <w:pPr>
              <w:pStyle w:val="In-tableHeading"/>
            </w:pPr>
          </w:p>
          <w:p w14:paraId="5C59EC11" w14:textId="67DD89B0" w:rsidR="00A9194A" w:rsidRPr="00370EF2" w:rsidRDefault="00A9194A" w:rsidP="002F1124">
            <w:pPr>
              <w:pStyle w:val="In-tableHeading"/>
            </w:pPr>
            <w:r w:rsidRPr="00370EF2">
              <w:t>AE</w:t>
            </w:r>
          </w:p>
        </w:tc>
        <w:tc>
          <w:tcPr>
            <w:tcW w:w="1167" w:type="pct"/>
            <w:gridSpan w:val="2"/>
            <w:hideMark/>
          </w:tcPr>
          <w:p w14:paraId="00C23AF8" w14:textId="77777777" w:rsidR="00A9194A" w:rsidRPr="00370EF2" w:rsidRDefault="00A9194A" w:rsidP="002F1124">
            <w:pPr>
              <w:pStyle w:val="In-tableHeading"/>
              <w:jc w:val="center"/>
            </w:pPr>
            <w:r w:rsidRPr="00370EF2">
              <w:t>PASCAL</w:t>
            </w:r>
          </w:p>
          <w:p w14:paraId="365CFA0F" w14:textId="77777777" w:rsidR="00A9194A" w:rsidRPr="00370EF2" w:rsidRDefault="00A9194A" w:rsidP="002F1124">
            <w:pPr>
              <w:pStyle w:val="In-tableHeading"/>
              <w:jc w:val="center"/>
            </w:pPr>
            <w:r w:rsidRPr="00370EF2">
              <w:t>N=199</w:t>
            </w:r>
          </w:p>
        </w:tc>
        <w:tc>
          <w:tcPr>
            <w:tcW w:w="1084" w:type="pct"/>
            <w:gridSpan w:val="2"/>
            <w:hideMark/>
          </w:tcPr>
          <w:p w14:paraId="27F1F39C" w14:textId="77777777" w:rsidR="00A9194A" w:rsidRPr="00370EF2" w:rsidRDefault="00A9194A" w:rsidP="002F1124">
            <w:pPr>
              <w:pStyle w:val="In-tableHeading"/>
              <w:jc w:val="center"/>
            </w:pPr>
            <w:proofErr w:type="spellStart"/>
            <w:r w:rsidRPr="00370EF2">
              <w:t>MitraClip</w:t>
            </w:r>
            <w:proofErr w:type="spellEnd"/>
          </w:p>
          <w:p w14:paraId="081B64AB" w14:textId="77777777" w:rsidR="00A9194A" w:rsidRPr="00370EF2" w:rsidRDefault="00A9194A" w:rsidP="002F1124">
            <w:pPr>
              <w:pStyle w:val="In-tableHeading"/>
              <w:jc w:val="center"/>
            </w:pPr>
            <w:r w:rsidRPr="00370EF2">
              <w:t>N=95</w:t>
            </w:r>
          </w:p>
        </w:tc>
      </w:tr>
      <w:tr w:rsidR="00A9194A" w:rsidRPr="000A0B8F" w14:paraId="5B162AC1" w14:textId="77777777" w:rsidTr="002F1124">
        <w:trPr>
          <w:trHeight w:val="257"/>
        </w:trPr>
        <w:tc>
          <w:tcPr>
            <w:tcW w:w="2749" w:type="pct"/>
            <w:tcBorders>
              <w:top w:val="nil"/>
            </w:tcBorders>
          </w:tcPr>
          <w:p w14:paraId="59E2B3D3" w14:textId="77777777" w:rsidR="00A9194A" w:rsidRPr="00370EF2" w:rsidRDefault="00A9194A" w:rsidP="002F1124">
            <w:pPr>
              <w:pStyle w:val="In-tableHeading"/>
            </w:pPr>
          </w:p>
        </w:tc>
        <w:tc>
          <w:tcPr>
            <w:tcW w:w="626" w:type="pct"/>
          </w:tcPr>
          <w:p w14:paraId="69197D17" w14:textId="77777777" w:rsidR="00A9194A" w:rsidRPr="00370EF2" w:rsidRDefault="00A9194A" w:rsidP="002F1124">
            <w:pPr>
              <w:pStyle w:val="In-tableHeading"/>
              <w:jc w:val="center"/>
            </w:pPr>
            <w:r w:rsidRPr="00370EF2">
              <w:t>30 days</w:t>
            </w:r>
          </w:p>
        </w:tc>
        <w:tc>
          <w:tcPr>
            <w:tcW w:w="542" w:type="pct"/>
          </w:tcPr>
          <w:p w14:paraId="11E0DA96" w14:textId="77777777" w:rsidR="00A9194A" w:rsidRPr="00370EF2" w:rsidRDefault="00A9194A" w:rsidP="002F1124">
            <w:pPr>
              <w:pStyle w:val="In-tableHeading"/>
              <w:jc w:val="center"/>
            </w:pPr>
            <w:r w:rsidRPr="00370EF2">
              <w:t>1 year</w:t>
            </w:r>
          </w:p>
        </w:tc>
        <w:tc>
          <w:tcPr>
            <w:tcW w:w="542" w:type="pct"/>
          </w:tcPr>
          <w:p w14:paraId="7A2E704D" w14:textId="77777777" w:rsidR="00A9194A" w:rsidRPr="00370EF2" w:rsidRDefault="00A9194A" w:rsidP="002F1124">
            <w:pPr>
              <w:pStyle w:val="In-tableHeading"/>
              <w:jc w:val="center"/>
            </w:pPr>
            <w:r w:rsidRPr="00370EF2">
              <w:t>30 days</w:t>
            </w:r>
          </w:p>
        </w:tc>
        <w:tc>
          <w:tcPr>
            <w:tcW w:w="542" w:type="pct"/>
          </w:tcPr>
          <w:p w14:paraId="62972292" w14:textId="77777777" w:rsidR="00A9194A" w:rsidRPr="00370EF2" w:rsidRDefault="00A9194A" w:rsidP="002F1124">
            <w:pPr>
              <w:pStyle w:val="In-tableHeading"/>
              <w:jc w:val="center"/>
            </w:pPr>
            <w:r w:rsidRPr="00370EF2">
              <w:t>1 year</w:t>
            </w:r>
          </w:p>
        </w:tc>
      </w:tr>
      <w:tr w:rsidR="00A9194A" w:rsidRPr="000A0B8F" w14:paraId="0DCE5F87" w14:textId="77777777" w:rsidTr="002F1124">
        <w:trPr>
          <w:trHeight w:val="269"/>
        </w:trPr>
        <w:tc>
          <w:tcPr>
            <w:tcW w:w="2749" w:type="pct"/>
            <w:hideMark/>
          </w:tcPr>
          <w:p w14:paraId="7C7327A5" w14:textId="77777777" w:rsidR="00A9194A" w:rsidRPr="00420B46" w:rsidRDefault="00A9194A" w:rsidP="00370EF2">
            <w:pPr>
              <w:pStyle w:val="TableText"/>
            </w:pPr>
            <w:r w:rsidRPr="00420B46">
              <w:t>Cardiovascular mortality</w:t>
            </w:r>
          </w:p>
        </w:tc>
        <w:tc>
          <w:tcPr>
            <w:tcW w:w="626" w:type="pct"/>
          </w:tcPr>
          <w:p w14:paraId="68C4D69B" w14:textId="77777777" w:rsidR="00A9194A" w:rsidRPr="00E02605" w:rsidRDefault="00A9194A" w:rsidP="002F1124">
            <w:pPr>
              <w:pStyle w:val="TableText"/>
              <w:jc w:val="center"/>
            </w:pPr>
            <w:r>
              <w:t>$74.48</w:t>
            </w:r>
          </w:p>
        </w:tc>
        <w:tc>
          <w:tcPr>
            <w:tcW w:w="542" w:type="pct"/>
          </w:tcPr>
          <w:p w14:paraId="6269E747" w14:textId="77777777" w:rsidR="00A9194A" w:rsidRPr="00E02605" w:rsidRDefault="00A9194A" w:rsidP="002F1124">
            <w:pPr>
              <w:pStyle w:val="TableText"/>
              <w:jc w:val="center"/>
            </w:pPr>
            <w:r>
              <w:t>$551.15</w:t>
            </w:r>
          </w:p>
        </w:tc>
        <w:tc>
          <w:tcPr>
            <w:tcW w:w="542" w:type="pct"/>
          </w:tcPr>
          <w:p w14:paraId="13DA6902" w14:textId="77777777" w:rsidR="00A9194A" w:rsidRPr="00E02605" w:rsidRDefault="00A9194A" w:rsidP="002F1124">
            <w:pPr>
              <w:pStyle w:val="TableText"/>
              <w:jc w:val="center"/>
            </w:pPr>
            <w:r>
              <w:t>$327.71</w:t>
            </w:r>
          </w:p>
        </w:tc>
        <w:tc>
          <w:tcPr>
            <w:tcW w:w="542" w:type="pct"/>
          </w:tcPr>
          <w:p w14:paraId="3CFB3FE1" w14:textId="77777777" w:rsidR="00A9194A" w:rsidRPr="00E02605" w:rsidRDefault="00A9194A" w:rsidP="002F1124">
            <w:pPr>
              <w:pStyle w:val="TableText"/>
              <w:jc w:val="center"/>
            </w:pPr>
            <w:r>
              <w:t>$1,102.30</w:t>
            </w:r>
          </w:p>
        </w:tc>
      </w:tr>
      <w:tr w:rsidR="00A9194A" w:rsidRPr="000A0B8F" w14:paraId="19182957" w14:textId="77777777" w:rsidTr="002F1124">
        <w:trPr>
          <w:trHeight w:val="145"/>
        </w:trPr>
        <w:tc>
          <w:tcPr>
            <w:tcW w:w="2749" w:type="pct"/>
            <w:hideMark/>
          </w:tcPr>
          <w:p w14:paraId="413367C7" w14:textId="77777777" w:rsidR="00A9194A" w:rsidRPr="00420B46" w:rsidRDefault="00A9194A" w:rsidP="00370EF2">
            <w:pPr>
              <w:pStyle w:val="TableText"/>
            </w:pPr>
            <w:r w:rsidRPr="00420B46">
              <w:t>Stroke</w:t>
            </w:r>
          </w:p>
        </w:tc>
        <w:tc>
          <w:tcPr>
            <w:tcW w:w="626" w:type="pct"/>
          </w:tcPr>
          <w:p w14:paraId="6C211DCC" w14:textId="77777777" w:rsidR="00A9194A" w:rsidRPr="00E02605" w:rsidRDefault="00A9194A" w:rsidP="002F1124">
            <w:pPr>
              <w:pStyle w:val="TableText"/>
              <w:jc w:val="center"/>
            </w:pPr>
            <w:r>
              <w:t>$53.11</w:t>
            </w:r>
          </w:p>
        </w:tc>
        <w:tc>
          <w:tcPr>
            <w:tcW w:w="542" w:type="pct"/>
          </w:tcPr>
          <w:p w14:paraId="4D811983" w14:textId="77777777" w:rsidR="00A9194A" w:rsidRPr="00E02605" w:rsidRDefault="00A9194A" w:rsidP="002F1124">
            <w:pPr>
              <w:pStyle w:val="TableText"/>
              <w:jc w:val="center"/>
            </w:pPr>
            <w:r>
              <w:t>$233.68</w:t>
            </w:r>
          </w:p>
        </w:tc>
        <w:tc>
          <w:tcPr>
            <w:tcW w:w="542" w:type="pct"/>
          </w:tcPr>
          <w:p w14:paraId="6CBCA0E9" w14:textId="77777777" w:rsidR="00A9194A" w:rsidRPr="00E02605" w:rsidRDefault="00A9194A" w:rsidP="002F1124">
            <w:pPr>
              <w:pStyle w:val="TableText"/>
              <w:jc w:val="center"/>
            </w:pPr>
            <w:r>
              <w:t>$116.84</w:t>
            </w:r>
          </w:p>
        </w:tc>
        <w:tc>
          <w:tcPr>
            <w:tcW w:w="542" w:type="pct"/>
          </w:tcPr>
          <w:p w14:paraId="1B76012F" w14:textId="77777777" w:rsidR="00A9194A" w:rsidRPr="00E02605" w:rsidRDefault="00A9194A" w:rsidP="002F1124">
            <w:pPr>
              <w:pStyle w:val="TableText"/>
              <w:jc w:val="center"/>
            </w:pPr>
            <w:r>
              <w:t>$116.84</w:t>
            </w:r>
          </w:p>
        </w:tc>
      </w:tr>
      <w:tr w:rsidR="00A9194A" w:rsidRPr="000A0B8F" w14:paraId="58BB656F" w14:textId="77777777" w:rsidTr="002F1124">
        <w:trPr>
          <w:trHeight w:val="191"/>
        </w:trPr>
        <w:tc>
          <w:tcPr>
            <w:tcW w:w="2749" w:type="pct"/>
            <w:hideMark/>
          </w:tcPr>
          <w:p w14:paraId="4EF6AA19" w14:textId="77777777" w:rsidR="00A9194A" w:rsidRPr="00420B46" w:rsidRDefault="00A9194A" w:rsidP="00370EF2">
            <w:pPr>
              <w:pStyle w:val="TableText"/>
            </w:pPr>
            <w:r w:rsidRPr="00420B46">
              <w:t>Myocardial infarction</w:t>
            </w:r>
          </w:p>
        </w:tc>
        <w:tc>
          <w:tcPr>
            <w:tcW w:w="626" w:type="pct"/>
          </w:tcPr>
          <w:p w14:paraId="67E86376" w14:textId="77777777" w:rsidR="00A9194A" w:rsidRPr="00E02605" w:rsidRDefault="00A9194A" w:rsidP="002F1124">
            <w:pPr>
              <w:pStyle w:val="TableText"/>
              <w:jc w:val="center"/>
            </w:pPr>
            <w:r>
              <w:t>$0.00</w:t>
            </w:r>
          </w:p>
        </w:tc>
        <w:tc>
          <w:tcPr>
            <w:tcW w:w="542" w:type="pct"/>
          </w:tcPr>
          <w:p w14:paraId="593C92A9" w14:textId="77777777" w:rsidR="00A9194A" w:rsidRPr="00E02605" w:rsidRDefault="00A9194A" w:rsidP="002F1124">
            <w:pPr>
              <w:pStyle w:val="TableText"/>
              <w:jc w:val="center"/>
            </w:pPr>
            <w:r>
              <w:t>$0.00</w:t>
            </w:r>
          </w:p>
        </w:tc>
        <w:tc>
          <w:tcPr>
            <w:tcW w:w="542" w:type="pct"/>
          </w:tcPr>
          <w:p w14:paraId="03D353B6" w14:textId="77777777" w:rsidR="00A9194A" w:rsidRPr="00E02605" w:rsidRDefault="00A9194A" w:rsidP="002F1124">
            <w:pPr>
              <w:pStyle w:val="TableText"/>
              <w:jc w:val="center"/>
            </w:pPr>
            <w:r>
              <w:t>$111.26</w:t>
            </w:r>
          </w:p>
        </w:tc>
        <w:tc>
          <w:tcPr>
            <w:tcW w:w="542" w:type="pct"/>
          </w:tcPr>
          <w:p w14:paraId="5D3F1953" w14:textId="77777777" w:rsidR="00A9194A" w:rsidRPr="00E02605" w:rsidRDefault="00A9194A" w:rsidP="002F1124">
            <w:pPr>
              <w:pStyle w:val="TableText"/>
              <w:jc w:val="center"/>
            </w:pPr>
            <w:r>
              <w:t>$111.26</w:t>
            </w:r>
          </w:p>
        </w:tc>
      </w:tr>
      <w:tr w:rsidR="00A9194A" w:rsidRPr="000A0B8F" w14:paraId="2E3C3C56" w14:textId="77777777" w:rsidTr="002F1124">
        <w:trPr>
          <w:trHeight w:val="237"/>
        </w:trPr>
        <w:tc>
          <w:tcPr>
            <w:tcW w:w="2749" w:type="pct"/>
            <w:hideMark/>
          </w:tcPr>
          <w:p w14:paraId="282F3CD3" w14:textId="77777777" w:rsidR="00A9194A" w:rsidRPr="00420B46" w:rsidRDefault="00A9194A" w:rsidP="00370EF2">
            <w:pPr>
              <w:pStyle w:val="TableText"/>
            </w:pPr>
            <w:r w:rsidRPr="00420B46">
              <w:t>Need for new renal replacement therapy</w:t>
            </w:r>
          </w:p>
        </w:tc>
        <w:tc>
          <w:tcPr>
            <w:tcW w:w="626" w:type="pct"/>
          </w:tcPr>
          <w:p w14:paraId="373D3AE7" w14:textId="77777777" w:rsidR="00A9194A" w:rsidRPr="00E02605" w:rsidRDefault="00A9194A" w:rsidP="002F1124">
            <w:pPr>
              <w:pStyle w:val="TableText"/>
              <w:jc w:val="center"/>
            </w:pPr>
            <w:r>
              <w:t>$0.00</w:t>
            </w:r>
          </w:p>
        </w:tc>
        <w:tc>
          <w:tcPr>
            <w:tcW w:w="542" w:type="pct"/>
          </w:tcPr>
          <w:p w14:paraId="43097800" w14:textId="77777777" w:rsidR="00A9194A" w:rsidRPr="00E02605" w:rsidRDefault="00A9194A" w:rsidP="002F1124">
            <w:pPr>
              <w:pStyle w:val="TableText"/>
              <w:jc w:val="center"/>
            </w:pPr>
            <w:r>
              <w:t>$6.44</w:t>
            </w:r>
          </w:p>
        </w:tc>
        <w:tc>
          <w:tcPr>
            <w:tcW w:w="542" w:type="pct"/>
          </w:tcPr>
          <w:p w14:paraId="5D4D67CC" w14:textId="77777777" w:rsidR="00A9194A" w:rsidRPr="00E02605" w:rsidRDefault="00A9194A" w:rsidP="002F1124">
            <w:pPr>
              <w:pStyle w:val="TableText"/>
              <w:jc w:val="center"/>
            </w:pPr>
            <w:r>
              <w:t>$0.00</w:t>
            </w:r>
          </w:p>
        </w:tc>
        <w:tc>
          <w:tcPr>
            <w:tcW w:w="542" w:type="pct"/>
          </w:tcPr>
          <w:p w14:paraId="7D93E81B" w14:textId="77777777" w:rsidR="00A9194A" w:rsidRPr="00E02605" w:rsidRDefault="00A9194A" w:rsidP="002F1124">
            <w:pPr>
              <w:pStyle w:val="TableText"/>
              <w:jc w:val="center"/>
            </w:pPr>
            <w:r>
              <w:t>$6.44</w:t>
            </w:r>
          </w:p>
        </w:tc>
      </w:tr>
      <w:tr w:rsidR="00A9194A" w:rsidRPr="000A0B8F" w14:paraId="1851BEA4" w14:textId="77777777" w:rsidTr="002F1124">
        <w:trPr>
          <w:trHeight w:val="128"/>
        </w:trPr>
        <w:tc>
          <w:tcPr>
            <w:tcW w:w="2749" w:type="pct"/>
            <w:hideMark/>
          </w:tcPr>
          <w:p w14:paraId="57E371B4" w14:textId="77777777" w:rsidR="00A9194A" w:rsidRPr="00420B46" w:rsidRDefault="00A9194A" w:rsidP="00370EF2">
            <w:pPr>
              <w:pStyle w:val="TableText"/>
            </w:pPr>
            <w:r w:rsidRPr="00420B46">
              <w:t xml:space="preserve">Severe bleeding </w:t>
            </w:r>
            <w:r w:rsidRPr="00420B46">
              <w:rPr>
                <w:vertAlign w:val="superscript"/>
              </w:rPr>
              <w:t xml:space="preserve">a </w:t>
            </w:r>
          </w:p>
        </w:tc>
        <w:tc>
          <w:tcPr>
            <w:tcW w:w="626" w:type="pct"/>
          </w:tcPr>
          <w:p w14:paraId="4B8DE4A6" w14:textId="77777777" w:rsidR="00A9194A" w:rsidRPr="00E02605" w:rsidRDefault="00A9194A" w:rsidP="002F1124">
            <w:pPr>
              <w:pStyle w:val="TableText"/>
              <w:jc w:val="center"/>
            </w:pPr>
            <w:r>
              <w:t>$34.86</w:t>
            </w:r>
          </w:p>
        </w:tc>
        <w:tc>
          <w:tcPr>
            <w:tcW w:w="542" w:type="pct"/>
          </w:tcPr>
          <w:p w14:paraId="1D89A17A" w14:textId="77777777" w:rsidR="00A9194A" w:rsidRPr="00E02605" w:rsidRDefault="00A9194A" w:rsidP="002F1124">
            <w:pPr>
              <w:pStyle w:val="TableText"/>
              <w:jc w:val="center"/>
            </w:pPr>
            <w:r>
              <w:t>$98.78</w:t>
            </w:r>
          </w:p>
        </w:tc>
        <w:tc>
          <w:tcPr>
            <w:tcW w:w="542" w:type="pct"/>
          </w:tcPr>
          <w:p w14:paraId="440491BF" w14:textId="77777777" w:rsidR="00A9194A" w:rsidRPr="00E02605" w:rsidRDefault="00A9194A" w:rsidP="002F1124">
            <w:pPr>
              <w:pStyle w:val="TableText"/>
              <w:jc w:val="center"/>
            </w:pPr>
            <w:r>
              <w:t>$21.30</w:t>
            </w:r>
          </w:p>
        </w:tc>
        <w:tc>
          <w:tcPr>
            <w:tcW w:w="542" w:type="pct"/>
          </w:tcPr>
          <w:p w14:paraId="7E5830B6" w14:textId="77777777" w:rsidR="00A9194A" w:rsidRPr="00E02605" w:rsidRDefault="00A9194A" w:rsidP="002F1124">
            <w:pPr>
              <w:pStyle w:val="TableText"/>
              <w:jc w:val="center"/>
            </w:pPr>
            <w:r>
              <w:t>$53.26</w:t>
            </w:r>
          </w:p>
        </w:tc>
      </w:tr>
      <w:tr w:rsidR="00A9194A" w:rsidRPr="000A0B8F" w14:paraId="6F564D35" w14:textId="77777777" w:rsidTr="002F1124">
        <w:trPr>
          <w:trHeight w:val="285"/>
        </w:trPr>
        <w:tc>
          <w:tcPr>
            <w:tcW w:w="2749" w:type="pct"/>
            <w:hideMark/>
          </w:tcPr>
          <w:p w14:paraId="130B4B42" w14:textId="77777777" w:rsidR="00A9194A" w:rsidRPr="00420B46" w:rsidRDefault="00A9194A" w:rsidP="00370EF2">
            <w:pPr>
              <w:pStyle w:val="TableText"/>
            </w:pPr>
            <w:r w:rsidRPr="00420B46">
              <w:t>Nonelective mitral valve re</w:t>
            </w:r>
            <w:r>
              <w:t>intervention</w:t>
            </w:r>
            <w:r w:rsidRPr="00420B46">
              <w:t xml:space="preserve"> (percutaneous or surgical)</w:t>
            </w:r>
          </w:p>
        </w:tc>
        <w:tc>
          <w:tcPr>
            <w:tcW w:w="626" w:type="pct"/>
          </w:tcPr>
          <w:p w14:paraId="3352E6DD" w14:textId="77777777" w:rsidR="00A9194A" w:rsidRPr="00E02605" w:rsidRDefault="00A9194A" w:rsidP="002F1124">
            <w:pPr>
              <w:pStyle w:val="TableText"/>
              <w:jc w:val="center"/>
            </w:pPr>
            <w:r>
              <w:t>$428.63</w:t>
            </w:r>
          </w:p>
        </w:tc>
        <w:tc>
          <w:tcPr>
            <w:tcW w:w="542" w:type="pct"/>
          </w:tcPr>
          <w:p w14:paraId="0E6F757E" w14:textId="77777777" w:rsidR="00A9194A" w:rsidRPr="00E02605" w:rsidRDefault="00A9194A" w:rsidP="002F1124">
            <w:pPr>
              <w:pStyle w:val="TableText"/>
              <w:jc w:val="center"/>
            </w:pPr>
            <w:r>
              <w:t>$600.09</w:t>
            </w:r>
          </w:p>
        </w:tc>
        <w:tc>
          <w:tcPr>
            <w:tcW w:w="542" w:type="pct"/>
          </w:tcPr>
          <w:p w14:paraId="64FB2801" w14:textId="77777777" w:rsidR="00A9194A" w:rsidRPr="00E02605" w:rsidRDefault="00A9194A" w:rsidP="002F1124">
            <w:pPr>
              <w:pStyle w:val="TableText"/>
              <w:jc w:val="center"/>
            </w:pPr>
            <w:r>
              <w:t>$314.33</w:t>
            </w:r>
          </w:p>
        </w:tc>
        <w:tc>
          <w:tcPr>
            <w:tcW w:w="542" w:type="pct"/>
          </w:tcPr>
          <w:p w14:paraId="123AA846" w14:textId="77777777" w:rsidR="00A9194A" w:rsidRPr="00E02605" w:rsidRDefault="00A9194A" w:rsidP="002F1124">
            <w:pPr>
              <w:pStyle w:val="TableText"/>
              <w:jc w:val="center"/>
            </w:pPr>
            <w:r>
              <w:t>$600.09</w:t>
            </w:r>
          </w:p>
        </w:tc>
      </w:tr>
      <w:tr w:rsidR="00A9194A" w:rsidRPr="000A0B8F" w14:paraId="5B9B5847" w14:textId="77777777" w:rsidTr="002F1124">
        <w:trPr>
          <w:trHeight w:val="221"/>
        </w:trPr>
        <w:tc>
          <w:tcPr>
            <w:tcW w:w="2749" w:type="pct"/>
          </w:tcPr>
          <w:p w14:paraId="5CDCEAE8" w14:textId="77777777" w:rsidR="00A9194A" w:rsidRPr="002F1124" w:rsidRDefault="00A9194A" w:rsidP="00370EF2">
            <w:pPr>
              <w:pStyle w:val="TableText"/>
              <w:rPr>
                <w:b/>
                <w:bCs/>
              </w:rPr>
            </w:pPr>
            <w:r w:rsidRPr="002F1124">
              <w:rPr>
                <w:b/>
                <w:bCs/>
              </w:rPr>
              <w:t>Total</w:t>
            </w:r>
          </w:p>
        </w:tc>
        <w:tc>
          <w:tcPr>
            <w:tcW w:w="626" w:type="pct"/>
          </w:tcPr>
          <w:p w14:paraId="222C9B7A" w14:textId="77777777" w:rsidR="00A9194A" w:rsidRPr="002F1124" w:rsidRDefault="00A9194A" w:rsidP="002F1124">
            <w:pPr>
              <w:pStyle w:val="TableText"/>
              <w:jc w:val="center"/>
              <w:rPr>
                <w:b/>
                <w:bCs/>
              </w:rPr>
            </w:pPr>
            <w:r w:rsidRPr="002F1124">
              <w:rPr>
                <w:b/>
                <w:bCs/>
              </w:rPr>
              <w:t>$591.08</w:t>
            </w:r>
          </w:p>
        </w:tc>
        <w:tc>
          <w:tcPr>
            <w:tcW w:w="542" w:type="pct"/>
          </w:tcPr>
          <w:p w14:paraId="24555EF4" w14:textId="77777777" w:rsidR="00A9194A" w:rsidRPr="002F1124" w:rsidRDefault="00A9194A" w:rsidP="002F1124">
            <w:pPr>
              <w:pStyle w:val="TableText"/>
              <w:jc w:val="center"/>
              <w:rPr>
                <w:b/>
                <w:bCs/>
              </w:rPr>
            </w:pPr>
            <w:r w:rsidRPr="002F1124">
              <w:rPr>
                <w:b/>
                <w:bCs/>
              </w:rPr>
              <w:t>$1,490.13</w:t>
            </w:r>
          </w:p>
        </w:tc>
        <w:tc>
          <w:tcPr>
            <w:tcW w:w="542" w:type="pct"/>
          </w:tcPr>
          <w:p w14:paraId="7A2882FD" w14:textId="77777777" w:rsidR="00A9194A" w:rsidRPr="002F1124" w:rsidRDefault="00A9194A" w:rsidP="002F1124">
            <w:pPr>
              <w:pStyle w:val="TableText"/>
              <w:jc w:val="center"/>
              <w:rPr>
                <w:b/>
                <w:bCs/>
              </w:rPr>
            </w:pPr>
            <w:r w:rsidRPr="002F1124">
              <w:rPr>
                <w:b/>
                <w:bCs/>
              </w:rPr>
              <w:t>$891.45</w:t>
            </w:r>
          </w:p>
        </w:tc>
        <w:tc>
          <w:tcPr>
            <w:tcW w:w="542" w:type="pct"/>
          </w:tcPr>
          <w:p w14:paraId="7F3627A1" w14:textId="77777777" w:rsidR="00A9194A" w:rsidRPr="002F1124" w:rsidRDefault="00A9194A" w:rsidP="002F1124">
            <w:pPr>
              <w:pStyle w:val="TableText"/>
              <w:jc w:val="center"/>
              <w:rPr>
                <w:b/>
                <w:bCs/>
              </w:rPr>
            </w:pPr>
            <w:r w:rsidRPr="002F1124">
              <w:rPr>
                <w:b/>
                <w:bCs/>
              </w:rPr>
              <w:t>$1,990.19</w:t>
            </w:r>
          </w:p>
        </w:tc>
      </w:tr>
      <w:tr w:rsidR="00A9194A" w:rsidRPr="00C54DC8" w14:paraId="3F0F39CB" w14:textId="77777777" w:rsidTr="002F1124">
        <w:trPr>
          <w:trHeight w:val="151"/>
        </w:trPr>
        <w:tc>
          <w:tcPr>
            <w:tcW w:w="2749" w:type="pct"/>
          </w:tcPr>
          <w:p w14:paraId="71968151" w14:textId="77777777" w:rsidR="00A9194A" w:rsidRPr="00420B46" w:rsidRDefault="00A9194A" w:rsidP="00370EF2">
            <w:pPr>
              <w:pStyle w:val="TableText"/>
            </w:pPr>
            <w:r w:rsidRPr="00420B46">
              <w:t>Heart failure hospitali</w:t>
            </w:r>
            <w:r>
              <w:t>s</w:t>
            </w:r>
            <w:r w:rsidRPr="00420B46">
              <w:t xml:space="preserve">ation </w:t>
            </w:r>
            <w:r w:rsidRPr="00420B46">
              <w:rPr>
                <w:vertAlign w:val="superscript"/>
              </w:rPr>
              <w:t>b</w:t>
            </w:r>
          </w:p>
        </w:tc>
        <w:tc>
          <w:tcPr>
            <w:tcW w:w="626" w:type="pct"/>
          </w:tcPr>
          <w:p w14:paraId="35EC0559" w14:textId="77777777" w:rsidR="00A9194A" w:rsidRPr="00C54DC8" w:rsidRDefault="00A9194A" w:rsidP="002F1124">
            <w:pPr>
              <w:pStyle w:val="TableText"/>
              <w:jc w:val="center"/>
            </w:pPr>
            <w:r>
              <w:t>$395.84</w:t>
            </w:r>
          </w:p>
        </w:tc>
        <w:tc>
          <w:tcPr>
            <w:tcW w:w="542" w:type="pct"/>
          </w:tcPr>
          <w:p w14:paraId="3A960A2A" w14:textId="77777777" w:rsidR="00A9194A" w:rsidRPr="00C54DC8" w:rsidRDefault="00A9194A" w:rsidP="002F1124">
            <w:pPr>
              <w:pStyle w:val="TableText"/>
              <w:jc w:val="center"/>
            </w:pPr>
            <w:r>
              <w:t>$866.56</w:t>
            </w:r>
          </w:p>
        </w:tc>
        <w:tc>
          <w:tcPr>
            <w:tcW w:w="542" w:type="pct"/>
          </w:tcPr>
          <w:p w14:paraId="2910B724" w14:textId="77777777" w:rsidR="00A9194A" w:rsidRPr="00C54DC8" w:rsidRDefault="00A9194A" w:rsidP="002F1124">
            <w:pPr>
              <w:pStyle w:val="TableText"/>
              <w:jc w:val="center"/>
            </w:pPr>
            <w:r>
              <w:t>$353.04</w:t>
            </w:r>
          </w:p>
        </w:tc>
        <w:tc>
          <w:tcPr>
            <w:tcW w:w="542" w:type="pct"/>
          </w:tcPr>
          <w:p w14:paraId="014E974E" w14:textId="77777777" w:rsidR="00A9194A" w:rsidRPr="00C54DC8" w:rsidRDefault="00A9194A" w:rsidP="002F1124">
            <w:pPr>
              <w:pStyle w:val="TableText"/>
              <w:jc w:val="center"/>
            </w:pPr>
            <w:r>
              <w:t>$353.04</w:t>
            </w:r>
          </w:p>
        </w:tc>
      </w:tr>
      <w:tr w:rsidR="00A9194A" w:rsidRPr="00C54DC8" w14:paraId="591B97AA" w14:textId="77777777" w:rsidTr="002F1124">
        <w:trPr>
          <w:trHeight w:val="151"/>
        </w:trPr>
        <w:tc>
          <w:tcPr>
            <w:tcW w:w="2749" w:type="pct"/>
          </w:tcPr>
          <w:p w14:paraId="4628EBE6" w14:textId="77777777" w:rsidR="00A9194A" w:rsidRPr="002F1124" w:rsidRDefault="00A9194A" w:rsidP="00370EF2">
            <w:pPr>
              <w:pStyle w:val="TableText"/>
              <w:rPr>
                <w:b/>
                <w:bCs/>
              </w:rPr>
            </w:pPr>
            <w:r w:rsidRPr="002F1124">
              <w:rPr>
                <w:b/>
                <w:bCs/>
              </w:rPr>
              <w:t>Total including HFH</w:t>
            </w:r>
          </w:p>
        </w:tc>
        <w:tc>
          <w:tcPr>
            <w:tcW w:w="626" w:type="pct"/>
          </w:tcPr>
          <w:p w14:paraId="2AEEC2FA" w14:textId="77777777" w:rsidR="00A9194A" w:rsidRPr="002F1124" w:rsidRDefault="00A9194A" w:rsidP="002F1124">
            <w:pPr>
              <w:pStyle w:val="TableText"/>
              <w:jc w:val="center"/>
              <w:rPr>
                <w:b/>
                <w:bCs/>
              </w:rPr>
            </w:pPr>
            <w:r w:rsidRPr="002F1124">
              <w:rPr>
                <w:b/>
                <w:bCs/>
              </w:rPr>
              <w:t>$1,008.57</w:t>
            </w:r>
          </w:p>
        </w:tc>
        <w:tc>
          <w:tcPr>
            <w:tcW w:w="542" w:type="pct"/>
          </w:tcPr>
          <w:p w14:paraId="24BAC44B" w14:textId="77777777" w:rsidR="00A9194A" w:rsidRPr="002F1124" w:rsidRDefault="00A9194A" w:rsidP="002F1124">
            <w:pPr>
              <w:pStyle w:val="TableText"/>
              <w:jc w:val="center"/>
              <w:rPr>
                <w:b/>
                <w:bCs/>
              </w:rPr>
            </w:pPr>
            <w:r w:rsidRPr="002F1124">
              <w:rPr>
                <w:b/>
                <w:bCs/>
              </w:rPr>
              <w:t>$2,397.65</w:t>
            </w:r>
          </w:p>
        </w:tc>
        <w:tc>
          <w:tcPr>
            <w:tcW w:w="542" w:type="pct"/>
          </w:tcPr>
          <w:p w14:paraId="2C093210" w14:textId="77777777" w:rsidR="00A9194A" w:rsidRPr="002F1124" w:rsidRDefault="00A9194A" w:rsidP="002F1124">
            <w:pPr>
              <w:pStyle w:val="TableText"/>
              <w:jc w:val="center"/>
              <w:rPr>
                <w:b/>
                <w:bCs/>
              </w:rPr>
            </w:pPr>
            <w:r w:rsidRPr="002F1124">
              <w:rPr>
                <w:b/>
                <w:bCs/>
              </w:rPr>
              <w:t>$1,263.80</w:t>
            </w:r>
          </w:p>
        </w:tc>
        <w:tc>
          <w:tcPr>
            <w:tcW w:w="542" w:type="pct"/>
          </w:tcPr>
          <w:p w14:paraId="77D247DB" w14:textId="77777777" w:rsidR="00A9194A" w:rsidRPr="002F1124" w:rsidRDefault="00A9194A" w:rsidP="002F1124">
            <w:pPr>
              <w:pStyle w:val="TableText"/>
              <w:jc w:val="center"/>
              <w:rPr>
                <w:b/>
                <w:bCs/>
              </w:rPr>
            </w:pPr>
            <w:r w:rsidRPr="002F1124">
              <w:rPr>
                <w:b/>
                <w:bCs/>
              </w:rPr>
              <w:t>$2,356.11</w:t>
            </w:r>
          </w:p>
        </w:tc>
      </w:tr>
    </w:tbl>
    <w:p w14:paraId="12963F62" w14:textId="229B7DF0" w:rsidR="00A9194A" w:rsidRDefault="00A9194A" w:rsidP="002F1124">
      <w:pPr>
        <w:pStyle w:val="TableFooter"/>
        <w:rPr>
          <w:lang w:val="en-US"/>
        </w:rPr>
      </w:pPr>
      <w:r>
        <w:rPr>
          <w:lang w:val="en-US"/>
        </w:rPr>
        <w:t xml:space="preserve">Source: </w:t>
      </w:r>
      <w:r w:rsidR="000F1CE4">
        <w:t xml:space="preserve">Table 22, p63 of MSAC </w:t>
      </w:r>
      <w:r w:rsidR="00145709">
        <w:t>1662.2 ADAR.</w:t>
      </w:r>
    </w:p>
    <w:p w14:paraId="290A5849" w14:textId="77777777" w:rsidR="00A9194A" w:rsidRDefault="00A9194A" w:rsidP="002F1124">
      <w:pPr>
        <w:pStyle w:val="TableFooter"/>
        <w:rPr>
          <w:lang w:val="en-US"/>
        </w:rPr>
      </w:pPr>
      <w:r>
        <w:rPr>
          <w:lang w:val="en-US"/>
        </w:rPr>
        <w:t xml:space="preserve">Abbreviations: AE, adverse event; HFH, heart failure </w:t>
      </w:r>
      <w:r w:rsidRPr="00B264E5">
        <w:t>hospitalisation</w:t>
      </w:r>
    </w:p>
    <w:p w14:paraId="0CE9BF84" w14:textId="77777777" w:rsidR="00A9194A" w:rsidRPr="00420B46" w:rsidRDefault="00A9194A" w:rsidP="002F1124">
      <w:pPr>
        <w:pStyle w:val="TableFooter"/>
        <w:rPr>
          <w:lang w:val="en-US"/>
        </w:rPr>
      </w:pPr>
      <w:r>
        <w:rPr>
          <w:lang w:val="en-US"/>
        </w:rPr>
        <w:t xml:space="preserve">Notes: </w:t>
      </w:r>
      <w:r w:rsidRPr="005A50F4">
        <w:rPr>
          <w:vertAlign w:val="superscript"/>
          <w:lang w:val="en-US"/>
        </w:rPr>
        <w:t>a</w:t>
      </w:r>
      <w:r>
        <w:rPr>
          <w:vertAlign w:val="superscript"/>
          <w:lang w:val="en-US"/>
        </w:rPr>
        <w:t xml:space="preserve"> </w:t>
      </w:r>
      <w:r>
        <w:rPr>
          <w:lang w:val="en-US"/>
        </w:rPr>
        <w:t>m</w:t>
      </w:r>
      <w:r w:rsidRPr="005A50F4">
        <w:rPr>
          <w:lang w:val="en-US"/>
        </w:rPr>
        <w:t xml:space="preserve">ajor, extensive, life-threatening, or fatal bleeding defined by the Mitral Valve Academic Research Consortium criteria. </w:t>
      </w:r>
      <w:r w:rsidRPr="005A50F4">
        <w:rPr>
          <w:vertAlign w:val="superscript"/>
          <w:lang w:val="en-US"/>
        </w:rPr>
        <w:t>b</w:t>
      </w:r>
      <w:r>
        <w:rPr>
          <w:vertAlign w:val="superscript"/>
          <w:lang w:val="en-US"/>
        </w:rPr>
        <w:t xml:space="preserve"> </w:t>
      </w:r>
      <w:r>
        <w:rPr>
          <w:lang w:val="en-US"/>
        </w:rPr>
        <w:t>Included in a sensitivity analysis only.</w:t>
      </w:r>
    </w:p>
    <w:p w14:paraId="52532749" w14:textId="1EA807B4" w:rsidR="00A56A74" w:rsidRPr="00A56A74" w:rsidRDefault="00A56A74" w:rsidP="00A56A74">
      <w:pPr>
        <w:pStyle w:val="Guidelinescross-ref"/>
        <w:rPr>
          <w:i/>
          <w:color w:val="auto"/>
        </w:rPr>
      </w:pPr>
      <w:r>
        <w:rPr>
          <w:i/>
          <w:color w:val="auto"/>
        </w:rPr>
        <w:t>Total</w:t>
      </w:r>
      <w:r w:rsidRPr="00602103">
        <w:rPr>
          <w:i/>
          <w:color w:val="auto"/>
        </w:rPr>
        <w:t xml:space="preserve"> costs</w:t>
      </w:r>
      <w:r>
        <w:rPr>
          <w:i/>
          <w:color w:val="auto"/>
        </w:rPr>
        <w:t xml:space="preserve"> – base case</w:t>
      </w:r>
    </w:p>
    <w:p w14:paraId="7E2DC200" w14:textId="7C935D75" w:rsidR="00913E6E" w:rsidRPr="00613BB9" w:rsidRDefault="00913E6E" w:rsidP="00913E6E">
      <w:r w:rsidRPr="00613BB9">
        <w:t xml:space="preserve">The total cost of PASCAL and </w:t>
      </w:r>
      <w:proofErr w:type="spellStart"/>
      <w:r w:rsidRPr="00613BB9">
        <w:t>MitraClip</w:t>
      </w:r>
      <w:proofErr w:type="spellEnd"/>
      <w:r w:rsidRPr="00613BB9">
        <w:t xml:space="preserve"> inclusive of MAEs over the base case of 30 days is shown in </w:t>
      </w:r>
      <w:r w:rsidR="009D67C6">
        <w:fldChar w:fldCharType="begin"/>
      </w:r>
      <w:r w:rsidR="009D67C6">
        <w:instrText xml:space="preserve"> REF _Ref146639732 \h </w:instrText>
      </w:r>
      <w:r w:rsidR="009D67C6">
        <w:fldChar w:fldCharType="separate"/>
      </w:r>
      <w:r w:rsidR="009D67C6">
        <w:t xml:space="preserve">Table </w:t>
      </w:r>
      <w:r w:rsidR="009D67C6">
        <w:rPr>
          <w:noProof/>
        </w:rPr>
        <w:t>9</w:t>
      </w:r>
      <w:r w:rsidR="009D67C6">
        <w:fldChar w:fldCharType="end"/>
      </w:r>
      <w:r w:rsidR="009D67C6">
        <w:t xml:space="preserve">. </w:t>
      </w:r>
      <w:r w:rsidRPr="00613BB9">
        <w:t>The total cost of PASCAL over 30 days is $34,9</w:t>
      </w:r>
      <w:r w:rsidR="00615581">
        <w:t>65</w:t>
      </w:r>
      <w:r w:rsidR="00D44039">
        <w:t>.30</w:t>
      </w:r>
      <w:r w:rsidRPr="00613BB9">
        <w:t xml:space="preserve"> compared to $35,2</w:t>
      </w:r>
      <w:r w:rsidR="00303CEB">
        <w:t>65.67</w:t>
      </w:r>
      <w:r w:rsidRPr="00613BB9">
        <w:t xml:space="preserve"> for </w:t>
      </w:r>
      <w:proofErr w:type="spellStart"/>
      <w:r w:rsidRPr="00613BB9">
        <w:t>MitraClip</w:t>
      </w:r>
      <w:proofErr w:type="spellEnd"/>
      <w:r w:rsidRPr="00613BB9">
        <w:t>. PASCAL results in savings of $300.36 per patient over 30 days.</w:t>
      </w:r>
      <w:r w:rsidR="008521E6" w:rsidRPr="00613BB9">
        <w:t xml:space="preserve"> The </w:t>
      </w:r>
      <w:r w:rsidR="00B0709B" w:rsidRPr="00613BB9">
        <w:t xml:space="preserve">nominal </w:t>
      </w:r>
      <w:r w:rsidR="008521E6" w:rsidRPr="00613BB9">
        <w:t xml:space="preserve">cost saving for PASCAL is due </w:t>
      </w:r>
      <w:r w:rsidR="00B0709B" w:rsidRPr="00613BB9">
        <w:t xml:space="preserve">to a higher proportion of lower cost MAEs versus the </w:t>
      </w:r>
      <w:proofErr w:type="spellStart"/>
      <w:r w:rsidR="00B0709B" w:rsidRPr="00613BB9">
        <w:t>MitraClip</w:t>
      </w:r>
      <w:proofErr w:type="spellEnd"/>
      <w:r w:rsidR="00654ACB">
        <w:t xml:space="preserve"> (bleeding events)</w:t>
      </w:r>
      <w:r w:rsidR="00B0709B" w:rsidRPr="00613BB9">
        <w:t>, which has a higher proportion of higher cost MAEs</w:t>
      </w:r>
      <w:r w:rsidR="00654ACB">
        <w:t xml:space="preserve"> (cardiovascular </w:t>
      </w:r>
      <w:r w:rsidR="00654ACB">
        <w:lastRenderedPageBreak/>
        <w:t>mortality</w:t>
      </w:r>
      <w:r w:rsidR="00D7193B">
        <w:t>, myocardial infarction</w:t>
      </w:r>
      <w:r w:rsidR="00654ACB">
        <w:t>)</w:t>
      </w:r>
      <w:r w:rsidR="00BD0058">
        <w:t xml:space="preserve">, however </w:t>
      </w:r>
      <w:r w:rsidR="002D4914">
        <w:t>none of the differences in rates of MAEs were statistically significant.</w:t>
      </w:r>
    </w:p>
    <w:p w14:paraId="3C78800C" w14:textId="2E380A9A" w:rsidR="00913E6E" w:rsidRDefault="00913E6E" w:rsidP="00DA079E">
      <w:pPr>
        <w:pStyle w:val="TableFigureHeading"/>
      </w:pPr>
      <w:bookmarkStart w:id="45" w:name="_Ref145945403"/>
      <w:bookmarkStart w:id="46" w:name="_Ref146639732"/>
      <w:bookmarkStart w:id="47" w:name="_Toc146813374"/>
      <w:r>
        <w:t xml:space="preserve">Table </w:t>
      </w:r>
      <w:bookmarkEnd w:id="45"/>
      <w:r>
        <w:fldChar w:fldCharType="begin"/>
      </w:r>
      <w:r>
        <w:instrText xml:space="preserve"> SEQ Table \* ARABIC </w:instrText>
      </w:r>
      <w:r>
        <w:fldChar w:fldCharType="separate"/>
      </w:r>
      <w:r w:rsidR="00370EF2">
        <w:rPr>
          <w:noProof/>
        </w:rPr>
        <w:t>9</w:t>
      </w:r>
      <w:r>
        <w:fldChar w:fldCharType="end"/>
      </w:r>
      <w:bookmarkEnd w:id="46"/>
      <w:r w:rsidR="00A81DB4">
        <w:t xml:space="preserve"> </w:t>
      </w:r>
      <w:r>
        <w:t xml:space="preserve">Total cost of PASCAL and </w:t>
      </w:r>
      <w:proofErr w:type="spellStart"/>
      <w:r>
        <w:t>MitraClip</w:t>
      </w:r>
      <w:proofErr w:type="spellEnd"/>
      <w:r>
        <w:t xml:space="preserve"> - base case</w:t>
      </w:r>
      <w:bookmarkEnd w:id="47"/>
      <w:r w:rsidR="00F67381">
        <w:t xml:space="preserve"> (30 days)</w:t>
      </w:r>
    </w:p>
    <w:tbl>
      <w:tblPr>
        <w:tblStyle w:val="TableGrid"/>
        <w:tblW w:w="5000" w:type="pct"/>
        <w:tblLook w:val="0420" w:firstRow="1" w:lastRow="0" w:firstColumn="0" w:lastColumn="0" w:noHBand="0" w:noVBand="1"/>
      </w:tblPr>
      <w:tblGrid>
        <w:gridCol w:w="3691"/>
        <w:gridCol w:w="2662"/>
        <w:gridCol w:w="2663"/>
      </w:tblGrid>
      <w:tr w:rsidR="00913E6E" w:rsidRPr="00E02605" w14:paraId="40A8EE23" w14:textId="77777777" w:rsidTr="002F1124">
        <w:trPr>
          <w:trHeight w:val="344"/>
        </w:trPr>
        <w:tc>
          <w:tcPr>
            <w:tcW w:w="2047" w:type="pct"/>
          </w:tcPr>
          <w:p w14:paraId="75D5248C" w14:textId="77777777" w:rsidR="00913E6E" w:rsidRPr="00420B46" w:rsidRDefault="00913E6E" w:rsidP="002F1124">
            <w:pPr>
              <w:pStyle w:val="In-tableHeading"/>
              <w:jc w:val="center"/>
            </w:pPr>
          </w:p>
        </w:tc>
        <w:tc>
          <w:tcPr>
            <w:tcW w:w="1476" w:type="pct"/>
          </w:tcPr>
          <w:p w14:paraId="0CE8070C" w14:textId="77777777" w:rsidR="00913E6E" w:rsidRPr="00E02605" w:rsidRDefault="00913E6E" w:rsidP="002F1124">
            <w:pPr>
              <w:pStyle w:val="In-tableHeading"/>
              <w:jc w:val="center"/>
            </w:pPr>
            <w:r>
              <w:t>PASCAL</w:t>
            </w:r>
          </w:p>
        </w:tc>
        <w:tc>
          <w:tcPr>
            <w:tcW w:w="1477" w:type="pct"/>
          </w:tcPr>
          <w:p w14:paraId="3C631853" w14:textId="77777777" w:rsidR="00913E6E" w:rsidRPr="00E02605" w:rsidRDefault="00913E6E" w:rsidP="002F1124">
            <w:pPr>
              <w:pStyle w:val="In-tableHeading"/>
              <w:jc w:val="center"/>
            </w:pPr>
            <w:proofErr w:type="spellStart"/>
            <w:r>
              <w:t>MitraClip</w:t>
            </w:r>
            <w:proofErr w:type="spellEnd"/>
          </w:p>
        </w:tc>
      </w:tr>
      <w:tr w:rsidR="00913E6E" w:rsidRPr="00E02605" w14:paraId="1C5D3049" w14:textId="77777777" w:rsidTr="00BC522E">
        <w:trPr>
          <w:trHeight w:val="89"/>
        </w:trPr>
        <w:tc>
          <w:tcPr>
            <w:tcW w:w="2047" w:type="pct"/>
            <w:hideMark/>
          </w:tcPr>
          <w:p w14:paraId="2BC48138" w14:textId="77777777" w:rsidR="00913E6E" w:rsidRPr="00420B46" w:rsidRDefault="00913E6E" w:rsidP="008655D0">
            <w:pPr>
              <w:pStyle w:val="TableText"/>
            </w:pPr>
            <w:r w:rsidRPr="00703970">
              <w:t>Procedural costs</w:t>
            </w:r>
          </w:p>
        </w:tc>
        <w:tc>
          <w:tcPr>
            <w:tcW w:w="1476" w:type="pct"/>
          </w:tcPr>
          <w:p w14:paraId="2C9E0647" w14:textId="2E32FD7D" w:rsidR="00913E6E" w:rsidRPr="007362E3" w:rsidRDefault="00913E6E" w:rsidP="008655D0">
            <w:pPr>
              <w:pStyle w:val="TableTextCA"/>
            </w:pPr>
            <w:r w:rsidRPr="007362E3">
              <w:t>$34,3</w:t>
            </w:r>
            <w:r w:rsidR="007A3A40">
              <w:t>74.22</w:t>
            </w:r>
          </w:p>
        </w:tc>
        <w:tc>
          <w:tcPr>
            <w:tcW w:w="1477" w:type="pct"/>
          </w:tcPr>
          <w:p w14:paraId="4563AFD4" w14:textId="75338300" w:rsidR="00913E6E" w:rsidRPr="007362E3" w:rsidRDefault="00913E6E" w:rsidP="008655D0">
            <w:pPr>
              <w:pStyle w:val="TableTextCA"/>
            </w:pPr>
            <w:r w:rsidRPr="007362E3">
              <w:t>$34,3</w:t>
            </w:r>
            <w:r w:rsidR="007A3A40">
              <w:t>74.22</w:t>
            </w:r>
          </w:p>
        </w:tc>
      </w:tr>
      <w:tr w:rsidR="00913E6E" w:rsidRPr="00E02605" w14:paraId="6D2774BD" w14:textId="77777777" w:rsidTr="00BC522E">
        <w:trPr>
          <w:trHeight w:val="145"/>
        </w:trPr>
        <w:tc>
          <w:tcPr>
            <w:tcW w:w="2047" w:type="pct"/>
            <w:hideMark/>
          </w:tcPr>
          <w:p w14:paraId="3E1212F2" w14:textId="77777777" w:rsidR="00913E6E" w:rsidRPr="00420B46" w:rsidRDefault="00913E6E" w:rsidP="008655D0">
            <w:pPr>
              <w:pStyle w:val="TableText"/>
            </w:pPr>
            <w:r>
              <w:t>MAEs</w:t>
            </w:r>
          </w:p>
        </w:tc>
        <w:tc>
          <w:tcPr>
            <w:tcW w:w="1476" w:type="pct"/>
          </w:tcPr>
          <w:p w14:paraId="566DB11E" w14:textId="77777777" w:rsidR="00913E6E" w:rsidRPr="00E02605" w:rsidRDefault="00913E6E" w:rsidP="008655D0">
            <w:pPr>
              <w:pStyle w:val="TableTextCA"/>
            </w:pPr>
            <w:r w:rsidRPr="005F183A">
              <w:t>$591.08</w:t>
            </w:r>
          </w:p>
        </w:tc>
        <w:tc>
          <w:tcPr>
            <w:tcW w:w="1477" w:type="pct"/>
          </w:tcPr>
          <w:p w14:paraId="4930B89F" w14:textId="77777777" w:rsidR="00913E6E" w:rsidRPr="00E02605" w:rsidRDefault="00913E6E" w:rsidP="008655D0">
            <w:pPr>
              <w:pStyle w:val="TableTextCA"/>
            </w:pPr>
            <w:r w:rsidRPr="005F183A">
              <w:t>$891.45</w:t>
            </w:r>
          </w:p>
        </w:tc>
      </w:tr>
      <w:tr w:rsidR="00913E6E" w:rsidRPr="00E02605" w14:paraId="2F82774B" w14:textId="77777777" w:rsidTr="00BC522E">
        <w:trPr>
          <w:trHeight w:val="145"/>
        </w:trPr>
        <w:tc>
          <w:tcPr>
            <w:tcW w:w="2047" w:type="pct"/>
          </w:tcPr>
          <w:p w14:paraId="1DB673B8" w14:textId="77777777" w:rsidR="00913E6E" w:rsidRDefault="00913E6E" w:rsidP="008655D0">
            <w:pPr>
              <w:pStyle w:val="TableText"/>
            </w:pPr>
            <w:r>
              <w:t>Total cost</w:t>
            </w:r>
          </w:p>
        </w:tc>
        <w:tc>
          <w:tcPr>
            <w:tcW w:w="1476" w:type="pct"/>
          </w:tcPr>
          <w:p w14:paraId="7B821376" w14:textId="54359FB5" w:rsidR="00913E6E" w:rsidRPr="005F183A" w:rsidRDefault="00913E6E" w:rsidP="008655D0">
            <w:pPr>
              <w:pStyle w:val="TableTextCA"/>
            </w:pPr>
            <w:r>
              <w:t>$34,9</w:t>
            </w:r>
            <w:r w:rsidR="00386E66">
              <w:t>65.30</w:t>
            </w:r>
          </w:p>
        </w:tc>
        <w:tc>
          <w:tcPr>
            <w:tcW w:w="1477" w:type="pct"/>
            <w:tcBorders>
              <w:bottom w:val="single" w:sz="4" w:space="0" w:color="auto"/>
            </w:tcBorders>
          </w:tcPr>
          <w:p w14:paraId="483189DB" w14:textId="283CB900" w:rsidR="00913E6E" w:rsidRPr="005F183A" w:rsidRDefault="00913E6E" w:rsidP="008655D0">
            <w:pPr>
              <w:pStyle w:val="TableTextCA"/>
            </w:pPr>
            <w:r>
              <w:t>$35,2</w:t>
            </w:r>
            <w:r w:rsidR="00896909">
              <w:t>65.67</w:t>
            </w:r>
          </w:p>
        </w:tc>
      </w:tr>
      <w:tr w:rsidR="00C70ADE" w:rsidRPr="00E02605" w14:paraId="4707F03F" w14:textId="77777777" w:rsidTr="00C70ADE">
        <w:trPr>
          <w:trHeight w:val="145"/>
        </w:trPr>
        <w:tc>
          <w:tcPr>
            <w:tcW w:w="2047" w:type="pct"/>
          </w:tcPr>
          <w:p w14:paraId="3B273ED4" w14:textId="77777777" w:rsidR="00C70ADE" w:rsidRDefault="00C70ADE" w:rsidP="008655D0">
            <w:pPr>
              <w:pStyle w:val="TableText"/>
            </w:pPr>
            <w:r>
              <w:t>Difference</w:t>
            </w:r>
          </w:p>
        </w:tc>
        <w:tc>
          <w:tcPr>
            <w:tcW w:w="2953" w:type="pct"/>
            <w:gridSpan w:val="2"/>
          </w:tcPr>
          <w:p w14:paraId="6BA228E6" w14:textId="24863D2F" w:rsidR="00C70ADE" w:rsidRPr="005F183A" w:rsidRDefault="00C70ADE" w:rsidP="008655D0">
            <w:pPr>
              <w:pStyle w:val="TableTextCA"/>
            </w:pPr>
            <w:r>
              <w:t>–$300.36</w:t>
            </w:r>
          </w:p>
        </w:tc>
      </w:tr>
    </w:tbl>
    <w:p w14:paraId="169881EC" w14:textId="3C91EB19" w:rsidR="00913E6E" w:rsidRDefault="00913E6E" w:rsidP="002F1124">
      <w:pPr>
        <w:pStyle w:val="TableFooter"/>
      </w:pPr>
      <w:r>
        <w:t xml:space="preserve">Source: </w:t>
      </w:r>
      <w:r w:rsidR="00145709">
        <w:t>Table 24, p</w:t>
      </w:r>
      <w:r w:rsidR="008C061B">
        <w:t>64 of MSAC 1662.2 ADAR.</w:t>
      </w:r>
    </w:p>
    <w:p w14:paraId="73BCF6D3" w14:textId="2BBB85B6" w:rsidR="00913E6E" w:rsidRDefault="00913E6E" w:rsidP="002F1124">
      <w:pPr>
        <w:pStyle w:val="TableFooter"/>
      </w:pPr>
      <w:r>
        <w:t>Abbreviations: MAEs, major adverse events</w:t>
      </w:r>
      <w:r w:rsidR="00A81DB4">
        <w:t>.</w:t>
      </w:r>
    </w:p>
    <w:p w14:paraId="5ED40D51" w14:textId="77777777" w:rsidR="00B0709B" w:rsidRPr="00613BB9" w:rsidRDefault="00B0709B" w:rsidP="00B0709B">
      <w:r w:rsidRPr="00613BB9">
        <w:t xml:space="preserve">Overall, the conclusion that PASCAL will likely be cost-neutral compared to </w:t>
      </w:r>
      <w:proofErr w:type="spellStart"/>
      <w:r w:rsidRPr="00613BB9">
        <w:t>MitraClip</w:t>
      </w:r>
      <w:proofErr w:type="spellEnd"/>
      <w:r w:rsidRPr="00613BB9">
        <w:t xml:space="preserve"> is reasonable. The procedure costs are equal, and the downstream costs are likely to be comparable. </w:t>
      </w:r>
    </w:p>
    <w:p w14:paraId="1F863679" w14:textId="3ED8D402" w:rsidR="00AA0823" w:rsidRPr="00602103" w:rsidRDefault="00AA0823" w:rsidP="00AA0823">
      <w:pPr>
        <w:pStyle w:val="Guidelinescross-ref"/>
        <w:rPr>
          <w:i/>
          <w:color w:val="auto"/>
        </w:rPr>
      </w:pPr>
      <w:r>
        <w:rPr>
          <w:i/>
          <w:color w:val="auto"/>
        </w:rPr>
        <w:t>Sensitivity analyses</w:t>
      </w:r>
    </w:p>
    <w:p w14:paraId="5FF6C8A8" w14:textId="03BD11E7" w:rsidR="002A10D2" w:rsidRPr="00C26403" w:rsidRDefault="001A199B" w:rsidP="00B0709B">
      <w:r w:rsidRPr="00C26403">
        <w:t xml:space="preserve">Only a </w:t>
      </w:r>
      <w:r w:rsidR="001E4158" w:rsidRPr="00C26403">
        <w:t>small combination</w:t>
      </w:r>
      <w:r w:rsidRPr="00C26403">
        <w:t xml:space="preserve"> of sensitivity analyses </w:t>
      </w:r>
      <w:r w:rsidR="00CC6CC9">
        <w:t>is</w:t>
      </w:r>
      <w:r w:rsidRPr="00C26403">
        <w:t xml:space="preserve"> presented, varying the time horizon (1 year versus 30 days in the base case), and adding </w:t>
      </w:r>
      <w:r w:rsidR="00CA14A5" w:rsidRPr="00C26403">
        <w:t>heart failure hospitalisation as a further MAE</w:t>
      </w:r>
      <w:r w:rsidR="00DF5799">
        <w:t xml:space="preserve"> (</w:t>
      </w:r>
      <w:r w:rsidR="009D67C6">
        <w:fldChar w:fldCharType="begin"/>
      </w:r>
      <w:r w:rsidR="009D67C6">
        <w:instrText xml:space="preserve"> REF _Ref146639741 \h </w:instrText>
      </w:r>
      <w:r w:rsidR="009D67C6">
        <w:fldChar w:fldCharType="separate"/>
      </w:r>
      <w:r w:rsidR="009D67C6">
        <w:t xml:space="preserve">Table </w:t>
      </w:r>
      <w:r w:rsidR="009D67C6">
        <w:rPr>
          <w:noProof/>
        </w:rPr>
        <w:t>10</w:t>
      </w:r>
      <w:r w:rsidR="009D67C6">
        <w:fldChar w:fldCharType="end"/>
      </w:r>
      <w:r w:rsidR="00DF5799">
        <w:t>)</w:t>
      </w:r>
      <w:r w:rsidR="00CA14A5" w:rsidRPr="00C26403">
        <w:t xml:space="preserve">. </w:t>
      </w:r>
      <w:r w:rsidR="00050A2D" w:rsidRPr="00C26403">
        <w:t>The results of the sensitivity analys</w:t>
      </w:r>
      <w:r w:rsidR="00D7193B">
        <w:t>e</w:t>
      </w:r>
      <w:r w:rsidR="00050A2D" w:rsidRPr="00C26403">
        <w:t xml:space="preserve">s </w:t>
      </w:r>
      <w:r w:rsidR="00C2459C" w:rsidRPr="00C26403">
        <w:t>show the base case results are robust to a longer time horizon and the inclusion of further adverse events</w:t>
      </w:r>
      <w:r w:rsidR="00F24871" w:rsidRPr="00C26403">
        <w:t xml:space="preserve">, however it was unclear </w:t>
      </w:r>
      <w:r w:rsidR="00D7369F" w:rsidRPr="00C26403">
        <w:t>as to why a 1-year horizon</w:t>
      </w:r>
      <w:r w:rsidR="00F24871" w:rsidRPr="00C26403">
        <w:t xml:space="preserve"> and the </w:t>
      </w:r>
      <w:r w:rsidR="00B37524">
        <w:t>HFHs</w:t>
      </w:r>
      <w:r w:rsidR="00F24871" w:rsidRPr="00C26403">
        <w:t xml:space="preserve"> were not considered as the base case. </w:t>
      </w:r>
      <w:r w:rsidR="00011496">
        <w:t xml:space="preserve">Adoption of </w:t>
      </w:r>
      <w:r w:rsidR="00B37524">
        <w:t>a 1-year time horizon with inclusion of HFHs increases the incremental costs of PASCAL from -$300.36 to $41</w:t>
      </w:r>
      <w:r w:rsidR="00714E60">
        <w:t>.55</w:t>
      </w:r>
      <w:r w:rsidR="00644E4C">
        <w:t xml:space="preserve">, however </w:t>
      </w:r>
      <w:r w:rsidR="009B183B">
        <w:t xml:space="preserve">as </w:t>
      </w:r>
      <w:r w:rsidR="00644E4C">
        <w:t xml:space="preserve">with other MAEs, the difference in rates of HFHs was not statistically significant. Overall, given the </w:t>
      </w:r>
      <w:r w:rsidR="008266A8">
        <w:t xml:space="preserve">safety findings, the analysis supports a conclusion that PASCAL will likely be cost-neutral compared to </w:t>
      </w:r>
      <w:proofErr w:type="spellStart"/>
      <w:r w:rsidR="008266A8">
        <w:t>MitraClip</w:t>
      </w:r>
      <w:proofErr w:type="spellEnd"/>
      <w:r w:rsidR="008266A8">
        <w:t xml:space="preserve">. </w:t>
      </w:r>
      <w:r w:rsidR="00644E4C">
        <w:t xml:space="preserve"> </w:t>
      </w:r>
      <w:r w:rsidR="00050A2D" w:rsidRPr="00C26403">
        <w:t xml:space="preserve"> </w:t>
      </w:r>
    </w:p>
    <w:p w14:paraId="373680CF" w14:textId="762E21A3" w:rsidR="000E05C3" w:rsidRDefault="000E05C3" w:rsidP="00DA079E">
      <w:pPr>
        <w:pStyle w:val="TableFigureHeading"/>
      </w:pPr>
      <w:bookmarkStart w:id="48" w:name="_Ref145946185"/>
      <w:bookmarkStart w:id="49" w:name="_Ref146639741"/>
      <w:bookmarkStart w:id="50" w:name="_Toc146813375"/>
      <w:r>
        <w:t xml:space="preserve">Table </w:t>
      </w:r>
      <w:bookmarkEnd w:id="48"/>
      <w:r>
        <w:fldChar w:fldCharType="begin"/>
      </w:r>
      <w:r>
        <w:instrText xml:space="preserve"> SEQ Table \* ARABIC </w:instrText>
      </w:r>
      <w:r>
        <w:fldChar w:fldCharType="separate"/>
      </w:r>
      <w:r w:rsidR="009D67C6">
        <w:rPr>
          <w:noProof/>
        </w:rPr>
        <w:t>10</w:t>
      </w:r>
      <w:r>
        <w:fldChar w:fldCharType="end"/>
      </w:r>
      <w:bookmarkEnd w:id="49"/>
      <w:r>
        <w:tab/>
        <w:t xml:space="preserve">Sensitivity analyses of PASCAL compared to </w:t>
      </w:r>
      <w:proofErr w:type="spellStart"/>
      <w:proofErr w:type="gramStart"/>
      <w:r>
        <w:t>MitraClip</w:t>
      </w:r>
      <w:bookmarkEnd w:id="50"/>
      <w:proofErr w:type="spellEnd"/>
      <w:proofErr w:type="gramEnd"/>
    </w:p>
    <w:tbl>
      <w:tblPr>
        <w:tblStyle w:val="TableGrid"/>
        <w:tblW w:w="5000" w:type="pct"/>
        <w:tblLook w:val="0420" w:firstRow="1" w:lastRow="0" w:firstColumn="0" w:lastColumn="0" w:noHBand="0" w:noVBand="1"/>
      </w:tblPr>
      <w:tblGrid>
        <w:gridCol w:w="3406"/>
        <w:gridCol w:w="2139"/>
        <w:gridCol w:w="1736"/>
        <w:gridCol w:w="1735"/>
      </w:tblGrid>
      <w:tr w:rsidR="000E05C3" w:rsidRPr="00E02605" w14:paraId="79763467" w14:textId="77777777" w:rsidTr="00BC522E">
        <w:trPr>
          <w:trHeight w:val="432"/>
        </w:trPr>
        <w:tc>
          <w:tcPr>
            <w:tcW w:w="1889" w:type="pct"/>
          </w:tcPr>
          <w:p w14:paraId="40F85393" w14:textId="77777777" w:rsidR="000E05C3" w:rsidRPr="00420B46" w:rsidRDefault="000E05C3" w:rsidP="00491950">
            <w:pPr>
              <w:pStyle w:val="TableText"/>
            </w:pPr>
          </w:p>
        </w:tc>
        <w:tc>
          <w:tcPr>
            <w:tcW w:w="1186" w:type="pct"/>
          </w:tcPr>
          <w:p w14:paraId="11AB0818" w14:textId="77777777" w:rsidR="000E05C3" w:rsidRPr="00E02605" w:rsidRDefault="000E05C3" w:rsidP="002F1124">
            <w:pPr>
              <w:pStyle w:val="In-tableHeading"/>
              <w:jc w:val="center"/>
            </w:pPr>
            <w:r>
              <w:t>PASCAL</w:t>
            </w:r>
          </w:p>
        </w:tc>
        <w:tc>
          <w:tcPr>
            <w:tcW w:w="963" w:type="pct"/>
          </w:tcPr>
          <w:p w14:paraId="69624474" w14:textId="77777777" w:rsidR="000E05C3" w:rsidRPr="00E02605" w:rsidRDefault="000E05C3" w:rsidP="002F1124">
            <w:pPr>
              <w:pStyle w:val="In-tableHeading"/>
              <w:jc w:val="center"/>
            </w:pPr>
            <w:proofErr w:type="spellStart"/>
            <w:r>
              <w:t>MitraClip</w:t>
            </w:r>
            <w:proofErr w:type="spellEnd"/>
          </w:p>
        </w:tc>
        <w:tc>
          <w:tcPr>
            <w:tcW w:w="962" w:type="pct"/>
          </w:tcPr>
          <w:p w14:paraId="79E8F7C5" w14:textId="77777777" w:rsidR="000E05C3" w:rsidRDefault="000E05C3" w:rsidP="002F1124">
            <w:pPr>
              <w:pStyle w:val="In-tableHeading"/>
              <w:jc w:val="center"/>
            </w:pPr>
            <w:r>
              <w:t>Incremental cost of PASCAL</w:t>
            </w:r>
          </w:p>
        </w:tc>
      </w:tr>
      <w:tr w:rsidR="000E05C3" w:rsidRPr="00E02605" w14:paraId="18F176D7" w14:textId="77777777" w:rsidTr="00BC522E">
        <w:trPr>
          <w:trHeight w:val="89"/>
        </w:trPr>
        <w:tc>
          <w:tcPr>
            <w:tcW w:w="1889" w:type="pct"/>
            <w:hideMark/>
          </w:tcPr>
          <w:p w14:paraId="46C54CBA" w14:textId="77777777" w:rsidR="000E05C3" w:rsidRPr="00420B46" w:rsidRDefault="000E05C3" w:rsidP="00491950">
            <w:pPr>
              <w:pStyle w:val="TableText"/>
            </w:pPr>
            <w:r>
              <w:t>Base case</w:t>
            </w:r>
          </w:p>
        </w:tc>
        <w:tc>
          <w:tcPr>
            <w:tcW w:w="1186" w:type="pct"/>
          </w:tcPr>
          <w:p w14:paraId="1A1D5869" w14:textId="3BBD2391" w:rsidR="000E05C3" w:rsidRPr="007362E3" w:rsidRDefault="006C574A" w:rsidP="00491950">
            <w:pPr>
              <w:pStyle w:val="TableTextCA"/>
            </w:pPr>
            <w:r>
              <w:t xml:space="preserve"> </w:t>
            </w:r>
            <w:r w:rsidRPr="00F379E4">
              <w:t>$34,965.30</w:t>
            </w:r>
          </w:p>
        </w:tc>
        <w:tc>
          <w:tcPr>
            <w:tcW w:w="963" w:type="pct"/>
          </w:tcPr>
          <w:p w14:paraId="72D569A4" w14:textId="620A485E" w:rsidR="000E05C3" w:rsidRPr="007362E3" w:rsidRDefault="006C574A" w:rsidP="00491950">
            <w:pPr>
              <w:pStyle w:val="TableTextCA"/>
            </w:pPr>
            <w:r w:rsidRPr="00F379E4">
              <w:t>$35,265.67</w:t>
            </w:r>
          </w:p>
        </w:tc>
        <w:tc>
          <w:tcPr>
            <w:tcW w:w="962" w:type="pct"/>
          </w:tcPr>
          <w:p w14:paraId="0042ACF2" w14:textId="77777777" w:rsidR="000E05C3" w:rsidRPr="007362E3" w:rsidRDefault="000E05C3" w:rsidP="00491950">
            <w:pPr>
              <w:pStyle w:val="TableTextCA"/>
            </w:pPr>
            <w:r>
              <w:t>–$300.36</w:t>
            </w:r>
          </w:p>
        </w:tc>
      </w:tr>
      <w:tr w:rsidR="000E05C3" w:rsidRPr="00E02605" w14:paraId="75D46D76" w14:textId="77777777" w:rsidTr="00BC522E">
        <w:trPr>
          <w:trHeight w:val="145"/>
        </w:trPr>
        <w:tc>
          <w:tcPr>
            <w:tcW w:w="1889" w:type="pct"/>
            <w:hideMark/>
          </w:tcPr>
          <w:p w14:paraId="0268CF0E" w14:textId="77777777" w:rsidR="000E05C3" w:rsidRPr="00420B46" w:rsidRDefault="000E05C3" w:rsidP="00491950">
            <w:pPr>
              <w:pStyle w:val="TableText"/>
            </w:pPr>
            <w:r>
              <w:t>1-year time horizon</w:t>
            </w:r>
          </w:p>
        </w:tc>
        <w:tc>
          <w:tcPr>
            <w:tcW w:w="1186" w:type="pct"/>
          </w:tcPr>
          <w:p w14:paraId="09DC0FBB" w14:textId="3F871E0F" w:rsidR="000E05C3" w:rsidRPr="00E02605" w:rsidRDefault="006C574A" w:rsidP="00491950">
            <w:pPr>
              <w:pStyle w:val="TableTextCA"/>
            </w:pPr>
            <w:r>
              <w:t xml:space="preserve"> </w:t>
            </w:r>
            <w:r w:rsidRPr="00F379E4">
              <w:t>$35,857.91</w:t>
            </w:r>
          </w:p>
        </w:tc>
        <w:tc>
          <w:tcPr>
            <w:tcW w:w="963" w:type="pct"/>
          </w:tcPr>
          <w:p w14:paraId="5A543515" w14:textId="3D98EC1B" w:rsidR="000E05C3" w:rsidRPr="00E02605" w:rsidRDefault="006C574A" w:rsidP="00491950">
            <w:pPr>
              <w:pStyle w:val="TableTextCA"/>
            </w:pPr>
            <w:r>
              <w:t xml:space="preserve"> </w:t>
            </w:r>
            <w:r w:rsidRPr="00F379E4">
              <w:t>$36,357.97</w:t>
            </w:r>
          </w:p>
        </w:tc>
        <w:tc>
          <w:tcPr>
            <w:tcW w:w="962" w:type="pct"/>
          </w:tcPr>
          <w:p w14:paraId="6B8559D7" w14:textId="77777777" w:rsidR="000E05C3" w:rsidRPr="005F183A" w:rsidRDefault="000E05C3" w:rsidP="00491950">
            <w:pPr>
              <w:pStyle w:val="TableTextCA"/>
            </w:pPr>
            <w:r>
              <w:t>–$500.06</w:t>
            </w:r>
          </w:p>
        </w:tc>
      </w:tr>
      <w:tr w:rsidR="000E05C3" w:rsidRPr="00E02605" w14:paraId="72AA20BC" w14:textId="77777777" w:rsidTr="00BC522E">
        <w:trPr>
          <w:trHeight w:val="145"/>
        </w:trPr>
        <w:tc>
          <w:tcPr>
            <w:tcW w:w="1889" w:type="pct"/>
          </w:tcPr>
          <w:p w14:paraId="7178387B" w14:textId="77777777" w:rsidR="000E05C3" w:rsidRDefault="000E05C3" w:rsidP="00491950">
            <w:pPr>
              <w:pStyle w:val="TableText"/>
            </w:pPr>
            <w:r>
              <w:t>Include HFH, 30 days</w:t>
            </w:r>
          </w:p>
        </w:tc>
        <w:tc>
          <w:tcPr>
            <w:tcW w:w="1186" w:type="pct"/>
          </w:tcPr>
          <w:p w14:paraId="2C1BC730" w14:textId="2EA6ACAA" w:rsidR="000E05C3" w:rsidRPr="005F183A" w:rsidRDefault="006C574A" w:rsidP="00491950">
            <w:pPr>
              <w:pStyle w:val="TableTextCA"/>
            </w:pPr>
            <w:r>
              <w:t xml:space="preserve"> </w:t>
            </w:r>
            <w:r w:rsidRPr="00F379E4">
              <w:t>$35,382.79</w:t>
            </w:r>
          </w:p>
        </w:tc>
        <w:tc>
          <w:tcPr>
            <w:tcW w:w="963" w:type="pct"/>
          </w:tcPr>
          <w:p w14:paraId="40B543B2" w14:textId="4B3ABBF7" w:rsidR="000E05C3" w:rsidRPr="005F183A" w:rsidRDefault="006C574A" w:rsidP="00491950">
            <w:pPr>
              <w:pStyle w:val="TableTextCA"/>
            </w:pPr>
            <w:r>
              <w:t xml:space="preserve"> </w:t>
            </w:r>
            <w:r w:rsidRPr="00F379E4">
              <w:t>$35,638.02</w:t>
            </w:r>
          </w:p>
        </w:tc>
        <w:tc>
          <w:tcPr>
            <w:tcW w:w="962" w:type="pct"/>
          </w:tcPr>
          <w:p w14:paraId="04F2D38B" w14:textId="77777777" w:rsidR="000E05C3" w:rsidRDefault="000E05C3" w:rsidP="00491950">
            <w:pPr>
              <w:pStyle w:val="TableTextCA"/>
            </w:pPr>
            <w:r>
              <w:t>–$255.23</w:t>
            </w:r>
          </w:p>
        </w:tc>
      </w:tr>
      <w:tr w:rsidR="000E05C3" w:rsidRPr="00E02605" w14:paraId="69C0A560" w14:textId="77777777" w:rsidTr="00BC522E">
        <w:trPr>
          <w:trHeight w:val="145"/>
        </w:trPr>
        <w:tc>
          <w:tcPr>
            <w:tcW w:w="1889" w:type="pct"/>
          </w:tcPr>
          <w:p w14:paraId="03B6B0B4" w14:textId="77777777" w:rsidR="000E05C3" w:rsidRDefault="000E05C3" w:rsidP="00491950">
            <w:pPr>
              <w:pStyle w:val="TableText"/>
            </w:pPr>
            <w:r>
              <w:t>Include HFH, 1 year</w:t>
            </w:r>
          </w:p>
        </w:tc>
        <w:tc>
          <w:tcPr>
            <w:tcW w:w="1186" w:type="pct"/>
          </w:tcPr>
          <w:p w14:paraId="12A5AC28" w14:textId="2749D424" w:rsidR="000E05C3" w:rsidRDefault="006C574A" w:rsidP="00491950">
            <w:pPr>
              <w:pStyle w:val="TableTextCA"/>
            </w:pPr>
            <w:r>
              <w:t xml:space="preserve"> </w:t>
            </w:r>
            <w:r w:rsidRPr="00F379E4">
              <w:t>$36,771.87</w:t>
            </w:r>
          </w:p>
        </w:tc>
        <w:tc>
          <w:tcPr>
            <w:tcW w:w="963" w:type="pct"/>
          </w:tcPr>
          <w:p w14:paraId="78CA27EF" w14:textId="565C21A6" w:rsidR="000E05C3" w:rsidRDefault="006C574A" w:rsidP="00491950">
            <w:pPr>
              <w:pStyle w:val="TableTextCA"/>
            </w:pPr>
            <w:r>
              <w:t xml:space="preserve"> </w:t>
            </w:r>
            <w:r w:rsidRPr="00F379E4">
              <w:t>$36,730.32</w:t>
            </w:r>
          </w:p>
        </w:tc>
        <w:tc>
          <w:tcPr>
            <w:tcW w:w="962" w:type="pct"/>
          </w:tcPr>
          <w:p w14:paraId="7E6AFEDF" w14:textId="77777777" w:rsidR="000E05C3" w:rsidRDefault="000E05C3" w:rsidP="00491950">
            <w:pPr>
              <w:pStyle w:val="TableTextCA"/>
            </w:pPr>
            <w:r>
              <w:t>$41.55</w:t>
            </w:r>
          </w:p>
        </w:tc>
      </w:tr>
    </w:tbl>
    <w:p w14:paraId="1E95312A" w14:textId="2783BC77" w:rsidR="000E05C3" w:rsidRDefault="000E05C3" w:rsidP="002F1124">
      <w:pPr>
        <w:pStyle w:val="TableFooter"/>
      </w:pPr>
      <w:r>
        <w:t xml:space="preserve">Source: </w:t>
      </w:r>
      <w:r w:rsidR="008C061B">
        <w:t>Table 25, p65 of MSAC 1662.2 ADAR.</w:t>
      </w:r>
    </w:p>
    <w:p w14:paraId="7DAE3723" w14:textId="53B6C82C" w:rsidR="00AA0823" w:rsidRPr="00050A2D" w:rsidRDefault="000E05C3" w:rsidP="002F1124">
      <w:pPr>
        <w:pStyle w:val="TableFooter"/>
      </w:pPr>
      <w:r>
        <w:t>Abbreviations: HFH, heart failure hospitalisation</w:t>
      </w:r>
      <w:r w:rsidR="00435167">
        <w:rPr>
          <w:bCs/>
          <w:i/>
          <w:sz w:val="24"/>
        </w:rPr>
        <w:t xml:space="preserve"> </w:t>
      </w:r>
      <w:r w:rsidR="00CA14A5" w:rsidRPr="002A10D2">
        <w:rPr>
          <w:bCs/>
          <w:i/>
          <w:sz w:val="24"/>
        </w:rPr>
        <w:t xml:space="preserve"> </w:t>
      </w:r>
    </w:p>
    <w:p w14:paraId="25AE2BAC" w14:textId="5631ED5D" w:rsidR="00772829" w:rsidRPr="00CE28E3" w:rsidRDefault="00C36633" w:rsidP="002A18BE">
      <w:pPr>
        <w:pStyle w:val="Heading2"/>
        <w:numPr>
          <w:ilvl w:val="1"/>
          <w:numId w:val="0"/>
        </w:numPr>
      </w:pPr>
      <w:bookmarkStart w:id="51" w:name="_Toc69491426"/>
      <w:r>
        <w:t>1</w:t>
      </w:r>
      <w:r w:rsidR="005E3CDE">
        <w:t>4</w:t>
      </w:r>
      <w:r>
        <w:t>.</w:t>
      </w:r>
      <w:r>
        <w:tab/>
      </w:r>
      <w:r w:rsidR="00772829" w:rsidRPr="00CE28E3">
        <w:t>Financial/budgetary impacts</w:t>
      </w:r>
      <w:bookmarkEnd w:id="51"/>
    </w:p>
    <w:p w14:paraId="5C6C8259" w14:textId="5CE49C8A" w:rsidR="007D5402" w:rsidRDefault="00D428B9" w:rsidP="00330A0A">
      <w:r w:rsidRPr="00CE28E3">
        <w:t>The financial implications to the</w:t>
      </w:r>
      <w:r w:rsidR="00B30792">
        <w:t xml:space="preserve"> MBS </w:t>
      </w:r>
      <w:r w:rsidRPr="00CE28E3">
        <w:t xml:space="preserve">resulting from the proposed listing of </w:t>
      </w:r>
      <w:r w:rsidR="00B30792">
        <w:t>PASCAL</w:t>
      </w:r>
      <w:r w:rsidRPr="00CE28E3">
        <w:t xml:space="preserve"> are summarised in</w:t>
      </w:r>
      <w:r w:rsidR="009D67C6">
        <w:t xml:space="preserve"> </w:t>
      </w:r>
      <w:r w:rsidR="009D67C6">
        <w:fldChar w:fldCharType="begin"/>
      </w:r>
      <w:r w:rsidR="009D67C6">
        <w:instrText xml:space="preserve"> REF _Ref69726382 \h </w:instrText>
      </w:r>
      <w:r w:rsidR="009D67C6">
        <w:fldChar w:fldCharType="separate"/>
      </w:r>
      <w:r w:rsidR="009D67C6" w:rsidRPr="00CE28E3">
        <w:t>Table</w:t>
      </w:r>
      <w:r w:rsidR="009D67C6">
        <w:t> </w:t>
      </w:r>
      <w:r w:rsidR="009D67C6">
        <w:rPr>
          <w:noProof/>
        </w:rPr>
        <w:t>11</w:t>
      </w:r>
      <w:r w:rsidR="009D67C6">
        <w:fldChar w:fldCharType="end"/>
      </w:r>
      <w:r w:rsidRPr="00CE28E3">
        <w:t xml:space="preserve">. </w:t>
      </w:r>
      <w:r w:rsidR="00B30792">
        <w:t xml:space="preserve">Under the assumption that </w:t>
      </w:r>
      <w:r w:rsidR="006F4F40">
        <w:t xml:space="preserve">any procedure using the PASCAL device would be offset by a reduction in </w:t>
      </w:r>
      <w:proofErr w:type="spellStart"/>
      <w:r w:rsidR="006F4F40">
        <w:t>MitraClip</w:t>
      </w:r>
      <w:proofErr w:type="spellEnd"/>
      <w:r w:rsidR="006F4F40">
        <w:t xml:space="preserve"> procedures, the </w:t>
      </w:r>
      <w:r w:rsidR="002B2193">
        <w:t xml:space="preserve">listing of PASCAL would result in no net increase to the </w:t>
      </w:r>
      <w:r w:rsidR="00CD58C4">
        <w:t>MBS</w:t>
      </w:r>
      <w:r w:rsidR="005A634F">
        <w:t xml:space="preserve"> budget</w:t>
      </w:r>
      <w:r w:rsidR="009F7A93">
        <w:t>.</w:t>
      </w:r>
      <w:r w:rsidR="00E22B59">
        <w:t xml:space="preserve"> </w:t>
      </w:r>
      <w:r w:rsidR="0068388E">
        <w:t xml:space="preserve">The commentary </w:t>
      </w:r>
      <w:r w:rsidR="00200C5F">
        <w:t xml:space="preserve">considered this to be a reasonable assumption given that there are no changes to the eligibility criteria for the </w:t>
      </w:r>
      <w:proofErr w:type="spellStart"/>
      <w:r w:rsidR="00200C5F">
        <w:t>T</w:t>
      </w:r>
      <w:r w:rsidR="00AA5A5C">
        <w:t>MVr</w:t>
      </w:r>
      <w:proofErr w:type="spellEnd"/>
      <w:r w:rsidR="00D30BF4">
        <w:t xml:space="preserve">, </w:t>
      </w:r>
      <w:r w:rsidR="008F148B">
        <w:t>and the changes make the existing</w:t>
      </w:r>
      <w:r w:rsidR="00D30BF4">
        <w:t xml:space="preserve"> items device</w:t>
      </w:r>
      <w:r w:rsidR="00AB4306">
        <w:t xml:space="preserve"> </w:t>
      </w:r>
      <w:r w:rsidR="00D30BF4">
        <w:t>agnostic.</w:t>
      </w:r>
      <w:r w:rsidR="00EA0694">
        <w:t xml:space="preserve"> </w:t>
      </w:r>
    </w:p>
    <w:p w14:paraId="33FCA9D4" w14:textId="17D7083A" w:rsidR="00D428B9" w:rsidRPr="00CE28E3" w:rsidRDefault="00D428B9" w:rsidP="00DA079E">
      <w:pPr>
        <w:pStyle w:val="TableFigureHeading"/>
      </w:pPr>
      <w:bookmarkStart w:id="52" w:name="_Ref69726382"/>
      <w:r w:rsidRPr="00CE28E3">
        <w:lastRenderedPageBreak/>
        <w:t>Table</w:t>
      </w:r>
      <w:r w:rsidR="003571C2">
        <w:t> </w:t>
      </w:r>
      <w:r>
        <w:fldChar w:fldCharType="begin"/>
      </w:r>
      <w:r>
        <w:instrText>SEQ Table \* ARABIC</w:instrText>
      </w:r>
      <w:r>
        <w:fldChar w:fldCharType="separate"/>
      </w:r>
      <w:r w:rsidR="009D67C6">
        <w:rPr>
          <w:noProof/>
        </w:rPr>
        <w:t>11</w:t>
      </w:r>
      <w:r>
        <w:fldChar w:fldCharType="end"/>
      </w:r>
      <w:bookmarkEnd w:id="52"/>
      <w:r w:rsidR="004A4DA3">
        <w:rPr>
          <w:noProof/>
        </w:rPr>
        <w:t xml:space="preserve"> </w:t>
      </w:r>
      <w:r w:rsidRPr="00CE28E3">
        <w:tab/>
        <w:t xml:space="preserve">Net financial implications of </w:t>
      </w:r>
      <w:r w:rsidR="00EA0E31">
        <w:t xml:space="preserve">listing PASCAL in item 38461 for the DMR population </w:t>
      </w:r>
      <w:r w:rsidRPr="00CE28E3">
        <w:t xml:space="preserve">to the </w:t>
      </w:r>
      <w:r w:rsidR="00F00546">
        <w:t>MBS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9"/>
        <w:gridCol w:w="1368"/>
        <w:gridCol w:w="1367"/>
        <w:gridCol w:w="1367"/>
        <w:gridCol w:w="1278"/>
        <w:gridCol w:w="1367"/>
      </w:tblGrid>
      <w:tr w:rsidR="00802458" w:rsidRPr="00CE28E3" w14:paraId="10C955A8" w14:textId="77777777" w:rsidTr="002F1124">
        <w:trPr>
          <w:tblHeader/>
        </w:trPr>
        <w:tc>
          <w:tcPr>
            <w:tcW w:w="1257" w:type="pct"/>
            <w:tcMar>
              <w:top w:w="0" w:type="dxa"/>
              <w:left w:w="108" w:type="dxa"/>
              <w:bottom w:w="0" w:type="dxa"/>
              <w:right w:w="108" w:type="dxa"/>
            </w:tcMar>
          </w:tcPr>
          <w:p w14:paraId="7F0BEFFF" w14:textId="130CD43F" w:rsidR="00416FB1" w:rsidRPr="00CE28E3" w:rsidRDefault="00416FB1" w:rsidP="002F1124">
            <w:pPr>
              <w:pStyle w:val="In-tableHeading"/>
            </w:pPr>
            <w:bookmarkStart w:id="53" w:name="Title_Table12" w:colFirst="0" w:colLast="0"/>
            <w:bookmarkStart w:id="54" w:name="_Hlk68276802"/>
            <w:r>
              <w:t xml:space="preserve">Parameter </w:t>
            </w:r>
          </w:p>
        </w:tc>
        <w:tc>
          <w:tcPr>
            <w:tcW w:w="758" w:type="pct"/>
            <w:tcMar>
              <w:top w:w="0" w:type="dxa"/>
              <w:left w:w="108" w:type="dxa"/>
              <w:bottom w:w="0" w:type="dxa"/>
              <w:right w:w="108" w:type="dxa"/>
            </w:tcMar>
            <w:hideMark/>
          </w:tcPr>
          <w:p w14:paraId="0802FC81" w14:textId="0DE2FB5A" w:rsidR="00416FB1" w:rsidRPr="00CE28E3" w:rsidRDefault="00416FB1" w:rsidP="002F1124">
            <w:pPr>
              <w:pStyle w:val="In-tableHeading"/>
            </w:pPr>
            <w:r w:rsidRPr="00CE28E3">
              <w:t xml:space="preserve">Year </w:t>
            </w:r>
            <w:r>
              <w:t>2024</w:t>
            </w:r>
          </w:p>
        </w:tc>
        <w:tc>
          <w:tcPr>
            <w:tcW w:w="758" w:type="pct"/>
            <w:tcMar>
              <w:top w:w="0" w:type="dxa"/>
              <w:left w:w="108" w:type="dxa"/>
              <w:bottom w:w="0" w:type="dxa"/>
              <w:right w:w="108" w:type="dxa"/>
            </w:tcMar>
            <w:hideMark/>
          </w:tcPr>
          <w:p w14:paraId="759DA5DF" w14:textId="24F669DD" w:rsidR="00416FB1" w:rsidRPr="00CE28E3" w:rsidRDefault="00416FB1" w:rsidP="002F1124">
            <w:pPr>
              <w:pStyle w:val="In-tableHeading"/>
            </w:pPr>
            <w:r w:rsidRPr="00CE28E3">
              <w:t xml:space="preserve">Year </w:t>
            </w:r>
            <w:r>
              <w:t>2025</w:t>
            </w:r>
          </w:p>
        </w:tc>
        <w:tc>
          <w:tcPr>
            <w:tcW w:w="758" w:type="pct"/>
            <w:tcMar>
              <w:top w:w="0" w:type="dxa"/>
              <w:left w:w="108" w:type="dxa"/>
              <w:bottom w:w="0" w:type="dxa"/>
              <w:right w:w="108" w:type="dxa"/>
            </w:tcMar>
            <w:hideMark/>
          </w:tcPr>
          <w:p w14:paraId="3BF14104" w14:textId="394489EA" w:rsidR="00416FB1" w:rsidRPr="00CE28E3" w:rsidRDefault="00416FB1" w:rsidP="002F1124">
            <w:pPr>
              <w:pStyle w:val="In-tableHeading"/>
            </w:pPr>
            <w:r w:rsidRPr="00CE28E3">
              <w:t xml:space="preserve">Year </w:t>
            </w:r>
            <w:r>
              <w:t>2026</w:t>
            </w:r>
          </w:p>
        </w:tc>
        <w:tc>
          <w:tcPr>
            <w:tcW w:w="709" w:type="pct"/>
            <w:tcMar>
              <w:top w:w="0" w:type="dxa"/>
              <w:left w:w="108" w:type="dxa"/>
              <w:bottom w:w="0" w:type="dxa"/>
              <w:right w:w="108" w:type="dxa"/>
            </w:tcMar>
            <w:hideMark/>
          </w:tcPr>
          <w:p w14:paraId="31580A99" w14:textId="1C9D15EB" w:rsidR="00416FB1" w:rsidRPr="00CE28E3" w:rsidRDefault="00416FB1" w:rsidP="002F1124">
            <w:pPr>
              <w:pStyle w:val="In-tableHeading"/>
            </w:pPr>
            <w:r w:rsidRPr="00CE28E3">
              <w:t xml:space="preserve">Year </w:t>
            </w:r>
            <w:r>
              <w:t>2027</w:t>
            </w:r>
          </w:p>
        </w:tc>
        <w:tc>
          <w:tcPr>
            <w:tcW w:w="758" w:type="pct"/>
            <w:tcMar>
              <w:top w:w="0" w:type="dxa"/>
              <w:left w:w="108" w:type="dxa"/>
              <w:bottom w:w="0" w:type="dxa"/>
              <w:right w:w="108" w:type="dxa"/>
            </w:tcMar>
            <w:hideMark/>
          </w:tcPr>
          <w:p w14:paraId="199B68C0" w14:textId="7F2CCF6D" w:rsidR="00416FB1" w:rsidRPr="00CE28E3" w:rsidRDefault="00416FB1" w:rsidP="002F1124">
            <w:pPr>
              <w:pStyle w:val="In-tableHeading"/>
            </w:pPr>
            <w:r w:rsidRPr="00CE28E3">
              <w:t xml:space="preserve">Year </w:t>
            </w:r>
            <w:r>
              <w:t>2028</w:t>
            </w:r>
          </w:p>
        </w:tc>
      </w:tr>
      <w:bookmarkEnd w:id="53"/>
      <w:tr w:rsidR="00802458" w:rsidRPr="00CE28E3" w14:paraId="755DEAF4" w14:textId="77777777" w:rsidTr="002F1124">
        <w:tc>
          <w:tcPr>
            <w:tcW w:w="1257" w:type="pct"/>
            <w:tcMar>
              <w:top w:w="0" w:type="dxa"/>
              <w:left w:w="108" w:type="dxa"/>
              <w:bottom w:w="0" w:type="dxa"/>
              <w:right w:w="108" w:type="dxa"/>
            </w:tcMar>
            <w:hideMark/>
          </w:tcPr>
          <w:p w14:paraId="208ACBFB" w14:textId="699EAA5C" w:rsidR="00416FB1" w:rsidRPr="00CE28E3" w:rsidRDefault="00416FB1" w:rsidP="00215AFB">
            <w:pPr>
              <w:pStyle w:val="TableText"/>
              <w:keepNext/>
            </w:pPr>
            <w:r w:rsidRPr="00CE28E3">
              <w:t xml:space="preserve">Number of people who receive </w:t>
            </w:r>
            <w:proofErr w:type="spellStart"/>
            <w:r>
              <w:t>TMVr</w:t>
            </w:r>
            <w:proofErr w:type="spellEnd"/>
            <w:r>
              <w:t xml:space="preserve"> procedures for DMR conducted with PASCAL</w:t>
            </w:r>
          </w:p>
        </w:tc>
        <w:tc>
          <w:tcPr>
            <w:tcW w:w="758" w:type="pct"/>
            <w:tcMar>
              <w:top w:w="0" w:type="dxa"/>
              <w:left w:w="108" w:type="dxa"/>
              <w:bottom w:w="0" w:type="dxa"/>
              <w:right w:w="108" w:type="dxa"/>
            </w:tcMar>
          </w:tcPr>
          <w:p w14:paraId="07C02C49" w14:textId="3F4F5A08" w:rsidR="00416FB1" w:rsidRPr="00CE28E3" w:rsidRDefault="00416FB1" w:rsidP="002F1124">
            <w:pPr>
              <w:pStyle w:val="TableText"/>
              <w:keepNext/>
              <w:jc w:val="center"/>
            </w:pPr>
            <w:r>
              <w:t>75</w:t>
            </w:r>
          </w:p>
        </w:tc>
        <w:tc>
          <w:tcPr>
            <w:tcW w:w="758" w:type="pct"/>
            <w:tcMar>
              <w:top w:w="0" w:type="dxa"/>
              <w:left w:w="108" w:type="dxa"/>
              <w:bottom w:w="0" w:type="dxa"/>
              <w:right w:w="108" w:type="dxa"/>
            </w:tcMar>
          </w:tcPr>
          <w:p w14:paraId="726FA6A9" w14:textId="0007ED2E" w:rsidR="00416FB1" w:rsidRPr="00CE28E3" w:rsidRDefault="00416FB1" w:rsidP="002F1124">
            <w:pPr>
              <w:pStyle w:val="TableText"/>
              <w:keepNext/>
              <w:jc w:val="center"/>
            </w:pPr>
            <w:r>
              <w:t>83</w:t>
            </w:r>
          </w:p>
        </w:tc>
        <w:tc>
          <w:tcPr>
            <w:tcW w:w="758" w:type="pct"/>
            <w:tcMar>
              <w:top w:w="0" w:type="dxa"/>
              <w:left w:w="108" w:type="dxa"/>
              <w:bottom w:w="0" w:type="dxa"/>
              <w:right w:w="108" w:type="dxa"/>
            </w:tcMar>
          </w:tcPr>
          <w:p w14:paraId="40599FCD" w14:textId="7D005E4D" w:rsidR="00416FB1" w:rsidRPr="00CE28E3" w:rsidRDefault="00416FB1" w:rsidP="002F1124">
            <w:pPr>
              <w:pStyle w:val="TableText"/>
              <w:keepNext/>
              <w:jc w:val="center"/>
            </w:pPr>
            <w:r>
              <w:t>91</w:t>
            </w:r>
          </w:p>
        </w:tc>
        <w:tc>
          <w:tcPr>
            <w:tcW w:w="709" w:type="pct"/>
            <w:tcMar>
              <w:top w:w="0" w:type="dxa"/>
              <w:left w:w="108" w:type="dxa"/>
              <w:bottom w:w="0" w:type="dxa"/>
              <w:right w:w="108" w:type="dxa"/>
            </w:tcMar>
          </w:tcPr>
          <w:p w14:paraId="49543F6F" w14:textId="491DB66D" w:rsidR="00416FB1" w:rsidRPr="00CE28E3" w:rsidRDefault="00416FB1" w:rsidP="002F1124">
            <w:pPr>
              <w:pStyle w:val="TableText"/>
              <w:keepNext/>
              <w:jc w:val="center"/>
            </w:pPr>
            <w:r>
              <w:t>100</w:t>
            </w:r>
          </w:p>
        </w:tc>
        <w:tc>
          <w:tcPr>
            <w:tcW w:w="758" w:type="pct"/>
            <w:tcMar>
              <w:top w:w="0" w:type="dxa"/>
              <w:left w:w="108" w:type="dxa"/>
              <w:bottom w:w="0" w:type="dxa"/>
              <w:right w:w="108" w:type="dxa"/>
            </w:tcMar>
          </w:tcPr>
          <w:p w14:paraId="4012557F" w14:textId="44783BE2" w:rsidR="00416FB1" w:rsidRPr="00CE28E3" w:rsidRDefault="00416FB1" w:rsidP="002F1124">
            <w:pPr>
              <w:pStyle w:val="TableText"/>
              <w:keepNext/>
              <w:jc w:val="center"/>
            </w:pPr>
            <w:r>
              <w:t>110</w:t>
            </w:r>
          </w:p>
        </w:tc>
      </w:tr>
      <w:tr w:rsidR="00802458" w:rsidRPr="00CE28E3" w14:paraId="2BDCACFF" w14:textId="77777777" w:rsidTr="002F1124">
        <w:tc>
          <w:tcPr>
            <w:tcW w:w="1257" w:type="pct"/>
            <w:tcMar>
              <w:top w:w="0" w:type="dxa"/>
              <w:left w:w="108" w:type="dxa"/>
              <w:bottom w:w="0" w:type="dxa"/>
              <w:right w:w="108" w:type="dxa"/>
            </w:tcMar>
          </w:tcPr>
          <w:p w14:paraId="66FA8CE8" w14:textId="358C2C8C" w:rsidR="00416FB1" w:rsidRPr="00CE28E3" w:rsidRDefault="00416FB1" w:rsidP="00215AFB">
            <w:pPr>
              <w:pStyle w:val="TableText"/>
              <w:keepNext/>
            </w:pPr>
            <w:r>
              <w:t xml:space="preserve">Number of people who receive </w:t>
            </w:r>
            <w:proofErr w:type="spellStart"/>
            <w:r>
              <w:t>TMVr</w:t>
            </w:r>
            <w:proofErr w:type="spellEnd"/>
            <w:r>
              <w:t xml:space="preserve"> procedures for DMR conducted with </w:t>
            </w:r>
            <w:proofErr w:type="spellStart"/>
            <w:r>
              <w:t>MitraClip</w:t>
            </w:r>
            <w:proofErr w:type="spellEnd"/>
          </w:p>
        </w:tc>
        <w:tc>
          <w:tcPr>
            <w:tcW w:w="758" w:type="pct"/>
            <w:tcMar>
              <w:top w:w="0" w:type="dxa"/>
              <w:left w:w="108" w:type="dxa"/>
              <w:bottom w:w="0" w:type="dxa"/>
              <w:right w:w="108" w:type="dxa"/>
            </w:tcMar>
          </w:tcPr>
          <w:p w14:paraId="34FC7DDE" w14:textId="54D14565" w:rsidR="00416FB1" w:rsidRDefault="00416FB1" w:rsidP="002F1124">
            <w:pPr>
              <w:pStyle w:val="TableText"/>
              <w:keepNext/>
              <w:jc w:val="center"/>
            </w:pPr>
            <w:r>
              <w:t>-75</w:t>
            </w:r>
          </w:p>
        </w:tc>
        <w:tc>
          <w:tcPr>
            <w:tcW w:w="758" w:type="pct"/>
            <w:tcMar>
              <w:top w:w="0" w:type="dxa"/>
              <w:left w:w="108" w:type="dxa"/>
              <w:bottom w:w="0" w:type="dxa"/>
              <w:right w:w="108" w:type="dxa"/>
            </w:tcMar>
          </w:tcPr>
          <w:p w14:paraId="55758277" w14:textId="404BA0D3" w:rsidR="00416FB1" w:rsidRDefault="00416FB1" w:rsidP="002F1124">
            <w:pPr>
              <w:pStyle w:val="TableText"/>
              <w:keepNext/>
              <w:jc w:val="center"/>
            </w:pPr>
            <w:r>
              <w:t>-83</w:t>
            </w:r>
          </w:p>
        </w:tc>
        <w:tc>
          <w:tcPr>
            <w:tcW w:w="758" w:type="pct"/>
            <w:tcMar>
              <w:top w:w="0" w:type="dxa"/>
              <w:left w:w="108" w:type="dxa"/>
              <w:bottom w:w="0" w:type="dxa"/>
              <w:right w:w="108" w:type="dxa"/>
            </w:tcMar>
          </w:tcPr>
          <w:p w14:paraId="181B00C0" w14:textId="70FE7435" w:rsidR="00416FB1" w:rsidRDefault="00416FB1" w:rsidP="002F1124">
            <w:pPr>
              <w:pStyle w:val="TableText"/>
              <w:keepNext/>
              <w:jc w:val="center"/>
            </w:pPr>
            <w:r>
              <w:t>-91</w:t>
            </w:r>
          </w:p>
        </w:tc>
        <w:tc>
          <w:tcPr>
            <w:tcW w:w="709" w:type="pct"/>
            <w:tcMar>
              <w:top w:w="0" w:type="dxa"/>
              <w:left w:w="108" w:type="dxa"/>
              <w:bottom w:w="0" w:type="dxa"/>
              <w:right w:w="108" w:type="dxa"/>
            </w:tcMar>
          </w:tcPr>
          <w:p w14:paraId="5EF88058" w14:textId="3B23BCF9" w:rsidR="00416FB1" w:rsidRDefault="00416FB1" w:rsidP="002F1124">
            <w:pPr>
              <w:pStyle w:val="TableText"/>
              <w:keepNext/>
              <w:jc w:val="center"/>
            </w:pPr>
            <w:r>
              <w:t>-100</w:t>
            </w:r>
          </w:p>
        </w:tc>
        <w:tc>
          <w:tcPr>
            <w:tcW w:w="758" w:type="pct"/>
            <w:tcMar>
              <w:top w:w="0" w:type="dxa"/>
              <w:left w:w="108" w:type="dxa"/>
              <w:bottom w:w="0" w:type="dxa"/>
              <w:right w:w="108" w:type="dxa"/>
            </w:tcMar>
          </w:tcPr>
          <w:p w14:paraId="7E608B74" w14:textId="0B044D01" w:rsidR="00416FB1" w:rsidRDefault="00416FB1" w:rsidP="002F1124">
            <w:pPr>
              <w:pStyle w:val="TableText"/>
              <w:keepNext/>
              <w:jc w:val="center"/>
            </w:pPr>
            <w:r>
              <w:t>-1</w:t>
            </w:r>
            <w:r w:rsidR="00897337">
              <w:t>1</w:t>
            </w:r>
            <w:r>
              <w:t>0</w:t>
            </w:r>
          </w:p>
        </w:tc>
      </w:tr>
      <w:tr w:rsidR="00802458" w:rsidRPr="00CE28E3" w14:paraId="25539CE8" w14:textId="77777777" w:rsidTr="002F1124">
        <w:tc>
          <w:tcPr>
            <w:tcW w:w="1257" w:type="pct"/>
            <w:tcMar>
              <w:top w:w="0" w:type="dxa"/>
              <w:left w:w="108" w:type="dxa"/>
              <w:bottom w:w="0" w:type="dxa"/>
              <w:right w:w="108" w:type="dxa"/>
            </w:tcMar>
          </w:tcPr>
          <w:p w14:paraId="4D7E2FF5" w14:textId="5DEFBEC6" w:rsidR="00416FB1" w:rsidRDefault="00416FB1" w:rsidP="00215AFB">
            <w:pPr>
              <w:pStyle w:val="TableText"/>
              <w:keepNext/>
            </w:pPr>
            <w:r>
              <w:t xml:space="preserve">Net change in MBS item 38461 utilisation </w:t>
            </w:r>
          </w:p>
        </w:tc>
        <w:tc>
          <w:tcPr>
            <w:tcW w:w="758" w:type="pct"/>
            <w:tcMar>
              <w:top w:w="0" w:type="dxa"/>
              <w:left w:w="108" w:type="dxa"/>
              <w:bottom w:w="0" w:type="dxa"/>
              <w:right w:w="108" w:type="dxa"/>
            </w:tcMar>
          </w:tcPr>
          <w:p w14:paraId="7D02AE54" w14:textId="7E853420" w:rsidR="00416FB1" w:rsidRDefault="00416FB1" w:rsidP="002F1124">
            <w:pPr>
              <w:pStyle w:val="TableText"/>
              <w:keepNext/>
              <w:jc w:val="center"/>
            </w:pPr>
            <w:r>
              <w:t>0</w:t>
            </w:r>
          </w:p>
        </w:tc>
        <w:tc>
          <w:tcPr>
            <w:tcW w:w="758" w:type="pct"/>
            <w:tcMar>
              <w:top w:w="0" w:type="dxa"/>
              <w:left w:w="108" w:type="dxa"/>
              <w:bottom w:w="0" w:type="dxa"/>
              <w:right w:w="108" w:type="dxa"/>
            </w:tcMar>
          </w:tcPr>
          <w:p w14:paraId="6AE6D508" w14:textId="1F42E566" w:rsidR="00416FB1" w:rsidRDefault="00416FB1" w:rsidP="002F1124">
            <w:pPr>
              <w:pStyle w:val="TableText"/>
              <w:keepNext/>
              <w:jc w:val="center"/>
            </w:pPr>
            <w:r>
              <w:t>0</w:t>
            </w:r>
          </w:p>
        </w:tc>
        <w:tc>
          <w:tcPr>
            <w:tcW w:w="758" w:type="pct"/>
            <w:tcMar>
              <w:top w:w="0" w:type="dxa"/>
              <w:left w:w="108" w:type="dxa"/>
              <w:bottom w:w="0" w:type="dxa"/>
              <w:right w:w="108" w:type="dxa"/>
            </w:tcMar>
          </w:tcPr>
          <w:p w14:paraId="34879250" w14:textId="4FD7BA90" w:rsidR="00416FB1" w:rsidRDefault="00416FB1" w:rsidP="002F1124">
            <w:pPr>
              <w:pStyle w:val="TableText"/>
              <w:keepNext/>
              <w:jc w:val="center"/>
            </w:pPr>
            <w:r>
              <w:t>0</w:t>
            </w:r>
          </w:p>
        </w:tc>
        <w:tc>
          <w:tcPr>
            <w:tcW w:w="709" w:type="pct"/>
            <w:tcMar>
              <w:top w:w="0" w:type="dxa"/>
              <w:left w:w="108" w:type="dxa"/>
              <w:bottom w:w="0" w:type="dxa"/>
              <w:right w:w="108" w:type="dxa"/>
            </w:tcMar>
          </w:tcPr>
          <w:p w14:paraId="5004CB06" w14:textId="0B96F32B" w:rsidR="00416FB1" w:rsidRDefault="00416FB1" w:rsidP="002F1124">
            <w:pPr>
              <w:pStyle w:val="TableText"/>
              <w:keepNext/>
              <w:jc w:val="center"/>
            </w:pPr>
            <w:r>
              <w:t>0</w:t>
            </w:r>
          </w:p>
        </w:tc>
        <w:tc>
          <w:tcPr>
            <w:tcW w:w="758" w:type="pct"/>
            <w:tcMar>
              <w:top w:w="0" w:type="dxa"/>
              <w:left w:w="108" w:type="dxa"/>
              <w:bottom w:w="0" w:type="dxa"/>
              <w:right w:w="108" w:type="dxa"/>
            </w:tcMar>
          </w:tcPr>
          <w:p w14:paraId="62ED755A" w14:textId="7C8EDB2D" w:rsidR="00416FB1" w:rsidRDefault="00416FB1" w:rsidP="002F1124">
            <w:pPr>
              <w:pStyle w:val="TableText"/>
              <w:keepNext/>
              <w:jc w:val="center"/>
            </w:pPr>
            <w:r>
              <w:t>0</w:t>
            </w:r>
          </w:p>
        </w:tc>
      </w:tr>
      <w:tr w:rsidR="00802458" w:rsidRPr="00CE28E3" w14:paraId="6829D632" w14:textId="77777777" w:rsidTr="002F1124">
        <w:tc>
          <w:tcPr>
            <w:tcW w:w="1257" w:type="pct"/>
            <w:tcMar>
              <w:top w:w="0" w:type="dxa"/>
              <w:left w:w="108" w:type="dxa"/>
              <w:bottom w:w="0" w:type="dxa"/>
              <w:right w:w="108" w:type="dxa"/>
            </w:tcMar>
          </w:tcPr>
          <w:p w14:paraId="3D238E8B" w14:textId="3D931B74" w:rsidR="00416FB1" w:rsidRDefault="006C33F1" w:rsidP="00215AFB">
            <w:pPr>
              <w:pStyle w:val="TableText"/>
              <w:keepNext/>
            </w:pPr>
            <w:r>
              <w:t>C</w:t>
            </w:r>
            <w:r w:rsidR="00416FB1">
              <w:t>ost of PASCAL in the DMR population at 75% benefit</w:t>
            </w:r>
          </w:p>
        </w:tc>
        <w:tc>
          <w:tcPr>
            <w:tcW w:w="758" w:type="pct"/>
            <w:tcMar>
              <w:top w:w="0" w:type="dxa"/>
              <w:left w:w="108" w:type="dxa"/>
              <w:bottom w:w="0" w:type="dxa"/>
              <w:right w:w="108" w:type="dxa"/>
            </w:tcMar>
          </w:tcPr>
          <w:p w14:paraId="18203B7F" w14:textId="2F635D8E" w:rsidR="00416FB1" w:rsidRDefault="00416FB1" w:rsidP="002F1124">
            <w:pPr>
              <w:pStyle w:val="TableText"/>
              <w:keepNext/>
              <w:jc w:val="center"/>
            </w:pPr>
            <w:r>
              <w:t>$1</w:t>
            </w:r>
            <w:r w:rsidR="00802458">
              <w:t>19,237</w:t>
            </w:r>
          </w:p>
        </w:tc>
        <w:tc>
          <w:tcPr>
            <w:tcW w:w="758" w:type="pct"/>
            <w:tcMar>
              <w:top w:w="0" w:type="dxa"/>
              <w:left w:w="108" w:type="dxa"/>
              <w:bottom w:w="0" w:type="dxa"/>
              <w:right w:w="108" w:type="dxa"/>
            </w:tcMar>
          </w:tcPr>
          <w:p w14:paraId="2797382D" w14:textId="1208EB2D" w:rsidR="00416FB1" w:rsidRDefault="00416FB1" w:rsidP="002F1124">
            <w:pPr>
              <w:pStyle w:val="TableText"/>
              <w:keepNext/>
              <w:jc w:val="center"/>
            </w:pPr>
            <w:r>
              <w:t>$1</w:t>
            </w:r>
            <w:r w:rsidR="00802458">
              <w:t>31,210</w:t>
            </w:r>
          </w:p>
        </w:tc>
        <w:tc>
          <w:tcPr>
            <w:tcW w:w="758" w:type="pct"/>
            <w:tcMar>
              <w:top w:w="0" w:type="dxa"/>
              <w:left w:w="108" w:type="dxa"/>
              <w:bottom w:w="0" w:type="dxa"/>
              <w:right w:w="108" w:type="dxa"/>
            </w:tcMar>
          </w:tcPr>
          <w:p w14:paraId="6F52E34C" w14:textId="7B32E7F9" w:rsidR="00416FB1" w:rsidRDefault="00416FB1" w:rsidP="002F1124">
            <w:pPr>
              <w:pStyle w:val="TableText"/>
              <w:keepNext/>
              <w:jc w:val="center"/>
            </w:pPr>
            <w:r>
              <w:t>$1</w:t>
            </w:r>
            <w:r w:rsidR="00802458">
              <w:t>44,385</w:t>
            </w:r>
          </w:p>
        </w:tc>
        <w:tc>
          <w:tcPr>
            <w:tcW w:w="709" w:type="pct"/>
            <w:tcMar>
              <w:top w:w="0" w:type="dxa"/>
              <w:left w:w="108" w:type="dxa"/>
              <w:bottom w:w="0" w:type="dxa"/>
              <w:right w:w="108" w:type="dxa"/>
            </w:tcMar>
          </w:tcPr>
          <w:p w14:paraId="59E6C95A" w14:textId="6AFA385C" w:rsidR="00416FB1" w:rsidRDefault="00416FB1" w:rsidP="002F1124">
            <w:pPr>
              <w:pStyle w:val="TableText"/>
              <w:keepNext/>
              <w:jc w:val="center"/>
            </w:pPr>
            <w:r>
              <w:t>$15</w:t>
            </w:r>
            <w:r w:rsidR="00802458">
              <w:t>8,883</w:t>
            </w:r>
          </w:p>
        </w:tc>
        <w:tc>
          <w:tcPr>
            <w:tcW w:w="758" w:type="pct"/>
            <w:tcMar>
              <w:top w:w="0" w:type="dxa"/>
              <w:left w:w="108" w:type="dxa"/>
              <w:bottom w:w="0" w:type="dxa"/>
              <w:right w:w="108" w:type="dxa"/>
            </w:tcMar>
          </w:tcPr>
          <w:p w14:paraId="05C76D85" w14:textId="1C5119D6" w:rsidR="00416FB1" w:rsidRDefault="00416FB1" w:rsidP="002F1124">
            <w:pPr>
              <w:pStyle w:val="TableText"/>
              <w:keepNext/>
              <w:jc w:val="center"/>
            </w:pPr>
            <w:r>
              <w:t>$1</w:t>
            </w:r>
            <w:r w:rsidR="00802458">
              <w:t>74,838</w:t>
            </w:r>
          </w:p>
        </w:tc>
      </w:tr>
      <w:tr w:rsidR="00802458" w:rsidRPr="00CE28E3" w14:paraId="2F99736F" w14:textId="77777777" w:rsidTr="002F1124">
        <w:tc>
          <w:tcPr>
            <w:tcW w:w="1257" w:type="pct"/>
            <w:tcMar>
              <w:top w:w="0" w:type="dxa"/>
              <w:left w:w="108" w:type="dxa"/>
              <w:bottom w:w="0" w:type="dxa"/>
              <w:right w:w="108" w:type="dxa"/>
            </w:tcMar>
          </w:tcPr>
          <w:p w14:paraId="194B0D07" w14:textId="2D832B5E" w:rsidR="00416FB1" w:rsidRDefault="006C33F1" w:rsidP="00416FB1">
            <w:pPr>
              <w:pStyle w:val="TableText"/>
              <w:keepNext/>
            </w:pPr>
            <w:r>
              <w:t>C</w:t>
            </w:r>
            <w:r w:rsidR="00416FB1">
              <w:t xml:space="preserve">ost of </w:t>
            </w:r>
            <w:proofErr w:type="spellStart"/>
            <w:r>
              <w:t>MitraClip</w:t>
            </w:r>
            <w:proofErr w:type="spellEnd"/>
            <w:r w:rsidR="00416FB1">
              <w:t xml:space="preserve"> in the DMR population at 75% benefit</w:t>
            </w:r>
          </w:p>
        </w:tc>
        <w:tc>
          <w:tcPr>
            <w:tcW w:w="758" w:type="pct"/>
            <w:tcMar>
              <w:top w:w="0" w:type="dxa"/>
              <w:left w:w="108" w:type="dxa"/>
              <w:bottom w:w="0" w:type="dxa"/>
              <w:right w:w="108" w:type="dxa"/>
            </w:tcMar>
          </w:tcPr>
          <w:p w14:paraId="6F3F7472" w14:textId="6E58D652" w:rsidR="00416FB1" w:rsidRDefault="00416FB1" w:rsidP="002F1124">
            <w:pPr>
              <w:pStyle w:val="TableText"/>
              <w:keepNext/>
              <w:jc w:val="center"/>
            </w:pPr>
            <w:r>
              <w:t>-$11</w:t>
            </w:r>
            <w:r w:rsidR="00802458">
              <w:t>9,237</w:t>
            </w:r>
          </w:p>
        </w:tc>
        <w:tc>
          <w:tcPr>
            <w:tcW w:w="758" w:type="pct"/>
            <w:tcMar>
              <w:top w:w="0" w:type="dxa"/>
              <w:left w:w="108" w:type="dxa"/>
              <w:bottom w:w="0" w:type="dxa"/>
              <w:right w:w="108" w:type="dxa"/>
            </w:tcMar>
          </w:tcPr>
          <w:p w14:paraId="70632E60" w14:textId="6122EEBD" w:rsidR="00416FB1" w:rsidRDefault="00416FB1" w:rsidP="002F1124">
            <w:pPr>
              <w:pStyle w:val="TableText"/>
              <w:keepNext/>
              <w:jc w:val="center"/>
            </w:pPr>
            <w:r>
              <w:t>-$1</w:t>
            </w:r>
            <w:r w:rsidR="00802458">
              <w:t>31,210</w:t>
            </w:r>
          </w:p>
        </w:tc>
        <w:tc>
          <w:tcPr>
            <w:tcW w:w="758" w:type="pct"/>
            <w:tcMar>
              <w:top w:w="0" w:type="dxa"/>
              <w:left w:w="108" w:type="dxa"/>
              <w:bottom w:w="0" w:type="dxa"/>
              <w:right w:w="108" w:type="dxa"/>
            </w:tcMar>
          </w:tcPr>
          <w:p w14:paraId="27F7078C" w14:textId="142DB8AE" w:rsidR="00416FB1" w:rsidRDefault="00416FB1" w:rsidP="002F1124">
            <w:pPr>
              <w:pStyle w:val="TableText"/>
              <w:keepNext/>
              <w:jc w:val="center"/>
            </w:pPr>
            <w:r>
              <w:t>-$14</w:t>
            </w:r>
            <w:r w:rsidR="00802458">
              <w:t>4,385</w:t>
            </w:r>
          </w:p>
        </w:tc>
        <w:tc>
          <w:tcPr>
            <w:tcW w:w="709" w:type="pct"/>
            <w:tcMar>
              <w:top w:w="0" w:type="dxa"/>
              <w:left w:w="108" w:type="dxa"/>
              <w:bottom w:w="0" w:type="dxa"/>
              <w:right w:w="108" w:type="dxa"/>
            </w:tcMar>
          </w:tcPr>
          <w:p w14:paraId="4AE94446" w14:textId="3912B3E4" w:rsidR="00416FB1" w:rsidRDefault="00416FB1" w:rsidP="002F1124">
            <w:pPr>
              <w:pStyle w:val="TableText"/>
              <w:keepNext/>
              <w:jc w:val="center"/>
            </w:pPr>
            <w:r>
              <w:t>-$15</w:t>
            </w:r>
            <w:r w:rsidR="00802458">
              <w:t>8,883</w:t>
            </w:r>
          </w:p>
        </w:tc>
        <w:tc>
          <w:tcPr>
            <w:tcW w:w="758" w:type="pct"/>
            <w:tcMar>
              <w:top w:w="0" w:type="dxa"/>
              <w:left w:w="108" w:type="dxa"/>
              <w:bottom w:w="0" w:type="dxa"/>
              <w:right w:w="108" w:type="dxa"/>
            </w:tcMar>
          </w:tcPr>
          <w:p w14:paraId="71ED1708" w14:textId="1D8C1303" w:rsidR="00416FB1" w:rsidRDefault="00416FB1" w:rsidP="002F1124">
            <w:pPr>
              <w:pStyle w:val="TableText"/>
              <w:keepNext/>
              <w:jc w:val="center"/>
            </w:pPr>
            <w:r>
              <w:t>-$17</w:t>
            </w:r>
            <w:r w:rsidR="00802458">
              <w:t>4,838</w:t>
            </w:r>
          </w:p>
        </w:tc>
      </w:tr>
      <w:tr w:rsidR="00802458" w:rsidRPr="00CE28E3" w14:paraId="1D7F897A" w14:textId="77777777" w:rsidTr="002F1124">
        <w:tc>
          <w:tcPr>
            <w:tcW w:w="1257" w:type="pct"/>
            <w:tcMar>
              <w:top w:w="0" w:type="dxa"/>
              <w:left w:w="108" w:type="dxa"/>
              <w:bottom w:w="0" w:type="dxa"/>
              <w:right w:w="108" w:type="dxa"/>
            </w:tcMar>
            <w:hideMark/>
          </w:tcPr>
          <w:p w14:paraId="6FEA76BA" w14:textId="74CE1476" w:rsidR="00416FB1" w:rsidRPr="00CE28E3" w:rsidRDefault="00416FB1" w:rsidP="00416FB1">
            <w:pPr>
              <w:pStyle w:val="TableText"/>
              <w:keepNext/>
              <w:rPr>
                <w:b/>
                <w:bCs/>
              </w:rPr>
            </w:pPr>
            <w:r w:rsidRPr="00CE28E3">
              <w:rPr>
                <w:b/>
                <w:bCs/>
              </w:rPr>
              <w:t xml:space="preserve">Net financial impact to </w:t>
            </w:r>
            <w:r w:rsidR="00AF2379">
              <w:rPr>
                <w:b/>
                <w:bCs/>
              </w:rPr>
              <w:t>MBS</w:t>
            </w:r>
          </w:p>
        </w:tc>
        <w:tc>
          <w:tcPr>
            <w:tcW w:w="758" w:type="pct"/>
            <w:tcMar>
              <w:top w:w="0" w:type="dxa"/>
              <w:left w:w="108" w:type="dxa"/>
              <w:bottom w:w="0" w:type="dxa"/>
              <w:right w:w="108" w:type="dxa"/>
            </w:tcMar>
          </w:tcPr>
          <w:p w14:paraId="10D9A965" w14:textId="07EE43C9" w:rsidR="00416FB1" w:rsidRPr="00CE28E3" w:rsidRDefault="00416FB1" w:rsidP="002F1124">
            <w:pPr>
              <w:pStyle w:val="TableText"/>
              <w:keepNext/>
              <w:jc w:val="center"/>
              <w:rPr>
                <w:b/>
                <w:bCs/>
              </w:rPr>
            </w:pPr>
            <w:r>
              <w:rPr>
                <w:b/>
                <w:bCs/>
              </w:rPr>
              <w:t>$0</w:t>
            </w:r>
          </w:p>
        </w:tc>
        <w:tc>
          <w:tcPr>
            <w:tcW w:w="758" w:type="pct"/>
            <w:tcMar>
              <w:top w:w="0" w:type="dxa"/>
              <w:left w:w="108" w:type="dxa"/>
              <w:bottom w:w="0" w:type="dxa"/>
              <w:right w:w="108" w:type="dxa"/>
            </w:tcMar>
          </w:tcPr>
          <w:p w14:paraId="094449DB" w14:textId="653E3362" w:rsidR="00416FB1" w:rsidRPr="00CE28E3" w:rsidRDefault="00416FB1" w:rsidP="002F1124">
            <w:pPr>
              <w:pStyle w:val="TableText"/>
              <w:keepNext/>
              <w:jc w:val="center"/>
              <w:rPr>
                <w:b/>
                <w:bCs/>
              </w:rPr>
            </w:pPr>
            <w:r>
              <w:rPr>
                <w:b/>
                <w:bCs/>
              </w:rPr>
              <w:t>$0</w:t>
            </w:r>
          </w:p>
        </w:tc>
        <w:tc>
          <w:tcPr>
            <w:tcW w:w="758" w:type="pct"/>
            <w:tcMar>
              <w:top w:w="0" w:type="dxa"/>
              <w:left w:w="108" w:type="dxa"/>
              <w:bottom w:w="0" w:type="dxa"/>
              <w:right w:w="108" w:type="dxa"/>
            </w:tcMar>
          </w:tcPr>
          <w:p w14:paraId="1BD218F3" w14:textId="62DA154F" w:rsidR="00416FB1" w:rsidRPr="00CE28E3" w:rsidRDefault="00416FB1" w:rsidP="002F1124">
            <w:pPr>
              <w:pStyle w:val="TableText"/>
              <w:keepNext/>
              <w:jc w:val="center"/>
              <w:rPr>
                <w:b/>
                <w:bCs/>
              </w:rPr>
            </w:pPr>
            <w:r>
              <w:rPr>
                <w:b/>
                <w:bCs/>
              </w:rPr>
              <w:t>$0</w:t>
            </w:r>
          </w:p>
        </w:tc>
        <w:tc>
          <w:tcPr>
            <w:tcW w:w="709" w:type="pct"/>
            <w:tcMar>
              <w:top w:w="0" w:type="dxa"/>
              <w:left w:w="108" w:type="dxa"/>
              <w:bottom w:w="0" w:type="dxa"/>
              <w:right w:w="108" w:type="dxa"/>
            </w:tcMar>
          </w:tcPr>
          <w:p w14:paraId="6613D334" w14:textId="0ACE3B32" w:rsidR="00416FB1" w:rsidRPr="00CE28E3" w:rsidRDefault="00416FB1" w:rsidP="002F1124">
            <w:pPr>
              <w:pStyle w:val="TableText"/>
              <w:keepNext/>
              <w:jc w:val="center"/>
              <w:rPr>
                <w:b/>
                <w:bCs/>
              </w:rPr>
            </w:pPr>
            <w:r>
              <w:rPr>
                <w:b/>
                <w:bCs/>
              </w:rPr>
              <w:t>$0</w:t>
            </w:r>
          </w:p>
        </w:tc>
        <w:tc>
          <w:tcPr>
            <w:tcW w:w="758" w:type="pct"/>
            <w:tcMar>
              <w:top w:w="0" w:type="dxa"/>
              <w:left w:w="108" w:type="dxa"/>
              <w:bottom w:w="0" w:type="dxa"/>
              <w:right w:w="108" w:type="dxa"/>
            </w:tcMar>
          </w:tcPr>
          <w:p w14:paraId="219A632F" w14:textId="5C5675B7" w:rsidR="00416FB1" w:rsidRPr="00CE28E3" w:rsidRDefault="00416FB1" w:rsidP="002F1124">
            <w:pPr>
              <w:pStyle w:val="TableText"/>
              <w:keepNext/>
              <w:jc w:val="center"/>
              <w:rPr>
                <w:b/>
                <w:bCs/>
              </w:rPr>
            </w:pPr>
            <w:r>
              <w:rPr>
                <w:b/>
                <w:bCs/>
              </w:rPr>
              <w:t>$</w:t>
            </w:r>
            <w:r w:rsidR="00715F60">
              <w:rPr>
                <w:b/>
                <w:bCs/>
              </w:rPr>
              <w:t>0</w:t>
            </w:r>
          </w:p>
        </w:tc>
      </w:tr>
    </w:tbl>
    <w:bookmarkEnd w:id="54"/>
    <w:p w14:paraId="2AE73F07" w14:textId="7D2B1D49" w:rsidR="002F7837" w:rsidRDefault="002F7837">
      <w:pPr>
        <w:pStyle w:val="TableFooter"/>
      </w:pPr>
      <w:r>
        <w:t xml:space="preserve">Source: </w:t>
      </w:r>
      <w:r w:rsidR="00A03F9A">
        <w:t>Table</w:t>
      </w:r>
      <w:r w:rsidR="00C57A82">
        <w:t xml:space="preserve"> 36, p71 od MSAC 1662.2 ADAR.</w:t>
      </w:r>
    </w:p>
    <w:p w14:paraId="764AEEB1" w14:textId="20C118F5" w:rsidR="009B4F65" w:rsidRDefault="009B4F65">
      <w:pPr>
        <w:pStyle w:val="TableFooter"/>
      </w:pPr>
      <w:r>
        <w:t xml:space="preserve">Abbreviations: DMR, degenerative mitral regurgitation; MBS, Medicare Benefits Schedule; </w:t>
      </w:r>
      <w:proofErr w:type="spellStart"/>
      <w:r>
        <w:t>TMVr</w:t>
      </w:r>
      <w:proofErr w:type="spellEnd"/>
      <w:r>
        <w:t>, transcatheter mitral valve repair</w:t>
      </w:r>
    </w:p>
    <w:p w14:paraId="20526FB7" w14:textId="0A7B7A64" w:rsidR="00715F60" w:rsidRDefault="00715F60" w:rsidP="00715F60">
      <w:r>
        <w:t xml:space="preserve">MSAC has previously noted that there may be unmet need met by the PASCAL device, leading to the possibility of increased patient numbers. </w:t>
      </w:r>
      <w:r w:rsidR="00B610A4">
        <w:t xml:space="preserve">Increasing supply </w:t>
      </w:r>
      <w:r w:rsidR="00873ADE">
        <w:t xml:space="preserve">and access via an alternative device option may </w:t>
      </w:r>
      <w:r w:rsidR="006A795D">
        <w:t xml:space="preserve">also lead to increased patient numbers. </w:t>
      </w:r>
      <w:r>
        <w:t>As a result, a</w:t>
      </w:r>
      <w:r w:rsidRPr="000D4F00">
        <w:t xml:space="preserve"> sensitivity analysis is presented exploring the potential impact of market growth due to PASCAL</w:t>
      </w:r>
      <w:r w:rsidR="00763A8A">
        <w:t xml:space="preserve"> (</w:t>
      </w:r>
      <w:r w:rsidR="009D67C6">
        <w:fldChar w:fldCharType="begin"/>
      </w:r>
      <w:r w:rsidR="009D67C6">
        <w:instrText xml:space="preserve"> REF _Ref155690988 \h </w:instrText>
      </w:r>
      <w:r w:rsidR="009D67C6">
        <w:fldChar w:fldCharType="separate"/>
      </w:r>
      <w:r w:rsidR="009D67C6">
        <w:t xml:space="preserve">Table </w:t>
      </w:r>
      <w:r w:rsidR="009D67C6">
        <w:rPr>
          <w:noProof/>
        </w:rPr>
        <w:t>12</w:t>
      </w:r>
      <w:r w:rsidR="009D67C6">
        <w:fldChar w:fldCharType="end"/>
      </w:r>
      <w:r w:rsidR="009D67C6">
        <w:t xml:space="preserve">). </w:t>
      </w:r>
      <w:r w:rsidRPr="000D4F00">
        <w:t>This analysis shows that at 10% market growth, the budget impact to the MBS of the additional procedures would be</w:t>
      </w:r>
      <w:r w:rsidR="00180985">
        <w:t xml:space="preserve"> </w:t>
      </w:r>
      <w:r w:rsidR="00B62B2C">
        <w:t>$34,</w:t>
      </w:r>
      <w:r w:rsidR="002146CD">
        <w:t>968</w:t>
      </w:r>
      <w:r w:rsidR="00B62B2C">
        <w:t xml:space="preserve"> by 2028</w:t>
      </w:r>
      <w:r w:rsidR="00146EC4">
        <w:t>.</w:t>
      </w:r>
      <w:r w:rsidR="00B62B2C">
        <w:t xml:space="preserve"> </w:t>
      </w:r>
    </w:p>
    <w:p w14:paraId="59A247EF" w14:textId="1D1B16A1" w:rsidR="009D67C6" w:rsidRDefault="009D67C6" w:rsidP="002F1124">
      <w:pPr>
        <w:pStyle w:val="Caption"/>
      </w:pPr>
      <w:bookmarkStart w:id="55" w:name="_Ref155690988"/>
      <w:r>
        <w:t xml:space="preserve">Table </w:t>
      </w:r>
      <w:r>
        <w:fldChar w:fldCharType="begin"/>
      </w:r>
      <w:r>
        <w:instrText>SEQ Table \* ARABIC</w:instrText>
      </w:r>
      <w:r>
        <w:fldChar w:fldCharType="separate"/>
      </w:r>
      <w:r>
        <w:rPr>
          <w:noProof/>
        </w:rPr>
        <w:t>12</w:t>
      </w:r>
      <w:r>
        <w:fldChar w:fldCharType="end"/>
      </w:r>
      <w:bookmarkEnd w:id="55"/>
      <w:r>
        <w:t xml:space="preserve"> </w:t>
      </w:r>
      <w:r w:rsidRPr="008715AE">
        <w:t>Sensitivity analysis: Net financial implications of listing PASCAL in item 38461 for the DMR population to the MBS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3"/>
        <w:gridCol w:w="1325"/>
        <w:gridCol w:w="1416"/>
        <w:gridCol w:w="1325"/>
        <w:gridCol w:w="1403"/>
        <w:gridCol w:w="1324"/>
      </w:tblGrid>
      <w:tr w:rsidR="00715F60" w:rsidRPr="00CE28E3" w14:paraId="3A72E0DA" w14:textId="77777777" w:rsidTr="005D57E1">
        <w:trPr>
          <w:tblHeader/>
        </w:trPr>
        <w:tc>
          <w:tcPr>
            <w:tcW w:w="1233" w:type="pct"/>
            <w:tcMar>
              <w:top w:w="0" w:type="dxa"/>
              <w:left w:w="108" w:type="dxa"/>
              <w:bottom w:w="0" w:type="dxa"/>
              <w:right w:w="108" w:type="dxa"/>
            </w:tcMar>
          </w:tcPr>
          <w:p w14:paraId="09EC4E70" w14:textId="77777777" w:rsidR="00715F60" w:rsidRPr="0089562E" w:rsidRDefault="00715F60" w:rsidP="002F1124">
            <w:pPr>
              <w:pStyle w:val="In-tableHeading"/>
            </w:pPr>
            <w:r w:rsidRPr="0089562E">
              <w:t xml:space="preserve">Parameter </w:t>
            </w:r>
          </w:p>
        </w:tc>
        <w:tc>
          <w:tcPr>
            <w:tcW w:w="735" w:type="pct"/>
            <w:tcMar>
              <w:top w:w="0" w:type="dxa"/>
              <w:left w:w="108" w:type="dxa"/>
              <w:bottom w:w="0" w:type="dxa"/>
              <w:right w:w="108" w:type="dxa"/>
            </w:tcMar>
            <w:hideMark/>
          </w:tcPr>
          <w:p w14:paraId="4989D097" w14:textId="77777777" w:rsidR="00715F60" w:rsidRPr="0089562E" w:rsidRDefault="00715F60" w:rsidP="002F1124">
            <w:pPr>
              <w:pStyle w:val="In-tableHeading"/>
            </w:pPr>
            <w:r w:rsidRPr="0089562E">
              <w:t>Year 2024</w:t>
            </w:r>
          </w:p>
        </w:tc>
        <w:tc>
          <w:tcPr>
            <w:tcW w:w="785" w:type="pct"/>
            <w:tcMar>
              <w:top w:w="0" w:type="dxa"/>
              <w:left w:w="108" w:type="dxa"/>
              <w:bottom w:w="0" w:type="dxa"/>
              <w:right w:w="108" w:type="dxa"/>
            </w:tcMar>
            <w:hideMark/>
          </w:tcPr>
          <w:p w14:paraId="471409A5" w14:textId="77777777" w:rsidR="00715F60" w:rsidRPr="0089562E" w:rsidRDefault="00715F60" w:rsidP="002F1124">
            <w:pPr>
              <w:pStyle w:val="In-tableHeading"/>
            </w:pPr>
            <w:r w:rsidRPr="0089562E">
              <w:t>Year 2025</w:t>
            </w:r>
          </w:p>
        </w:tc>
        <w:tc>
          <w:tcPr>
            <w:tcW w:w="735" w:type="pct"/>
            <w:tcMar>
              <w:top w:w="0" w:type="dxa"/>
              <w:left w:w="108" w:type="dxa"/>
              <w:bottom w:w="0" w:type="dxa"/>
              <w:right w:w="108" w:type="dxa"/>
            </w:tcMar>
            <w:hideMark/>
          </w:tcPr>
          <w:p w14:paraId="66C2E225" w14:textId="77777777" w:rsidR="00715F60" w:rsidRPr="0089562E" w:rsidRDefault="00715F60" w:rsidP="002F1124">
            <w:pPr>
              <w:pStyle w:val="In-tableHeading"/>
            </w:pPr>
            <w:r w:rsidRPr="0089562E">
              <w:t>Year 2026</w:t>
            </w:r>
          </w:p>
        </w:tc>
        <w:tc>
          <w:tcPr>
            <w:tcW w:w="778" w:type="pct"/>
            <w:tcMar>
              <w:top w:w="0" w:type="dxa"/>
              <w:left w:w="108" w:type="dxa"/>
              <w:bottom w:w="0" w:type="dxa"/>
              <w:right w:w="108" w:type="dxa"/>
            </w:tcMar>
            <w:hideMark/>
          </w:tcPr>
          <w:p w14:paraId="5D6A9229" w14:textId="77777777" w:rsidR="00715F60" w:rsidRPr="0089562E" w:rsidRDefault="00715F60" w:rsidP="002F1124">
            <w:pPr>
              <w:pStyle w:val="In-tableHeading"/>
            </w:pPr>
            <w:r w:rsidRPr="0089562E">
              <w:t>Year 2027</w:t>
            </w:r>
          </w:p>
        </w:tc>
        <w:tc>
          <w:tcPr>
            <w:tcW w:w="735" w:type="pct"/>
            <w:tcMar>
              <w:top w:w="0" w:type="dxa"/>
              <w:left w:w="108" w:type="dxa"/>
              <w:bottom w:w="0" w:type="dxa"/>
              <w:right w:w="108" w:type="dxa"/>
            </w:tcMar>
            <w:hideMark/>
          </w:tcPr>
          <w:p w14:paraId="5C761E3D" w14:textId="77777777" w:rsidR="00715F60" w:rsidRPr="0089562E" w:rsidRDefault="00715F60" w:rsidP="002F1124">
            <w:pPr>
              <w:pStyle w:val="In-tableHeading"/>
            </w:pPr>
            <w:r w:rsidRPr="0089562E">
              <w:t>Year 2028</w:t>
            </w:r>
          </w:p>
        </w:tc>
      </w:tr>
      <w:tr w:rsidR="00715F60" w:rsidRPr="00CE28E3" w14:paraId="73C1D6D1" w14:textId="77777777" w:rsidTr="005D57E1">
        <w:trPr>
          <w:tblHeader/>
        </w:trPr>
        <w:tc>
          <w:tcPr>
            <w:tcW w:w="1233" w:type="pct"/>
            <w:tcMar>
              <w:top w:w="0" w:type="dxa"/>
              <w:left w:w="108" w:type="dxa"/>
              <w:bottom w:w="0" w:type="dxa"/>
              <w:right w:w="108" w:type="dxa"/>
            </w:tcMar>
            <w:hideMark/>
          </w:tcPr>
          <w:p w14:paraId="657154DC" w14:textId="77777777" w:rsidR="00715F60" w:rsidRPr="00CE28E3" w:rsidRDefault="00715F60">
            <w:pPr>
              <w:pStyle w:val="TableText"/>
              <w:keepNext/>
            </w:pPr>
            <w:r w:rsidRPr="00CE28E3">
              <w:t xml:space="preserve">Number of people who receive </w:t>
            </w:r>
            <w:proofErr w:type="spellStart"/>
            <w:r>
              <w:t>TMVr</w:t>
            </w:r>
            <w:proofErr w:type="spellEnd"/>
            <w:r>
              <w:t xml:space="preserve"> procedures for DMR conducted with PASCAL</w:t>
            </w:r>
          </w:p>
        </w:tc>
        <w:tc>
          <w:tcPr>
            <w:tcW w:w="735" w:type="pct"/>
            <w:tcMar>
              <w:top w:w="0" w:type="dxa"/>
              <w:left w:w="108" w:type="dxa"/>
              <w:bottom w:w="0" w:type="dxa"/>
              <w:right w:w="108" w:type="dxa"/>
            </w:tcMar>
          </w:tcPr>
          <w:p w14:paraId="47D16678" w14:textId="53A3D713" w:rsidR="00715F60" w:rsidRPr="00CE28E3" w:rsidRDefault="00C50B3A" w:rsidP="002F1124">
            <w:pPr>
              <w:pStyle w:val="TableText"/>
              <w:keepNext/>
              <w:jc w:val="center"/>
            </w:pPr>
            <w:r>
              <w:t>90</w:t>
            </w:r>
          </w:p>
        </w:tc>
        <w:tc>
          <w:tcPr>
            <w:tcW w:w="785" w:type="pct"/>
            <w:tcMar>
              <w:top w:w="0" w:type="dxa"/>
              <w:left w:w="108" w:type="dxa"/>
              <w:bottom w:w="0" w:type="dxa"/>
              <w:right w:w="108" w:type="dxa"/>
            </w:tcMar>
          </w:tcPr>
          <w:p w14:paraId="4754EEAC" w14:textId="2F2BD06D" w:rsidR="00715F60" w:rsidRPr="00CE28E3" w:rsidRDefault="00C50B3A" w:rsidP="002F1124">
            <w:pPr>
              <w:pStyle w:val="TableText"/>
              <w:keepNext/>
              <w:jc w:val="center"/>
            </w:pPr>
            <w:r>
              <w:t>99</w:t>
            </w:r>
          </w:p>
        </w:tc>
        <w:tc>
          <w:tcPr>
            <w:tcW w:w="735" w:type="pct"/>
            <w:tcMar>
              <w:top w:w="0" w:type="dxa"/>
              <w:left w:w="108" w:type="dxa"/>
              <w:bottom w:w="0" w:type="dxa"/>
              <w:right w:w="108" w:type="dxa"/>
            </w:tcMar>
          </w:tcPr>
          <w:p w14:paraId="20551799" w14:textId="0A780A22" w:rsidR="00715F60" w:rsidRPr="00CE28E3" w:rsidRDefault="00C50B3A" w:rsidP="002F1124">
            <w:pPr>
              <w:pStyle w:val="TableText"/>
              <w:keepNext/>
              <w:jc w:val="center"/>
            </w:pPr>
            <w:r>
              <w:t>109</w:t>
            </w:r>
          </w:p>
        </w:tc>
        <w:tc>
          <w:tcPr>
            <w:tcW w:w="778" w:type="pct"/>
            <w:tcMar>
              <w:top w:w="0" w:type="dxa"/>
              <w:left w:w="108" w:type="dxa"/>
              <w:bottom w:w="0" w:type="dxa"/>
              <w:right w:w="108" w:type="dxa"/>
            </w:tcMar>
          </w:tcPr>
          <w:p w14:paraId="7B771D9F" w14:textId="1DB4A036" w:rsidR="00715F60" w:rsidRPr="00CE28E3" w:rsidRDefault="00897337" w:rsidP="002F1124">
            <w:pPr>
              <w:pStyle w:val="TableText"/>
              <w:keepNext/>
              <w:jc w:val="center"/>
            </w:pPr>
            <w:r>
              <w:t>120</w:t>
            </w:r>
          </w:p>
        </w:tc>
        <w:tc>
          <w:tcPr>
            <w:tcW w:w="735" w:type="pct"/>
            <w:tcMar>
              <w:top w:w="0" w:type="dxa"/>
              <w:left w:w="108" w:type="dxa"/>
              <w:bottom w:w="0" w:type="dxa"/>
              <w:right w:w="108" w:type="dxa"/>
            </w:tcMar>
          </w:tcPr>
          <w:p w14:paraId="23B8632F" w14:textId="35EAE20B" w:rsidR="00715F60" w:rsidRPr="00CE28E3" w:rsidRDefault="00897337" w:rsidP="002F1124">
            <w:pPr>
              <w:pStyle w:val="TableText"/>
              <w:keepNext/>
              <w:jc w:val="center"/>
            </w:pPr>
            <w:r>
              <w:t>132</w:t>
            </w:r>
          </w:p>
        </w:tc>
      </w:tr>
      <w:tr w:rsidR="00715F60" w:rsidRPr="00CE28E3" w14:paraId="41F7DC04" w14:textId="77777777" w:rsidTr="005D57E1">
        <w:trPr>
          <w:tblHeader/>
        </w:trPr>
        <w:tc>
          <w:tcPr>
            <w:tcW w:w="1233" w:type="pct"/>
            <w:tcMar>
              <w:top w:w="0" w:type="dxa"/>
              <w:left w:w="108" w:type="dxa"/>
              <w:bottom w:w="0" w:type="dxa"/>
              <w:right w:w="108" w:type="dxa"/>
            </w:tcMar>
          </w:tcPr>
          <w:p w14:paraId="6E5AFA79" w14:textId="77777777" w:rsidR="00715F60" w:rsidRPr="00CE28E3" w:rsidRDefault="00715F60">
            <w:pPr>
              <w:pStyle w:val="TableText"/>
              <w:keepNext/>
            </w:pPr>
            <w:r>
              <w:t xml:space="preserve">Number of people who receive </w:t>
            </w:r>
            <w:proofErr w:type="spellStart"/>
            <w:r>
              <w:t>TMVr</w:t>
            </w:r>
            <w:proofErr w:type="spellEnd"/>
            <w:r>
              <w:t xml:space="preserve"> procedures for DMR conducted with </w:t>
            </w:r>
            <w:proofErr w:type="spellStart"/>
            <w:r>
              <w:t>MitraClip</w:t>
            </w:r>
            <w:proofErr w:type="spellEnd"/>
          </w:p>
        </w:tc>
        <w:tc>
          <w:tcPr>
            <w:tcW w:w="735" w:type="pct"/>
            <w:tcMar>
              <w:top w:w="0" w:type="dxa"/>
              <w:left w:w="108" w:type="dxa"/>
              <w:bottom w:w="0" w:type="dxa"/>
              <w:right w:w="108" w:type="dxa"/>
            </w:tcMar>
          </w:tcPr>
          <w:p w14:paraId="3347D930" w14:textId="77777777" w:rsidR="00715F60" w:rsidRDefault="00715F60" w:rsidP="002F1124">
            <w:pPr>
              <w:pStyle w:val="TableText"/>
              <w:keepNext/>
              <w:jc w:val="center"/>
            </w:pPr>
            <w:r>
              <w:t>-75</w:t>
            </w:r>
          </w:p>
        </w:tc>
        <w:tc>
          <w:tcPr>
            <w:tcW w:w="785" w:type="pct"/>
            <w:tcMar>
              <w:top w:w="0" w:type="dxa"/>
              <w:left w:w="108" w:type="dxa"/>
              <w:bottom w:w="0" w:type="dxa"/>
              <w:right w:w="108" w:type="dxa"/>
            </w:tcMar>
          </w:tcPr>
          <w:p w14:paraId="6663C932" w14:textId="77777777" w:rsidR="00715F60" w:rsidRDefault="00715F60" w:rsidP="002F1124">
            <w:pPr>
              <w:pStyle w:val="TableText"/>
              <w:keepNext/>
              <w:jc w:val="center"/>
            </w:pPr>
            <w:r>
              <w:t>-83</w:t>
            </w:r>
          </w:p>
        </w:tc>
        <w:tc>
          <w:tcPr>
            <w:tcW w:w="735" w:type="pct"/>
            <w:tcMar>
              <w:top w:w="0" w:type="dxa"/>
              <w:left w:w="108" w:type="dxa"/>
              <w:bottom w:w="0" w:type="dxa"/>
              <w:right w:w="108" w:type="dxa"/>
            </w:tcMar>
          </w:tcPr>
          <w:p w14:paraId="1D2A7D4D" w14:textId="77777777" w:rsidR="00715F60" w:rsidRDefault="00715F60" w:rsidP="002F1124">
            <w:pPr>
              <w:pStyle w:val="TableText"/>
              <w:keepNext/>
              <w:jc w:val="center"/>
            </w:pPr>
            <w:r>
              <w:t>-91</w:t>
            </w:r>
          </w:p>
        </w:tc>
        <w:tc>
          <w:tcPr>
            <w:tcW w:w="778" w:type="pct"/>
            <w:tcMar>
              <w:top w:w="0" w:type="dxa"/>
              <w:left w:w="108" w:type="dxa"/>
              <w:bottom w:w="0" w:type="dxa"/>
              <w:right w:w="108" w:type="dxa"/>
            </w:tcMar>
          </w:tcPr>
          <w:p w14:paraId="0215A94D" w14:textId="77777777" w:rsidR="00715F60" w:rsidRDefault="00715F60" w:rsidP="002F1124">
            <w:pPr>
              <w:pStyle w:val="TableText"/>
              <w:keepNext/>
              <w:jc w:val="center"/>
            </w:pPr>
            <w:r>
              <w:t>-100</w:t>
            </w:r>
          </w:p>
        </w:tc>
        <w:tc>
          <w:tcPr>
            <w:tcW w:w="735" w:type="pct"/>
            <w:tcMar>
              <w:top w:w="0" w:type="dxa"/>
              <w:left w:w="108" w:type="dxa"/>
              <w:bottom w:w="0" w:type="dxa"/>
              <w:right w:w="108" w:type="dxa"/>
            </w:tcMar>
          </w:tcPr>
          <w:p w14:paraId="140C968A" w14:textId="076E21C7" w:rsidR="00715F60" w:rsidRDefault="00715F60" w:rsidP="002F1124">
            <w:pPr>
              <w:pStyle w:val="TableText"/>
              <w:keepNext/>
              <w:jc w:val="center"/>
            </w:pPr>
            <w:r>
              <w:t>-1</w:t>
            </w:r>
            <w:r w:rsidR="00897337">
              <w:t>1</w:t>
            </w:r>
            <w:r>
              <w:t>0</w:t>
            </w:r>
          </w:p>
        </w:tc>
      </w:tr>
      <w:tr w:rsidR="00715F60" w:rsidRPr="00CE28E3" w14:paraId="1238AC51" w14:textId="77777777" w:rsidTr="005D57E1">
        <w:trPr>
          <w:tblHeader/>
        </w:trPr>
        <w:tc>
          <w:tcPr>
            <w:tcW w:w="1233" w:type="pct"/>
            <w:tcMar>
              <w:top w:w="0" w:type="dxa"/>
              <w:left w:w="108" w:type="dxa"/>
              <w:bottom w:w="0" w:type="dxa"/>
              <w:right w:w="108" w:type="dxa"/>
            </w:tcMar>
          </w:tcPr>
          <w:p w14:paraId="5CC0528E" w14:textId="77777777" w:rsidR="00715F60" w:rsidRDefault="00715F60">
            <w:pPr>
              <w:pStyle w:val="TableText"/>
              <w:keepNext/>
            </w:pPr>
            <w:r>
              <w:t xml:space="preserve">Net change in MBS item 38461 utilisation </w:t>
            </w:r>
          </w:p>
        </w:tc>
        <w:tc>
          <w:tcPr>
            <w:tcW w:w="735" w:type="pct"/>
            <w:tcMar>
              <w:top w:w="0" w:type="dxa"/>
              <w:left w:w="108" w:type="dxa"/>
              <w:bottom w:w="0" w:type="dxa"/>
              <w:right w:w="108" w:type="dxa"/>
            </w:tcMar>
          </w:tcPr>
          <w:p w14:paraId="592BE7E7" w14:textId="5E5F686D" w:rsidR="00715F60" w:rsidRDefault="00897337" w:rsidP="002F1124">
            <w:pPr>
              <w:pStyle w:val="TableText"/>
              <w:keepNext/>
              <w:jc w:val="center"/>
            </w:pPr>
            <w:r>
              <w:t>15</w:t>
            </w:r>
          </w:p>
        </w:tc>
        <w:tc>
          <w:tcPr>
            <w:tcW w:w="785" w:type="pct"/>
            <w:tcMar>
              <w:top w:w="0" w:type="dxa"/>
              <w:left w:w="108" w:type="dxa"/>
              <w:bottom w:w="0" w:type="dxa"/>
              <w:right w:w="108" w:type="dxa"/>
            </w:tcMar>
          </w:tcPr>
          <w:p w14:paraId="046C6C5A" w14:textId="4BA3273B" w:rsidR="00715F60" w:rsidRDefault="00897337" w:rsidP="002F1124">
            <w:pPr>
              <w:pStyle w:val="TableText"/>
              <w:keepNext/>
              <w:jc w:val="center"/>
            </w:pPr>
            <w:r>
              <w:t>17</w:t>
            </w:r>
          </w:p>
        </w:tc>
        <w:tc>
          <w:tcPr>
            <w:tcW w:w="735" w:type="pct"/>
            <w:tcMar>
              <w:top w:w="0" w:type="dxa"/>
              <w:left w:w="108" w:type="dxa"/>
              <w:bottom w:w="0" w:type="dxa"/>
              <w:right w:w="108" w:type="dxa"/>
            </w:tcMar>
          </w:tcPr>
          <w:p w14:paraId="4E856D98" w14:textId="432FB9CA" w:rsidR="00715F60" w:rsidRDefault="00897337" w:rsidP="002F1124">
            <w:pPr>
              <w:pStyle w:val="TableText"/>
              <w:keepNext/>
              <w:jc w:val="center"/>
            </w:pPr>
            <w:r>
              <w:t>18</w:t>
            </w:r>
          </w:p>
        </w:tc>
        <w:tc>
          <w:tcPr>
            <w:tcW w:w="778" w:type="pct"/>
            <w:tcMar>
              <w:top w:w="0" w:type="dxa"/>
              <w:left w:w="108" w:type="dxa"/>
              <w:bottom w:w="0" w:type="dxa"/>
              <w:right w:w="108" w:type="dxa"/>
            </w:tcMar>
          </w:tcPr>
          <w:p w14:paraId="6FCA4332" w14:textId="2AFADFDD" w:rsidR="00715F60" w:rsidRDefault="00897337" w:rsidP="002F1124">
            <w:pPr>
              <w:pStyle w:val="TableText"/>
              <w:keepNext/>
              <w:jc w:val="center"/>
            </w:pPr>
            <w:r>
              <w:t>20</w:t>
            </w:r>
          </w:p>
        </w:tc>
        <w:tc>
          <w:tcPr>
            <w:tcW w:w="735" w:type="pct"/>
            <w:tcMar>
              <w:top w:w="0" w:type="dxa"/>
              <w:left w:w="108" w:type="dxa"/>
              <w:bottom w:w="0" w:type="dxa"/>
              <w:right w:w="108" w:type="dxa"/>
            </w:tcMar>
          </w:tcPr>
          <w:p w14:paraId="3D80D358" w14:textId="57CB6130" w:rsidR="00715F60" w:rsidRDefault="00897337" w:rsidP="002F1124">
            <w:pPr>
              <w:pStyle w:val="TableText"/>
              <w:keepNext/>
              <w:jc w:val="center"/>
            </w:pPr>
            <w:r>
              <w:t>22</w:t>
            </w:r>
          </w:p>
        </w:tc>
      </w:tr>
      <w:tr w:rsidR="00B012DA" w:rsidRPr="00CE28E3" w14:paraId="4DFA0800" w14:textId="77777777" w:rsidTr="005D57E1">
        <w:trPr>
          <w:tblHeader/>
        </w:trPr>
        <w:tc>
          <w:tcPr>
            <w:tcW w:w="1233" w:type="pct"/>
            <w:tcMar>
              <w:top w:w="0" w:type="dxa"/>
              <w:left w:w="108" w:type="dxa"/>
              <w:bottom w:w="0" w:type="dxa"/>
              <w:right w:w="108" w:type="dxa"/>
            </w:tcMar>
          </w:tcPr>
          <w:p w14:paraId="23374EA2" w14:textId="77777777" w:rsidR="00B012DA" w:rsidRDefault="00B012DA" w:rsidP="00B012DA">
            <w:pPr>
              <w:pStyle w:val="TableText"/>
              <w:keepNext/>
            </w:pPr>
            <w:r>
              <w:t>Cost of PASCAL in the DMR population at 75% benefit</w:t>
            </w:r>
          </w:p>
        </w:tc>
        <w:tc>
          <w:tcPr>
            <w:tcW w:w="735" w:type="pct"/>
            <w:tcMar>
              <w:top w:w="0" w:type="dxa"/>
              <w:left w:w="108" w:type="dxa"/>
              <w:bottom w:w="0" w:type="dxa"/>
              <w:right w:w="108" w:type="dxa"/>
            </w:tcMar>
          </w:tcPr>
          <w:p w14:paraId="1BD060F7" w14:textId="333FE286" w:rsidR="00B012DA" w:rsidRDefault="00B012DA" w:rsidP="002F1124">
            <w:pPr>
              <w:pStyle w:val="TableText"/>
              <w:keepNext/>
              <w:jc w:val="center"/>
            </w:pPr>
            <w:r w:rsidRPr="004E52AE">
              <w:t>$14</w:t>
            </w:r>
            <w:r w:rsidR="00E01C46">
              <w:t>3,</w:t>
            </w:r>
            <w:r w:rsidR="00362D23">
              <w:t>084</w:t>
            </w:r>
          </w:p>
        </w:tc>
        <w:tc>
          <w:tcPr>
            <w:tcW w:w="785" w:type="pct"/>
            <w:tcMar>
              <w:top w:w="0" w:type="dxa"/>
              <w:left w:w="108" w:type="dxa"/>
              <w:bottom w:w="0" w:type="dxa"/>
              <w:right w:w="108" w:type="dxa"/>
            </w:tcMar>
          </w:tcPr>
          <w:p w14:paraId="24249B7B" w14:textId="34E205D3" w:rsidR="00B012DA" w:rsidRDefault="00B012DA" w:rsidP="002F1124">
            <w:pPr>
              <w:pStyle w:val="TableText"/>
              <w:keepNext/>
              <w:jc w:val="center"/>
            </w:pPr>
            <w:r w:rsidRPr="004E52AE">
              <w:t>$15</w:t>
            </w:r>
            <w:r w:rsidR="00DA1D78">
              <w:t>7,452</w:t>
            </w:r>
          </w:p>
        </w:tc>
        <w:tc>
          <w:tcPr>
            <w:tcW w:w="735" w:type="pct"/>
            <w:tcMar>
              <w:top w:w="0" w:type="dxa"/>
              <w:left w:w="108" w:type="dxa"/>
              <w:bottom w:w="0" w:type="dxa"/>
              <w:right w:w="108" w:type="dxa"/>
            </w:tcMar>
          </w:tcPr>
          <w:p w14:paraId="2B6D768E" w14:textId="5E062CA4" w:rsidR="00B012DA" w:rsidRDefault="00B012DA" w:rsidP="002F1124">
            <w:pPr>
              <w:pStyle w:val="TableText"/>
              <w:keepNext/>
              <w:jc w:val="center"/>
            </w:pPr>
            <w:r w:rsidRPr="004E52AE">
              <w:t>$17</w:t>
            </w:r>
            <w:r w:rsidR="00DA1D78">
              <w:t>3,262</w:t>
            </w:r>
          </w:p>
        </w:tc>
        <w:tc>
          <w:tcPr>
            <w:tcW w:w="778" w:type="pct"/>
            <w:tcMar>
              <w:top w:w="0" w:type="dxa"/>
              <w:left w:w="108" w:type="dxa"/>
              <w:bottom w:w="0" w:type="dxa"/>
              <w:right w:w="108" w:type="dxa"/>
            </w:tcMar>
          </w:tcPr>
          <w:p w14:paraId="2169FA42" w14:textId="402306E6" w:rsidR="00B012DA" w:rsidRDefault="00B012DA" w:rsidP="002F1124">
            <w:pPr>
              <w:pStyle w:val="TableText"/>
              <w:keepNext/>
              <w:jc w:val="center"/>
            </w:pPr>
            <w:r w:rsidRPr="004E52AE">
              <w:t>$1</w:t>
            </w:r>
            <w:r w:rsidR="00DA1D78">
              <w:t>90,660</w:t>
            </w:r>
          </w:p>
        </w:tc>
        <w:tc>
          <w:tcPr>
            <w:tcW w:w="735" w:type="pct"/>
            <w:tcMar>
              <w:top w:w="0" w:type="dxa"/>
              <w:left w:w="108" w:type="dxa"/>
              <w:bottom w:w="0" w:type="dxa"/>
              <w:right w:w="108" w:type="dxa"/>
            </w:tcMar>
          </w:tcPr>
          <w:p w14:paraId="79B27331" w14:textId="1ACC7D00" w:rsidR="00B012DA" w:rsidRDefault="00B012DA" w:rsidP="002F1124">
            <w:pPr>
              <w:pStyle w:val="TableText"/>
              <w:keepNext/>
              <w:jc w:val="center"/>
            </w:pPr>
            <w:r w:rsidRPr="004E52AE">
              <w:t>$20</w:t>
            </w:r>
            <w:r w:rsidR="00DA1D78">
              <w:t>9,805</w:t>
            </w:r>
          </w:p>
        </w:tc>
      </w:tr>
      <w:tr w:rsidR="00B012DA" w:rsidRPr="00CE28E3" w14:paraId="14BC87F8" w14:textId="77777777" w:rsidTr="005D57E1">
        <w:trPr>
          <w:tblHeader/>
        </w:trPr>
        <w:tc>
          <w:tcPr>
            <w:tcW w:w="1233" w:type="pct"/>
            <w:tcMar>
              <w:top w:w="0" w:type="dxa"/>
              <w:left w:w="108" w:type="dxa"/>
              <w:bottom w:w="0" w:type="dxa"/>
              <w:right w:w="108" w:type="dxa"/>
            </w:tcMar>
          </w:tcPr>
          <w:p w14:paraId="0C11C2BE" w14:textId="77777777" w:rsidR="00B012DA" w:rsidRDefault="00B012DA" w:rsidP="00B012DA">
            <w:pPr>
              <w:pStyle w:val="TableText"/>
              <w:keepNext/>
            </w:pPr>
            <w:r>
              <w:t xml:space="preserve">Cost of </w:t>
            </w:r>
            <w:proofErr w:type="spellStart"/>
            <w:r>
              <w:t>MitraClip</w:t>
            </w:r>
            <w:proofErr w:type="spellEnd"/>
            <w:r>
              <w:t xml:space="preserve"> in the DMR population at 75% benefit</w:t>
            </w:r>
          </w:p>
        </w:tc>
        <w:tc>
          <w:tcPr>
            <w:tcW w:w="735" w:type="pct"/>
            <w:tcMar>
              <w:top w:w="0" w:type="dxa"/>
              <w:left w:w="108" w:type="dxa"/>
              <w:bottom w:w="0" w:type="dxa"/>
              <w:right w:w="108" w:type="dxa"/>
            </w:tcMar>
          </w:tcPr>
          <w:p w14:paraId="2068A53A" w14:textId="31E41B81" w:rsidR="00B012DA" w:rsidRDefault="00B012DA" w:rsidP="002F1124">
            <w:pPr>
              <w:pStyle w:val="TableText"/>
              <w:keepNext/>
              <w:jc w:val="center"/>
            </w:pPr>
            <w:r w:rsidRPr="004E52AE">
              <w:t>-$11</w:t>
            </w:r>
            <w:r w:rsidR="00ED7B47">
              <w:t>9,237</w:t>
            </w:r>
          </w:p>
        </w:tc>
        <w:tc>
          <w:tcPr>
            <w:tcW w:w="785" w:type="pct"/>
            <w:tcMar>
              <w:top w:w="0" w:type="dxa"/>
              <w:left w:w="108" w:type="dxa"/>
              <w:bottom w:w="0" w:type="dxa"/>
              <w:right w:w="108" w:type="dxa"/>
            </w:tcMar>
          </w:tcPr>
          <w:p w14:paraId="6997705E" w14:textId="72679A15" w:rsidR="00B012DA" w:rsidRDefault="00B012DA" w:rsidP="002F1124">
            <w:pPr>
              <w:pStyle w:val="TableText"/>
              <w:keepNext/>
              <w:jc w:val="center"/>
            </w:pPr>
            <w:r w:rsidRPr="004E52AE">
              <w:t>-$1</w:t>
            </w:r>
            <w:r w:rsidR="00ED7B47">
              <w:t>31,210</w:t>
            </w:r>
          </w:p>
        </w:tc>
        <w:tc>
          <w:tcPr>
            <w:tcW w:w="735" w:type="pct"/>
            <w:tcMar>
              <w:top w:w="0" w:type="dxa"/>
              <w:left w:w="108" w:type="dxa"/>
              <w:bottom w:w="0" w:type="dxa"/>
              <w:right w:w="108" w:type="dxa"/>
            </w:tcMar>
          </w:tcPr>
          <w:p w14:paraId="71BEBF3B" w14:textId="0B8F075A" w:rsidR="00B012DA" w:rsidRDefault="00B012DA" w:rsidP="002F1124">
            <w:pPr>
              <w:pStyle w:val="TableText"/>
              <w:keepNext/>
              <w:jc w:val="center"/>
            </w:pPr>
            <w:r w:rsidRPr="004E52AE">
              <w:t>-$14</w:t>
            </w:r>
            <w:r w:rsidR="00055E8A">
              <w:t>4,385</w:t>
            </w:r>
          </w:p>
        </w:tc>
        <w:tc>
          <w:tcPr>
            <w:tcW w:w="778" w:type="pct"/>
            <w:tcMar>
              <w:top w:w="0" w:type="dxa"/>
              <w:left w:w="108" w:type="dxa"/>
              <w:bottom w:w="0" w:type="dxa"/>
              <w:right w:w="108" w:type="dxa"/>
            </w:tcMar>
          </w:tcPr>
          <w:p w14:paraId="3DBB28A7" w14:textId="0919B495" w:rsidR="00B012DA" w:rsidRDefault="00B012DA" w:rsidP="002F1124">
            <w:pPr>
              <w:pStyle w:val="TableText"/>
              <w:keepNext/>
              <w:jc w:val="center"/>
            </w:pPr>
            <w:r w:rsidRPr="004E52AE">
              <w:t>-$15</w:t>
            </w:r>
            <w:r w:rsidR="00055E8A">
              <w:t>8,883</w:t>
            </w:r>
          </w:p>
        </w:tc>
        <w:tc>
          <w:tcPr>
            <w:tcW w:w="735" w:type="pct"/>
            <w:tcMar>
              <w:top w:w="0" w:type="dxa"/>
              <w:left w:w="108" w:type="dxa"/>
              <w:bottom w:w="0" w:type="dxa"/>
              <w:right w:w="108" w:type="dxa"/>
            </w:tcMar>
          </w:tcPr>
          <w:p w14:paraId="50137000" w14:textId="3A31640A" w:rsidR="00B012DA" w:rsidRDefault="00B012DA" w:rsidP="002F1124">
            <w:pPr>
              <w:pStyle w:val="TableText"/>
              <w:keepNext/>
              <w:jc w:val="center"/>
            </w:pPr>
            <w:r w:rsidRPr="004E52AE">
              <w:t>-$17</w:t>
            </w:r>
            <w:r w:rsidR="00BB66E1">
              <w:t>4,838</w:t>
            </w:r>
          </w:p>
        </w:tc>
      </w:tr>
      <w:tr w:rsidR="00715F60" w:rsidRPr="00CE28E3" w14:paraId="41E8F1F7" w14:textId="77777777" w:rsidTr="005D57E1">
        <w:trPr>
          <w:tblHeader/>
        </w:trPr>
        <w:tc>
          <w:tcPr>
            <w:tcW w:w="1233" w:type="pct"/>
            <w:tcMar>
              <w:top w:w="0" w:type="dxa"/>
              <w:left w:w="108" w:type="dxa"/>
              <w:bottom w:w="0" w:type="dxa"/>
              <w:right w:w="108" w:type="dxa"/>
            </w:tcMar>
            <w:hideMark/>
          </w:tcPr>
          <w:p w14:paraId="1FB8F203" w14:textId="5F036B4B" w:rsidR="00715F60" w:rsidRPr="00CE28E3" w:rsidRDefault="00715F60">
            <w:pPr>
              <w:pStyle w:val="TableText"/>
              <w:keepNext/>
              <w:rPr>
                <w:b/>
                <w:bCs/>
              </w:rPr>
            </w:pPr>
            <w:r w:rsidRPr="00CE28E3">
              <w:rPr>
                <w:b/>
                <w:bCs/>
              </w:rPr>
              <w:t>Net financial impact to the</w:t>
            </w:r>
            <w:r w:rsidR="00906783">
              <w:rPr>
                <w:b/>
                <w:bCs/>
              </w:rPr>
              <w:t xml:space="preserve"> MBS</w:t>
            </w:r>
          </w:p>
        </w:tc>
        <w:tc>
          <w:tcPr>
            <w:tcW w:w="735" w:type="pct"/>
            <w:tcMar>
              <w:top w:w="0" w:type="dxa"/>
              <w:left w:w="108" w:type="dxa"/>
              <w:bottom w:w="0" w:type="dxa"/>
              <w:right w:w="108" w:type="dxa"/>
            </w:tcMar>
          </w:tcPr>
          <w:p w14:paraId="15292A6B" w14:textId="13D7980C" w:rsidR="00715F60" w:rsidRPr="00CE28E3" w:rsidRDefault="00715F60" w:rsidP="002F1124">
            <w:pPr>
              <w:pStyle w:val="TableText"/>
              <w:keepNext/>
              <w:jc w:val="center"/>
              <w:rPr>
                <w:b/>
                <w:bCs/>
              </w:rPr>
            </w:pPr>
            <w:r>
              <w:rPr>
                <w:b/>
                <w:bCs/>
              </w:rPr>
              <w:t>$</w:t>
            </w:r>
            <w:r w:rsidR="00B012DA">
              <w:rPr>
                <w:b/>
                <w:bCs/>
              </w:rPr>
              <w:t>23,</w:t>
            </w:r>
            <w:r w:rsidR="00BB66E1">
              <w:rPr>
                <w:b/>
                <w:bCs/>
              </w:rPr>
              <w:t>847</w:t>
            </w:r>
          </w:p>
        </w:tc>
        <w:tc>
          <w:tcPr>
            <w:tcW w:w="785" w:type="pct"/>
            <w:tcMar>
              <w:top w:w="0" w:type="dxa"/>
              <w:left w:w="108" w:type="dxa"/>
              <w:bottom w:w="0" w:type="dxa"/>
              <w:right w:w="108" w:type="dxa"/>
            </w:tcMar>
          </w:tcPr>
          <w:p w14:paraId="674D0FBA" w14:textId="50F0B19E" w:rsidR="00715F60" w:rsidRPr="00CE28E3" w:rsidRDefault="00715F60" w:rsidP="002F1124">
            <w:pPr>
              <w:pStyle w:val="TableText"/>
              <w:keepNext/>
              <w:jc w:val="center"/>
              <w:rPr>
                <w:b/>
                <w:bCs/>
              </w:rPr>
            </w:pPr>
            <w:r>
              <w:rPr>
                <w:b/>
                <w:bCs/>
              </w:rPr>
              <w:t>$</w:t>
            </w:r>
            <w:r w:rsidR="00B5201C">
              <w:rPr>
                <w:b/>
                <w:bCs/>
              </w:rPr>
              <w:t>25,</w:t>
            </w:r>
            <w:r w:rsidR="00BB66E1">
              <w:rPr>
                <w:b/>
                <w:bCs/>
              </w:rPr>
              <w:t>242</w:t>
            </w:r>
          </w:p>
        </w:tc>
        <w:tc>
          <w:tcPr>
            <w:tcW w:w="735" w:type="pct"/>
            <w:tcMar>
              <w:top w:w="0" w:type="dxa"/>
              <w:left w:w="108" w:type="dxa"/>
              <w:bottom w:w="0" w:type="dxa"/>
              <w:right w:w="108" w:type="dxa"/>
            </w:tcMar>
          </w:tcPr>
          <w:p w14:paraId="12615001" w14:textId="3CDAC926" w:rsidR="00715F60" w:rsidRPr="00CE28E3" w:rsidRDefault="00715F60" w:rsidP="002F1124">
            <w:pPr>
              <w:pStyle w:val="TableText"/>
              <w:keepNext/>
              <w:jc w:val="center"/>
              <w:rPr>
                <w:b/>
                <w:bCs/>
              </w:rPr>
            </w:pPr>
            <w:r>
              <w:rPr>
                <w:b/>
                <w:bCs/>
              </w:rPr>
              <w:t>$</w:t>
            </w:r>
            <w:r w:rsidR="00B5201C">
              <w:rPr>
                <w:b/>
                <w:bCs/>
              </w:rPr>
              <w:t>28,</w:t>
            </w:r>
            <w:r w:rsidR="00BB66E1">
              <w:rPr>
                <w:b/>
                <w:bCs/>
              </w:rPr>
              <w:t>887</w:t>
            </w:r>
          </w:p>
        </w:tc>
        <w:tc>
          <w:tcPr>
            <w:tcW w:w="778" w:type="pct"/>
            <w:tcMar>
              <w:top w:w="0" w:type="dxa"/>
              <w:left w:w="108" w:type="dxa"/>
              <w:bottom w:w="0" w:type="dxa"/>
              <w:right w:w="108" w:type="dxa"/>
            </w:tcMar>
          </w:tcPr>
          <w:p w14:paraId="3A46EC63" w14:textId="30638CF9" w:rsidR="00715F60" w:rsidRPr="00CE28E3" w:rsidRDefault="00715F60" w:rsidP="002F1124">
            <w:pPr>
              <w:pStyle w:val="TableText"/>
              <w:keepNext/>
              <w:jc w:val="center"/>
              <w:rPr>
                <w:b/>
                <w:bCs/>
              </w:rPr>
            </w:pPr>
            <w:r>
              <w:rPr>
                <w:b/>
                <w:bCs/>
              </w:rPr>
              <w:t>$</w:t>
            </w:r>
            <w:r w:rsidR="00B5201C">
              <w:rPr>
                <w:b/>
                <w:bCs/>
              </w:rPr>
              <w:t>31,</w:t>
            </w:r>
            <w:r w:rsidR="00BB66E1">
              <w:rPr>
                <w:b/>
                <w:bCs/>
              </w:rPr>
              <w:t>777</w:t>
            </w:r>
          </w:p>
        </w:tc>
        <w:tc>
          <w:tcPr>
            <w:tcW w:w="735" w:type="pct"/>
            <w:tcMar>
              <w:top w:w="0" w:type="dxa"/>
              <w:left w:w="108" w:type="dxa"/>
              <w:bottom w:w="0" w:type="dxa"/>
              <w:right w:w="108" w:type="dxa"/>
            </w:tcMar>
          </w:tcPr>
          <w:p w14:paraId="4DE76A61" w14:textId="762401F2" w:rsidR="00715F60" w:rsidRPr="00CE28E3" w:rsidRDefault="00715F60" w:rsidP="002F1124">
            <w:pPr>
              <w:pStyle w:val="TableText"/>
              <w:keepNext/>
              <w:jc w:val="center"/>
              <w:rPr>
                <w:b/>
                <w:bCs/>
              </w:rPr>
            </w:pPr>
            <w:r>
              <w:rPr>
                <w:b/>
                <w:bCs/>
              </w:rPr>
              <w:t>$</w:t>
            </w:r>
            <w:r w:rsidR="00180985">
              <w:rPr>
                <w:b/>
                <w:bCs/>
              </w:rPr>
              <w:t>34,</w:t>
            </w:r>
            <w:r w:rsidR="00BB66E1">
              <w:rPr>
                <w:b/>
                <w:bCs/>
              </w:rPr>
              <w:t>968</w:t>
            </w:r>
          </w:p>
        </w:tc>
      </w:tr>
    </w:tbl>
    <w:p w14:paraId="18148054" w14:textId="5A73C50D" w:rsidR="0089562E" w:rsidRDefault="0089562E">
      <w:pPr>
        <w:pStyle w:val="TableFooter"/>
      </w:pPr>
      <w:r>
        <w:t>Source: Table 37, p73 of MSAC 1662.2 ADAR.</w:t>
      </w:r>
    </w:p>
    <w:p w14:paraId="20976BB2" w14:textId="1FF1BE0B" w:rsidR="00715F60" w:rsidRDefault="00715F60" w:rsidP="002F1124">
      <w:pPr>
        <w:pStyle w:val="TableFooter"/>
      </w:pPr>
      <w:r>
        <w:t xml:space="preserve">Abbreviations: DMR, degenerative mitral regurgitation; MBS, Medicare Benefits Schedule; </w:t>
      </w:r>
      <w:proofErr w:type="spellStart"/>
      <w:r>
        <w:t>TMVr</w:t>
      </w:r>
      <w:proofErr w:type="spellEnd"/>
      <w:r>
        <w:t>, transcatheter mitral valve repair</w:t>
      </w:r>
    </w:p>
    <w:p w14:paraId="79C5F812" w14:textId="6C851E0C" w:rsidR="0094475D" w:rsidRDefault="00B57227" w:rsidP="009F68F0">
      <w:bookmarkStart w:id="56" w:name="_Toc69491427"/>
      <w:r w:rsidRPr="00B57227">
        <w:lastRenderedPageBreak/>
        <w:t xml:space="preserve">The financial implications to </w:t>
      </w:r>
      <w:r w:rsidR="00BC0CA6">
        <w:t>total health budgets</w:t>
      </w:r>
      <w:r w:rsidRPr="00B57227">
        <w:t xml:space="preserve"> resulting from the proposed listing of PASCAL are summarised in </w:t>
      </w:r>
      <w:r w:rsidR="009D67C6">
        <w:fldChar w:fldCharType="begin"/>
      </w:r>
      <w:r w:rsidR="009D67C6">
        <w:instrText xml:space="preserve"> REF _Ref155691058 \h  \* MERGEFORMAT </w:instrText>
      </w:r>
      <w:r w:rsidR="009D67C6">
        <w:fldChar w:fldCharType="separate"/>
      </w:r>
      <w:r w:rsidR="009D67C6">
        <w:t>Table 13</w:t>
      </w:r>
      <w:r w:rsidR="009D67C6">
        <w:fldChar w:fldCharType="end"/>
      </w:r>
      <w:r w:rsidRPr="00B57227">
        <w:t xml:space="preserve">. </w:t>
      </w:r>
      <w:r w:rsidR="00F605F2" w:rsidRPr="00997E88">
        <w:t xml:space="preserve">The proposed price for PASCAL aligns with the current listed price for </w:t>
      </w:r>
      <w:proofErr w:type="spellStart"/>
      <w:r w:rsidR="00F605F2" w:rsidRPr="00997E88">
        <w:t>MitraClip</w:t>
      </w:r>
      <w:proofErr w:type="spellEnd"/>
      <w:r w:rsidR="00F605F2" w:rsidRPr="00997E88">
        <w:t xml:space="preserve"> of $26,386.00.</w:t>
      </w:r>
      <w:r w:rsidR="00B91357">
        <w:t xml:space="preserve"> </w:t>
      </w:r>
      <w:r w:rsidR="00B91357" w:rsidRPr="00997E88">
        <w:t>Procedure costs are expected to be the same.</w:t>
      </w:r>
      <w:r w:rsidR="00B91357">
        <w:t xml:space="preserve"> </w:t>
      </w:r>
      <w:r w:rsidRPr="00B57227">
        <w:t xml:space="preserve">Under the assumption </w:t>
      </w:r>
      <w:r w:rsidR="00BC0CA6">
        <w:t xml:space="preserve">of no market growth, </w:t>
      </w:r>
      <w:r w:rsidRPr="00B57227">
        <w:t xml:space="preserve">any procedure using the PASCAL device would be offset by a reduction in </w:t>
      </w:r>
      <w:proofErr w:type="spellStart"/>
      <w:r w:rsidRPr="00B57227">
        <w:t>MitraClip</w:t>
      </w:r>
      <w:proofErr w:type="spellEnd"/>
      <w:r w:rsidRPr="00B57227">
        <w:t xml:space="preserve"> procedures</w:t>
      </w:r>
      <w:r w:rsidR="0084591F">
        <w:t xml:space="preserve">. </w:t>
      </w:r>
      <w:r w:rsidR="008019F3" w:rsidRPr="009D67C6">
        <w:t xml:space="preserve">It is noted that the ADAR financial analysis did not include the downstream hospitalisation costs associated with MAEs. </w:t>
      </w:r>
      <w:r w:rsidR="00026D35">
        <w:t>Including these based on</w:t>
      </w:r>
      <w:r w:rsidR="008019F3" w:rsidRPr="009D67C6">
        <w:t xml:space="preserve"> </w:t>
      </w:r>
      <w:r w:rsidR="00437566" w:rsidRPr="009D67C6">
        <w:t>30-day</w:t>
      </w:r>
      <w:r w:rsidR="008019F3" w:rsidRPr="009D67C6">
        <w:t xml:space="preserve"> </w:t>
      </w:r>
      <w:r w:rsidR="00232316">
        <w:t>MAEs</w:t>
      </w:r>
      <w:r w:rsidR="008019F3" w:rsidRPr="009D67C6">
        <w:t xml:space="preserve"> </w:t>
      </w:r>
      <w:r w:rsidR="00914C4C">
        <w:t xml:space="preserve">but </w:t>
      </w:r>
      <w:r w:rsidR="008019F3" w:rsidRPr="009D67C6">
        <w:t>excluding HFHs</w:t>
      </w:r>
      <w:r w:rsidR="00692969">
        <w:t xml:space="preserve"> as per the ADAR economic evaluation base case</w:t>
      </w:r>
      <w:r w:rsidR="00914C4C">
        <w:t xml:space="preserve"> </w:t>
      </w:r>
      <w:r w:rsidR="008019F3" w:rsidRPr="009D67C6">
        <w:t>would provide annual saving of $33,077 by 2028</w:t>
      </w:r>
      <w:r w:rsidR="0008671B">
        <w:t>.</w:t>
      </w:r>
      <w:r w:rsidR="008019F3" w:rsidRPr="009D67C6">
        <w:t xml:space="preserve"> </w:t>
      </w:r>
      <w:r w:rsidR="0008671B">
        <w:t>H</w:t>
      </w:r>
      <w:r w:rsidR="008019F3" w:rsidRPr="009D67C6">
        <w:t>owever</w:t>
      </w:r>
      <w:r w:rsidR="00240738">
        <w:t>,</w:t>
      </w:r>
      <w:r w:rsidR="008019F3" w:rsidRPr="009D67C6">
        <w:t xml:space="preserve"> </w:t>
      </w:r>
      <w:r w:rsidR="00692969">
        <w:t xml:space="preserve">using </w:t>
      </w:r>
      <w:r w:rsidR="00437566" w:rsidRPr="009D67C6">
        <w:t>1-year</w:t>
      </w:r>
      <w:r w:rsidR="008019F3" w:rsidRPr="009D67C6">
        <w:t xml:space="preserve"> MAEs including HFHs</w:t>
      </w:r>
      <w:r w:rsidR="00692969">
        <w:t xml:space="preserve"> </w:t>
      </w:r>
      <w:r w:rsidR="008019F3" w:rsidRPr="009D67C6">
        <w:t>would result in a cost increase of $4,575</w:t>
      </w:r>
      <w:r w:rsidR="00695131">
        <w:t>.</w:t>
      </w:r>
    </w:p>
    <w:p w14:paraId="6F013924" w14:textId="38F47178" w:rsidR="00146EC4" w:rsidRDefault="00600E19" w:rsidP="00146EC4">
      <w:r>
        <w:t>Including market growth of 10%</w:t>
      </w:r>
      <w:r w:rsidR="004721FB">
        <w:t xml:space="preserve"> with no downstream hospitalisations would result in</w:t>
      </w:r>
      <w:r w:rsidR="00146EC4">
        <w:t xml:space="preserve"> net costs to the health system </w:t>
      </w:r>
      <w:r w:rsidR="004721FB">
        <w:t>of $</w:t>
      </w:r>
      <w:r w:rsidR="00B93382" w:rsidRPr="00B93382">
        <w:rPr>
          <w:b/>
        </w:rPr>
        <w:t>redacted</w:t>
      </w:r>
      <w:r w:rsidR="00146EC4">
        <w:t xml:space="preserve"> by 2028</w:t>
      </w:r>
      <w:r w:rsidR="00146EC4" w:rsidRPr="000D4F00">
        <w:t>.</w:t>
      </w:r>
      <w:r w:rsidR="00146EC4">
        <w:t xml:space="preserve"> </w:t>
      </w:r>
      <w:r w:rsidR="00496CA8">
        <w:t xml:space="preserve">Including downstream costs for </w:t>
      </w:r>
      <w:r w:rsidR="00437566">
        <w:t>1-year</w:t>
      </w:r>
      <w:r w:rsidR="00496CA8">
        <w:t xml:space="preserve"> MAEs and HFHs would increase this to </w:t>
      </w:r>
      <w:r w:rsidR="00496CA8" w:rsidRPr="00B93382">
        <w:t>$</w:t>
      </w:r>
      <w:r w:rsidR="00B93382" w:rsidRPr="00B93382">
        <w:rPr>
          <w:b/>
        </w:rPr>
        <w:t>redacted</w:t>
      </w:r>
      <w:r w:rsidR="007D75F4">
        <w:t xml:space="preserve"> by 2028.</w:t>
      </w:r>
      <w:r w:rsidR="00146EC4">
        <w:t xml:space="preserve"> The costs are linearly related to the estimate of market growth.</w:t>
      </w:r>
    </w:p>
    <w:p w14:paraId="7B76F5C8" w14:textId="783C6067" w:rsidR="009D67C6" w:rsidRDefault="009D67C6" w:rsidP="002F1124">
      <w:pPr>
        <w:pStyle w:val="Caption"/>
      </w:pPr>
      <w:bookmarkStart w:id="57" w:name="_Ref155691058"/>
      <w:r>
        <w:t xml:space="preserve">Table </w:t>
      </w:r>
      <w:r>
        <w:fldChar w:fldCharType="begin"/>
      </w:r>
      <w:r>
        <w:instrText>SEQ Table \* ARABIC</w:instrText>
      </w:r>
      <w:r>
        <w:fldChar w:fldCharType="separate"/>
      </w:r>
      <w:r>
        <w:rPr>
          <w:noProof/>
        </w:rPr>
        <w:t>13</w:t>
      </w:r>
      <w:r>
        <w:fldChar w:fldCharType="end"/>
      </w:r>
      <w:bookmarkEnd w:id="57"/>
      <w:r>
        <w:t xml:space="preserve"> </w:t>
      </w:r>
      <w:r w:rsidRPr="00BB04E6">
        <w:t>Sensitivity analysis: Net financial impact of listing PASCAL in item 38461 for the DMR population on total health budgets</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5"/>
        <w:gridCol w:w="1311"/>
        <w:gridCol w:w="1402"/>
        <w:gridCol w:w="1311"/>
        <w:gridCol w:w="1402"/>
        <w:gridCol w:w="1311"/>
      </w:tblGrid>
      <w:tr w:rsidR="00BA7F43" w:rsidRPr="00CE28E3" w14:paraId="3F6F64C0" w14:textId="77777777" w:rsidTr="002F1124">
        <w:trPr>
          <w:tblHeader/>
        </w:trPr>
        <w:tc>
          <w:tcPr>
            <w:tcW w:w="2325" w:type="dxa"/>
            <w:tcMar>
              <w:top w:w="0" w:type="dxa"/>
              <w:left w:w="108" w:type="dxa"/>
              <w:bottom w:w="0" w:type="dxa"/>
              <w:right w:w="108" w:type="dxa"/>
            </w:tcMar>
          </w:tcPr>
          <w:p w14:paraId="49E331D8" w14:textId="16415FE8" w:rsidR="00BA7F43" w:rsidRPr="00CE28E3" w:rsidRDefault="007E33C8" w:rsidP="008F2490">
            <w:pPr>
              <w:pStyle w:val="In-tableHeading"/>
              <w:rPr>
                <w:bCs/>
              </w:rPr>
            </w:pPr>
            <w:r>
              <w:t>Scenario</w:t>
            </w:r>
          </w:p>
        </w:tc>
        <w:tc>
          <w:tcPr>
            <w:tcW w:w="1311" w:type="dxa"/>
            <w:tcMar>
              <w:top w:w="0" w:type="dxa"/>
              <w:left w:w="108" w:type="dxa"/>
              <w:bottom w:w="0" w:type="dxa"/>
              <w:right w:w="108" w:type="dxa"/>
            </w:tcMar>
            <w:hideMark/>
          </w:tcPr>
          <w:p w14:paraId="2BFBF8B9" w14:textId="77777777" w:rsidR="00BA7F43" w:rsidRPr="00290922" w:rsidRDefault="00BA7F43" w:rsidP="008F2490">
            <w:pPr>
              <w:pStyle w:val="In-tableHeading"/>
            </w:pPr>
            <w:r w:rsidRPr="00290922">
              <w:t xml:space="preserve">Year </w:t>
            </w:r>
            <w:r w:rsidRPr="002F1124">
              <w:t>2024</w:t>
            </w:r>
          </w:p>
        </w:tc>
        <w:tc>
          <w:tcPr>
            <w:tcW w:w="1402" w:type="dxa"/>
            <w:tcMar>
              <w:top w:w="0" w:type="dxa"/>
              <w:left w:w="108" w:type="dxa"/>
              <w:bottom w:w="0" w:type="dxa"/>
              <w:right w:w="108" w:type="dxa"/>
            </w:tcMar>
            <w:hideMark/>
          </w:tcPr>
          <w:p w14:paraId="7C818F18" w14:textId="77777777" w:rsidR="00BA7F43" w:rsidRPr="00290922" w:rsidRDefault="00BA7F43" w:rsidP="008F2490">
            <w:pPr>
              <w:pStyle w:val="In-tableHeading"/>
            </w:pPr>
            <w:r w:rsidRPr="00290922">
              <w:t xml:space="preserve">Year </w:t>
            </w:r>
            <w:r w:rsidRPr="002F1124">
              <w:t>2025</w:t>
            </w:r>
          </w:p>
        </w:tc>
        <w:tc>
          <w:tcPr>
            <w:tcW w:w="1311" w:type="dxa"/>
            <w:tcMar>
              <w:top w:w="0" w:type="dxa"/>
              <w:left w:w="108" w:type="dxa"/>
              <w:bottom w:w="0" w:type="dxa"/>
              <w:right w:w="108" w:type="dxa"/>
            </w:tcMar>
            <w:hideMark/>
          </w:tcPr>
          <w:p w14:paraId="115B8D46" w14:textId="77777777" w:rsidR="00BA7F43" w:rsidRPr="00290922" w:rsidRDefault="00BA7F43" w:rsidP="008F2490">
            <w:pPr>
              <w:pStyle w:val="In-tableHeading"/>
            </w:pPr>
            <w:r w:rsidRPr="00290922">
              <w:t xml:space="preserve">Year </w:t>
            </w:r>
            <w:r w:rsidRPr="002F1124">
              <w:t>2026</w:t>
            </w:r>
          </w:p>
        </w:tc>
        <w:tc>
          <w:tcPr>
            <w:tcW w:w="1402" w:type="dxa"/>
            <w:tcMar>
              <w:top w:w="0" w:type="dxa"/>
              <w:left w:w="108" w:type="dxa"/>
              <w:bottom w:w="0" w:type="dxa"/>
              <w:right w:w="108" w:type="dxa"/>
            </w:tcMar>
            <w:hideMark/>
          </w:tcPr>
          <w:p w14:paraId="00476C28" w14:textId="77777777" w:rsidR="00BA7F43" w:rsidRPr="00290922" w:rsidRDefault="00BA7F43" w:rsidP="008F2490">
            <w:pPr>
              <w:pStyle w:val="In-tableHeading"/>
            </w:pPr>
            <w:r w:rsidRPr="00290922">
              <w:t xml:space="preserve">Year </w:t>
            </w:r>
            <w:r w:rsidRPr="002F1124">
              <w:t>2027</w:t>
            </w:r>
          </w:p>
        </w:tc>
        <w:tc>
          <w:tcPr>
            <w:tcW w:w="1311" w:type="dxa"/>
            <w:tcMar>
              <w:top w:w="0" w:type="dxa"/>
              <w:left w:w="108" w:type="dxa"/>
              <w:bottom w:w="0" w:type="dxa"/>
              <w:right w:w="108" w:type="dxa"/>
            </w:tcMar>
            <w:hideMark/>
          </w:tcPr>
          <w:p w14:paraId="4F0CF713" w14:textId="77777777" w:rsidR="00BA7F43" w:rsidRPr="00290922" w:rsidRDefault="00BA7F43" w:rsidP="008F2490">
            <w:pPr>
              <w:pStyle w:val="In-tableHeading"/>
            </w:pPr>
            <w:r w:rsidRPr="00290922">
              <w:t xml:space="preserve">Year </w:t>
            </w:r>
            <w:r w:rsidRPr="002F1124">
              <w:t>2028</w:t>
            </w:r>
          </w:p>
        </w:tc>
      </w:tr>
      <w:tr w:rsidR="00BA7F43" w:rsidRPr="00CE28E3" w14:paraId="5E28DEE0" w14:textId="77777777" w:rsidTr="002F1124">
        <w:tc>
          <w:tcPr>
            <w:tcW w:w="2325" w:type="dxa"/>
            <w:tcMar>
              <w:top w:w="0" w:type="dxa"/>
              <w:left w:w="108" w:type="dxa"/>
              <w:bottom w:w="0" w:type="dxa"/>
              <w:right w:w="108" w:type="dxa"/>
            </w:tcMar>
            <w:hideMark/>
          </w:tcPr>
          <w:p w14:paraId="2F79019A" w14:textId="3E630F2D" w:rsidR="00BA7F43" w:rsidRPr="00CE28E3" w:rsidRDefault="007E33C8" w:rsidP="008F2490">
            <w:pPr>
              <w:pStyle w:val="TableText"/>
              <w:keepNext/>
            </w:pPr>
            <w:r>
              <w:t xml:space="preserve">No market growth, </w:t>
            </w:r>
            <w:r w:rsidR="004801EA">
              <w:t>no downstream hospitalisation costs</w:t>
            </w:r>
          </w:p>
        </w:tc>
        <w:tc>
          <w:tcPr>
            <w:tcW w:w="1311" w:type="dxa"/>
            <w:tcMar>
              <w:top w:w="0" w:type="dxa"/>
              <w:left w:w="108" w:type="dxa"/>
              <w:bottom w:w="0" w:type="dxa"/>
              <w:right w:w="108" w:type="dxa"/>
            </w:tcMar>
          </w:tcPr>
          <w:p w14:paraId="503F4158" w14:textId="075C7EC5" w:rsidR="00BA7F43" w:rsidRPr="00CE28E3" w:rsidRDefault="004801EA" w:rsidP="00F9265B">
            <w:pPr>
              <w:pStyle w:val="TableText"/>
              <w:keepNext/>
              <w:jc w:val="center"/>
            </w:pPr>
            <w:r>
              <w:t>$</w:t>
            </w:r>
            <w:r w:rsidR="00BA7F43">
              <w:t>0</w:t>
            </w:r>
          </w:p>
        </w:tc>
        <w:tc>
          <w:tcPr>
            <w:tcW w:w="1402" w:type="dxa"/>
            <w:tcMar>
              <w:top w:w="0" w:type="dxa"/>
              <w:left w:w="108" w:type="dxa"/>
              <w:bottom w:w="0" w:type="dxa"/>
              <w:right w:w="108" w:type="dxa"/>
            </w:tcMar>
          </w:tcPr>
          <w:p w14:paraId="25BAA2FD" w14:textId="67054EBF" w:rsidR="00BA7F43" w:rsidRPr="00CE28E3" w:rsidRDefault="004801EA" w:rsidP="00F9265B">
            <w:pPr>
              <w:pStyle w:val="TableText"/>
              <w:keepNext/>
              <w:jc w:val="center"/>
            </w:pPr>
            <w:r>
              <w:t>$0</w:t>
            </w:r>
          </w:p>
        </w:tc>
        <w:tc>
          <w:tcPr>
            <w:tcW w:w="1311" w:type="dxa"/>
            <w:tcMar>
              <w:top w:w="0" w:type="dxa"/>
              <w:left w:w="108" w:type="dxa"/>
              <w:bottom w:w="0" w:type="dxa"/>
              <w:right w:w="108" w:type="dxa"/>
            </w:tcMar>
          </w:tcPr>
          <w:p w14:paraId="040B8B78" w14:textId="65939031" w:rsidR="00BA7F43" w:rsidRPr="00CE28E3" w:rsidRDefault="004801EA" w:rsidP="00F9265B">
            <w:pPr>
              <w:pStyle w:val="TableText"/>
              <w:keepNext/>
              <w:jc w:val="center"/>
            </w:pPr>
            <w:r>
              <w:t>$0</w:t>
            </w:r>
          </w:p>
        </w:tc>
        <w:tc>
          <w:tcPr>
            <w:tcW w:w="1402" w:type="dxa"/>
            <w:tcMar>
              <w:top w:w="0" w:type="dxa"/>
              <w:left w:w="108" w:type="dxa"/>
              <w:bottom w:w="0" w:type="dxa"/>
              <w:right w:w="108" w:type="dxa"/>
            </w:tcMar>
          </w:tcPr>
          <w:p w14:paraId="49F23FFA" w14:textId="2528C83B" w:rsidR="00BA7F43" w:rsidRPr="00CE28E3" w:rsidRDefault="004801EA" w:rsidP="00F9265B">
            <w:pPr>
              <w:pStyle w:val="TableText"/>
              <w:keepNext/>
              <w:jc w:val="center"/>
            </w:pPr>
            <w:r>
              <w:t>$0</w:t>
            </w:r>
          </w:p>
        </w:tc>
        <w:tc>
          <w:tcPr>
            <w:tcW w:w="1311" w:type="dxa"/>
            <w:tcMar>
              <w:top w:w="0" w:type="dxa"/>
              <w:left w:w="108" w:type="dxa"/>
              <w:bottom w:w="0" w:type="dxa"/>
              <w:right w:w="108" w:type="dxa"/>
            </w:tcMar>
          </w:tcPr>
          <w:p w14:paraId="6D8D3B4D" w14:textId="66EB7436" w:rsidR="00BA7F43" w:rsidRPr="00CE28E3" w:rsidRDefault="004801EA" w:rsidP="00F9265B">
            <w:pPr>
              <w:pStyle w:val="TableText"/>
              <w:keepNext/>
              <w:jc w:val="center"/>
            </w:pPr>
            <w:r>
              <w:t>$0</w:t>
            </w:r>
          </w:p>
        </w:tc>
      </w:tr>
      <w:tr w:rsidR="005E2EF4" w:rsidRPr="00CE28E3" w14:paraId="19336917" w14:textId="77777777" w:rsidTr="002F1124">
        <w:tc>
          <w:tcPr>
            <w:tcW w:w="2325" w:type="dxa"/>
            <w:tcMar>
              <w:top w:w="0" w:type="dxa"/>
              <w:left w:w="108" w:type="dxa"/>
              <w:bottom w:w="0" w:type="dxa"/>
              <w:right w:w="108" w:type="dxa"/>
            </w:tcMar>
          </w:tcPr>
          <w:p w14:paraId="60FB1269" w14:textId="0132D269" w:rsidR="005E2EF4" w:rsidRPr="00CE28E3" w:rsidRDefault="005E2EF4" w:rsidP="005E2EF4">
            <w:pPr>
              <w:pStyle w:val="TableText"/>
              <w:keepNext/>
            </w:pPr>
            <w:r>
              <w:t xml:space="preserve">No market growth, downstream hospitalisations based on </w:t>
            </w:r>
            <w:proofErr w:type="gramStart"/>
            <w:r>
              <w:t>30 day</w:t>
            </w:r>
            <w:proofErr w:type="gramEnd"/>
            <w:r>
              <w:t xml:space="preserve"> MAE</w:t>
            </w:r>
            <w:r w:rsidR="00B334A3">
              <w:t>s</w:t>
            </w:r>
            <w:r>
              <w:t xml:space="preserve"> excluding HFHs</w:t>
            </w:r>
          </w:p>
        </w:tc>
        <w:tc>
          <w:tcPr>
            <w:tcW w:w="1311" w:type="dxa"/>
            <w:tcMar>
              <w:top w:w="0" w:type="dxa"/>
              <w:left w:w="108" w:type="dxa"/>
              <w:bottom w:w="0" w:type="dxa"/>
              <w:right w:w="108" w:type="dxa"/>
            </w:tcMar>
          </w:tcPr>
          <w:p w14:paraId="1AFE3A96" w14:textId="5DB1AC78" w:rsidR="005E2EF4" w:rsidRDefault="005E2EF4" w:rsidP="00F9265B">
            <w:pPr>
              <w:pStyle w:val="TableText"/>
              <w:keepNext/>
              <w:jc w:val="center"/>
            </w:pPr>
            <w:r w:rsidRPr="00352F0D">
              <w:t>-$22,558</w:t>
            </w:r>
          </w:p>
        </w:tc>
        <w:tc>
          <w:tcPr>
            <w:tcW w:w="1402" w:type="dxa"/>
            <w:tcMar>
              <w:top w:w="0" w:type="dxa"/>
              <w:left w:w="108" w:type="dxa"/>
              <w:bottom w:w="0" w:type="dxa"/>
              <w:right w:w="108" w:type="dxa"/>
            </w:tcMar>
          </w:tcPr>
          <w:p w14:paraId="261A4A4F" w14:textId="1B3F6BEB" w:rsidR="005E2EF4" w:rsidRDefault="005E2EF4" w:rsidP="00F9265B">
            <w:pPr>
              <w:pStyle w:val="TableText"/>
              <w:keepNext/>
              <w:jc w:val="center"/>
            </w:pPr>
            <w:r w:rsidRPr="00352F0D">
              <w:t>-$24,823</w:t>
            </w:r>
          </w:p>
        </w:tc>
        <w:tc>
          <w:tcPr>
            <w:tcW w:w="1311" w:type="dxa"/>
            <w:tcMar>
              <w:top w:w="0" w:type="dxa"/>
              <w:left w:w="108" w:type="dxa"/>
              <w:bottom w:w="0" w:type="dxa"/>
              <w:right w:w="108" w:type="dxa"/>
            </w:tcMar>
          </w:tcPr>
          <w:p w14:paraId="59A18CEB" w14:textId="26DB9BD2" w:rsidR="005E2EF4" w:rsidRDefault="005E2EF4" w:rsidP="00F9265B">
            <w:pPr>
              <w:pStyle w:val="TableText"/>
              <w:keepNext/>
              <w:jc w:val="center"/>
            </w:pPr>
            <w:r w:rsidRPr="00352F0D">
              <w:t>-$27,316</w:t>
            </w:r>
          </w:p>
        </w:tc>
        <w:tc>
          <w:tcPr>
            <w:tcW w:w="1402" w:type="dxa"/>
            <w:tcMar>
              <w:top w:w="0" w:type="dxa"/>
              <w:left w:w="108" w:type="dxa"/>
              <w:bottom w:w="0" w:type="dxa"/>
              <w:right w:w="108" w:type="dxa"/>
            </w:tcMar>
          </w:tcPr>
          <w:p w14:paraId="25A7F382" w14:textId="55505663" w:rsidR="005E2EF4" w:rsidRDefault="005E2EF4" w:rsidP="00F9265B">
            <w:pPr>
              <w:pStyle w:val="TableText"/>
              <w:keepNext/>
              <w:jc w:val="center"/>
            </w:pPr>
            <w:r w:rsidRPr="00352F0D">
              <w:t>-$30,059</w:t>
            </w:r>
          </w:p>
        </w:tc>
        <w:tc>
          <w:tcPr>
            <w:tcW w:w="1311" w:type="dxa"/>
            <w:tcMar>
              <w:top w:w="0" w:type="dxa"/>
              <w:left w:w="108" w:type="dxa"/>
              <w:bottom w:w="0" w:type="dxa"/>
              <w:right w:w="108" w:type="dxa"/>
            </w:tcMar>
          </w:tcPr>
          <w:p w14:paraId="3735776D" w14:textId="02687447" w:rsidR="005E2EF4" w:rsidRDefault="005E2EF4" w:rsidP="00F9265B">
            <w:pPr>
              <w:pStyle w:val="TableText"/>
              <w:keepNext/>
              <w:jc w:val="center"/>
            </w:pPr>
            <w:r w:rsidRPr="00352F0D">
              <w:t>-$33,077</w:t>
            </w:r>
          </w:p>
        </w:tc>
      </w:tr>
      <w:tr w:rsidR="005E2EF4" w:rsidRPr="00CE28E3" w14:paraId="3084B020" w14:textId="77777777" w:rsidTr="002F1124">
        <w:tc>
          <w:tcPr>
            <w:tcW w:w="2325" w:type="dxa"/>
            <w:tcMar>
              <w:top w:w="0" w:type="dxa"/>
              <w:left w:w="108" w:type="dxa"/>
              <w:bottom w:w="0" w:type="dxa"/>
              <w:right w:w="108" w:type="dxa"/>
            </w:tcMar>
          </w:tcPr>
          <w:p w14:paraId="64535EAF" w14:textId="128A5E91" w:rsidR="005E2EF4" w:rsidRDefault="005E2EF4" w:rsidP="005E2EF4">
            <w:pPr>
              <w:pStyle w:val="TableText"/>
              <w:keepNext/>
            </w:pPr>
            <w:r>
              <w:t xml:space="preserve">No market growth, downstream hospitalisations based on </w:t>
            </w:r>
            <w:proofErr w:type="gramStart"/>
            <w:r>
              <w:t>1 year</w:t>
            </w:r>
            <w:proofErr w:type="gramEnd"/>
            <w:r>
              <w:t xml:space="preserve"> MAE</w:t>
            </w:r>
            <w:r w:rsidR="00B334A3">
              <w:t>s</w:t>
            </w:r>
            <w:r>
              <w:t xml:space="preserve"> including HFHs</w:t>
            </w:r>
          </w:p>
        </w:tc>
        <w:tc>
          <w:tcPr>
            <w:tcW w:w="1311" w:type="dxa"/>
            <w:tcMar>
              <w:top w:w="0" w:type="dxa"/>
              <w:left w:w="108" w:type="dxa"/>
              <w:bottom w:w="0" w:type="dxa"/>
              <w:right w:w="108" w:type="dxa"/>
            </w:tcMar>
          </w:tcPr>
          <w:p w14:paraId="6D645CC7" w14:textId="77061908" w:rsidR="005E2EF4" w:rsidRDefault="005E2EF4" w:rsidP="00F9265B">
            <w:pPr>
              <w:pStyle w:val="TableText"/>
              <w:keepNext/>
              <w:jc w:val="center"/>
            </w:pPr>
            <w:r w:rsidRPr="00352F0D">
              <w:t>$3,120</w:t>
            </w:r>
          </w:p>
        </w:tc>
        <w:tc>
          <w:tcPr>
            <w:tcW w:w="1402" w:type="dxa"/>
            <w:tcMar>
              <w:top w:w="0" w:type="dxa"/>
              <w:left w:w="108" w:type="dxa"/>
              <w:bottom w:w="0" w:type="dxa"/>
              <w:right w:w="108" w:type="dxa"/>
            </w:tcMar>
          </w:tcPr>
          <w:p w14:paraId="3E482C23" w14:textId="241BC22A" w:rsidR="005E2EF4" w:rsidRDefault="005E2EF4" w:rsidP="00F9265B">
            <w:pPr>
              <w:pStyle w:val="TableText"/>
              <w:keepNext/>
              <w:jc w:val="center"/>
            </w:pPr>
            <w:r w:rsidRPr="00352F0D">
              <w:t>$3,433</w:t>
            </w:r>
          </w:p>
        </w:tc>
        <w:tc>
          <w:tcPr>
            <w:tcW w:w="1311" w:type="dxa"/>
            <w:tcMar>
              <w:top w:w="0" w:type="dxa"/>
              <w:left w:w="108" w:type="dxa"/>
              <w:bottom w:w="0" w:type="dxa"/>
              <w:right w:w="108" w:type="dxa"/>
            </w:tcMar>
          </w:tcPr>
          <w:p w14:paraId="71D21FA4" w14:textId="5C800B29" w:rsidR="005E2EF4" w:rsidRDefault="005E2EF4" w:rsidP="00F9265B">
            <w:pPr>
              <w:pStyle w:val="TableText"/>
              <w:keepNext/>
              <w:jc w:val="center"/>
            </w:pPr>
            <w:r w:rsidRPr="00352F0D">
              <w:t>$3,778</w:t>
            </w:r>
          </w:p>
        </w:tc>
        <w:tc>
          <w:tcPr>
            <w:tcW w:w="1402" w:type="dxa"/>
            <w:tcMar>
              <w:top w:w="0" w:type="dxa"/>
              <w:left w:w="108" w:type="dxa"/>
              <w:bottom w:w="0" w:type="dxa"/>
              <w:right w:w="108" w:type="dxa"/>
            </w:tcMar>
          </w:tcPr>
          <w:p w14:paraId="2514CA1F" w14:textId="22E62A64" w:rsidR="005E2EF4" w:rsidRDefault="005E2EF4" w:rsidP="00F9265B">
            <w:pPr>
              <w:pStyle w:val="TableText"/>
              <w:keepNext/>
              <w:jc w:val="center"/>
            </w:pPr>
            <w:r w:rsidRPr="00352F0D">
              <w:t>$4,157</w:t>
            </w:r>
          </w:p>
        </w:tc>
        <w:tc>
          <w:tcPr>
            <w:tcW w:w="1311" w:type="dxa"/>
            <w:tcMar>
              <w:top w:w="0" w:type="dxa"/>
              <w:left w:w="108" w:type="dxa"/>
              <w:bottom w:w="0" w:type="dxa"/>
              <w:right w:w="108" w:type="dxa"/>
            </w:tcMar>
          </w:tcPr>
          <w:p w14:paraId="299ABE56" w14:textId="3B5A4D16" w:rsidR="005E2EF4" w:rsidRDefault="005E2EF4" w:rsidP="00F9265B">
            <w:pPr>
              <w:pStyle w:val="TableText"/>
              <w:keepNext/>
              <w:jc w:val="center"/>
            </w:pPr>
            <w:r w:rsidRPr="00352F0D">
              <w:t>$4,575</w:t>
            </w:r>
          </w:p>
        </w:tc>
      </w:tr>
      <w:tr w:rsidR="005E2EF4" w:rsidRPr="00CE28E3" w14:paraId="095BD388" w14:textId="77777777" w:rsidTr="002F1124">
        <w:tc>
          <w:tcPr>
            <w:tcW w:w="2325" w:type="dxa"/>
            <w:tcMar>
              <w:top w:w="0" w:type="dxa"/>
              <w:left w:w="108" w:type="dxa"/>
              <w:bottom w:w="0" w:type="dxa"/>
              <w:right w:w="108" w:type="dxa"/>
            </w:tcMar>
          </w:tcPr>
          <w:p w14:paraId="6D658F05" w14:textId="48DF694E" w:rsidR="005E2EF4" w:rsidRDefault="005E2EF4" w:rsidP="005E2EF4">
            <w:pPr>
              <w:pStyle w:val="TableText"/>
              <w:keepNext/>
            </w:pPr>
            <w:r>
              <w:t>10% market growth, no downstream hospitalisation costs</w:t>
            </w:r>
          </w:p>
        </w:tc>
        <w:tc>
          <w:tcPr>
            <w:tcW w:w="1311" w:type="dxa"/>
            <w:tcMar>
              <w:top w:w="0" w:type="dxa"/>
              <w:left w:w="108" w:type="dxa"/>
              <w:bottom w:w="0" w:type="dxa"/>
              <w:right w:w="108" w:type="dxa"/>
            </w:tcMar>
          </w:tcPr>
          <w:p w14:paraId="6C2C9306" w14:textId="0593A1A8" w:rsidR="005E2EF4" w:rsidRDefault="005E2EF4" w:rsidP="00F9265B">
            <w:pPr>
              <w:pStyle w:val="TableText"/>
              <w:keepNext/>
              <w:jc w:val="center"/>
            </w:pPr>
            <w:r w:rsidRPr="00352F0D">
              <w:t>$</w:t>
            </w:r>
            <w:r w:rsidR="00B93382" w:rsidRPr="00B93382">
              <w:rPr>
                <w:b/>
              </w:rPr>
              <w:t>redacted</w:t>
            </w:r>
          </w:p>
        </w:tc>
        <w:tc>
          <w:tcPr>
            <w:tcW w:w="1402" w:type="dxa"/>
            <w:tcMar>
              <w:top w:w="0" w:type="dxa"/>
              <w:left w:w="108" w:type="dxa"/>
              <w:bottom w:w="0" w:type="dxa"/>
              <w:right w:w="108" w:type="dxa"/>
            </w:tcMar>
          </w:tcPr>
          <w:p w14:paraId="05112FB7" w14:textId="16BAC0F3" w:rsidR="005E2EF4" w:rsidRDefault="005E2EF4" w:rsidP="00F9265B">
            <w:pPr>
              <w:pStyle w:val="TableText"/>
              <w:keepNext/>
              <w:jc w:val="center"/>
            </w:pPr>
            <w:r w:rsidRPr="00352F0D">
              <w:t>$</w:t>
            </w:r>
            <w:r w:rsidR="00B93382" w:rsidRPr="00B93382">
              <w:rPr>
                <w:b/>
              </w:rPr>
              <w:t>redacted</w:t>
            </w:r>
          </w:p>
        </w:tc>
        <w:tc>
          <w:tcPr>
            <w:tcW w:w="1311" w:type="dxa"/>
            <w:tcMar>
              <w:top w:w="0" w:type="dxa"/>
              <w:left w:w="108" w:type="dxa"/>
              <w:bottom w:w="0" w:type="dxa"/>
              <w:right w:w="108" w:type="dxa"/>
            </w:tcMar>
          </w:tcPr>
          <w:p w14:paraId="7F602D8F" w14:textId="420E5FFD" w:rsidR="005E2EF4" w:rsidRDefault="005E2EF4" w:rsidP="00F9265B">
            <w:pPr>
              <w:pStyle w:val="TableText"/>
              <w:keepNext/>
              <w:jc w:val="center"/>
            </w:pPr>
            <w:r w:rsidRPr="00352F0D">
              <w:t>$</w:t>
            </w:r>
            <w:r w:rsidR="00B93382" w:rsidRPr="00B93382">
              <w:rPr>
                <w:b/>
              </w:rPr>
              <w:t>redacted</w:t>
            </w:r>
          </w:p>
        </w:tc>
        <w:tc>
          <w:tcPr>
            <w:tcW w:w="1402" w:type="dxa"/>
            <w:tcMar>
              <w:top w:w="0" w:type="dxa"/>
              <w:left w:w="108" w:type="dxa"/>
              <w:bottom w:w="0" w:type="dxa"/>
              <w:right w:w="108" w:type="dxa"/>
            </w:tcMar>
          </w:tcPr>
          <w:p w14:paraId="27C0BBFD" w14:textId="5E995533" w:rsidR="005E2EF4" w:rsidRDefault="005E2EF4" w:rsidP="00F9265B">
            <w:pPr>
              <w:pStyle w:val="TableText"/>
              <w:keepNext/>
              <w:jc w:val="center"/>
            </w:pPr>
            <w:r w:rsidRPr="00352F0D">
              <w:t>$</w:t>
            </w:r>
            <w:r w:rsidR="00B93382" w:rsidRPr="00B93382">
              <w:rPr>
                <w:b/>
              </w:rPr>
              <w:t>redacted</w:t>
            </w:r>
          </w:p>
        </w:tc>
        <w:tc>
          <w:tcPr>
            <w:tcW w:w="1311" w:type="dxa"/>
            <w:tcMar>
              <w:top w:w="0" w:type="dxa"/>
              <w:left w:w="108" w:type="dxa"/>
              <w:bottom w:w="0" w:type="dxa"/>
              <w:right w:w="108" w:type="dxa"/>
            </w:tcMar>
          </w:tcPr>
          <w:p w14:paraId="27F8A843" w14:textId="61EF649C" w:rsidR="005E2EF4" w:rsidRDefault="005E2EF4" w:rsidP="00F9265B">
            <w:pPr>
              <w:pStyle w:val="TableText"/>
              <w:keepNext/>
              <w:jc w:val="center"/>
            </w:pPr>
            <w:r w:rsidRPr="00352F0D">
              <w:t>$</w:t>
            </w:r>
            <w:r w:rsidR="00B93382" w:rsidRPr="00B93382">
              <w:rPr>
                <w:b/>
              </w:rPr>
              <w:t>redacted</w:t>
            </w:r>
          </w:p>
        </w:tc>
      </w:tr>
      <w:tr w:rsidR="005E2EF4" w:rsidRPr="00CE28E3" w14:paraId="7D83D3AD" w14:textId="77777777" w:rsidTr="002F1124">
        <w:tc>
          <w:tcPr>
            <w:tcW w:w="2325" w:type="dxa"/>
            <w:tcMar>
              <w:top w:w="0" w:type="dxa"/>
              <w:left w:w="108" w:type="dxa"/>
              <w:bottom w:w="0" w:type="dxa"/>
              <w:right w:w="108" w:type="dxa"/>
            </w:tcMar>
          </w:tcPr>
          <w:p w14:paraId="22CEBCEF" w14:textId="57532CE8" w:rsidR="005E2EF4" w:rsidRDefault="005E2EF4" w:rsidP="005E2EF4">
            <w:pPr>
              <w:pStyle w:val="TableText"/>
              <w:keepNext/>
            </w:pPr>
            <w:r>
              <w:t xml:space="preserve">10% market growth, downstream hospitalisations based on </w:t>
            </w:r>
            <w:proofErr w:type="gramStart"/>
            <w:r>
              <w:t>30 day</w:t>
            </w:r>
            <w:proofErr w:type="gramEnd"/>
            <w:r>
              <w:t xml:space="preserve"> MAE</w:t>
            </w:r>
            <w:r w:rsidR="00B334A3">
              <w:t>s</w:t>
            </w:r>
            <w:r>
              <w:t xml:space="preserve"> excluding HFHs</w:t>
            </w:r>
          </w:p>
        </w:tc>
        <w:tc>
          <w:tcPr>
            <w:tcW w:w="1311" w:type="dxa"/>
            <w:tcMar>
              <w:top w:w="0" w:type="dxa"/>
              <w:left w:w="108" w:type="dxa"/>
              <w:bottom w:w="0" w:type="dxa"/>
              <w:right w:w="108" w:type="dxa"/>
            </w:tcMar>
          </w:tcPr>
          <w:p w14:paraId="7032DCF6" w14:textId="1A77922C" w:rsidR="005E2EF4" w:rsidRDefault="005E2EF4" w:rsidP="00F9265B">
            <w:pPr>
              <w:pStyle w:val="TableText"/>
              <w:keepNext/>
              <w:jc w:val="center"/>
            </w:pPr>
            <w:r w:rsidRPr="00352F0D">
              <w:t>$</w:t>
            </w:r>
            <w:r w:rsidR="00B93382" w:rsidRPr="00B93382">
              <w:rPr>
                <w:b/>
              </w:rPr>
              <w:t>redacted</w:t>
            </w:r>
          </w:p>
        </w:tc>
        <w:tc>
          <w:tcPr>
            <w:tcW w:w="1402" w:type="dxa"/>
            <w:tcMar>
              <w:top w:w="0" w:type="dxa"/>
              <w:left w:w="108" w:type="dxa"/>
              <w:bottom w:w="0" w:type="dxa"/>
              <w:right w:w="108" w:type="dxa"/>
            </w:tcMar>
          </w:tcPr>
          <w:p w14:paraId="6A53B5C9" w14:textId="4C3BD289" w:rsidR="005E2EF4" w:rsidRDefault="005E2EF4" w:rsidP="00F9265B">
            <w:pPr>
              <w:pStyle w:val="TableText"/>
              <w:keepNext/>
              <w:jc w:val="center"/>
            </w:pPr>
            <w:r w:rsidRPr="00352F0D">
              <w:t>$</w:t>
            </w:r>
            <w:r w:rsidR="00B93382" w:rsidRPr="00B93382">
              <w:rPr>
                <w:b/>
              </w:rPr>
              <w:t>redacted</w:t>
            </w:r>
          </w:p>
        </w:tc>
        <w:tc>
          <w:tcPr>
            <w:tcW w:w="1311" w:type="dxa"/>
            <w:tcMar>
              <w:top w:w="0" w:type="dxa"/>
              <w:left w:w="108" w:type="dxa"/>
              <w:bottom w:w="0" w:type="dxa"/>
              <w:right w:w="108" w:type="dxa"/>
            </w:tcMar>
          </w:tcPr>
          <w:p w14:paraId="2871D9EE" w14:textId="20BA2E2B" w:rsidR="005E2EF4" w:rsidRDefault="005E2EF4" w:rsidP="00F9265B">
            <w:pPr>
              <w:pStyle w:val="TableText"/>
              <w:keepNext/>
              <w:jc w:val="center"/>
            </w:pPr>
            <w:r w:rsidRPr="00352F0D">
              <w:t>$</w:t>
            </w:r>
            <w:r w:rsidR="00B93382" w:rsidRPr="00B93382">
              <w:rPr>
                <w:b/>
              </w:rPr>
              <w:t>redacted</w:t>
            </w:r>
          </w:p>
        </w:tc>
        <w:tc>
          <w:tcPr>
            <w:tcW w:w="1402" w:type="dxa"/>
            <w:tcMar>
              <w:top w:w="0" w:type="dxa"/>
              <w:left w:w="108" w:type="dxa"/>
              <w:bottom w:w="0" w:type="dxa"/>
              <w:right w:w="108" w:type="dxa"/>
            </w:tcMar>
          </w:tcPr>
          <w:p w14:paraId="32C2473E" w14:textId="4513ACCD" w:rsidR="005E2EF4" w:rsidRDefault="005E2EF4" w:rsidP="00F9265B">
            <w:pPr>
              <w:pStyle w:val="TableText"/>
              <w:keepNext/>
              <w:jc w:val="center"/>
            </w:pPr>
            <w:r w:rsidRPr="00352F0D">
              <w:t>$</w:t>
            </w:r>
            <w:r w:rsidR="00B93382" w:rsidRPr="00B93382">
              <w:rPr>
                <w:b/>
              </w:rPr>
              <w:t>redacted</w:t>
            </w:r>
          </w:p>
        </w:tc>
        <w:tc>
          <w:tcPr>
            <w:tcW w:w="1311" w:type="dxa"/>
            <w:tcMar>
              <w:top w:w="0" w:type="dxa"/>
              <w:left w:w="108" w:type="dxa"/>
              <w:bottom w:w="0" w:type="dxa"/>
              <w:right w:w="108" w:type="dxa"/>
            </w:tcMar>
          </w:tcPr>
          <w:p w14:paraId="6233EFCF" w14:textId="06187AFB" w:rsidR="005E2EF4" w:rsidRDefault="005E2EF4" w:rsidP="00F9265B">
            <w:pPr>
              <w:pStyle w:val="TableText"/>
              <w:keepNext/>
              <w:jc w:val="center"/>
            </w:pPr>
            <w:r w:rsidRPr="00352F0D">
              <w:t>$</w:t>
            </w:r>
            <w:r w:rsidR="00B93382" w:rsidRPr="00B93382">
              <w:rPr>
                <w:b/>
              </w:rPr>
              <w:t>redacted</w:t>
            </w:r>
          </w:p>
        </w:tc>
      </w:tr>
      <w:tr w:rsidR="005E2EF4" w:rsidRPr="00CE28E3" w14:paraId="57936B9B" w14:textId="77777777" w:rsidTr="002F1124">
        <w:tc>
          <w:tcPr>
            <w:tcW w:w="2325" w:type="dxa"/>
            <w:tcMar>
              <w:top w:w="0" w:type="dxa"/>
              <w:left w:w="108" w:type="dxa"/>
              <w:bottom w:w="0" w:type="dxa"/>
              <w:right w:w="108" w:type="dxa"/>
            </w:tcMar>
            <w:hideMark/>
          </w:tcPr>
          <w:p w14:paraId="455CA13D" w14:textId="23016A94" w:rsidR="005E2EF4" w:rsidRPr="00CE28E3" w:rsidRDefault="005E2EF4" w:rsidP="005E2EF4">
            <w:pPr>
              <w:pStyle w:val="TableText"/>
              <w:keepNext/>
              <w:rPr>
                <w:b/>
                <w:bCs/>
              </w:rPr>
            </w:pPr>
            <w:r>
              <w:t xml:space="preserve">10% market growth, downstream hospitalisations based on </w:t>
            </w:r>
            <w:proofErr w:type="gramStart"/>
            <w:r>
              <w:t>1 year</w:t>
            </w:r>
            <w:proofErr w:type="gramEnd"/>
            <w:r>
              <w:t xml:space="preserve"> MAE</w:t>
            </w:r>
            <w:r w:rsidR="00B334A3">
              <w:t>s</w:t>
            </w:r>
            <w:r>
              <w:t xml:space="preserve"> including HFHs</w:t>
            </w:r>
          </w:p>
        </w:tc>
        <w:tc>
          <w:tcPr>
            <w:tcW w:w="1311" w:type="dxa"/>
            <w:tcMar>
              <w:top w:w="0" w:type="dxa"/>
              <w:left w:w="108" w:type="dxa"/>
              <w:bottom w:w="0" w:type="dxa"/>
              <w:right w:w="108" w:type="dxa"/>
            </w:tcMar>
          </w:tcPr>
          <w:p w14:paraId="0DA271B6" w14:textId="58432049" w:rsidR="005E2EF4" w:rsidRPr="00CE28E3" w:rsidRDefault="005E2EF4" w:rsidP="00F9265B">
            <w:pPr>
              <w:pStyle w:val="TableText"/>
              <w:keepNext/>
              <w:jc w:val="center"/>
              <w:rPr>
                <w:b/>
                <w:bCs/>
              </w:rPr>
            </w:pPr>
            <w:r w:rsidRPr="00352F0D">
              <w:t>$</w:t>
            </w:r>
            <w:r w:rsidR="00B93382" w:rsidRPr="00B93382">
              <w:rPr>
                <w:b/>
              </w:rPr>
              <w:t>redacted</w:t>
            </w:r>
          </w:p>
        </w:tc>
        <w:tc>
          <w:tcPr>
            <w:tcW w:w="1402" w:type="dxa"/>
            <w:tcMar>
              <w:top w:w="0" w:type="dxa"/>
              <w:left w:w="108" w:type="dxa"/>
              <w:bottom w:w="0" w:type="dxa"/>
              <w:right w:w="108" w:type="dxa"/>
            </w:tcMar>
          </w:tcPr>
          <w:p w14:paraId="2BF110B6" w14:textId="387C0129" w:rsidR="005E2EF4" w:rsidRPr="00CE28E3" w:rsidRDefault="005E2EF4" w:rsidP="00F9265B">
            <w:pPr>
              <w:pStyle w:val="TableText"/>
              <w:keepNext/>
              <w:jc w:val="center"/>
              <w:rPr>
                <w:b/>
                <w:bCs/>
              </w:rPr>
            </w:pPr>
            <w:r w:rsidRPr="00352F0D">
              <w:t>$</w:t>
            </w:r>
            <w:r w:rsidR="00B93382" w:rsidRPr="00B93382">
              <w:rPr>
                <w:b/>
              </w:rPr>
              <w:t>redacted</w:t>
            </w:r>
          </w:p>
        </w:tc>
        <w:tc>
          <w:tcPr>
            <w:tcW w:w="1311" w:type="dxa"/>
            <w:tcMar>
              <w:top w:w="0" w:type="dxa"/>
              <w:left w:w="108" w:type="dxa"/>
              <w:bottom w:w="0" w:type="dxa"/>
              <w:right w:w="108" w:type="dxa"/>
            </w:tcMar>
          </w:tcPr>
          <w:p w14:paraId="5A1AD56E" w14:textId="66A0DB31" w:rsidR="005E2EF4" w:rsidRPr="00CE28E3" w:rsidRDefault="005E2EF4" w:rsidP="00F9265B">
            <w:pPr>
              <w:pStyle w:val="TableText"/>
              <w:keepNext/>
              <w:jc w:val="center"/>
              <w:rPr>
                <w:b/>
                <w:bCs/>
              </w:rPr>
            </w:pPr>
            <w:r w:rsidRPr="00352F0D">
              <w:t>$</w:t>
            </w:r>
            <w:r w:rsidR="00B93382" w:rsidRPr="00B93382">
              <w:rPr>
                <w:b/>
              </w:rPr>
              <w:t>redacted</w:t>
            </w:r>
          </w:p>
        </w:tc>
        <w:tc>
          <w:tcPr>
            <w:tcW w:w="1402" w:type="dxa"/>
            <w:tcMar>
              <w:top w:w="0" w:type="dxa"/>
              <w:left w:w="108" w:type="dxa"/>
              <w:bottom w:w="0" w:type="dxa"/>
              <w:right w:w="108" w:type="dxa"/>
            </w:tcMar>
          </w:tcPr>
          <w:p w14:paraId="527AC975" w14:textId="305C6FF8" w:rsidR="005E2EF4" w:rsidRPr="00CE28E3" w:rsidRDefault="005E2EF4" w:rsidP="00F9265B">
            <w:pPr>
              <w:pStyle w:val="TableText"/>
              <w:keepNext/>
              <w:jc w:val="center"/>
              <w:rPr>
                <w:b/>
                <w:bCs/>
              </w:rPr>
            </w:pPr>
            <w:r w:rsidRPr="00352F0D">
              <w:t>$</w:t>
            </w:r>
            <w:r w:rsidR="00B93382" w:rsidRPr="00B93382">
              <w:rPr>
                <w:b/>
              </w:rPr>
              <w:t>redacted</w:t>
            </w:r>
          </w:p>
        </w:tc>
        <w:tc>
          <w:tcPr>
            <w:tcW w:w="1311" w:type="dxa"/>
            <w:tcMar>
              <w:top w:w="0" w:type="dxa"/>
              <w:left w:w="108" w:type="dxa"/>
              <w:bottom w:w="0" w:type="dxa"/>
              <w:right w:w="108" w:type="dxa"/>
            </w:tcMar>
          </w:tcPr>
          <w:p w14:paraId="4B8F67F1" w14:textId="6EC73257" w:rsidR="005E2EF4" w:rsidRPr="00CE28E3" w:rsidRDefault="005E2EF4" w:rsidP="00F9265B">
            <w:pPr>
              <w:pStyle w:val="TableText"/>
              <w:keepNext/>
              <w:jc w:val="center"/>
              <w:rPr>
                <w:b/>
                <w:bCs/>
              </w:rPr>
            </w:pPr>
            <w:r w:rsidRPr="00352F0D">
              <w:t>$</w:t>
            </w:r>
            <w:r w:rsidR="00B93382" w:rsidRPr="00B93382">
              <w:rPr>
                <w:b/>
              </w:rPr>
              <w:t>redacted</w:t>
            </w:r>
          </w:p>
        </w:tc>
      </w:tr>
    </w:tbl>
    <w:p w14:paraId="15484C47" w14:textId="3F4B37CB" w:rsidR="00E34492" w:rsidRPr="00E34492" w:rsidRDefault="00E34492" w:rsidP="002F1124">
      <w:pPr>
        <w:pStyle w:val="TableFooter"/>
      </w:pPr>
      <w:r w:rsidRPr="00E34492">
        <w:t xml:space="preserve">Source: </w:t>
      </w:r>
      <w:r w:rsidR="00B12409">
        <w:t xml:space="preserve">Commentary Table </w:t>
      </w:r>
      <w:r w:rsidR="007C0FF5">
        <w:t xml:space="preserve">3, p74 of MSAC 1662.2 </w:t>
      </w:r>
      <w:proofErr w:type="spellStart"/>
      <w:r w:rsidR="007C0FF5">
        <w:t>ADAR+in-line</w:t>
      </w:r>
      <w:proofErr w:type="spellEnd"/>
      <w:r w:rsidR="007C0FF5">
        <w:t xml:space="preserve"> commentary.</w:t>
      </w:r>
    </w:p>
    <w:p w14:paraId="535F13A0" w14:textId="43A841A2" w:rsidR="00AA7B60" w:rsidRPr="00E34492" w:rsidRDefault="00BA7F43" w:rsidP="002F1124">
      <w:pPr>
        <w:pStyle w:val="TableFooter"/>
        <w:rPr>
          <w:i/>
          <w:iCs/>
          <w:color w:val="0070C0"/>
        </w:rPr>
      </w:pPr>
      <w:r>
        <w:t xml:space="preserve">Abbreviations: DMR, degenerative mitral regurgitation; MBS, Medicare Benefits Schedule; </w:t>
      </w:r>
      <w:proofErr w:type="spellStart"/>
      <w:r>
        <w:t>TMVr</w:t>
      </w:r>
      <w:proofErr w:type="spellEnd"/>
      <w:r>
        <w:t>, transcatheter mitral valve repair</w:t>
      </w:r>
      <w:r w:rsidR="00847B8F">
        <w:t>; HFH heart failure hospitalisations</w:t>
      </w:r>
      <w:r w:rsidR="00B334A3">
        <w:t>; MAE major adverse events</w:t>
      </w:r>
      <w:r w:rsidR="00AA7B60">
        <w:t>.</w:t>
      </w:r>
    </w:p>
    <w:p w14:paraId="7838A9FF" w14:textId="4D545E18" w:rsidR="00772829" w:rsidRPr="00CE28E3" w:rsidRDefault="00C36633" w:rsidP="002A18BE">
      <w:pPr>
        <w:pStyle w:val="Heading2"/>
        <w:numPr>
          <w:ilvl w:val="0"/>
          <w:numId w:val="0"/>
        </w:numPr>
      </w:pPr>
      <w:r>
        <w:t>1</w:t>
      </w:r>
      <w:r w:rsidR="005E3CDE">
        <w:t>5</w:t>
      </w:r>
      <w:r>
        <w:t>.</w:t>
      </w:r>
      <w:r>
        <w:tab/>
      </w:r>
      <w:r w:rsidR="00772829" w:rsidRPr="00CE28E3">
        <w:t xml:space="preserve">Other relevant </w:t>
      </w:r>
      <w:bookmarkEnd w:id="56"/>
      <w:r w:rsidR="00FA5766">
        <w:t>information</w:t>
      </w:r>
    </w:p>
    <w:p w14:paraId="30DE9625" w14:textId="2EE4A397" w:rsidR="00772829" w:rsidRDefault="000F0AEC" w:rsidP="000F0AEC">
      <w:r>
        <w:t>Nil.</w:t>
      </w:r>
    </w:p>
    <w:p w14:paraId="03B9D6FA" w14:textId="77777777" w:rsidR="005E3CDE" w:rsidRDefault="005E3CDE" w:rsidP="005E3CDE">
      <w:pPr>
        <w:pStyle w:val="Heading2"/>
        <w:numPr>
          <w:ilvl w:val="0"/>
          <w:numId w:val="0"/>
        </w:numPr>
      </w:pPr>
      <w:r>
        <w:t>16.</w:t>
      </w:r>
      <w:r>
        <w:tab/>
        <w:t>Key issues from ESC to MSAC</w:t>
      </w:r>
    </w:p>
    <w:tbl>
      <w:tblPr>
        <w:tblStyle w:val="TableGrid"/>
        <w:tblW w:w="0" w:type="auto"/>
        <w:tblLook w:val="04A0" w:firstRow="1" w:lastRow="0" w:firstColumn="1" w:lastColumn="0" w:noHBand="0" w:noVBand="1"/>
      </w:tblPr>
      <w:tblGrid>
        <w:gridCol w:w="9016"/>
      </w:tblGrid>
      <w:tr w:rsidR="005E3CDE" w:rsidRPr="000C21C8" w14:paraId="2116BE03" w14:textId="77777777">
        <w:tc>
          <w:tcPr>
            <w:tcW w:w="9016" w:type="dxa"/>
          </w:tcPr>
          <w:p w14:paraId="35542246" w14:textId="77777777" w:rsidR="005E3CDE" w:rsidRDefault="005E3CDE">
            <w:pPr>
              <w:pStyle w:val="BoxName0"/>
              <w:pBdr>
                <w:top w:val="none" w:sz="0" w:space="0" w:color="auto"/>
                <w:left w:val="none" w:sz="0" w:space="0" w:color="auto"/>
                <w:bottom w:val="none" w:sz="0" w:space="0" w:color="auto"/>
                <w:right w:val="none" w:sz="0" w:space="0" w:color="auto"/>
              </w:pBdr>
            </w:pPr>
            <w:r>
              <w:t>Main issues for MSAC consideration</w:t>
            </w:r>
          </w:p>
          <w:p w14:paraId="77B397F1" w14:textId="77777777" w:rsidR="005E3CDE" w:rsidRDefault="005E3CDE">
            <w:pPr>
              <w:pStyle w:val="BoxName0"/>
              <w:pBdr>
                <w:top w:val="none" w:sz="0" w:space="0" w:color="auto"/>
                <w:left w:val="none" w:sz="0" w:space="0" w:color="auto"/>
                <w:bottom w:val="none" w:sz="0" w:space="0" w:color="auto"/>
                <w:right w:val="none" w:sz="0" w:space="0" w:color="auto"/>
              </w:pBdr>
            </w:pPr>
            <w:r>
              <w:t>Clinical issues:</w:t>
            </w:r>
          </w:p>
          <w:p w14:paraId="3FD8E173" w14:textId="77777777" w:rsidR="005E3CDE" w:rsidRPr="00107D6A" w:rsidRDefault="005E3CDE">
            <w:pPr>
              <w:pStyle w:val="Instructionaltext-bullet"/>
              <w:rPr>
                <w:b/>
                <w:bCs/>
                <w:color w:val="auto"/>
              </w:rPr>
            </w:pPr>
            <w:r w:rsidRPr="00107D6A">
              <w:rPr>
                <w:color w:val="auto"/>
              </w:rPr>
              <w:t>Claim of non-inferiority safety</w:t>
            </w:r>
            <w:r>
              <w:rPr>
                <w:color w:val="auto"/>
              </w:rPr>
              <w:t xml:space="preserve"> at 6 months and 1 year</w:t>
            </w:r>
            <w:r w:rsidRPr="00107D6A">
              <w:rPr>
                <w:color w:val="auto"/>
              </w:rPr>
              <w:t xml:space="preserve"> is supported by RCT evidence.</w:t>
            </w:r>
          </w:p>
          <w:p w14:paraId="7E4DDE01" w14:textId="77777777" w:rsidR="005E3CDE" w:rsidRPr="00107D6A" w:rsidRDefault="005E3CDE">
            <w:pPr>
              <w:pStyle w:val="Instructionaltext-bullet"/>
              <w:rPr>
                <w:b/>
                <w:bCs/>
                <w:color w:val="auto"/>
              </w:rPr>
            </w:pPr>
            <w:r w:rsidRPr="00107D6A">
              <w:rPr>
                <w:color w:val="auto"/>
              </w:rPr>
              <w:t>Claim of non-inferiority effectiveness</w:t>
            </w:r>
            <w:r>
              <w:rPr>
                <w:color w:val="auto"/>
              </w:rPr>
              <w:t xml:space="preserve"> at 6 months and 1 year</w:t>
            </w:r>
            <w:r w:rsidRPr="00107D6A">
              <w:rPr>
                <w:color w:val="auto"/>
              </w:rPr>
              <w:t xml:space="preserve"> is supported by RCT evidence.</w:t>
            </w:r>
          </w:p>
          <w:p w14:paraId="0C4AB56B" w14:textId="77777777" w:rsidR="005E3CDE" w:rsidRPr="00107D6A" w:rsidRDefault="005E3CDE">
            <w:pPr>
              <w:pStyle w:val="Instructionaltext-bullet"/>
              <w:rPr>
                <w:color w:val="auto"/>
              </w:rPr>
            </w:pPr>
            <w:r w:rsidRPr="00107D6A">
              <w:rPr>
                <w:color w:val="auto"/>
              </w:rPr>
              <w:t xml:space="preserve">Although unmet need was not </w:t>
            </w:r>
            <w:r w:rsidRPr="004B6189">
              <w:rPr>
                <w:color w:val="auto"/>
              </w:rPr>
              <w:t xml:space="preserve">claimed </w:t>
            </w:r>
            <w:r w:rsidRPr="00133EF8">
              <w:rPr>
                <w:color w:val="auto"/>
              </w:rPr>
              <w:t>i</w:t>
            </w:r>
            <w:r w:rsidRPr="00133EF8">
              <w:rPr>
                <w:rFonts w:eastAsia="Times New Roman" w:cs="Times New Roman"/>
                <w:color w:val="auto"/>
                <w:szCs w:val="20"/>
                <w:lang w:eastAsia="en-AU"/>
              </w:rPr>
              <w:t>n this ADAR re</w:t>
            </w:r>
            <w:r>
              <w:rPr>
                <w:rFonts w:eastAsia="Times New Roman" w:cs="Times New Roman"/>
                <w:color w:val="auto"/>
                <w:szCs w:val="20"/>
                <w:lang w:eastAsia="en-AU"/>
              </w:rPr>
              <w:t>a</w:t>
            </w:r>
            <w:r w:rsidRPr="00133EF8">
              <w:rPr>
                <w:rFonts w:eastAsia="Times New Roman" w:cs="Times New Roman"/>
                <w:color w:val="auto"/>
                <w:szCs w:val="20"/>
                <w:lang w:eastAsia="en-AU"/>
              </w:rPr>
              <w:t>pplication</w:t>
            </w:r>
            <w:r w:rsidRPr="00133EF8">
              <w:rPr>
                <w:color w:val="auto"/>
              </w:rPr>
              <w:t xml:space="preserve"> </w:t>
            </w:r>
            <w:r w:rsidRPr="000B5E45">
              <w:rPr>
                <w:color w:val="auto"/>
              </w:rPr>
              <w:t>(</w:t>
            </w:r>
            <w:r w:rsidRPr="0030407D">
              <w:rPr>
                <w:color w:val="auto"/>
              </w:rPr>
              <w:t xml:space="preserve">nor </w:t>
            </w:r>
            <w:r w:rsidRPr="000B5E45">
              <w:rPr>
                <w:color w:val="auto"/>
              </w:rPr>
              <w:t>p</w:t>
            </w:r>
            <w:r w:rsidRPr="0030407D">
              <w:rPr>
                <w:color w:val="auto"/>
              </w:rPr>
              <w:t>reviously accepted by MSAC)</w:t>
            </w:r>
            <w:r w:rsidRPr="000B5E45">
              <w:rPr>
                <w:color w:val="auto"/>
              </w:rPr>
              <w:t xml:space="preserve">, </w:t>
            </w:r>
            <w:r w:rsidRPr="004B6189">
              <w:rPr>
                <w:color w:val="auto"/>
              </w:rPr>
              <w:t>ESC</w:t>
            </w:r>
            <w:r>
              <w:rPr>
                <w:color w:val="auto"/>
              </w:rPr>
              <w:t xml:space="preserve"> considered it </w:t>
            </w:r>
            <w:r w:rsidRPr="00133EF8">
              <w:rPr>
                <w:color w:val="auto"/>
              </w:rPr>
              <w:t>m</w:t>
            </w:r>
            <w:r w:rsidRPr="00133EF8">
              <w:rPr>
                <w:rFonts w:eastAsia="Times New Roman" w:cs="Times New Roman"/>
                <w:color w:val="auto"/>
                <w:szCs w:val="20"/>
                <w:lang w:eastAsia="en-AU"/>
              </w:rPr>
              <w:t>ay be</w:t>
            </w:r>
            <w:r w:rsidRPr="00133EF8">
              <w:rPr>
                <w:rFonts w:eastAsia="Times New Roman" w:cs="Times New Roman"/>
                <w:b/>
                <w:bCs/>
                <w:color w:val="auto"/>
                <w:szCs w:val="20"/>
                <w:lang w:eastAsia="en-AU"/>
              </w:rPr>
              <w:t xml:space="preserve"> </w:t>
            </w:r>
            <w:r>
              <w:rPr>
                <w:color w:val="auto"/>
              </w:rPr>
              <w:t>p</w:t>
            </w:r>
            <w:r w:rsidRPr="00133EF8">
              <w:rPr>
                <w:rFonts w:eastAsia="Times New Roman" w:cs="Times New Roman"/>
                <w:bCs/>
                <w:color w:val="auto"/>
                <w:szCs w:val="20"/>
                <w:lang w:eastAsia="en-AU"/>
              </w:rPr>
              <w:t>ossible</w:t>
            </w:r>
            <w:r>
              <w:rPr>
                <w:color w:val="auto"/>
              </w:rPr>
              <w:t xml:space="preserve"> that</w:t>
            </w:r>
            <w:r w:rsidRPr="00107D6A">
              <w:rPr>
                <w:color w:val="auto"/>
              </w:rPr>
              <w:t xml:space="preserve"> some patients may be unsuitable for </w:t>
            </w:r>
            <w:proofErr w:type="spellStart"/>
            <w:r w:rsidRPr="00107D6A">
              <w:rPr>
                <w:color w:val="auto"/>
              </w:rPr>
              <w:t>MitraClip</w:t>
            </w:r>
            <w:proofErr w:type="spellEnd"/>
            <w:r>
              <w:rPr>
                <w:color w:val="auto"/>
              </w:rPr>
              <w:t>, thus providing a potential unmet need.</w:t>
            </w:r>
          </w:p>
          <w:p w14:paraId="291E7076" w14:textId="77777777" w:rsidR="005E3CDE" w:rsidRPr="00107D6A" w:rsidRDefault="005E3CDE">
            <w:pPr>
              <w:pStyle w:val="BoxHeading"/>
              <w:pBdr>
                <w:top w:val="none" w:sz="0" w:space="0" w:color="auto"/>
                <w:left w:val="none" w:sz="0" w:space="0" w:color="auto"/>
                <w:bottom w:val="none" w:sz="0" w:space="0" w:color="auto"/>
                <w:right w:val="none" w:sz="0" w:space="0" w:color="auto"/>
              </w:pBdr>
              <w:rPr>
                <w:color w:val="auto"/>
              </w:rPr>
            </w:pPr>
            <w:r w:rsidRPr="00107D6A">
              <w:rPr>
                <w:color w:val="auto"/>
              </w:rPr>
              <w:t>Economic issues:</w:t>
            </w:r>
          </w:p>
          <w:p w14:paraId="0FCD2740" w14:textId="77777777" w:rsidR="005E3CDE" w:rsidRPr="00107D6A" w:rsidRDefault="005E3CDE">
            <w:pPr>
              <w:pStyle w:val="Instructionaltext-bullet"/>
              <w:rPr>
                <w:b/>
                <w:bCs/>
                <w:color w:val="auto"/>
              </w:rPr>
            </w:pPr>
            <w:r w:rsidRPr="00107D6A">
              <w:rPr>
                <w:color w:val="auto"/>
              </w:rPr>
              <w:t xml:space="preserve">With the new data supplied in the ADAR, </w:t>
            </w:r>
            <w:r>
              <w:rPr>
                <w:color w:val="auto"/>
              </w:rPr>
              <w:t xml:space="preserve">ESC considered PASCAL likely to be cost neutral compared with </w:t>
            </w:r>
            <w:proofErr w:type="spellStart"/>
            <w:r>
              <w:rPr>
                <w:color w:val="auto"/>
              </w:rPr>
              <w:t>MitraClip</w:t>
            </w:r>
            <w:proofErr w:type="spellEnd"/>
            <w:r>
              <w:rPr>
                <w:color w:val="auto"/>
              </w:rPr>
              <w:t>.</w:t>
            </w:r>
          </w:p>
          <w:p w14:paraId="4C67878F" w14:textId="77777777" w:rsidR="005E3CDE" w:rsidRPr="00107D6A" w:rsidRDefault="005E3CDE">
            <w:pPr>
              <w:pStyle w:val="BoxHeading"/>
              <w:pBdr>
                <w:top w:val="none" w:sz="0" w:space="0" w:color="auto"/>
                <w:left w:val="none" w:sz="0" w:space="0" w:color="auto"/>
                <w:bottom w:val="none" w:sz="0" w:space="0" w:color="auto"/>
                <w:right w:val="none" w:sz="0" w:space="0" w:color="auto"/>
              </w:pBdr>
              <w:rPr>
                <w:color w:val="auto"/>
              </w:rPr>
            </w:pPr>
            <w:r w:rsidRPr="00107D6A">
              <w:rPr>
                <w:color w:val="auto"/>
              </w:rPr>
              <w:t>Financial issues:</w:t>
            </w:r>
          </w:p>
          <w:p w14:paraId="3AC85377" w14:textId="77777777" w:rsidR="005E3CDE" w:rsidRPr="00107D6A" w:rsidRDefault="005E3CDE">
            <w:pPr>
              <w:pStyle w:val="Instructionaltext-bullet"/>
              <w:rPr>
                <w:color w:val="auto"/>
              </w:rPr>
            </w:pPr>
            <w:r w:rsidRPr="2407B9BF">
              <w:rPr>
                <w:color w:val="auto"/>
              </w:rPr>
              <w:t>The cost of all accessories was included in the PASCAL price.</w:t>
            </w:r>
          </w:p>
          <w:p w14:paraId="3236BFE4" w14:textId="77777777" w:rsidR="005E3CDE" w:rsidRDefault="005E3CDE">
            <w:pPr>
              <w:pStyle w:val="Instructionaltext-bullet"/>
              <w:rPr>
                <w:color w:val="auto"/>
              </w:rPr>
            </w:pPr>
            <w:r>
              <w:rPr>
                <w:color w:val="auto"/>
              </w:rPr>
              <w:t>ESC considered it reasonable</w:t>
            </w:r>
            <w:r w:rsidRPr="00107D6A">
              <w:rPr>
                <w:color w:val="auto"/>
              </w:rPr>
              <w:t xml:space="preserve"> that the availability of an alternative device</w:t>
            </w:r>
            <w:r>
              <w:rPr>
                <w:color w:val="auto"/>
              </w:rPr>
              <w:t xml:space="preserve"> and/or potential unmet need</w:t>
            </w:r>
            <w:r w:rsidRPr="00107D6A" w:rsidDel="005122CA">
              <w:rPr>
                <w:color w:val="auto"/>
              </w:rPr>
              <w:t xml:space="preserve"> </w:t>
            </w:r>
            <w:r w:rsidRPr="00107D6A">
              <w:rPr>
                <w:color w:val="auto"/>
              </w:rPr>
              <w:t>may drive a small but not insignificant market growth, so an assumed 10% market growth scenario was tested.</w:t>
            </w:r>
          </w:p>
          <w:p w14:paraId="796C687D" w14:textId="77777777" w:rsidR="005E3CDE" w:rsidRPr="00107D6A" w:rsidRDefault="005E3CDE">
            <w:pPr>
              <w:pStyle w:val="Instructionaltext-bullet"/>
              <w:rPr>
                <w:color w:val="auto"/>
              </w:rPr>
            </w:pPr>
            <w:r>
              <w:rPr>
                <w:color w:val="auto"/>
              </w:rPr>
              <w:t xml:space="preserve">ESC considered that real world data from the registry around the proportion of patients who have been treated using PASCAL rather than </w:t>
            </w:r>
            <w:proofErr w:type="spellStart"/>
            <w:r>
              <w:rPr>
                <w:color w:val="auto"/>
              </w:rPr>
              <w:t>MitraClip</w:t>
            </w:r>
            <w:proofErr w:type="spellEnd"/>
            <w:r>
              <w:rPr>
                <w:color w:val="auto"/>
              </w:rPr>
              <w:t xml:space="preserve"> could help validate the estimated 10% growth rate and aid decision making.</w:t>
            </w:r>
          </w:p>
          <w:p w14:paraId="4EF17B5F" w14:textId="77777777" w:rsidR="005E3CDE" w:rsidRPr="000C21C8" w:rsidRDefault="005E3CDE">
            <w:pPr>
              <w:pStyle w:val="Instructionaltext-bullet"/>
              <w:numPr>
                <w:ilvl w:val="0"/>
                <w:numId w:val="0"/>
              </w:numPr>
              <w:ind w:left="357"/>
            </w:pPr>
          </w:p>
        </w:tc>
      </w:tr>
    </w:tbl>
    <w:p w14:paraId="00842C0C" w14:textId="77777777" w:rsidR="005E3CDE" w:rsidRPr="006B4E4A" w:rsidRDefault="005E3CDE" w:rsidP="005E3CDE">
      <w:pPr>
        <w:keepNext/>
        <w:spacing w:before="240"/>
        <w:outlineLvl w:val="1"/>
        <w:rPr>
          <w:rFonts w:cs="Arial"/>
          <w:b/>
          <w:bCs/>
          <w:iCs/>
          <w:sz w:val="24"/>
          <w:szCs w:val="28"/>
          <w:lang w:eastAsia="en-AU"/>
        </w:rPr>
      </w:pPr>
      <w:r w:rsidRPr="006B4E4A">
        <w:rPr>
          <w:rFonts w:cs="Arial"/>
          <w:b/>
          <w:bCs/>
          <w:iCs/>
          <w:sz w:val="24"/>
          <w:szCs w:val="28"/>
          <w:lang w:eastAsia="en-AU"/>
        </w:rPr>
        <w:t>ESC discussion</w:t>
      </w:r>
    </w:p>
    <w:p w14:paraId="699A6940" w14:textId="77777777" w:rsidR="005E3CDE" w:rsidRPr="00A00556" w:rsidRDefault="005E3CDE" w:rsidP="005E3CDE">
      <w:r w:rsidRPr="00A00556">
        <w:t>ESC noted that this is an application from Edwards Lifesciences requesting Medicare Benefits Schedule (MBS) listing for a transcatheter mitral valve repair (</w:t>
      </w:r>
      <w:proofErr w:type="spellStart"/>
      <w:r w:rsidRPr="00A00556">
        <w:t>TMVr</w:t>
      </w:r>
      <w:proofErr w:type="spellEnd"/>
      <w:r w:rsidRPr="00A00556">
        <w:t>) using the PASCAL Transcatheter Valve Repair System (PASCAL) for the treatment of degenerative mitral regurgitation (DMR).</w:t>
      </w:r>
    </w:p>
    <w:p w14:paraId="63C4B27C" w14:textId="77777777" w:rsidR="005E3CDE" w:rsidRPr="00A00556" w:rsidRDefault="005E3CDE" w:rsidP="005E3CDE">
      <w:r w:rsidRPr="00A00556">
        <w:t>ESC noted that this is the third application for this technology, which MSAC previously considered in November 2021 and November 2022. The previous applications sought amendments to the existing MBS items 38461 and 38463 to be device agnostic for the treatment of degenerative mitral regurgitation (DMR) and functional mitral regurgitation (FMR), respectively.</w:t>
      </w:r>
    </w:p>
    <w:p w14:paraId="0C003C7B" w14:textId="77777777" w:rsidR="005E3CDE" w:rsidRPr="00A00556" w:rsidRDefault="005E3CDE" w:rsidP="005E3CDE">
      <w:r w:rsidRPr="00A00556">
        <w:t xml:space="preserve">In November 2021, MSAC advised that higher quality evidence for </w:t>
      </w:r>
      <w:proofErr w:type="spellStart"/>
      <w:r w:rsidRPr="00A00556">
        <w:t>TMVr</w:t>
      </w:r>
      <w:proofErr w:type="spellEnd"/>
      <w:r w:rsidRPr="00A00556">
        <w:t xml:space="preserve"> using the PASCAL system would be needed to support the claim of non-inferiority in </w:t>
      </w:r>
      <w:hyperlink r:id="rId29" w:history="1">
        <w:r w:rsidRPr="00A00556">
          <w:rPr>
            <w:rStyle w:val="Hyperlink"/>
          </w:rPr>
          <w:t>application 1662</w:t>
        </w:r>
      </w:hyperlink>
      <w:r w:rsidRPr="00A00556">
        <w:t xml:space="preserve">. MSAC also considered that an unmet clinical need for an alternative device was not clearly demonstrated. In November 2022, MSAC considered that the limited new evidence did not change its previous conclusions from November 2021 and again stated that an unmet clinical need was not clearly demonstrated in </w:t>
      </w:r>
      <w:hyperlink r:id="rId30" w:history="1">
        <w:r w:rsidRPr="00A00556">
          <w:rPr>
            <w:rStyle w:val="Hyperlink"/>
          </w:rPr>
          <w:t>application 1662.1</w:t>
        </w:r>
      </w:hyperlink>
      <w:r w:rsidRPr="00A00556">
        <w:t>.</w:t>
      </w:r>
    </w:p>
    <w:p w14:paraId="001CF0B6" w14:textId="77777777" w:rsidR="005E3CDE" w:rsidRPr="00A00556" w:rsidRDefault="005E3CDE" w:rsidP="005E3CDE">
      <w:r w:rsidRPr="00A00556">
        <w:t xml:space="preserve">ESC noted that the current applicant-developed assessment report (ADAR) only proposes amendment of the MBS item 38461 to be device agnostic, to allow the PASCAL system to be used in the </w:t>
      </w:r>
      <w:proofErr w:type="spellStart"/>
      <w:r w:rsidRPr="00A00556">
        <w:t>TMVr</w:t>
      </w:r>
      <w:proofErr w:type="spellEnd"/>
      <w:r w:rsidRPr="00A00556">
        <w:t xml:space="preserve"> procedure for the treatment of patients with moderate–severe or severe DMR who are ineligible for open surgical management.</w:t>
      </w:r>
    </w:p>
    <w:p w14:paraId="714B282B" w14:textId="77777777" w:rsidR="005E3CDE" w:rsidRDefault="005E3CDE" w:rsidP="005E3CDE">
      <w:r w:rsidRPr="00A00556">
        <w:t>ESC noted that the PASCAL device is not currently listed on the Prescribed List of Medical Devices and Human Tissue Products (Prescribed List).</w:t>
      </w:r>
    </w:p>
    <w:p w14:paraId="6B50E059" w14:textId="77777777" w:rsidR="005E3CDE" w:rsidRPr="00594079" w:rsidRDefault="005E3CDE" w:rsidP="005E3CDE">
      <w:pPr>
        <w:tabs>
          <w:tab w:val="left" w:pos="3686"/>
        </w:tabs>
        <w:spacing w:line="256" w:lineRule="auto"/>
        <w:rPr>
          <w:rFonts w:eastAsia="Calibri" w:cs="Arial"/>
        </w:rPr>
      </w:pPr>
      <w:r w:rsidRPr="00594079">
        <w:rPr>
          <w:rFonts w:eastAsia="Calibri" w:cs="Arial"/>
        </w:rPr>
        <w:t>ESC noted and welcomed consultation input from 1 specialist</w:t>
      </w:r>
      <w:r>
        <w:rPr>
          <w:rFonts w:eastAsia="Calibri" w:cs="Arial"/>
        </w:rPr>
        <w:t xml:space="preserve"> organisation</w:t>
      </w:r>
      <w:r w:rsidRPr="00594079">
        <w:rPr>
          <w:rFonts w:eastAsia="Calibri" w:cs="Arial"/>
        </w:rPr>
        <w:t>.</w:t>
      </w:r>
    </w:p>
    <w:p w14:paraId="18BB9FC2" w14:textId="77777777" w:rsidR="005E3CDE" w:rsidRPr="00A00556" w:rsidRDefault="005E3CDE" w:rsidP="005E3CDE">
      <w:r w:rsidRPr="00A00556">
        <w:t xml:space="preserve">ESC noted that </w:t>
      </w:r>
      <w:r>
        <w:t xml:space="preserve">previous consultation </w:t>
      </w:r>
      <w:r w:rsidRPr="00A00556">
        <w:t>feedback from surgeons</w:t>
      </w:r>
      <w:r>
        <w:t xml:space="preserve"> also</w:t>
      </w:r>
      <w:r w:rsidRPr="00A00556">
        <w:t xml:space="preserve"> supported the application. </w:t>
      </w:r>
    </w:p>
    <w:p w14:paraId="70EC9ED4" w14:textId="77777777" w:rsidR="005E3CDE" w:rsidRPr="00A00556" w:rsidRDefault="005E3CDE" w:rsidP="005E3CDE">
      <w:r w:rsidRPr="00A00556">
        <w:t xml:space="preserve">ESC noted that the proposed comparator is </w:t>
      </w:r>
      <w:proofErr w:type="spellStart"/>
      <w:r w:rsidRPr="00A00556">
        <w:t>TMVr</w:t>
      </w:r>
      <w:proofErr w:type="spellEnd"/>
      <w:r w:rsidRPr="00A00556">
        <w:t xml:space="preserve"> using the </w:t>
      </w:r>
      <w:proofErr w:type="spellStart"/>
      <w:r w:rsidRPr="00A00556">
        <w:t>MitraClip</w:t>
      </w:r>
      <w:proofErr w:type="spellEnd"/>
      <w:r w:rsidRPr="00A00556">
        <w:t xml:space="preserve"> device. This comparator is unchanged from the previous application.</w:t>
      </w:r>
    </w:p>
    <w:p w14:paraId="4096248D" w14:textId="77777777" w:rsidR="005E3CDE" w:rsidRPr="00A00556" w:rsidRDefault="005E3CDE" w:rsidP="005E3CDE">
      <w:r w:rsidRPr="00A00556">
        <w:t xml:space="preserve">ESC noted that the current ADAR provided new evidence from the CLASP IID randomised control trial (RCT) to support the clinical claim that the PASCAL device is non-inferior in safety compared to the </w:t>
      </w:r>
      <w:proofErr w:type="spellStart"/>
      <w:r w:rsidRPr="00A00556">
        <w:t>MitraClip</w:t>
      </w:r>
      <w:proofErr w:type="spellEnd"/>
      <w:r w:rsidRPr="00A00556">
        <w:t xml:space="preserve"> device. The primary safety endpoint was rate of major adverse events (MAEs) at 30 days, with secondary safety analysis of rate of MAEs at 1 year.</w:t>
      </w:r>
    </w:p>
    <w:p w14:paraId="5B0500AD" w14:textId="77777777" w:rsidR="005E3CDE" w:rsidRPr="00A00556" w:rsidRDefault="005E3CDE" w:rsidP="005E3CDE">
      <w:r w:rsidRPr="00A00556">
        <w:t xml:space="preserve">ESC noted that the rate of composite MAEs at 30 days was 4.6% for patients in the PASCAL arm compared to 5.4% in the </w:t>
      </w:r>
      <w:proofErr w:type="spellStart"/>
      <w:r w:rsidRPr="00A00556">
        <w:t>MitraClip</w:t>
      </w:r>
      <w:proofErr w:type="spellEnd"/>
      <w:r w:rsidRPr="00A00556">
        <w:t xml:space="preserve"> arm (absolute difference –0.8%). The upper limit of the one-sided 95% CI (4.6%) was lower than the pre-specified non-inferiority margin of 15%. At 1 year, the rate of composite MAEs was 15.3% for patients in the PASCAL arm compared to 11.7% in the </w:t>
      </w:r>
      <w:proofErr w:type="spellStart"/>
      <w:r w:rsidRPr="00A00556">
        <w:t>MitraClip</w:t>
      </w:r>
      <w:proofErr w:type="spellEnd"/>
      <w:r w:rsidRPr="00A00556">
        <w:t xml:space="preserve"> arm for an absolute difference of 3.6%. The upper limit of the one-sided 95% CI was 11.9%, which, again, was lower than the pre-specified non-inferiority margin of 15%. </w:t>
      </w:r>
    </w:p>
    <w:p w14:paraId="69F7C350" w14:textId="77777777" w:rsidR="005E3CDE" w:rsidRPr="00A00556" w:rsidRDefault="005E3CDE" w:rsidP="005E3CDE">
      <w:r w:rsidRPr="00A00556">
        <w:t>ESC noted that there were no statistical</w:t>
      </w:r>
      <w:r>
        <w:t>ly significant</w:t>
      </w:r>
      <w:r w:rsidRPr="00A00556">
        <w:t xml:space="preserve"> differences in MAEs between the PASCAL and </w:t>
      </w:r>
      <w:proofErr w:type="spellStart"/>
      <w:r w:rsidRPr="00A00556">
        <w:t>MitraClip</w:t>
      </w:r>
      <w:proofErr w:type="spellEnd"/>
      <w:r w:rsidRPr="00A00556">
        <w:t xml:space="preserve"> groups. ESC also noted that no literature was provided to support th</w:t>
      </w:r>
      <w:r>
        <w:t>e</w:t>
      </w:r>
      <w:r w:rsidRPr="00A00556">
        <w:t xml:space="preserve"> non-inferiority margin.</w:t>
      </w:r>
    </w:p>
    <w:p w14:paraId="610CC56D" w14:textId="77777777" w:rsidR="005E3CDE" w:rsidRPr="00A00556" w:rsidRDefault="005E3CDE" w:rsidP="005E3CDE">
      <w:r w:rsidRPr="00A00556">
        <w:t xml:space="preserve">ESC noted the </w:t>
      </w:r>
      <w:r>
        <w:t xml:space="preserve">numerically </w:t>
      </w:r>
      <w:r w:rsidRPr="00A00556">
        <w:t xml:space="preserve">higher rates of severe bleeding for PASCAL, which occurred for 10.2% of patients the PASCAL arm versus 5.5% in the </w:t>
      </w:r>
      <w:proofErr w:type="spellStart"/>
      <w:r w:rsidRPr="00A00556">
        <w:t>MitraClip</w:t>
      </w:r>
      <w:proofErr w:type="spellEnd"/>
      <w:r w:rsidRPr="00A00556">
        <w:t xml:space="preserve"> arm. ESC </w:t>
      </w:r>
      <w:r>
        <w:t xml:space="preserve">agreed with the applicant’s pre-ESC response </w:t>
      </w:r>
      <w:r w:rsidRPr="00A00556">
        <w:t xml:space="preserve">that </w:t>
      </w:r>
      <w:r>
        <w:t xml:space="preserve">stated </w:t>
      </w:r>
      <w:r w:rsidRPr="00A00556">
        <w:t>most of these events were unrelated to the PASCAL device</w:t>
      </w:r>
      <w:r>
        <w:t>.</w:t>
      </w:r>
    </w:p>
    <w:p w14:paraId="41FEDFFB" w14:textId="77777777" w:rsidR="005E3CDE" w:rsidRPr="00A00556" w:rsidRDefault="005E3CDE" w:rsidP="005E3CDE">
      <w:r w:rsidRPr="00A00556">
        <w:t xml:space="preserve">ESC noted that the current ADAR provided new direct comparative evidence from the CLASP IID RCT. The primary effectiveness endpoint of the CLASP IID study was the proportion of patients with mitral regurgitation (MR) severity of </w:t>
      </w:r>
      <w:r w:rsidRPr="00A00556">
        <w:rPr>
          <w:rFonts w:cs="Calibri"/>
        </w:rPr>
        <w:t>≤</w:t>
      </w:r>
      <w:r w:rsidRPr="00A00556">
        <w:t>2+ at 6 months, with secondary analysis of MR severity at 1 year. A non-inferiority margin of –18% was pre-specified; however, no literature was provided to support the chosen non-inferiority margin.</w:t>
      </w:r>
    </w:p>
    <w:p w14:paraId="69E383E9" w14:textId="77777777" w:rsidR="005E3CDE" w:rsidRPr="00A00556" w:rsidRDefault="005E3CDE" w:rsidP="005E3CDE">
      <w:pPr>
        <w:rPr>
          <w:rFonts w:cs="Calibri"/>
          <w:color w:val="000000"/>
        </w:rPr>
      </w:pPr>
      <w:r w:rsidRPr="00A00556">
        <w:t xml:space="preserve">MR severity of </w:t>
      </w:r>
      <w:r w:rsidRPr="00A00556">
        <w:rPr>
          <w:rFonts w:cs="Calibri"/>
        </w:rPr>
        <w:t xml:space="preserve">≤2+ at 6 months was achieved by 97.9% and 95.7% of patients in the PASCAL and </w:t>
      </w:r>
      <w:proofErr w:type="spellStart"/>
      <w:r w:rsidRPr="00A00556">
        <w:rPr>
          <w:rFonts w:cs="Calibri"/>
        </w:rPr>
        <w:t>MitraClip</w:t>
      </w:r>
      <w:proofErr w:type="spellEnd"/>
      <w:r w:rsidRPr="00A00556">
        <w:rPr>
          <w:rFonts w:cs="Calibri"/>
        </w:rPr>
        <w:t xml:space="preserve"> groups, respectively. The absolute difference was 2.2% and the lower bound of the one-sided 95% CI was –2.5%. This was within the pre-specified non-inferiority margin of –18%.</w:t>
      </w:r>
    </w:p>
    <w:p w14:paraId="584878C8" w14:textId="77777777" w:rsidR="005E3CDE" w:rsidRPr="00A00556" w:rsidRDefault="005E3CDE" w:rsidP="005E3CDE">
      <w:r w:rsidRPr="00A00556">
        <w:t xml:space="preserve">ESC noted that the proportion of patients with MR severity of ≤2+ at 1 year was 96.0% in the PASCAL group and 93.8% in the </w:t>
      </w:r>
      <w:proofErr w:type="spellStart"/>
      <w:r w:rsidRPr="00A00556">
        <w:t>MitraClip</w:t>
      </w:r>
      <w:proofErr w:type="spellEnd"/>
      <w:r w:rsidRPr="00A00556">
        <w:t xml:space="preserve"> group with an absolute difference of 2.2%. The one-sided 95% lower confidence bound was –3.9%, which was within the pre-specified non-inferiority margin of –18.0%.</w:t>
      </w:r>
    </w:p>
    <w:p w14:paraId="6F4E6326" w14:textId="77777777" w:rsidR="005E3CDE" w:rsidRPr="00A00556" w:rsidRDefault="005E3CDE" w:rsidP="005E3CDE">
      <w:pPr>
        <w:rPr>
          <w:rFonts w:cs="Times New Roman"/>
        </w:rPr>
      </w:pPr>
      <w:r w:rsidRPr="00A00556">
        <w:t xml:space="preserve">ESC considered that the CLASP IID RCT results support the clinical claim of non-inferiority in effectiveness outcomes between PASCAL and </w:t>
      </w:r>
      <w:proofErr w:type="spellStart"/>
      <w:r w:rsidRPr="00A00556">
        <w:t>MitraClip</w:t>
      </w:r>
      <w:proofErr w:type="spellEnd"/>
      <w:r w:rsidRPr="00A00556">
        <w:t xml:space="preserve"> at 6 months and 1 year.</w:t>
      </w:r>
    </w:p>
    <w:p w14:paraId="2D3EA87C" w14:textId="77777777" w:rsidR="005E3CDE" w:rsidRDefault="005E3CDE" w:rsidP="005E3CDE">
      <w:r>
        <w:t>ESC noted the commentary considered the imbalance in the initial MR severity between arms, although not statistically significant, could bias the study in favour of PASCAL. However, ESC noted that the risk of bias was assessed as low for group allocation and considered the difference in allocation acceptable.</w:t>
      </w:r>
    </w:p>
    <w:p w14:paraId="57D2644D" w14:textId="77777777" w:rsidR="005E3CDE" w:rsidRDefault="005E3CDE" w:rsidP="005E3CDE">
      <w:r>
        <w:t>ESC noted that the stricter margin of non-inferiority previously requested by MSAC had not been presented but considered that the margins for safety and effectiveness at 6 months and 1 year were met and would be likely to hold under a stricter margin.</w:t>
      </w:r>
    </w:p>
    <w:p w14:paraId="3D5ED436" w14:textId="77777777" w:rsidR="005E3CDE" w:rsidRPr="00A00556" w:rsidRDefault="005E3CDE" w:rsidP="005E3CDE">
      <w:r w:rsidRPr="00A00556">
        <w:t xml:space="preserve">ESC noted that </w:t>
      </w:r>
      <w:r>
        <w:t>the</w:t>
      </w:r>
      <w:r w:rsidRPr="00A00556">
        <w:t xml:space="preserve"> ADAR does not make a claim of unmet clinical need</w:t>
      </w:r>
      <w:r>
        <w:t xml:space="preserve"> </w:t>
      </w:r>
      <w:r w:rsidRPr="000B5E45">
        <w:rPr>
          <w:rFonts w:eastAsia="Times New Roman" w:cs="Times New Roman"/>
          <w:szCs w:val="20"/>
          <w:lang w:eastAsia="en-AU"/>
        </w:rPr>
        <w:t>(</w:t>
      </w:r>
      <w:r w:rsidRPr="00910927">
        <w:rPr>
          <w:rFonts w:eastAsia="Times New Roman" w:cs="Times New Roman"/>
          <w:szCs w:val="20"/>
          <w:lang w:eastAsia="en-AU"/>
        </w:rPr>
        <w:t>nor</w:t>
      </w:r>
      <w:r>
        <w:rPr>
          <w:rFonts w:eastAsia="Times New Roman" w:cs="Times New Roman"/>
          <w:szCs w:val="20"/>
          <w:lang w:eastAsia="en-AU"/>
        </w:rPr>
        <w:t xml:space="preserve"> has a claim been </w:t>
      </w:r>
      <w:r w:rsidRPr="000B5E45">
        <w:rPr>
          <w:rFonts w:eastAsia="Times New Roman" w:cs="Times New Roman"/>
          <w:szCs w:val="20"/>
          <w:lang w:eastAsia="en-AU"/>
        </w:rPr>
        <w:t>p</w:t>
      </w:r>
      <w:r w:rsidRPr="00910927">
        <w:rPr>
          <w:rFonts w:eastAsia="Times New Roman" w:cs="Times New Roman"/>
          <w:szCs w:val="20"/>
          <w:lang w:eastAsia="en-AU"/>
        </w:rPr>
        <w:t>reviously accepted by MSAC)</w:t>
      </w:r>
      <w:r w:rsidRPr="00A00556">
        <w:t xml:space="preserve">. However, in its pre-ESC response, the applicant stated that the </w:t>
      </w:r>
      <w:r>
        <w:t>ADAR</w:t>
      </w:r>
      <w:r w:rsidRPr="00A00556">
        <w:t xml:space="preserve"> presents evidence that, although many patients are currently being treated with </w:t>
      </w:r>
      <w:proofErr w:type="spellStart"/>
      <w:r w:rsidRPr="00A00556">
        <w:t>MitraClip</w:t>
      </w:r>
      <w:proofErr w:type="spellEnd"/>
      <w:r w:rsidRPr="00A00556">
        <w:t xml:space="preserve">, this may not be the optimal choice for all. Previous studies have shown that, for patients who would not have met the echocardiographic criteria for the </w:t>
      </w:r>
      <w:proofErr w:type="spellStart"/>
      <w:r w:rsidRPr="00A00556">
        <w:t>MitraClip</w:t>
      </w:r>
      <w:proofErr w:type="spellEnd"/>
      <w:r w:rsidRPr="00A00556">
        <w:t xml:space="preserve">, the need for mitral valve reintervention is increased. This re-intervention is not only costly to the health system but may also negatively impact patient quality of life. Support from specialists provided during the public consultation noted that PASCAL can be used in more complex mitral valve anatomies and is more manoeuvrable than </w:t>
      </w:r>
      <w:proofErr w:type="spellStart"/>
      <w:r w:rsidRPr="00A00556">
        <w:t>MitraClip</w:t>
      </w:r>
      <w:proofErr w:type="spellEnd"/>
      <w:r w:rsidRPr="00A00556">
        <w:t>. Overall, clinicians noted that having access to a variety of devices will allow clinicians to choose the device best suited to the patient</w:t>
      </w:r>
      <w:r>
        <w:t xml:space="preserve"> however,</w:t>
      </w:r>
      <w:r w:rsidRPr="00A00556">
        <w:t xml:space="preserve"> clinicians indicated that there are unlikely to be many patients not being treated in the current market that could benefit from PASCAL.</w:t>
      </w:r>
    </w:p>
    <w:p w14:paraId="79FFE737" w14:textId="77777777" w:rsidR="005E3CDE" w:rsidRPr="00A00556" w:rsidRDefault="005E3CDE" w:rsidP="005E3CDE">
      <w:r w:rsidRPr="00A00556">
        <w:t>ESC noted that the ADAR presented a cost-minimisation model as per the previous ADAR (MSAC 1662.1), with the following adjustments:</w:t>
      </w:r>
    </w:p>
    <w:p w14:paraId="695633BF" w14:textId="77777777" w:rsidR="005E3CDE" w:rsidRPr="005F775A" w:rsidRDefault="005E3CDE" w:rsidP="005E3CDE">
      <w:pPr>
        <w:pStyle w:val="Bullet"/>
        <w:numPr>
          <w:ilvl w:val="0"/>
          <w:numId w:val="23"/>
        </w:numPr>
        <w:spacing w:before="0"/>
        <w:rPr>
          <w:rFonts w:ascii="Franklin Gothic Book" w:hAnsi="Franklin Gothic Book"/>
        </w:rPr>
      </w:pPr>
      <w:r w:rsidRPr="005F775A">
        <w:rPr>
          <w:rFonts w:ascii="Franklin Gothic Book" w:hAnsi="Franklin Gothic Book"/>
        </w:rPr>
        <w:t>It was confined to DMR, as FMR was removed from this application.</w:t>
      </w:r>
    </w:p>
    <w:p w14:paraId="2B0C0F83" w14:textId="77777777" w:rsidR="005E3CDE" w:rsidRPr="00A00556" w:rsidRDefault="005E3CDE" w:rsidP="005E3CDE">
      <w:pPr>
        <w:pStyle w:val="BulletLast"/>
        <w:numPr>
          <w:ilvl w:val="0"/>
          <w:numId w:val="23"/>
        </w:numPr>
      </w:pPr>
      <w:r w:rsidRPr="00A00556">
        <w:t xml:space="preserve">It used updated rates of adverse advents based on the RCT direct comparison between PASCAL and </w:t>
      </w:r>
      <w:proofErr w:type="spellStart"/>
      <w:r w:rsidRPr="00A00556">
        <w:t>MitraClip</w:t>
      </w:r>
      <w:proofErr w:type="spellEnd"/>
      <w:r w:rsidRPr="00A00556">
        <w:t>.</w:t>
      </w:r>
    </w:p>
    <w:p w14:paraId="08BBE85D" w14:textId="62A67A5E" w:rsidR="005E3CDE" w:rsidRPr="00A00556" w:rsidRDefault="005E3CDE" w:rsidP="005E3CDE">
      <w:r w:rsidRPr="00A00556">
        <w:t xml:space="preserve">As in the previous ADAR, ESC noted that the current ADAR </w:t>
      </w:r>
      <w:r>
        <w:t>assumed</w:t>
      </w:r>
      <w:r w:rsidRPr="00A00556">
        <w:t xml:space="preserve"> the costs of the procedure assumed to be equal for both PASCAL and </w:t>
      </w:r>
      <w:proofErr w:type="spellStart"/>
      <w:r w:rsidRPr="00A00556">
        <w:t>MitraClip</w:t>
      </w:r>
      <w:proofErr w:type="spellEnd"/>
      <w:r>
        <w:t xml:space="preserve"> arms</w:t>
      </w:r>
      <w:r w:rsidRPr="00A00556">
        <w:t xml:space="preserve">. Minor changes were made in the current ADAR to reflect </w:t>
      </w:r>
      <w:r w:rsidR="00D91B0A" w:rsidRPr="00A00556">
        <w:t>2023-unit</w:t>
      </w:r>
      <w:r w:rsidRPr="00A00556">
        <w:t xml:space="preserve"> costs. </w:t>
      </w:r>
      <w:r>
        <w:t>ESC</w:t>
      </w:r>
      <w:r w:rsidRPr="00A00556">
        <w:t xml:space="preserve"> considered these costings to be appropriate, except for the post-procedure echocardiogram, which, following advice from the Department, </w:t>
      </w:r>
      <w:r>
        <w:t>was</w:t>
      </w:r>
      <w:r w:rsidRPr="00A00556">
        <w:t xml:space="preserve"> more appropriately modelled off MBS item 55127 instead of item 55133.</w:t>
      </w:r>
    </w:p>
    <w:p w14:paraId="2BCDEE1C" w14:textId="77777777" w:rsidR="005E3CDE" w:rsidRPr="00A00556" w:rsidRDefault="005E3CDE" w:rsidP="005E3CDE">
      <w:r w:rsidRPr="00A00556">
        <w:t xml:space="preserve">ESC noted that the difference between this ADAR and the previous ADAR (1662.1) is the evidence to support the rates of MAEs, which are derived from the updated data (in both the 30-day and 1-year models) and costed based on mapping of ICD-10 procedures to diagnosis-related group (DRG) codes. Based on the rate of MAEs observed in each arm, the total cost of PASCAL over 30 days is $34,965.30 compared to $35,265.67 for </w:t>
      </w:r>
      <w:proofErr w:type="spellStart"/>
      <w:r w:rsidRPr="00A00556">
        <w:t>MitraClip</w:t>
      </w:r>
      <w:proofErr w:type="spellEnd"/>
      <w:r w:rsidRPr="00A00556">
        <w:t xml:space="preserve">. PASCAL results in savings of $300.36 per patient over 30 days. The nominal cost saving for PASCAL is due to a higher proportion of lower-cost MAEs versus the </w:t>
      </w:r>
      <w:proofErr w:type="spellStart"/>
      <w:r w:rsidRPr="00A00556">
        <w:t>MitraClip</w:t>
      </w:r>
      <w:proofErr w:type="spellEnd"/>
      <w:r w:rsidRPr="00A00556">
        <w:t xml:space="preserve"> (bleeding events), which has a higher proportion of higher cost MAEs (cardiovascular mortality, myocardial infarction); however, none of the differences in rates of MAEs were statistically significant.</w:t>
      </w:r>
    </w:p>
    <w:p w14:paraId="1634761A" w14:textId="77777777" w:rsidR="005E3CDE" w:rsidRPr="00A00556" w:rsidRDefault="005E3CDE" w:rsidP="005E3CDE">
      <w:r w:rsidRPr="00A00556">
        <w:t>ESC noted the sensitivity analyses presented – varying the time horizon (1 year versus 30 days in the base case) and adding heart failure hospitalisation (HFH) as another MAE. The results of the sensitivity analyses show the base case results are robust to a longer time horizon and the inclusion of further adverse events</w:t>
      </w:r>
      <w:r>
        <w:t>.</w:t>
      </w:r>
      <w:r w:rsidRPr="00A00556">
        <w:t xml:space="preserve"> Adoption of a 1-year time horizon with inclusion of HFHs </w:t>
      </w:r>
      <w:r>
        <w:t>changes</w:t>
      </w:r>
      <w:r w:rsidRPr="00A00556">
        <w:t xml:space="preserve"> the incremental cost of PASCAL from –$300.36 to $41.55; however, as with other MAEs, the difference in rates of HFHs was not statistically significant. Overall, given the safety findings, </w:t>
      </w:r>
      <w:r>
        <w:t>ESC agreed with the commentary conclusion</w:t>
      </w:r>
      <w:r w:rsidRPr="00A00556">
        <w:t xml:space="preserve"> that PASCAL </w:t>
      </w:r>
      <w:r>
        <w:t>is</w:t>
      </w:r>
      <w:r w:rsidRPr="00A00556">
        <w:t xml:space="preserve"> likely</w:t>
      </w:r>
      <w:r>
        <w:t xml:space="preserve"> to</w:t>
      </w:r>
      <w:r w:rsidRPr="00A00556">
        <w:t xml:space="preserve"> be cost-neutral compared </w:t>
      </w:r>
      <w:r>
        <w:t>with</w:t>
      </w:r>
      <w:r w:rsidRPr="00A00556">
        <w:t xml:space="preserve"> </w:t>
      </w:r>
      <w:proofErr w:type="spellStart"/>
      <w:r w:rsidRPr="00A00556">
        <w:t>MitraClip</w:t>
      </w:r>
      <w:proofErr w:type="spellEnd"/>
      <w:r w:rsidRPr="00A00556">
        <w:t>.</w:t>
      </w:r>
    </w:p>
    <w:p w14:paraId="75A37352" w14:textId="44F93357" w:rsidR="005E3CDE" w:rsidRPr="00A00556" w:rsidRDefault="005E3CDE" w:rsidP="005E3CDE">
      <w:pPr>
        <w:rPr>
          <w:rStyle w:val="Strong"/>
          <w:b w:val="0"/>
          <w:bCs w:val="0"/>
        </w:rPr>
      </w:pPr>
      <w:r w:rsidRPr="00A00556">
        <w:t xml:space="preserve">ESC noted that under the assumption that any procedure using the PASCAL device would be offset by a reduction in </w:t>
      </w:r>
      <w:proofErr w:type="spellStart"/>
      <w:r w:rsidRPr="00A00556">
        <w:t>MitraClip</w:t>
      </w:r>
      <w:proofErr w:type="spellEnd"/>
      <w:r w:rsidRPr="00A00556">
        <w:t xml:space="preserve"> procedures, the listing of PASCAL would result in no net increase to the MBS budget. </w:t>
      </w:r>
      <w:r>
        <w:t>ESC considered this to be reasonable</w:t>
      </w:r>
      <w:r w:rsidRPr="00A00556">
        <w:t xml:space="preserve"> given that there are no changes to the eligibility criteria for the </w:t>
      </w:r>
      <w:proofErr w:type="spellStart"/>
      <w:r w:rsidRPr="00A00556">
        <w:t>TMVr</w:t>
      </w:r>
      <w:proofErr w:type="spellEnd"/>
      <w:r w:rsidRPr="00A00556">
        <w:t>, and the changes make the existing items device agnostic.</w:t>
      </w:r>
      <w:r>
        <w:t xml:space="preserve"> However, </w:t>
      </w:r>
      <w:r w:rsidRPr="00A00556">
        <w:rPr>
          <w:rStyle w:val="Strong"/>
          <w:b w:val="0"/>
          <w:bCs w:val="0"/>
        </w:rPr>
        <w:t xml:space="preserve">ESC </w:t>
      </w:r>
      <w:r>
        <w:rPr>
          <w:rStyle w:val="Strong"/>
          <w:b w:val="0"/>
          <w:bCs w:val="0"/>
        </w:rPr>
        <w:t>noted concerns from the consumer feedback and commentary regarding potential for unmet need and increased patient numbers due to increasing supply and access to PASCAL. ESC noted the</w:t>
      </w:r>
      <w:r w:rsidRPr="00A00556">
        <w:rPr>
          <w:rStyle w:val="Strong"/>
          <w:b w:val="0"/>
          <w:bCs w:val="0"/>
        </w:rPr>
        <w:t xml:space="preserve"> sensitivity analysis exploring the potential impact of market growth due to PASCAL shows that at 10% market growth, the budget impact to the MBS of the additional procedures would be $34,968 by 2028.</w:t>
      </w:r>
      <w:r>
        <w:rPr>
          <w:rStyle w:val="Strong"/>
          <w:b w:val="0"/>
          <w:bCs w:val="0"/>
        </w:rPr>
        <w:t xml:space="preserve"> </w:t>
      </w:r>
      <w:r>
        <w:t xml:space="preserve">ESC considered that real world data from the registry around the proportion of a patients treated successfully with PASCAL who are unsuitable for </w:t>
      </w:r>
      <w:proofErr w:type="spellStart"/>
      <w:r>
        <w:t>MitraClip</w:t>
      </w:r>
      <w:proofErr w:type="spellEnd"/>
      <w:r>
        <w:t xml:space="preserve"> could help define the potential unmet need population and validate the growth rate estimates, aiding decision making around the financial/budgetary impacts.</w:t>
      </w:r>
    </w:p>
    <w:p w14:paraId="1A8C139E" w14:textId="5D58EB3E" w:rsidR="005E3CDE" w:rsidRPr="00A00556" w:rsidRDefault="005E3CDE" w:rsidP="005E3CDE">
      <w:pPr>
        <w:rPr>
          <w:rStyle w:val="Strong"/>
          <w:b w:val="0"/>
          <w:bCs w:val="0"/>
        </w:rPr>
      </w:pPr>
      <w:r w:rsidRPr="00A00556">
        <w:rPr>
          <w:rStyle w:val="Strong"/>
          <w:b w:val="0"/>
          <w:bCs w:val="0"/>
        </w:rPr>
        <w:t>ESC noted the financial implications to total health budgets resulting from the proposed listing of PASCAL</w:t>
      </w:r>
      <w:r>
        <w:rPr>
          <w:rStyle w:val="Strong"/>
          <w:b w:val="0"/>
          <w:bCs w:val="0"/>
        </w:rPr>
        <w:t xml:space="preserve"> </w:t>
      </w:r>
      <w:r w:rsidRPr="00A00556">
        <w:rPr>
          <w:rStyle w:val="Strong"/>
          <w:b w:val="0"/>
          <w:bCs w:val="0"/>
        </w:rPr>
        <w:t>assum</w:t>
      </w:r>
      <w:r>
        <w:rPr>
          <w:rStyle w:val="Strong"/>
          <w:b w:val="0"/>
          <w:bCs w:val="0"/>
        </w:rPr>
        <w:t xml:space="preserve">es </w:t>
      </w:r>
      <w:r w:rsidRPr="00A00556">
        <w:rPr>
          <w:rStyle w:val="Strong"/>
          <w:b w:val="0"/>
          <w:bCs w:val="0"/>
        </w:rPr>
        <w:t>no market growth,</w:t>
      </w:r>
      <w:r>
        <w:rPr>
          <w:rStyle w:val="Strong"/>
          <w:b w:val="0"/>
          <w:bCs w:val="0"/>
        </w:rPr>
        <w:t xml:space="preserve"> where</w:t>
      </w:r>
      <w:r w:rsidRPr="00A00556">
        <w:rPr>
          <w:rStyle w:val="Strong"/>
          <w:b w:val="0"/>
          <w:bCs w:val="0"/>
        </w:rPr>
        <w:t xml:space="preserve"> any procedure using the PASCAL device would be offset by a reduction in </w:t>
      </w:r>
      <w:proofErr w:type="spellStart"/>
      <w:r w:rsidRPr="00A00556">
        <w:rPr>
          <w:rStyle w:val="Strong"/>
          <w:b w:val="0"/>
          <w:bCs w:val="0"/>
        </w:rPr>
        <w:t>MitraClip</w:t>
      </w:r>
      <w:proofErr w:type="spellEnd"/>
      <w:r>
        <w:rPr>
          <w:rStyle w:val="Strong"/>
          <w:b w:val="0"/>
          <w:bCs w:val="0"/>
        </w:rPr>
        <w:t>.</w:t>
      </w:r>
      <w:r w:rsidRPr="00A00556">
        <w:rPr>
          <w:rStyle w:val="Strong"/>
          <w:b w:val="0"/>
          <w:bCs w:val="0"/>
        </w:rPr>
        <w:t xml:space="preserve"> The proposed price for PASCAL aligns with the current</w:t>
      </w:r>
      <w:r>
        <w:rPr>
          <w:rStyle w:val="Strong"/>
          <w:b w:val="0"/>
          <w:bCs w:val="0"/>
        </w:rPr>
        <w:t xml:space="preserve"> Pr</w:t>
      </w:r>
      <w:r w:rsidR="002E6791">
        <w:rPr>
          <w:rStyle w:val="Strong"/>
          <w:b w:val="0"/>
          <w:bCs w:val="0"/>
        </w:rPr>
        <w:t>e</w:t>
      </w:r>
      <w:r>
        <w:rPr>
          <w:rStyle w:val="Strong"/>
          <w:b w:val="0"/>
          <w:bCs w:val="0"/>
        </w:rPr>
        <w:t>scribed List price</w:t>
      </w:r>
      <w:r w:rsidRPr="00A00556">
        <w:rPr>
          <w:rStyle w:val="Strong"/>
          <w:b w:val="0"/>
          <w:bCs w:val="0"/>
        </w:rPr>
        <w:t xml:space="preserve"> for </w:t>
      </w:r>
      <w:proofErr w:type="spellStart"/>
      <w:r w:rsidRPr="00A00556">
        <w:rPr>
          <w:rStyle w:val="Strong"/>
          <w:b w:val="0"/>
          <w:bCs w:val="0"/>
        </w:rPr>
        <w:t>MitraClip</w:t>
      </w:r>
      <w:proofErr w:type="spellEnd"/>
      <w:r w:rsidRPr="00A00556">
        <w:rPr>
          <w:rStyle w:val="Strong"/>
          <w:b w:val="0"/>
          <w:bCs w:val="0"/>
        </w:rPr>
        <w:t xml:space="preserve"> of $26,386.00. Procedure costs are expected to be the same. ESC noted that the ADAR financial analysis did not include the downstream hospitalisation costs associated with MAEs. Including these based on 30-day MAEs but excluding HFHs as per the ADAR economic evaluation base case would provide annual saving of $33,077 by 2028. However, using 1-year MAEs including HFHs would result in a cost increase of $4,575.</w:t>
      </w:r>
    </w:p>
    <w:p w14:paraId="0AD94D93" w14:textId="065F2CF1" w:rsidR="005E3CDE" w:rsidRPr="00A00556" w:rsidRDefault="005E3CDE" w:rsidP="005E3CDE">
      <w:pPr>
        <w:rPr>
          <w:rStyle w:val="Strong"/>
          <w:b w:val="0"/>
          <w:bCs w:val="0"/>
        </w:rPr>
      </w:pPr>
      <w:r w:rsidRPr="00A00556">
        <w:rPr>
          <w:rStyle w:val="Strong"/>
          <w:b w:val="0"/>
          <w:bCs w:val="0"/>
        </w:rPr>
        <w:t>Including market growth of 10% with no downstream hospitalisations would result in net costs to the health system of $</w:t>
      </w:r>
      <w:r w:rsidR="00B93382" w:rsidRPr="00B93382">
        <w:rPr>
          <w:rStyle w:val="Strong"/>
          <w:bCs w:val="0"/>
        </w:rPr>
        <w:t>redacted</w:t>
      </w:r>
      <w:r w:rsidRPr="00A00556">
        <w:rPr>
          <w:rStyle w:val="Strong"/>
          <w:b w:val="0"/>
          <w:bCs w:val="0"/>
        </w:rPr>
        <w:t xml:space="preserve"> by 2028. Including downstream costs for 1-year MAEs and HFHs would increase this to $</w:t>
      </w:r>
      <w:r w:rsidR="00B93382" w:rsidRPr="00B93382">
        <w:rPr>
          <w:rStyle w:val="Strong"/>
          <w:bCs w:val="0"/>
        </w:rPr>
        <w:t>redacted</w:t>
      </w:r>
      <w:r w:rsidRPr="00A00556">
        <w:rPr>
          <w:rStyle w:val="Strong"/>
          <w:b w:val="0"/>
          <w:bCs w:val="0"/>
        </w:rPr>
        <w:t xml:space="preserve"> by 2028.</w:t>
      </w:r>
    </w:p>
    <w:p w14:paraId="4D81A438" w14:textId="77777777" w:rsidR="005E3CDE" w:rsidRPr="00A00556" w:rsidRDefault="005E3CDE" w:rsidP="005E3CDE">
      <w:pPr>
        <w:rPr>
          <w:rStyle w:val="Strong"/>
          <w:b w:val="0"/>
          <w:bCs w:val="0"/>
        </w:rPr>
      </w:pPr>
      <w:r w:rsidRPr="00A00556">
        <w:rPr>
          <w:rStyle w:val="Strong"/>
          <w:b w:val="0"/>
          <w:bCs w:val="0"/>
        </w:rPr>
        <w:t>ESC considered the 10% estimate of market growth to be informative for an argument to test what impact it has, particularly given that the applicant has proposed the impact is small or none.</w:t>
      </w:r>
    </w:p>
    <w:p w14:paraId="0185CB72" w14:textId="49E2B67B" w:rsidR="005E3CDE" w:rsidRPr="00A00556" w:rsidRDefault="005E3CDE" w:rsidP="005E3CDE">
      <w:pPr>
        <w:rPr>
          <w:rStyle w:val="Strong"/>
          <w:b w:val="0"/>
          <w:bCs w:val="0"/>
        </w:rPr>
      </w:pPr>
      <w:r w:rsidRPr="00A00556">
        <w:rPr>
          <w:rStyle w:val="Strong"/>
          <w:b w:val="0"/>
          <w:bCs w:val="0"/>
        </w:rPr>
        <w:t>ESC recalled</w:t>
      </w:r>
      <w:r>
        <w:rPr>
          <w:rStyle w:val="Strong"/>
          <w:b w:val="0"/>
          <w:bCs w:val="0"/>
        </w:rPr>
        <w:t xml:space="preserve"> the previous</w:t>
      </w:r>
      <w:r w:rsidRPr="00A00556">
        <w:rPr>
          <w:rStyle w:val="Strong"/>
          <w:b w:val="0"/>
          <w:bCs w:val="0"/>
        </w:rPr>
        <w:t xml:space="preserve"> MSAC’s concern about additional costs</w:t>
      </w:r>
      <w:r>
        <w:rPr>
          <w:rStyle w:val="Strong"/>
          <w:b w:val="0"/>
          <w:bCs w:val="0"/>
        </w:rPr>
        <w:t xml:space="preserve"> of accessories and non-standard consumables</w:t>
      </w:r>
      <w:r w:rsidRPr="00A00556">
        <w:rPr>
          <w:rStyle w:val="Strong"/>
          <w:b w:val="0"/>
          <w:bCs w:val="0"/>
        </w:rPr>
        <w:t xml:space="preserve"> that may be charged outside of the standard hospital/insurer arrangements that were not addressed in the ADAR. ESC noted that this application is for the whole PASCAL system to be listed on the Prescribed List, not only the device.</w:t>
      </w:r>
      <w:r w:rsidRPr="00A00556">
        <w:t xml:space="preserve"> </w:t>
      </w:r>
      <w:r>
        <w:t xml:space="preserve"> The </w:t>
      </w:r>
      <w:r w:rsidRPr="00A00556">
        <w:t>pre-ESC response</w:t>
      </w:r>
      <w:r>
        <w:t xml:space="preserve"> stated </w:t>
      </w:r>
      <w:r w:rsidRPr="00A00556">
        <w:t xml:space="preserve">the proposed fee for PASCAL on the Prescribed List includes all device and consumable costs that may be incurred. In line with existing arrangements for </w:t>
      </w:r>
      <w:proofErr w:type="spellStart"/>
      <w:r w:rsidRPr="00A00556">
        <w:t>MitraClip</w:t>
      </w:r>
      <w:proofErr w:type="spellEnd"/>
      <w:r w:rsidRPr="00A00556">
        <w:t>, only one device fee will be charged per procedure, irrespective of the number of devices used.</w:t>
      </w:r>
      <w:r>
        <w:t xml:space="preserve"> The applicant in its pre-ESC response also confirmed that there are there</w:t>
      </w:r>
      <w:r w:rsidRPr="00DD6190">
        <w:t xml:space="preserve"> are no proposed costs that will be charged </w:t>
      </w:r>
      <w:r w:rsidR="00355680" w:rsidRPr="00DD6190">
        <w:t>out</w:t>
      </w:r>
      <w:r w:rsidR="00355680">
        <w:t xml:space="preserve">side </w:t>
      </w:r>
      <w:r w:rsidRPr="00DD6190">
        <w:t>the standard arrangements.</w:t>
      </w:r>
    </w:p>
    <w:p w14:paraId="61CA9F74" w14:textId="197F701E" w:rsidR="005E3CDE" w:rsidRDefault="005E3CDE" w:rsidP="005E3CDE">
      <w:pPr>
        <w:rPr>
          <w:rStyle w:val="Strong"/>
          <w:b w:val="0"/>
          <w:bCs w:val="0"/>
        </w:rPr>
      </w:pPr>
      <w:r w:rsidRPr="00A00556">
        <w:rPr>
          <w:rStyle w:val="Strong"/>
          <w:b w:val="0"/>
          <w:bCs w:val="0"/>
        </w:rPr>
        <w:t xml:space="preserve">ESC noted that although MSAC </w:t>
      </w:r>
      <w:r>
        <w:rPr>
          <w:rStyle w:val="Strong"/>
          <w:b w:val="0"/>
          <w:bCs w:val="0"/>
        </w:rPr>
        <w:t>considered</w:t>
      </w:r>
      <w:r w:rsidRPr="00A00556">
        <w:rPr>
          <w:rStyle w:val="Strong"/>
          <w:b w:val="0"/>
          <w:bCs w:val="0"/>
        </w:rPr>
        <w:t xml:space="preserve"> 2 years’ worth of data</w:t>
      </w:r>
      <w:r>
        <w:rPr>
          <w:rStyle w:val="Strong"/>
          <w:b w:val="0"/>
          <w:bCs w:val="0"/>
        </w:rPr>
        <w:t xml:space="preserve"> for functional outcomes such as overall survival and NYHA class would be informative for demonstrating noninferiority</w:t>
      </w:r>
      <w:r w:rsidRPr="00A00556">
        <w:rPr>
          <w:rStyle w:val="Strong"/>
          <w:b w:val="0"/>
          <w:bCs w:val="0"/>
        </w:rPr>
        <w:t xml:space="preserve">, only 1 year is available. </w:t>
      </w:r>
      <w:r>
        <w:rPr>
          <w:rStyle w:val="Strong"/>
          <w:b w:val="0"/>
          <w:bCs w:val="0"/>
        </w:rPr>
        <w:t xml:space="preserve">ESC noted that the primary endpoints and secondary analyses for comparative safety and effectiveness demonstrated non-inferiority. ESC also considered that although uncertain, the </w:t>
      </w:r>
      <w:r w:rsidR="00147B08">
        <w:rPr>
          <w:rStyle w:val="Strong"/>
          <w:b w:val="0"/>
          <w:bCs w:val="0"/>
        </w:rPr>
        <w:t>1-year</w:t>
      </w:r>
      <w:r>
        <w:rPr>
          <w:rStyle w:val="Strong"/>
          <w:b w:val="0"/>
          <w:bCs w:val="0"/>
        </w:rPr>
        <w:t xml:space="preserve"> clinical trial data did not suggest that comparative effectiveness would reduce over the immediate longer term. Thus,</w:t>
      </w:r>
      <w:r w:rsidRPr="00A00556">
        <w:rPr>
          <w:rStyle w:val="Strong"/>
          <w:b w:val="0"/>
          <w:bCs w:val="0"/>
        </w:rPr>
        <w:t xml:space="preserve"> ESC </w:t>
      </w:r>
      <w:r w:rsidRPr="00A00556" w:rsidDel="00D90A7B">
        <w:rPr>
          <w:rStyle w:val="Strong"/>
          <w:b w:val="0"/>
          <w:bCs w:val="0"/>
        </w:rPr>
        <w:t>did not expect</w:t>
      </w:r>
      <w:r w:rsidRPr="00A00556">
        <w:rPr>
          <w:rStyle w:val="Strong"/>
          <w:b w:val="0"/>
          <w:bCs w:val="0"/>
        </w:rPr>
        <w:t xml:space="preserve"> the additional data </w:t>
      </w:r>
      <w:r>
        <w:rPr>
          <w:rStyle w:val="Strong"/>
          <w:b w:val="0"/>
          <w:bCs w:val="0"/>
        </w:rPr>
        <w:t xml:space="preserve">likely </w:t>
      </w:r>
      <w:r w:rsidRPr="00A00556">
        <w:rPr>
          <w:rStyle w:val="Strong"/>
          <w:b w:val="0"/>
          <w:bCs w:val="0"/>
        </w:rPr>
        <w:t>to substantially influence decision-making.</w:t>
      </w:r>
    </w:p>
    <w:p w14:paraId="0494ACF8" w14:textId="77777777" w:rsidR="005E3CDE" w:rsidRDefault="005E3CDE" w:rsidP="005E3CDE">
      <w:pPr>
        <w:pStyle w:val="Heading2"/>
        <w:numPr>
          <w:ilvl w:val="0"/>
          <w:numId w:val="0"/>
        </w:numPr>
      </w:pPr>
      <w:r>
        <w:t>17.</w:t>
      </w:r>
      <w:r>
        <w:tab/>
        <w:t>Applicant comments on MSAC’s Public Summary Document</w:t>
      </w:r>
    </w:p>
    <w:p w14:paraId="1A2E0DD6" w14:textId="52AC664C" w:rsidR="00DF00A1" w:rsidRPr="00B93382" w:rsidRDefault="00DF00A1" w:rsidP="005E3CDE">
      <w:pPr>
        <w:spacing w:after="240"/>
      </w:pPr>
      <w:r w:rsidRPr="00B93382">
        <w:t xml:space="preserve">Edwards Lifesciences is pleased </w:t>
      </w:r>
      <w:r w:rsidR="005B2204" w:rsidRPr="00B93382">
        <w:rPr>
          <w:rStyle w:val="normaltextrun"/>
          <w:shd w:val="clear" w:color="auto" w:fill="FFFFFF"/>
        </w:rPr>
        <w:t>MSAC supported the amendment of (MBS) item 38461 for transcatheter mitral valve repair (</w:t>
      </w:r>
      <w:proofErr w:type="spellStart"/>
      <w:r w:rsidR="005B2204" w:rsidRPr="00B93382">
        <w:rPr>
          <w:rStyle w:val="normaltextrun"/>
          <w:shd w:val="clear" w:color="auto" w:fill="FFFFFF"/>
        </w:rPr>
        <w:t>TMVr</w:t>
      </w:r>
      <w:proofErr w:type="spellEnd"/>
      <w:r w:rsidR="005B2204" w:rsidRPr="00B93382">
        <w:rPr>
          <w:rStyle w:val="normaltextrun"/>
          <w:shd w:val="clear" w:color="auto" w:fill="FFFFFF"/>
        </w:rPr>
        <w:t xml:space="preserve">) by transvenous or transeptal techniques to be device agnostic allowing the PASCAL device to be included for the treatment of degenerative mitral regurgitation (DMR) giving clinicians and patients additional clinical treatment options. </w:t>
      </w:r>
    </w:p>
    <w:p w14:paraId="12468D68" w14:textId="77777777" w:rsidR="005E3CDE" w:rsidRDefault="005E3CDE" w:rsidP="005E3CDE">
      <w:pPr>
        <w:pStyle w:val="Heading2"/>
        <w:numPr>
          <w:ilvl w:val="0"/>
          <w:numId w:val="0"/>
        </w:numPr>
      </w:pPr>
      <w:r>
        <w:t>18.</w:t>
      </w:r>
      <w:r>
        <w:tab/>
        <w:t>Further information on MSAC</w:t>
      </w:r>
    </w:p>
    <w:p w14:paraId="79DBE95E" w14:textId="50D70365" w:rsidR="005E3CDE" w:rsidRPr="005E3CDE" w:rsidRDefault="005E3CDE" w:rsidP="005E3CDE">
      <w:pPr>
        <w:pStyle w:val="BodyText"/>
        <w:rPr>
          <w:rFonts w:ascii="Franklin Gothic Book" w:hAnsi="Franklin Gothic Book" w:cstheme="minorBidi"/>
          <w:b/>
          <w:bCs/>
          <w:i/>
          <w:iCs/>
          <w:sz w:val="22"/>
        </w:rPr>
      </w:pPr>
      <w:r w:rsidRPr="00F309FA">
        <w:rPr>
          <w:rFonts w:ascii="Franklin Gothic Book" w:hAnsi="Franklin Gothic Book"/>
          <w:bCs/>
          <w:iCs/>
          <w:sz w:val="22"/>
        </w:rPr>
        <w:t xml:space="preserve">MSAC Terms of Reference and other information are available on the MSAC Website: </w:t>
      </w:r>
      <w:hyperlink r:id="rId31" w:tooltip="Link to the MSAC website" w:history="1">
        <w:r w:rsidRPr="00F309FA">
          <w:rPr>
            <w:rStyle w:val="Hyperlink"/>
            <w:rFonts w:ascii="Franklin Gothic Book" w:hAnsi="Franklin Gothic Book"/>
            <w:bCs/>
            <w:iCs/>
            <w:sz w:val="22"/>
          </w:rPr>
          <w:t>visit the MSAC website</w:t>
        </w:r>
      </w:hyperlink>
    </w:p>
    <w:sectPr w:rsidR="005E3CDE" w:rsidRPr="005E3CDE" w:rsidSect="00615D3A">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880A4" w14:textId="77777777" w:rsidR="009D27C1" w:rsidRDefault="009D27C1" w:rsidP="00B62DF2">
      <w:pPr>
        <w:spacing w:after="0" w:line="240" w:lineRule="auto"/>
      </w:pPr>
      <w:r>
        <w:separator/>
      </w:r>
    </w:p>
  </w:endnote>
  <w:endnote w:type="continuationSeparator" w:id="0">
    <w:p w14:paraId="54C98BE9" w14:textId="77777777" w:rsidR="009D27C1" w:rsidRDefault="009D27C1" w:rsidP="00B62DF2">
      <w:pPr>
        <w:spacing w:after="0" w:line="240" w:lineRule="auto"/>
      </w:pPr>
      <w:r>
        <w:continuationSeparator/>
      </w:r>
    </w:p>
  </w:endnote>
  <w:endnote w:type="continuationNotice" w:id="1">
    <w:p w14:paraId="292BF2A8" w14:textId="77777777" w:rsidR="009D27C1" w:rsidRDefault="009D27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229891"/>
      <w:docPartObj>
        <w:docPartGallery w:val="Page Numbers (Bottom of Page)"/>
        <w:docPartUnique/>
      </w:docPartObj>
    </w:sdtPr>
    <w:sdtEndPr>
      <w:rPr>
        <w:noProof/>
      </w:rPr>
    </w:sdtEndPr>
    <w:sdtContent>
      <w:p w14:paraId="7C21BBFB" w14:textId="77777777" w:rsidR="00997D73" w:rsidRDefault="00997D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00CB76" w14:textId="77777777" w:rsidR="00997D73" w:rsidRDefault="00997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815B" w14:textId="77777777" w:rsidR="003850A8" w:rsidRDefault="003850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8E4F" w14:textId="77777777" w:rsidR="003850A8" w:rsidRDefault="003850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D499" w14:textId="7F969B9D" w:rsidR="005947B5" w:rsidRDefault="005947B5" w:rsidP="00F56916">
    <w:pPr>
      <w:pStyle w:val="Footer"/>
      <w:jc w:val="right"/>
    </w:pPr>
    <w:r>
      <w:fldChar w:fldCharType="begin"/>
    </w:r>
    <w:r>
      <w:instrText xml:space="preserve"> PAGE   \* MERGEFORMAT </w:instrText>
    </w:r>
    <w:r>
      <w:fldChar w:fldCharType="separate"/>
    </w:r>
    <w:r w:rsidR="00120BD3">
      <w:rPr>
        <w:noProof/>
      </w:rPr>
      <w:t>22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7AC1580E" w:rsidR="005947B5" w:rsidRDefault="005947B5" w:rsidP="00052DD3">
        <w:pPr>
          <w:pStyle w:val="Footer"/>
          <w:jc w:val="right"/>
        </w:pPr>
        <w:r>
          <w:fldChar w:fldCharType="begin"/>
        </w:r>
        <w:r>
          <w:instrText xml:space="preserve"> PAGE   \* MERGEFORMAT </w:instrText>
        </w:r>
        <w:r>
          <w:fldChar w:fldCharType="separate"/>
        </w:r>
        <w:r w:rsidR="00120BD3">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653CD" w14:textId="77777777" w:rsidR="009D27C1" w:rsidRDefault="009D27C1" w:rsidP="00B62DF2">
      <w:pPr>
        <w:spacing w:after="0" w:line="240" w:lineRule="auto"/>
      </w:pPr>
      <w:r>
        <w:separator/>
      </w:r>
    </w:p>
  </w:footnote>
  <w:footnote w:type="continuationSeparator" w:id="0">
    <w:p w14:paraId="343B43F0" w14:textId="77777777" w:rsidR="009D27C1" w:rsidRDefault="009D27C1" w:rsidP="00B62DF2">
      <w:pPr>
        <w:spacing w:after="0" w:line="240" w:lineRule="auto"/>
      </w:pPr>
      <w:r>
        <w:continuationSeparator/>
      </w:r>
    </w:p>
  </w:footnote>
  <w:footnote w:type="continuationNotice" w:id="1">
    <w:p w14:paraId="794D378B" w14:textId="77777777" w:rsidR="009D27C1" w:rsidRDefault="009D27C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96F2" w14:textId="77777777" w:rsidR="003850A8" w:rsidRDefault="00385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E980" w14:textId="77777777" w:rsidR="003850A8" w:rsidRDefault="003850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DD73" w14:textId="77777777" w:rsidR="003850A8" w:rsidRDefault="00385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7FF3"/>
    <w:multiLevelType w:val="hybridMultilevel"/>
    <w:tmpl w:val="B658D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E51854"/>
    <w:multiLevelType w:val="hybridMultilevel"/>
    <w:tmpl w:val="18FA8C5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FF556F"/>
    <w:multiLevelType w:val="hybridMultilevel"/>
    <w:tmpl w:val="89C84A26"/>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BD3F3C"/>
    <w:multiLevelType w:val="hybridMultilevel"/>
    <w:tmpl w:val="2B945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E2AA4"/>
    <w:multiLevelType w:val="hybridMultilevel"/>
    <w:tmpl w:val="270664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2C6847"/>
    <w:multiLevelType w:val="hybridMultilevel"/>
    <w:tmpl w:val="67EC27D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4212FE"/>
    <w:multiLevelType w:val="hybridMultilevel"/>
    <w:tmpl w:val="830E11B6"/>
    <w:styleLink w:val="ESSectionheading-numbered"/>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D14811"/>
    <w:multiLevelType w:val="hybridMultilevel"/>
    <w:tmpl w:val="F11AFAE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AE5894"/>
    <w:multiLevelType w:val="hybridMultilevel"/>
    <w:tmpl w:val="9A94C2E2"/>
    <w:lvl w:ilvl="0" w:tplc="0C090019">
      <w:start w:val="1"/>
      <w:numFmt w:val="lowerLetter"/>
      <w:lvlText w:val="%1."/>
      <w:lvlJc w:val="left"/>
      <w:pPr>
        <w:ind w:left="690" w:hanging="360"/>
      </w:pPr>
    </w:lvl>
    <w:lvl w:ilvl="1" w:tplc="0C090019" w:tentative="1">
      <w:start w:val="1"/>
      <w:numFmt w:val="lowerLetter"/>
      <w:lvlText w:val="%2."/>
      <w:lvlJc w:val="left"/>
      <w:pPr>
        <w:ind w:left="1410" w:hanging="360"/>
      </w:pPr>
    </w:lvl>
    <w:lvl w:ilvl="2" w:tplc="0C09001B" w:tentative="1">
      <w:start w:val="1"/>
      <w:numFmt w:val="lowerRoman"/>
      <w:lvlText w:val="%3."/>
      <w:lvlJc w:val="right"/>
      <w:pPr>
        <w:ind w:left="2130" w:hanging="180"/>
      </w:pPr>
    </w:lvl>
    <w:lvl w:ilvl="3" w:tplc="0C09000F" w:tentative="1">
      <w:start w:val="1"/>
      <w:numFmt w:val="decimal"/>
      <w:lvlText w:val="%4."/>
      <w:lvlJc w:val="left"/>
      <w:pPr>
        <w:ind w:left="2850" w:hanging="360"/>
      </w:pPr>
    </w:lvl>
    <w:lvl w:ilvl="4" w:tplc="0C090019" w:tentative="1">
      <w:start w:val="1"/>
      <w:numFmt w:val="lowerLetter"/>
      <w:lvlText w:val="%5."/>
      <w:lvlJc w:val="left"/>
      <w:pPr>
        <w:ind w:left="3570" w:hanging="360"/>
      </w:pPr>
    </w:lvl>
    <w:lvl w:ilvl="5" w:tplc="0C09001B" w:tentative="1">
      <w:start w:val="1"/>
      <w:numFmt w:val="lowerRoman"/>
      <w:lvlText w:val="%6."/>
      <w:lvlJc w:val="right"/>
      <w:pPr>
        <w:ind w:left="4290" w:hanging="180"/>
      </w:pPr>
    </w:lvl>
    <w:lvl w:ilvl="6" w:tplc="0C09000F" w:tentative="1">
      <w:start w:val="1"/>
      <w:numFmt w:val="decimal"/>
      <w:lvlText w:val="%7."/>
      <w:lvlJc w:val="left"/>
      <w:pPr>
        <w:ind w:left="5010" w:hanging="360"/>
      </w:pPr>
    </w:lvl>
    <w:lvl w:ilvl="7" w:tplc="0C090019" w:tentative="1">
      <w:start w:val="1"/>
      <w:numFmt w:val="lowerLetter"/>
      <w:lvlText w:val="%8."/>
      <w:lvlJc w:val="left"/>
      <w:pPr>
        <w:ind w:left="5730" w:hanging="360"/>
      </w:pPr>
    </w:lvl>
    <w:lvl w:ilvl="8" w:tplc="0C09001B" w:tentative="1">
      <w:start w:val="1"/>
      <w:numFmt w:val="lowerRoman"/>
      <w:lvlText w:val="%9."/>
      <w:lvlJc w:val="right"/>
      <w:pPr>
        <w:ind w:left="6450" w:hanging="180"/>
      </w:pPr>
    </w:lvl>
  </w:abstractNum>
  <w:abstractNum w:abstractNumId="14" w15:restartNumberingAfterBreak="0">
    <w:nsid w:val="42865181"/>
    <w:multiLevelType w:val="hybridMultilevel"/>
    <w:tmpl w:val="FE0A6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A750432"/>
    <w:multiLevelType w:val="hybridMultilevel"/>
    <w:tmpl w:val="1EFE79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3C157F"/>
    <w:multiLevelType w:val="hybridMultilevel"/>
    <w:tmpl w:val="9DCE6B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E258A6"/>
    <w:multiLevelType w:val="multilevel"/>
    <w:tmpl w:val="50D4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C4B4D"/>
    <w:multiLevelType w:val="hybridMultilevel"/>
    <w:tmpl w:val="2D160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FB4961"/>
    <w:multiLevelType w:val="hybridMultilevel"/>
    <w:tmpl w:val="8A9AB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108279502">
    <w:abstractNumId w:val="10"/>
  </w:num>
  <w:num w:numId="2" w16cid:durableId="1928803284">
    <w:abstractNumId w:val="23"/>
  </w:num>
  <w:num w:numId="3" w16cid:durableId="1052195478">
    <w:abstractNumId w:val="11"/>
  </w:num>
  <w:num w:numId="4" w16cid:durableId="466900443">
    <w:abstractNumId w:val="2"/>
  </w:num>
  <w:num w:numId="5" w16cid:durableId="1255289355">
    <w:abstractNumId w:val="18"/>
  </w:num>
  <w:num w:numId="6" w16cid:durableId="544563839">
    <w:abstractNumId w:val="7"/>
  </w:num>
  <w:num w:numId="7" w16cid:durableId="721635337">
    <w:abstractNumId w:val="8"/>
  </w:num>
  <w:num w:numId="8" w16cid:durableId="1786919641">
    <w:abstractNumId w:val="9"/>
  </w:num>
  <w:num w:numId="9" w16cid:durableId="969165755">
    <w:abstractNumId w:val="12"/>
  </w:num>
  <w:num w:numId="10" w16cid:durableId="1546943277">
    <w:abstractNumId w:val="15"/>
  </w:num>
  <w:num w:numId="11" w16cid:durableId="1373505494">
    <w:abstractNumId w:val="14"/>
  </w:num>
  <w:num w:numId="12" w16cid:durableId="1625036273">
    <w:abstractNumId w:val="17"/>
  </w:num>
  <w:num w:numId="13" w16cid:durableId="1793014137">
    <w:abstractNumId w:val="6"/>
  </w:num>
  <w:num w:numId="14" w16cid:durableId="1087460661">
    <w:abstractNumId w:val="1"/>
  </w:num>
  <w:num w:numId="15" w16cid:durableId="1638797985">
    <w:abstractNumId w:val="16"/>
  </w:num>
  <w:num w:numId="16" w16cid:durableId="910193352">
    <w:abstractNumId w:val="13"/>
  </w:num>
  <w:num w:numId="17" w16cid:durableId="124665606">
    <w:abstractNumId w:val="4"/>
  </w:num>
  <w:num w:numId="18" w16cid:durableId="1557661258">
    <w:abstractNumId w:val="22"/>
  </w:num>
  <w:num w:numId="19" w16cid:durableId="754979549">
    <w:abstractNumId w:val="5"/>
  </w:num>
  <w:num w:numId="20" w16cid:durableId="1080754642">
    <w:abstractNumId w:val="0"/>
  </w:num>
  <w:num w:numId="21" w16cid:durableId="2005236139">
    <w:abstractNumId w:val="21"/>
  </w:num>
  <w:num w:numId="22" w16cid:durableId="1489862217">
    <w:abstractNumId w:val="3"/>
  </w:num>
  <w:num w:numId="23" w16cid:durableId="1737972829">
    <w:abstractNumId w:val="20"/>
  </w:num>
  <w:num w:numId="24" w16cid:durableId="620384220">
    <w:abstractNumId w:val="10"/>
  </w:num>
  <w:num w:numId="25" w16cid:durableId="132530691">
    <w:abstractNumId w:val="10"/>
  </w:num>
  <w:num w:numId="26" w16cid:durableId="1865706453">
    <w:abstractNumId w:val="10"/>
  </w:num>
  <w:num w:numId="27" w16cid:durableId="1463504163">
    <w:abstractNumId w:val="10"/>
  </w:num>
  <w:num w:numId="28" w16cid:durableId="2032104226">
    <w:abstractNumId w:val="19"/>
  </w:num>
  <w:num w:numId="29" w16cid:durableId="12573262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83073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0929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83969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109A"/>
    <w:rsid w:val="00001859"/>
    <w:rsid w:val="00001AE6"/>
    <w:rsid w:val="00001D55"/>
    <w:rsid w:val="000020F0"/>
    <w:rsid w:val="00002126"/>
    <w:rsid w:val="00002A22"/>
    <w:rsid w:val="000035E3"/>
    <w:rsid w:val="000047E0"/>
    <w:rsid w:val="00004D69"/>
    <w:rsid w:val="00004F7F"/>
    <w:rsid w:val="000054C9"/>
    <w:rsid w:val="00005AA4"/>
    <w:rsid w:val="00007C91"/>
    <w:rsid w:val="0001133A"/>
    <w:rsid w:val="00011496"/>
    <w:rsid w:val="00011568"/>
    <w:rsid w:val="00011AB7"/>
    <w:rsid w:val="00014971"/>
    <w:rsid w:val="00014974"/>
    <w:rsid w:val="00015017"/>
    <w:rsid w:val="000155F5"/>
    <w:rsid w:val="000161FD"/>
    <w:rsid w:val="00016AC9"/>
    <w:rsid w:val="00016E7B"/>
    <w:rsid w:val="0001732B"/>
    <w:rsid w:val="00017603"/>
    <w:rsid w:val="00020CA6"/>
    <w:rsid w:val="000228B8"/>
    <w:rsid w:val="00022A2B"/>
    <w:rsid w:val="00022E25"/>
    <w:rsid w:val="0002364D"/>
    <w:rsid w:val="0002381B"/>
    <w:rsid w:val="000249ED"/>
    <w:rsid w:val="00024EA5"/>
    <w:rsid w:val="0002514E"/>
    <w:rsid w:val="000259C2"/>
    <w:rsid w:val="000267D4"/>
    <w:rsid w:val="000268C6"/>
    <w:rsid w:val="00026D35"/>
    <w:rsid w:val="0002755F"/>
    <w:rsid w:val="00027632"/>
    <w:rsid w:val="00027744"/>
    <w:rsid w:val="0002783C"/>
    <w:rsid w:val="00027BD9"/>
    <w:rsid w:val="00030110"/>
    <w:rsid w:val="0003032E"/>
    <w:rsid w:val="00030CFB"/>
    <w:rsid w:val="00033377"/>
    <w:rsid w:val="00033C27"/>
    <w:rsid w:val="00033F00"/>
    <w:rsid w:val="00033F56"/>
    <w:rsid w:val="0003423A"/>
    <w:rsid w:val="0003477F"/>
    <w:rsid w:val="00034FF9"/>
    <w:rsid w:val="000355B3"/>
    <w:rsid w:val="000357F5"/>
    <w:rsid w:val="0003622C"/>
    <w:rsid w:val="000366ED"/>
    <w:rsid w:val="00036AD8"/>
    <w:rsid w:val="00037037"/>
    <w:rsid w:val="00037302"/>
    <w:rsid w:val="0004005D"/>
    <w:rsid w:val="00040904"/>
    <w:rsid w:val="00040ADF"/>
    <w:rsid w:val="00040FB4"/>
    <w:rsid w:val="0004178C"/>
    <w:rsid w:val="00041D57"/>
    <w:rsid w:val="00041F5D"/>
    <w:rsid w:val="000424BD"/>
    <w:rsid w:val="00043787"/>
    <w:rsid w:val="00043A04"/>
    <w:rsid w:val="00043A0C"/>
    <w:rsid w:val="00043AF7"/>
    <w:rsid w:val="00043C79"/>
    <w:rsid w:val="000443A6"/>
    <w:rsid w:val="000449D1"/>
    <w:rsid w:val="00044CEE"/>
    <w:rsid w:val="000452AF"/>
    <w:rsid w:val="000456F8"/>
    <w:rsid w:val="00045B8D"/>
    <w:rsid w:val="00045CC5"/>
    <w:rsid w:val="00046230"/>
    <w:rsid w:val="00046399"/>
    <w:rsid w:val="00046B6A"/>
    <w:rsid w:val="00047153"/>
    <w:rsid w:val="000472D4"/>
    <w:rsid w:val="00047EF8"/>
    <w:rsid w:val="000502F6"/>
    <w:rsid w:val="00050505"/>
    <w:rsid w:val="00050A2D"/>
    <w:rsid w:val="00051621"/>
    <w:rsid w:val="00051658"/>
    <w:rsid w:val="0005248D"/>
    <w:rsid w:val="00052DB7"/>
    <w:rsid w:val="00052DD3"/>
    <w:rsid w:val="0005323D"/>
    <w:rsid w:val="0005326D"/>
    <w:rsid w:val="00053523"/>
    <w:rsid w:val="000536F7"/>
    <w:rsid w:val="00053987"/>
    <w:rsid w:val="00053F6C"/>
    <w:rsid w:val="00054C90"/>
    <w:rsid w:val="00054E3E"/>
    <w:rsid w:val="00055E8A"/>
    <w:rsid w:val="0005716C"/>
    <w:rsid w:val="000571DB"/>
    <w:rsid w:val="0005727D"/>
    <w:rsid w:val="000572C0"/>
    <w:rsid w:val="00057D31"/>
    <w:rsid w:val="000600ED"/>
    <w:rsid w:val="0006339C"/>
    <w:rsid w:val="00063E07"/>
    <w:rsid w:val="0006400A"/>
    <w:rsid w:val="0006415C"/>
    <w:rsid w:val="00064160"/>
    <w:rsid w:val="00064783"/>
    <w:rsid w:val="000647C2"/>
    <w:rsid w:val="00064AF0"/>
    <w:rsid w:val="00065EB6"/>
    <w:rsid w:val="00066DD8"/>
    <w:rsid w:val="0007021F"/>
    <w:rsid w:val="0007094A"/>
    <w:rsid w:val="000709A0"/>
    <w:rsid w:val="00070FA1"/>
    <w:rsid w:val="000716CE"/>
    <w:rsid w:val="0007236A"/>
    <w:rsid w:val="00072ABA"/>
    <w:rsid w:val="000739E6"/>
    <w:rsid w:val="00073CB3"/>
    <w:rsid w:val="00073F5F"/>
    <w:rsid w:val="00074199"/>
    <w:rsid w:val="000744BF"/>
    <w:rsid w:val="00074827"/>
    <w:rsid w:val="00075241"/>
    <w:rsid w:val="000800EA"/>
    <w:rsid w:val="00080241"/>
    <w:rsid w:val="00081259"/>
    <w:rsid w:val="000816CC"/>
    <w:rsid w:val="00081778"/>
    <w:rsid w:val="00081986"/>
    <w:rsid w:val="00082E71"/>
    <w:rsid w:val="00083262"/>
    <w:rsid w:val="00083484"/>
    <w:rsid w:val="0008367A"/>
    <w:rsid w:val="000838AD"/>
    <w:rsid w:val="0008392F"/>
    <w:rsid w:val="000842B6"/>
    <w:rsid w:val="000843BF"/>
    <w:rsid w:val="00084A45"/>
    <w:rsid w:val="00084C0B"/>
    <w:rsid w:val="00085470"/>
    <w:rsid w:val="00085BD9"/>
    <w:rsid w:val="0008671B"/>
    <w:rsid w:val="000870B6"/>
    <w:rsid w:val="0008742D"/>
    <w:rsid w:val="00090613"/>
    <w:rsid w:val="00090BD1"/>
    <w:rsid w:val="00091857"/>
    <w:rsid w:val="00091C59"/>
    <w:rsid w:val="00091CBE"/>
    <w:rsid w:val="0009277D"/>
    <w:rsid w:val="00092A21"/>
    <w:rsid w:val="00092D0A"/>
    <w:rsid w:val="00093D9A"/>
    <w:rsid w:val="00093F2B"/>
    <w:rsid w:val="00094656"/>
    <w:rsid w:val="00094AF8"/>
    <w:rsid w:val="00095643"/>
    <w:rsid w:val="00095A71"/>
    <w:rsid w:val="0009615B"/>
    <w:rsid w:val="00096464"/>
    <w:rsid w:val="00096B51"/>
    <w:rsid w:val="00096B52"/>
    <w:rsid w:val="00097E8C"/>
    <w:rsid w:val="000A0118"/>
    <w:rsid w:val="000A0E0E"/>
    <w:rsid w:val="000A10BF"/>
    <w:rsid w:val="000A29DB"/>
    <w:rsid w:val="000A2ACD"/>
    <w:rsid w:val="000A2B65"/>
    <w:rsid w:val="000A2DA8"/>
    <w:rsid w:val="000A46AF"/>
    <w:rsid w:val="000A482E"/>
    <w:rsid w:val="000A5AFD"/>
    <w:rsid w:val="000A5C47"/>
    <w:rsid w:val="000A6157"/>
    <w:rsid w:val="000A629E"/>
    <w:rsid w:val="000A6625"/>
    <w:rsid w:val="000A68DD"/>
    <w:rsid w:val="000A6B30"/>
    <w:rsid w:val="000A6E63"/>
    <w:rsid w:val="000A78B9"/>
    <w:rsid w:val="000A7EF1"/>
    <w:rsid w:val="000B025E"/>
    <w:rsid w:val="000B0428"/>
    <w:rsid w:val="000B0CB0"/>
    <w:rsid w:val="000B1696"/>
    <w:rsid w:val="000B1784"/>
    <w:rsid w:val="000B1BD9"/>
    <w:rsid w:val="000B225C"/>
    <w:rsid w:val="000B260D"/>
    <w:rsid w:val="000B2D93"/>
    <w:rsid w:val="000B2DB1"/>
    <w:rsid w:val="000B3330"/>
    <w:rsid w:val="000B3500"/>
    <w:rsid w:val="000B443D"/>
    <w:rsid w:val="000B44B7"/>
    <w:rsid w:val="000B4E03"/>
    <w:rsid w:val="000B59CE"/>
    <w:rsid w:val="000B5E45"/>
    <w:rsid w:val="000B6B6E"/>
    <w:rsid w:val="000B6CF0"/>
    <w:rsid w:val="000B720C"/>
    <w:rsid w:val="000B7665"/>
    <w:rsid w:val="000B7FE6"/>
    <w:rsid w:val="000C155D"/>
    <w:rsid w:val="000C2B4A"/>
    <w:rsid w:val="000C2BF9"/>
    <w:rsid w:val="000C330A"/>
    <w:rsid w:val="000C385B"/>
    <w:rsid w:val="000C3CDF"/>
    <w:rsid w:val="000C42E2"/>
    <w:rsid w:val="000C47A6"/>
    <w:rsid w:val="000C53B3"/>
    <w:rsid w:val="000C581D"/>
    <w:rsid w:val="000C5DE5"/>
    <w:rsid w:val="000C6514"/>
    <w:rsid w:val="000C67BE"/>
    <w:rsid w:val="000C7315"/>
    <w:rsid w:val="000C7408"/>
    <w:rsid w:val="000C7648"/>
    <w:rsid w:val="000C7C46"/>
    <w:rsid w:val="000D01E6"/>
    <w:rsid w:val="000D0CB7"/>
    <w:rsid w:val="000D0DB0"/>
    <w:rsid w:val="000D1327"/>
    <w:rsid w:val="000D1505"/>
    <w:rsid w:val="000D1B52"/>
    <w:rsid w:val="000D22FE"/>
    <w:rsid w:val="000D28F6"/>
    <w:rsid w:val="000D2B68"/>
    <w:rsid w:val="000D2FD3"/>
    <w:rsid w:val="000D3FE8"/>
    <w:rsid w:val="000D4C1B"/>
    <w:rsid w:val="000D4F00"/>
    <w:rsid w:val="000D5523"/>
    <w:rsid w:val="000D55DE"/>
    <w:rsid w:val="000D62FC"/>
    <w:rsid w:val="000D6509"/>
    <w:rsid w:val="000D65C4"/>
    <w:rsid w:val="000D71F9"/>
    <w:rsid w:val="000D7C2E"/>
    <w:rsid w:val="000D7EE5"/>
    <w:rsid w:val="000E03DC"/>
    <w:rsid w:val="000E05C3"/>
    <w:rsid w:val="000E1124"/>
    <w:rsid w:val="000E112B"/>
    <w:rsid w:val="000E1787"/>
    <w:rsid w:val="000E190B"/>
    <w:rsid w:val="000E1E6A"/>
    <w:rsid w:val="000E4D61"/>
    <w:rsid w:val="000E5154"/>
    <w:rsid w:val="000E5531"/>
    <w:rsid w:val="000E6410"/>
    <w:rsid w:val="000E678B"/>
    <w:rsid w:val="000E7045"/>
    <w:rsid w:val="000E7751"/>
    <w:rsid w:val="000E7DDD"/>
    <w:rsid w:val="000F0AEC"/>
    <w:rsid w:val="000F0FD8"/>
    <w:rsid w:val="000F12F5"/>
    <w:rsid w:val="000F1332"/>
    <w:rsid w:val="000F178A"/>
    <w:rsid w:val="000F1CBB"/>
    <w:rsid w:val="000F1CE4"/>
    <w:rsid w:val="000F1F46"/>
    <w:rsid w:val="000F2E01"/>
    <w:rsid w:val="000F3047"/>
    <w:rsid w:val="000F3B6E"/>
    <w:rsid w:val="000F4795"/>
    <w:rsid w:val="000F5A54"/>
    <w:rsid w:val="000F5D09"/>
    <w:rsid w:val="000F7987"/>
    <w:rsid w:val="0010051C"/>
    <w:rsid w:val="00100D8E"/>
    <w:rsid w:val="00102435"/>
    <w:rsid w:val="00102E58"/>
    <w:rsid w:val="00103C57"/>
    <w:rsid w:val="001041D6"/>
    <w:rsid w:val="0010448B"/>
    <w:rsid w:val="0010521F"/>
    <w:rsid w:val="001052CD"/>
    <w:rsid w:val="0010625A"/>
    <w:rsid w:val="00106A0A"/>
    <w:rsid w:val="00106CEC"/>
    <w:rsid w:val="001072D9"/>
    <w:rsid w:val="00107524"/>
    <w:rsid w:val="00107D6A"/>
    <w:rsid w:val="00107DCD"/>
    <w:rsid w:val="00107EF0"/>
    <w:rsid w:val="00110351"/>
    <w:rsid w:val="0011061E"/>
    <w:rsid w:val="00111417"/>
    <w:rsid w:val="00112031"/>
    <w:rsid w:val="00113C60"/>
    <w:rsid w:val="00114015"/>
    <w:rsid w:val="00114272"/>
    <w:rsid w:val="00114514"/>
    <w:rsid w:val="00114646"/>
    <w:rsid w:val="00114C3B"/>
    <w:rsid w:val="0011543A"/>
    <w:rsid w:val="00115691"/>
    <w:rsid w:val="00116264"/>
    <w:rsid w:val="0011654E"/>
    <w:rsid w:val="00117039"/>
    <w:rsid w:val="001176B2"/>
    <w:rsid w:val="00117F04"/>
    <w:rsid w:val="001206D9"/>
    <w:rsid w:val="0012093D"/>
    <w:rsid w:val="00120BD3"/>
    <w:rsid w:val="00121544"/>
    <w:rsid w:val="00121696"/>
    <w:rsid w:val="0012214C"/>
    <w:rsid w:val="001225DD"/>
    <w:rsid w:val="001227B6"/>
    <w:rsid w:val="00122AE3"/>
    <w:rsid w:val="00122EE1"/>
    <w:rsid w:val="00123658"/>
    <w:rsid w:val="001237AF"/>
    <w:rsid w:val="001247EB"/>
    <w:rsid w:val="00124F3C"/>
    <w:rsid w:val="0012525E"/>
    <w:rsid w:val="00125B3C"/>
    <w:rsid w:val="00125B61"/>
    <w:rsid w:val="00126122"/>
    <w:rsid w:val="00127C15"/>
    <w:rsid w:val="001311E8"/>
    <w:rsid w:val="0013128F"/>
    <w:rsid w:val="001314EE"/>
    <w:rsid w:val="001316AD"/>
    <w:rsid w:val="00131D45"/>
    <w:rsid w:val="001320F0"/>
    <w:rsid w:val="001329A9"/>
    <w:rsid w:val="001336E0"/>
    <w:rsid w:val="001337A5"/>
    <w:rsid w:val="00133EF8"/>
    <w:rsid w:val="00133F34"/>
    <w:rsid w:val="00135273"/>
    <w:rsid w:val="00135792"/>
    <w:rsid w:val="00135FC9"/>
    <w:rsid w:val="001360EA"/>
    <w:rsid w:val="001365A4"/>
    <w:rsid w:val="00137011"/>
    <w:rsid w:val="00137EA4"/>
    <w:rsid w:val="001407CD"/>
    <w:rsid w:val="001408CE"/>
    <w:rsid w:val="00140C77"/>
    <w:rsid w:val="001411A5"/>
    <w:rsid w:val="00141A7F"/>
    <w:rsid w:val="00141C67"/>
    <w:rsid w:val="0014209F"/>
    <w:rsid w:val="001425AB"/>
    <w:rsid w:val="00142810"/>
    <w:rsid w:val="001429FE"/>
    <w:rsid w:val="0014327A"/>
    <w:rsid w:val="00143478"/>
    <w:rsid w:val="00143569"/>
    <w:rsid w:val="00143BE8"/>
    <w:rsid w:val="00143F2F"/>
    <w:rsid w:val="00143F4B"/>
    <w:rsid w:val="0014451E"/>
    <w:rsid w:val="001445A1"/>
    <w:rsid w:val="00144AF3"/>
    <w:rsid w:val="001455C3"/>
    <w:rsid w:val="00145709"/>
    <w:rsid w:val="001459DA"/>
    <w:rsid w:val="00145B84"/>
    <w:rsid w:val="00146518"/>
    <w:rsid w:val="00146624"/>
    <w:rsid w:val="001466FF"/>
    <w:rsid w:val="00146BE1"/>
    <w:rsid w:val="00146EC4"/>
    <w:rsid w:val="00147B08"/>
    <w:rsid w:val="00147B7A"/>
    <w:rsid w:val="00150055"/>
    <w:rsid w:val="00150376"/>
    <w:rsid w:val="00150F41"/>
    <w:rsid w:val="00151DBD"/>
    <w:rsid w:val="00151EB8"/>
    <w:rsid w:val="00152673"/>
    <w:rsid w:val="00152F83"/>
    <w:rsid w:val="001531D6"/>
    <w:rsid w:val="00153A7E"/>
    <w:rsid w:val="0015410C"/>
    <w:rsid w:val="00154217"/>
    <w:rsid w:val="0015523A"/>
    <w:rsid w:val="00155434"/>
    <w:rsid w:val="00155BDA"/>
    <w:rsid w:val="0015609C"/>
    <w:rsid w:val="00156FA7"/>
    <w:rsid w:val="0016023A"/>
    <w:rsid w:val="00160306"/>
    <w:rsid w:val="00160CFF"/>
    <w:rsid w:val="00161BDD"/>
    <w:rsid w:val="00161D33"/>
    <w:rsid w:val="00162DBF"/>
    <w:rsid w:val="00162F16"/>
    <w:rsid w:val="0016312D"/>
    <w:rsid w:val="00164CF8"/>
    <w:rsid w:val="001653AE"/>
    <w:rsid w:val="001653DB"/>
    <w:rsid w:val="00166992"/>
    <w:rsid w:val="001678E2"/>
    <w:rsid w:val="00170B1D"/>
    <w:rsid w:val="00170D5B"/>
    <w:rsid w:val="001716AF"/>
    <w:rsid w:val="00171D0A"/>
    <w:rsid w:val="00172B8F"/>
    <w:rsid w:val="001736F8"/>
    <w:rsid w:val="00173D85"/>
    <w:rsid w:val="00173E03"/>
    <w:rsid w:val="00174FD4"/>
    <w:rsid w:val="00175FC1"/>
    <w:rsid w:val="00176907"/>
    <w:rsid w:val="00177A72"/>
    <w:rsid w:val="00180619"/>
    <w:rsid w:val="00180985"/>
    <w:rsid w:val="00180A43"/>
    <w:rsid w:val="00181082"/>
    <w:rsid w:val="001811B8"/>
    <w:rsid w:val="00182C8E"/>
    <w:rsid w:val="001830A3"/>
    <w:rsid w:val="0018364A"/>
    <w:rsid w:val="001849F9"/>
    <w:rsid w:val="00184AB5"/>
    <w:rsid w:val="00184BAE"/>
    <w:rsid w:val="00184CD4"/>
    <w:rsid w:val="00185443"/>
    <w:rsid w:val="00185EF9"/>
    <w:rsid w:val="00186ACD"/>
    <w:rsid w:val="00187FEC"/>
    <w:rsid w:val="00191717"/>
    <w:rsid w:val="001926B5"/>
    <w:rsid w:val="001926D8"/>
    <w:rsid w:val="00192F1C"/>
    <w:rsid w:val="001932B9"/>
    <w:rsid w:val="00193301"/>
    <w:rsid w:val="0019362A"/>
    <w:rsid w:val="00193FD2"/>
    <w:rsid w:val="0019474E"/>
    <w:rsid w:val="0019551F"/>
    <w:rsid w:val="001956C6"/>
    <w:rsid w:val="00195728"/>
    <w:rsid w:val="00196CCE"/>
    <w:rsid w:val="001970C0"/>
    <w:rsid w:val="00197C02"/>
    <w:rsid w:val="001A05CB"/>
    <w:rsid w:val="001A174B"/>
    <w:rsid w:val="001A199B"/>
    <w:rsid w:val="001A1CB7"/>
    <w:rsid w:val="001A3FCD"/>
    <w:rsid w:val="001A420B"/>
    <w:rsid w:val="001A4B97"/>
    <w:rsid w:val="001A4F7D"/>
    <w:rsid w:val="001A51A6"/>
    <w:rsid w:val="001A6379"/>
    <w:rsid w:val="001A7476"/>
    <w:rsid w:val="001A781C"/>
    <w:rsid w:val="001A7A76"/>
    <w:rsid w:val="001A7B3C"/>
    <w:rsid w:val="001A7B42"/>
    <w:rsid w:val="001A7D8F"/>
    <w:rsid w:val="001B072D"/>
    <w:rsid w:val="001B176D"/>
    <w:rsid w:val="001B1C32"/>
    <w:rsid w:val="001B250A"/>
    <w:rsid w:val="001B27F0"/>
    <w:rsid w:val="001B2A97"/>
    <w:rsid w:val="001B2CD4"/>
    <w:rsid w:val="001B2F97"/>
    <w:rsid w:val="001B3331"/>
    <w:rsid w:val="001B39A3"/>
    <w:rsid w:val="001B4928"/>
    <w:rsid w:val="001B4C88"/>
    <w:rsid w:val="001B4E45"/>
    <w:rsid w:val="001B50EB"/>
    <w:rsid w:val="001B64C0"/>
    <w:rsid w:val="001B7329"/>
    <w:rsid w:val="001B7ADA"/>
    <w:rsid w:val="001B7AF6"/>
    <w:rsid w:val="001C12EC"/>
    <w:rsid w:val="001C174A"/>
    <w:rsid w:val="001C1B97"/>
    <w:rsid w:val="001C1D05"/>
    <w:rsid w:val="001C2143"/>
    <w:rsid w:val="001C2A48"/>
    <w:rsid w:val="001C3523"/>
    <w:rsid w:val="001C3FDA"/>
    <w:rsid w:val="001C69E3"/>
    <w:rsid w:val="001C6DFD"/>
    <w:rsid w:val="001D1188"/>
    <w:rsid w:val="001D1A34"/>
    <w:rsid w:val="001D2574"/>
    <w:rsid w:val="001D2776"/>
    <w:rsid w:val="001D27B0"/>
    <w:rsid w:val="001D326D"/>
    <w:rsid w:val="001D32C0"/>
    <w:rsid w:val="001D33C8"/>
    <w:rsid w:val="001D3681"/>
    <w:rsid w:val="001D3A64"/>
    <w:rsid w:val="001D400A"/>
    <w:rsid w:val="001D5793"/>
    <w:rsid w:val="001D66E4"/>
    <w:rsid w:val="001D6F1E"/>
    <w:rsid w:val="001D74A7"/>
    <w:rsid w:val="001D7ECE"/>
    <w:rsid w:val="001E0838"/>
    <w:rsid w:val="001E086F"/>
    <w:rsid w:val="001E12FA"/>
    <w:rsid w:val="001E153A"/>
    <w:rsid w:val="001E15F2"/>
    <w:rsid w:val="001E181F"/>
    <w:rsid w:val="001E22F7"/>
    <w:rsid w:val="001E27DF"/>
    <w:rsid w:val="001E3D57"/>
    <w:rsid w:val="001E4158"/>
    <w:rsid w:val="001E465F"/>
    <w:rsid w:val="001E566B"/>
    <w:rsid w:val="001E5C09"/>
    <w:rsid w:val="001F0039"/>
    <w:rsid w:val="001F037D"/>
    <w:rsid w:val="001F0AC9"/>
    <w:rsid w:val="001F1CE2"/>
    <w:rsid w:val="001F20E7"/>
    <w:rsid w:val="001F23A5"/>
    <w:rsid w:val="001F24F4"/>
    <w:rsid w:val="001F27CB"/>
    <w:rsid w:val="001F2902"/>
    <w:rsid w:val="001F2DF8"/>
    <w:rsid w:val="001F3241"/>
    <w:rsid w:val="001F3F36"/>
    <w:rsid w:val="001F4E63"/>
    <w:rsid w:val="001F564C"/>
    <w:rsid w:val="001F5CAF"/>
    <w:rsid w:val="001F604B"/>
    <w:rsid w:val="001F6357"/>
    <w:rsid w:val="001F63F0"/>
    <w:rsid w:val="001F6537"/>
    <w:rsid w:val="001F658C"/>
    <w:rsid w:val="001F675C"/>
    <w:rsid w:val="001F6F44"/>
    <w:rsid w:val="001F7563"/>
    <w:rsid w:val="00200A17"/>
    <w:rsid w:val="00200C5F"/>
    <w:rsid w:val="0020149A"/>
    <w:rsid w:val="00201EA2"/>
    <w:rsid w:val="0020213A"/>
    <w:rsid w:val="002026A1"/>
    <w:rsid w:val="002049D9"/>
    <w:rsid w:val="00204C0C"/>
    <w:rsid w:val="00204DC4"/>
    <w:rsid w:val="00205D4F"/>
    <w:rsid w:val="00205EA4"/>
    <w:rsid w:val="00206167"/>
    <w:rsid w:val="002061AC"/>
    <w:rsid w:val="0020628F"/>
    <w:rsid w:val="002067B3"/>
    <w:rsid w:val="00206AF9"/>
    <w:rsid w:val="00207CD0"/>
    <w:rsid w:val="00207F59"/>
    <w:rsid w:val="002106FA"/>
    <w:rsid w:val="00211DC3"/>
    <w:rsid w:val="0021242D"/>
    <w:rsid w:val="00212C97"/>
    <w:rsid w:val="00212FE0"/>
    <w:rsid w:val="0021402B"/>
    <w:rsid w:val="002143FD"/>
    <w:rsid w:val="0021447A"/>
    <w:rsid w:val="002146CD"/>
    <w:rsid w:val="00214C6B"/>
    <w:rsid w:val="00215573"/>
    <w:rsid w:val="002155B6"/>
    <w:rsid w:val="002157E4"/>
    <w:rsid w:val="00215AFB"/>
    <w:rsid w:val="00215DEA"/>
    <w:rsid w:val="002162F2"/>
    <w:rsid w:val="00216C3D"/>
    <w:rsid w:val="00216C59"/>
    <w:rsid w:val="00217E26"/>
    <w:rsid w:val="002200D8"/>
    <w:rsid w:val="0022079E"/>
    <w:rsid w:val="002211DF"/>
    <w:rsid w:val="00221264"/>
    <w:rsid w:val="002217D6"/>
    <w:rsid w:val="00222821"/>
    <w:rsid w:val="00222C6F"/>
    <w:rsid w:val="00223664"/>
    <w:rsid w:val="00223A56"/>
    <w:rsid w:val="00223E06"/>
    <w:rsid w:val="00224A4E"/>
    <w:rsid w:val="00224A83"/>
    <w:rsid w:val="00225833"/>
    <w:rsid w:val="0022583F"/>
    <w:rsid w:val="00225DFA"/>
    <w:rsid w:val="00225F61"/>
    <w:rsid w:val="00226095"/>
    <w:rsid w:val="00226878"/>
    <w:rsid w:val="002268D8"/>
    <w:rsid w:val="002269A5"/>
    <w:rsid w:val="00226F56"/>
    <w:rsid w:val="00227430"/>
    <w:rsid w:val="00227B89"/>
    <w:rsid w:val="00227F43"/>
    <w:rsid w:val="002300BF"/>
    <w:rsid w:val="0023021D"/>
    <w:rsid w:val="00230B39"/>
    <w:rsid w:val="00230BF8"/>
    <w:rsid w:val="00231F69"/>
    <w:rsid w:val="00232316"/>
    <w:rsid w:val="00233DA6"/>
    <w:rsid w:val="0023403E"/>
    <w:rsid w:val="00234384"/>
    <w:rsid w:val="00234640"/>
    <w:rsid w:val="00235FE0"/>
    <w:rsid w:val="00236DE5"/>
    <w:rsid w:val="00237E57"/>
    <w:rsid w:val="00240106"/>
    <w:rsid w:val="0024071D"/>
    <w:rsid w:val="00240738"/>
    <w:rsid w:val="00240DD1"/>
    <w:rsid w:val="00241197"/>
    <w:rsid w:val="002411C7"/>
    <w:rsid w:val="002418CE"/>
    <w:rsid w:val="002423AD"/>
    <w:rsid w:val="002424C5"/>
    <w:rsid w:val="002429C7"/>
    <w:rsid w:val="00242C98"/>
    <w:rsid w:val="00242F4E"/>
    <w:rsid w:val="00244B1A"/>
    <w:rsid w:val="002452A0"/>
    <w:rsid w:val="002463A6"/>
    <w:rsid w:val="00246ADB"/>
    <w:rsid w:val="00247532"/>
    <w:rsid w:val="002509AE"/>
    <w:rsid w:val="00250DF6"/>
    <w:rsid w:val="002517A5"/>
    <w:rsid w:val="00251F6C"/>
    <w:rsid w:val="00252099"/>
    <w:rsid w:val="0025249C"/>
    <w:rsid w:val="002535DB"/>
    <w:rsid w:val="002539ED"/>
    <w:rsid w:val="0025440D"/>
    <w:rsid w:val="0025450E"/>
    <w:rsid w:val="00254A36"/>
    <w:rsid w:val="00254C4C"/>
    <w:rsid w:val="00255152"/>
    <w:rsid w:val="0025554E"/>
    <w:rsid w:val="0025575D"/>
    <w:rsid w:val="00255A39"/>
    <w:rsid w:val="002566F6"/>
    <w:rsid w:val="00256B6A"/>
    <w:rsid w:val="0025735C"/>
    <w:rsid w:val="00257463"/>
    <w:rsid w:val="00257CD1"/>
    <w:rsid w:val="00260A52"/>
    <w:rsid w:val="002626C2"/>
    <w:rsid w:val="002638F4"/>
    <w:rsid w:val="002640F6"/>
    <w:rsid w:val="0026418A"/>
    <w:rsid w:val="00264265"/>
    <w:rsid w:val="00264AE3"/>
    <w:rsid w:val="00265480"/>
    <w:rsid w:val="002662D2"/>
    <w:rsid w:val="0026696E"/>
    <w:rsid w:val="0026797D"/>
    <w:rsid w:val="0026798B"/>
    <w:rsid w:val="0027076A"/>
    <w:rsid w:val="00270BE4"/>
    <w:rsid w:val="00270CDA"/>
    <w:rsid w:val="0027160C"/>
    <w:rsid w:val="00271BBB"/>
    <w:rsid w:val="00272202"/>
    <w:rsid w:val="00274BB5"/>
    <w:rsid w:val="00274CCB"/>
    <w:rsid w:val="00275131"/>
    <w:rsid w:val="002751D1"/>
    <w:rsid w:val="002751FE"/>
    <w:rsid w:val="00275209"/>
    <w:rsid w:val="00275AFD"/>
    <w:rsid w:val="00276133"/>
    <w:rsid w:val="0027625B"/>
    <w:rsid w:val="00276559"/>
    <w:rsid w:val="00277F6F"/>
    <w:rsid w:val="002819BF"/>
    <w:rsid w:val="0028251C"/>
    <w:rsid w:val="002834B9"/>
    <w:rsid w:val="00283A1D"/>
    <w:rsid w:val="00284340"/>
    <w:rsid w:val="002849C2"/>
    <w:rsid w:val="00284FAF"/>
    <w:rsid w:val="0028502F"/>
    <w:rsid w:val="002854AD"/>
    <w:rsid w:val="00285D12"/>
    <w:rsid w:val="00286B0D"/>
    <w:rsid w:val="00287E78"/>
    <w:rsid w:val="0029023F"/>
    <w:rsid w:val="00290676"/>
    <w:rsid w:val="00290922"/>
    <w:rsid w:val="00291462"/>
    <w:rsid w:val="00291572"/>
    <w:rsid w:val="00293E01"/>
    <w:rsid w:val="00294D12"/>
    <w:rsid w:val="00295C09"/>
    <w:rsid w:val="002A00B2"/>
    <w:rsid w:val="002A04B4"/>
    <w:rsid w:val="002A0EE8"/>
    <w:rsid w:val="002A10D2"/>
    <w:rsid w:val="002A145B"/>
    <w:rsid w:val="002A1594"/>
    <w:rsid w:val="002A18BE"/>
    <w:rsid w:val="002A219E"/>
    <w:rsid w:val="002A2352"/>
    <w:rsid w:val="002A2D97"/>
    <w:rsid w:val="002A36F6"/>
    <w:rsid w:val="002A3D40"/>
    <w:rsid w:val="002A3FE7"/>
    <w:rsid w:val="002A4084"/>
    <w:rsid w:val="002A44BE"/>
    <w:rsid w:val="002A48A4"/>
    <w:rsid w:val="002A4983"/>
    <w:rsid w:val="002A4AD6"/>
    <w:rsid w:val="002A59D8"/>
    <w:rsid w:val="002A5E8E"/>
    <w:rsid w:val="002A62A5"/>
    <w:rsid w:val="002A6414"/>
    <w:rsid w:val="002A6D17"/>
    <w:rsid w:val="002A7196"/>
    <w:rsid w:val="002A7386"/>
    <w:rsid w:val="002A76AE"/>
    <w:rsid w:val="002A774B"/>
    <w:rsid w:val="002A782C"/>
    <w:rsid w:val="002A7DC0"/>
    <w:rsid w:val="002B11C3"/>
    <w:rsid w:val="002B1384"/>
    <w:rsid w:val="002B1C15"/>
    <w:rsid w:val="002B1CDD"/>
    <w:rsid w:val="002B2193"/>
    <w:rsid w:val="002B2C89"/>
    <w:rsid w:val="002B3148"/>
    <w:rsid w:val="002B3681"/>
    <w:rsid w:val="002B4A47"/>
    <w:rsid w:val="002B6201"/>
    <w:rsid w:val="002B667C"/>
    <w:rsid w:val="002B68BD"/>
    <w:rsid w:val="002B6CBC"/>
    <w:rsid w:val="002B7339"/>
    <w:rsid w:val="002B7490"/>
    <w:rsid w:val="002C095C"/>
    <w:rsid w:val="002C11CA"/>
    <w:rsid w:val="002C2D61"/>
    <w:rsid w:val="002C32F6"/>
    <w:rsid w:val="002C45E8"/>
    <w:rsid w:val="002C4A98"/>
    <w:rsid w:val="002C587C"/>
    <w:rsid w:val="002C5BAE"/>
    <w:rsid w:val="002C5F68"/>
    <w:rsid w:val="002C70CE"/>
    <w:rsid w:val="002D0D91"/>
    <w:rsid w:val="002D11D1"/>
    <w:rsid w:val="002D1BD7"/>
    <w:rsid w:val="002D20A1"/>
    <w:rsid w:val="002D22F2"/>
    <w:rsid w:val="002D23AA"/>
    <w:rsid w:val="002D3457"/>
    <w:rsid w:val="002D3B54"/>
    <w:rsid w:val="002D436F"/>
    <w:rsid w:val="002D4914"/>
    <w:rsid w:val="002D4FCD"/>
    <w:rsid w:val="002D5097"/>
    <w:rsid w:val="002D5144"/>
    <w:rsid w:val="002D55E4"/>
    <w:rsid w:val="002D690D"/>
    <w:rsid w:val="002D701B"/>
    <w:rsid w:val="002D7751"/>
    <w:rsid w:val="002D7CCE"/>
    <w:rsid w:val="002D7F86"/>
    <w:rsid w:val="002E0E50"/>
    <w:rsid w:val="002E1860"/>
    <w:rsid w:val="002E18C8"/>
    <w:rsid w:val="002E266A"/>
    <w:rsid w:val="002E41B2"/>
    <w:rsid w:val="002E4E5B"/>
    <w:rsid w:val="002E5671"/>
    <w:rsid w:val="002E623D"/>
    <w:rsid w:val="002E62EA"/>
    <w:rsid w:val="002E63BE"/>
    <w:rsid w:val="002E6791"/>
    <w:rsid w:val="002E7006"/>
    <w:rsid w:val="002E716E"/>
    <w:rsid w:val="002E747F"/>
    <w:rsid w:val="002E7775"/>
    <w:rsid w:val="002E7892"/>
    <w:rsid w:val="002E7AD2"/>
    <w:rsid w:val="002F0982"/>
    <w:rsid w:val="002F1124"/>
    <w:rsid w:val="002F1399"/>
    <w:rsid w:val="002F1F81"/>
    <w:rsid w:val="002F2403"/>
    <w:rsid w:val="002F2CDC"/>
    <w:rsid w:val="002F32FB"/>
    <w:rsid w:val="002F33CD"/>
    <w:rsid w:val="002F4E6C"/>
    <w:rsid w:val="002F5611"/>
    <w:rsid w:val="002F5F5E"/>
    <w:rsid w:val="002F5F85"/>
    <w:rsid w:val="002F6456"/>
    <w:rsid w:val="002F65C4"/>
    <w:rsid w:val="002F693F"/>
    <w:rsid w:val="002F7160"/>
    <w:rsid w:val="002F7837"/>
    <w:rsid w:val="003000FF"/>
    <w:rsid w:val="003008CC"/>
    <w:rsid w:val="003014CD"/>
    <w:rsid w:val="00301763"/>
    <w:rsid w:val="00301DE1"/>
    <w:rsid w:val="00302252"/>
    <w:rsid w:val="00302EFD"/>
    <w:rsid w:val="00303C60"/>
    <w:rsid w:val="00303CEB"/>
    <w:rsid w:val="0030407D"/>
    <w:rsid w:val="00304FB8"/>
    <w:rsid w:val="00306358"/>
    <w:rsid w:val="00306621"/>
    <w:rsid w:val="00306CB1"/>
    <w:rsid w:val="00306E9E"/>
    <w:rsid w:val="00307299"/>
    <w:rsid w:val="00310B9B"/>
    <w:rsid w:val="00310C3F"/>
    <w:rsid w:val="003110ED"/>
    <w:rsid w:val="00311684"/>
    <w:rsid w:val="00311B70"/>
    <w:rsid w:val="00311FD2"/>
    <w:rsid w:val="00312F8E"/>
    <w:rsid w:val="003132E3"/>
    <w:rsid w:val="00313FFE"/>
    <w:rsid w:val="003140D2"/>
    <w:rsid w:val="003147CB"/>
    <w:rsid w:val="00314846"/>
    <w:rsid w:val="0031520D"/>
    <w:rsid w:val="00315F11"/>
    <w:rsid w:val="00317714"/>
    <w:rsid w:val="00317BBE"/>
    <w:rsid w:val="003203AC"/>
    <w:rsid w:val="00320A17"/>
    <w:rsid w:val="00320CC6"/>
    <w:rsid w:val="003218C2"/>
    <w:rsid w:val="00322DA9"/>
    <w:rsid w:val="00323AF6"/>
    <w:rsid w:val="003244F7"/>
    <w:rsid w:val="00324863"/>
    <w:rsid w:val="00324E73"/>
    <w:rsid w:val="003251C2"/>
    <w:rsid w:val="00325FA0"/>
    <w:rsid w:val="003262F0"/>
    <w:rsid w:val="00326F1C"/>
    <w:rsid w:val="00326FAF"/>
    <w:rsid w:val="00327162"/>
    <w:rsid w:val="0032794C"/>
    <w:rsid w:val="003304BD"/>
    <w:rsid w:val="003306E0"/>
    <w:rsid w:val="00330A0A"/>
    <w:rsid w:val="00331798"/>
    <w:rsid w:val="00331CFC"/>
    <w:rsid w:val="00331F35"/>
    <w:rsid w:val="0033224F"/>
    <w:rsid w:val="0033244C"/>
    <w:rsid w:val="003328A9"/>
    <w:rsid w:val="00332E66"/>
    <w:rsid w:val="00333B42"/>
    <w:rsid w:val="00334163"/>
    <w:rsid w:val="0033466D"/>
    <w:rsid w:val="00334DE0"/>
    <w:rsid w:val="00335702"/>
    <w:rsid w:val="003358C9"/>
    <w:rsid w:val="00335BED"/>
    <w:rsid w:val="00336F6C"/>
    <w:rsid w:val="003371B5"/>
    <w:rsid w:val="00337BAF"/>
    <w:rsid w:val="00337D71"/>
    <w:rsid w:val="00340341"/>
    <w:rsid w:val="00340E03"/>
    <w:rsid w:val="003417CB"/>
    <w:rsid w:val="00341D42"/>
    <w:rsid w:val="00342126"/>
    <w:rsid w:val="0034233B"/>
    <w:rsid w:val="003423E4"/>
    <w:rsid w:val="00342472"/>
    <w:rsid w:val="00343357"/>
    <w:rsid w:val="003435A9"/>
    <w:rsid w:val="00344649"/>
    <w:rsid w:val="0034482D"/>
    <w:rsid w:val="00345496"/>
    <w:rsid w:val="00345831"/>
    <w:rsid w:val="003459AD"/>
    <w:rsid w:val="00345BCF"/>
    <w:rsid w:val="00345F1B"/>
    <w:rsid w:val="003466F9"/>
    <w:rsid w:val="00347A91"/>
    <w:rsid w:val="00350092"/>
    <w:rsid w:val="003501E4"/>
    <w:rsid w:val="00350ACF"/>
    <w:rsid w:val="003519AD"/>
    <w:rsid w:val="00351DA1"/>
    <w:rsid w:val="00351E0E"/>
    <w:rsid w:val="00352A3C"/>
    <w:rsid w:val="00352A4A"/>
    <w:rsid w:val="00353018"/>
    <w:rsid w:val="003537C8"/>
    <w:rsid w:val="00354D20"/>
    <w:rsid w:val="00354EB4"/>
    <w:rsid w:val="00354F77"/>
    <w:rsid w:val="00355058"/>
    <w:rsid w:val="00355126"/>
    <w:rsid w:val="00355680"/>
    <w:rsid w:val="003556D0"/>
    <w:rsid w:val="00355833"/>
    <w:rsid w:val="00355CB9"/>
    <w:rsid w:val="00356343"/>
    <w:rsid w:val="003564F4"/>
    <w:rsid w:val="0035682E"/>
    <w:rsid w:val="00356D29"/>
    <w:rsid w:val="003571C2"/>
    <w:rsid w:val="00357486"/>
    <w:rsid w:val="0035753E"/>
    <w:rsid w:val="00357B02"/>
    <w:rsid w:val="00357FD8"/>
    <w:rsid w:val="003604CD"/>
    <w:rsid w:val="003623A6"/>
    <w:rsid w:val="003625F1"/>
    <w:rsid w:val="0036279A"/>
    <w:rsid w:val="00362B01"/>
    <w:rsid w:val="00362B02"/>
    <w:rsid w:val="00362B0A"/>
    <w:rsid w:val="00362D23"/>
    <w:rsid w:val="003631F9"/>
    <w:rsid w:val="0036323A"/>
    <w:rsid w:val="00363571"/>
    <w:rsid w:val="00363975"/>
    <w:rsid w:val="00363F90"/>
    <w:rsid w:val="003640A7"/>
    <w:rsid w:val="003644E2"/>
    <w:rsid w:val="00364E90"/>
    <w:rsid w:val="00365447"/>
    <w:rsid w:val="00366817"/>
    <w:rsid w:val="00366E24"/>
    <w:rsid w:val="00366FDA"/>
    <w:rsid w:val="0036794E"/>
    <w:rsid w:val="0037064F"/>
    <w:rsid w:val="003708B3"/>
    <w:rsid w:val="00370EF2"/>
    <w:rsid w:val="003726F1"/>
    <w:rsid w:val="00372AA7"/>
    <w:rsid w:val="00372E9E"/>
    <w:rsid w:val="003753B3"/>
    <w:rsid w:val="0037640F"/>
    <w:rsid w:val="0037770C"/>
    <w:rsid w:val="00377EF9"/>
    <w:rsid w:val="00380E3C"/>
    <w:rsid w:val="003813AE"/>
    <w:rsid w:val="0038146C"/>
    <w:rsid w:val="00382329"/>
    <w:rsid w:val="00382609"/>
    <w:rsid w:val="00383B93"/>
    <w:rsid w:val="003842E9"/>
    <w:rsid w:val="003850A8"/>
    <w:rsid w:val="003857BB"/>
    <w:rsid w:val="00386124"/>
    <w:rsid w:val="003864D5"/>
    <w:rsid w:val="00386E66"/>
    <w:rsid w:val="0038735C"/>
    <w:rsid w:val="00387776"/>
    <w:rsid w:val="00387866"/>
    <w:rsid w:val="0038798F"/>
    <w:rsid w:val="003879CC"/>
    <w:rsid w:val="00387D06"/>
    <w:rsid w:val="00387D4E"/>
    <w:rsid w:val="00390567"/>
    <w:rsid w:val="00391219"/>
    <w:rsid w:val="0039284D"/>
    <w:rsid w:val="00392CDC"/>
    <w:rsid w:val="00393015"/>
    <w:rsid w:val="00395F33"/>
    <w:rsid w:val="003961CE"/>
    <w:rsid w:val="003966F6"/>
    <w:rsid w:val="0039677D"/>
    <w:rsid w:val="00397B24"/>
    <w:rsid w:val="00397D5B"/>
    <w:rsid w:val="00397E95"/>
    <w:rsid w:val="00397EB7"/>
    <w:rsid w:val="003A0660"/>
    <w:rsid w:val="003A08A5"/>
    <w:rsid w:val="003A0D52"/>
    <w:rsid w:val="003A15CD"/>
    <w:rsid w:val="003A1E5F"/>
    <w:rsid w:val="003A2ED1"/>
    <w:rsid w:val="003A371D"/>
    <w:rsid w:val="003A3D12"/>
    <w:rsid w:val="003A46A8"/>
    <w:rsid w:val="003A4775"/>
    <w:rsid w:val="003A4C47"/>
    <w:rsid w:val="003A5D7E"/>
    <w:rsid w:val="003A6724"/>
    <w:rsid w:val="003A6DB4"/>
    <w:rsid w:val="003A6E1A"/>
    <w:rsid w:val="003A71B4"/>
    <w:rsid w:val="003A79D8"/>
    <w:rsid w:val="003B0581"/>
    <w:rsid w:val="003B0BA1"/>
    <w:rsid w:val="003B13C7"/>
    <w:rsid w:val="003B1424"/>
    <w:rsid w:val="003B17BB"/>
    <w:rsid w:val="003B1F33"/>
    <w:rsid w:val="003B2D07"/>
    <w:rsid w:val="003B3375"/>
    <w:rsid w:val="003B3508"/>
    <w:rsid w:val="003B4599"/>
    <w:rsid w:val="003B493F"/>
    <w:rsid w:val="003B4B00"/>
    <w:rsid w:val="003B4BB5"/>
    <w:rsid w:val="003B5472"/>
    <w:rsid w:val="003B61B7"/>
    <w:rsid w:val="003B74C9"/>
    <w:rsid w:val="003B7572"/>
    <w:rsid w:val="003B79F0"/>
    <w:rsid w:val="003C0188"/>
    <w:rsid w:val="003C0D4B"/>
    <w:rsid w:val="003C128F"/>
    <w:rsid w:val="003C1691"/>
    <w:rsid w:val="003C196A"/>
    <w:rsid w:val="003C1AE2"/>
    <w:rsid w:val="003C1CA8"/>
    <w:rsid w:val="003C2E7D"/>
    <w:rsid w:val="003C35CD"/>
    <w:rsid w:val="003C46E5"/>
    <w:rsid w:val="003C4F8F"/>
    <w:rsid w:val="003C6B59"/>
    <w:rsid w:val="003C7333"/>
    <w:rsid w:val="003D0380"/>
    <w:rsid w:val="003D09B1"/>
    <w:rsid w:val="003D1EC6"/>
    <w:rsid w:val="003D2966"/>
    <w:rsid w:val="003D299E"/>
    <w:rsid w:val="003D2ECF"/>
    <w:rsid w:val="003D4F0B"/>
    <w:rsid w:val="003D504A"/>
    <w:rsid w:val="003D54DC"/>
    <w:rsid w:val="003D55E1"/>
    <w:rsid w:val="003D5C26"/>
    <w:rsid w:val="003D641A"/>
    <w:rsid w:val="003D65F0"/>
    <w:rsid w:val="003D71EB"/>
    <w:rsid w:val="003D77A0"/>
    <w:rsid w:val="003D7C63"/>
    <w:rsid w:val="003D7E9E"/>
    <w:rsid w:val="003E07D3"/>
    <w:rsid w:val="003E18F0"/>
    <w:rsid w:val="003E22CB"/>
    <w:rsid w:val="003E2343"/>
    <w:rsid w:val="003E3C8F"/>
    <w:rsid w:val="003E406B"/>
    <w:rsid w:val="003E4A1A"/>
    <w:rsid w:val="003E4F96"/>
    <w:rsid w:val="003E5729"/>
    <w:rsid w:val="003E5CCA"/>
    <w:rsid w:val="003E6723"/>
    <w:rsid w:val="003E7773"/>
    <w:rsid w:val="003E7886"/>
    <w:rsid w:val="003E7BBE"/>
    <w:rsid w:val="003F0E8B"/>
    <w:rsid w:val="003F115E"/>
    <w:rsid w:val="003F14C2"/>
    <w:rsid w:val="003F19E3"/>
    <w:rsid w:val="003F1DD7"/>
    <w:rsid w:val="003F2210"/>
    <w:rsid w:val="003F2E9A"/>
    <w:rsid w:val="003F35F6"/>
    <w:rsid w:val="003F41BC"/>
    <w:rsid w:val="003F535C"/>
    <w:rsid w:val="003F7072"/>
    <w:rsid w:val="003F7196"/>
    <w:rsid w:val="004008AF"/>
    <w:rsid w:val="004008C5"/>
    <w:rsid w:val="00400B5F"/>
    <w:rsid w:val="00401012"/>
    <w:rsid w:val="00401D8D"/>
    <w:rsid w:val="00401DBF"/>
    <w:rsid w:val="00402735"/>
    <w:rsid w:val="004033D9"/>
    <w:rsid w:val="00403DB8"/>
    <w:rsid w:val="00404334"/>
    <w:rsid w:val="00404A33"/>
    <w:rsid w:val="00404A94"/>
    <w:rsid w:val="00404F8E"/>
    <w:rsid w:val="0040551F"/>
    <w:rsid w:val="0040571F"/>
    <w:rsid w:val="00406555"/>
    <w:rsid w:val="00407399"/>
    <w:rsid w:val="0040771F"/>
    <w:rsid w:val="004108AF"/>
    <w:rsid w:val="004111F7"/>
    <w:rsid w:val="00411AB8"/>
    <w:rsid w:val="00412131"/>
    <w:rsid w:val="0041217D"/>
    <w:rsid w:val="004125C6"/>
    <w:rsid w:val="00412739"/>
    <w:rsid w:val="0041275F"/>
    <w:rsid w:val="00414AF5"/>
    <w:rsid w:val="00414FE0"/>
    <w:rsid w:val="00415DD5"/>
    <w:rsid w:val="00415E96"/>
    <w:rsid w:val="00416C0F"/>
    <w:rsid w:val="00416FB1"/>
    <w:rsid w:val="004206F4"/>
    <w:rsid w:val="00421054"/>
    <w:rsid w:val="00421A89"/>
    <w:rsid w:val="00421EBC"/>
    <w:rsid w:val="0042304B"/>
    <w:rsid w:val="00424084"/>
    <w:rsid w:val="0042423F"/>
    <w:rsid w:val="00424486"/>
    <w:rsid w:val="004273AD"/>
    <w:rsid w:val="004273B1"/>
    <w:rsid w:val="004305AE"/>
    <w:rsid w:val="00430D03"/>
    <w:rsid w:val="004313AE"/>
    <w:rsid w:val="00431800"/>
    <w:rsid w:val="004329C7"/>
    <w:rsid w:val="00433312"/>
    <w:rsid w:val="00433541"/>
    <w:rsid w:val="004340AC"/>
    <w:rsid w:val="00434923"/>
    <w:rsid w:val="00434A09"/>
    <w:rsid w:val="00434CF3"/>
    <w:rsid w:val="00435167"/>
    <w:rsid w:val="00435232"/>
    <w:rsid w:val="00435353"/>
    <w:rsid w:val="00435766"/>
    <w:rsid w:val="00435A48"/>
    <w:rsid w:val="00436514"/>
    <w:rsid w:val="004365E1"/>
    <w:rsid w:val="00437566"/>
    <w:rsid w:val="00437706"/>
    <w:rsid w:val="00437B87"/>
    <w:rsid w:val="00440EAC"/>
    <w:rsid w:val="004423F7"/>
    <w:rsid w:val="004425EE"/>
    <w:rsid w:val="00442A49"/>
    <w:rsid w:val="00442D73"/>
    <w:rsid w:val="00442DD5"/>
    <w:rsid w:val="00443981"/>
    <w:rsid w:val="00443C65"/>
    <w:rsid w:val="0044465E"/>
    <w:rsid w:val="00446551"/>
    <w:rsid w:val="0044690B"/>
    <w:rsid w:val="00446BAC"/>
    <w:rsid w:val="00446BBE"/>
    <w:rsid w:val="0044782C"/>
    <w:rsid w:val="00447DAC"/>
    <w:rsid w:val="0045093D"/>
    <w:rsid w:val="0045144B"/>
    <w:rsid w:val="00451645"/>
    <w:rsid w:val="0045259A"/>
    <w:rsid w:val="0045351D"/>
    <w:rsid w:val="004537C1"/>
    <w:rsid w:val="004548E2"/>
    <w:rsid w:val="00454C8D"/>
    <w:rsid w:val="00454F8E"/>
    <w:rsid w:val="00456783"/>
    <w:rsid w:val="00456CCB"/>
    <w:rsid w:val="00457291"/>
    <w:rsid w:val="00457950"/>
    <w:rsid w:val="0046008F"/>
    <w:rsid w:val="0046057B"/>
    <w:rsid w:val="004607CE"/>
    <w:rsid w:val="00462206"/>
    <w:rsid w:val="00462778"/>
    <w:rsid w:val="00463F0A"/>
    <w:rsid w:val="00464D2A"/>
    <w:rsid w:val="00464F6C"/>
    <w:rsid w:val="00465214"/>
    <w:rsid w:val="00465385"/>
    <w:rsid w:val="00465CDC"/>
    <w:rsid w:val="00465FD2"/>
    <w:rsid w:val="004670E6"/>
    <w:rsid w:val="00470477"/>
    <w:rsid w:val="0047124F"/>
    <w:rsid w:val="004716E0"/>
    <w:rsid w:val="00471D0D"/>
    <w:rsid w:val="00471DF3"/>
    <w:rsid w:val="004721FB"/>
    <w:rsid w:val="00472407"/>
    <w:rsid w:val="00473387"/>
    <w:rsid w:val="00474B98"/>
    <w:rsid w:val="00474E01"/>
    <w:rsid w:val="00476994"/>
    <w:rsid w:val="004801EA"/>
    <w:rsid w:val="0048027B"/>
    <w:rsid w:val="00481094"/>
    <w:rsid w:val="004821FF"/>
    <w:rsid w:val="004824FD"/>
    <w:rsid w:val="004826AE"/>
    <w:rsid w:val="00482804"/>
    <w:rsid w:val="004828A7"/>
    <w:rsid w:val="00482B47"/>
    <w:rsid w:val="00482C12"/>
    <w:rsid w:val="0048323E"/>
    <w:rsid w:val="0048422E"/>
    <w:rsid w:val="00484DC5"/>
    <w:rsid w:val="00485675"/>
    <w:rsid w:val="004864F6"/>
    <w:rsid w:val="00487C85"/>
    <w:rsid w:val="00490DC4"/>
    <w:rsid w:val="00491950"/>
    <w:rsid w:val="00491B5C"/>
    <w:rsid w:val="00492494"/>
    <w:rsid w:val="00492EEB"/>
    <w:rsid w:val="00494F64"/>
    <w:rsid w:val="00495F4B"/>
    <w:rsid w:val="00496720"/>
    <w:rsid w:val="00496CA8"/>
    <w:rsid w:val="004971CE"/>
    <w:rsid w:val="004973C0"/>
    <w:rsid w:val="00497B9F"/>
    <w:rsid w:val="004A144A"/>
    <w:rsid w:val="004A2084"/>
    <w:rsid w:val="004A266D"/>
    <w:rsid w:val="004A2B3F"/>
    <w:rsid w:val="004A4430"/>
    <w:rsid w:val="004A44B8"/>
    <w:rsid w:val="004A4DA3"/>
    <w:rsid w:val="004A4F5E"/>
    <w:rsid w:val="004A4FDF"/>
    <w:rsid w:val="004A5275"/>
    <w:rsid w:val="004A534F"/>
    <w:rsid w:val="004A5489"/>
    <w:rsid w:val="004A57BF"/>
    <w:rsid w:val="004A5E73"/>
    <w:rsid w:val="004A63DB"/>
    <w:rsid w:val="004A6574"/>
    <w:rsid w:val="004A6D94"/>
    <w:rsid w:val="004A7080"/>
    <w:rsid w:val="004A7A52"/>
    <w:rsid w:val="004B13D8"/>
    <w:rsid w:val="004B19FE"/>
    <w:rsid w:val="004B2A4D"/>
    <w:rsid w:val="004B2F45"/>
    <w:rsid w:val="004B3264"/>
    <w:rsid w:val="004B33C2"/>
    <w:rsid w:val="004B402A"/>
    <w:rsid w:val="004B4214"/>
    <w:rsid w:val="004B4DC3"/>
    <w:rsid w:val="004B57E5"/>
    <w:rsid w:val="004B5BEF"/>
    <w:rsid w:val="004B6189"/>
    <w:rsid w:val="004B689D"/>
    <w:rsid w:val="004B6CCD"/>
    <w:rsid w:val="004B6EC4"/>
    <w:rsid w:val="004C0877"/>
    <w:rsid w:val="004C0E97"/>
    <w:rsid w:val="004C245B"/>
    <w:rsid w:val="004C332C"/>
    <w:rsid w:val="004C48C8"/>
    <w:rsid w:val="004C598D"/>
    <w:rsid w:val="004C6481"/>
    <w:rsid w:val="004C685C"/>
    <w:rsid w:val="004C6E0A"/>
    <w:rsid w:val="004D059A"/>
    <w:rsid w:val="004D338E"/>
    <w:rsid w:val="004D3897"/>
    <w:rsid w:val="004D4425"/>
    <w:rsid w:val="004D4651"/>
    <w:rsid w:val="004D4669"/>
    <w:rsid w:val="004D48BA"/>
    <w:rsid w:val="004D5060"/>
    <w:rsid w:val="004D5440"/>
    <w:rsid w:val="004D5BB3"/>
    <w:rsid w:val="004D5EB0"/>
    <w:rsid w:val="004D632C"/>
    <w:rsid w:val="004D671A"/>
    <w:rsid w:val="004D68E9"/>
    <w:rsid w:val="004E0A78"/>
    <w:rsid w:val="004E25DE"/>
    <w:rsid w:val="004E2675"/>
    <w:rsid w:val="004E2BD6"/>
    <w:rsid w:val="004E2F23"/>
    <w:rsid w:val="004E3821"/>
    <w:rsid w:val="004E45A6"/>
    <w:rsid w:val="004E6904"/>
    <w:rsid w:val="004E6DDD"/>
    <w:rsid w:val="004E70C3"/>
    <w:rsid w:val="004F034E"/>
    <w:rsid w:val="004F0428"/>
    <w:rsid w:val="004F1964"/>
    <w:rsid w:val="004F2F16"/>
    <w:rsid w:val="004F3847"/>
    <w:rsid w:val="004F4069"/>
    <w:rsid w:val="004F4F43"/>
    <w:rsid w:val="004F65ED"/>
    <w:rsid w:val="004F6AD3"/>
    <w:rsid w:val="004F7746"/>
    <w:rsid w:val="004F7C50"/>
    <w:rsid w:val="00500FE9"/>
    <w:rsid w:val="00501386"/>
    <w:rsid w:val="00501479"/>
    <w:rsid w:val="00501962"/>
    <w:rsid w:val="00501AD4"/>
    <w:rsid w:val="00501BD9"/>
    <w:rsid w:val="00501C25"/>
    <w:rsid w:val="005027A6"/>
    <w:rsid w:val="00502CA2"/>
    <w:rsid w:val="00502DAE"/>
    <w:rsid w:val="00502FFB"/>
    <w:rsid w:val="00503223"/>
    <w:rsid w:val="005038A0"/>
    <w:rsid w:val="00504A82"/>
    <w:rsid w:val="00504E84"/>
    <w:rsid w:val="00504F99"/>
    <w:rsid w:val="00504FED"/>
    <w:rsid w:val="00505703"/>
    <w:rsid w:val="00505E19"/>
    <w:rsid w:val="00506931"/>
    <w:rsid w:val="0050693F"/>
    <w:rsid w:val="00506EF2"/>
    <w:rsid w:val="005103C5"/>
    <w:rsid w:val="00510EBF"/>
    <w:rsid w:val="005122CA"/>
    <w:rsid w:val="005125FE"/>
    <w:rsid w:val="00512AA1"/>
    <w:rsid w:val="00512B5D"/>
    <w:rsid w:val="005131D3"/>
    <w:rsid w:val="00513207"/>
    <w:rsid w:val="00513320"/>
    <w:rsid w:val="0051352C"/>
    <w:rsid w:val="00514FC2"/>
    <w:rsid w:val="00515BFA"/>
    <w:rsid w:val="005164AC"/>
    <w:rsid w:val="00516C0B"/>
    <w:rsid w:val="00517A86"/>
    <w:rsid w:val="005213D2"/>
    <w:rsid w:val="0052349D"/>
    <w:rsid w:val="00523CE5"/>
    <w:rsid w:val="00524922"/>
    <w:rsid w:val="00524BD0"/>
    <w:rsid w:val="00524BE8"/>
    <w:rsid w:val="0052534E"/>
    <w:rsid w:val="005253A0"/>
    <w:rsid w:val="0052575D"/>
    <w:rsid w:val="00525B4F"/>
    <w:rsid w:val="00526C92"/>
    <w:rsid w:val="005275FC"/>
    <w:rsid w:val="0052768C"/>
    <w:rsid w:val="00527D01"/>
    <w:rsid w:val="00530896"/>
    <w:rsid w:val="005310AF"/>
    <w:rsid w:val="005310F8"/>
    <w:rsid w:val="00531C1E"/>
    <w:rsid w:val="00532054"/>
    <w:rsid w:val="005320DD"/>
    <w:rsid w:val="00533124"/>
    <w:rsid w:val="00533C3D"/>
    <w:rsid w:val="005342C3"/>
    <w:rsid w:val="005342EB"/>
    <w:rsid w:val="00535D69"/>
    <w:rsid w:val="0053621A"/>
    <w:rsid w:val="005362F5"/>
    <w:rsid w:val="0053672C"/>
    <w:rsid w:val="0053725B"/>
    <w:rsid w:val="00537C8C"/>
    <w:rsid w:val="005407CA"/>
    <w:rsid w:val="00540C57"/>
    <w:rsid w:val="00540E85"/>
    <w:rsid w:val="00540F2E"/>
    <w:rsid w:val="00541938"/>
    <w:rsid w:val="00542C2D"/>
    <w:rsid w:val="005440E8"/>
    <w:rsid w:val="00544805"/>
    <w:rsid w:val="00545C18"/>
    <w:rsid w:val="00545D71"/>
    <w:rsid w:val="00550FAE"/>
    <w:rsid w:val="00552251"/>
    <w:rsid w:val="00552829"/>
    <w:rsid w:val="005531BD"/>
    <w:rsid w:val="00553356"/>
    <w:rsid w:val="005538ED"/>
    <w:rsid w:val="00553FE2"/>
    <w:rsid w:val="00554048"/>
    <w:rsid w:val="0055528F"/>
    <w:rsid w:val="00555F1F"/>
    <w:rsid w:val="005567B2"/>
    <w:rsid w:val="00557870"/>
    <w:rsid w:val="00557A92"/>
    <w:rsid w:val="00560277"/>
    <w:rsid w:val="00560867"/>
    <w:rsid w:val="00560938"/>
    <w:rsid w:val="00560AF1"/>
    <w:rsid w:val="0056138A"/>
    <w:rsid w:val="00561562"/>
    <w:rsid w:val="00561581"/>
    <w:rsid w:val="00561738"/>
    <w:rsid w:val="00561E3D"/>
    <w:rsid w:val="00562565"/>
    <w:rsid w:val="00562756"/>
    <w:rsid w:val="0056328A"/>
    <w:rsid w:val="00563699"/>
    <w:rsid w:val="00563DE6"/>
    <w:rsid w:val="0056528D"/>
    <w:rsid w:val="0056530F"/>
    <w:rsid w:val="0056564C"/>
    <w:rsid w:val="0056628B"/>
    <w:rsid w:val="00566298"/>
    <w:rsid w:val="00567210"/>
    <w:rsid w:val="005700B2"/>
    <w:rsid w:val="00570288"/>
    <w:rsid w:val="005704E8"/>
    <w:rsid w:val="0057091E"/>
    <w:rsid w:val="00570CBB"/>
    <w:rsid w:val="005723D6"/>
    <w:rsid w:val="005726BA"/>
    <w:rsid w:val="00574A6E"/>
    <w:rsid w:val="00574F94"/>
    <w:rsid w:val="00575A21"/>
    <w:rsid w:val="005761AE"/>
    <w:rsid w:val="00576231"/>
    <w:rsid w:val="00576A06"/>
    <w:rsid w:val="00577145"/>
    <w:rsid w:val="005773BE"/>
    <w:rsid w:val="0058127D"/>
    <w:rsid w:val="00581761"/>
    <w:rsid w:val="00581BD1"/>
    <w:rsid w:val="00582365"/>
    <w:rsid w:val="005827A4"/>
    <w:rsid w:val="00582E16"/>
    <w:rsid w:val="0058538D"/>
    <w:rsid w:val="00585C1B"/>
    <w:rsid w:val="00586365"/>
    <w:rsid w:val="00587190"/>
    <w:rsid w:val="00587639"/>
    <w:rsid w:val="005909BD"/>
    <w:rsid w:val="00591757"/>
    <w:rsid w:val="00591D96"/>
    <w:rsid w:val="00592032"/>
    <w:rsid w:val="00592638"/>
    <w:rsid w:val="00593074"/>
    <w:rsid w:val="00593138"/>
    <w:rsid w:val="0059342B"/>
    <w:rsid w:val="00593A33"/>
    <w:rsid w:val="00593EBE"/>
    <w:rsid w:val="00594079"/>
    <w:rsid w:val="005947B5"/>
    <w:rsid w:val="0059492C"/>
    <w:rsid w:val="00595389"/>
    <w:rsid w:val="005960BB"/>
    <w:rsid w:val="00596BDE"/>
    <w:rsid w:val="00596F9A"/>
    <w:rsid w:val="005972FE"/>
    <w:rsid w:val="00597407"/>
    <w:rsid w:val="0059799F"/>
    <w:rsid w:val="00597DCD"/>
    <w:rsid w:val="00597E95"/>
    <w:rsid w:val="005A0496"/>
    <w:rsid w:val="005A0ACA"/>
    <w:rsid w:val="005A16BA"/>
    <w:rsid w:val="005A22E0"/>
    <w:rsid w:val="005A2378"/>
    <w:rsid w:val="005A3CF6"/>
    <w:rsid w:val="005A4047"/>
    <w:rsid w:val="005A4384"/>
    <w:rsid w:val="005A4D23"/>
    <w:rsid w:val="005A4EC1"/>
    <w:rsid w:val="005A5672"/>
    <w:rsid w:val="005A615F"/>
    <w:rsid w:val="005A634F"/>
    <w:rsid w:val="005A7012"/>
    <w:rsid w:val="005A71EF"/>
    <w:rsid w:val="005A7A5E"/>
    <w:rsid w:val="005B02F9"/>
    <w:rsid w:val="005B08E4"/>
    <w:rsid w:val="005B0924"/>
    <w:rsid w:val="005B1C07"/>
    <w:rsid w:val="005B1EA8"/>
    <w:rsid w:val="005B2204"/>
    <w:rsid w:val="005B3432"/>
    <w:rsid w:val="005B37A0"/>
    <w:rsid w:val="005B39A9"/>
    <w:rsid w:val="005B3BD6"/>
    <w:rsid w:val="005B3D81"/>
    <w:rsid w:val="005B587E"/>
    <w:rsid w:val="005B619D"/>
    <w:rsid w:val="005B74C8"/>
    <w:rsid w:val="005B7922"/>
    <w:rsid w:val="005B7D6C"/>
    <w:rsid w:val="005C0121"/>
    <w:rsid w:val="005C043C"/>
    <w:rsid w:val="005C0A21"/>
    <w:rsid w:val="005C0DF3"/>
    <w:rsid w:val="005C10AC"/>
    <w:rsid w:val="005C4805"/>
    <w:rsid w:val="005C4F40"/>
    <w:rsid w:val="005C54F1"/>
    <w:rsid w:val="005C5F0A"/>
    <w:rsid w:val="005C62F0"/>
    <w:rsid w:val="005C7215"/>
    <w:rsid w:val="005C73C4"/>
    <w:rsid w:val="005C7684"/>
    <w:rsid w:val="005C7F02"/>
    <w:rsid w:val="005D00EA"/>
    <w:rsid w:val="005D023B"/>
    <w:rsid w:val="005D02C4"/>
    <w:rsid w:val="005D0B74"/>
    <w:rsid w:val="005D0F4B"/>
    <w:rsid w:val="005D15A4"/>
    <w:rsid w:val="005D17C8"/>
    <w:rsid w:val="005D2304"/>
    <w:rsid w:val="005D252F"/>
    <w:rsid w:val="005D3430"/>
    <w:rsid w:val="005D3A04"/>
    <w:rsid w:val="005D44A5"/>
    <w:rsid w:val="005D45F1"/>
    <w:rsid w:val="005D48FE"/>
    <w:rsid w:val="005D5752"/>
    <w:rsid w:val="005D57E1"/>
    <w:rsid w:val="005D635C"/>
    <w:rsid w:val="005D66E6"/>
    <w:rsid w:val="005D721F"/>
    <w:rsid w:val="005D7471"/>
    <w:rsid w:val="005D749D"/>
    <w:rsid w:val="005D7F09"/>
    <w:rsid w:val="005E01CC"/>
    <w:rsid w:val="005E1C29"/>
    <w:rsid w:val="005E2702"/>
    <w:rsid w:val="005E2EF4"/>
    <w:rsid w:val="005E3485"/>
    <w:rsid w:val="005E3CDE"/>
    <w:rsid w:val="005E4649"/>
    <w:rsid w:val="005E4E9B"/>
    <w:rsid w:val="005E5874"/>
    <w:rsid w:val="005E5BB8"/>
    <w:rsid w:val="005E75D5"/>
    <w:rsid w:val="005E7A6C"/>
    <w:rsid w:val="005F0674"/>
    <w:rsid w:val="005F0ACB"/>
    <w:rsid w:val="005F0B83"/>
    <w:rsid w:val="005F1555"/>
    <w:rsid w:val="005F184E"/>
    <w:rsid w:val="005F2978"/>
    <w:rsid w:val="005F4156"/>
    <w:rsid w:val="005F44A4"/>
    <w:rsid w:val="005F4721"/>
    <w:rsid w:val="005F4972"/>
    <w:rsid w:val="005F51DC"/>
    <w:rsid w:val="005F720A"/>
    <w:rsid w:val="005F775A"/>
    <w:rsid w:val="005F7D26"/>
    <w:rsid w:val="005F7FBF"/>
    <w:rsid w:val="00600E19"/>
    <w:rsid w:val="00601093"/>
    <w:rsid w:val="006012A7"/>
    <w:rsid w:val="00601485"/>
    <w:rsid w:val="00602103"/>
    <w:rsid w:val="00602F43"/>
    <w:rsid w:val="00603175"/>
    <w:rsid w:val="00603B08"/>
    <w:rsid w:val="006052A8"/>
    <w:rsid w:val="00605776"/>
    <w:rsid w:val="0060625B"/>
    <w:rsid w:val="00606394"/>
    <w:rsid w:val="0060661D"/>
    <w:rsid w:val="006069D5"/>
    <w:rsid w:val="00610014"/>
    <w:rsid w:val="00610162"/>
    <w:rsid w:val="00610ABA"/>
    <w:rsid w:val="00610F09"/>
    <w:rsid w:val="00611F85"/>
    <w:rsid w:val="00612EA9"/>
    <w:rsid w:val="00613037"/>
    <w:rsid w:val="006134A8"/>
    <w:rsid w:val="006135AB"/>
    <w:rsid w:val="006138E4"/>
    <w:rsid w:val="00613BB9"/>
    <w:rsid w:val="00613C9E"/>
    <w:rsid w:val="006144F6"/>
    <w:rsid w:val="006146BE"/>
    <w:rsid w:val="00614852"/>
    <w:rsid w:val="006154DE"/>
    <w:rsid w:val="00615581"/>
    <w:rsid w:val="006159DD"/>
    <w:rsid w:val="00615D3A"/>
    <w:rsid w:val="00616407"/>
    <w:rsid w:val="006175D1"/>
    <w:rsid w:val="00620E5A"/>
    <w:rsid w:val="00621BC9"/>
    <w:rsid w:val="00624839"/>
    <w:rsid w:val="00624E34"/>
    <w:rsid w:val="006250E9"/>
    <w:rsid w:val="00625843"/>
    <w:rsid w:val="00626B64"/>
    <w:rsid w:val="00626D43"/>
    <w:rsid w:val="00626FA5"/>
    <w:rsid w:val="006275B2"/>
    <w:rsid w:val="00627609"/>
    <w:rsid w:val="006301FE"/>
    <w:rsid w:val="0063056B"/>
    <w:rsid w:val="00630E3D"/>
    <w:rsid w:val="00631547"/>
    <w:rsid w:val="0063229C"/>
    <w:rsid w:val="00632DB7"/>
    <w:rsid w:val="00633B2F"/>
    <w:rsid w:val="00634017"/>
    <w:rsid w:val="00634BBB"/>
    <w:rsid w:val="00634CA6"/>
    <w:rsid w:val="0063549D"/>
    <w:rsid w:val="00635ECF"/>
    <w:rsid w:val="006375D4"/>
    <w:rsid w:val="006409A2"/>
    <w:rsid w:val="00640C31"/>
    <w:rsid w:val="0064236D"/>
    <w:rsid w:val="00642542"/>
    <w:rsid w:val="006425C8"/>
    <w:rsid w:val="00642979"/>
    <w:rsid w:val="00643226"/>
    <w:rsid w:val="00644E4C"/>
    <w:rsid w:val="006458B9"/>
    <w:rsid w:val="006459EF"/>
    <w:rsid w:val="00645C67"/>
    <w:rsid w:val="0064601C"/>
    <w:rsid w:val="006465F3"/>
    <w:rsid w:val="00646614"/>
    <w:rsid w:val="00646684"/>
    <w:rsid w:val="006471E2"/>
    <w:rsid w:val="00647322"/>
    <w:rsid w:val="006476BC"/>
    <w:rsid w:val="006477EC"/>
    <w:rsid w:val="00651FB1"/>
    <w:rsid w:val="00652079"/>
    <w:rsid w:val="006534BF"/>
    <w:rsid w:val="006537D7"/>
    <w:rsid w:val="00653864"/>
    <w:rsid w:val="00653977"/>
    <w:rsid w:val="00653C06"/>
    <w:rsid w:val="0065444A"/>
    <w:rsid w:val="00654ACB"/>
    <w:rsid w:val="00654F68"/>
    <w:rsid w:val="00654FD1"/>
    <w:rsid w:val="00655866"/>
    <w:rsid w:val="006558AA"/>
    <w:rsid w:val="00655ADF"/>
    <w:rsid w:val="00655CF9"/>
    <w:rsid w:val="00655D45"/>
    <w:rsid w:val="00656C6B"/>
    <w:rsid w:val="006570B3"/>
    <w:rsid w:val="0065714C"/>
    <w:rsid w:val="00657C72"/>
    <w:rsid w:val="00657EF8"/>
    <w:rsid w:val="00657F4B"/>
    <w:rsid w:val="00660A74"/>
    <w:rsid w:val="0066117E"/>
    <w:rsid w:val="00662213"/>
    <w:rsid w:val="00662833"/>
    <w:rsid w:val="00662AC5"/>
    <w:rsid w:val="00662E5F"/>
    <w:rsid w:val="00664434"/>
    <w:rsid w:val="00664B9A"/>
    <w:rsid w:val="00664DAD"/>
    <w:rsid w:val="0066561F"/>
    <w:rsid w:val="00665699"/>
    <w:rsid w:val="00665AD1"/>
    <w:rsid w:val="00665EDD"/>
    <w:rsid w:val="00666A58"/>
    <w:rsid w:val="00667861"/>
    <w:rsid w:val="00667F58"/>
    <w:rsid w:val="00670650"/>
    <w:rsid w:val="006712C0"/>
    <w:rsid w:val="006725EF"/>
    <w:rsid w:val="00672AA8"/>
    <w:rsid w:val="00672B23"/>
    <w:rsid w:val="00672F88"/>
    <w:rsid w:val="006744AC"/>
    <w:rsid w:val="00674770"/>
    <w:rsid w:val="006749C4"/>
    <w:rsid w:val="00674C7D"/>
    <w:rsid w:val="00674D07"/>
    <w:rsid w:val="00675B04"/>
    <w:rsid w:val="00675EF6"/>
    <w:rsid w:val="00676414"/>
    <w:rsid w:val="006800B9"/>
    <w:rsid w:val="00680245"/>
    <w:rsid w:val="006803FE"/>
    <w:rsid w:val="00680B40"/>
    <w:rsid w:val="00680B91"/>
    <w:rsid w:val="006816BA"/>
    <w:rsid w:val="00681D4B"/>
    <w:rsid w:val="00681EC9"/>
    <w:rsid w:val="006822FA"/>
    <w:rsid w:val="0068288C"/>
    <w:rsid w:val="0068388E"/>
    <w:rsid w:val="00683A8D"/>
    <w:rsid w:val="00683F36"/>
    <w:rsid w:val="00684233"/>
    <w:rsid w:val="00684991"/>
    <w:rsid w:val="00685173"/>
    <w:rsid w:val="006852F5"/>
    <w:rsid w:val="00685589"/>
    <w:rsid w:val="0068565C"/>
    <w:rsid w:val="0068682C"/>
    <w:rsid w:val="00686BF2"/>
    <w:rsid w:val="006901FC"/>
    <w:rsid w:val="006913C9"/>
    <w:rsid w:val="00691C26"/>
    <w:rsid w:val="00691DCE"/>
    <w:rsid w:val="00691F66"/>
    <w:rsid w:val="00692969"/>
    <w:rsid w:val="00692F23"/>
    <w:rsid w:val="006938AA"/>
    <w:rsid w:val="00694440"/>
    <w:rsid w:val="006946AB"/>
    <w:rsid w:val="0069474B"/>
    <w:rsid w:val="0069475D"/>
    <w:rsid w:val="00695131"/>
    <w:rsid w:val="006976B5"/>
    <w:rsid w:val="00697966"/>
    <w:rsid w:val="006A0860"/>
    <w:rsid w:val="006A0AF3"/>
    <w:rsid w:val="006A100E"/>
    <w:rsid w:val="006A25C2"/>
    <w:rsid w:val="006A284B"/>
    <w:rsid w:val="006A2C1D"/>
    <w:rsid w:val="006A3321"/>
    <w:rsid w:val="006A39EC"/>
    <w:rsid w:val="006A3A2B"/>
    <w:rsid w:val="006A41B1"/>
    <w:rsid w:val="006A53AA"/>
    <w:rsid w:val="006A53DE"/>
    <w:rsid w:val="006A5E9B"/>
    <w:rsid w:val="006A6BF1"/>
    <w:rsid w:val="006A795D"/>
    <w:rsid w:val="006A7B6D"/>
    <w:rsid w:val="006A7B90"/>
    <w:rsid w:val="006A7CDA"/>
    <w:rsid w:val="006B0393"/>
    <w:rsid w:val="006B0ECC"/>
    <w:rsid w:val="006B104C"/>
    <w:rsid w:val="006B20E3"/>
    <w:rsid w:val="006B2CF4"/>
    <w:rsid w:val="006B3032"/>
    <w:rsid w:val="006B394B"/>
    <w:rsid w:val="006B3B8F"/>
    <w:rsid w:val="006B48D9"/>
    <w:rsid w:val="006B4B4A"/>
    <w:rsid w:val="006B5FE5"/>
    <w:rsid w:val="006B75C6"/>
    <w:rsid w:val="006B7D59"/>
    <w:rsid w:val="006C081B"/>
    <w:rsid w:val="006C0D88"/>
    <w:rsid w:val="006C1007"/>
    <w:rsid w:val="006C33F1"/>
    <w:rsid w:val="006C354C"/>
    <w:rsid w:val="006C3B76"/>
    <w:rsid w:val="006C4572"/>
    <w:rsid w:val="006C49F5"/>
    <w:rsid w:val="006C528C"/>
    <w:rsid w:val="006C574A"/>
    <w:rsid w:val="006C5B18"/>
    <w:rsid w:val="006C609C"/>
    <w:rsid w:val="006C650C"/>
    <w:rsid w:val="006C758E"/>
    <w:rsid w:val="006C7B03"/>
    <w:rsid w:val="006D0EC2"/>
    <w:rsid w:val="006D398D"/>
    <w:rsid w:val="006D3D2B"/>
    <w:rsid w:val="006D442D"/>
    <w:rsid w:val="006D4450"/>
    <w:rsid w:val="006D4C72"/>
    <w:rsid w:val="006D4E4C"/>
    <w:rsid w:val="006D4F6D"/>
    <w:rsid w:val="006D4FAE"/>
    <w:rsid w:val="006D5328"/>
    <w:rsid w:val="006D54E7"/>
    <w:rsid w:val="006D5585"/>
    <w:rsid w:val="006D5E14"/>
    <w:rsid w:val="006D5F76"/>
    <w:rsid w:val="006D6317"/>
    <w:rsid w:val="006D69F9"/>
    <w:rsid w:val="006D6D96"/>
    <w:rsid w:val="006D7211"/>
    <w:rsid w:val="006D7404"/>
    <w:rsid w:val="006D75C8"/>
    <w:rsid w:val="006D7F9E"/>
    <w:rsid w:val="006E00BA"/>
    <w:rsid w:val="006E01A8"/>
    <w:rsid w:val="006E0347"/>
    <w:rsid w:val="006E0D65"/>
    <w:rsid w:val="006E115F"/>
    <w:rsid w:val="006E18F0"/>
    <w:rsid w:val="006E31A7"/>
    <w:rsid w:val="006E48FD"/>
    <w:rsid w:val="006E4ABE"/>
    <w:rsid w:val="006E4CF2"/>
    <w:rsid w:val="006E5408"/>
    <w:rsid w:val="006E5428"/>
    <w:rsid w:val="006E5602"/>
    <w:rsid w:val="006E5889"/>
    <w:rsid w:val="006E58F8"/>
    <w:rsid w:val="006E5C48"/>
    <w:rsid w:val="006E604E"/>
    <w:rsid w:val="006E66EA"/>
    <w:rsid w:val="006E693B"/>
    <w:rsid w:val="006E744C"/>
    <w:rsid w:val="006E791B"/>
    <w:rsid w:val="006F0D33"/>
    <w:rsid w:val="006F0D46"/>
    <w:rsid w:val="006F166B"/>
    <w:rsid w:val="006F205E"/>
    <w:rsid w:val="006F20F5"/>
    <w:rsid w:val="006F23DD"/>
    <w:rsid w:val="006F26B2"/>
    <w:rsid w:val="006F2CE9"/>
    <w:rsid w:val="006F4473"/>
    <w:rsid w:val="006F4F40"/>
    <w:rsid w:val="006F5158"/>
    <w:rsid w:val="006F5861"/>
    <w:rsid w:val="006F677C"/>
    <w:rsid w:val="006F6EB1"/>
    <w:rsid w:val="006F716F"/>
    <w:rsid w:val="006F7197"/>
    <w:rsid w:val="006F7642"/>
    <w:rsid w:val="006F7AE6"/>
    <w:rsid w:val="00700950"/>
    <w:rsid w:val="00700A97"/>
    <w:rsid w:val="00700ECC"/>
    <w:rsid w:val="00701136"/>
    <w:rsid w:val="007021F9"/>
    <w:rsid w:val="00702649"/>
    <w:rsid w:val="007027F5"/>
    <w:rsid w:val="00702F95"/>
    <w:rsid w:val="0070319A"/>
    <w:rsid w:val="0070355A"/>
    <w:rsid w:val="0070375D"/>
    <w:rsid w:val="00703CB4"/>
    <w:rsid w:val="00704392"/>
    <w:rsid w:val="007048A4"/>
    <w:rsid w:val="00706691"/>
    <w:rsid w:val="00707B11"/>
    <w:rsid w:val="00707C18"/>
    <w:rsid w:val="00707F7C"/>
    <w:rsid w:val="00710247"/>
    <w:rsid w:val="007103A9"/>
    <w:rsid w:val="00710440"/>
    <w:rsid w:val="00710596"/>
    <w:rsid w:val="007108A5"/>
    <w:rsid w:val="00710F7E"/>
    <w:rsid w:val="00710FCC"/>
    <w:rsid w:val="007114CC"/>
    <w:rsid w:val="007136C7"/>
    <w:rsid w:val="00713F58"/>
    <w:rsid w:val="00714E60"/>
    <w:rsid w:val="0071587B"/>
    <w:rsid w:val="00715F60"/>
    <w:rsid w:val="00715FD2"/>
    <w:rsid w:val="00716006"/>
    <w:rsid w:val="00716AC9"/>
    <w:rsid w:val="00716AD2"/>
    <w:rsid w:val="00716FD9"/>
    <w:rsid w:val="007175DC"/>
    <w:rsid w:val="00717653"/>
    <w:rsid w:val="007178A6"/>
    <w:rsid w:val="00717E7D"/>
    <w:rsid w:val="007203CA"/>
    <w:rsid w:val="007226F5"/>
    <w:rsid w:val="00723932"/>
    <w:rsid w:val="00723B2C"/>
    <w:rsid w:val="00723D83"/>
    <w:rsid w:val="00723FCF"/>
    <w:rsid w:val="0072463E"/>
    <w:rsid w:val="00724684"/>
    <w:rsid w:val="00724841"/>
    <w:rsid w:val="00724ED0"/>
    <w:rsid w:val="00724F92"/>
    <w:rsid w:val="007253D6"/>
    <w:rsid w:val="0072578A"/>
    <w:rsid w:val="0072597A"/>
    <w:rsid w:val="00733807"/>
    <w:rsid w:val="007342B8"/>
    <w:rsid w:val="00734F68"/>
    <w:rsid w:val="00734FE4"/>
    <w:rsid w:val="0073654A"/>
    <w:rsid w:val="007377CF"/>
    <w:rsid w:val="0073792C"/>
    <w:rsid w:val="00741A3A"/>
    <w:rsid w:val="00742575"/>
    <w:rsid w:val="0074257A"/>
    <w:rsid w:val="00744024"/>
    <w:rsid w:val="007440A2"/>
    <w:rsid w:val="00744F99"/>
    <w:rsid w:val="00745075"/>
    <w:rsid w:val="00746725"/>
    <w:rsid w:val="007470CE"/>
    <w:rsid w:val="00747434"/>
    <w:rsid w:val="0074788B"/>
    <w:rsid w:val="00747AE6"/>
    <w:rsid w:val="007500B7"/>
    <w:rsid w:val="0075024B"/>
    <w:rsid w:val="00750541"/>
    <w:rsid w:val="00750B72"/>
    <w:rsid w:val="00750B7F"/>
    <w:rsid w:val="0075137C"/>
    <w:rsid w:val="00751504"/>
    <w:rsid w:val="00751F8C"/>
    <w:rsid w:val="007523FD"/>
    <w:rsid w:val="0075311D"/>
    <w:rsid w:val="00753835"/>
    <w:rsid w:val="0075418A"/>
    <w:rsid w:val="00754A7D"/>
    <w:rsid w:val="00756165"/>
    <w:rsid w:val="00756669"/>
    <w:rsid w:val="00756DDE"/>
    <w:rsid w:val="00757331"/>
    <w:rsid w:val="00760FCC"/>
    <w:rsid w:val="0076113E"/>
    <w:rsid w:val="00761701"/>
    <w:rsid w:val="0076260D"/>
    <w:rsid w:val="007629BF"/>
    <w:rsid w:val="00763715"/>
    <w:rsid w:val="00763A8A"/>
    <w:rsid w:val="00763B77"/>
    <w:rsid w:val="00764287"/>
    <w:rsid w:val="0076523B"/>
    <w:rsid w:val="00765535"/>
    <w:rsid w:val="0076619C"/>
    <w:rsid w:val="0076682F"/>
    <w:rsid w:val="00766B41"/>
    <w:rsid w:val="0076702C"/>
    <w:rsid w:val="007674A4"/>
    <w:rsid w:val="007679E7"/>
    <w:rsid w:val="00767F6C"/>
    <w:rsid w:val="00770104"/>
    <w:rsid w:val="007704C3"/>
    <w:rsid w:val="0077052E"/>
    <w:rsid w:val="00770A96"/>
    <w:rsid w:val="00770C63"/>
    <w:rsid w:val="00770CC5"/>
    <w:rsid w:val="00771842"/>
    <w:rsid w:val="00771AFF"/>
    <w:rsid w:val="00772829"/>
    <w:rsid w:val="00773A76"/>
    <w:rsid w:val="007761E8"/>
    <w:rsid w:val="0077635E"/>
    <w:rsid w:val="00776AD0"/>
    <w:rsid w:val="00777848"/>
    <w:rsid w:val="00777893"/>
    <w:rsid w:val="00777E8F"/>
    <w:rsid w:val="00777EE8"/>
    <w:rsid w:val="00780C55"/>
    <w:rsid w:val="00780C8C"/>
    <w:rsid w:val="00781FD1"/>
    <w:rsid w:val="00782A1C"/>
    <w:rsid w:val="00782D44"/>
    <w:rsid w:val="00782FDB"/>
    <w:rsid w:val="0078303D"/>
    <w:rsid w:val="00783719"/>
    <w:rsid w:val="00783A97"/>
    <w:rsid w:val="00784341"/>
    <w:rsid w:val="007850AD"/>
    <w:rsid w:val="007852E9"/>
    <w:rsid w:val="007866CA"/>
    <w:rsid w:val="00787A94"/>
    <w:rsid w:val="00790A72"/>
    <w:rsid w:val="00790B15"/>
    <w:rsid w:val="00790C07"/>
    <w:rsid w:val="00790DEE"/>
    <w:rsid w:val="00790F49"/>
    <w:rsid w:val="00791109"/>
    <w:rsid w:val="0079284B"/>
    <w:rsid w:val="007931CB"/>
    <w:rsid w:val="00793A27"/>
    <w:rsid w:val="00794071"/>
    <w:rsid w:val="007942CA"/>
    <w:rsid w:val="007945C6"/>
    <w:rsid w:val="00794C49"/>
    <w:rsid w:val="00794C8B"/>
    <w:rsid w:val="007951D4"/>
    <w:rsid w:val="00795200"/>
    <w:rsid w:val="007961BA"/>
    <w:rsid w:val="00797796"/>
    <w:rsid w:val="00797C46"/>
    <w:rsid w:val="007A19F6"/>
    <w:rsid w:val="007A20F5"/>
    <w:rsid w:val="007A2B65"/>
    <w:rsid w:val="007A2FEA"/>
    <w:rsid w:val="007A3A40"/>
    <w:rsid w:val="007A4958"/>
    <w:rsid w:val="007A4D01"/>
    <w:rsid w:val="007A5617"/>
    <w:rsid w:val="007A586B"/>
    <w:rsid w:val="007A6995"/>
    <w:rsid w:val="007A6A0C"/>
    <w:rsid w:val="007B0245"/>
    <w:rsid w:val="007B0431"/>
    <w:rsid w:val="007B083F"/>
    <w:rsid w:val="007B0880"/>
    <w:rsid w:val="007B0D01"/>
    <w:rsid w:val="007B11A5"/>
    <w:rsid w:val="007B1B5E"/>
    <w:rsid w:val="007B1D3E"/>
    <w:rsid w:val="007B2085"/>
    <w:rsid w:val="007B2231"/>
    <w:rsid w:val="007B22BD"/>
    <w:rsid w:val="007B2649"/>
    <w:rsid w:val="007B2FDC"/>
    <w:rsid w:val="007B38A0"/>
    <w:rsid w:val="007B38B7"/>
    <w:rsid w:val="007B38EA"/>
    <w:rsid w:val="007B3F13"/>
    <w:rsid w:val="007B497D"/>
    <w:rsid w:val="007B4C94"/>
    <w:rsid w:val="007B4F7B"/>
    <w:rsid w:val="007B55F1"/>
    <w:rsid w:val="007B583D"/>
    <w:rsid w:val="007B5E3A"/>
    <w:rsid w:val="007B6684"/>
    <w:rsid w:val="007B6B21"/>
    <w:rsid w:val="007B7024"/>
    <w:rsid w:val="007C0390"/>
    <w:rsid w:val="007C09FE"/>
    <w:rsid w:val="007C0FF5"/>
    <w:rsid w:val="007C14A2"/>
    <w:rsid w:val="007C22B6"/>
    <w:rsid w:val="007C300E"/>
    <w:rsid w:val="007C3237"/>
    <w:rsid w:val="007C328D"/>
    <w:rsid w:val="007C336F"/>
    <w:rsid w:val="007C3816"/>
    <w:rsid w:val="007C41B1"/>
    <w:rsid w:val="007C4CD2"/>
    <w:rsid w:val="007C4FFD"/>
    <w:rsid w:val="007C5231"/>
    <w:rsid w:val="007C6617"/>
    <w:rsid w:val="007C668F"/>
    <w:rsid w:val="007C6A59"/>
    <w:rsid w:val="007C6ABB"/>
    <w:rsid w:val="007C6B79"/>
    <w:rsid w:val="007C72AC"/>
    <w:rsid w:val="007C78CD"/>
    <w:rsid w:val="007D0790"/>
    <w:rsid w:val="007D0862"/>
    <w:rsid w:val="007D14E3"/>
    <w:rsid w:val="007D1865"/>
    <w:rsid w:val="007D1F4B"/>
    <w:rsid w:val="007D209D"/>
    <w:rsid w:val="007D2298"/>
    <w:rsid w:val="007D30B7"/>
    <w:rsid w:val="007D33E0"/>
    <w:rsid w:val="007D44D7"/>
    <w:rsid w:val="007D4D18"/>
    <w:rsid w:val="007D5402"/>
    <w:rsid w:val="007D64DC"/>
    <w:rsid w:val="007D6C15"/>
    <w:rsid w:val="007D6D2D"/>
    <w:rsid w:val="007D7183"/>
    <w:rsid w:val="007D75F4"/>
    <w:rsid w:val="007D77AE"/>
    <w:rsid w:val="007E03DF"/>
    <w:rsid w:val="007E0588"/>
    <w:rsid w:val="007E11A2"/>
    <w:rsid w:val="007E15AD"/>
    <w:rsid w:val="007E1F47"/>
    <w:rsid w:val="007E25E7"/>
    <w:rsid w:val="007E25ED"/>
    <w:rsid w:val="007E28DF"/>
    <w:rsid w:val="007E2BC0"/>
    <w:rsid w:val="007E33C8"/>
    <w:rsid w:val="007E4B3B"/>
    <w:rsid w:val="007E4CFA"/>
    <w:rsid w:val="007E4DF0"/>
    <w:rsid w:val="007E51C7"/>
    <w:rsid w:val="007E5570"/>
    <w:rsid w:val="007E5AB1"/>
    <w:rsid w:val="007E5C0E"/>
    <w:rsid w:val="007E7EE4"/>
    <w:rsid w:val="007F0376"/>
    <w:rsid w:val="007F1161"/>
    <w:rsid w:val="007F2D01"/>
    <w:rsid w:val="007F3F4A"/>
    <w:rsid w:val="007F5420"/>
    <w:rsid w:val="007F5813"/>
    <w:rsid w:val="007F586B"/>
    <w:rsid w:val="007F67E9"/>
    <w:rsid w:val="007F7C7B"/>
    <w:rsid w:val="0080013D"/>
    <w:rsid w:val="0080059A"/>
    <w:rsid w:val="008019F3"/>
    <w:rsid w:val="00801CE0"/>
    <w:rsid w:val="00802458"/>
    <w:rsid w:val="008028E8"/>
    <w:rsid w:val="008036DA"/>
    <w:rsid w:val="008040A2"/>
    <w:rsid w:val="00804632"/>
    <w:rsid w:val="00804D2B"/>
    <w:rsid w:val="00804D72"/>
    <w:rsid w:val="008054D9"/>
    <w:rsid w:val="008059B0"/>
    <w:rsid w:val="00805E3A"/>
    <w:rsid w:val="00806565"/>
    <w:rsid w:val="00806688"/>
    <w:rsid w:val="0080754B"/>
    <w:rsid w:val="00807869"/>
    <w:rsid w:val="00807A3E"/>
    <w:rsid w:val="00807EF0"/>
    <w:rsid w:val="00810338"/>
    <w:rsid w:val="0081038B"/>
    <w:rsid w:val="00810AEA"/>
    <w:rsid w:val="00811C5A"/>
    <w:rsid w:val="00812282"/>
    <w:rsid w:val="00812304"/>
    <w:rsid w:val="008148E4"/>
    <w:rsid w:val="008157F1"/>
    <w:rsid w:val="00815E50"/>
    <w:rsid w:val="0081637B"/>
    <w:rsid w:val="00816EC2"/>
    <w:rsid w:val="00816FBD"/>
    <w:rsid w:val="008170C4"/>
    <w:rsid w:val="0081EB59"/>
    <w:rsid w:val="008208AF"/>
    <w:rsid w:val="00821355"/>
    <w:rsid w:val="00822ADB"/>
    <w:rsid w:val="008231F6"/>
    <w:rsid w:val="008232C7"/>
    <w:rsid w:val="008236E1"/>
    <w:rsid w:val="00824458"/>
    <w:rsid w:val="008249F7"/>
    <w:rsid w:val="00824B74"/>
    <w:rsid w:val="0082501F"/>
    <w:rsid w:val="008253AA"/>
    <w:rsid w:val="008259D7"/>
    <w:rsid w:val="00825D0F"/>
    <w:rsid w:val="0082644D"/>
    <w:rsid w:val="008266A8"/>
    <w:rsid w:val="00826907"/>
    <w:rsid w:val="00826FC5"/>
    <w:rsid w:val="00827027"/>
    <w:rsid w:val="00827CFA"/>
    <w:rsid w:val="00827FE1"/>
    <w:rsid w:val="008316BD"/>
    <w:rsid w:val="008340F8"/>
    <w:rsid w:val="00834313"/>
    <w:rsid w:val="00835EC9"/>
    <w:rsid w:val="00836B21"/>
    <w:rsid w:val="0083757E"/>
    <w:rsid w:val="00840DF0"/>
    <w:rsid w:val="00841388"/>
    <w:rsid w:val="00841AB7"/>
    <w:rsid w:val="00841EFB"/>
    <w:rsid w:val="00841F44"/>
    <w:rsid w:val="008429D5"/>
    <w:rsid w:val="00842C82"/>
    <w:rsid w:val="0084322A"/>
    <w:rsid w:val="008436D7"/>
    <w:rsid w:val="008440FE"/>
    <w:rsid w:val="008441B7"/>
    <w:rsid w:val="0084430E"/>
    <w:rsid w:val="008450BA"/>
    <w:rsid w:val="0084554B"/>
    <w:rsid w:val="0084591F"/>
    <w:rsid w:val="00846119"/>
    <w:rsid w:val="00846624"/>
    <w:rsid w:val="008474E3"/>
    <w:rsid w:val="008475BB"/>
    <w:rsid w:val="00847994"/>
    <w:rsid w:val="00847B8F"/>
    <w:rsid w:val="00847FDF"/>
    <w:rsid w:val="00847FE4"/>
    <w:rsid w:val="00850050"/>
    <w:rsid w:val="0085114C"/>
    <w:rsid w:val="00851294"/>
    <w:rsid w:val="00851B17"/>
    <w:rsid w:val="00851D87"/>
    <w:rsid w:val="00851E43"/>
    <w:rsid w:val="008521E6"/>
    <w:rsid w:val="008527ED"/>
    <w:rsid w:val="00852AEC"/>
    <w:rsid w:val="008535F8"/>
    <w:rsid w:val="008537F7"/>
    <w:rsid w:val="008546BE"/>
    <w:rsid w:val="00854C30"/>
    <w:rsid w:val="00855B74"/>
    <w:rsid w:val="00855BFC"/>
    <w:rsid w:val="00856074"/>
    <w:rsid w:val="00857949"/>
    <w:rsid w:val="00860AF8"/>
    <w:rsid w:val="00860FDB"/>
    <w:rsid w:val="00861D41"/>
    <w:rsid w:val="008621BA"/>
    <w:rsid w:val="008621BB"/>
    <w:rsid w:val="008624DC"/>
    <w:rsid w:val="008625D8"/>
    <w:rsid w:val="00862BBB"/>
    <w:rsid w:val="0086382F"/>
    <w:rsid w:val="008649AD"/>
    <w:rsid w:val="00864C5B"/>
    <w:rsid w:val="0086528D"/>
    <w:rsid w:val="008655D0"/>
    <w:rsid w:val="0086656C"/>
    <w:rsid w:val="00866A4E"/>
    <w:rsid w:val="00866A97"/>
    <w:rsid w:val="00867996"/>
    <w:rsid w:val="00867F08"/>
    <w:rsid w:val="00870231"/>
    <w:rsid w:val="00870A83"/>
    <w:rsid w:val="008716DC"/>
    <w:rsid w:val="008719C2"/>
    <w:rsid w:val="008720DC"/>
    <w:rsid w:val="00872637"/>
    <w:rsid w:val="0087277A"/>
    <w:rsid w:val="00872A47"/>
    <w:rsid w:val="008736E2"/>
    <w:rsid w:val="008737B5"/>
    <w:rsid w:val="00873ADE"/>
    <w:rsid w:val="008741F3"/>
    <w:rsid w:val="008744DF"/>
    <w:rsid w:val="00874565"/>
    <w:rsid w:val="00875665"/>
    <w:rsid w:val="008759A9"/>
    <w:rsid w:val="00875DF9"/>
    <w:rsid w:val="008761B9"/>
    <w:rsid w:val="008768CB"/>
    <w:rsid w:val="00877247"/>
    <w:rsid w:val="00877B77"/>
    <w:rsid w:val="00877FEC"/>
    <w:rsid w:val="008801AE"/>
    <w:rsid w:val="00880AA3"/>
    <w:rsid w:val="008815E6"/>
    <w:rsid w:val="00882198"/>
    <w:rsid w:val="0088225F"/>
    <w:rsid w:val="00882390"/>
    <w:rsid w:val="00884035"/>
    <w:rsid w:val="0088421C"/>
    <w:rsid w:val="0088445B"/>
    <w:rsid w:val="00884B2C"/>
    <w:rsid w:val="00885686"/>
    <w:rsid w:val="008857A2"/>
    <w:rsid w:val="00885A13"/>
    <w:rsid w:val="00885E2E"/>
    <w:rsid w:val="008871E0"/>
    <w:rsid w:val="0088739E"/>
    <w:rsid w:val="008876C7"/>
    <w:rsid w:val="00890CDE"/>
    <w:rsid w:val="00891770"/>
    <w:rsid w:val="00891AF6"/>
    <w:rsid w:val="00891BC3"/>
    <w:rsid w:val="00891CAC"/>
    <w:rsid w:val="00892C7E"/>
    <w:rsid w:val="0089312C"/>
    <w:rsid w:val="0089352C"/>
    <w:rsid w:val="008937C8"/>
    <w:rsid w:val="00893BD1"/>
    <w:rsid w:val="008940A7"/>
    <w:rsid w:val="008943EE"/>
    <w:rsid w:val="0089562E"/>
    <w:rsid w:val="008963D0"/>
    <w:rsid w:val="008967C4"/>
    <w:rsid w:val="00896909"/>
    <w:rsid w:val="00896AAF"/>
    <w:rsid w:val="00896D6E"/>
    <w:rsid w:val="00897337"/>
    <w:rsid w:val="008978FE"/>
    <w:rsid w:val="008A0D2A"/>
    <w:rsid w:val="008A115A"/>
    <w:rsid w:val="008A1693"/>
    <w:rsid w:val="008A1C58"/>
    <w:rsid w:val="008A254F"/>
    <w:rsid w:val="008A2630"/>
    <w:rsid w:val="008A2C4A"/>
    <w:rsid w:val="008A31D6"/>
    <w:rsid w:val="008A3219"/>
    <w:rsid w:val="008A4BC2"/>
    <w:rsid w:val="008A5833"/>
    <w:rsid w:val="008A598A"/>
    <w:rsid w:val="008A64D4"/>
    <w:rsid w:val="008A675E"/>
    <w:rsid w:val="008A75A4"/>
    <w:rsid w:val="008B00D8"/>
    <w:rsid w:val="008B043F"/>
    <w:rsid w:val="008B0AD8"/>
    <w:rsid w:val="008B0B2D"/>
    <w:rsid w:val="008B0CB0"/>
    <w:rsid w:val="008B28C1"/>
    <w:rsid w:val="008B3247"/>
    <w:rsid w:val="008B3A88"/>
    <w:rsid w:val="008B45B2"/>
    <w:rsid w:val="008B4BFC"/>
    <w:rsid w:val="008B504D"/>
    <w:rsid w:val="008B51B4"/>
    <w:rsid w:val="008B53BB"/>
    <w:rsid w:val="008B5B67"/>
    <w:rsid w:val="008B5D59"/>
    <w:rsid w:val="008B5D7A"/>
    <w:rsid w:val="008B5D96"/>
    <w:rsid w:val="008B66E3"/>
    <w:rsid w:val="008B769E"/>
    <w:rsid w:val="008B7848"/>
    <w:rsid w:val="008C0306"/>
    <w:rsid w:val="008C0567"/>
    <w:rsid w:val="008C061B"/>
    <w:rsid w:val="008C0853"/>
    <w:rsid w:val="008C0A42"/>
    <w:rsid w:val="008C10DF"/>
    <w:rsid w:val="008C1412"/>
    <w:rsid w:val="008C1E05"/>
    <w:rsid w:val="008C22A2"/>
    <w:rsid w:val="008C34BB"/>
    <w:rsid w:val="008C351C"/>
    <w:rsid w:val="008C3561"/>
    <w:rsid w:val="008C45E2"/>
    <w:rsid w:val="008C4B0C"/>
    <w:rsid w:val="008C51CA"/>
    <w:rsid w:val="008C75BB"/>
    <w:rsid w:val="008D15F4"/>
    <w:rsid w:val="008D22D8"/>
    <w:rsid w:val="008D335F"/>
    <w:rsid w:val="008D3726"/>
    <w:rsid w:val="008D3ED5"/>
    <w:rsid w:val="008D4613"/>
    <w:rsid w:val="008D4CB0"/>
    <w:rsid w:val="008D4D83"/>
    <w:rsid w:val="008D6397"/>
    <w:rsid w:val="008D71DE"/>
    <w:rsid w:val="008D73C9"/>
    <w:rsid w:val="008E01D9"/>
    <w:rsid w:val="008E08D7"/>
    <w:rsid w:val="008E0ACE"/>
    <w:rsid w:val="008E0BE4"/>
    <w:rsid w:val="008E0D72"/>
    <w:rsid w:val="008E16BF"/>
    <w:rsid w:val="008E2F7F"/>
    <w:rsid w:val="008E3049"/>
    <w:rsid w:val="008E35A3"/>
    <w:rsid w:val="008E3FCF"/>
    <w:rsid w:val="008E5498"/>
    <w:rsid w:val="008E601E"/>
    <w:rsid w:val="008E6028"/>
    <w:rsid w:val="008E7274"/>
    <w:rsid w:val="008E736E"/>
    <w:rsid w:val="008F0225"/>
    <w:rsid w:val="008F0293"/>
    <w:rsid w:val="008F0562"/>
    <w:rsid w:val="008F0991"/>
    <w:rsid w:val="008F148B"/>
    <w:rsid w:val="008F1A1C"/>
    <w:rsid w:val="008F2490"/>
    <w:rsid w:val="008F260B"/>
    <w:rsid w:val="008F2B61"/>
    <w:rsid w:val="008F2DA1"/>
    <w:rsid w:val="008F35C9"/>
    <w:rsid w:val="008F3AA9"/>
    <w:rsid w:val="008F482B"/>
    <w:rsid w:val="008F5698"/>
    <w:rsid w:val="008F7853"/>
    <w:rsid w:val="008F7936"/>
    <w:rsid w:val="008F7FD3"/>
    <w:rsid w:val="00900FCE"/>
    <w:rsid w:val="0090155E"/>
    <w:rsid w:val="00902287"/>
    <w:rsid w:val="009027CC"/>
    <w:rsid w:val="00902BCD"/>
    <w:rsid w:val="00903F95"/>
    <w:rsid w:val="00904DC7"/>
    <w:rsid w:val="00904DCB"/>
    <w:rsid w:val="00906783"/>
    <w:rsid w:val="0090680D"/>
    <w:rsid w:val="00906821"/>
    <w:rsid w:val="00906E65"/>
    <w:rsid w:val="0090735A"/>
    <w:rsid w:val="00907901"/>
    <w:rsid w:val="00907DE1"/>
    <w:rsid w:val="00907E66"/>
    <w:rsid w:val="00910AD9"/>
    <w:rsid w:val="00910AE4"/>
    <w:rsid w:val="009116A7"/>
    <w:rsid w:val="009119D9"/>
    <w:rsid w:val="009139D3"/>
    <w:rsid w:val="00913E6E"/>
    <w:rsid w:val="009144D5"/>
    <w:rsid w:val="00914635"/>
    <w:rsid w:val="00914C4C"/>
    <w:rsid w:val="00915020"/>
    <w:rsid w:val="00915991"/>
    <w:rsid w:val="00915F98"/>
    <w:rsid w:val="00915FA3"/>
    <w:rsid w:val="00916861"/>
    <w:rsid w:val="00916B61"/>
    <w:rsid w:val="009170DF"/>
    <w:rsid w:val="00917E6C"/>
    <w:rsid w:val="009217F8"/>
    <w:rsid w:val="009222B8"/>
    <w:rsid w:val="0092387E"/>
    <w:rsid w:val="00923D10"/>
    <w:rsid w:val="0092470E"/>
    <w:rsid w:val="009249F7"/>
    <w:rsid w:val="00924D01"/>
    <w:rsid w:val="00925187"/>
    <w:rsid w:val="009251E9"/>
    <w:rsid w:val="0092525A"/>
    <w:rsid w:val="00926594"/>
    <w:rsid w:val="00926877"/>
    <w:rsid w:val="0092709C"/>
    <w:rsid w:val="0092717F"/>
    <w:rsid w:val="00927264"/>
    <w:rsid w:val="00927744"/>
    <w:rsid w:val="00927B05"/>
    <w:rsid w:val="00930F4E"/>
    <w:rsid w:val="00931075"/>
    <w:rsid w:val="00931A60"/>
    <w:rsid w:val="00932783"/>
    <w:rsid w:val="009335C5"/>
    <w:rsid w:val="00934D6C"/>
    <w:rsid w:val="00935A0A"/>
    <w:rsid w:val="00935A81"/>
    <w:rsid w:val="00935AB8"/>
    <w:rsid w:val="00936062"/>
    <w:rsid w:val="009365E7"/>
    <w:rsid w:val="009367C5"/>
    <w:rsid w:val="00937CBE"/>
    <w:rsid w:val="00937DFD"/>
    <w:rsid w:val="009403AC"/>
    <w:rsid w:val="009403EB"/>
    <w:rsid w:val="00941A51"/>
    <w:rsid w:val="00941B1D"/>
    <w:rsid w:val="00942277"/>
    <w:rsid w:val="00942E61"/>
    <w:rsid w:val="009437CF"/>
    <w:rsid w:val="00943C1C"/>
    <w:rsid w:val="00944087"/>
    <w:rsid w:val="0094475D"/>
    <w:rsid w:val="00944C4D"/>
    <w:rsid w:val="00944E74"/>
    <w:rsid w:val="0094536E"/>
    <w:rsid w:val="00945970"/>
    <w:rsid w:val="009462C5"/>
    <w:rsid w:val="0094638E"/>
    <w:rsid w:val="0094643E"/>
    <w:rsid w:val="00947284"/>
    <w:rsid w:val="009473F1"/>
    <w:rsid w:val="00947460"/>
    <w:rsid w:val="0094758A"/>
    <w:rsid w:val="009475D0"/>
    <w:rsid w:val="0095012E"/>
    <w:rsid w:val="009501A4"/>
    <w:rsid w:val="009507D1"/>
    <w:rsid w:val="00950C3B"/>
    <w:rsid w:val="00951694"/>
    <w:rsid w:val="00951934"/>
    <w:rsid w:val="00951C4F"/>
    <w:rsid w:val="0095207B"/>
    <w:rsid w:val="009524F4"/>
    <w:rsid w:val="00953C61"/>
    <w:rsid w:val="00954C8C"/>
    <w:rsid w:val="009552C8"/>
    <w:rsid w:val="00956ACE"/>
    <w:rsid w:val="009572A0"/>
    <w:rsid w:val="0095750E"/>
    <w:rsid w:val="009577C5"/>
    <w:rsid w:val="00957993"/>
    <w:rsid w:val="00957D24"/>
    <w:rsid w:val="00957F68"/>
    <w:rsid w:val="009600FC"/>
    <w:rsid w:val="00960DCF"/>
    <w:rsid w:val="00960F66"/>
    <w:rsid w:val="00961B53"/>
    <w:rsid w:val="00961BCD"/>
    <w:rsid w:val="00963264"/>
    <w:rsid w:val="0096389D"/>
    <w:rsid w:val="00964648"/>
    <w:rsid w:val="009652C2"/>
    <w:rsid w:val="00965362"/>
    <w:rsid w:val="00965DCE"/>
    <w:rsid w:val="009663D0"/>
    <w:rsid w:val="009666A2"/>
    <w:rsid w:val="00966A10"/>
    <w:rsid w:val="00966A9D"/>
    <w:rsid w:val="009676C0"/>
    <w:rsid w:val="00967DCF"/>
    <w:rsid w:val="00970324"/>
    <w:rsid w:val="00970C2E"/>
    <w:rsid w:val="0097161C"/>
    <w:rsid w:val="009720DA"/>
    <w:rsid w:val="00972546"/>
    <w:rsid w:val="00974580"/>
    <w:rsid w:val="00974614"/>
    <w:rsid w:val="00974A3A"/>
    <w:rsid w:val="00975E66"/>
    <w:rsid w:val="009762EE"/>
    <w:rsid w:val="0097666E"/>
    <w:rsid w:val="00976E32"/>
    <w:rsid w:val="00976F9F"/>
    <w:rsid w:val="009773DB"/>
    <w:rsid w:val="009774B4"/>
    <w:rsid w:val="009800FA"/>
    <w:rsid w:val="00980194"/>
    <w:rsid w:val="0098032D"/>
    <w:rsid w:val="009803A9"/>
    <w:rsid w:val="009803CB"/>
    <w:rsid w:val="009803D4"/>
    <w:rsid w:val="009807A2"/>
    <w:rsid w:val="00980A08"/>
    <w:rsid w:val="00980CEA"/>
    <w:rsid w:val="0098199C"/>
    <w:rsid w:val="00981AF1"/>
    <w:rsid w:val="00982178"/>
    <w:rsid w:val="00982527"/>
    <w:rsid w:val="00982943"/>
    <w:rsid w:val="00983E3B"/>
    <w:rsid w:val="00984104"/>
    <w:rsid w:val="00984C33"/>
    <w:rsid w:val="0098505E"/>
    <w:rsid w:val="00985563"/>
    <w:rsid w:val="00985A48"/>
    <w:rsid w:val="00985BA7"/>
    <w:rsid w:val="00986284"/>
    <w:rsid w:val="00986610"/>
    <w:rsid w:val="009873F3"/>
    <w:rsid w:val="00991F21"/>
    <w:rsid w:val="0099245A"/>
    <w:rsid w:val="009929F7"/>
    <w:rsid w:val="00992D25"/>
    <w:rsid w:val="00992EA2"/>
    <w:rsid w:val="00992FC1"/>
    <w:rsid w:val="00993E0F"/>
    <w:rsid w:val="009945D2"/>
    <w:rsid w:val="00994653"/>
    <w:rsid w:val="00994895"/>
    <w:rsid w:val="00994CF8"/>
    <w:rsid w:val="00994EEE"/>
    <w:rsid w:val="009959E0"/>
    <w:rsid w:val="00995B64"/>
    <w:rsid w:val="00995E98"/>
    <w:rsid w:val="00996F15"/>
    <w:rsid w:val="009971F4"/>
    <w:rsid w:val="009976E9"/>
    <w:rsid w:val="00997BA8"/>
    <w:rsid w:val="00997D73"/>
    <w:rsid w:val="009A06F4"/>
    <w:rsid w:val="009A1CB2"/>
    <w:rsid w:val="009A261F"/>
    <w:rsid w:val="009A3778"/>
    <w:rsid w:val="009A3E2E"/>
    <w:rsid w:val="009A4647"/>
    <w:rsid w:val="009A5776"/>
    <w:rsid w:val="009A5ACF"/>
    <w:rsid w:val="009A7F34"/>
    <w:rsid w:val="009B027F"/>
    <w:rsid w:val="009B083D"/>
    <w:rsid w:val="009B0A23"/>
    <w:rsid w:val="009B131F"/>
    <w:rsid w:val="009B183B"/>
    <w:rsid w:val="009B1BB7"/>
    <w:rsid w:val="009B2245"/>
    <w:rsid w:val="009B258E"/>
    <w:rsid w:val="009B4B57"/>
    <w:rsid w:val="009B4F65"/>
    <w:rsid w:val="009B57C8"/>
    <w:rsid w:val="009B5997"/>
    <w:rsid w:val="009B66CE"/>
    <w:rsid w:val="009B6B23"/>
    <w:rsid w:val="009B7ABD"/>
    <w:rsid w:val="009C042A"/>
    <w:rsid w:val="009C0866"/>
    <w:rsid w:val="009C169F"/>
    <w:rsid w:val="009C1D27"/>
    <w:rsid w:val="009C3627"/>
    <w:rsid w:val="009C3A63"/>
    <w:rsid w:val="009C3BD9"/>
    <w:rsid w:val="009C3ED5"/>
    <w:rsid w:val="009C5B82"/>
    <w:rsid w:val="009C6120"/>
    <w:rsid w:val="009C6385"/>
    <w:rsid w:val="009C6639"/>
    <w:rsid w:val="009C6D2C"/>
    <w:rsid w:val="009C74C7"/>
    <w:rsid w:val="009C756E"/>
    <w:rsid w:val="009D020F"/>
    <w:rsid w:val="009D0933"/>
    <w:rsid w:val="009D0F29"/>
    <w:rsid w:val="009D1A16"/>
    <w:rsid w:val="009D2185"/>
    <w:rsid w:val="009D21BE"/>
    <w:rsid w:val="009D27C1"/>
    <w:rsid w:val="009D2F6E"/>
    <w:rsid w:val="009D2F90"/>
    <w:rsid w:val="009D3C3D"/>
    <w:rsid w:val="009D5082"/>
    <w:rsid w:val="009D5288"/>
    <w:rsid w:val="009D5C9E"/>
    <w:rsid w:val="009D5EDD"/>
    <w:rsid w:val="009D67C6"/>
    <w:rsid w:val="009E0803"/>
    <w:rsid w:val="009E0A2F"/>
    <w:rsid w:val="009E0B5E"/>
    <w:rsid w:val="009E220C"/>
    <w:rsid w:val="009E2244"/>
    <w:rsid w:val="009E2AD3"/>
    <w:rsid w:val="009E3909"/>
    <w:rsid w:val="009E40B2"/>
    <w:rsid w:val="009E46AC"/>
    <w:rsid w:val="009E47E5"/>
    <w:rsid w:val="009E5C98"/>
    <w:rsid w:val="009E75B7"/>
    <w:rsid w:val="009F1453"/>
    <w:rsid w:val="009F146F"/>
    <w:rsid w:val="009F26A6"/>
    <w:rsid w:val="009F3458"/>
    <w:rsid w:val="009F3C75"/>
    <w:rsid w:val="009F4878"/>
    <w:rsid w:val="009F5715"/>
    <w:rsid w:val="009F68F0"/>
    <w:rsid w:val="009F6B8E"/>
    <w:rsid w:val="009F7A93"/>
    <w:rsid w:val="00A0037E"/>
    <w:rsid w:val="00A00556"/>
    <w:rsid w:val="00A006AC"/>
    <w:rsid w:val="00A01231"/>
    <w:rsid w:val="00A01303"/>
    <w:rsid w:val="00A02253"/>
    <w:rsid w:val="00A02C4F"/>
    <w:rsid w:val="00A02E4E"/>
    <w:rsid w:val="00A03F4C"/>
    <w:rsid w:val="00A03F9A"/>
    <w:rsid w:val="00A04243"/>
    <w:rsid w:val="00A04742"/>
    <w:rsid w:val="00A04A09"/>
    <w:rsid w:val="00A04D3A"/>
    <w:rsid w:val="00A05821"/>
    <w:rsid w:val="00A05A15"/>
    <w:rsid w:val="00A05D1D"/>
    <w:rsid w:val="00A05EA2"/>
    <w:rsid w:val="00A076CC"/>
    <w:rsid w:val="00A07CB2"/>
    <w:rsid w:val="00A07F32"/>
    <w:rsid w:val="00A1059F"/>
    <w:rsid w:val="00A10993"/>
    <w:rsid w:val="00A1165C"/>
    <w:rsid w:val="00A125D6"/>
    <w:rsid w:val="00A12729"/>
    <w:rsid w:val="00A133E0"/>
    <w:rsid w:val="00A13681"/>
    <w:rsid w:val="00A13F93"/>
    <w:rsid w:val="00A140E7"/>
    <w:rsid w:val="00A1439F"/>
    <w:rsid w:val="00A144BA"/>
    <w:rsid w:val="00A14E53"/>
    <w:rsid w:val="00A15580"/>
    <w:rsid w:val="00A16449"/>
    <w:rsid w:val="00A16C77"/>
    <w:rsid w:val="00A16E6E"/>
    <w:rsid w:val="00A1772C"/>
    <w:rsid w:val="00A20C0D"/>
    <w:rsid w:val="00A220FF"/>
    <w:rsid w:val="00A228BF"/>
    <w:rsid w:val="00A22EFC"/>
    <w:rsid w:val="00A22F53"/>
    <w:rsid w:val="00A234A1"/>
    <w:rsid w:val="00A23FA6"/>
    <w:rsid w:val="00A243AE"/>
    <w:rsid w:val="00A24768"/>
    <w:rsid w:val="00A247BC"/>
    <w:rsid w:val="00A25091"/>
    <w:rsid w:val="00A2520B"/>
    <w:rsid w:val="00A26389"/>
    <w:rsid w:val="00A26516"/>
    <w:rsid w:val="00A265EE"/>
    <w:rsid w:val="00A2726A"/>
    <w:rsid w:val="00A303B8"/>
    <w:rsid w:val="00A3239B"/>
    <w:rsid w:val="00A32A80"/>
    <w:rsid w:val="00A32C6C"/>
    <w:rsid w:val="00A32EEB"/>
    <w:rsid w:val="00A334E8"/>
    <w:rsid w:val="00A335F4"/>
    <w:rsid w:val="00A33B8B"/>
    <w:rsid w:val="00A34305"/>
    <w:rsid w:val="00A34735"/>
    <w:rsid w:val="00A35316"/>
    <w:rsid w:val="00A35CA7"/>
    <w:rsid w:val="00A361C3"/>
    <w:rsid w:val="00A36C7A"/>
    <w:rsid w:val="00A37499"/>
    <w:rsid w:val="00A37D7D"/>
    <w:rsid w:val="00A402B4"/>
    <w:rsid w:val="00A40306"/>
    <w:rsid w:val="00A411FA"/>
    <w:rsid w:val="00A414AC"/>
    <w:rsid w:val="00A41856"/>
    <w:rsid w:val="00A41AA1"/>
    <w:rsid w:val="00A43361"/>
    <w:rsid w:val="00A43755"/>
    <w:rsid w:val="00A4392D"/>
    <w:rsid w:val="00A43EDE"/>
    <w:rsid w:val="00A43F09"/>
    <w:rsid w:val="00A447C4"/>
    <w:rsid w:val="00A44EC1"/>
    <w:rsid w:val="00A4534A"/>
    <w:rsid w:val="00A454B3"/>
    <w:rsid w:val="00A45E52"/>
    <w:rsid w:val="00A46365"/>
    <w:rsid w:val="00A46549"/>
    <w:rsid w:val="00A46652"/>
    <w:rsid w:val="00A46C54"/>
    <w:rsid w:val="00A46D15"/>
    <w:rsid w:val="00A4713D"/>
    <w:rsid w:val="00A4753C"/>
    <w:rsid w:val="00A478FC"/>
    <w:rsid w:val="00A500EF"/>
    <w:rsid w:val="00A50120"/>
    <w:rsid w:val="00A50424"/>
    <w:rsid w:val="00A50578"/>
    <w:rsid w:val="00A505D1"/>
    <w:rsid w:val="00A50B8C"/>
    <w:rsid w:val="00A513AE"/>
    <w:rsid w:val="00A528FE"/>
    <w:rsid w:val="00A5323B"/>
    <w:rsid w:val="00A538CD"/>
    <w:rsid w:val="00A54A09"/>
    <w:rsid w:val="00A54FB4"/>
    <w:rsid w:val="00A56571"/>
    <w:rsid w:val="00A56A74"/>
    <w:rsid w:val="00A56BD6"/>
    <w:rsid w:val="00A56DE0"/>
    <w:rsid w:val="00A6049D"/>
    <w:rsid w:val="00A60C52"/>
    <w:rsid w:val="00A61C8B"/>
    <w:rsid w:val="00A61CD6"/>
    <w:rsid w:val="00A621BA"/>
    <w:rsid w:val="00A636C7"/>
    <w:rsid w:val="00A63880"/>
    <w:rsid w:val="00A63C18"/>
    <w:rsid w:val="00A64537"/>
    <w:rsid w:val="00A64883"/>
    <w:rsid w:val="00A6537F"/>
    <w:rsid w:val="00A65769"/>
    <w:rsid w:val="00A659F9"/>
    <w:rsid w:val="00A662DC"/>
    <w:rsid w:val="00A67166"/>
    <w:rsid w:val="00A6741B"/>
    <w:rsid w:val="00A71F23"/>
    <w:rsid w:val="00A72549"/>
    <w:rsid w:val="00A72BC6"/>
    <w:rsid w:val="00A735F4"/>
    <w:rsid w:val="00A74226"/>
    <w:rsid w:val="00A74676"/>
    <w:rsid w:val="00A75098"/>
    <w:rsid w:val="00A757B0"/>
    <w:rsid w:val="00A757D7"/>
    <w:rsid w:val="00A75831"/>
    <w:rsid w:val="00A75C6B"/>
    <w:rsid w:val="00A75ED6"/>
    <w:rsid w:val="00A76930"/>
    <w:rsid w:val="00A77499"/>
    <w:rsid w:val="00A776A4"/>
    <w:rsid w:val="00A8049D"/>
    <w:rsid w:val="00A812E5"/>
    <w:rsid w:val="00A81DB4"/>
    <w:rsid w:val="00A81E03"/>
    <w:rsid w:val="00A82214"/>
    <w:rsid w:val="00A822C2"/>
    <w:rsid w:val="00A8246A"/>
    <w:rsid w:val="00A8247D"/>
    <w:rsid w:val="00A82990"/>
    <w:rsid w:val="00A82F97"/>
    <w:rsid w:val="00A83487"/>
    <w:rsid w:val="00A8445A"/>
    <w:rsid w:val="00A85D8B"/>
    <w:rsid w:val="00A8644E"/>
    <w:rsid w:val="00A872FA"/>
    <w:rsid w:val="00A87679"/>
    <w:rsid w:val="00A877F3"/>
    <w:rsid w:val="00A87B6D"/>
    <w:rsid w:val="00A87BD6"/>
    <w:rsid w:val="00A87C4E"/>
    <w:rsid w:val="00A90401"/>
    <w:rsid w:val="00A907C2"/>
    <w:rsid w:val="00A90D40"/>
    <w:rsid w:val="00A90F14"/>
    <w:rsid w:val="00A9194A"/>
    <w:rsid w:val="00A921E3"/>
    <w:rsid w:val="00A92254"/>
    <w:rsid w:val="00A92842"/>
    <w:rsid w:val="00A92DF1"/>
    <w:rsid w:val="00A93068"/>
    <w:rsid w:val="00A940F0"/>
    <w:rsid w:val="00A94D20"/>
    <w:rsid w:val="00A95F6D"/>
    <w:rsid w:val="00A972B3"/>
    <w:rsid w:val="00A97340"/>
    <w:rsid w:val="00A97392"/>
    <w:rsid w:val="00A9752B"/>
    <w:rsid w:val="00A975FB"/>
    <w:rsid w:val="00A97FDB"/>
    <w:rsid w:val="00AA0823"/>
    <w:rsid w:val="00AA0B52"/>
    <w:rsid w:val="00AA0B99"/>
    <w:rsid w:val="00AA15CB"/>
    <w:rsid w:val="00AA2461"/>
    <w:rsid w:val="00AA2865"/>
    <w:rsid w:val="00AA2A65"/>
    <w:rsid w:val="00AA3A9B"/>
    <w:rsid w:val="00AA3BF1"/>
    <w:rsid w:val="00AA48E8"/>
    <w:rsid w:val="00AA5410"/>
    <w:rsid w:val="00AA5A5C"/>
    <w:rsid w:val="00AA62B9"/>
    <w:rsid w:val="00AA6414"/>
    <w:rsid w:val="00AA69D0"/>
    <w:rsid w:val="00AA70AA"/>
    <w:rsid w:val="00AA7A78"/>
    <w:rsid w:val="00AA7B60"/>
    <w:rsid w:val="00AB0413"/>
    <w:rsid w:val="00AB0485"/>
    <w:rsid w:val="00AB21C6"/>
    <w:rsid w:val="00AB22E7"/>
    <w:rsid w:val="00AB272F"/>
    <w:rsid w:val="00AB2841"/>
    <w:rsid w:val="00AB4306"/>
    <w:rsid w:val="00AB513D"/>
    <w:rsid w:val="00AB518A"/>
    <w:rsid w:val="00AB58EA"/>
    <w:rsid w:val="00AB7701"/>
    <w:rsid w:val="00AB7853"/>
    <w:rsid w:val="00AC0260"/>
    <w:rsid w:val="00AC08C6"/>
    <w:rsid w:val="00AC134E"/>
    <w:rsid w:val="00AC1F95"/>
    <w:rsid w:val="00AC2010"/>
    <w:rsid w:val="00AC2CA5"/>
    <w:rsid w:val="00AC376E"/>
    <w:rsid w:val="00AC3BF3"/>
    <w:rsid w:val="00AC5200"/>
    <w:rsid w:val="00AC5AEA"/>
    <w:rsid w:val="00AC6126"/>
    <w:rsid w:val="00AC61A8"/>
    <w:rsid w:val="00AC66B3"/>
    <w:rsid w:val="00AC6EA6"/>
    <w:rsid w:val="00AC6F7D"/>
    <w:rsid w:val="00AC720A"/>
    <w:rsid w:val="00AD17AC"/>
    <w:rsid w:val="00AD1DA0"/>
    <w:rsid w:val="00AD23C5"/>
    <w:rsid w:val="00AD26FD"/>
    <w:rsid w:val="00AD29EA"/>
    <w:rsid w:val="00AD3DA9"/>
    <w:rsid w:val="00AD4C96"/>
    <w:rsid w:val="00AD4CAB"/>
    <w:rsid w:val="00AD55F8"/>
    <w:rsid w:val="00AD590E"/>
    <w:rsid w:val="00AD5C00"/>
    <w:rsid w:val="00AD60EA"/>
    <w:rsid w:val="00AD67D4"/>
    <w:rsid w:val="00AD6C45"/>
    <w:rsid w:val="00AD7983"/>
    <w:rsid w:val="00AE193C"/>
    <w:rsid w:val="00AE1B75"/>
    <w:rsid w:val="00AE1BDD"/>
    <w:rsid w:val="00AE3118"/>
    <w:rsid w:val="00AE3630"/>
    <w:rsid w:val="00AE3C80"/>
    <w:rsid w:val="00AE4331"/>
    <w:rsid w:val="00AE4E73"/>
    <w:rsid w:val="00AE614D"/>
    <w:rsid w:val="00AE6601"/>
    <w:rsid w:val="00AE6733"/>
    <w:rsid w:val="00AE73FB"/>
    <w:rsid w:val="00AE7849"/>
    <w:rsid w:val="00AE7977"/>
    <w:rsid w:val="00AE7BD0"/>
    <w:rsid w:val="00AF0A5B"/>
    <w:rsid w:val="00AF1054"/>
    <w:rsid w:val="00AF1363"/>
    <w:rsid w:val="00AF16F9"/>
    <w:rsid w:val="00AF1A73"/>
    <w:rsid w:val="00AF1D2E"/>
    <w:rsid w:val="00AF1F10"/>
    <w:rsid w:val="00AF2379"/>
    <w:rsid w:val="00AF2493"/>
    <w:rsid w:val="00AF287F"/>
    <w:rsid w:val="00AF3D10"/>
    <w:rsid w:val="00AF3D39"/>
    <w:rsid w:val="00AF497B"/>
    <w:rsid w:val="00AF6670"/>
    <w:rsid w:val="00AF67BF"/>
    <w:rsid w:val="00AF6A4C"/>
    <w:rsid w:val="00AF6D6A"/>
    <w:rsid w:val="00B00FD7"/>
    <w:rsid w:val="00B012DA"/>
    <w:rsid w:val="00B01368"/>
    <w:rsid w:val="00B01C11"/>
    <w:rsid w:val="00B01E3F"/>
    <w:rsid w:val="00B01E4E"/>
    <w:rsid w:val="00B02183"/>
    <w:rsid w:val="00B02C5B"/>
    <w:rsid w:val="00B02CC6"/>
    <w:rsid w:val="00B02EED"/>
    <w:rsid w:val="00B0356B"/>
    <w:rsid w:val="00B0474B"/>
    <w:rsid w:val="00B047C2"/>
    <w:rsid w:val="00B047FF"/>
    <w:rsid w:val="00B04CB1"/>
    <w:rsid w:val="00B04E92"/>
    <w:rsid w:val="00B05348"/>
    <w:rsid w:val="00B0562F"/>
    <w:rsid w:val="00B05635"/>
    <w:rsid w:val="00B0709B"/>
    <w:rsid w:val="00B07620"/>
    <w:rsid w:val="00B07BC5"/>
    <w:rsid w:val="00B1000D"/>
    <w:rsid w:val="00B11044"/>
    <w:rsid w:val="00B11E38"/>
    <w:rsid w:val="00B11E7E"/>
    <w:rsid w:val="00B12409"/>
    <w:rsid w:val="00B1246B"/>
    <w:rsid w:val="00B1314F"/>
    <w:rsid w:val="00B13FAD"/>
    <w:rsid w:val="00B14517"/>
    <w:rsid w:val="00B146D7"/>
    <w:rsid w:val="00B14996"/>
    <w:rsid w:val="00B14A00"/>
    <w:rsid w:val="00B14C4E"/>
    <w:rsid w:val="00B151CF"/>
    <w:rsid w:val="00B16151"/>
    <w:rsid w:val="00B16566"/>
    <w:rsid w:val="00B20445"/>
    <w:rsid w:val="00B2092F"/>
    <w:rsid w:val="00B217DE"/>
    <w:rsid w:val="00B236AB"/>
    <w:rsid w:val="00B247AD"/>
    <w:rsid w:val="00B25A02"/>
    <w:rsid w:val="00B25AF1"/>
    <w:rsid w:val="00B25D05"/>
    <w:rsid w:val="00B26622"/>
    <w:rsid w:val="00B26669"/>
    <w:rsid w:val="00B26FC0"/>
    <w:rsid w:val="00B27212"/>
    <w:rsid w:val="00B27453"/>
    <w:rsid w:val="00B27618"/>
    <w:rsid w:val="00B276B4"/>
    <w:rsid w:val="00B303F6"/>
    <w:rsid w:val="00B30792"/>
    <w:rsid w:val="00B307B7"/>
    <w:rsid w:val="00B31613"/>
    <w:rsid w:val="00B31F9A"/>
    <w:rsid w:val="00B32DF2"/>
    <w:rsid w:val="00B32E3B"/>
    <w:rsid w:val="00B334A3"/>
    <w:rsid w:val="00B33684"/>
    <w:rsid w:val="00B34CC4"/>
    <w:rsid w:val="00B36028"/>
    <w:rsid w:val="00B36076"/>
    <w:rsid w:val="00B36A11"/>
    <w:rsid w:val="00B36A21"/>
    <w:rsid w:val="00B37524"/>
    <w:rsid w:val="00B40064"/>
    <w:rsid w:val="00B406C2"/>
    <w:rsid w:val="00B408B8"/>
    <w:rsid w:val="00B40F9F"/>
    <w:rsid w:val="00B41E23"/>
    <w:rsid w:val="00B42E25"/>
    <w:rsid w:val="00B4322F"/>
    <w:rsid w:val="00B434D4"/>
    <w:rsid w:val="00B437C7"/>
    <w:rsid w:val="00B453A4"/>
    <w:rsid w:val="00B456FF"/>
    <w:rsid w:val="00B462DB"/>
    <w:rsid w:val="00B46324"/>
    <w:rsid w:val="00B46D4E"/>
    <w:rsid w:val="00B478F0"/>
    <w:rsid w:val="00B47C7B"/>
    <w:rsid w:val="00B47FE9"/>
    <w:rsid w:val="00B50962"/>
    <w:rsid w:val="00B50A44"/>
    <w:rsid w:val="00B50E98"/>
    <w:rsid w:val="00B5184D"/>
    <w:rsid w:val="00B5201C"/>
    <w:rsid w:val="00B5234A"/>
    <w:rsid w:val="00B523C1"/>
    <w:rsid w:val="00B544C5"/>
    <w:rsid w:val="00B54CAE"/>
    <w:rsid w:val="00B55524"/>
    <w:rsid w:val="00B57227"/>
    <w:rsid w:val="00B575BF"/>
    <w:rsid w:val="00B610A4"/>
    <w:rsid w:val="00B6111E"/>
    <w:rsid w:val="00B612EA"/>
    <w:rsid w:val="00B61AFC"/>
    <w:rsid w:val="00B61C66"/>
    <w:rsid w:val="00B624BB"/>
    <w:rsid w:val="00B62604"/>
    <w:rsid w:val="00B62B2C"/>
    <w:rsid w:val="00B62DF2"/>
    <w:rsid w:val="00B6343D"/>
    <w:rsid w:val="00B63910"/>
    <w:rsid w:val="00B6446C"/>
    <w:rsid w:val="00B648CD"/>
    <w:rsid w:val="00B666F2"/>
    <w:rsid w:val="00B66A87"/>
    <w:rsid w:val="00B66D93"/>
    <w:rsid w:val="00B67542"/>
    <w:rsid w:val="00B676CD"/>
    <w:rsid w:val="00B70BFD"/>
    <w:rsid w:val="00B712D0"/>
    <w:rsid w:val="00B71319"/>
    <w:rsid w:val="00B727D2"/>
    <w:rsid w:val="00B729F9"/>
    <w:rsid w:val="00B7423B"/>
    <w:rsid w:val="00B742AD"/>
    <w:rsid w:val="00B74B26"/>
    <w:rsid w:val="00B7535D"/>
    <w:rsid w:val="00B757E5"/>
    <w:rsid w:val="00B75A89"/>
    <w:rsid w:val="00B762DE"/>
    <w:rsid w:val="00B76F14"/>
    <w:rsid w:val="00B779E2"/>
    <w:rsid w:val="00B80E1C"/>
    <w:rsid w:val="00B81627"/>
    <w:rsid w:val="00B81713"/>
    <w:rsid w:val="00B81742"/>
    <w:rsid w:val="00B81F38"/>
    <w:rsid w:val="00B83563"/>
    <w:rsid w:val="00B836BF"/>
    <w:rsid w:val="00B83B62"/>
    <w:rsid w:val="00B84E45"/>
    <w:rsid w:val="00B8535F"/>
    <w:rsid w:val="00B85D6C"/>
    <w:rsid w:val="00B85F63"/>
    <w:rsid w:val="00B86201"/>
    <w:rsid w:val="00B86A0D"/>
    <w:rsid w:val="00B878CD"/>
    <w:rsid w:val="00B90460"/>
    <w:rsid w:val="00B905A4"/>
    <w:rsid w:val="00B90FD4"/>
    <w:rsid w:val="00B91357"/>
    <w:rsid w:val="00B915D8"/>
    <w:rsid w:val="00B9196E"/>
    <w:rsid w:val="00B91CB1"/>
    <w:rsid w:val="00B9249B"/>
    <w:rsid w:val="00B93382"/>
    <w:rsid w:val="00B93F4B"/>
    <w:rsid w:val="00B94091"/>
    <w:rsid w:val="00B9536C"/>
    <w:rsid w:val="00B960FC"/>
    <w:rsid w:val="00B96130"/>
    <w:rsid w:val="00B963FB"/>
    <w:rsid w:val="00BA04F2"/>
    <w:rsid w:val="00BA0E5D"/>
    <w:rsid w:val="00BA10D7"/>
    <w:rsid w:val="00BA1FFB"/>
    <w:rsid w:val="00BA2B3F"/>
    <w:rsid w:val="00BA31FB"/>
    <w:rsid w:val="00BA4E45"/>
    <w:rsid w:val="00BA59FB"/>
    <w:rsid w:val="00BA667E"/>
    <w:rsid w:val="00BA714D"/>
    <w:rsid w:val="00BA738A"/>
    <w:rsid w:val="00BA7A96"/>
    <w:rsid w:val="00BA7BFE"/>
    <w:rsid w:val="00BA7F43"/>
    <w:rsid w:val="00BB033A"/>
    <w:rsid w:val="00BB14A3"/>
    <w:rsid w:val="00BB1CCB"/>
    <w:rsid w:val="00BB2561"/>
    <w:rsid w:val="00BB2C7D"/>
    <w:rsid w:val="00BB4783"/>
    <w:rsid w:val="00BB5B03"/>
    <w:rsid w:val="00BB6207"/>
    <w:rsid w:val="00BB66E1"/>
    <w:rsid w:val="00BB6CA3"/>
    <w:rsid w:val="00BB7327"/>
    <w:rsid w:val="00BB7F4A"/>
    <w:rsid w:val="00BC0780"/>
    <w:rsid w:val="00BC0CA6"/>
    <w:rsid w:val="00BC15DE"/>
    <w:rsid w:val="00BC17C8"/>
    <w:rsid w:val="00BC369C"/>
    <w:rsid w:val="00BC37E1"/>
    <w:rsid w:val="00BC3B9B"/>
    <w:rsid w:val="00BC4972"/>
    <w:rsid w:val="00BC4DB0"/>
    <w:rsid w:val="00BC522E"/>
    <w:rsid w:val="00BC58F4"/>
    <w:rsid w:val="00BC66AD"/>
    <w:rsid w:val="00BC6897"/>
    <w:rsid w:val="00BD0058"/>
    <w:rsid w:val="00BD0758"/>
    <w:rsid w:val="00BD0ADB"/>
    <w:rsid w:val="00BD0E36"/>
    <w:rsid w:val="00BD16CA"/>
    <w:rsid w:val="00BD1B8D"/>
    <w:rsid w:val="00BD1F04"/>
    <w:rsid w:val="00BD23B1"/>
    <w:rsid w:val="00BD33D4"/>
    <w:rsid w:val="00BD34C4"/>
    <w:rsid w:val="00BD3838"/>
    <w:rsid w:val="00BD3F78"/>
    <w:rsid w:val="00BD40B1"/>
    <w:rsid w:val="00BD4F88"/>
    <w:rsid w:val="00BD6BB1"/>
    <w:rsid w:val="00BE1D73"/>
    <w:rsid w:val="00BE3134"/>
    <w:rsid w:val="00BE3DF3"/>
    <w:rsid w:val="00BE47BF"/>
    <w:rsid w:val="00BE4A6D"/>
    <w:rsid w:val="00BE4BF4"/>
    <w:rsid w:val="00BE5374"/>
    <w:rsid w:val="00BE627A"/>
    <w:rsid w:val="00BE628F"/>
    <w:rsid w:val="00BE6B4E"/>
    <w:rsid w:val="00BE6CE8"/>
    <w:rsid w:val="00BF1194"/>
    <w:rsid w:val="00BF1622"/>
    <w:rsid w:val="00BF1A8F"/>
    <w:rsid w:val="00BF2C04"/>
    <w:rsid w:val="00BF3062"/>
    <w:rsid w:val="00BF445E"/>
    <w:rsid w:val="00BF4608"/>
    <w:rsid w:val="00BF513E"/>
    <w:rsid w:val="00BF528F"/>
    <w:rsid w:val="00BF5415"/>
    <w:rsid w:val="00BF5425"/>
    <w:rsid w:val="00BF5857"/>
    <w:rsid w:val="00BF5E46"/>
    <w:rsid w:val="00BF6BDC"/>
    <w:rsid w:val="00BF7933"/>
    <w:rsid w:val="00BF7C54"/>
    <w:rsid w:val="00BF7D3A"/>
    <w:rsid w:val="00C01D5F"/>
    <w:rsid w:val="00C0240A"/>
    <w:rsid w:val="00C028D8"/>
    <w:rsid w:val="00C0345A"/>
    <w:rsid w:val="00C03511"/>
    <w:rsid w:val="00C03E2B"/>
    <w:rsid w:val="00C04660"/>
    <w:rsid w:val="00C0470B"/>
    <w:rsid w:val="00C04C3A"/>
    <w:rsid w:val="00C05700"/>
    <w:rsid w:val="00C05CF1"/>
    <w:rsid w:val="00C06658"/>
    <w:rsid w:val="00C074CD"/>
    <w:rsid w:val="00C077F5"/>
    <w:rsid w:val="00C100ED"/>
    <w:rsid w:val="00C107C3"/>
    <w:rsid w:val="00C11514"/>
    <w:rsid w:val="00C1171C"/>
    <w:rsid w:val="00C11EC1"/>
    <w:rsid w:val="00C12962"/>
    <w:rsid w:val="00C13520"/>
    <w:rsid w:val="00C143D2"/>
    <w:rsid w:val="00C14F9B"/>
    <w:rsid w:val="00C14FAB"/>
    <w:rsid w:val="00C15A67"/>
    <w:rsid w:val="00C15B2F"/>
    <w:rsid w:val="00C15F42"/>
    <w:rsid w:val="00C1610B"/>
    <w:rsid w:val="00C1611D"/>
    <w:rsid w:val="00C16334"/>
    <w:rsid w:val="00C167A4"/>
    <w:rsid w:val="00C16C9A"/>
    <w:rsid w:val="00C1750B"/>
    <w:rsid w:val="00C175E4"/>
    <w:rsid w:val="00C200D5"/>
    <w:rsid w:val="00C20342"/>
    <w:rsid w:val="00C207B2"/>
    <w:rsid w:val="00C20B04"/>
    <w:rsid w:val="00C20C45"/>
    <w:rsid w:val="00C2101E"/>
    <w:rsid w:val="00C2177C"/>
    <w:rsid w:val="00C224D0"/>
    <w:rsid w:val="00C229A4"/>
    <w:rsid w:val="00C232E0"/>
    <w:rsid w:val="00C2454E"/>
    <w:rsid w:val="00C2459C"/>
    <w:rsid w:val="00C24730"/>
    <w:rsid w:val="00C24B5E"/>
    <w:rsid w:val="00C2534F"/>
    <w:rsid w:val="00C25454"/>
    <w:rsid w:val="00C25F58"/>
    <w:rsid w:val="00C2629A"/>
    <w:rsid w:val="00C26403"/>
    <w:rsid w:val="00C27AFD"/>
    <w:rsid w:val="00C30058"/>
    <w:rsid w:val="00C307E2"/>
    <w:rsid w:val="00C30ABF"/>
    <w:rsid w:val="00C317A2"/>
    <w:rsid w:val="00C32042"/>
    <w:rsid w:val="00C331C6"/>
    <w:rsid w:val="00C33FCB"/>
    <w:rsid w:val="00C34264"/>
    <w:rsid w:val="00C343FC"/>
    <w:rsid w:val="00C34BF2"/>
    <w:rsid w:val="00C34D43"/>
    <w:rsid w:val="00C3621F"/>
    <w:rsid w:val="00C3651F"/>
    <w:rsid w:val="00C36633"/>
    <w:rsid w:val="00C3689A"/>
    <w:rsid w:val="00C36DBE"/>
    <w:rsid w:val="00C36E9D"/>
    <w:rsid w:val="00C37C86"/>
    <w:rsid w:val="00C40754"/>
    <w:rsid w:val="00C412B1"/>
    <w:rsid w:val="00C41B43"/>
    <w:rsid w:val="00C43174"/>
    <w:rsid w:val="00C4436C"/>
    <w:rsid w:val="00C44BC4"/>
    <w:rsid w:val="00C44F3F"/>
    <w:rsid w:val="00C461B2"/>
    <w:rsid w:val="00C47BF1"/>
    <w:rsid w:val="00C47C8E"/>
    <w:rsid w:val="00C50B3A"/>
    <w:rsid w:val="00C51A40"/>
    <w:rsid w:val="00C51CDD"/>
    <w:rsid w:val="00C51F51"/>
    <w:rsid w:val="00C52012"/>
    <w:rsid w:val="00C52FD1"/>
    <w:rsid w:val="00C530C6"/>
    <w:rsid w:val="00C5355E"/>
    <w:rsid w:val="00C5359B"/>
    <w:rsid w:val="00C53AF7"/>
    <w:rsid w:val="00C54194"/>
    <w:rsid w:val="00C54531"/>
    <w:rsid w:val="00C545BD"/>
    <w:rsid w:val="00C54F8F"/>
    <w:rsid w:val="00C54FEE"/>
    <w:rsid w:val="00C554B5"/>
    <w:rsid w:val="00C5614E"/>
    <w:rsid w:val="00C56EF2"/>
    <w:rsid w:val="00C570A6"/>
    <w:rsid w:val="00C575E1"/>
    <w:rsid w:val="00C579F3"/>
    <w:rsid w:val="00C57A82"/>
    <w:rsid w:val="00C57B74"/>
    <w:rsid w:val="00C600B3"/>
    <w:rsid w:val="00C609AB"/>
    <w:rsid w:val="00C60C55"/>
    <w:rsid w:val="00C60DE1"/>
    <w:rsid w:val="00C60ED3"/>
    <w:rsid w:val="00C610AD"/>
    <w:rsid w:val="00C61464"/>
    <w:rsid w:val="00C616EF"/>
    <w:rsid w:val="00C61806"/>
    <w:rsid w:val="00C61906"/>
    <w:rsid w:val="00C61957"/>
    <w:rsid w:val="00C6238A"/>
    <w:rsid w:val="00C62837"/>
    <w:rsid w:val="00C62CDA"/>
    <w:rsid w:val="00C6442B"/>
    <w:rsid w:val="00C64EF1"/>
    <w:rsid w:val="00C65524"/>
    <w:rsid w:val="00C66911"/>
    <w:rsid w:val="00C66CCA"/>
    <w:rsid w:val="00C67E8E"/>
    <w:rsid w:val="00C707D8"/>
    <w:rsid w:val="00C70ADE"/>
    <w:rsid w:val="00C71B78"/>
    <w:rsid w:val="00C72177"/>
    <w:rsid w:val="00C72890"/>
    <w:rsid w:val="00C74B8C"/>
    <w:rsid w:val="00C74F4D"/>
    <w:rsid w:val="00C75160"/>
    <w:rsid w:val="00C75950"/>
    <w:rsid w:val="00C75976"/>
    <w:rsid w:val="00C75A1E"/>
    <w:rsid w:val="00C80193"/>
    <w:rsid w:val="00C80433"/>
    <w:rsid w:val="00C8058E"/>
    <w:rsid w:val="00C80599"/>
    <w:rsid w:val="00C818DF"/>
    <w:rsid w:val="00C8268F"/>
    <w:rsid w:val="00C8272E"/>
    <w:rsid w:val="00C83010"/>
    <w:rsid w:val="00C83535"/>
    <w:rsid w:val="00C83D84"/>
    <w:rsid w:val="00C84A7A"/>
    <w:rsid w:val="00C8535C"/>
    <w:rsid w:val="00C85CB9"/>
    <w:rsid w:val="00C87436"/>
    <w:rsid w:val="00C8760B"/>
    <w:rsid w:val="00C91038"/>
    <w:rsid w:val="00C91350"/>
    <w:rsid w:val="00C91651"/>
    <w:rsid w:val="00C916E0"/>
    <w:rsid w:val="00C917A4"/>
    <w:rsid w:val="00C91833"/>
    <w:rsid w:val="00C91867"/>
    <w:rsid w:val="00C91E29"/>
    <w:rsid w:val="00C922A2"/>
    <w:rsid w:val="00C93369"/>
    <w:rsid w:val="00C93582"/>
    <w:rsid w:val="00C93DA5"/>
    <w:rsid w:val="00C94850"/>
    <w:rsid w:val="00C952C1"/>
    <w:rsid w:val="00C955D2"/>
    <w:rsid w:val="00C963DD"/>
    <w:rsid w:val="00C96A82"/>
    <w:rsid w:val="00C97CEE"/>
    <w:rsid w:val="00CA0D98"/>
    <w:rsid w:val="00CA14A5"/>
    <w:rsid w:val="00CA21C1"/>
    <w:rsid w:val="00CA26EA"/>
    <w:rsid w:val="00CA2940"/>
    <w:rsid w:val="00CA2FB2"/>
    <w:rsid w:val="00CA3352"/>
    <w:rsid w:val="00CA3993"/>
    <w:rsid w:val="00CA3D3A"/>
    <w:rsid w:val="00CA42D6"/>
    <w:rsid w:val="00CA4B4F"/>
    <w:rsid w:val="00CA528A"/>
    <w:rsid w:val="00CA78E7"/>
    <w:rsid w:val="00CA79CC"/>
    <w:rsid w:val="00CA7CC7"/>
    <w:rsid w:val="00CB06A5"/>
    <w:rsid w:val="00CB0E6F"/>
    <w:rsid w:val="00CB0EC8"/>
    <w:rsid w:val="00CB15E9"/>
    <w:rsid w:val="00CB2BD5"/>
    <w:rsid w:val="00CB2EE7"/>
    <w:rsid w:val="00CB3491"/>
    <w:rsid w:val="00CB3D33"/>
    <w:rsid w:val="00CB3F00"/>
    <w:rsid w:val="00CB4852"/>
    <w:rsid w:val="00CB4BEB"/>
    <w:rsid w:val="00CB5C55"/>
    <w:rsid w:val="00CB66AC"/>
    <w:rsid w:val="00CB6A44"/>
    <w:rsid w:val="00CB6C4A"/>
    <w:rsid w:val="00CB6DA8"/>
    <w:rsid w:val="00CC000B"/>
    <w:rsid w:val="00CC05D0"/>
    <w:rsid w:val="00CC0EE6"/>
    <w:rsid w:val="00CC15F3"/>
    <w:rsid w:val="00CC1D1A"/>
    <w:rsid w:val="00CC2979"/>
    <w:rsid w:val="00CC37C1"/>
    <w:rsid w:val="00CC45AA"/>
    <w:rsid w:val="00CC5557"/>
    <w:rsid w:val="00CC55C6"/>
    <w:rsid w:val="00CC5956"/>
    <w:rsid w:val="00CC6260"/>
    <w:rsid w:val="00CC6CC9"/>
    <w:rsid w:val="00CC6F9A"/>
    <w:rsid w:val="00CC7611"/>
    <w:rsid w:val="00CC76BF"/>
    <w:rsid w:val="00CC7B10"/>
    <w:rsid w:val="00CC7B6A"/>
    <w:rsid w:val="00CD02B8"/>
    <w:rsid w:val="00CD06DD"/>
    <w:rsid w:val="00CD0A2A"/>
    <w:rsid w:val="00CD1404"/>
    <w:rsid w:val="00CD22F8"/>
    <w:rsid w:val="00CD26F7"/>
    <w:rsid w:val="00CD2D75"/>
    <w:rsid w:val="00CD41CA"/>
    <w:rsid w:val="00CD5281"/>
    <w:rsid w:val="00CD58C4"/>
    <w:rsid w:val="00CD61D7"/>
    <w:rsid w:val="00CD62C0"/>
    <w:rsid w:val="00CD66D1"/>
    <w:rsid w:val="00CD7368"/>
    <w:rsid w:val="00CD769A"/>
    <w:rsid w:val="00CD792E"/>
    <w:rsid w:val="00CE06C6"/>
    <w:rsid w:val="00CE12D2"/>
    <w:rsid w:val="00CE14A4"/>
    <w:rsid w:val="00CE1A12"/>
    <w:rsid w:val="00CE28E3"/>
    <w:rsid w:val="00CE3710"/>
    <w:rsid w:val="00CE3784"/>
    <w:rsid w:val="00CE5235"/>
    <w:rsid w:val="00CE561C"/>
    <w:rsid w:val="00CE7654"/>
    <w:rsid w:val="00CE7B1E"/>
    <w:rsid w:val="00CE7F0D"/>
    <w:rsid w:val="00CF1A2D"/>
    <w:rsid w:val="00CF1CD9"/>
    <w:rsid w:val="00CF20D9"/>
    <w:rsid w:val="00CF216B"/>
    <w:rsid w:val="00CF2913"/>
    <w:rsid w:val="00CF4137"/>
    <w:rsid w:val="00CF439F"/>
    <w:rsid w:val="00CF4F44"/>
    <w:rsid w:val="00CF54A8"/>
    <w:rsid w:val="00CF5646"/>
    <w:rsid w:val="00CF5D78"/>
    <w:rsid w:val="00CF7120"/>
    <w:rsid w:val="00CF724C"/>
    <w:rsid w:val="00CF7E88"/>
    <w:rsid w:val="00D001B4"/>
    <w:rsid w:val="00D003B7"/>
    <w:rsid w:val="00D00E36"/>
    <w:rsid w:val="00D01172"/>
    <w:rsid w:val="00D01BC1"/>
    <w:rsid w:val="00D02F4F"/>
    <w:rsid w:val="00D03300"/>
    <w:rsid w:val="00D039FC"/>
    <w:rsid w:val="00D04CB3"/>
    <w:rsid w:val="00D060C1"/>
    <w:rsid w:val="00D065B9"/>
    <w:rsid w:val="00D06D42"/>
    <w:rsid w:val="00D0761D"/>
    <w:rsid w:val="00D07C66"/>
    <w:rsid w:val="00D10299"/>
    <w:rsid w:val="00D104DE"/>
    <w:rsid w:val="00D10F71"/>
    <w:rsid w:val="00D13A4A"/>
    <w:rsid w:val="00D13E05"/>
    <w:rsid w:val="00D14024"/>
    <w:rsid w:val="00D14A77"/>
    <w:rsid w:val="00D14E59"/>
    <w:rsid w:val="00D15995"/>
    <w:rsid w:val="00D15C0C"/>
    <w:rsid w:val="00D15E90"/>
    <w:rsid w:val="00D176B2"/>
    <w:rsid w:val="00D17A61"/>
    <w:rsid w:val="00D20031"/>
    <w:rsid w:val="00D21D8B"/>
    <w:rsid w:val="00D21E6C"/>
    <w:rsid w:val="00D21ED1"/>
    <w:rsid w:val="00D23925"/>
    <w:rsid w:val="00D23929"/>
    <w:rsid w:val="00D251C8"/>
    <w:rsid w:val="00D25965"/>
    <w:rsid w:val="00D26B1A"/>
    <w:rsid w:val="00D26BC7"/>
    <w:rsid w:val="00D26D01"/>
    <w:rsid w:val="00D307D2"/>
    <w:rsid w:val="00D30BF4"/>
    <w:rsid w:val="00D30CFC"/>
    <w:rsid w:val="00D30DF6"/>
    <w:rsid w:val="00D313B3"/>
    <w:rsid w:val="00D31950"/>
    <w:rsid w:val="00D32296"/>
    <w:rsid w:val="00D3292B"/>
    <w:rsid w:val="00D32A98"/>
    <w:rsid w:val="00D32F50"/>
    <w:rsid w:val="00D33069"/>
    <w:rsid w:val="00D33C7F"/>
    <w:rsid w:val="00D33F02"/>
    <w:rsid w:val="00D3403A"/>
    <w:rsid w:val="00D34971"/>
    <w:rsid w:val="00D35590"/>
    <w:rsid w:val="00D358F7"/>
    <w:rsid w:val="00D35CDF"/>
    <w:rsid w:val="00D3607E"/>
    <w:rsid w:val="00D36376"/>
    <w:rsid w:val="00D36E67"/>
    <w:rsid w:val="00D37EF5"/>
    <w:rsid w:val="00D402D0"/>
    <w:rsid w:val="00D40366"/>
    <w:rsid w:val="00D40A0F"/>
    <w:rsid w:val="00D40DAB"/>
    <w:rsid w:val="00D416E8"/>
    <w:rsid w:val="00D419C9"/>
    <w:rsid w:val="00D41D0C"/>
    <w:rsid w:val="00D423BC"/>
    <w:rsid w:val="00D428B9"/>
    <w:rsid w:val="00D43246"/>
    <w:rsid w:val="00D433CE"/>
    <w:rsid w:val="00D43C43"/>
    <w:rsid w:val="00D44039"/>
    <w:rsid w:val="00D45750"/>
    <w:rsid w:val="00D457EA"/>
    <w:rsid w:val="00D4582E"/>
    <w:rsid w:val="00D45A0D"/>
    <w:rsid w:val="00D45C42"/>
    <w:rsid w:val="00D46779"/>
    <w:rsid w:val="00D46FA6"/>
    <w:rsid w:val="00D473CD"/>
    <w:rsid w:val="00D47584"/>
    <w:rsid w:val="00D47D18"/>
    <w:rsid w:val="00D50D2F"/>
    <w:rsid w:val="00D50E00"/>
    <w:rsid w:val="00D51BEE"/>
    <w:rsid w:val="00D51C65"/>
    <w:rsid w:val="00D529D9"/>
    <w:rsid w:val="00D52E54"/>
    <w:rsid w:val="00D52FF5"/>
    <w:rsid w:val="00D531C4"/>
    <w:rsid w:val="00D539AF"/>
    <w:rsid w:val="00D53C26"/>
    <w:rsid w:val="00D54937"/>
    <w:rsid w:val="00D5532D"/>
    <w:rsid w:val="00D557DB"/>
    <w:rsid w:val="00D5587E"/>
    <w:rsid w:val="00D565A5"/>
    <w:rsid w:val="00D56DFA"/>
    <w:rsid w:val="00D57E11"/>
    <w:rsid w:val="00D607A8"/>
    <w:rsid w:val="00D60E22"/>
    <w:rsid w:val="00D610E3"/>
    <w:rsid w:val="00D6129E"/>
    <w:rsid w:val="00D61302"/>
    <w:rsid w:val="00D61CBF"/>
    <w:rsid w:val="00D61DE8"/>
    <w:rsid w:val="00D61FAF"/>
    <w:rsid w:val="00D623D3"/>
    <w:rsid w:val="00D62622"/>
    <w:rsid w:val="00D62AB6"/>
    <w:rsid w:val="00D62F4D"/>
    <w:rsid w:val="00D631D1"/>
    <w:rsid w:val="00D63B5B"/>
    <w:rsid w:val="00D64789"/>
    <w:rsid w:val="00D64906"/>
    <w:rsid w:val="00D652D9"/>
    <w:rsid w:val="00D6659D"/>
    <w:rsid w:val="00D70B63"/>
    <w:rsid w:val="00D70DDA"/>
    <w:rsid w:val="00D71610"/>
    <w:rsid w:val="00D7193B"/>
    <w:rsid w:val="00D72DE0"/>
    <w:rsid w:val="00D7369F"/>
    <w:rsid w:val="00D73AD9"/>
    <w:rsid w:val="00D7413F"/>
    <w:rsid w:val="00D76199"/>
    <w:rsid w:val="00D761C8"/>
    <w:rsid w:val="00D77B20"/>
    <w:rsid w:val="00D77C1D"/>
    <w:rsid w:val="00D80743"/>
    <w:rsid w:val="00D80C29"/>
    <w:rsid w:val="00D811D3"/>
    <w:rsid w:val="00D81F0A"/>
    <w:rsid w:val="00D82C25"/>
    <w:rsid w:val="00D82F17"/>
    <w:rsid w:val="00D82FDD"/>
    <w:rsid w:val="00D8316D"/>
    <w:rsid w:val="00D83B51"/>
    <w:rsid w:val="00D848F3"/>
    <w:rsid w:val="00D84ECA"/>
    <w:rsid w:val="00D84F48"/>
    <w:rsid w:val="00D8525E"/>
    <w:rsid w:val="00D8579B"/>
    <w:rsid w:val="00D86259"/>
    <w:rsid w:val="00D86508"/>
    <w:rsid w:val="00D9041B"/>
    <w:rsid w:val="00D9085B"/>
    <w:rsid w:val="00D90A7B"/>
    <w:rsid w:val="00D90DBB"/>
    <w:rsid w:val="00D9141D"/>
    <w:rsid w:val="00D91B0A"/>
    <w:rsid w:val="00D9274F"/>
    <w:rsid w:val="00D943F5"/>
    <w:rsid w:val="00D946C9"/>
    <w:rsid w:val="00D94876"/>
    <w:rsid w:val="00D94CF3"/>
    <w:rsid w:val="00D967A8"/>
    <w:rsid w:val="00D9780B"/>
    <w:rsid w:val="00D97B85"/>
    <w:rsid w:val="00DA058E"/>
    <w:rsid w:val="00DA06FE"/>
    <w:rsid w:val="00DA079E"/>
    <w:rsid w:val="00DA1D78"/>
    <w:rsid w:val="00DA282A"/>
    <w:rsid w:val="00DA32A3"/>
    <w:rsid w:val="00DA346A"/>
    <w:rsid w:val="00DA35E8"/>
    <w:rsid w:val="00DA42DF"/>
    <w:rsid w:val="00DA454C"/>
    <w:rsid w:val="00DA4A0E"/>
    <w:rsid w:val="00DA512C"/>
    <w:rsid w:val="00DA5C88"/>
    <w:rsid w:val="00DA6765"/>
    <w:rsid w:val="00DA6E21"/>
    <w:rsid w:val="00DA73CB"/>
    <w:rsid w:val="00DB003C"/>
    <w:rsid w:val="00DB12F3"/>
    <w:rsid w:val="00DB1E91"/>
    <w:rsid w:val="00DB2274"/>
    <w:rsid w:val="00DB36A0"/>
    <w:rsid w:val="00DB36E0"/>
    <w:rsid w:val="00DB3BDD"/>
    <w:rsid w:val="00DB4293"/>
    <w:rsid w:val="00DB4410"/>
    <w:rsid w:val="00DB44F1"/>
    <w:rsid w:val="00DB49AC"/>
    <w:rsid w:val="00DB5117"/>
    <w:rsid w:val="00DB545E"/>
    <w:rsid w:val="00DB5DCF"/>
    <w:rsid w:val="00DB5EE7"/>
    <w:rsid w:val="00DB6031"/>
    <w:rsid w:val="00DB6467"/>
    <w:rsid w:val="00DB664A"/>
    <w:rsid w:val="00DB6B7F"/>
    <w:rsid w:val="00DB7370"/>
    <w:rsid w:val="00DB7463"/>
    <w:rsid w:val="00DB762A"/>
    <w:rsid w:val="00DB79F6"/>
    <w:rsid w:val="00DB7E2F"/>
    <w:rsid w:val="00DC14AF"/>
    <w:rsid w:val="00DC1720"/>
    <w:rsid w:val="00DC19C1"/>
    <w:rsid w:val="00DC2945"/>
    <w:rsid w:val="00DC32F6"/>
    <w:rsid w:val="00DC3633"/>
    <w:rsid w:val="00DC4108"/>
    <w:rsid w:val="00DC4188"/>
    <w:rsid w:val="00DC42CD"/>
    <w:rsid w:val="00DC4EC7"/>
    <w:rsid w:val="00DC4F64"/>
    <w:rsid w:val="00DC50C5"/>
    <w:rsid w:val="00DC52E8"/>
    <w:rsid w:val="00DC5B99"/>
    <w:rsid w:val="00DC64A7"/>
    <w:rsid w:val="00DC650F"/>
    <w:rsid w:val="00DC6790"/>
    <w:rsid w:val="00DC694B"/>
    <w:rsid w:val="00DD0953"/>
    <w:rsid w:val="00DD0D88"/>
    <w:rsid w:val="00DD190A"/>
    <w:rsid w:val="00DD19E2"/>
    <w:rsid w:val="00DD1A95"/>
    <w:rsid w:val="00DD1FD3"/>
    <w:rsid w:val="00DD2284"/>
    <w:rsid w:val="00DD2BE1"/>
    <w:rsid w:val="00DD2C81"/>
    <w:rsid w:val="00DD30A1"/>
    <w:rsid w:val="00DD40D4"/>
    <w:rsid w:val="00DD5E52"/>
    <w:rsid w:val="00DD6190"/>
    <w:rsid w:val="00DD6B82"/>
    <w:rsid w:val="00DE0788"/>
    <w:rsid w:val="00DE1466"/>
    <w:rsid w:val="00DE1990"/>
    <w:rsid w:val="00DE21B0"/>
    <w:rsid w:val="00DE2496"/>
    <w:rsid w:val="00DE2EE2"/>
    <w:rsid w:val="00DE36BB"/>
    <w:rsid w:val="00DE4A38"/>
    <w:rsid w:val="00DE5BC2"/>
    <w:rsid w:val="00DE7099"/>
    <w:rsid w:val="00DE7515"/>
    <w:rsid w:val="00DE7705"/>
    <w:rsid w:val="00DF00A1"/>
    <w:rsid w:val="00DF03E2"/>
    <w:rsid w:val="00DF0EB3"/>
    <w:rsid w:val="00DF0FAA"/>
    <w:rsid w:val="00DF1394"/>
    <w:rsid w:val="00DF2AF5"/>
    <w:rsid w:val="00DF341B"/>
    <w:rsid w:val="00DF35F3"/>
    <w:rsid w:val="00DF39E9"/>
    <w:rsid w:val="00DF431B"/>
    <w:rsid w:val="00DF56E5"/>
    <w:rsid w:val="00DF5799"/>
    <w:rsid w:val="00DF5E58"/>
    <w:rsid w:val="00DF6763"/>
    <w:rsid w:val="00DF6C13"/>
    <w:rsid w:val="00DF7029"/>
    <w:rsid w:val="00DF74D9"/>
    <w:rsid w:val="00DF781D"/>
    <w:rsid w:val="00E0108C"/>
    <w:rsid w:val="00E01143"/>
    <w:rsid w:val="00E0127B"/>
    <w:rsid w:val="00E01C46"/>
    <w:rsid w:val="00E02A0A"/>
    <w:rsid w:val="00E03247"/>
    <w:rsid w:val="00E03427"/>
    <w:rsid w:val="00E0360B"/>
    <w:rsid w:val="00E03A96"/>
    <w:rsid w:val="00E045D1"/>
    <w:rsid w:val="00E04FE2"/>
    <w:rsid w:val="00E05D56"/>
    <w:rsid w:val="00E0677C"/>
    <w:rsid w:val="00E07212"/>
    <w:rsid w:val="00E079B8"/>
    <w:rsid w:val="00E07CA0"/>
    <w:rsid w:val="00E105A9"/>
    <w:rsid w:val="00E106F9"/>
    <w:rsid w:val="00E107C7"/>
    <w:rsid w:val="00E12623"/>
    <w:rsid w:val="00E13A53"/>
    <w:rsid w:val="00E13BB6"/>
    <w:rsid w:val="00E146F8"/>
    <w:rsid w:val="00E15056"/>
    <w:rsid w:val="00E15A79"/>
    <w:rsid w:val="00E15DB1"/>
    <w:rsid w:val="00E16779"/>
    <w:rsid w:val="00E16934"/>
    <w:rsid w:val="00E16C38"/>
    <w:rsid w:val="00E173D9"/>
    <w:rsid w:val="00E17552"/>
    <w:rsid w:val="00E2070A"/>
    <w:rsid w:val="00E20D25"/>
    <w:rsid w:val="00E2177A"/>
    <w:rsid w:val="00E21B03"/>
    <w:rsid w:val="00E21D61"/>
    <w:rsid w:val="00E22243"/>
    <w:rsid w:val="00E22445"/>
    <w:rsid w:val="00E2292E"/>
    <w:rsid w:val="00E22B59"/>
    <w:rsid w:val="00E24703"/>
    <w:rsid w:val="00E24EB3"/>
    <w:rsid w:val="00E2517F"/>
    <w:rsid w:val="00E252E3"/>
    <w:rsid w:val="00E25423"/>
    <w:rsid w:val="00E25F16"/>
    <w:rsid w:val="00E260A2"/>
    <w:rsid w:val="00E260A3"/>
    <w:rsid w:val="00E26CB1"/>
    <w:rsid w:val="00E26D15"/>
    <w:rsid w:val="00E27102"/>
    <w:rsid w:val="00E273AC"/>
    <w:rsid w:val="00E27AE6"/>
    <w:rsid w:val="00E27DDB"/>
    <w:rsid w:val="00E30497"/>
    <w:rsid w:val="00E3104B"/>
    <w:rsid w:val="00E31308"/>
    <w:rsid w:val="00E3135C"/>
    <w:rsid w:val="00E31702"/>
    <w:rsid w:val="00E31B75"/>
    <w:rsid w:val="00E3242E"/>
    <w:rsid w:val="00E329BA"/>
    <w:rsid w:val="00E330C9"/>
    <w:rsid w:val="00E3330E"/>
    <w:rsid w:val="00E3350E"/>
    <w:rsid w:val="00E3351F"/>
    <w:rsid w:val="00E335CC"/>
    <w:rsid w:val="00E33671"/>
    <w:rsid w:val="00E336E6"/>
    <w:rsid w:val="00E33992"/>
    <w:rsid w:val="00E34492"/>
    <w:rsid w:val="00E36A51"/>
    <w:rsid w:val="00E36AE5"/>
    <w:rsid w:val="00E36FFE"/>
    <w:rsid w:val="00E37C39"/>
    <w:rsid w:val="00E37E66"/>
    <w:rsid w:val="00E40B64"/>
    <w:rsid w:val="00E40DAE"/>
    <w:rsid w:val="00E40F62"/>
    <w:rsid w:val="00E419E0"/>
    <w:rsid w:val="00E42CD0"/>
    <w:rsid w:val="00E43249"/>
    <w:rsid w:val="00E436A2"/>
    <w:rsid w:val="00E43990"/>
    <w:rsid w:val="00E444B0"/>
    <w:rsid w:val="00E458D8"/>
    <w:rsid w:val="00E45A82"/>
    <w:rsid w:val="00E45A9B"/>
    <w:rsid w:val="00E45EE8"/>
    <w:rsid w:val="00E45F55"/>
    <w:rsid w:val="00E466ED"/>
    <w:rsid w:val="00E4790A"/>
    <w:rsid w:val="00E50652"/>
    <w:rsid w:val="00E50D72"/>
    <w:rsid w:val="00E51702"/>
    <w:rsid w:val="00E518A7"/>
    <w:rsid w:val="00E51ADB"/>
    <w:rsid w:val="00E529F5"/>
    <w:rsid w:val="00E5356B"/>
    <w:rsid w:val="00E535B2"/>
    <w:rsid w:val="00E538BB"/>
    <w:rsid w:val="00E53E00"/>
    <w:rsid w:val="00E54221"/>
    <w:rsid w:val="00E55044"/>
    <w:rsid w:val="00E5596A"/>
    <w:rsid w:val="00E5650A"/>
    <w:rsid w:val="00E56D41"/>
    <w:rsid w:val="00E574EC"/>
    <w:rsid w:val="00E575FE"/>
    <w:rsid w:val="00E57714"/>
    <w:rsid w:val="00E57F9C"/>
    <w:rsid w:val="00E6119F"/>
    <w:rsid w:val="00E615F9"/>
    <w:rsid w:val="00E6193C"/>
    <w:rsid w:val="00E61F40"/>
    <w:rsid w:val="00E62430"/>
    <w:rsid w:val="00E62BC2"/>
    <w:rsid w:val="00E62D48"/>
    <w:rsid w:val="00E63739"/>
    <w:rsid w:val="00E63DAA"/>
    <w:rsid w:val="00E63ED3"/>
    <w:rsid w:val="00E64314"/>
    <w:rsid w:val="00E6433E"/>
    <w:rsid w:val="00E64F30"/>
    <w:rsid w:val="00E67152"/>
    <w:rsid w:val="00E7221D"/>
    <w:rsid w:val="00E72343"/>
    <w:rsid w:val="00E723AA"/>
    <w:rsid w:val="00E723E0"/>
    <w:rsid w:val="00E727A5"/>
    <w:rsid w:val="00E72835"/>
    <w:rsid w:val="00E7303B"/>
    <w:rsid w:val="00E73B78"/>
    <w:rsid w:val="00E74387"/>
    <w:rsid w:val="00E75B5C"/>
    <w:rsid w:val="00E7615F"/>
    <w:rsid w:val="00E76AE0"/>
    <w:rsid w:val="00E76B88"/>
    <w:rsid w:val="00E76C47"/>
    <w:rsid w:val="00E77CF8"/>
    <w:rsid w:val="00E81A87"/>
    <w:rsid w:val="00E823F5"/>
    <w:rsid w:val="00E8282F"/>
    <w:rsid w:val="00E83948"/>
    <w:rsid w:val="00E83CF9"/>
    <w:rsid w:val="00E84B1F"/>
    <w:rsid w:val="00E84D4B"/>
    <w:rsid w:val="00E850A8"/>
    <w:rsid w:val="00E8578A"/>
    <w:rsid w:val="00E85807"/>
    <w:rsid w:val="00E85CA7"/>
    <w:rsid w:val="00E86182"/>
    <w:rsid w:val="00E86214"/>
    <w:rsid w:val="00E86D94"/>
    <w:rsid w:val="00E87094"/>
    <w:rsid w:val="00E877A0"/>
    <w:rsid w:val="00E905B5"/>
    <w:rsid w:val="00E90653"/>
    <w:rsid w:val="00E90959"/>
    <w:rsid w:val="00E9153F"/>
    <w:rsid w:val="00E9257E"/>
    <w:rsid w:val="00E92974"/>
    <w:rsid w:val="00E92997"/>
    <w:rsid w:val="00E92F98"/>
    <w:rsid w:val="00E9331D"/>
    <w:rsid w:val="00E934A1"/>
    <w:rsid w:val="00E934EB"/>
    <w:rsid w:val="00E93512"/>
    <w:rsid w:val="00E943C1"/>
    <w:rsid w:val="00E943F6"/>
    <w:rsid w:val="00E95322"/>
    <w:rsid w:val="00E95489"/>
    <w:rsid w:val="00E95490"/>
    <w:rsid w:val="00E95716"/>
    <w:rsid w:val="00E9624C"/>
    <w:rsid w:val="00E96407"/>
    <w:rsid w:val="00E968C1"/>
    <w:rsid w:val="00E96E17"/>
    <w:rsid w:val="00E971F6"/>
    <w:rsid w:val="00E97470"/>
    <w:rsid w:val="00EA03CD"/>
    <w:rsid w:val="00EA0694"/>
    <w:rsid w:val="00EA0E31"/>
    <w:rsid w:val="00EA0E54"/>
    <w:rsid w:val="00EA10AB"/>
    <w:rsid w:val="00EA1179"/>
    <w:rsid w:val="00EA1769"/>
    <w:rsid w:val="00EA2383"/>
    <w:rsid w:val="00EA3671"/>
    <w:rsid w:val="00EA38E9"/>
    <w:rsid w:val="00EA3962"/>
    <w:rsid w:val="00EA4FC8"/>
    <w:rsid w:val="00EA596B"/>
    <w:rsid w:val="00EA79CF"/>
    <w:rsid w:val="00EB0DEA"/>
    <w:rsid w:val="00EB1A9F"/>
    <w:rsid w:val="00EB1F63"/>
    <w:rsid w:val="00EB215F"/>
    <w:rsid w:val="00EB2384"/>
    <w:rsid w:val="00EB27BC"/>
    <w:rsid w:val="00EB2BD6"/>
    <w:rsid w:val="00EB48EF"/>
    <w:rsid w:val="00EB524B"/>
    <w:rsid w:val="00EB54C6"/>
    <w:rsid w:val="00EB6326"/>
    <w:rsid w:val="00EB6A32"/>
    <w:rsid w:val="00EB7EB6"/>
    <w:rsid w:val="00EC1318"/>
    <w:rsid w:val="00EC1E82"/>
    <w:rsid w:val="00EC2D92"/>
    <w:rsid w:val="00EC33A0"/>
    <w:rsid w:val="00EC358B"/>
    <w:rsid w:val="00EC3E29"/>
    <w:rsid w:val="00EC4836"/>
    <w:rsid w:val="00EC4D9F"/>
    <w:rsid w:val="00EC5088"/>
    <w:rsid w:val="00EC5242"/>
    <w:rsid w:val="00EC53C5"/>
    <w:rsid w:val="00EC7D21"/>
    <w:rsid w:val="00ED0D7B"/>
    <w:rsid w:val="00ED0E86"/>
    <w:rsid w:val="00ED20A3"/>
    <w:rsid w:val="00ED2AE6"/>
    <w:rsid w:val="00ED2B79"/>
    <w:rsid w:val="00ED3FE3"/>
    <w:rsid w:val="00ED56AF"/>
    <w:rsid w:val="00ED5E38"/>
    <w:rsid w:val="00ED60EE"/>
    <w:rsid w:val="00ED698B"/>
    <w:rsid w:val="00ED7B47"/>
    <w:rsid w:val="00EE0943"/>
    <w:rsid w:val="00EE0A35"/>
    <w:rsid w:val="00EE3503"/>
    <w:rsid w:val="00EE3BCA"/>
    <w:rsid w:val="00EE4490"/>
    <w:rsid w:val="00EE4EEF"/>
    <w:rsid w:val="00EE51B7"/>
    <w:rsid w:val="00EE539D"/>
    <w:rsid w:val="00EE6321"/>
    <w:rsid w:val="00EE6348"/>
    <w:rsid w:val="00EE66D4"/>
    <w:rsid w:val="00EE6739"/>
    <w:rsid w:val="00EE6832"/>
    <w:rsid w:val="00EE683E"/>
    <w:rsid w:val="00EE7D5C"/>
    <w:rsid w:val="00EE7D91"/>
    <w:rsid w:val="00EE7EC8"/>
    <w:rsid w:val="00EF1755"/>
    <w:rsid w:val="00EF1BA5"/>
    <w:rsid w:val="00EF212A"/>
    <w:rsid w:val="00EF380D"/>
    <w:rsid w:val="00EF3D58"/>
    <w:rsid w:val="00EF4446"/>
    <w:rsid w:val="00EF5A02"/>
    <w:rsid w:val="00EF602F"/>
    <w:rsid w:val="00EF7063"/>
    <w:rsid w:val="00EF7084"/>
    <w:rsid w:val="00F00546"/>
    <w:rsid w:val="00F00A61"/>
    <w:rsid w:val="00F00E24"/>
    <w:rsid w:val="00F01D4A"/>
    <w:rsid w:val="00F035DB"/>
    <w:rsid w:val="00F03B39"/>
    <w:rsid w:val="00F04052"/>
    <w:rsid w:val="00F04D59"/>
    <w:rsid w:val="00F04FED"/>
    <w:rsid w:val="00F06673"/>
    <w:rsid w:val="00F06961"/>
    <w:rsid w:val="00F073D6"/>
    <w:rsid w:val="00F0768D"/>
    <w:rsid w:val="00F07889"/>
    <w:rsid w:val="00F07CD0"/>
    <w:rsid w:val="00F1066F"/>
    <w:rsid w:val="00F11330"/>
    <w:rsid w:val="00F117C3"/>
    <w:rsid w:val="00F11A03"/>
    <w:rsid w:val="00F11E4B"/>
    <w:rsid w:val="00F1234A"/>
    <w:rsid w:val="00F140A5"/>
    <w:rsid w:val="00F1415F"/>
    <w:rsid w:val="00F14201"/>
    <w:rsid w:val="00F1508C"/>
    <w:rsid w:val="00F1578E"/>
    <w:rsid w:val="00F16A81"/>
    <w:rsid w:val="00F16B4C"/>
    <w:rsid w:val="00F173EE"/>
    <w:rsid w:val="00F20763"/>
    <w:rsid w:val="00F219AF"/>
    <w:rsid w:val="00F21FAE"/>
    <w:rsid w:val="00F227C8"/>
    <w:rsid w:val="00F23CB7"/>
    <w:rsid w:val="00F2443F"/>
    <w:rsid w:val="00F24871"/>
    <w:rsid w:val="00F248A1"/>
    <w:rsid w:val="00F24A1A"/>
    <w:rsid w:val="00F24AA7"/>
    <w:rsid w:val="00F25098"/>
    <w:rsid w:val="00F25148"/>
    <w:rsid w:val="00F2524B"/>
    <w:rsid w:val="00F254AF"/>
    <w:rsid w:val="00F25782"/>
    <w:rsid w:val="00F257B5"/>
    <w:rsid w:val="00F26808"/>
    <w:rsid w:val="00F2720E"/>
    <w:rsid w:val="00F2776D"/>
    <w:rsid w:val="00F27780"/>
    <w:rsid w:val="00F31E32"/>
    <w:rsid w:val="00F327C2"/>
    <w:rsid w:val="00F346E6"/>
    <w:rsid w:val="00F3589C"/>
    <w:rsid w:val="00F3617B"/>
    <w:rsid w:val="00F36C11"/>
    <w:rsid w:val="00F370C8"/>
    <w:rsid w:val="00F3717D"/>
    <w:rsid w:val="00F37671"/>
    <w:rsid w:val="00F378EE"/>
    <w:rsid w:val="00F37AF0"/>
    <w:rsid w:val="00F40864"/>
    <w:rsid w:val="00F40F09"/>
    <w:rsid w:val="00F412CB"/>
    <w:rsid w:val="00F41FDC"/>
    <w:rsid w:val="00F4251B"/>
    <w:rsid w:val="00F42712"/>
    <w:rsid w:val="00F4377E"/>
    <w:rsid w:val="00F44246"/>
    <w:rsid w:val="00F44895"/>
    <w:rsid w:val="00F470D2"/>
    <w:rsid w:val="00F470E3"/>
    <w:rsid w:val="00F47803"/>
    <w:rsid w:val="00F47916"/>
    <w:rsid w:val="00F47B21"/>
    <w:rsid w:val="00F50139"/>
    <w:rsid w:val="00F50585"/>
    <w:rsid w:val="00F50B1F"/>
    <w:rsid w:val="00F50B86"/>
    <w:rsid w:val="00F50FCF"/>
    <w:rsid w:val="00F5158E"/>
    <w:rsid w:val="00F516E3"/>
    <w:rsid w:val="00F51D3D"/>
    <w:rsid w:val="00F526E3"/>
    <w:rsid w:val="00F5292C"/>
    <w:rsid w:val="00F53E7B"/>
    <w:rsid w:val="00F54832"/>
    <w:rsid w:val="00F5487E"/>
    <w:rsid w:val="00F54C53"/>
    <w:rsid w:val="00F5532E"/>
    <w:rsid w:val="00F55641"/>
    <w:rsid w:val="00F55D23"/>
    <w:rsid w:val="00F55F3D"/>
    <w:rsid w:val="00F5628F"/>
    <w:rsid w:val="00F56916"/>
    <w:rsid w:val="00F57885"/>
    <w:rsid w:val="00F57D13"/>
    <w:rsid w:val="00F57D6D"/>
    <w:rsid w:val="00F57EC0"/>
    <w:rsid w:val="00F605F2"/>
    <w:rsid w:val="00F6080E"/>
    <w:rsid w:val="00F608F3"/>
    <w:rsid w:val="00F60F21"/>
    <w:rsid w:val="00F6130D"/>
    <w:rsid w:val="00F61460"/>
    <w:rsid w:val="00F615EA"/>
    <w:rsid w:val="00F62131"/>
    <w:rsid w:val="00F624A2"/>
    <w:rsid w:val="00F6259F"/>
    <w:rsid w:val="00F62E25"/>
    <w:rsid w:val="00F63045"/>
    <w:rsid w:val="00F6347E"/>
    <w:rsid w:val="00F63D44"/>
    <w:rsid w:val="00F6415C"/>
    <w:rsid w:val="00F644C6"/>
    <w:rsid w:val="00F66144"/>
    <w:rsid w:val="00F669C7"/>
    <w:rsid w:val="00F6713F"/>
    <w:rsid w:val="00F67381"/>
    <w:rsid w:val="00F70361"/>
    <w:rsid w:val="00F703BA"/>
    <w:rsid w:val="00F710E9"/>
    <w:rsid w:val="00F72BA7"/>
    <w:rsid w:val="00F72C79"/>
    <w:rsid w:val="00F73377"/>
    <w:rsid w:val="00F73D91"/>
    <w:rsid w:val="00F74B51"/>
    <w:rsid w:val="00F74FB3"/>
    <w:rsid w:val="00F75EF4"/>
    <w:rsid w:val="00F778F1"/>
    <w:rsid w:val="00F81259"/>
    <w:rsid w:val="00F81362"/>
    <w:rsid w:val="00F815CB"/>
    <w:rsid w:val="00F815DD"/>
    <w:rsid w:val="00F821BE"/>
    <w:rsid w:val="00F82813"/>
    <w:rsid w:val="00F828EE"/>
    <w:rsid w:val="00F82DF1"/>
    <w:rsid w:val="00F84683"/>
    <w:rsid w:val="00F854EE"/>
    <w:rsid w:val="00F864AE"/>
    <w:rsid w:val="00F86F2E"/>
    <w:rsid w:val="00F87162"/>
    <w:rsid w:val="00F87846"/>
    <w:rsid w:val="00F87DAF"/>
    <w:rsid w:val="00F90167"/>
    <w:rsid w:val="00F90655"/>
    <w:rsid w:val="00F91353"/>
    <w:rsid w:val="00F92185"/>
    <w:rsid w:val="00F9265B"/>
    <w:rsid w:val="00F93185"/>
    <w:rsid w:val="00F94CCF"/>
    <w:rsid w:val="00F94E9A"/>
    <w:rsid w:val="00F9684A"/>
    <w:rsid w:val="00F96BD3"/>
    <w:rsid w:val="00FA03D1"/>
    <w:rsid w:val="00FA0825"/>
    <w:rsid w:val="00FA08AD"/>
    <w:rsid w:val="00FA0ED2"/>
    <w:rsid w:val="00FA1637"/>
    <w:rsid w:val="00FA2531"/>
    <w:rsid w:val="00FA2F27"/>
    <w:rsid w:val="00FA35A8"/>
    <w:rsid w:val="00FA4150"/>
    <w:rsid w:val="00FA5214"/>
    <w:rsid w:val="00FA5766"/>
    <w:rsid w:val="00FA5993"/>
    <w:rsid w:val="00FA62FD"/>
    <w:rsid w:val="00FA7D7D"/>
    <w:rsid w:val="00FB036A"/>
    <w:rsid w:val="00FB0BC0"/>
    <w:rsid w:val="00FB0C34"/>
    <w:rsid w:val="00FB0D34"/>
    <w:rsid w:val="00FB1153"/>
    <w:rsid w:val="00FB1549"/>
    <w:rsid w:val="00FB2837"/>
    <w:rsid w:val="00FB299B"/>
    <w:rsid w:val="00FB3152"/>
    <w:rsid w:val="00FB34EE"/>
    <w:rsid w:val="00FB3929"/>
    <w:rsid w:val="00FB3D78"/>
    <w:rsid w:val="00FB620D"/>
    <w:rsid w:val="00FB6F67"/>
    <w:rsid w:val="00FC0708"/>
    <w:rsid w:val="00FC0AD7"/>
    <w:rsid w:val="00FC0E5A"/>
    <w:rsid w:val="00FC10DE"/>
    <w:rsid w:val="00FC148B"/>
    <w:rsid w:val="00FC1898"/>
    <w:rsid w:val="00FC2D5F"/>
    <w:rsid w:val="00FC3E55"/>
    <w:rsid w:val="00FC3EE9"/>
    <w:rsid w:val="00FC423C"/>
    <w:rsid w:val="00FC43EC"/>
    <w:rsid w:val="00FC4BF9"/>
    <w:rsid w:val="00FC556D"/>
    <w:rsid w:val="00FC5603"/>
    <w:rsid w:val="00FC6939"/>
    <w:rsid w:val="00FD0ACC"/>
    <w:rsid w:val="00FD0B28"/>
    <w:rsid w:val="00FD17BA"/>
    <w:rsid w:val="00FD1CC4"/>
    <w:rsid w:val="00FD2C9D"/>
    <w:rsid w:val="00FD2F74"/>
    <w:rsid w:val="00FD37CE"/>
    <w:rsid w:val="00FD3B94"/>
    <w:rsid w:val="00FD40DD"/>
    <w:rsid w:val="00FD43B3"/>
    <w:rsid w:val="00FD5881"/>
    <w:rsid w:val="00FD5B01"/>
    <w:rsid w:val="00FD6295"/>
    <w:rsid w:val="00FD707A"/>
    <w:rsid w:val="00FD779A"/>
    <w:rsid w:val="00FD79AB"/>
    <w:rsid w:val="00FD7AC0"/>
    <w:rsid w:val="00FD7D4A"/>
    <w:rsid w:val="00FD7F2C"/>
    <w:rsid w:val="00FE1118"/>
    <w:rsid w:val="00FE1C11"/>
    <w:rsid w:val="00FE2A0E"/>
    <w:rsid w:val="00FE2F14"/>
    <w:rsid w:val="00FE40E5"/>
    <w:rsid w:val="00FE4739"/>
    <w:rsid w:val="00FE4849"/>
    <w:rsid w:val="00FE4DB2"/>
    <w:rsid w:val="00FE5643"/>
    <w:rsid w:val="00FE6000"/>
    <w:rsid w:val="00FE64E3"/>
    <w:rsid w:val="00FE681D"/>
    <w:rsid w:val="00FE74DF"/>
    <w:rsid w:val="00FE7CA2"/>
    <w:rsid w:val="00FE7F8E"/>
    <w:rsid w:val="00FF03DD"/>
    <w:rsid w:val="00FF0C72"/>
    <w:rsid w:val="00FF0DB7"/>
    <w:rsid w:val="00FF0DBD"/>
    <w:rsid w:val="00FF154C"/>
    <w:rsid w:val="00FF1B6A"/>
    <w:rsid w:val="00FF2100"/>
    <w:rsid w:val="00FF3A07"/>
    <w:rsid w:val="00FF3FEA"/>
    <w:rsid w:val="00FF4509"/>
    <w:rsid w:val="00FF4AAE"/>
    <w:rsid w:val="00FF4C68"/>
    <w:rsid w:val="00FF54B2"/>
    <w:rsid w:val="00FF7383"/>
    <w:rsid w:val="00FF7DC0"/>
    <w:rsid w:val="011332FC"/>
    <w:rsid w:val="0133557A"/>
    <w:rsid w:val="0161F148"/>
    <w:rsid w:val="01E7D45D"/>
    <w:rsid w:val="03D14F9C"/>
    <w:rsid w:val="040FAE95"/>
    <w:rsid w:val="04730169"/>
    <w:rsid w:val="05782813"/>
    <w:rsid w:val="058CB4C3"/>
    <w:rsid w:val="05C9F89D"/>
    <w:rsid w:val="0604EBE7"/>
    <w:rsid w:val="08AFC8D5"/>
    <w:rsid w:val="08F7D8BE"/>
    <w:rsid w:val="0A573554"/>
    <w:rsid w:val="0B56D307"/>
    <w:rsid w:val="0C51D1D8"/>
    <w:rsid w:val="0D7DD973"/>
    <w:rsid w:val="0DD99053"/>
    <w:rsid w:val="0E590C7C"/>
    <w:rsid w:val="0E5DD48E"/>
    <w:rsid w:val="0EC6152A"/>
    <w:rsid w:val="164EE78F"/>
    <w:rsid w:val="16B5E9D5"/>
    <w:rsid w:val="1746DFEE"/>
    <w:rsid w:val="178812C3"/>
    <w:rsid w:val="17EAB7F0"/>
    <w:rsid w:val="1801C7BC"/>
    <w:rsid w:val="18A21309"/>
    <w:rsid w:val="18DF06C8"/>
    <w:rsid w:val="1925857E"/>
    <w:rsid w:val="1A2B529E"/>
    <w:rsid w:val="1A4449D5"/>
    <w:rsid w:val="1A898F0D"/>
    <w:rsid w:val="1BD38ED4"/>
    <w:rsid w:val="1D4D1BEA"/>
    <w:rsid w:val="1EC09553"/>
    <w:rsid w:val="2057D8A2"/>
    <w:rsid w:val="20E50B60"/>
    <w:rsid w:val="21015BA3"/>
    <w:rsid w:val="2168FF69"/>
    <w:rsid w:val="2199D7BE"/>
    <w:rsid w:val="22387309"/>
    <w:rsid w:val="22CF31E3"/>
    <w:rsid w:val="23544E4D"/>
    <w:rsid w:val="236DD971"/>
    <w:rsid w:val="238F7964"/>
    <w:rsid w:val="23E15E9C"/>
    <w:rsid w:val="23E8FF78"/>
    <w:rsid w:val="2407B9BF"/>
    <w:rsid w:val="260498E5"/>
    <w:rsid w:val="264F8B24"/>
    <w:rsid w:val="27E09CCA"/>
    <w:rsid w:val="2877BCC6"/>
    <w:rsid w:val="299EEB01"/>
    <w:rsid w:val="29DD2E9E"/>
    <w:rsid w:val="29FEBAE8"/>
    <w:rsid w:val="2A3155A2"/>
    <w:rsid w:val="2A56DB1A"/>
    <w:rsid w:val="2AEAC9FE"/>
    <w:rsid w:val="2AFFBCA3"/>
    <w:rsid w:val="2C673D68"/>
    <w:rsid w:val="2EA2AEAB"/>
    <w:rsid w:val="2F3B8AAD"/>
    <w:rsid w:val="2FFF976C"/>
    <w:rsid w:val="30B6A742"/>
    <w:rsid w:val="30E42771"/>
    <w:rsid w:val="3141A24C"/>
    <w:rsid w:val="31A8547D"/>
    <w:rsid w:val="31BFDD00"/>
    <w:rsid w:val="31D02924"/>
    <w:rsid w:val="33429338"/>
    <w:rsid w:val="3342C247"/>
    <w:rsid w:val="335BAD61"/>
    <w:rsid w:val="33A59D2E"/>
    <w:rsid w:val="33AD8AB4"/>
    <w:rsid w:val="35BDF3BC"/>
    <w:rsid w:val="3650CBEF"/>
    <w:rsid w:val="36DB2115"/>
    <w:rsid w:val="37838058"/>
    <w:rsid w:val="38C5BB5B"/>
    <w:rsid w:val="38FF1C2E"/>
    <w:rsid w:val="390B98FE"/>
    <w:rsid w:val="39813876"/>
    <w:rsid w:val="3A1CCC38"/>
    <w:rsid w:val="3AB4450D"/>
    <w:rsid w:val="3BB89C99"/>
    <w:rsid w:val="3BB95B35"/>
    <w:rsid w:val="3BF0DA9C"/>
    <w:rsid w:val="3C2B4AD3"/>
    <w:rsid w:val="3C70BA4D"/>
    <w:rsid w:val="3D546CFA"/>
    <w:rsid w:val="3DD57C4F"/>
    <w:rsid w:val="3E3432D2"/>
    <w:rsid w:val="3F4039AF"/>
    <w:rsid w:val="3F690727"/>
    <w:rsid w:val="3FD12BB5"/>
    <w:rsid w:val="40783C4E"/>
    <w:rsid w:val="40E35438"/>
    <w:rsid w:val="417C5D9E"/>
    <w:rsid w:val="4227DE1D"/>
    <w:rsid w:val="42C3D90B"/>
    <w:rsid w:val="433CCCD6"/>
    <w:rsid w:val="43CFE418"/>
    <w:rsid w:val="43D724DA"/>
    <w:rsid w:val="4441F0E7"/>
    <w:rsid w:val="4446E2EE"/>
    <w:rsid w:val="455F7EDF"/>
    <w:rsid w:val="46FB4F40"/>
    <w:rsid w:val="47355BE0"/>
    <w:rsid w:val="474E0C0F"/>
    <w:rsid w:val="47840C83"/>
    <w:rsid w:val="4855660B"/>
    <w:rsid w:val="48592F35"/>
    <w:rsid w:val="487CE52D"/>
    <w:rsid w:val="491FDCE4"/>
    <w:rsid w:val="49B55750"/>
    <w:rsid w:val="49E9B087"/>
    <w:rsid w:val="4A14D585"/>
    <w:rsid w:val="4ADEB4D8"/>
    <w:rsid w:val="4D7650D7"/>
    <w:rsid w:val="4F633C62"/>
    <w:rsid w:val="504D2A9B"/>
    <w:rsid w:val="50559462"/>
    <w:rsid w:val="50DF653C"/>
    <w:rsid w:val="521A9FC4"/>
    <w:rsid w:val="52986DD8"/>
    <w:rsid w:val="53346B6E"/>
    <w:rsid w:val="539F0FF3"/>
    <w:rsid w:val="53E14FD7"/>
    <w:rsid w:val="5474B11D"/>
    <w:rsid w:val="54F86125"/>
    <w:rsid w:val="565E0304"/>
    <w:rsid w:val="573B9C07"/>
    <w:rsid w:val="579B0B37"/>
    <w:rsid w:val="57D50956"/>
    <w:rsid w:val="57E8B3A1"/>
    <w:rsid w:val="580FC366"/>
    <w:rsid w:val="5987DE01"/>
    <w:rsid w:val="59C7FB10"/>
    <w:rsid w:val="59E8910F"/>
    <w:rsid w:val="5B2FE3FC"/>
    <w:rsid w:val="5C05902C"/>
    <w:rsid w:val="5CA03043"/>
    <w:rsid w:val="5D1DDE43"/>
    <w:rsid w:val="5DB01F6B"/>
    <w:rsid w:val="5E1C5D84"/>
    <w:rsid w:val="5FD85F75"/>
    <w:rsid w:val="5FF0F7B7"/>
    <w:rsid w:val="60CB68DD"/>
    <w:rsid w:val="61541DB8"/>
    <w:rsid w:val="61591843"/>
    <w:rsid w:val="618CC818"/>
    <w:rsid w:val="62270CE3"/>
    <w:rsid w:val="62A24E46"/>
    <w:rsid w:val="62B4C672"/>
    <w:rsid w:val="62B62FCD"/>
    <w:rsid w:val="636570BC"/>
    <w:rsid w:val="65D21CE2"/>
    <w:rsid w:val="669E1973"/>
    <w:rsid w:val="698FAF2F"/>
    <w:rsid w:val="6997A8D7"/>
    <w:rsid w:val="6A1C1F23"/>
    <w:rsid w:val="6A60DB8F"/>
    <w:rsid w:val="6A866760"/>
    <w:rsid w:val="6C2E98E8"/>
    <w:rsid w:val="6C39CAB9"/>
    <w:rsid w:val="6CA45A80"/>
    <w:rsid w:val="6CCF089A"/>
    <w:rsid w:val="6D735F0F"/>
    <w:rsid w:val="6E8CB65F"/>
    <w:rsid w:val="6F1269E8"/>
    <w:rsid w:val="6F319295"/>
    <w:rsid w:val="70F7CF90"/>
    <w:rsid w:val="711A8896"/>
    <w:rsid w:val="713D6AFB"/>
    <w:rsid w:val="7140078E"/>
    <w:rsid w:val="715E2616"/>
    <w:rsid w:val="73E24DEC"/>
    <w:rsid w:val="73E324CA"/>
    <w:rsid w:val="746837B5"/>
    <w:rsid w:val="7470BE4D"/>
    <w:rsid w:val="74F23831"/>
    <w:rsid w:val="75BB4F08"/>
    <w:rsid w:val="76317A0D"/>
    <w:rsid w:val="763ED414"/>
    <w:rsid w:val="76E16C52"/>
    <w:rsid w:val="7732367F"/>
    <w:rsid w:val="793683EC"/>
    <w:rsid w:val="7A024E2A"/>
    <w:rsid w:val="7A1CB1B5"/>
    <w:rsid w:val="7BDDD867"/>
    <w:rsid w:val="7BFAC597"/>
    <w:rsid w:val="7C3947F3"/>
    <w:rsid w:val="7C5F0E96"/>
    <w:rsid w:val="7CAB3807"/>
    <w:rsid w:val="7D9A5EDA"/>
    <w:rsid w:val="7DFB4AAC"/>
    <w:rsid w:val="7FABC73F"/>
    <w:rsid w:val="7FBECC7E"/>
    <w:rsid w:val="7FE4E4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qFormat/>
    <w:rsid w:val="00DA079E"/>
    <w:pPr>
      <w:keepNext/>
      <w:spacing w:before="360" w:after="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uiPriority w:val="99"/>
    <w:rsid w:val="00DA079E"/>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CMA Table Template,YHEC table,HTAtableplain,Dossier table,Section 3- footnotes,PBAC table,MSD Table Grid,Lash Style Table"/>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4"/>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3"/>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A67166"/>
    <w:pPr>
      <w:widowControl w:val="0"/>
      <w:snapToGrid w:val="0"/>
      <w:spacing w:before="0"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10"/>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SAC">
    <w:name w:val="MSAC"/>
    <w:basedOn w:val="TableNormal"/>
    <w:next w:val="TableGrid"/>
    <w:locked/>
    <w:rsid w:val="00264265"/>
    <w:pPr>
      <w:widowControl w:val="0"/>
      <w:spacing w:before="20" w:after="2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20" w:beforeAutospacing="0" w:afterLines="0" w:after="20" w:afterAutospacing="0"/>
      </w:pPr>
      <w:rPr>
        <w:rFonts w:ascii="Arial Narrow" w:hAnsi="Arial Narrow"/>
        <w:b/>
        <w:sz w:val="20"/>
      </w:rPr>
      <w:tblPr/>
      <w:trPr>
        <w:tblHeader/>
      </w:trPr>
      <w:tcPr>
        <w:vAlign w:val="top"/>
      </w:tcPr>
    </w:tblStylePr>
  </w:style>
  <w:style w:type="table" w:customStyle="1" w:styleId="Style2">
    <w:name w:val="Style2"/>
    <w:basedOn w:val="TableNormal"/>
    <w:uiPriority w:val="99"/>
    <w:rsid w:val="00102435"/>
    <w:pPr>
      <w:spacing w:after="0" w:line="240" w:lineRule="auto"/>
      <w:jc w:val="center"/>
    </w:pPr>
    <w:rPr>
      <w:rFonts w:ascii="Calibri Light" w:hAnsi="Calibri Light"/>
      <w:sz w:val="20"/>
    </w:rPr>
    <w:tblPr>
      <w:tblBorders>
        <w:top w:val="single" w:sz="4" w:space="0" w:color="auto"/>
        <w:bottom w:val="single" w:sz="4" w:space="0" w:color="auto"/>
        <w:insideH w:val="single" w:sz="4" w:space="0" w:color="auto"/>
      </w:tblBorders>
    </w:tblPr>
    <w:tcPr>
      <w:vAlign w:val="center"/>
    </w:tcPr>
    <w:tblStylePr w:type="firstRow">
      <w:pPr>
        <w:wordWrap/>
        <w:spacing w:line="360" w:lineRule="auto"/>
      </w:pPr>
      <w:rPr>
        <w:rFonts w:ascii="Calibri Light" w:hAnsi="Calibri Light"/>
        <w:b/>
      </w:rPr>
    </w:tblStylePr>
    <w:tblStylePr w:type="firstCol">
      <w:pPr>
        <w:jc w:val="left"/>
      </w:pPr>
    </w:tblStylePr>
  </w:style>
  <w:style w:type="table" w:customStyle="1" w:styleId="LashStyleTable2">
    <w:name w:val="Lash Style Table2"/>
    <w:basedOn w:val="TableNormal"/>
    <w:next w:val="TableGrid"/>
    <w:uiPriority w:val="59"/>
    <w:rsid w:val="00DA32A3"/>
    <w:pPr>
      <w:spacing w:after="0" w:line="240" w:lineRule="auto"/>
    </w:pPr>
    <w:rPr>
      <w:rFonts w:ascii="Arial Narrow" w:hAnsi="Arial Narrow"/>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cPr>
      <w:vAlign w:val="center"/>
    </w:tcPr>
    <w:tblStylePr w:type="firstRow">
      <w:rPr>
        <w:rFonts w:ascii="Arial Narrow" w:hAnsi="Arial Narrow"/>
        <w:b/>
        <w:sz w:val="20"/>
      </w:rPr>
      <w:tblPr/>
      <w:trPr>
        <w:tblHeader/>
      </w:trPr>
      <w:tcPr>
        <w:vAlign w:val="top"/>
      </w:tcPr>
    </w:tblStylePr>
  </w:style>
  <w:style w:type="character" w:styleId="Mention">
    <w:name w:val="Mention"/>
    <w:basedOn w:val="DefaultParagraphFont"/>
    <w:uiPriority w:val="99"/>
    <w:unhideWhenUsed/>
    <w:rsid w:val="003B0581"/>
    <w:rPr>
      <w:color w:val="2B579A"/>
      <w:shd w:val="clear" w:color="auto" w:fill="E1DFDD"/>
    </w:rPr>
  </w:style>
  <w:style w:type="character" w:customStyle="1" w:styleId="ui-provider">
    <w:name w:val="ui-provider"/>
    <w:basedOn w:val="DefaultParagraphFont"/>
    <w:rsid w:val="00FA2531"/>
  </w:style>
  <w:style w:type="paragraph" w:customStyle="1" w:styleId="paragraph">
    <w:name w:val="paragraph"/>
    <w:basedOn w:val="Normal"/>
    <w:rsid w:val="00F16A8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16A81"/>
  </w:style>
  <w:style w:type="character" w:customStyle="1" w:styleId="eop">
    <w:name w:val="eop"/>
    <w:basedOn w:val="DefaultParagraphFont"/>
    <w:rsid w:val="00F16A81"/>
  </w:style>
  <w:style w:type="paragraph" w:styleId="NormalWeb">
    <w:name w:val="Normal (Web)"/>
    <w:basedOn w:val="Normal"/>
    <w:uiPriority w:val="99"/>
    <w:unhideWhenUsed/>
    <w:rsid w:val="009C663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Name0">
    <w:name w:val="BoxName"/>
    <w:basedOn w:val="Normal"/>
    <w:rsid w:val="0006415C"/>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06415C"/>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06415C"/>
    <w:pPr>
      <w:numPr>
        <w:numId w:val="22"/>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customStyle="1" w:styleId="BulletBeforeDash">
    <w:name w:val="BulletBeforeDash"/>
    <w:basedOn w:val="Normal"/>
    <w:rsid w:val="00016E7B"/>
    <w:pPr>
      <w:numPr>
        <w:numId w:val="23"/>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016E7B"/>
    <w:pPr>
      <w:numPr>
        <w:numId w:val="0"/>
      </w:numPr>
      <w:spacing w:before="0" w:after="240"/>
      <w:ind w:left="786" w:hanging="360"/>
    </w:pPr>
    <w:rPr>
      <w:rFonts w:ascii="Franklin Gothic Book" w:eastAsia="Times New Roman" w:hAnsi="Franklin Gothic Book" w:cs="Times New Roman"/>
      <w:color w:val="000000"/>
      <w:szCs w:val="20"/>
      <w:lang w:eastAsia="en-AU"/>
    </w:rPr>
  </w:style>
  <w:style w:type="character" w:customStyle="1" w:styleId="Mention1">
    <w:name w:val="Mention1"/>
    <w:basedOn w:val="DefaultParagraphFont"/>
    <w:uiPriority w:val="99"/>
    <w:unhideWhenUsed/>
    <w:rsid w:val="0080013D"/>
    <w:rPr>
      <w:color w:val="2B579A"/>
      <w:shd w:val="clear" w:color="auto" w:fill="E1DFDD"/>
    </w:rPr>
  </w:style>
  <w:style w:type="paragraph" w:styleId="BodyText">
    <w:name w:val="Body Text"/>
    <w:basedOn w:val="Normal"/>
    <w:link w:val="BodyTextChar"/>
    <w:rsid w:val="005E3CDE"/>
    <w:pPr>
      <w:widowControl w:val="0"/>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5E3CDE"/>
    <w:rPr>
      <w:rFonts w:ascii="Book Antiqua" w:eastAsia="Times New Roman" w:hAnsi="Book Antiqua" w:cs="Times New Roman"/>
      <w:sz w:val="24"/>
      <w:szCs w:val="20"/>
    </w:rPr>
  </w:style>
  <w:style w:type="table" w:customStyle="1" w:styleId="LashStyleTable21">
    <w:name w:val="Lash Style Table21"/>
    <w:basedOn w:val="TableNormal"/>
    <w:uiPriority w:val="59"/>
    <w:rsid w:val="00A940F0"/>
    <w:pPr>
      <w:spacing w:after="0" w:line="240" w:lineRule="auto"/>
    </w:pPr>
    <w:rPr>
      <w:rFonts w:ascii="Arial Narrow" w:hAnsi="Arial Narrow"/>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cPr>
      <w:vAlign w:val="center"/>
    </w:tcPr>
    <w:tblStylePr w:type="firstRow">
      <w:rPr>
        <w:rFonts w:ascii="Arial Narrow" w:eastAsia="Arial Narrow" w:hAnsi="Arial Narrow" w:hint="eastAsia"/>
        <w:b/>
        <w:sz w:val="20"/>
        <w:szCs w:val="20"/>
      </w:rPr>
      <w:tblPr/>
      <w:tcPr>
        <w:vAlign w:val="top"/>
      </w:tcPr>
    </w:tblStylePr>
  </w:style>
  <w:style w:type="character" w:styleId="UnresolvedMention">
    <w:name w:val="Unresolved Mention"/>
    <w:basedOn w:val="DefaultParagraphFont"/>
    <w:uiPriority w:val="99"/>
    <w:semiHidden/>
    <w:unhideWhenUsed/>
    <w:rsid w:val="00184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40793655">
      <w:bodyDiv w:val="1"/>
      <w:marLeft w:val="0"/>
      <w:marRight w:val="0"/>
      <w:marTop w:val="0"/>
      <w:marBottom w:val="0"/>
      <w:divBdr>
        <w:top w:val="none" w:sz="0" w:space="0" w:color="auto"/>
        <w:left w:val="none" w:sz="0" w:space="0" w:color="auto"/>
        <w:bottom w:val="none" w:sz="0" w:space="0" w:color="auto"/>
        <w:right w:val="none" w:sz="0" w:space="0" w:color="auto"/>
      </w:divBdr>
    </w:div>
    <w:div w:id="62919672">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49583625">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65375218">
      <w:bodyDiv w:val="1"/>
      <w:marLeft w:val="0"/>
      <w:marRight w:val="0"/>
      <w:marTop w:val="0"/>
      <w:marBottom w:val="0"/>
      <w:divBdr>
        <w:top w:val="none" w:sz="0" w:space="0" w:color="auto"/>
        <w:left w:val="none" w:sz="0" w:space="0" w:color="auto"/>
        <w:bottom w:val="none" w:sz="0" w:space="0" w:color="auto"/>
        <w:right w:val="none" w:sz="0" w:space="0" w:color="auto"/>
      </w:divBdr>
    </w:div>
    <w:div w:id="371344084">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05515749">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62695163">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35202651">
      <w:bodyDiv w:val="1"/>
      <w:marLeft w:val="0"/>
      <w:marRight w:val="0"/>
      <w:marTop w:val="0"/>
      <w:marBottom w:val="0"/>
      <w:divBdr>
        <w:top w:val="none" w:sz="0" w:space="0" w:color="auto"/>
        <w:left w:val="none" w:sz="0" w:space="0" w:color="auto"/>
        <w:bottom w:val="none" w:sz="0" w:space="0" w:color="auto"/>
        <w:right w:val="none" w:sz="0" w:space="0" w:color="auto"/>
      </w:divBdr>
      <w:divsChild>
        <w:div w:id="621301477">
          <w:marLeft w:val="0"/>
          <w:marRight w:val="0"/>
          <w:marTop w:val="0"/>
          <w:marBottom w:val="0"/>
          <w:divBdr>
            <w:top w:val="none" w:sz="0" w:space="0" w:color="auto"/>
            <w:left w:val="none" w:sz="0" w:space="0" w:color="auto"/>
            <w:bottom w:val="none" w:sz="0" w:space="0" w:color="auto"/>
            <w:right w:val="none" w:sz="0" w:space="0" w:color="auto"/>
          </w:divBdr>
          <w:divsChild>
            <w:div w:id="1371877497">
              <w:marLeft w:val="0"/>
              <w:marRight w:val="0"/>
              <w:marTop w:val="30"/>
              <w:marBottom w:val="30"/>
              <w:divBdr>
                <w:top w:val="none" w:sz="0" w:space="0" w:color="auto"/>
                <w:left w:val="none" w:sz="0" w:space="0" w:color="auto"/>
                <w:bottom w:val="none" w:sz="0" w:space="0" w:color="auto"/>
                <w:right w:val="none" w:sz="0" w:space="0" w:color="auto"/>
              </w:divBdr>
              <w:divsChild>
                <w:div w:id="139881353">
                  <w:marLeft w:val="0"/>
                  <w:marRight w:val="0"/>
                  <w:marTop w:val="0"/>
                  <w:marBottom w:val="0"/>
                  <w:divBdr>
                    <w:top w:val="none" w:sz="0" w:space="0" w:color="auto"/>
                    <w:left w:val="none" w:sz="0" w:space="0" w:color="auto"/>
                    <w:bottom w:val="none" w:sz="0" w:space="0" w:color="auto"/>
                    <w:right w:val="none" w:sz="0" w:space="0" w:color="auto"/>
                  </w:divBdr>
                  <w:divsChild>
                    <w:div w:id="703794067">
                      <w:marLeft w:val="0"/>
                      <w:marRight w:val="0"/>
                      <w:marTop w:val="0"/>
                      <w:marBottom w:val="0"/>
                      <w:divBdr>
                        <w:top w:val="none" w:sz="0" w:space="0" w:color="auto"/>
                        <w:left w:val="none" w:sz="0" w:space="0" w:color="auto"/>
                        <w:bottom w:val="none" w:sz="0" w:space="0" w:color="auto"/>
                        <w:right w:val="none" w:sz="0" w:space="0" w:color="auto"/>
                      </w:divBdr>
                    </w:div>
                  </w:divsChild>
                </w:div>
                <w:div w:id="162666673">
                  <w:marLeft w:val="0"/>
                  <w:marRight w:val="0"/>
                  <w:marTop w:val="0"/>
                  <w:marBottom w:val="0"/>
                  <w:divBdr>
                    <w:top w:val="none" w:sz="0" w:space="0" w:color="auto"/>
                    <w:left w:val="none" w:sz="0" w:space="0" w:color="auto"/>
                    <w:bottom w:val="none" w:sz="0" w:space="0" w:color="auto"/>
                    <w:right w:val="none" w:sz="0" w:space="0" w:color="auto"/>
                  </w:divBdr>
                  <w:divsChild>
                    <w:div w:id="1842354688">
                      <w:marLeft w:val="0"/>
                      <w:marRight w:val="0"/>
                      <w:marTop w:val="0"/>
                      <w:marBottom w:val="0"/>
                      <w:divBdr>
                        <w:top w:val="none" w:sz="0" w:space="0" w:color="auto"/>
                        <w:left w:val="none" w:sz="0" w:space="0" w:color="auto"/>
                        <w:bottom w:val="none" w:sz="0" w:space="0" w:color="auto"/>
                        <w:right w:val="none" w:sz="0" w:space="0" w:color="auto"/>
                      </w:divBdr>
                    </w:div>
                  </w:divsChild>
                </w:div>
                <w:div w:id="333803892">
                  <w:marLeft w:val="0"/>
                  <w:marRight w:val="0"/>
                  <w:marTop w:val="0"/>
                  <w:marBottom w:val="0"/>
                  <w:divBdr>
                    <w:top w:val="none" w:sz="0" w:space="0" w:color="auto"/>
                    <w:left w:val="none" w:sz="0" w:space="0" w:color="auto"/>
                    <w:bottom w:val="none" w:sz="0" w:space="0" w:color="auto"/>
                    <w:right w:val="none" w:sz="0" w:space="0" w:color="auto"/>
                  </w:divBdr>
                  <w:divsChild>
                    <w:div w:id="73403113">
                      <w:marLeft w:val="0"/>
                      <w:marRight w:val="0"/>
                      <w:marTop w:val="0"/>
                      <w:marBottom w:val="0"/>
                      <w:divBdr>
                        <w:top w:val="none" w:sz="0" w:space="0" w:color="auto"/>
                        <w:left w:val="none" w:sz="0" w:space="0" w:color="auto"/>
                        <w:bottom w:val="none" w:sz="0" w:space="0" w:color="auto"/>
                        <w:right w:val="none" w:sz="0" w:space="0" w:color="auto"/>
                      </w:divBdr>
                    </w:div>
                    <w:div w:id="290718581">
                      <w:marLeft w:val="0"/>
                      <w:marRight w:val="0"/>
                      <w:marTop w:val="0"/>
                      <w:marBottom w:val="0"/>
                      <w:divBdr>
                        <w:top w:val="none" w:sz="0" w:space="0" w:color="auto"/>
                        <w:left w:val="none" w:sz="0" w:space="0" w:color="auto"/>
                        <w:bottom w:val="none" w:sz="0" w:space="0" w:color="auto"/>
                        <w:right w:val="none" w:sz="0" w:space="0" w:color="auto"/>
                      </w:divBdr>
                    </w:div>
                    <w:div w:id="476916546">
                      <w:marLeft w:val="0"/>
                      <w:marRight w:val="0"/>
                      <w:marTop w:val="0"/>
                      <w:marBottom w:val="0"/>
                      <w:divBdr>
                        <w:top w:val="none" w:sz="0" w:space="0" w:color="auto"/>
                        <w:left w:val="none" w:sz="0" w:space="0" w:color="auto"/>
                        <w:bottom w:val="none" w:sz="0" w:space="0" w:color="auto"/>
                        <w:right w:val="none" w:sz="0" w:space="0" w:color="auto"/>
                      </w:divBdr>
                    </w:div>
                    <w:div w:id="509609828">
                      <w:marLeft w:val="0"/>
                      <w:marRight w:val="0"/>
                      <w:marTop w:val="0"/>
                      <w:marBottom w:val="0"/>
                      <w:divBdr>
                        <w:top w:val="none" w:sz="0" w:space="0" w:color="auto"/>
                        <w:left w:val="none" w:sz="0" w:space="0" w:color="auto"/>
                        <w:bottom w:val="none" w:sz="0" w:space="0" w:color="auto"/>
                        <w:right w:val="none" w:sz="0" w:space="0" w:color="auto"/>
                      </w:divBdr>
                    </w:div>
                    <w:div w:id="846552563">
                      <w:marLeft w:val="0"/>
                      <w:marRight w:val="0"/>
                      <w:marTop w:val="0"/>
                      <w:marBottom w:val="0"/>
                      <w:divBdr>
                        <w:top w:val="none" w:sz="0" w:space="0" w:color="auto"/>
                        <w:left w:val="none" w:sz="0" w:space="0" w:color="auto"/>
                        <w:bottom w:val="none" w:sz="0" w:space="0" w:color="auto"/>
                        <w:right w:val="none" w:sz="0" w:space="0" w:color="auto"/>
                      </w:divBdr>
                    </w:div>
                    <w:div w:id="1467619631">
                      <w:marLeft w:val="0"/>
                      <w:marRight w:val="0"/>
                      <w:marTop w:val="0"/>
                      <w:marBottom w:val="0"/>
                      <w:divBdr>
                        <w:top w:val="none" w:sz="0" w:space="0" w:color="auto"/>
                        <w:left w:val="none" w:sz="0" w:space="0" w:color="auto"/>
                        <w:bottom w:val="none" w:sz="0" w:space="0" w:color="auto"/>
                        <w:right w:val="none" w:sz="0" w:space="0" w:color="auto"/>
                      </w:divBdr>
                    </w:div>
                  </w:divsChild>
                </w:div>
                <w:div w:id="387270108">
                  <w:marLeft w:val="0"/>
                  <w:marRight w:val="0"/>
                  <w:marTop w:val="0"/>
                  <w:marBottom w:val="0"/>
                  <w:divBdr>
                    <w:top w:val="none" w:sz="0" w:space="0" w:color="auto"/>
                    <w:left w:val="none" w:sz="0" w:space="0" w:color="auto"/>
                    <w:bottom w:val="none" w:sz="0" w:space="0" w:color="auto"/>
                    <w:right w:val="none" w:sz="0" w:space="0" w:color="auto"/>
                  </w:divBdr>
                  <w:divsChild>
                    <w:div w:id="245499918">
                      <w:marLeft w:val="0"/>
                      <w:marRight w:val="0"/>
                      <w:marTop w:val="0"/>
                      <w:marBottom w:val="0"/>
                      <w:divBdr>
                        <w:top w:val="none" w:sz="0" w:space="0" w:color="auto"/>
                        <w:left w:val="none" w:sz="0" w:space="0" w:color="auto"/>
                        <w:bottom w:val="none" w:sz="0" w:space="0" w:color="auto"/>
                        <w:right w:val="none" w:sz="0" w:space="0" w:color="auto"/>
                      </w:divBdr>
                    </w:div>
                  </w:divsChild>
                </w:div>
                <w:div w:id="524172556">
                  <w:marLeft w:val="0"/>
                  <w:marRight w:val="0"/>
                  <w:marTop w:val="0"/>
                  <w:marBottom w:val="0"/>
                  <w:divBdr>
                    <w:top w:val="none" w:sz="0" w:space="0" w:color="auto"/>
                    <w:left w:val="none" w:sz="0" w:space="0" w:color="auto"/>
                    <w:bottom w:val="none" w:sz="0" w:space="0" w:color="auto"/>
                    <w:right w:val="none" w:sz="0" w:space="0" w:color="auto"/>
                  </w:divBdr>
                  <w:divsChild>
                    <w:div w:id="905068592">
                      <w:marLeft w:val="0"/>
                      <w:marRight w:val="0"/>
                      <w:marTop w:val="0"/>
                      <w:marBottom w:val="0"/>
                      <w:divBdr>
                        <w:top w:val="none" w:sz="0" w:space="0" w:color="auto"/>
                        <w:left w:val="none" w:sz="0" w:space="0" w:color="auto"/>
                        <w:bottom w:val="none" w:sz="0" w:space="0" w:color="auto"/>
                        <w:right w:val="none" w:sz="0" w:space="0" w:color="auto"/>
                      </w:divBdr>
                    </w:div>
                  </w:divsChild>
                </w:div>
                <w:div w:id="644822756">
                  <w:marLeft w:val="0"/>
                  <w:marRight w:val="0"/>
                  <w:marTop w:val="0"/>
                  <w:marBottom w:val="0"/>
                  <w:divBdr>
                    <w:top w:val="none" w:sz="0" w:space="0" w:color="auto"/>
                    <w:left w:val="none" w:sz="0" w:space="0" w:color="auto"/>
                    <w:bottom w:val="none" w:sz="0" w:space="0" w:color="auto"/>
                    <w:right w:val="none" w:sz="0" w:space="0" w:color="auto"/>
                  </w:divBdr>
                  <w:divsChild>
                    <w:div w:id="47845328">
                      <w:marLeft w:val="0"/>
                      <w:marRight w:val="0"/>
                      <w:marTop w:val="0"/>
                      <w:marBottom w:val="0"/>
                      <w:divBdr>
                        <w:top w:val="none" w:sz="0" w:space="0" w:color="auto"/>
                        <w:left w:val="none" w:sz="0" w:space="0" w:color="auto"/>
                        <w:bottom w:val="none" w:sz="0" w:space="0" w:color="auto"/>
                        <w:right w:val="none" w:sz="0" w:space="0" w:color="auto"/>
                      </w:divBdr>
                    </w:div>
                  </w:divsChild>
                </w:div>
                <w:div w:id="697269772">
                  <w:marLeft w:val="0"/>
                  <w:marRight w:val="0"/>
                  <w:marTop w:val="0"/>
                  <w:marBottom w:val="0"/>
                  <w:divBdr>
                    <w:top w:val="none" w:sz="0" w:space="0" w:color="auto"/>
                    <w:left w:val="none" w:sz="0" w:space="0" w:color="auto"/>
                    <w:bottom w:val="none" w:sz="0" w:space="0" w:color="auto"/>
                    <w:right w:val="none" w:sz="0" w:space="0" w:color="auto"/>
                  </w:divBdr>
                  <w:divsChild>
                    <w:div w:id="94374978">
                      <w:marLeft w:val="0"/>
                      <w:marRight w:val="0"/>
                      <w:marTop w:val="0"/>
                      <w:marBottom w:val="0"/>
                      <w:divBdr>
                        <w:top w:val="none" w:sz="0" w:space="0" w:color="auto"/>
                        <w:left w:val="none" w:sz="0" w:space="0" w:color="auto"/>
                        <w:bottom w:val="none" w:sz="0" w:space="0" w:color="auto"/>
                        <w:right w:val="none" w:sz="0" w:space="0" w:color="auto"/>
                      </w:divBdr>
                    </w:div>
                    <w:div w:id="1171291206">
                      <w:marLeft w:val="0"/>
                      <w:marRight w:val="0"/>
                      <w:marTop w:val="0"/>
                      <w:marBottom w:val="0"/>
                      <w:divBdr>
                        <w:top w:val="none" w:sz="0" w:space="0" w:color="auto"/>
                        <w:left w:val="none" w:sz="0" w:space="0" w:color="auto"/>
                        <w:bottom w:val="none" w:sz="0" w:space="0" w:color="auto"/>
                        <w:right w:val="none" w:sz="0" w:space="0" w:color="auto"/>
                      </w:divBdr>
                    </w:div>
                  </w:divsChild>
                </w:div>
                <w:div w:id="812214428">
                  <w:marLeft w:val="0"/>
                  <w:marRight w:val="0"/>
                  <w:marTop w:val="0"/>
                  <w:marBottom w:val="0"/>
                  <w:divBdr>
                    <w:top w:val="none" w:sz="0" w:space="0" w:color="auto"/>
                    <w:left w:val="none" w:sz="0" w:space="0" w:color="auto"/>
                    <w:bottom w:val="none" w:sz="0" w:space="0" w:color="auto"/>
                    <w:right w:val="none" w:sz="0" w:space="0" w:color="auto"/>
                  </w:divBdr>
                  <w:divsChild>
                    <w:div w:id="1185368561">
                      <w:marLeft w:val="0"/>
                      <w:marRight w:val="0"/>
                      <w:marTop w:val="0"/>
                      <w:marBottom w:val="0"/>
                      <w:divBdr>
                        <w:top w:val="none" w:sz="0" w:space="0" w:color="auto"/>
                        <w:left w:val="none" w:sz="0" w:space="0" w:color="auto"/>
                        <w:bottom w:val="none" w:sz="0" w:space="0" w:color="auto"/>
                        <w:right w:val="none" w:sz="0" w:space="0" w:color="auto"/>
                      </w:divBdr>
                    </w:div>
                  </w:divsChild>
                </w:div>
                <w:div w:id="857816006">
                  <w:marLeft w:val="0"/>
                  <w:marRight w:val="0"/>
                  <w:marTop w:val="0"/>
                  <w:marBottom w:val="0"/>
                  <w:divBdr>
                    <w:top w:val="none" w:sz="0" w:space="0" w:color="auto"/>
                    <w:left w:val="none" w:sz="0" w:space="0" w:color="auto"/>
                    <w:bottom w:val="none" w:sz="0" w:space="0" w:color="auto"/>
                    <w:right w:val="none" w:sz="0" w:space="0" w:color="auto"/>
                  </w:divBdr>
                  <w:divsChild>
                    <w:div w:id="620695121">
                      <w:marLeft w:val="0"/>
                      <w:marRight w:val="0"/>
                      <w:marTop w:val="0"/>
                      <w:marBottom w:val="0"/>
                      <w:divBdr>
                        <w:top w:val="none" w:sz="0" w:space="0" w:color="auto"/>
                        <w:left w:val="none" w:sz="0" w:space="0" w:color="auto"/>
                        <w:bottom w:val="none" w:sz="0" w:space="0" w:color="auto"/>
                        <w:right w:val="none" w:sz="0" w:space="0" w:color="auto"/>
                      </w:divBdr>
                    </w:div>
                  </w:divsChild>
                </w:div>
                <w:div w:id="895436855">
                  <w:marLeft w:val="0"/>
                  <w:marRight w:val="0"/>
                  <w:marTop w:val="0"/>
                  <w:marBottom w:val="0"/>
                  <w:divBdr>
                    <w:top w:val="none" w:sz="0" w:space="0" w:color="auto"/>
                    <w:left w:val="none" w:sz="0" w:space="0" w:color="auto"/>
                    <w:bottom w:val="none" w:sz="0" w:space="0" w:color="auto"/>
                    <w:right w:val="none" w:sz="0" w:space="0" w:color="auto"/>
                  </w:divBdr>
                  <w:divsChild>
                    <w:div w:id="1439565622">
                      <w:marLeft w:val="0"/>
                      <w:marRight w:val="0"/>
                      <w:marTop w:val="0"/>
                      <w:marBottom w:val="0"/>
                      <w:divBdr>
                        <w:top w:val="none" w:sz="0" w:space="0" w:color="auto"/>
                        <w:left w:val="none" w:sz="0" w:space="0" w:color="auto"/>
                        <w:bottom w:val="none" w:sz="0" w:space="0" w:color="auto"/>
                        <w:right w:val="none" w:sz="0" w:space="0" w:color="auto"/>
                      </w:divBdr>
                    </w:div>
                  </w:divsChild>
                </w:div>
                <w:div w:id="1239945482">
                  <w:marLeft w:val="0"/>
                  <w:marRight w:val="0"/>
                  <w:marTop w:val="0"/>
                  <w:marBottom w:val="0"/>
                  <w:divBdr>
                    <w:top w:val="none" w:sz="0" w:space="0" w:color="auto"/>
                    <w:left w:val="none" w:sz="0" w:space="0" w:color="auto"/>
                    <w:bottom w:val="none" w:sz="0" w:space="0" w:color="auto"/>
                    <w:right w:val="none" w:sz="0" w:space="0" w:color="auto"/>
                  </w:divBdr>
                  <w:divsChild>
                    <w:div w:id="1416631776">
                      <w:marLeft w:val="0"/>
                      <w:marRight w:val="0"/>
                      <w:marTop w:val="0"/>
                      <w:marBottom w:val="0"/>
                      <w:divBdr>
                        <w:top w:val="none" w:sz="0" w:space="0" w:color="auto"/>
                        <w:left w:val="none" w:sz="0" w:space="0" w:color="auto"/>
                        <w:bottom w:val="none" w:sz="0" w:space="0" w:color="auto"/>
                        <w:right w:val="none" w:sz="0" w:space="0" w:color="auto"/>
                      </w:divBdr>
                    </w:div>
                  </w:divsChild>
                </w:div>
                <w:div w:id="1255480309">
                  <w:marLeft w:val="0"/>
                  <w:marRight w:val="0"/>
                  <w:marTop w:val="0"/>
                  <w:marBottom w:val="0"/>
                  <w:divBdr>
                    <w:top w:val="none" w:sz="0" w:space="0" w:color="auto"/>
                    <w:left w:val="none" w:sz="0" w:space="0" w:color="auto"/>
                    <w:bottom w:val="none" w:sz="0" w:space="0" w:color="auto"/>
                    <w:right w:val="none" w:sz="0" w:space="0" w:color="auto"/>
                  </w:divBdr>
                  <w:divsChild>
                    <w:div w:id="1082992618">
                      <w:marLeft w:val="0"/>
                      <w:marRight w:val="0"/>
                      <w:marTop w:val="0"/>
                      <w:marBottom w:val="0"/>
                      <w:divBdr>
                        <w:top w:val="none" w:sz="0" w:space="0" w:color="auto"/>
                        <w:left w:val="none" w:sz="0" w:space="0" w:color="auto"/>
                        <w:bottom w:val="none" w:sz="0" w:space="0" w:color="auto"/>
                        <w:right w:val="none" w:sz="0" w:space="0" w:color="auto"/>
                      </w:divBdr>
                    </w:div>
                  </w:divsChild>
                </w:div>
                <w:div w:id="1504082484">
                  <w:marLeft w:val="0"/>
                  <w:marRight w:val="0"/>
                  <w:marTop w:val="0"/>
                  <w:marBottom w:val="0"/>
                  <w:divBdr>
                    <w:top w:val="none" w:sz="0" w:space="0" w:color="auto"/>
                    <w:left w:val="none" w:sz="0" w:space="0" w:color="auto"/>
                    <w:bottom w:val="none" w:sz="0" w:space="0" w:color="auto"/>
                    <w:right w:val="none" w:sz="0" w:space="0" w:color="auto"/>
                  </w:divBdr>
                  <w:divsChild>
                    <w:div w:id="1467577805">
                      <w:marLeft w:val="0"/>
                      <w:marRight w:val="0"/>
                      <w:marTop w:val="0"/>
                      <w:marBottom w:val="0"/>
                      <w:divBdr>
                        <w:top w:val="none" w:sz="0" w:space="0" w:color="auto"/>
                        <w:left w:val="none" w:sz="0" w:space="0" w:color="auto"/>
                        <w:bottom w:val="none" w:sz="0" w:space="0" w:color="auto"/>
                        <w:right w:val="none" w:sz="0" w:space="0" w:color="auto"/>
                      </w:divBdr>
                    </w:div>
                  </w:divsChild>
                </w:div>
                <w:div w:id="1513304300">
                  <w:marLeft w:val="0"/>
                  <w:marRight w:val="0"/>
                  <w:marTop w:val="0"/>
                  <w:marBottom w:val="0"/>
                  <w:divBdr>
                    <w:top w:val="none" w:sz="0" w:space="0" w:color="auto"/>
                    <w:left w:val="none" w:sz="0" w:space="0" w:color="auto"/>
                    <w:bottom w:val="none" w:sz="0" w:space="0" w:color="auto"/>
                    <w:right w:val="none" w:sz="0" w:space="0" w:color="auto"/>
                  </w:divBdr>
                  <w:divsChild>
                    <w:div w:id="1992905429">
                      <w:marLeft w:val="0"/>
                      <w:marRight w:val="0"/>
                      <w:marTop w:val="0"/>
                      <w:marBottom w:val="0"/>
                      <w:divBdr>
                        <w:top w:val="none" w:sz="0" w:space="0" w:color="auto"/>
                        <w:left w:val="none" w:sz="0" w:space="0" w:color="auto"/>
                        <w:bottom w:val="none" w:sz="0" w:space="0" w:color="auto"/>
                        <w:right w:val="none" w:sz="0" w:space="0" w:color="auto"/>
                      </w:divBdr>
                    </w:div>
                  </w:divsChild>
                </w:div>
                <w:div w:id="1604998216">
                  <w:marLeft w:val="0"/>
                  <w:marRight w:val="0"/>
                  <w:marTop w:val="0"/>
                  <w:marBottom w:val="0"/>
                  <w:divBdr>
                    <w:top w:val="none" w:sz="0" w:space="0" w:color="auto"/>
                    <w:left w:val="none" w:sz="0" w:space="0" w:color="auto"/>
                    <w:bottom w:val="none" w:sz="0" w:space="0" w:color="auto"/>
                    <w:right w:val="none" w:sz="0" w:space="0" w:color="auto"/>
                  </w:divBdr>
                  <w:divsChild>
                    <w:div w:id="1080757485">
                      <w:marLeft w:val="0"/>
                      <w:marRight w:val="0"/>
                      <w:marTop w:val="0"/>
                      <w:marBottom w:val="0"/>
                      <w:divBdr>
                        <w:top w:val="none" w:sz="0" w:space="0" w:color="auto"/>
                        <w:left w:val="none" w:sz="0" w:space="0" w:color="auto"/>
                        <w:bottom w:val="none" w:sz="0" w:space="0" w:color="auto"/>
                        <w:right w:val="none" w:sz="0" w:space="0" w:color="auto"/>
                      </w:divBdr>
                    </w:div>
                  </w:divsChild>
                </w:div>
                <w:div w:id="1653867221">
                  <w:marLeft w:val="0"/>
                  <w:marRight w:val="0"/>
                  <w:marTop w:val="0"/>
                  <w:marBottom w:val="0"/>
                  <w:divBdr>
                    <w:top w:val="none" w:sz="0" w:space="0" w:color="auto"/>
                    <w:left w:val="none" w:sz="0" w:space="0" w:color="auto"/>
                    <w:bottom w:val="none" w:sz="0" w:space="0" w:color="auto"/>
                    <w:right w:val="none" w:sz="0" w:space="0" w:color="auto"/>
                  </w:divBdr>
                  <w:divsChild>
                    <w:div w:id="621545732">
                      <w:marLeft w:val="0"/>
                      <w:marRight w:val="0"/>
                      <w:marTop w:val="0"/>
                      <w:marBottom w:val="0"/>
                      <w:divBdr>
                        <w:top w:val="none" w:sz="0" w:space="0" w:color="auto"/>
                        <w:left w:val="none" w:sz="0" w:space="0" w:color="auto"/>
                        <w:bottom w:val="none" w:sz="0" w:space="0" w:color="auto"/>
                        <w:right w:val="none" w:sz="0" w:space="0" w:color="auto"/>
                      </w:divBdr>
                    </w:div>
                  </w:divsChild>
                </w:div>
                <w:div w:id="1805270890">
                  <w:marLeft w:val="0"/>
                  <w:marRight w:val="0"/>
                  <w:marTop w:val="0"/>
                  <w:marBottom w:val="0"/>
                  <w:divBdr>
                    <w:top w:val="none" w:sz="0" w:space="0" w:color="auto"/>
                    <w:left w:val="none" w:sz="0" w:space="0" w:color="auto"/>
                    <w:bottom w:val="none" w:sz="0" w:space="0" w:color="auto"/>
                    <w:right w:val="none" w:sz="0" w:space="0" w:color="auto"/>
                  </w:divBdr>
                  <w:divsChild>
                    <w:div w:id="1519200892">
                      <w:marLeft w:val="0"/>
                      <w:marRight w:val="0"/>
                      <w:marTop w:val="0"/>
                      <w:marBottom w:val="0"/>
                      <w:divBdr>
                        <w:top w:val="none" w:sz="0" w:space="0" w:color="auto"/>
                        <w:left w:val="none" w:sz="0" w:space="0" w:color="auto"/>
                        <w:bottom w:val="none" w:sz="0" w:space="0" w:color="auto"/>
                        <w:right w:val="none" w:sz="0" w:space="0" w:color="auto"/>
                      </w:divBdr>
                    </w:div>
                  </w:divsChild>
                </w:div>
                <w:div w:id="1808161894">
                  <w:marLeft w:val="0"/>
                  <w:marRight w:val="0"/>
                  <w:marTop w:val="0"/>
                  <w:marBottom w:val="0"/>
                  <w:divBdr>
                    <w:top w:val="none" w:sz="0" w:space="0" w:color="auto"/>
                    <w:left w:val="none" w:sz="0" w:space="0" w:color="auto"/>
                    <w:bottom w:val="none" w:sz="0" w:space="0" w:color="auto"/>
                    <w:right w:val="none" w:sz="0" w:space="0" w:color="auto"/>
                  </w:divBdr>
                  <w:divsChild>
                    <w:div w:id="98678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8151">
          <w:marLeft w:val="0"/>
          <w:marRight w:val="0"/>
          <w:marTop w:val="0"/>
          <w:marBottom w:val="0"/>
          <w:divBdr>
            <w:top w:val="none" w:sz="0" w:space="0" w:color="auto"/>
            <w:left w:val="none" w:sz="0" w:space="0" w:color="auto"/>
            <w:bottom w:val="none" w:sz="0" w:space="0" w:color="auto"/>
            <w:right w:val="none" w:sz="0" w:space="0" w:color="auto"/>
          </w:divBdr>
        </w:div>
      </w:divsChild>
    </w:div>
    <w:div w:id="1438984073">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92800279">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794052157">
      <w:bodyDiv w:val="1"/>
      <w:marLeft w:val="0"/>
      <w:marRight w:val="0"/>
      <w:marTop w:val="0"/>
      <w:marBottom w:val="0"/>
      <w:divBdr>
        <w:top w:val="none" w:sz="0" w:space="0" w:color="auto"/>
        <w:left w:val="none" w:sz="0" w:space="0" w:color="auto"/>
        <w:bottom w:val="none" w:sz="0" w:space="0" w:color="auto"/>
        <w:right w:val="none" w:sz="0" w:space="0" w:color="auto"/>
      </w:divBdr>
      <w:divsChild>
        <w:div w:id="117603508">
          <w:marLeft w:val="0"/>
          <w:marRight w:val="0"/>
          <w:marTop w:val="0"/>
          <w:marBottom w:val="0"/>
          <w:divBdr>
            <w:top w:val="none" w:sz="0" w:space="0" w:color="auto"/>
            <w:left w:val="none" w:sz="0" w:space="0" w:color="auto"/>
            <w:bottom w:val="none" w:sz="0" w:space="0" w:color="auto"/>
            <w:right w:val="none" w:sz="0" w:space="0" w:color="auto"/>
          </w:divBdr>
        </w:div>
        <w:div w:id="487407823">
          <w:marLeft w:val="0"/>
          <w:marRight w:val="0"/>
          <w:marTop w:val="0"/>
          <w:marBottom w:val="0"/>
          <w:divBdr>
            <w:top w:val="none" w:sz="0" w:space="0" w:color="auto"/>
            <w:left w:val="none" w:sz="0" w:space="0" w:color="auto"/>
            <w:bottom w:val="none" w:sz="0" w:space="0" w:color="auto"/>
            <w:right w:val="none" w:sz="0" w:space="0" w:color="auto"/>
          </w:divBdr>
        </w:div>
        <w:div w:id="989597411">
          <w:marLeft w:val="0"/>
          <w:marRight w:val="0"/>
          <w:marTop w:val="0"/>
          <w:marBottom w:val="0"/>
          <w:divBdr>
            <w:top w:val="none" w:sz="0" w:space="0" w:color="auto"/>
            <w:left w:val="none" w:sz="0" w:space="0" w:color="auto"/>
            <w:bottom w:val="none" w:sz="0" w:space="0" w:color="auto"/>
            <w:right w:val="none" w:sz="0" w:space="0" w:color="auto"/>
          </w:divBdr>
        </w:div>
        <w:div w:id="1082529939">
          <w:marLeft w:val="0"/>
          <w:marRight w:val="0"/>
          <w:marTop w:val="0"/>
          <w:marBottom w:val="0"/>
          <w:divBdr>
            <w:top w:val="none" w:sz="0" w:space="0" w:color="auto"/>
            <w:left w:val="none" w:sz="0" w:space="0" w:color="auto"/>
            <w:bottom w:val="none" w:sz="0" w:space="0" w:color="auto"/>
            <w:right w:val="none" w:sz="0" w:space="0" w:color="auto"/>
          </w:divBdr>
        </w:div>
        <w:div w:id="1331447463">
          <w:marLeft w:val="0"/>
          <w:marRight w:val="0"/>
          <w:marTop w:val="0"/>
          <w:marBottom w:val="0"/>
          <w:divBdr>
            <w:top w:val="none" w:sz="0" w:space="0" w:color="auto"/>
            <w:left w:val="none" w:sz="0" w:space="0" w:color="auto"/>
            <w:bottom w:val="none" w:sz="0" w:space="0" w:color="auto"/>
            <w:right w:val="none" w:sz="0" w:space="0" w:color="auto"/>
          </w:divBdr>
        </w:div>
        <w:div w:id="1527211372">
          <w:marLeft w:val="0"/>
          <w:marRight w:val="0"/>
          <w:marTop w:val="0"/>
          <w:marBottom w:val="0"/>
          <w:divBdr>
            <w:top w:val="none" w:sz="0" w:space="0" w:color="auto"/>
            <w:left w:val="none" w:sz="0" w:space="0" w:color="auto"/>
            <w:bottom w:val="none" w:sz="0" w:space="0" w:color="auto"/>
            <w:right w:val="none" w:sz="0" w:space="0" w:color="auto"/>
          </w:divBdr>
        </w:div>
        <w:div w:id="1618179793">
          <w:marLeft w:val="0"/>
          <w:marRight w:val="0"/>
          <w:marTop w:val="0"/>
          <w:marBottom w:val="0"/>
          <w:divBdr>
            <w:top w:val="none" w:sz="0" w:space="0" w:color="auto"/>
            <w:left w:val="none" w:sz="0" w:space="0" w:color="auto"/>
            <w:bottom w:val="none" w:sz="0" w:space="0" w:color="auto"/>
            <w:right w:val="none" w:sz="0" w:space="0" w:color="auto"/>
          </w:divBdr>
        </w:div>
        <w:div w:id="2132435795">
          <w:marLeft w:val="0"/>
          <w:marRight w:val="0"/>
          <w:marTop w:val="0"/>
          <w:marBottom w:val="0"/>
          <w:divBdr>
            <w:top w:val="none" w:sz="0" w:space="0" w:color="auto"/>
            <w:left w:val="none" w:sz="0" w:space="0" w:color="auto"/>
            <w:bottom w:val="none" w:sz="0" w:space="0" w:color="auto"/>
            <w:right w:val="none" w:sz="0" w:space="0" w:color="auto"/>
          </w:divBdr>
        </w:div>
      </w:divsChild>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sac.gov.au/internet/msac/publishing.nsf/Content/1726C51532634195CA25885500205ECF/$File/1662.1%20Final%20PSD-Nov2022_redacted.pdf"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msac.gov.au/internet/msac/publishing.nsf/Content/858BDE0D9325F183CA25867A00008E9B/$File/1662%20-%20Final%20PSD_redacted_Nov2021.pdf" TargetMode="External"/><Relationship Id="rId17" Type="http://schemas.openxmlformats.org/officeDocument/2006/relationships/image" Target="media/image3.png"/><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29" Type="http://schemas.openxmlformats.org/officeDocument/2006/relationships/hyperlink" Target="http://www.msac.gov.au/internet/msac/publishing.nsf/Content/1662-publ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726C51532634195CA25885500205ECF/$File/1662.1%20Final%20PSD-Nov2022_redacted.pdf" TargetMode="Externa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3.xml"/><Relationship Id="rId28" Type="http://schemas.openxmlformats.org/officeDocument/2006/relationships/image" Target="media/image6.png"/><Relationship Id="rId36" Type="http://schemas.openxmlformats.org/officeDocument/2006/relationships/customXml" Target="../customXml/item4.xml"/><Relationship Id="rId10" Type="http://schemas.openxmlformats.org/officeDocument/2006/relationships/hyperlink" Target="http://www.msac.gov.au/internet/msac/publishing.nsf/Content/858BDE0D9325F183CA25867A00008E9B/$File/1662%20-%20Final%20PSD_redacted_Nov2021.pdf" TargetMode="External"/><Relationship Id="rId19" Type="http://schemas.openxmlformats.org/officeDocument/2006/relationships/header" Target="header2.xml"/><Relationship Id="rId31" Type="http://schemas.openxmlformats.org/officeDocument/2006/relationships/hyperlink" Target="http://msac.gov.au/internet/msac/publishing.nsf/Content/Home-1" TargetMode="External"/><Relationship Id="rId4" Type="http://schemas.openxmlformats.org/officeDocument/2006/relationships/settings" Target="settings.xml"/><Relationship Id="rId9" Type="http://schemas.openxmlformats.org/officeDocument/2006/relationships/hyperlink" Target="http://www.msac.gov.au/internet/msac/publishing.nsf/Content/0AB23F265C0E67ADCA2583C8007C7B8E/$File/1192.3%20Final%20PSD_updated%20Sept2020_redacted.pdf" TargetMode="External"/><Relationship Id="rId14" Type="http://schemas.openxmlformats.org/officeDocument/2006/relationships/hyperlink" Target="http://www.msac.gov.au/internet/msac/publishing.nsf/Content/0AB23F265C0E67ADCA2583C8007C7B8E/$File/1192.3%20Final%20PSD_updated%20Sept2020_redacted.pdf" TargetMode="External"/><Relationship Id="rId22" Type="http://schemas.openxmlformats.org/officeDocument/2006/relationships/header" Target="header3.xml"/><Relationship Id="rId27" Type="http://schemas.openxmlformats.org/officeDocument/2006/relationships/image" Target="media/image5.png"/><Relationship Id="rId30" Type="http://schemas.openxmlformats.org/officeDocument/2006/relationships/hyperlink" Target="http://www.msac.gov.au/internet/msac/publishing.nsf/Content/1662.1-public" TargetMode="External"/><Relationship Id="rId35" Type="http://schemas.openxmlformats.org/officeDocument/2006/relationships/customXml" Target="../customXml/item3.xml"/><Relationship Id="rId8"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4A37BE997BE34FBB7D5057D341D123" ma:contentTypeVersion="12" ma:contentTypeDescription="Create a new document." ma:contentTypeScope="" ma:versionID="933b000f9d569faa8fdc669583079b5c">
  <xsd:schema xmlns:xsd="http://www.w3.org/2001/XMLSchema" xmlns:xs="http://www.w3.org/2001/XMLSchema" xmlns:p="http://schemas.microsoft.com/office/2006/metadata/properties" xmlns:ns2="7513b557-581c-46d3-8cc7-77c65017dc6f" xmlns:ns3="e7d54a9e-4aca-451b-99db-b94fe438e987" targetNamespace="http://schemas.microsoft.com/office/2006/metadata/properties" ma:root="true" ma:fieldsID="f227d2bbbbbbd82e7d606a90928f29c4" ns2:_="" ns3:_="">
    <xsd:import namespace="7513b557-581c-46d3-8cc7-77c65017dc6f"/>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b557-581c-46d3-8cc7-77c65017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13b557-581c-46d3-8cc7-77c65017dc6f">
      <Terms xmlns="http://schemas.microsoft.com/office/infopath/2007/PartnerControls"/>
    </lcf76f155ced4ddcb4097134ff3c332f>
    <TaxCatchAll xmlns="e7d54a9e-4aca-451b-99db-b94fe438e987" xsi:nil="true"/>
  </documentManagement>
</p:properties>
</file>

<file path=customXml/itemProps1.xml><?xml version="1.0" encoding="utf-8"?>
<ds:datastoreItem xmlns:ds="http://schemas.openxmlformats.org/officeDocument/2006/customXml" ds:itemID="{8C2E7703-A24C-4C87-98C7-16C364BB0774}">
  <ds:schemaRefs>
    <ds:schemaRef ds:uri="http://schemas.openxmlformats.org/officeDocument/2006/bibliography"/>
  </ds:schemaRefs>
</ds:datastoreItem>
</file>

<file path=customXml/itemProps2.xml><?xml version="1.0" encoding="utf-8"?>
<ds:datastoreItem xmlns:ds="http://schemas.openxmlformats.org/officeDocument/2006/customXml" ds:itemID="{CDECE12B-3DC7-4673-A2A7-C83A9BB8FFE4}"/>
</file>

<file path=customXml/itemProps3.xml><?xml version="1.0" encoding="utf-8"?>
<ds:datastoreItem xmlns:ds="http://schemas.openxmlformats.org/officeDocument/2006/customXml" ds:itemID="{7AE9D6EF-1DCB-4F64-B143-C3848430A286}"/>
</file>

<file path=customXml/itemProps4.xml><?xml version="1.0" encoding="utf-8"?>
<ds:datastoreItem xmlns:ds="http://schemas.openxmlformats.org/officeDocument/2006/customXml" ds:itemID="{F18E7F62-E6E3-46D7-B283-AB9AB2B5E5F7}"/>
</file>

<file path=docProps/app.xml><?xml version="1.0" encoding="utf-8"?>
<Properties xmlns="http://schemas.openxmlformats.org/officeDocument/2006/extended-properties" xmlns:vt="http://schemas.openxmlformats.org/officeDocument/2006/docPropsVTypes">
  <Template>Normal.dotm</Template>
  <TotalTime>0</TotalTime>
  <Pages>29</Pages>
  <Words>11469</Words>
  <Characters>62162</Characters>
  <Application>Microsoft Office Word</Application>
  <DocSecurity>0</DocSecurity>
  <Lines>1268</Lines>
  <Paragraphs>707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72924</CharactersWithSpaces>
  <SharedDoc>false</SharedDoc>
  <HyperlinkBase/>
  <HLinks>
    <vt:vector size="60" baseType="variant">
      <vt:variant>
        <vt:i4>6684716</vt:i4>
      </vt:variant>
      <vt:variant>
        <vt:i4>147</vt:i4>
      </vt:variant>
      <vt:variant>
        <vt:i4>0</vt:i4>
      </vt:variant>
      <vt:variant>
        <vt:i4>5</vt:i4>
      </vt:variant>
      <vt:variant>
        <vt:lpwstr>http://msac.gov.au/internet/msac/publishing.nsf/Content/Home-1</vt:lpwstr>
      </vt:variant>
      <vt:variant>
        <vt:lpwstr/>
      </vt:variant>
      <vt:variant>
        <vt:i4>1245248</vt:i4>
      </vt:variant>
      <vt:variant>
        <vt:i4>144</vt:i4>
      </vt:variant>
      <vt:variant>
        <vt:i4>0</vt:i4>
      </vt:variant>
      <vt:variant>
        <vt:i4>5</vt:i4>
      </vt:variant>
      <vt:variant>
        <vt:lpwstr>http://www.msac.gov.au/internet/msac/publishing.nsf/Content/1662.1-public</vt:lpwstr>
      </vt:variant>
      <vt:variant>
        <vt:lpwstr/>
      </vt:variant>
      <vt:variant>
        <vt:i4>2228334</vt:i4>
      </vt:variant>
      <vt:variant>
        <vt:i4>141</vt:i4>
      </vt:variant>
      <vt:variant>
        <vt:i4>0</vt:i4>
      </vt:variant>
      <vt:variant>
        <vt:i4>5</vt:i4>
      </vt:variant>
      <vt:variant>
        <vt:lpwstr>http://www.msac.gov.au/internet/msac/publishing.nsf/Content/1662-public</vt:lpwstr>
      </vt:variant>
      <vt:variant>
        <vt:lpwstr/>
      </vt:variant>
      <vt:variant>
        <vt:i4>3473453</vt:i4>
      </vt:variant>
      <vt:variant>
        <vt:i4>18</vt:i4>
      </vt:variant>
      <vt:variant>
        <vt:i4>0</vt:i4>
      </vt:variant>
      <vt:variant>
        <vt:i4>5</vt:i4>
      </vt:variant>
      <vt:variant>
        <vt:lpwstr>http://www.msac.gov.au/internet/msac/publishing.nsf/Content/0AB23F265C0E67ADCA2583C8007C7B8E/$File/1192.3 Final PSD_updated Sept2020_redacted.pdf</vt:lpwstr>
      </vt:variant>
      <vt:variant>
        <vt:lpwstr/>
      </vt:variant>
      <vt:variant>
        <vt:i4>6684675</vt:i4>
      </vt:variant>
      <vt:variant>
        <vt:i4>15</vt:i4>
      </vt:variant>
      <vt:variant>
        <vt:i4>0</vt:i4>
      </vt:variant>
      <vt:variant>
        <vt:i4>5</vt:i4>
      </vt:variant>
      <vt:variant>
        <vt:lpwstr>http://www.msac.gov.au/internet/msac/publishing.nsf/Content/1726C51532634195CA25885500205ECF/$File/1662.1 Final PSD-Nov2022_redacted.pdf</vt:lpwstr>
      </vt:variant>
      <vt:variant>
        <vt:lpwstr/>
      </vt:variant>
      <vt:variant>
        <vt:i4>3866682</vt:i4>
      </vt:variant>
      <vt:variant>
        <vt:i4>12</vt:i4>
      </vt:variant>
      <vt:variant>
        <vt:i4>0</vt:i4>
      </vt:variant>
      <vt:variant>
        <vt:i4>5</vt:i4>
      </vt:variant>
      <vt:variant>
        <vt:lpwstr>http://www.msac.gov.au/internet/msac/publishing.nsf/Content/858BDE0D9325F183CA25867A00008E9B/$File/1662 - Final PSD_redacted_Nov2021.pdf</vt:lpwstr>
      </vt:variant>
      <vt:variant>
        <vt:lpwstr/>
      </vt:variant>
      <vt:variant>
        <vt:i4>6684675</vt:i4>
      </vt:variant>
      <vt:variant>
        <vt:i4>9</vt:i4>
      </vt:variant>
      <vt:variant>
        <vt:i4>0</vt:i4>
      </vt:variant>
      <vt:variant>
        <vt:i4>5</vt:i4>
      </vt:variant>
      <vt:variant>
        <vt:lpwstr>http://www.msac.gov.au/internet/msac/publishing.nsf/Content/1726C51532634195CA25885500205ECF/$File/1662.1 Final PSD-Nov2022_redacted.pdf</vt:lpwstr>
      </vt:variant>
      <vt:variant>
        <vt:lpwstr/>
      </vt:variant>
      <vt:variant>
        <vt:i4>3866682</vt:i4>
      </vt:variant>
      <vt:variant>
        <vt:i4>6</vt:i4>
      </vt:variant>
      <vt:variant>
        <vt:i4>0</vt:i4>
      </vt:variant>
      <vt:variant>
        <vt:i4>5</vt:i4>
      </vt:variant>
      <vt:variant>
        <vt:lpwstr>http://www.msac.gov.au/internet/msac/publishing.nsf/Content/858BDE0D9325F183CA25867A00008E9B/$File/1662 - Final PSD_redacted_Nov2021.pdf</vt:lpwstr>
      </vt:variant>
      <vt:variant>
        <vt:lpwstr/>
      </vt:variant>
      <vt:variant>
        <vt:i4>3473453</vt:i4>
      </vt:variant>
      <vt:variant>
        <vt:i4>3</vt:i4>
      </vt:variant>
      <vt:variant>
        <vt:i4>0</vt:i4>
      </vt:variant>
      <vt:variant>
        <vt:i4>5</vt:i4>
      </vt:variant>
      <vt:variant>
        <vt:lpwstr>http://www.msac.gov.au/internet/msac/publishing.nsf/Content/0AB23F265C0E67ADCA2583C8007C7B8E/$File/1192.3 Final PSD_updated Sept2020_redacted.pdf</vt:lpwstr>
      </vt:variant>
      <vt:variant>
        <vt:lpwstr/>
      </vt:variant>
      <vt:variant>
        <vt:i4>3997744</vt:i4>
      </vt:variant>
      <vt:variant>
        <vt:i4>0</vt:i4>
      </vt:variant>
      <vt:variant>
        <vt:i4>0</vt:i4>
      </vt:variant>
      <vt:variant>
        <vt:i4>5</vt:i4>
      </vt:variant>
      <vt:variant>
        <vt:lpwstr>http://www.msac.gov.au/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2024-06-17T05:23:00Z</dcterms:created>
  <dcterms:modified xsi:type="dcterms:W3CDTF">2024-06-17T05:23:00Z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0x0101005E4A37BE997BE34FBB7D5057D341D123</vt:lpwstr>
  </property>
</Properties>
</file>