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8E48" w14:textId="478D1FC7" w:rsidR="00EA0AA0" w:rsidRPr="00EA0AA0" w:rsidRDefault="00EA0AA0" w:rsidP="00FF1ECB">
      <w:pPr>
        <w:spacing w:before="2080" w:after="0"/>
        <w:jc w:val="center"/>
        <w:rPr>
          <w:rFonts w:ascii="Arial" w:hAnsi="Arial" w:cs="Arial"/>
          <w:b/>
          <w:bCs/>
          <w:sz w:val="52"/>
          <w:szCs w:val="52"/>
        </w:rPr>
      </w:pPr>
      <w:r w:rsidRPr="00EA0AA0">
        <w:rPr>
          <w:rFonts w:ascii="Arial" w:hAnsi="Arial" w:cs="Arial"/>
          <w:b/>
          <w:bCs/>
          <w:sz w:val="52"/>
          <w:szCs w:val="52"/>
        </w:rPr>
        <w:t>MSAC Application</w:t>
      </w:r>
      <w:r w:rsidR="00896761">
        <w:rPr>
          <w:rFonts w:ascii="Arial" w:hAnsi="Arial" w:cs="Arial"/>
          <w:b/>
          <w:bCs/>
          <w:sz w:val="52"/>
          <w:szCs w:val="52"/>
        </w:rPr>
        <w:t xml:space="preserve"> 1783</w:t>
      </w:r>
    </w:p>
    <w:p w14:paraId="3DFDD33B" w14:textId="11B1A1F0" w:rsidR="00950147" w:rsidRDefault="00950147" w:rsidP="00C03A2A">
      <w:pPr>
        <w:spacing w:before="840" w:line="259" w:lineRule="auto"/>
        <w:jc w:val="center"/>
        <w:rPr>
          <w:rFonts w:ascii="Arial" w:hAnsi="Arial" w:cs="Arial"/>
          <w:b/>
          <w:bCs/>
          <w:color w:val="0070C0"/>
          <w:sz w:val="52"/>
          <w:szCs w:val="52"/>
        </w:rPr>
      </w:pPr>
      <w:r w:rsidRPr="00950147">
        <w:rPr>
          <w:rFonts w:ascii="Arial" w:hAnsi="Arial" w:cs="Arial"/>
          <w:b/>
          <w:bCs/>
          <w:color w:val="0070C0"/>
          <w:sz w:val="52"/>
          <w:szCs w:val="52"/>
        </w:rPr>
        <w:t xml:space="preserve">Genetic testing to detect PIK3CA mutations in patients with hormone receptor (HR)-positive, HER-2 negative, locally advanced or metastatic breast cancer, to determine eligibility for </w:t>
      </w:r>
      <w:r w:rsidR="001F5E64">
        <w:rPr>
          <w:rFonts w:ascii="Arial" w:hAnsi="Arial" w:cs="Arial"/>
          <w:b/>
          <w:bCs/>
          <w:color w:val="0070C0"/>
          <w:sz w:val="52"/>
          <w:szCs w:val="52"/>
        </w:rPr>
        <w:t xml:space="preserve">treatment with </w:t>
      </w:r>
      <w:r w:rsidRPr="00950147">
        <w:rPr>
          <w:rFonts w:ascii="Arial" w:hAnsi="Arial" w:cs="Arial"/>
          <w:b/>
          <w:bCs/>
          <w:color w:val="0070C0"/>
          <w:sz w:val="52"/>
          <w:szCs w:val="52"/>
        </w:rPr>
        <w:t xml:space="preserve">PBS subsidised </w:t>
      </w:r>
      <w:proofErr w:type="spellStart"/>
      <w:r w:rsidRPr="00950147">
        <w:rPr>
          <w:rFonts w:ascii="Arial" w:hAnsi="Arial" w:cs="Arial"/>
          <w:b/>
          <w:bCs/>
          <w:color w:val="0070C0"/>
          <w:sz w:val="52"/>
          <w:szCs w:val="52"/>
        </w:rPr>
        <w:t>inavolisib</w:t>
      </w:r>
      <w:proofErr w:type="spellEnd"/>
    </w:p>
    <w:p w14:paraId="6D8135D6" w14:textId="79F4C386" w:rsidR="00FF1ECB" w:rsidRDefault="00EA0AA0" w:rsidP="00C03A2A">
      <w:pPr>
        <w:spacing w:before="840" w:line="259" w:lineRule="auto"/>
        <w:jc w:val="center"/>
      </w:pPr>
      <w:r w:rsidRPr="00EA0AA0">
        <w:rPr>
          <w:rFonts w:ascii="Arial" w:hAnsi="Arial" w:cs="Arial"/>
          <w:b/>
          <w:bCs/>
          <w:sz w:val="52"/>
          <w:szCs w:val="52"/>
        </w:rPr>
        <w:t>PICO Set</w:t>
      </w:r>
      <w:r w:rsidR="00FF1ECB">
        <w:rPr>
          <w:rFonts w:ascii="Arial" w:hAnsi="Arial" w:cs="Arial"/>
          <w:b/>
          <w:bCs/>
          <w:sz w:val="52"/>
          <w:szCs w:val="52"/>
        </w:rPr>
        <w:t xml:space="preserve"> </w:t>
      </w:r>
      <w:r w:rsidR="00C03A2A">
        <w:rPr>
          <w:rFonts w:ascii="Arial" w:hAnsi="Arial" w:cs="Arial"/>
          <w:b/>
          <w:bCs/>
          <w:sz w:val="52"/>
          <w:szCs w:val="52"/>
        </w:rPr>
        <w:t>Document</w:t>
      </w:r>
    </w:p>
    <w:p w14:paraId="36D3A1E8" w14:textId="77777777" w:rsidR="009139B7" w:rsidRDefault="009139B7">
      <w:pPr>
        <w:spacing w:after="160" w:line="259" w:lineRule="auto"/>
        <w:rPr>
          <w:b/>
          <w:bCs/>
          <w:color w:val="0070C0"/>
          <w:sz w:val="32"/>
          <w:szCs w:val="32"/>
        </w:rPr>
      </w:pPr>
      <w:r>
        <w:br w:type="page"/>
      </w:r>
    </w:p>
    <w:p w14:paraId="5BEAFFDE" w14:textId="63EDDA11" w:rsidR="00051843" w:rsidRPr="00EA0AA0" w:rsidRDefault="00051843" w:rsidP="00EA0AA0">
      <w:pPr>
        <w:pStyle w:val="Heading1"/>
      </w:pPr>
      <w:r w:rsidRPr="00EA0AA0">
        <w:lastRenderedPageBreak/>
        <w:t>Population</w:t>
      </w:r>
    </w:p>
    <w:p w14:paraId="403BD183" w14:textId="738A72BE" w:rsidR="00051843" w:rsidRPr="00BC0C43" w:rsidRDefault="00051843" w:rsidP="00BC0C43">
      <w:pPr>
        <w:pStyle w:val="Heading2"/>
      </w:pPr>
      <w:r w:rsidRPr="00BC0C43">
        <w:t>Describe the population in which the proposed health technology is intended to be used:</w:t>
      </w:r>
    </w:p>
    <w:p w14:paraId="4D033191" w14:textId="74AEB24B" w:rsidR="00051843" w:rsidRDefault="00023845" w:rsidP="00BC0C43">
      <w:r>
        <w:t xml:space="preserve">Adults </w:t>
      </w:r>
      <w:r w:rsidR="00180DEB">
        <w:t xml:space="preserve">(≥18 years of age) </w:t>
      </w:r>
      <w:r>
        <w:t>with</w:t>
      </w:r>
      <w:r w:rsidR="00180DEB">
        <w:t xml:space="preserve"> </w:t>
      </w:r>
      <w:r w:rsidR="006C3336">
        <w:t>hormone receptor</w:t>
      </w:r>
      <w:r w:rsidR="00D4124C">
        <w:t>-positive</w:t>
      </w:r>
      <w:r w:rsidR="0059147A">
        <w:t xml:space="preserve"> (HR+)</w:t>
      </w:r>
      <w:r w:rsidR="00D4124C">
        <w:t>, HER2-negative</w:t>
      </w:r>
      <w:r w:rsidR="0059147A">
        <w:t xml:space="preserve"> (HER2-)</w:t>
      </w:r>
      <w:r w:rsidR="00D4124C">
        <w:t xml:space="preserve"> locally advanced or metastatic breast cancer.</w:t>
      </w:r>
    </w:p>
    <w:p w14:paraId="7B7089F3" w14:textId="5C993C84" w:rsidR="00051843" w:rsidRPr="00BC0C43" w:rsidRDefault="00051843" w:rsidP="00BC0C43">
      <w:pPr>
        <w:pStyle w:val="Heading2"/>
      </w:pPr>
      <w:r>
        <w:t>Specify any characteristics of patients with</w:t>
      </w:r>
      <w:r w:rsidR="00197915">
        <w:t>, or suspected of having,</w:t>
      </w:r>
      <w:r>
        <w:t xml:space="preserve"> the medical condition, who are proposed to be eligible for the proposed health technology, describing how a patient would be investigated, managed and referred within the Australian healthcare system in the lead up to being considered eligible for the technology:</w:t>
      </w:r>
    </w:p>
    <w:p w14:paraId="52839E66" w14:textId="142E85AF" w:rsidR="00D55769" w:rsidRDefault="00314DE1" w:rsidP="00BC0C43">
      <w:r>
        <w:t xml:space="preserve">Prior to being considered </w:t>
      </w:r>
      <w:r w:rsidR="00E45D47">
        <w:t>for</w:t>
      </w:r>
      <w:r>
        <w:t xml:space="preserve"> PIK3CA testing</w:t>
      </w:r>
      <w:r w:rsidR="00EA11D6">
        <w:t>,</w:t>
      </w:r>
      <w:r w:rsidR="00130593">
        <w:t xml:space="preserve"> patients</w:t>
      </w:r>
      <w:r w:rsidR="00E67F8A">
        <w:t xml:space="preserve"> would </w:t>
      </w:r>
      <w:r w:rsidR="00F30500">
        <w:t>receive</w:t>
      </w:r>
      <w:r w:rsidR="00E67F8A">
        <w:t xml:space="preserve"> clinical consultations</w:t>
      </w:r>
      <w:r w:rsidR="00F30500">
        <w:t xml:space="preserve"> </w:t>
      </w:r>
      <w:r w:rsidR="00BA56B8">
        <w:t xml:space="preserve">and </w:t>
      </w:r>
      <w:r w:rsidR="00F30500">
        <w:t>un</w:t>
      </w:r>
      <w:r w:rsidR="00130593">
        <w:t>dergo</w:t>
      </w:r>
      <w:r w:rsidR="00BA56B8">
        <w:t xml:space="preserve"> </w:t>
      </w:r>
      <w:r w:rsidR="001D30A5">
        <w:t>physical examination</w:t>
      </w:r>
      <w:r w:rsidR="00BA56B8">
        <w:t>s</w:t>
      </w:r>
      <w:r w:rsidR="001D30A5">
        <w:t xml:space="preserve"> and </w:t>
      </w:r>
      <w:r w:rsidR="00130593">
        <w:t xml:space="preserve">collection of </w:t>
      </w:r>
      <w:r w:rsidR="001D30A5">
        <w:t>clinical history</w:t>
      </w:r>
      <w:r w:rsidR="00525824">
        <w:t xml:space="preserve">. </w:t>
      </w:r>
      <w:r w:rsidR="003F5C74">
        <w:t>W</w:t>
      </w:r>
      <w:r w:rsidR="00525824">
        <w:t xml:space="preserve">here breast cancer is suspected </w:t>
      </w:r>
      <w:r w:rsidR="00ED10DE">
        <w:t xml:space="preserve">the following </w:t>
      </w:r>
      <w:r w:rsidR="0056049D">
        <w:t xml:space="preserve">investigations </w:t>
      </w:r>
      <w:r w:rsidR="00DC5798">
        <w:t>are anticipated</w:t>
      </w:r>
      <w:r w:rsidR="00D55769">
        <w:t>:</w:t>
      </w:r>
    </w:p>
    <w:p w14:paraId="1481BB7E" w14:textId="60506F99" w:rsidR="00D55769" w:rsidRDefault="005C5D0F" w:rsidP="006C4926">
      <w:pPr>
        <w:pStyle w:val="ListParagraph"/>
        <w:numPr>
          <w:ilvl w:val="0"/>
          <w:numId w:val="1"/>
        </w:numPr>
      </w:pPr>
      <w:r>
        <w:t>Biopsy of suspected cancerous tissue</w:t>
      </w:r>
      <w:r w:rsidR="00105366">
        <w:t>,</w:t>
      </w:r>
      <w:r w:rsidR="00034D3A">
        <w:t xml:space="preserve"> followed by pathological review to </w:t>
      </w:r>
      <w:r w:rsidR="00E51DF9">
        <w:t xml:space="preserve">confirm or exclude a </w:t>
      </w:r>
      <w:r w:rsidR="0056049D">
        <w:t xml:space="preserve">diagnosis </w:t>
      </w:r>
      <w:r w:rsidR="00D55769">
        <w:t>of breast cancer</w:t>
      </w:r>
    </w:p>
    <w:p w14:paraId="6509D245" w14:textId="25957DA4" w:rsidR="00A86942" w:rsidRDefault="00856528" w:rsidP="006C4926">
      <w:pPr>
        <w:pStyle w:val="ListParagraph"/>
        <w:numPr>
          <w:ilvl w:val="0"/>
          <w:numId w:val="1"/>
        </w:numPr>
      </w:pPr>
      <w:r>
        <w:t xml:space="preserve">Diagnostic imaging </w:t>
      </w:r>
      <w:r w:rsidR="001376B3">
        <w:t>(computed tomography</w:t>
      </w:r>
      <w:r w:rsidR="00CC4444">
        <w:t xml:space="preserve"> </w:t>
      </w:r>
      <w:r w:rsidR="00966524">
        <w:t>or magnetic resonance imaging</w:t>
      </w:r>
      <w:r w:rsidR="00105366">
        <w:t>)</w:t>
      </w:r>
      <w:r w:rsidR="00546C69">
        <w:t xml:space="preserve"> </w:t>
      </w:r>
      <w:r w:rsidR="001376B3">
        <w:t xml:space="preserve">of the </w:t>
      </w:r>
      <w:r w:rsidR="006D2772">
        <w:t>chest and abdomen</w:t>
      </w:r>
      <w:r w:rsidR="00EA11D6">
        <w:t>,</w:t>
      </w:r>
      <w:r w:rsidR="006D2772">
        <w:t xml:space="preserve"> and bone scintigraphy </w:t>
      </w:r>
      <w:r w:rsidR="00AA35D0">
        <w:t xml:space="preserve">to </w:t>
      </w:r>
      <w:r w:rsidR="00421D38">
        <w:t>support d</w:t>
      </w:r>
      <w:r w:rsidR="00A86942">
        <w:t>isease staging</w:t>
      </w:r>
    </w:p>
    <w:p w14:paraId="0635F721" w14:textId="7BABBBD0" w:rsidR="00051843" w:rsidRPr="00A86942" w:rsidRDefault="00421D38" w:rsidP="006C4926">
      <w:pPr>
        <w:pStyle w:val="ListParagraph"/>
        <w:numPr>
          <w:ilvl w:val="0"/>
          <w:numId w:val="1"/>
        </w:numPr>
        <w:rPr>
          <w:rFonts w:asciiTheme="minorHAnsi" w:eastAsia="Segoe UI" w:hAnsiTheme="minorHAnsi" w:cstheme="minorHAnsi"/>
          <w:color w:val="000000"/>
        </w:rPr>
      </w:pPr>
      <w:r>
        <w:t>Pathological a</w:t>
      </w:r>
      <w:r w:rsidR="00B9340D">
        <w:t xml:space="preserve">ssess </w:t>
      </w:r>
      <w:r>
        <w:t xml:space="preserve">of </w:t>
      </w:r>
      <w:r w:rsidR="006C4926">
        <w:t>therapeutically relevant biomarkers</w:t>
      </w:r>
    </w:p>
    <w:p w14:paraId="5A9529A4" w14:textId="40347441" w:rsidR="00733E95" w:rsidRPr="00733E95" w:rsidRDefault="00B539AA" w:rsidP="00A86942">
      <w:pPr>
        <w:pStyle w:val="ListParagraph"/>
        <w:numPr>
          <w:ilvl w:val="1"/>
          <w:numId w:val="1"/>
        </w:numPr>
        <w:rPr>
          <w:rFonts w:asciiTheme="minorHAnsi" w:eastAsia="Segoe UI" w:hAnsiTheme="minorHAnsi" w:cstheme="minorHAnsi"/>
          <w:color w:val="000000"/>
        </w:rPr>
      </w:pPr>
      <w:r>
        <w:t xml:space="preserve">Biomarkers </w:t>
      </w:r>
      <w:r w:rsidR="00481659">
        <w:t xml:space="preserve">recommended to be assessed in all patients with newly diagnosed or recurrent breast cancer </w:t>
      </w:r>
      <w:r>
        <w:t>in ESMO Guidelines</w:t>
      </w:r>
      <w:r w:rsidR="00EB0D62">
        <w:t xml:space="preserve"> </w:t>
      </w:r>
      <w:r w:rsidR="00EB0D62">
        <w:fldChar w:fldCharType="begin"/>
      </w:r>
      <w:r w:rsidR="00EB0D62">
        <w:instrText xml:space="preserve"> ADDIN EN.CITE &lt;EndNote&gt;&lt;Cite&gt;&lt;Author&gt;Gennari&lt;/Author&gt;&lt;Year&gt;2021&lt;/Year&gt;&lt;RecNum&gt;2389&lt;/RecNum&gt;&lt;DisplayText&gt;(Gennari et al. 2021)&lt;/DisplayText&gt;&lt;record&gt;&lt;rec-number&gt;2389&lt;/rec-number&gt;&lt;foreign-keys&gt;&lt;key app="EN" db-id="ezvspvpphdrt93e9asepdx5etr9rf5rptvp0" timestamp="1710977510"&gt;2389&lt;/key&gt;&lt;/foreign-keys&gt;&lt;ref-type name="Journal Article"&gt;17&lt;/ref-type&gt;&lt;contributors&gt;&lt;authors&gt;&lt;author&gt;Gennari, Alessandra&lt;/author&gt;&lt;author&gt;André, Fabrice&lt;/author&gt;&lt;author&gt;Barrios, CH&lt;/author&gt;&lt;author&gt;Cortes, Javier&lt;/author&gt;&lt;author&gt;de Azambuja, Evandro&lt;/author&gt;&lt;author&gt;DeMichele, Angela&lt;/author&gt;&lt;author&gt;Dent, R&lt;/author&gt;&lt;author&gt;Fenlon, Deborah&lt;/author&gt;&lt;author&gt;Gligorov, Joseph&lt;/author&gt;&lt;author&gt;Hurvitz, SA&lt;/author&gt;&lt;/authors&gt;&lt;/contributors&gt;&lt;titles&gt;&lt;title&gt;ESMO Clinical Practice Guideline for the diagnosis, staging and treatment of patients with metastatic breast cancer</w:instrText>
      </w:r>
      <w:r w:rsidR="00EB0D62">
        <w:rPr>
          <w:rFonts w:ascii="Segoe UI Symbol" w:hAnsi="Segoe UI Symbol" w:cs="Segoe UI Symbol"/>
        </w:rPr>
        <w:instrText>☆</w:instrText>
      </w:r>
      <w:r w:rsidR="00EB0D62">
        <w:instrText>&lt;/title&gt;&lt;secondary-title&gt;Annals of Oncology&lt;/secondary-title&gt;&lt;/titles&gt;&lt;periodical&gt;&lt;full-title&gt;Annals of Oncology&lt;/full-title&gt;&lt;/periodical&gt;&lt;pages&gt;1475-1495&lt;/pages&gt;&lt;volume&gt;32&lt;/volume&gt;&lt;number&gt;12&lt;/number&gt;&lt;dates&gt;&lt;year&gt;2021&lt;/year&gt;&lt;/dates&gt;&lt;isbn&gt;0923-7534&lt;/isbn&gt;&lt;urls&gt;&lt;/urls&gt;&lt;/record&gt;&lt;/Cite&gt;&lt;/EndNote&gt;</w:instrText>
      </w:r>
      <w:r w:rsidR="00EB0D62">
        <w:fldChar w:fldCharType="separate"/>
      </w:r>
      <w:r w:rsidR="00EB0D62">
        <w:rPr>
          <w:noProof/>
        </w:rPr>
        <w:t>(Gennari et al. 2021)</w:t>
      </w:r>
      <w:r w:rsidR="00EB0D62">
        <w:fldChar w:fldCharType="end"/>
      </w:r>
      <w:r w:rsidR="00481659">
        <w:t xml:space="preserve"> are</w:t>
      </w:r>
      <w:r>
        <w:t>:</w:t>
      </w:r>
      <w:r w:rsidR="00667833">
        <w:t xml:space="preserve"> </w:t>
      </w:r>
      <w:r w:rsidR="00DA146D">
        <w:t>oestrogen</w:t>
      </w:r>
      <w:r w:rsidR="008D2CF6">
        <w:t xml:space="preserve"> recept</w:t>
      </w:r>
      <w:r w:rsidR="00415641">
        <w:t>or (ER), progesterone receptor (</w:t>
      </w:r>
      <w:proofErr w:type="spellStart"/>
      <w:r w:rsidR="00415641">
        <w:t>PgR</w:t>
      </w:r>
      <w:proofErr w:type="spellEnd"/>
      <w:r w:rsidR="00415641">
        <w:t>)</w:t>
      </w:r>
      <w:r w:rsidR="00CB13D4">
        <w:t xml:space="preserve"> and</w:t>
      </w:r>
      <w:r w:rsidR="00415641">
        <w:t xml:space="preserve"> </w:t>
      </w:r>
      <w:r w:rsidR="006F41FB">
        <w:t xml:space="preserve">human </w:t>
      </w:r>
      <w:r w:rsidR="00E42CD4">
        <w:t>epidermal growth factor receptor 2 (</w:t>
      </w:r>
      <w:r w:rsidR="00415641">
        <w:t>HER</w:t>
      </w:r>
      <w:r w:rsidR="006F41FB">
        <w:t>2</w:t>
      </w:r>
      <w:r w:rsidR="00E42CD4">
        <w:t>)</w:t>
      </w:r>
      <w:r w:rsidR="00733E95">
        <w:t>.</w:t>
      </w:r>
    </w:p>
    <w:p w14:paraId="3F3EE088" w14:textId="32733C60" w:rsidR="005D49B7" w:rsidRDefault="00DF09C3" w:rsidP="00074FCE">
      <w:r>
        <w:t>The diagnostic work up of a patient w</w:t>
      </w:r>
      <w:r w:rsidR="00926465">
        <w:t xml:space="preserve">ith suspected </w:t>
      </w:r>
      <w:r w:rsidR="008071BB">
        <w:t>breast cancer involve</w:t>
      </w:r>
      <w:r w:rsidR="00CB13D4">
        <w:t>s</w:t>
      </w:r>
      <w:r w:rsidR="008071BB">
        <w:t xml:space="preserve"> a multidisciplinary team</w:t>
      </w:r>
      <w:r w:rsidR="00CB13D4">
        <w:t xml:space="preserve">. This </w:t>
      </w:r>
      <w:r w:rsidR="006303C5">
        <w:t xml:space="preserve">would typically involve a general practitioner, </w:t>
      </w:r>
      <w:r w:rsidR="00074FCE">
        <w:t>medical oncologist, radiologist and pathologist.</w:t>
      </w:r>
    </w:p>
    <w:p w14:paraId="347EDEEF" w14:textId="37FD2120" w:rsidR="00A86942" w:rsidRDefault="005D49B7" w:rsidP="00074FCE">
      <w:r>
        <w:t xml:space="preserve">Initial consultations and referrals for </w:t>
      </w:r>
      <w:r w:rsidR="00980D01">
        <w:t>diagnostic imaging and pathological investigations may be coordinated by a general practitioner</w:t>
      </w:r>
      <w:r w:rsidR="0073598C">
        <w:t xml:space="preserve">. In </w:t>
      </w:r>
      <w:r w:rsidR="00E45D47">
        <w:t>most</w:t>
      </w:r>
      <w:r w:rsidR="0073598C">
        <w:t xml:space="preserve"> cases, or if the general practitioner is not experienced in the management of </w:t>
      </w:r>
      <w:r w:rsidR="00B068BF">
        <w:t xml:space="preserve">breast cancer patients, </w:t>
      </w:r>
      <w:r w:rsidR="00E45D47">
        <w:t xml:space="preserve">a patient is </w:t>
      </w:r>
      <w:r w:rsidR="00B068BF">
        <w:t>referr</w:t>
      </w:r>
      <w:r w:rsidR="00E45D47">
        <w:t>ed</w:t>
      </w:r>
      <w:r w:rsidR="00B068BF">
        <w:t xml:space="preserve">  to a specialist medical oncologist </w:t>
      </w:r>
      <w:r w:rsidR="00DC1643">
        <w:t>to oversee the diagnostic work up</w:t>
      </w:r>
      <w:r w:rsidR="003F1CAB">
        <w:t xml:space="preserve"> and ongoing management</w:t>
      </w:r>
      <w:r w:rsidR="00DC1643">
        <w:t xml:space="preserve"> </w:t>
      </w:r>
      <w:r w:rsidR="00B068BF">
        <w:t>may occur</w:t>
      </w:r>
      <w:r w:rsidR="004F0EC8">
        <w:t>.</w:t>
      </w:r>
    </w:p>
    <w:p w14:paraId="6A12B116" w14:textId="47F75AEB" w:rsidR="004F0EC8" w:rsidRPr="006C4926" w:rsidRDefault="004F0EC8" w:rsidP="00074FCE">
      <w:pPr>
        <w:rPr>
          <w:rFonts w:asciiTheme="minorHAnsi" w:eastAsia="Segoe UI" w:hAnsiTheme="minorHAnsi" w:cstheme="minorHAnsi"/>
          <w:color w:val="000000"/>
        </w:rPr>
      </w:pPr>
      <w:r>
        <w:t xml:space="preserve">As per the proposed population, patients </w:t>
      </w:r>
      <w:r w:rsidR="00C61792">
        <w:t xml:space="preserve">would receive investigations required to establish a </w:t>
      </w:r>
      <w:r w:rsidR="009135D3">
        <w:t xml:space="preserve">diagnosis of </w:t>
      </w:r>
      <w:r w:rsidR="00EA11D6">
        <w:t xml:space="preserve">HR+, HER2- </w:t>
      </w:r>
      <w:r w:rsidR="009135D3">
        <w:t xml:space="preserve">locally advanced or metastatic breast cancer prior to being considered eligible </w:t>
      </w:r>
      <w:r w:rsidR="00DE51E8">
        <w:t>for PIK3C</w:t>
      </w:r>
      <w:r w:rsidR="008908D3">
        <w:t>A</w:t>
      </w:r>
      <w:r w:rsidR="00DE51E8">
        <w:t xml:space="preserve"> testing</w:t>
      </w:r>
      <w:r w:rsidR="009135D3">
        <w:t>.</w:t>
      </w:r>
    </w:p>
    <w:p w14:paraId="0EB432EF" w14:textId="494FA1EC" w:rsidR="00051843" w:rsidRPr="00BC0C43" w:rsidRDefault="00051843" w:rsidP="00BC0C43">
      <w:pPr>
        <w:pStyle w:val="Heading2"/>
      </w:pPr>
      <w:r>
        <w:t>Provide a rationale for the specifics of the eligible population:</w:t>
      </w:r>
    </w:p>
    <w:p w14:paraId="1195F312" w14:textId="2890085D" w:rsidR="00051843" w:rsidRPr="00AA5302" w:rsidRDefault="008A43F2" w:rsidP="00BC0C43">
      <w:r w:rsidRPr="00AA5302">
        <w:t xml:space="preserve">This application relates to a </w:t>
      </w:r>
      <w:r w:rsidR="001E2886" w:rsidRPr="00AA5302">
        <w:t>co-dependent</w:t>
      </w:r>
      <w:r w:rsidRPr="00AA5302">
        <w:t xml:space="preserve"> technology where the outcome </w:t>
      </w:r>
      <w:r w:rsidR="00E45D47">
        <w:t>o</w:t>
      </w:r>
      <w:r w:rsidR="00022685">
        <w:t>f</w:t>
      </w:r>
      <w:r w:rsidR="00E45D47">
        <w:t xml:space="preserve"> </w:t>
      </w:r>
      <w:r w:rsidRPr="00AA5302">
        <w:t>PIK3C</w:t>
      </w:r>
      <w:r w:rsidR="00560EC0">
        <w:t>A</w:t>
      </w:r>
      <w:r w:rsidRPr="00AA5302">
        <w:t xml:space="preserve"> testing is used to identify patients eligible for treatment with</w:t>
      </w:r>
      <w:r w:rsidR="0065085F" w:rsidRPr="00AA5302">
        <w:t xml:space="preserve"> </w:t>
      </w:r>
      <w:proofErr w:type="spellStart"/>
      <w:r w:rsidR="0065085F" w:rsidRPr="00AA5302">
        <w:t>ina</w:t>
      </w:r>
      <w:r w:rsidR="0094409D" w:rsidRPr="00AA5302">
        <w:t>volisib</w:t>
      </w:r>
      <w:proofErr w:type="spellEnd"/>
      <w:r w:rsidR="0094409D" w:rsidRPr="00AA5302">
        <w:t xml:space="preserve"> (plus </w:t>
      </w:r>
      <w:proofErr w:type="spellStart"/>
      <w:r w:rsidR="0094409D" w:rsidRPr="00AA5302">
        <w:t>palbociclib</w:t>
      </w:r>
      <w:proofErr w:type="spellEnd"/>
      <w:r w:rsidR="0094409D" w:rsidRPr="00AA5302">
        <w:t xml:space="preserve"> and </w:t>
      </w:r>
      <w:proofErr w:type="spellStart"/>
      <w:r w:rsidR="0094409D" w:rsidRPr="00AA5302">
        <w:t>fulvestrant</w:t>
      </w:r>
      <w:proofErr w:type="spellEnd"/>
      <w:r w:rsidR="0094409D" w:rsidRPr="00AA5302">
        <w:t>)</w:t>
      </w:r>
      <w:r w:rsidR="00193A43" w:rsidRPr="00AA5302">
        <w:t xml:space="preserve"> through the </w:t>
      </w:r>
      <w:r w:rsidR="008908D3">
        <w:t>Pharmaceutical Benefits Scheme (</w:t>
      </w:r>
      <w:r w:rsidR="00193A43" w:rsidRPr="00AA5302">
        <w:t>PBS</w:t>
      </w:r>
      <w:r w:rsidR="008908D3">
        <w:t>)</w:t>
      </w:r>
      <w:r w:rsidR="0094409D" w:rsidRPr="00AA5302">
        <w:t>.</w:t>
      </w:r>
    </w:p>
    <w:p w14:paraId="39E6A912" w14:textId="52A2EBDE" w:rsidR="00767633" w:rsidRPr="00AA5302" w:rsidRDefault="00FD4B0E" w:rsidP="00BC0C43">
      <w:r>
        <w:t>Th</w:t>
      </w:r>
      <w:r w:rsidR="008510F8" w:rsidRPr="00AA5302">
        <w:t xml:space="preserve">e efficacy and safety </w:t>
      </w:r>
      <w:r w:rsidR="003B309D" w:rsidRPr="00AA5302">
        <w:t>o</w:t>
      </w:r>
      <w:r w:rsidR="008510F8" w:rsidRPr="00AA5302">
        <w:t xml:space="preserve">f </w:t>
      </w:r>
      <w:proofErr w:type="spellStart"/>
      <w:r w:rsidR="008510F8" w:rsidRPr="00AA5302">
        <w:t>inavolisib</w:t>
      </w:r>
      <w:proofErr w:type="spellEnd"/>
      <w:r w:rsidR="008510F8" w:rsidRPr="00AA5302">
        <w:t xml:space="preserve"> </w:t>
      </w:r>
      <w:r w:rsidR="00231B7E">
        <w:t>h</w:t>
      </w:r>
      <w:r w:rsidR="008510F8" w:rsidRPr="00AA5302">
        <w:t xml:space="preserve">as </w:t>
      </w:r>
      <w:r w:rsidR="00231B7E">
        <w:t xml:space="preserve">been </w:t>
      </w:r>
      <w:r w:rsidR="008510F8" w:rsidRPr="00AA5302">
        <w:t xml:space="preserve">assessed in the </w:t>
      </w:r>
      <w:r w:rsidR="003B309D" w:rsidRPr="00AA5302">
        <w:t>INAVO120 trial. Key</w:t>
      </w:r>
      <w:r w:rsidR="00871579" w:rsidRPr="00AA5302">
        <w:t xml:space="preserve"> eligibility criteria</w:t>
      </w:r>
      <w:r w:rsidR="009C3A21" w:rsidRPr="00AA5302">
        <w:t xml:space="preserve"> for </w:t>
      </w:r>
      <w:r w:rsidR="00767633" w:rsidRPr="00AA5302">
        <w:t>enrolment in the INAVO120 trial were:</w:t>
      </w:r>
    </w:p>
    <w:p w14:paraId="17C79823" w14:textId="466F5A41" w:rsidR="00767633" w:rsidRPr="00AA5302" w:rsidRDefault="00B029FC" w:rsidP="00B64105">
      <w:pPr>
        <w:pStyle w:val="ListParagraph"/>
        <w:numPr>
          <w:ilvl w:val="0"/>
          <w:numId w:val="3"/>
        </w:numPr>
      </w:pPr>
      <w:r w:rsidRPr="00AA5302">
        <w:t>Aged ≥18 years of age</w:t>
      </w:r>
    </w:p>
    <w:p w14:paraId="7315F5E8" w14:textId="0C911751" w:rsidR="00B029FC" w:rsidRPr="00AA5302" w:rsidRDefault="00540D58" w:rsidP="00B64105">
      <w:pPr>
        <w:pStyle w:val="ListParagraph"/>
        <w:numPr>
          <w:ilvl w:val="0"/>
          <w:numId w:val="3"/>
        </w:numPr>
      </w:pPr>
      <w:r>
        <w:t>Confirmed diagnosis of HR+/HER2- breast cancer</w:t>
      </w:r>
    </w:p>
    <w:p w14:paraId="0F347DA4" w14:textId="69F8E469" w:rsidR="00325E35" w:rsidRDefault="00325E35" w:rsidP="00B64105">
      <w:pPr>
        <w:pStyle w:val="ListParagraph"/>
        <w:numPr>
          <w:ilvl w:val="0"/>
          <w:numId w:val="3"/>
        </w:numPr>
      </w:pPr>
      <w:r>
        <w:t>Metastatic or locally advanced disease not amenable to curative therapy</w:t>
      </w:r>
      <w:r w:rsidR="00AA7F52">
        <w:t>.</w:t>
      </w:r>
    </w:p>
    <w:p w14:paraId="1BCBA6DE" w14:textId="3D9E3B71" w:rsidR="00FD4B0E" w:rsidRPr="00FD4B0E" w:rsidRDefault="00FD4B0E" w:rsidP="00FD4B0E">
      <w:r w:rsidRPr="00FD4B0E">
        <w:lastRenderedPageBreak/>
        <w:t xml:space="preserve">The rationale for the specifics of the eligible population is to ensure consistency in the circumstances of use of PIK3CA testing and treatment with </w:t>
      </w:r>
      <w:proofErr w:type="spellStart"/>
      <w:r w:rsidRPr="00FD4B0E">
        <w:t>inavolisib</w:t>
      </w:r>
      <w:proofErr w:type="spellEnd"/>
      <w:r w:rsidRPr="00FD4B0E">
        <w:t xml:space="preserve"> funded through the</w:t>
      </w:r>
      <w:r w:rsidR="008908D3">
        <w:t xml:space="preserve"> Medicare Benefits Schedule (</w:t>
      </w:r>
      <w:r w:rsidRPr="00FD4B0E">
        <w:t>MBS</w:t>
      </w:r>
      <w:r w:rsidR="008908D3">
        <w:t>)</w:t>
      </w:r>
      <w:r w:rsidRPr="00FD4B0E">
        <w:t xml:space="preserve"> and PBS respectively with the use of PIK3CA testing and treatment with </w:t>
      </w:r>
      <w:proofErr w:type="spellStart"/>
      <w:r w:rsidRPr="00FD4B0E">
        <w:t>inavolisib</w:t>
      </w:r>
      <w:proofErr w:type="spellEnd"/>
      <w:r w:rsidRPr="00FD4B0E">
        <w:t xml:space="preserve"> in the </w:t>
      </w:r>
      <w:r w:rsidR="008019A7">
        <w:t>INAVO120 trial</w:t>
      </w:r>
      <w:r w:rsidRPr="00FD4B0E">
        <w:t>.</w:t>
      </w:r>
    </w:p>
    <w:p w14:paraId="409AB389" w14:textId="6CFAD038" w:rsidR="00051843" w:rsidRDefault="00051843" w:rsidP="00BC0C43">
      <w:pPr>
        <w:pStyle w:val="Heading2"/>
      </w:pPr>
      <w:r>
        <w:t>Are there any prerequisite tests?</w:t>
      </w:r>
    </w:p>
    <w:p w14:paraId="5DC023E7" w14:textId="2F2E4610" w:rsidR="000A6DA7" w:rsidRDefault="00051843" w:rsidP="00BC0C43">
      <w:r w:rsidRPr="00D53DF1">
        <w:t>Yes</w:t>
      </w:r>
    </w:p>
    <w:p w14:paraId="64EC5580" w14:textId="1564F964" w:rsidR="00051843" w:rsidRDefault="00AB60C4" w:rsidP="00BC0C43">
      <w:r>
        <w:t xml:space="preserve">Testing to determine hormone receptor and HER2 status would be </w:t>
      </w:r>
      <w:r w:rsidR="00671F7B">
        <w:t>required prior to patients being eligible for PIK3CA testing in the proposed population.</w:t>
      </w:r>
    </w:p>
    <w:p w14:paraId="5998FE51" w14:textId="7B048AA9" w:rsidR="00051843" w:rsidRDefault="00051843" w:rsidP="00BC0C43">
      <w:pPr>
        <w:pStyle w:val="Heading2"/>
      </w:pPr>
      <w:r>
        <w:t>Are the prerequisite tests MBS funded?</w:t>
      </w:r>
    </w:p>
    <w:p w14:paraId="7B15CE91" w14:textId="1D4291EE" w:rsidR="00051843" w:rsidRDefault="00051843" w:rsidP="00BC0C43">
      <w:r w:rsidRPr="0077392D">
        <w:t>Yes</w:t>
      </w:r>
    </w:p>
    <w:p w14:paraId="16EE127C" w14:textId="45B76748" w:rsidR="00D53DF1" w:rsidRDefault="00D4319A" w:rsidP="00BC0C43">
      <w:r>
        <w:t>Hormone receptor</w:t>
      </w:r>
      <w:r w:rsidR="001E50AD">
        <w:t xml:space="preserve"> (</w:t>
      </w:r>
      <w:r w:rsidR="00DA146D">
        <w:t>oestrogen</w:t>
      </w:r>
      <w:r w:rsidR="001E50AD">
        <w:t xml:space="preserve"> and progesterone) and c-erb-B2 (HER2) testing </w:t>
      </w:r>
      <w:r w:rsidR="00814F6C">
        <w:t xml:space="preserve">by immunohistochemical examination </w:t>
      </w:r>
      <w:r w:rsidR="00547A66">
        <w:t>of biopsy material is funded through MBS item</w:t>
      </w:r>
      <w:r w:rsidR="00866F15">
        <w:t>s</w:t>
      </w:r>
      <w:r w:rsidR="00547A66">
        <w:t xml:space="preserve"> 72848</w:t>
      </w:r>
      <w:r w:rsidR="00866F15">
        <w:t>/73061</w:t>
      </w:r>
      <w:r w:rsidR="00D75C4E">
        <w:t>.</w:t>
      </w:r>
    </w:p>
    <w:p w14:paraId="0A585F0C" w14:textId="1FA42264" w:rsidR="00051843" w:rsidRPr="00BC0C43" w:rsidRDefault="00EA0AA0" w:rsidP="00BC0C43">
      <w:pPr>
        <w:pStyle w:val="Heading2"/>
      </w:pPr>
      <w:r>
        <w:t>P</w:t>
      </w:r>
      <w:r w:rsidR="00051843">
        <w:t>rovide details to fund the prerequisite tests:</w:t>
      </w:r>
    </w:p>
    <w:p w14:paraId="58FB847B" w14:textId="5B845858" w:rsidR="00D32DD1" w:rsidRPr="00582377" w:rsidRDefault="00051843" w:rsidP="00BC0C43">
      <w:pPr>
        <w:rPr>
          <w:rFonts w:asciiTheme="minorHAnsi" w:eastAsia="Segoe UI" w:hAnsiTheme="minorHAnsi" w:cstheme="minorHAnsi"/>
          <w:color w:val="000000"/>
        </w:rPr>
      </w:pPr>
      <w:r>
        <w:fldChar w:fldCharType="begin">
          <w:ffData>
            <w:name w:val=""/>
            <w:enabled/>
            <w:calcOnExit w:val="0"/>
            <w:textInput>
              <w:default w:val="Provide a response if you answered 'No' to the question above"/>
            </w:textInput>
          </w:ffData>
        </w:fldChar>
      </w:r>
      <w:r>
        <w:instrText xml:space="preserve"> FORMTEXT </w:instrText>
      </w:r>
      <w:r>
        <w:fldChar w:fldCharType="separate"/>
      </w:r>
      <w:r w:rsidR="00010AAA">
        <w:rPr>
          <w:noProof/>
        </w:rPr>
        <w:t>Provide a response if you answered 'No' to the question above</w:t>
      </w:r>
      <w:r>
        <w:fldChar w:fldCharType="end"/>
      </w:r>
    </w:p>
    <w:p w14:paraId="730114B1" w14:textId="17224D17" w:rsidR="00280050" w:rsidRPr="00EA0AA0" w:rsidRDefault="00051843" w:rsidP="00EA0AA0">
      <w:pPr>
        <w:pStyle w:val="Heading1"/>
      </w:pPr>
      <w:r w:rsidRPr="00EA0AA0">
        <w:t>Intervention</w:t>
      </w:r>
    </w:p>
    <w:p w14:paraId="4EE4D8C5" w14:textId="72F78505" w:rsidR="00665487" w:rsidRPr="00BC0C43" w:rsidRDefault="00665487" w:rsidP="00BC0C43">
      <w:pPr>
        <w:pStyle w:val="Heading2"/>
      </w:pPr>
      <w:r w:rsidRPr="00BC0C43">
        <w:t>Name of the proposed health technology:</w:t>
      </w:r>
    </w:p>
    <w:p w14:paraId="661E51AD" w14:textId="4DF338B8" w:rsidR="00BE6B22" w:rsidRDefault="006458F3" w:rsidP="00BC0C43">
      <w:r>
        <w:t>Testing</w:t>
      </w:r>
      <w:r w:rsidR="000B2487">
        <w:t xml:space="preserve"> for PIK3CA mutation</w:t>
      </w:r>
      <w:r w:rsidR="007F0936">
        <w:t xml:space="preserve"> status </w:t>
      </w:r>
      <w:r w:rsidR="002D3CC9">
        <w:t>using a next generation sequencing (NGS) assay.</w:t>
      </w:r>
    </w:p>
    <w:p w14:paraId="332BE164" w14:textId="2D4DAA40" w:rsidR="00F53525" w:rsidRPr="00BC0C43" w:rsidRDefault="00DA0E7F" w:rsidP="00BC0C43">
      <w:pPr>
        <w:rPr>
          <w:rFonts w:asciiTheme="minorHAnsi" w:eastAsia="Segoe UI" w:hAnsiTheme="minorHAnsi" w:cstheme="minorHAnsi"/>
          <w:color w:val="000000"/>
        </w:rPr>
      </w:pPr>
      <w:r>
        <w:t xml:space="preserve">Per-protocol the assessment of PIK3CA mutation status in the </w:t>
      </w:r>
      <w:r w:rsidR="00E96108">
        <w:t xml:space="preserve">INAVO120 </w:t>
      </w:r>
      <w:r w:rsidR="00F53525">
        <w:t>trial</w:t>
      </w:r>
      <w:r>
        <w:t xml:space="preserve"> could be performed</w:t>
      </w:r>
      <w:r w:rsidR="008158B3">
        <w:t xml:space="preserve"> by testing </w:t>
      </w:r>
      <w:r w:rsidR="00B4133B">
        <w:t xml:space="preserve">circulating tumour DNA </w:t>
      </w:r>
      <w:r w:rsidR="00B6535E">
        <w:t>(</w:t>
      </w:r>
      <w:proofErr w:type="spellStart"/>
      <w:r w:rsidR="00B6535E">
        <w:t>ctDNA</w:t>
      </w:r>
      <w:proofErr w:type="spellEnd"/>
      <w:r w:rsidR="00B6535E">
        <w:t xml:space="preserve">) </w:t>
      </w:r>
      <w:r w:rsidR="00FA54C9">
        <w:t xml:space="preserve">derived </w:t>
      </w:r>
      <w:r w:rsidR="00B6535E">
        <w:t xml:space="preserve">from a </w:t>
      </w:r>
      <w:r w:rsidR="008158B3">
        <w:t xml:space="preserve">blood </w:t>
      </w:r>
      <w:r w:rsidR="00B4133B">
        <w:t xml:space="preserve">sample </w:t>
      </w:r>
      <w:r w:rsidR="00FA54C9">
        <w:t xml:space="preserve">drawn from the patient </w:t>
      </w:r>
      <w:r w:rsidR="00364660">
        <w:t xml:space="preserve">or </w:t>
      </w:r>
      <w:r w:rsidR="00B14914">
        <w:t xml:space="preserve">testing of </w:t>
      </w:r>
      <w:r w:rsidR="004B4AD0">
        <w:t xml:space="preserve">a </w:t>
      </w:r>
      <w:r w:rsidR="00364660">
        <w:t xml:space="preserve">tumour tissue </w:t>
      </w:r>
      <w:r w:rsidR="00624D0F">
        <w:t>sample</w:t>
      </w:r>
      <w:r w:rsidR="00364660">
        <w:t>.</w:t>
      </w:r>
    </w:p>
    <w:p w14:paraId="61D4A875" w14:textId="334BDEA3" w:rsidR="00BE6B22" w:rsidRPr="00BC0C43" w:rsidRDefault="00665487" w:rsidP="00BC0C43">
      <w:pPr>
        <w:pStyle w:val="Heading2"/>
      </w:pPr>
      <w:r w:rsidRPr="00B15CDF">
        <w:t>Describe the key components and clinical steps involved in delivering the proposed health technology</w:t>
      </w:r>
      <w:r w:rsidR="00BE6B22">
        <w:t>:</w:t>
      </w:r>
    </w:p>
    <w:p w14:paraId="38BA0FA4" w14:textId="412FEEC2" w:rsidR="00435A3A" w:rsidRDefault="008B2FBF" w:rsidP="00BC0C43">
      <w:r>
        <w:t>There are no material differences in the steps involved in the i</w:t>
      </w:r>
      <w:r w:rsidR="00CA0C80">
        <w:t xml:space="preserve">dentification of PIK3CA </w:t>
      </w:r>
      <w:r>
        <w:t xml:space="preserve">mutations using a NGS assay compared with </w:t>
      </w:r>
      <w:r w:rsidR="00811A16">
        <w:t xml:space="preserve">the identification of mutations in other </w:t>
      </w:r>
      <w:r w:rsidR="00435A3A">
        <w:t>genes (e.g. identification of EGFR mutations)</w:t>
      </w:r>
      <w:r w:rsidR="004B4AD0">
        <w:t xml:space="preserve"> using a NGS assay</w:t>
      </w:r>
      <w:r w:rsidR="00435A3A">
        <w:t>.</w:t>
      </w:r>
    </w:p>
    <w:p w14:paraId="25858A10" w14:textId="470C1D95" w:rsidR="00D65B90" w:rsidRDefault="00D65B90" w:rsidP="00BC0C43">
      <w:r>
        <w:t>The key steps undertaken in the assessment of genetic mutations using a NGS</w:t>
      </w:r>
      <w:r w:rsidR="004F2D15">
        <w:t xml:space="preserve"> assay</w:t>
      </w:r>
      <w:r>
        <w:t xml:space="preserve"> are:</w:t>
      </w:r>
    </w:p>
    <w:p w14:paraId="20B5DD25" w14:textId="529BADDD" w:rsidR="00BE6B22" w:rsidRPr="008B1381" w:rsidRDefault="00D65B90" w:rsidP="008B1381">
      <w:pPr>
        <w:pStyle w:val="ListParagraph"/>
        <w:numPr>
          <w:ilvl w:val="0"/>
          <w:numId w:val="5"/>
        </w:numPr>
      </w:pPr>
      <w:r w:rsidRPr="008B1381">
        <w:t>DNA</w:t>
      </w:r>
      <w:r w:rsidR="00CF0DFE" w:rsidRPr="008B1381">
        <w:t xml:space="preserve"> and/or RNA is isolated from </w:t>
      </w:r>
      <w:r w:rsidR="00D5009E" w:rsidRPr="008B1381">
        <w:t>a plasma</w:t>
      </w:r>
      <w:r w:rsidR="004F2D15">
        <w:t xml:space="preserve"> sample</w:t>
      </w:r>
      <w:r w:rsidR="00D5009E" w:rsidRPr="008B1381">
        <w:t xml:space="preserve"> (</w:t>
      </w:r>
      <w:proofErr w:type="spellStart"/>
      <w:r w:rsidR="00D5009E" w:rsidRPr="008B1381">
        <w:t>ctDNA</w:t>
      </w:r>
      <w:proofErr w:type="spellEnd"/>
      <w:r w:rsidR="00D5009E" w:rsidRPr="008B1381">
        <w:t xml:space="preserve"> analysis) or</w:t>
      </w:r>
      <w:r w:rsidR="00C803E5" w:rsidRPr="008B1381">
        <w:t xml:space="preserve"> formalin-fi</w:t>
      </w:r>
      <w:r w:rsidR="00F772FD" w:rsidRPr="008B1381">
        <w:t>x</w:t>
      </w:r>
      <w:r w:rsidR="00C803E5" w:rsidRPr="008B1381">
        <w:t xml:space="preserve">ed, </w:t>
      </w:r>
      <w:r w:rsidR="004F2D15" w:rsidRPr="008B1381">
        <w:t>paraffin</w:t>
      </w:r>
      <w:r w:rsidR="00C803E5" w:rsidRPr="008B1381">
        <w:t>-embedded</w:t>
      </w:r>
      <w:r w:rsidR="00F772FD" w:rsidRPr="008B1381">
        <w:t xml:space="preserve"> tumour sample (tissue analysis)</w:t>
      </w:r>
    </w:p>
    <w:p w14:paraId="645B59EE" w14:textId="76E7F67D" w:rsidR="00AB1A7D" w:rsidRPr="008B1381" w:rsidRDefault="00E00C1E" w:rsidP="008B1381">
      <w:pPr>
        <w:pStyle w:val="ListParagraph"/>
        <w:numPr>
          <w:ilvl w:val="0"/>
          <w:numId w:val="5"/>
        </w:numPr>
      </w:pPr>
      <w:r w:rsidRPr="008B1381">
        <w:t>Preparation of sequ</w:t>
      </w:r>
      <w:r w:rsidR="00711E99" w:rsidRPr="008B1381">
        <w:t xml:space="preserve">encing </w:t>
      </w:r>
      <w:r w:rsidR="00AB5712" w:rsidRPr="008B1381">
        <w:t>libraries</w:t>
      </w:r>
    </w:p>
    <w:p w14:paraId="334728AC" w14:textId="3303EFD8" w:rsidR="00946466" w:rsidRPr="008B1381" w:rsidRDefault="00946466" w:rsidP="008B1381">
      <w:pPr>
        <w:pStyle w:val="ListParagraph"/>
        <w:numPr>
          <w:ilvl w:val="0"/>
          <w:numId w:val="5"/>
        </w:numPr>
      </w:pPr>
      <w:r w:rsidRPr="008B1381">
        <w:t>Enrichment of sequencing librarie</w:t>
      </w:r>
      <w:r w:rsidR="00D57A1B" w:rsidRPr="008B1381">
        <w:t>s</w:t>
      </w:r>
      <w:r w:rsidRPr="008B1381">
        <w:t xml:space="preserve"> for</w:t>
      </w:r>
      <w:r w:rsidR="00594033" w:rsidRPr="008B1381">
        <w:t xml:space="preserve"> genes of interest (</w:t>
      </w:r>
      <w:r w:rsidR="00D57A1B" w:rsidRPr="008B1381">
        <w:t>notably PIK3CA)</w:t>
      </w:r>
    </w:p>
    <w:p w14:paraId="5E58312F" w14:textId="3E5D7F2D" w:rsidR="00790F36" w:rsidRPr="008B1381" w:rsidRDefault="00790F36" w:rsidP="008B1381">
      <w:pPr>
        <w:pStyle w:val="ListParagraph"/>
        <w:numPr>
          <w:ilvl w:val="0"/>
          <w:numId w:val="5"/>
        </w:numPr>
      </w:pPr>
      <w:r w:rsidRPr="008B1381">
        <w:t>Analy</w:t>
      </w:r>
      <w:r w:rsidR="00C57662" w:rsidRPr="008B1381">
        <w:t>sis and reporting of test results</w:t>
      </w:r>
      <w:r w:rsidR="008B1381" w:rsidRPr="008B1381">
        <w:t xml:space="preserve"> to referring clinician</w:t>
      </w:r>
      <w:r w:rsidR="00EA11D6">
        <w:t>.</w:t>
      </w:r>
    </w:p>
    <w:p w14:paraId="496F861E" w14:textId="6A84304D" w:rsidR="00BE6B22" w:rsidRPr="00BC0C43" w:rsidRDefault="00665487" w:rsidP="00BC0C43">
      <w:pPr>
        <w:pStyle w:val="Heading2"/>
      </w:pPr>
      <w:r w:rsidRPr="00BC0C43">
        <w:rPr>
          <w:rStyle w:val="Heading2Char"/>
          <w:b/>
          <w:bCs/>
        </w:rPr>
        <w:t>Identify how the proposed technology achieves the intended patient outcomes</w:t>
      </w:r>
      <w:r w:rsidR="00BE6B22" w:rsidRPr="00BC0C43">
        <w:t>:</w:t>
      </w:r>
    </w:p>
    <w:p w14:paraId="2EB050E5" w14:textId="31528581" w:rsidR="00A75490" w:rsidRDefault="00215A07" w:rsidP="009D4B3D">
      <w:proofErr w:type="spellStart"/>
      <w:r w:rsidRPr="00215A07">
        <w:rPr>
          <w:b/>
          <w:bCs/>
        </w:rPr>
        <w:t>Inavolisib</w:t>
      </w:r>
      <w:proofErr w:type="spellEnd"/>
      <w:r w:rsidRPr="00215A07">
        <w:rPr>
          <w:b/>
          <w:bCs/>
        </w:rPr>
        <w:t>:</w:t>
      </w:r>
      <w:r>
        <w:t xml:space="preserve"> </w:t>
      </w:r>
      <w:proofErr w:type="spellStart"/>
      <w:r w:rsidR="00B909C0">
        <w:t>Inavolisib</w:t>
      </w:r>
      <w:proofErr w:type="spellEnd"/>
      <w:r w:rsidR="00B909C0">
        <w:t xml:space="preserve"> </w:t>
      </w:r>
      <w:r w:rsidR="00921A6B">
        <w:t>is a selective inhibitor of the Class I PI3K</w:t>
      </w:r>
      <w:r w:rsidR="002F1E84">
        <w:t>α isoform</w:t>
      </w:r>
      <w:r w:rsidR="00A75490">
        <w:t xml:space="preserve"> </w:t>
      </w:r>
      <w:r w:rsidR="001C76D3">
        <w:t xml:space="preserve">and </w:t>
      </w:r>
      <w:r w:rsidR="00A75490">
        <w:t>belongs to the PI3K inhibitor class of drugs</w:t>
      </w:r>
      <w:r w:rsidR="009D4B3D">
        <w:t>.</w:t>
      </w:r>
    </w:p>
    <w:p w14:paraId="72015A67" w14:textId="63D8C0ED" w:rsidR="00BE6B22" w:rsidRDefault="009D4B3D" w:rsidP="00BC0C43">
      <w:proofErr w:type="spellStart"/>
      <w:r>
        <w:lastRenderedPageBreak/>
        <w:t>Inavolisib</w:t>
      </w:r>
      <w:proofErr w:type="spellEnd"/>
      <w:r>
        <w:t xml:space="preserve"> exerts its activity by</w:t>
      </w:r>
      <w:r w:rsidR="00EF30E0">
        <w:t xml:space="preserve"> </w:t>
      </w:r>
      <w:r>
        <w:t>binding to the adenosine 5′-triphosphate binding site of p110</w:t>
      </w:r>
      <w:r w:rsidR="00BF4CF6">
        <w:t>α</w:t>
      </w:r>
      <w:r w:rsidR="00681C68">
        <w:t xml:space="preserve">. </w:t>
      </w:r>
      <w:r w:rsidR="00375DA1">
        <w:t>I</w:t>
      </w:r>
      <w:r w:rsidR="00EF30E0">
        <w:t>n-vivo studies</w:t>
      </w:r>
      <w:r w:rsidR="00681C68">
        <w:t xml:space="preserve"> </w:t>
      </w:r>
      <w:r w:rsidR="00A73F08">
        <w:t>demonstrate</w:t>
      </w:r>
      <w:r w:rsidR="000E60D8">
        <w:t>d</w:t>
      </w:r>
      <w:r w:rsidR="00A73F08">
        <w:t xml:space="preserve"> that </w:t>
      </w:r>
      <w:proofErr w:type="spellStart"/>
      <w:r w:rsidR="00A73F08">
        <w:t>inavolisib</w:t>
      </w:r>
      <w:proofErr w:type="spellEnd"/>
      <w:r w:rsidR="00A73F08">
        <w:t xml:space="preserve"> specifically degrades mutant p110α, inhibits</w:t>
      </w:r>
      <w:r w:rsidR="000E60D8">
        <w:t xml:space="preserve"> </w:t>
      </w:r>
      <w:r w:rsidR="00A73F08">
        <w:t>proliferation and induces apoptosis in PIK3CA-mutant breast cancer cell lines,</w:t>
      </w:r>
      <w:r w:rsidR="002C6DFE">
        <w:t xml:space="preserve"> and</w:t>
      </w:r>
      <w:r w:rsidR="00A73F08">
        <w:t xml:space="preserve"> inhibits</w:t>
      </w:r>
      <w:r w:rsidR="000E60D8">
        <w:t xml:space="preserve"> </w:t>
      </w:r>
      <w:r w:rsidR="00960CE6">
        <w:t xml:space="preserve">with increased </w:t>
      </w:r>
      <w:r w:rsidR="000E60D8">
        <w:t>potency</w:t>
      </w:r>
      <w:r w:rsidR="00960CE6">
        <w:t xml:space="preserve"> in tumour cell bearing </w:t>
      </w:r>
      <w:r w:rsidR="00617F01">
        <w:t>mutant p110α over cell bearing wild type p110α</w:t>
      </w:r>
      <w:r w:rsidR="00A033A4">
        <w:t xml:space="preserve"> </w:t>
      </w:r>
      <w:r w:rsidR="00A033A4">
        <w:fldChar w:fldCharType="begin"/>
      </w:r>
      <w:r w:rsidR="00A033A4">
        <w:instrText xml:space="preserve"> ADDIN EN.CITE &lt;EndNote&gt;&lt;Cite&gt;&lt;Author&gt;Hanan&lt;/Author&gt;&lt;Year&gt;2022&lt;/Year&gt;&lt;RecNum&gt;2390&lt;/RecNum&gt;&lt;DisplayText&gt;(Hanan et al. 2022)&lt;/DisplayText&gt;&lt;record&gt;&lt;rec-number&gt;2390&lt;/rec-number&gt;&lt;foreign-keys&gt;&lt;key app="EN" db-id="ezvspvpphdrt93e9asepdx5etr9rf5rptvp0" timestamp="1710977600"&gt;2390&lt;/key&gt;&lt;/foreign-keys&gt;&lt;ref-type name="Journal Article"&gt;17&lt;/ref-type&gt;&lt;contributors&gt;&lt;authors&gt;&lt;author&gt;Hanan, Emily J&lt;/author&gt;&lt;author&gt;Braun, Marie-Gabrielle&lt;/author&gt;&lt;author&gt;Heald, Robert A&lt;/author&gt;&lt;author&gt;MacLeod, Calum&lt;/author&gt;&lt;author&gt;Chan, Connie&lt;/author&gt;&lt;author&gt;Clausen, Saundra&lt;/author&gt;&lt;author&gt;Edgar, Kyle A&lt;/author&gt;&lt;author&gt;Eigenbrot, Charles&lt;/author&gt;&lt;author&gt;Elliott, Richard&lt;/author&gt;&lt;author&gt;Endres, Nicholas&lt;/author&gt;&lt;/authors&gt;&lt;/contributors&gt;&lt;titles&gt;&lt;title&gt;Discovery of GDC-0077 (inavolisib), a highly selective inhibitor and degrader of mutant PI3Kα&lt;/title&gt;&lt;secondary-title&gt;Journal of Medicinal Chemistry&lt;/secondary-title&gt;&lt;/titles&gt;&lt;periodical&gt;&lt;full-title&gt;Journal of Medicinal Chemistry&lt;/full-title&gt;&lt;/periodical&gt;&lt;pages&gt;16589-16621&lt;/pages&gt;&lt;volume&gt;65&lt;/volume&gt;&lt;number&gt;24&lt;/number&gt;&lt;dates&gt;&lt;year&gt;2022&lt;/year&gt;&lt;/dates&gt;&lt;isbn&gt;0022-2623&lt;/isbn&gt;&lt;urls&gt;&lt;/urls&gt;&lt;/record&gt;&lt;/Cite&gt;&lt;/EndNote&gt;</w:instrText>
      </w:r>
      <w:r w:rsidR="00A033A4">
        <w:fldChar w:fldCharType="separate"/>
      </w:r>
      <w:r w:rsidR="00A033A4">
        <w:rPr>
          <w:noProof/>
        </w:rPr>
        <w:t>(Hanan et al. 2022)</w:t>
      </w:r>
      <w:r w:rsidR="00A033A4">
        <w:fldChar w:fldCharType="end"/>
      </w:r>
      <w:r w:rsidR="00617F01">
        <w:t>.</w:t>
      </w:r>
    </w:p>
    <w:p w14:paraId="7AFA45E7" w14:textId="7ED2E77C" w:rsidR="000E60D8" w:rsidRDefault="000E60D8" w:rsidP="00BC0C43">
      <w:r>
        <w:t>Based on it</w:t>
      </w:r>
      <w:r w:rsidR="00C82578">
        <w:t xml:space="preserve">s </w:t>
      </w:r>
      <w:r w:rsidR="00D224E6">
        <w:t>mechanism of action</w:t>
      </w:r>
      <w:r w:rsidR="001333A6">
        <w:t xml:space="preserve"> (PIK3 inhibitor)</w:t>
      </w:r>
      <w:r w:rsidR="00D224E6">
        <w:t xml:space="preserve"> and the results of preclini</w:t>
      </w:r>
      <w:r w:rsidR="001333A6">
        <w:t>c</w:t>
      </w:r>
      <w:r w:rsidR="00D224E6">
        <w:t>al studies</w:t>
      </w:r>
      <w:r w:rsidR="009621DF">
        <w:t xml:space="preserve"> reporting </w:t>
      </w:r>
      <w:r w:rsidR="003625DA">
        <w:t xml:space="preserve">increased potency in tumour cells bearing mutant p110α, clinical trials </w:t>
      </w:r>
      <w:r w:rsidR="001333A6">
        <w:t xml:space="preserve">have been </w:t>
      </w:r>
      <w:r w:rsidR="00867D5C">
        <w:t xml:space="preserve">designed to assess the safety and efficacy of </w:t>
      </w:r>
      <w:proofErr w:type="spellStart"/>
      <w:r w:rsidR="00CB3DC6">
        <w:t>inavolisib</w:t>
      </w:r>
      <w:proofErr w:type="spellEnd"/>
      <w:r w:rsidR="00CB3DC6">
        <w:t xml:space="preserve"> </w:t>
      </w:r>
      <w:r w:rsidR="001333A6">
        <w:t xml:space="preserve">only in </w:t>
      </w:r>
      <w:r w:rsidR="001A7E1D">
        <w:t>patients assessed as harbouring PIK3CA mutations.</w:t>
      </w:r>
    </w:p>
    <w:p w14:paraId="61F0C07A" w14:textId="360B1EE0" w:rsidR="005603E4" w:rsidRDefault="00215A07" w:rsidP="00BC0C43">
      <w:r w:rsidRPr="00215A07">
        <w:rPr>
          <w:b/>
          <w:bCs/>
        </w:rPr>
        <w:t>PIK3CA testing:</w:t>
      </w:r>
      <w:r>
        <w:rPr>
          <w:b/>
          <w:bCs/>
        </w:rPr>
        <w:t xml:space="preserve"> </w:t>
      </w:r>
      <w:r>
        <w:t xml:space="preserve">The </w:t>
      </w:r>
      <w:r w:rsidR="004002FE">
        <w:t>identification of PIK3CA mutations</w:t>
      </w:r>
      <w:r w:rsidR="005A6248">
        <w:t xml:space="preserve"> through PIK3CA testing </w:t>
      </w:r>
      <w:r w:rsidR="00917342">
        <w:t xml:space="preserve">is </w:t>
      </w:r>
      <w:r w:rsidR="008F4F0F">
        <w:t xml:space="preserve">intended to improve patient outcomes by identifying </w:t>
      </w:r>
      <w:r w:rsidR="00246E56">
        <w:t>a subgroup of patients (PIK3CA mutated)</w:t>
      </w:r>
      <w:r w:rsidR="005A6248">
        <w:t xml:space="preserve"> being considered for treatment for HR+/HER2-locally advanced or metastatic breast cancer</w:t>
      </w:r>
      <w:r w:rsidR="00DC6E5D">
        <w:t xml:space="preserve"> that are</w:t>
      </w:r>
      <w:r w:rsidR="00246E56">
        <w:t xml:space="preserve"> </w:t>
      </w:r>
      <w:r w:rsidR="00EF21C7">
        <w:t xml:space="preserve">likely to be sensitive to treatment with </w:t>
      </w:r>
      <w:r w:rsidR="00DC6E5D">
        <w:t>the PIK3CA</w:t>
      </w:r>
      <w:r w:rsidR="001444BD">
        <w:t xml:space="preserve"> inhibitor</w:t>
      </w:r>
      <w:r w:rsidR="00DC6E5D">
        <w:t xml:space="preserve"> </w:t>
      </w:r>
      <w:proofErr w:type="spellStart"/>
      <w:r w:rsidR="00EF21C7">
        <w:t>inavolisib</w:t>
      </w:r>
      <w:proofErr w:type="spellEnd"/>
      <w:r w:rsidR="00EF21C7">
        <w:t>.</w:t>
      </w:r>
    </w:p>
    <w:p w14:paraId="0F9D3230" w14:textId="7C7F49BD" w:rsidR="00BE6B22" w:rsidRPr="00665487" w:rsidRDefault="00665487" w:rsidP="00BC0C43">
      <w:pPr>
        <w:pStyle w:val="Heading2"/>
      </w:pPr>
      <w:r w:rsidRPr="00BC0C43">
        <w:t>Does the proposed health</w:t>
      </w:r>
      <w:r w:rsidRPr="00B15CDF">
        <w:t xml:space="preserve"> technology include a registered trademark component with characteristics that distinguishes it from other similar health components</w:t>
      </w:r>
      <w:r w:rsidR="00BE6B22">
        <w:t>?</w:t>
      </w:r>
    </w:p>
    <w:p w14:paraId="6F3B5B06" w14:textId="7E364861" w:rsidR="00BE6B22" w:rsidRDefault="001444BD" w:rsidP="00BC0C43">
      <w:proofErr w:type="spellStart"/>
      <w:r w:rsidRPr="00215A07">
        <w:rPr>
          <w:b/>
          <w:bCs/>
        </w:rPr>
        <w:t>Inavolisib</w:t>
      </w:r>
      <w:proofErr w:type="spellEnd"/>
      <w:r w:rsidRPr="00215A07">
        <w:rPr>
          <w:b/>
          <w:bCs/>
        </w:rPr>
        <w:t>:</w:t>
      </w:r>
      <w:r>
        <w:rPr>
          <w:b/>
          <w:bCs/>
        </w:rPr>
        <w:t xml:space="preserve"> </w:t>
      </w:r>
      <w:r w:rsidR="00CC1BD0">
        <w:t>Yes</w:t>
      </w:r>
    </w:p>
    <w:p w14:paraId="6C1EA61C" w14:textId="1F21FC9B" w:rsidR="00CC1BD0" w:rsidRDefault="00CC1BD0" w:rsidP="00BC0C43">
      <w:r w:rsidRPr="00215A07">
        <w:rPr>
          <w:b/>
          <w:bCs/>
        </w:rPr>
        <w:t>PIK3CA testing</w:t>
      </w:r>
      <w:r>
        <w:rPr>
          <w:b/>
          <w:bCs/>
        </w:rPr>
        <w:t xml:space="preserve">: </w:t>
      </w:r>
      <w:r w:rsidRPr="00CC1BD0">
        <w:t>No</w:t>
      </w:r>
    </w:p>
    <w:p w14:paraId="6FE677F6" w14:textId="53A28694" w:rsidR="00B759D1" w:rsidRPr="00BC0C43" w:rsidRDefault="00665487" w:rsidP="00BC0C43">
      <w:pPr>
        <w:pStyle w:val="Heading2"/>
      </w:pPr>
      <w:r w:rsidRPr="00B15CDF">
        <w:t>Explain whether it is essential to have this trademark component or whether there would be other components that would be suitable</w:t>
      </w:r>
      <w:r w:rsidR="00B759D1">
        <w:t>:</w:t>
      </w:r>
    </w:p>
    <w:p w14:paraId="67330063" w14:textId="77777777" w:rsidR="00053565" w:rsidRDefault="00CC1BD0" w:rsidP="00BC0C43">
      <w:r>
        <w:t xml:space="preserve">Consistent with </w:t>
      </w:r>
      <w:r w:rsidR="005A1461">
        <w:t xml:space="preserve">the PBS listing of medicines, the </w:t>
      </w:r>
      <w:r w:rsidR="00AC2B6A">
        <w:t>foreshadowed</w:t>
      </w:r>
      <w:r w:rsidR="005A1461">
        <w:t xml:space="preserve"> PBS restriction for </w:t>
      </w:r>
      <w:proofErr w:type="spellStart"/>
      <w:r w:rsidR="005A1461">
        <w:t>inavolisib</w:t>
      </w:r>
      <w:proofErr w:type="spellEnd"/>
      <w:r w:rsidR="005A1461">
        <w:t xml:space="preserve"> will </w:t>
      </w:r>
      <w:r w:rsidR="00AC2B6A">
        <w:t>be specific to the trademarked component (</w:t>
      </w:r>
      <w:proofErr w:type="spellStart"/>
      <w:r w:rsidR="00AC2B6A">
        <w:t>inavolisib</w:t>
      </w:r>
      <w:proofErr w:type="spellEnd"/>
      <w:r w:rsidR="00AC2B6A">
        <w:t>)</w:t>
      </w:r>
      <w:r w:rsidR="00053565">
        <w:t>.</w:t>
      </w:r>
    </w:p>
    <w:p w14:paraId="2D4411B7" w14:textId="3A5CB347" w:rsidR="00B759D1" w:rsidRPr="00BC0C43" w:rsidRDefault="00053565" w:rsidP="00BC0C43">
      <w:pPr>
        <w:rPr>
          <w:rFonts w:asciiTheme="minorHAnsi" w:eastAsia="Segoe UI" w:hAnsiTheme="minorHAnsi" w:cstheme="minorHAnsi"/>
          <w:color w:val="000000"/>
        </w:rPr>
      </w:pPr>
      <w:r>
        <w:t xml:space="preserve">The proposed MBS items descriptors do not specify </w:t>
      </w:r>
      <w:r w:rsidR="00BA6502">
        <w:t xml:space="preserve">the use of </w:t>
      </w:r>
      <w:r>
        <w:t>a</w:t>
      </w:r>
      <w:r w:rsidR="00BA6502">
        <w:t xml:space="preserve"> </w:t>
      </w:r>
      <w:r>
        <w:t xml:space="preserve">trademarked </w:t>
      </w:r>
      <w:r w:rsidR="00BA6502">
        <w:t xml:space="preserve">assay for the </w:t>
      </w:r>
      <w:r w:rsidR="007079F6">
        <w:t>conduct</w:t>
      </w:r>
      <w:r w:rsidR="00BA6502">
        <w:t xml:space="preserve"> of PIK3CA mutation testing.</w:t>
      </w:r>
      <w:r w:rsidR="00AC2B6A">
        <w:t xml:space="preserve"> </w:t>
      </w:r>
    </w:p>
    <w:p w14:paraId="46AD8179" w14:textId="6D12E09D" w:rsidR="00665487" w:rsidRDefault="00EA7B42" w:rsidP="00BC0C43">
      <w:pPr>
        <w:pStyle w:val="Heading2"/>
      </w:pPr>
      <w:r w:rsidRPr="00B15CDF">
        <w:t>Are there any proposed limitations on the provision of the proposed health technology delivered to the patient (For example: accessibility, dosage, quantity, duration or frequency)</w:t>
      </w:r>
      <w:r>
        <w:t>:</w:t>
      </w:r>
    </w:p>
    <w:p w14:paraId="669B5F75" w14:textId="67CD9A21" w:rsidR="00665487" w:rsidRDefault="00665487" w:rsidP="00BC0C43">
      <w:r w:rsidRPr="00742396">
        <w:t>Yes</w:t>
      </w:r>
    </w:p>
    <w:p w14:paraId="7A372472" w14:textId="7FC5513F" w:rsidR="000A6DA7" w:rsidRDefault="000A6DA7" w:rsidP="00BC0C43">
      <w:r>
        <w:t xml:space="preserve">It is proposed that </w:t>
      </w:r>
      <w:r w:rsidR="001A30BB">
        <w:t>PIK3CA testing funded through the MBS would be applicable only once per lifetime. This limitation is consistent with</w:t>
      </w:r>
      <w:r w:rsidR="004D71BE">
        <w:t xml:space="preserve"> other biomarker tests performed for the purpose of establishing patient eligibility to access targeted treatment through the PBS.</w:t>
      </w:r>
    </w:p>
    <w:p w14:paraId="207973FE" w14:textId="0108C50B" w:rsidR="00665487" w:rsidRPr="00BC0C43" w:rsidRDefault="00EA7B42" w:rsidP="00BC0C43">
      <w:pPr>
        <w:pStyle w:val="Heading2"/>
      </w:pPr>
      <w:r>
        <w:t>Provide details and explain</w:t>
      </w:r>
      <w:r w:rsidR="00665487">
        <w:t>:</w:t>
      </w:r>
    </w:p>
    <w:p w14:paraId="7EDC963E" w14:textId="630A5A90" w:rsidR="00665487" w:rsidRPr="00BC0C43" w:rsidRDefault="00051843" w:rsidP="00BC0C43">
      <w:pPr>
        <w:rPr>
          <w:rFonts w:asciiTheme="minorHAnsi" w:eastAsia="Segoe UI" w:hAnsiTheme="minorHAnsi" w:cstheme="minorHAnsi"/>
          <w:color w:val="000000"/>
        </w:rPr>
      </w:pPr>
      <w:r>
        <w:fldChar w:fldCharType="begin">
          <w:ffData>
            <w:name w:val=""/>
            <w:enabled/>
            <w:calcOnExit w:val="0"/>
            <w:textInput>
              <w:default w:val="Provide a response if you answered 'No' to the question above"/>
            </w:textInput>
          </w:ffData>
        </w:fldChar>
      </w:r>
      <w:r>
        <w:instrText xml:space="preserve"> FORMTEXT </w:instrText>
      </w:r>
      <w:r>
        <w:fldChar w:fldCharType="separate"/>
      </w:r>
      <w:r w:rsidR="00010AAA">
        <w:rPr>
          <w:noProof/>
        </w:rPr>
        <w:t>Provide a response if you answered 'No' to the question above</w:t>
      </w:r>
      <w:r>
        <w:fldChar w:fldCharType="end"/>
      </w:r>
    </w:p>
    <w:p w14:paraId="2F90F356" w14:textId="4E8BB594" w:rsidR="006227EF" w:rsidRPr="00BC0C43" w:rsidRDefault="006227EF" w:rsidP="00BC0C43">
      <w:pPr>
        <w:pStyle w:val="Heading2"/>
      </w:pPr>
      <w:r>
        <w:t xml:space="preserve">If applicable, </w:t>
      </w:r>
      <w:r w:rsidR="00C05943">
        <w:t>advice</w:t>
      </w:r>
      <w:r>
        <w:t xml:space="preserve"> which health professionals will be needed to provide the proposed health technology:</w:t>
      </w:r>
    </w:p>
    <w:p w14:paraId="6BC4ECCB" w14:textId="4B93B483" w:rsidR="006227EF" w:rsidRPr="00BC0C43" w:rsidRDefault="0071281A" w:rsidP="00BC0C43">
      <w:pPr>
        <w:rPr>
          <w:rFonts w:asciiTheme="minorHAnsi" w:eastAsia="Segoe UI" w:hAnsiTheme="minorHAnsi" w:cstheme="minorHAnsi"/>
          <w:color w:val="000000"/>
        </w:rPr>
      </w:pPr>
      <w:r>
        <w:t xml:space="preserve">The conduct of PIK3CA testing </w:t>
      </w:r>
      <w:r w:rsidR="005942C5">
        <w:t xml:space="preserve">would be performed in a pathology laboratory </w:t>
      </w:r>
      <w:r w:rsidR="001776B6">
        <w:t>by a molecular pathologist, or laboratory staff working under the direct supervision of the pathologist.</w:t>
      </w:r>
    </w:p>
    <w:p w14:paraId="1C59B329" w14:textId="77777777" w:rsidR="001C7F94" w:rsidRDefault="001C7F94">
      <w:pPr>
        <w:spacing w:after="160" w:line="259" w:lineRule="auto"/>
        <w:rPr>
          <w:b/>
          <w:bCs/>
        </w:rPr>
      </w:pPr>
      <w:r>
        <w:br w:type="page"/>
      </w:r>
    </w:p>
    <w:p w14:paraId="46150CA8" w14:textId="7C0D1132" w:rsidR="006227EF" w:rsidRPr="00BC0C43" w:rsidRDefault="006227EF" w:rsidP="00BC0C43">
      <w:pPr>
        <w:pStyle w:val="Heading2"/>
      </w:pPr>
      <w:r w:rsidRPr="00BE0612">
        <w:lastRenderedPageBreak/>
        <w:t xml:space="preserve">If applicable, advise </w:t>
      </w:r>
      <w:r w:rsidR="00BE0612" w:rsidRPr="00BE0612">
        <w:t>whether delivery of the proposed health technology can be delegated to another</w:t>
      </w:r>
      <w:r w:rsidRPr="00BE0612">
        <w:t xml:space="preserve"> health professional:</w:t>
      </w:r>
    </w:p>
    <w:p w14:paraId="5A95FA3B" w14:textId="10510CD8" w:rsidR="00665487" w:rsidRPr="00BC0C43" w:rsidRDefault="001776B6" w:rsidP="00BC0C43">
      <w:pPr>
        <w:rPr>
          <w:rFonts w:asciiTheme="minorHAnsi" w:eastAsia="Segoe UI" w:hAnsiTheme="minorHAnsi" w:cstheme="minorHAnsi"/>
          <w:color w:val="000000"/>
        </w:rPr>
      </w:pPr>
      <w:r>
        <w:t>Not applicable.</w:t>
      </w:r>
    </w:p>
    <w:p w14:paraId="414D5196" w14:textId="42D4776C" w:rsidR="006227EF" w:rsidRPr="00BC0C43" w:rsidRDefault="006227EF" w:rsidP="00BC0C43">
      <w:pPr>
        <w:pStyle w:val="Heading2"/>
      </w:pPr>
      <w:r w:rsidRPr="00BE0612">
        <w:t xml:space="preserve">If applicable, advise </w:t>
      </w:r>
      <w:r w:rsidR="00BE0612" w:rsidRPr="00BE0612">
        <w:t>if there are any limitations on which health professionals might provide a referral for</w:t>
      </w:r>
      <w:r w:rsidRPr="00BE0612">
        <w:t xml:space="preserve"> the proposed health technology:</w:t>
      </w:r>
    </w:p>
    <w:p w14:paraId="76FD12F3" w14:textId="33D09ED0" w:rsidR="008613D0" w:rsidRDefault="00C8320D" w:rsidP="00BC0C43">
      <w:r>
        <w:t xml:space="preserve">A general practitioner or </w:t>
      </w:r>
      <w:r w:rsidR="00C05943">
        <w:t xml:space="preserve">medical oncologist </w:t>
      </w:r>
      <w:r>
        <w:t xml:space="preserve">would </w:t>
      </w:r>
      <w:r w:rsidR="000A031F">
        <w:t xml:space="preserve">provide the referral for </w:t>
      </w:r>
      <w:r w:rsidR="008D2A28">
        <w:t xml:space="preserve">pathological assessments associated with informing </w:t>
      </w:r>
      <w:r w:rsidR="00763125">
        <w:t xml:space="preserve">decisions </w:t>
      </w:r>
      <w:r w:rsidR="008613D0">
        <w:t xml:space="preserve">on </w:t>
      </w:r>
      <w:r w:rsidR="008D2A28">
        <w:t>treatment</w:t>
      </w:r>
      <w:r w:rsidR="00763125">
        <w:t xml:space="preserve"> selection</w:t>
      </w:r>
      <w:r w:rsidR="008613D0">
        <w:t xml:space="preserve"> in patients with locally advanced or metastatic breast cancer.</w:t>
      </w:r>
    </w:p>
    <w:p w14:paraId="02BE6BC3" w14:textId="6F208B53" w:rsidR="006227EF" w:rsidRPr="00BC0C43" w:rsidRDefault="008613D0" w:rsidP="00BC0C43">
      <w:pPr>
        <w:rPr>
          <w:rFonts w:asciiTheme="minorHAnsi" w:eastAsia="Segoe UI" w:hAnsiTheme="minorHAnsi" w:cstheme="minorHAnsi"/>
          <w:color w:val="000000"/>
        </w:rPr>
      </w:pPr>
      <w:r>
        <w:t xml:space="preserve">When </w:t>
      </w:r>
      <w:r w:rsidR="00BE0219">
        <w:t>hormone</w:t>
      </w:r>
      <w:r w:rsidR="005C303C">
        <w:t xml:space="preserve"> </w:t>
      </w:r>
      <w:r w:rsidR="00BE0219">
        <w:t xml:space="preserve">receptor and HER2 testing is performed by an anatomical pathologist, or in a laboratory without the </w:t>
      </w:r>
      <w:r w:rsidR="0059034D">
        <w:t xml:space="preserve">equipment required to perform NGS analysis, </w:t>
      </w:r>
      <w:r w:rsidR="00575270">
        <w:t>a pathologist may refer</w:t>
      </w:r>
      <w:r w:rsidR="003F588F">
        <w:t xml:space="preserve"> PIK3CA testing to a specialty molecular pathology laboratory.</w:t>
      </w:r>
    </w:p>
    <w:p w14:paraId="30AC00A8" w14:textId="083FD303" w:rsidR="00380C41" w:rsidRDefault="00380C41" w:rsidP="00BC0C43">
      <w:pPr>
        <w:pStyle w:val="Heading2"/>
      </w:pPr>
      <w:r>
        <w:t>Is there specific training or qualifications required to provide or deliver the proposed service, and/or any accreditation requirements to support delivery of the health technology?</w:t>
      </w:r>
    </w:p>
    <w:p w14:paraId="4E1F9F81" w14:textId="1B633F1F" w:rsidR="00380C41" w:rsidRDefault="00380C41" w:rsidP="00BC0C43">
      <w:r w:rsidRPr="00DB1710">
        <w:t>Yes</w:t>
      </w:r>
    </w:p>
    <w:p w14:paraId="0E842550" w14:textId="4EA98943" w:rsidR="00380C41" w:rsidRPr="00BC0C43" w:rsidRDefault="00380C41" w:rsidP="00BC0C43">
      <w:pPr>
        <w:pStyle w:val="Heading2"/>
      </w:pPr>
      <w:r>
        <w:t>Provide details and explain:</w:t>
      </w:r>
    </w:p>
    <w:p w14:paraId="7002A155" w14:textId="23F90DA1" w:rsidR="00582377" w:rsidRDefault="00DB1710" w:rsidP="00EA0AA0">
      <w:r>
        <w:t xml:space="preserve">All </w:t>
      </w:r>
      <w:r w:rsidR="003F07B8">
        <w:t>personnel performing molecular pathology</w:t>
      </w:r>
      <w:r w:rsidR="007F0A78">
        <w:t xml:space="preserve"> testing must be suitably qualified and </w:t>
      </w:r>
      <w:r w:rsidR="000B14E5">
        <w:t xml:space="preserve">testing </w:t>
      </w:r>
      <w:r w:rsidR="00F762EA">
        <w:t xml:space="preserve">laboratories must </w:t>
      </w:r>
      <w:r w:rsidR="007F0A78">
        <w:t>hold the appropriate accreditation</w:t>
      </w:r>
      <w:r w:rsidR="006C3229">
        <w:t>s to offer pathology testing in Australia</w:t>
      </w:r>
      <w:r w:rsidR="00A858E8">
        <w:t>.</w:t>
      </w:r>
      <w:r w:rsidR="00B27683">
        <w:t xml:space="preserve"> </w:t>
      </w:r>
      <w:r w:rsidR="00A858E8">
        <w:t>These training and accreditation requirement</w:t>
      </w:r>
      <w:r w:rsidR="00996797">
        <w:t>s</w:t>
      </w:r>
      <w:r w:rsidR="00A858E8">
        <w:t xml:space="preserve"> apply to </w:t>
      </w:r>
      <w:r w:rsidR="00996797">
        <w:t>all cancer biomarker testing</w:t>
      </w:r>
      <w:r w:rsidR="009A646C">
        <w:t xml:space="preserve"> and are not specific to PIK3CA testing</w:t>
      </w:r>
      <w:r w:rsidR="006E0845">
        <w:t>.</w:t>
      </w:r>
    </w:p>
    <w:p w14:paraId="00370DB5" w14:textId="6A148D6F" w:rsidR="00B27683" w:rsidRPr="00EA0AA0" w:rsidRDefault="00B27683" w:rsidP="00EA0AA0">
      <w:pPr>
        <w:rPr>
          <w:rFonts w:asciiTheme="minorHAnsi" w:eastAsia="Segoe UI" w:hAnsiTheme="minorHAnsi" w:cstheme="minorHAnsi"/>
          <w:color w:val="000000"/>
        </w:rPr>
      </w:pPr>
      <w:r>
        <w:t>Several private and public pathology laboratories are already providing PIK3CA testing services</w:t>
      </w:r>
      <w:r w:rsidR="009A646C">
        <w:t xml:space="preserve"> in Australia</w:t>
      </w:r>
      <w:r w:rsidR="00B43083" w:rsidRPr="00AA7F52">
        <w:rPr>
          <w:rStyle w:val="FootnoteReference"/>
        </w:rPr>
        <w:footnoteReference w:id="1"/>
      </w:r>
      <w:r w:rsidR="00AA7F52" w:rsidRPr="001E2886">
        <w:rPr>
          <w:vertAlign w:val="superscript"/>
        </w:rPr>
        <w:t>,</w:t>
      </w:r>
      <w:r w:rsidR="000214FE">
        <w:rPr>
          <w:rStyle w:val="FootnoteReference"/>
        </w:rPr>
        <w:footnoteReference w:id="2"/>
      </w:r>
      <w:r>
        <w:t xml:space="preserve">. As such, </w:t>
      </w:r>
      <w:r w:rsidR="009060A1">
        <w:t xml:space="preserve">no </w:t>
      </w:r>
      <w:r w:rsidR="009A646C">
        <w:t xml:space="preserve">additional </w:t>
      </w:r>
      <w:r w:rsidR="009060A1">
        <w:t xml:space="preserve">training or </w:t>
      </w:r>
      <w:r w:rsidR="006770B7">
        <w:t>accreditation</w:t>
      </w:r>
      <w:r w:rsidR="009060A1">
        <w:t xml:space="preserve"> requirements</w:t>
      </w:r>
      <w:r w:rsidR="006770B7">
        <w:t xml:space="preserve"> are associated with this application</w:t>
      </w:r>
      <w:r w:rsidR="00E3232D">
        <w:t>.</w:t>
      </w:r>
    </w:p>
    <w:p w14:paraId="54E88C9C" w14:textId="138EC3D4" w:rsidR="00380C41" w:rsidRDefault="00BB494A" w:rsidP="00BC0C43">
      <w:pPr>
        <w:pStyle w:val="Heading2"/>
        <w:rPr>
          <w:rStyle w:val="InstructionsChar"/>
        </w:rPr>
      </w:pPr>
      <w:r>
        <w:t>Indicate the proposed setting(s) in which the proposed health technology will be delivered:</w:t>
      </w:r>
    </w:p>
    <w:p w14:paraId="6C4BF8E1" w14:textId="66FB5628" w:rsidR="00BC0C43" w:rsidRPr="00BC0C43" w:rsidRDefault="00BC0C43"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5623BF">
        <w:fldChar w:fldCharType="separate"/>
      </w:r>
      <w:r w:rsidRPr="00BC0C43">
        <w:fldChar w:fldCharType="end"/>
      </w:r>
      <w:r w:rsidRPr="00BC0C43">
        <w:t xml:space="preserve"> </w:t>
      </w:r>
      <w:r w:rsidR="00BB494A" w:rsidRPr="00BC0C43">
        <w:t>Consulting rooms</w:t>
      </w:r>
    </w:p>
    <w:p w14:paraId="27A91C50" w14:textId="0DD9818F" w:rsidR="00380C41" w:rsidRPr="00BC0C43" w:rsidRDefault="00380C41"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5623BF">
        <w:fldChar w:fldCharType="separate"/>
      </w:r>
      <w:r w:rsidRPr="00BC0C43">
        <w:fldChar w:fldCharType="end"/>
      </w:r>
      <w:r w:rsidRPr="00BC0C43">
        <w:t xml:space="preserve"> </w:t>
      </w:r>
      <w:r w:rsidR="00BB494A" w:rsidRPr="00BC0C43">
        <w:t>Day surgery centre</w:t>
      </w:r>
    </w:p>
    <w:p w14:paraId="1DAFF305" w14:textId="53253AEF" w:rsidR="00380C41" w:rsidRPr="00BC0C43" w:rsidRDefault="00380C41"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5623BF">
        <w:fldChar w:fldCharType="separate"/>
      </w:r>
      <w:r w:rsidRPr="00BC0C43">
        <w:fldChar w:fldCharType="end"/>
      </w:r>
      <w:r w:rsidRPr="00BC0C43">
        <w:t xml:space="preserve"> </w:t>
      </w:r>
      <w:r w:rsidR="00BB494A" w:rsidRPr="00BC0C43">
        <w:t>Emergency Department</w:t>
      </w:r>
    </w:p>
    <w:p w14:paraId="020AC503" w14:textId="5C662B9C" w:rsidR="00380C41" w:rsidRPr="00BC0C43" w:rsidRDefault="00380C41"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5623BF">
        <w:fldChar w:fldCharType="separate"/>
      </w:r>
      <w:r w:rsidRPr="00BC0C43">
        <w:fldChar w:fldCharType="end"/>
      </w:r>
      <w:r w:rsidRPr="00BC0C43">
        <w:t xml:space="preserve"> </w:t>
      </w:r>
      <w:r w:rsidR="00BB494A" w:rsidRPr="00BC0C43">
        <w:t>Inpatient private hospital</w:t>
      </w:r>
    </w:p>
    <w:p w14:paraId="6E8C6D7D" w14:textId="0255442B"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5623BF">
        <w:fldChar w:fldCharType="separate"/>
      </w:r>
      <w:r w:rsidRPr="00BC0C43">
        <w:fldChar w:fldCharType="end"/>
      </w:r>
      <w:r w:rsidRPr="00BC0C43">
        <w:t xml:space="preserve"> Inpatient public hospital</w:t>
      </w:r>
    </w:p>
    <w:p w14:paraId="1C5133DF" w14:textId="3216C894" w:rsidR="00BB494A" w:rsidRPr="00BC0C43" w:rsidRDefault="00E3232D" w:rsidP="00582377">
      <w:pPr>
        <w:pStyle w:val="Tickboxes"/>
      </w:pPr>
      <w:r>
        <w:fldChar w:fldCharType="begin">
          <w:ffData>
            <w:name w:val="Check2"/>
            <w:enabled/>
            <w:calcOnExit w:val="0"/>
            <w:checkBox>
              <w:sizeAuto/>
              <w:default w:val="1"/>
            </w:checkBox>
          </w:ffData>
        </w:fldChar>
      </w:r>
      <w:bookmarkStart w:id="0" w:name="Check2"/>
      <w:r>
        <w:instrText xml:space="preserve"> FORMCHECKBOX </w:instrText>
      </w:r>
      <w:r w:rsidR="005623BF">
        <w:fldChar w:fldCharType="separate"/>
      </w:r>
      <w:r>
        <w:fldChar w:fldCharType="end"/>
      </w:r>
      <w:bookmarkEnd w:id="0"/>
      <w:r w:rsidR="00BB494A" w:rsidRPr="00BC0C43">
        <w:t xml:space="preserve"> Laboratory</w:t>
      </w:r>
    </w:p>
    <w:p w14:paraId="723FB55F" w14:textId="5652CD12"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5623BF">
        <w:fldChar w:fldCharType="separate"/>
      </w:r>
      <w:r w:rsidRPr="00BC0C43">
        <w:fldChar w:fldCharType="end"/>
      </w:r>
      <w:r w:rsidRPr="00BC0C43">
        <w:t xml:space="preserve"> Outpatient clinic</w:t>
      </w:r>
    </w:p>
    <w:p w14:paraId="111DE2AB" w14:textId="35A5324A"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5623BF">
        <w:fldChar w:fldCharType="separate"/>
      </w:r>
      <w:r w:rsidRPr="00BC0C43">
        <w:fldChar w:fldCharType="end"/>
      </w:r>
      <w:r w:rsidRPr="00BC0C43">
        <w:t xml:space="preserve"> Patient’s home</w:t>
      </w:r>
    </w:p>
    <w:p w14:paraId="428D75FD" w14:textId="41921B1C"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5623BF">
        <w:fldChar w:fldCharType="separate"/>
      </w:r>
      <w:r w:rsidRPr="00BC0C43">
        <w:fldChar w:fldCharType="end"/>
      </w:r>
      <w:r w:rsidRPr="00BC0C43">
        <w:t xml:space="preserve"> Point of care testing</w:t>
      </w:r>
    </w:p>
    <w:p w14:paraId="47F449C5" w14:textId="7A9B3B9E"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5623BF">
        <w:fldChar w:fldCharType="separate"/>
      </w:r>
      <w:r w:rsidRPr="00BC0C43">
        <w:fldChar w:fldCharType="end"/>
      </w:r>
      <w:r w:rsidRPr="00BC0C43">
        <w:t xml:space="preserve"> Residential aged care facility</w:t>
      </w:r>
    </w:p>
    <w:p w14:paraId="594B3A20" w14:textId="1D26C668" w:rsidR="00BB494A" w:rsidRPr="000627EF"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5623BF">
        <w:fldChar w:fldCharType="separate"/>
      </w:r>
      <w:r w:rsidRPr="00BC0C43">
        <w:fldChar w:fldCharType="end"/>
      </w:r>
      <w:r w:rsidRPr="00BC0C43">
        <w:t xml:space="preserve"> Other (please specify)</w:t>
      </w:r>
    </w:p>
    <w:p w14:paraId="2A1C0D0A" w14:textId="73965753" w:rsidR="002D7216" w:rsidRDefault="002D7216" w:rsidP="00BC0C43">
      <w:pPr>
        <w:pStyle w:val="Heading2"/>
      </w:pPr>
      <w:r>
        <w:lastRenderedPageBreak/>
        <w:t>Is the proposed health technology intended to be entirely rendered inside Australia?</w:t>
      </w:r>
    </w:p>
    <w:p w14:paraId="0478F3B1" w14:textId="3CAC7708" w:rsidR="002D7216" w:rsidRDefault="002D7216" w:rsidP="00BC0C43">
      <w:r w:rsidRPr="0069212F">
        <w:t>Yes</w:t>
      </w:r>
    </w:p>
    <w:p w14:paraId="659D2B35" w14:textId="4FD1C554" w:rsidR="002D7216" w:rsidRPr="00BC0C43" w:rsidRDefault="00EA0AA0" w:rsidP="00BC0C43">
      <w:pPr>
        <w:pStyle w:val="Heading2"/>
      </w:pPr>
      <w:r>
        <w:t>P</w:t>
      </w:r>
      <w:r w:rsidR="002D7216">
        <w:t>rovide additional details on the proposed health technology to be rendered outside of Australia:</w:t>
      </w:r>
    </w:p>
    <w:p w14:paraId="598F6A3E" w14:textId="224120CB" w:rsidR="002D7216" w:rsidRDefault="002D7216" w:rsidP="00BC0C43">
      <w:pPr>
        <w:rPr>
          <w:rFonts w:asciiTheme="minorHAnsi" w:eastAsia="Segoe UI" w:hAnsiTheme="minorHAnsi" w:cstheme="minorHAnsi"/>
          <w:color w:val="000000"/>
        </w:rPr>
      </w:pPr>
      <w:r>
        <w:fldChar w:fldCharType="begin">
          <w:ffData>
            <w:name w:val=""/>
            <w:enabled/>
            <w:calcOnExit w:val="0"/>
            <w:textInput>
              <w:default w:val="Provide a response if you answered 'No' to the question above"/>
            </w:textInput>
          </w:ffData>
        </w:fldChar>
      </w:r>
      <w:r>
        <w:instrText xml:space="preserve"> FORMTEXT </w:instrText>
      </w:r>
      <w:r>
        <w:fldChar w:fldCharType="separate"/>
      </w:r>
      <w:r w:rsidR="00010AAA">
        <w:rPr>
          <w:noProof/>
        </w:rPr>
        <w:t>Provide a response if you answered 'No' to the question above</w:t>
      </w:r>
      <w:r>
        <w:fldChar w:fldCharType="end"/>
      </w:r>
    </w:p>
    <w:p w14:paraId="5B9D9A2F" w14:textId="5569185C" w:rsidR="00FE257E" w:rsidRPr="00EA0AA0" w:rsidRDefault="00FE257E" w:rsidP="00EA0AA0">
      <w:pPr>
        <w:pStyle w:val="Heading1"/>
      </w:pPr>
      <w:r w:rsidRPr="00EA0AA0">
        <w:t>Comparator</w:t>
      </w:r>
    </w:p>
    <w:p w14:paraId="4FFBF7A2" w14:textId="68C9C7EE" w:rsidR="00FE257E" w:rsidRDefault="00FE257E" w:rsidP="00BC0C43">
      <w:pPr>
        <w:pStyle w:val="Heading2"/>
      </w:pPr>
      <w:r w:rsidRPr="00FE257E">
        <w:t>Nominate the appropriate comparator(s) for the proposed medical service (i.e.</w:t>
      </w:r>
      <w:r w:rsidR="00010AAA">
        <w:t>,</w:t>
      </w:r>
      <w:r w:rsidRPr="00FE257E">
        <w:t xml:space="preserve"> how is the proposed population currently managed in the absence of the proposed medical service being available in the </w:t>
      </w:r>
      <w:r w:rsidRPr="00FE257E">
        <w:rPr>
          <w:u w:val="single"/>
        </w:rPr>
        <w:t>Australian healthcare system)</w:t>
      </w:r>
      <w:r w:rsidRPr="00FE257E">
        <w:t>. This includes identifying healthcare resources that are needed to be delivered at the same time as the comparator service</w:t>
      </w:r>
      <w:r>
        <w:t>:</w:t>
      </w:r>
    </w:p>
    <w:p w14:paraId="0483BFFE" w14:textId="4B311738" w:rsidR="00D1323B" w:rsidRDefault="00D1323B" w:rsidP="00BC0C43">
      <w:r w:rsidRPr="007D3497">
        <w:t xml:space="preserve">Comparators are nominated for the PIK3CA testing and </w:t>
      </w:r>
      <w:proofErr w:type="spellStart"/>
      <w:r w:rsidRPr="007D3497">
        <w:t>inavolisib</w:t>
      </w:r>
      <w:proofErr w:type="spellEnd"/>
      <w:r w:rsidRPr="007D3497">
        <w:t xml:space="preserve"> components</w:t>
      </w:r>
      <w:r w:rsidR="00284445">
        <w:t>:</w:t>
      </w:r>
    </w:p>
    <w:p w14:paraId="35AF7AB6" w14:textId="7225A5B5" w:rsidR="007D3497" w:rsidRDefault="007D3497" w:rsidP="006E688F">
      <w:pPr>
        <w:pStyle w:val="ListParagraph"/>
        <w:numPr>
          <w:ilvl w:val="0"/>
          <w:numId w:val="6"/>
        </w:numPr>
      </w:pPr>
      <w:r>
        <w:t>For the PIK3CA testing component</w:t>
      </w:r>
      <w:r w:rsidR="005A498E">
        <w:t>,</w:t>
      </w:r>
      <w:r>
        <w:t xml:space="preserve"> the nominated comparator is </w:t>
      </w:r>
      <w:r w:rsidR="00284445">
        <w:t>no PIK3CA testing</w:t>
      </w:r>
    </w:p>
    <w:p w14:paraId="0A6E4746" w14:textId="42DEA883" w:rsidR="00284445" w:rsidRPr="007D3497" w:rsidRDefault="00284445" w:rsidP="006E688F">
      <w:pPr>
        <w:pStyle w:val="ListParagraph"/>
        <w:numPr>
          <w:ilvl w:val="0"/>
          <w:numId w:val="6"/>
        </w:numPr>
      </w:pPr>
      <w:r>
        <w:t xml:space="preserve">For the </w:t>
      </w:r>
      <w:proofErr w:type="spellStart"/>
      <w:r>
        <w:t>inavolisib</w:t>
      </w:r>
      <w:proofErr w:type="spellEnd"/>
      <w:r>
        <w:t xml:space="preserve"> component</w:t>
      </w:r>
      <w:r w:rsidR="005A498E">
        <w:t>,</w:t>
      </w:r>
      <w:r>
        <w:t xml:space="preserve"> the nominated comparator is </w:t>
      </w:r>
      <w:proofErr w:type="spellStart"/>
      <w:r w:rsidR="006E688F">
        <w:t>palbociclib</w:t>
      </w:r>
      <w:proofErr w:type="spellEnd"/>
      <w:r w:rsidR="006E688F">
        <w:t xml:space="preserve"> plus </w:t>
      </w:r>
      <w:proofErr w:type="spellStart"/>
      <w:r w:rsidR="006E688F">
        <w:t>fulvestrant</w:t>
      </w:r>
      <w:proofErr w:type="spellEnd"/>
      <w:r w:rsidR="005A498E">
        <w:t>.</w:t>
      </w:r>
    </w:p>
    <w:p w14:paraId="3E3431F7" w14:textId="69A0F94B" w:rsidR="00FE257E" w:rsidRDefault="00955904" w:rsidP="00BC0C43">
      <w:pPr>
        <w:pStyle w:val="Heading2"/>
      </w:pPr>
      <w:r>
        <w:t>List any existing MBS item numbers that are relevant for the nominated comparators</w:t>
      </w:r>
      <w:r w:rsidR="000627EF">
        <w:t>:</w:t>
      </w:r>
    </w:p>
    <w:p w14:paraId="63959FFE" w14:textId="5BA653A9" w:rsidR="00955904" w:rsidRDefault="003106F5" w:rsidP="00BC0C43">
      <w:r>
        <w:t xml:space="preserve">There are no existing MBS items numbers relevant for the nominated comparator of </w:t>
      </w:r>
      <w:r w:rsidR="00E20CBB">
        <w:t>no PIK3CA testing.</w:t>
      </w:r>
    </w:p>
    <w:p w14:paraId="54462804" w14:textId="2DAA5DDC" w:rsidR="00E20CBB" w:rsidRDefault="00E20CBB" w:rsidP="00BC0C43">
      <w:r>
        <w:t xml:space="preserve">Palbociclib and </w:t>
      </w:r>
      <w:proofErr w:type="spellStart"/>
      <w:r>
        <w:t>fulvestrant</w:t>
      </w:r>
      <w:proofErr w:type="spellEnd"/>
      <w:r>
        <w:t xml:space="preserve"> are both currently </w:t>
      </w:r>
      <w:r w:rsidR="00285B0B">
        <w:t xml:space="preserve">funded through the PBS as treatment for patients with </w:t>
      </w:r>
      <w:r w:rsidR="00B90315">
        <w:t>H</w:t>
      </w:r>
      <w:r w:rsidR="009A39AB">
        <w:t>ER+/HER2</w:t>
      </w:r>
      <w:r w:rsidR="00B90315">
        <w:t>-</w:t>
      </w:r>
      <w:r w:rsidR="009A39AB">
        <w:t xml:space="preserve"> locally advanced or metastatic breast cancer </w:t>
      </w:r>
      <w:r w:rsidR="00285B0B">
        <w:t>(</w:t>
      </w:r>
      <w:r w:rsidR="009A39AB">
        <w:fldChar w:fldCharType="begin"/>
      </w:r>
      <w:r w:rsidR="009A39AB">
        <w:instrText xml:space="preserve"> REF _Ref161841051 \h </w:instrText>
      </w:r>
      <w:r w:rsidR="009A39AB">
        <w:fldChar w:fldCharType="separate"/>
      </w:r>
      <w:r w:rsidR="00BA56B8">
        <w:t xml:space="preserve">Table </w:t>
      </w:r>
      <w:r w:rsidR="00BA56B8">
        <w:rPr>
          <w:noProof/>
        </w:rPr>
        <w:t>1</w:t>
      </w:r>
      <w:r w:rsidR="009A39AB">
        <w:fldChar w:fldCharType="end"/>
      </w:r>
      <w:r w:rsidR="00285B0B">
        <w:t>).</w:t>
      </w:r>
    </w:p>
    <w:p w14:paraId="56EF0A57" w14:textId="08C00CD9" w:rsidR="00285B0B" w:rsidRPr="002B05AD" w:rsidRDefault="003475AF" w:rsidP="003475AF">
      <w:pPr>
        <w:pStyle w:val="Caption"/>
        <w:rPr>
          <w:color w:val="auto"/>
        </w:rPr>
      </w:pPr>
      <w:bookmarkStart w:id="1" w:name="_Ref161841051"/>
      <w:r w:rsidRPr="002B05AD">
        <w:rPr>
          <w:color w:val="auto"/>
        </w:rPr>
        <w:t xml:space="preserve">Table </w:t>
      </w:r>
      <w:r w:rsidR="002B05AD" w:rsidRPr="002B05AD">
        <w:rPr>
          <w:color w:val="auto"/>
        </w:rPr>
        <w:fldChar w:fldCharType="begin"/>
      </w:r>
      <w:r w:rsidR="002B05AD" w:rsidRPr="002B05AD">
        <w:rPr>
          <w:color w:val="auto"/>
        </w:rPr>
        <w:instrText xml:space="preserve"> SEQ Table \* ARABIC </w:instrText>
      </w:r>
      <w:r w:rsidR="002B05AD" w:rsidRPr="002B05AD">
        <w:rPr>
          <w:color w:val="auto"/>
        </w:rPr>
        <w:fldChar w:fldCharType="separate"/>
      </w:r>
      <w:r w:rsidR="00BA56B8" w:rsidRPr="002B05AD">
        <w:rPr>
          <w:noProof/>
          <w:color w:val="auto"/>
        </w:rPr>
        <w:t>1</w:t>
      </w:r>
      <w:r w:rsidR="002B05AD" w:rsidRPr="002B05AD">
        <w:rPr>
          <w:noProof/>
          <w:color w:val="auto"/>
        </w:rPr>
        <w:fldChar w:fldCharType="end"/>
      </w:r>
      <w:bookmarkEnd w:id="1"/>
      <w:r w:rsidR="00D6668A" w:rsidRPr="002B05AD">
        <w:rPr>
          <w:color w:val="auto"/>
        </w:rPr>
        <w:t xml:space="preserve">: PBS codes for </w:t>
      </w:r>
      <w:proofErr w:type="spellStart"/>
      <w:r w:rsidR="00D6668A" w:rsidRPr="002B05AD">
        <w:rPr>
          <w:color w:val="auto"/>
        </w:rPr>
        <w:t>palbociclib</w:t>
      </w:r>
      <w:proofErr w:type="spellEnd"/>
      <w:r w:rsidR="00D6668A" w:rsidRPr="002B05AD">
        <w:rPr>
          <w:color w:val="auto"/>
        </w:rPr>
        <w:t xml:space="preserve"> and </w:t>
      </w:r>
      <w:proofErr w:type="spellStart"/>
      <w:r w:rsidR="00D6668A" w:rsidRPr="002B05AD">
        <w:rPr>
          <w:color w:val="auto"/>
        </w:rPr>
        <w:t>fulvestrant</w:t>
      </w:r>
      <w:proofErr w:type="spellEnd"/>
      <w:r w:rsidR="00577E23" w:rsidRPr="002B05AD">
        <w:rPr>
          <w:color w:val="auto"/>
        </w:rPr>
        <w:t xml:space="preserve"> (comparator treatment regimen)</w:t>
      </w:r>
    </w:p>
    <w:tbl>
      <w:tblPr>
        <w:tblStyle w:val="TableGrid"/>
        <w:tblW w:w="5000" w:type="pct"/>
        <w:tblLook w:val="04A0" w:firstRow="1" w:lastRow="0" w:firstColumn="1" w:lastColumn="0" w:noHBand="0" w:noVBand="1"/>
      </w:tblPr>
      <w:tblGrid>
        <w:gridCol w:w="4743"/>
        <w:gridCol w:w="4744"/>
      </w:tblGrid>
      <w:tr w:rsidR="00C73DE3" w14:paraId="21FF75D9" w14:textId="77777777" w:rsidTr="009A39AB">
        <w:tc>
          <w:tcPr>
            <w:tcW w:w="2500" w:type="pct"/>
          </w:tcPr>
          <w:p w14:paraId="249D4532" w14:textId="65D96C4F" w:rsidR="00C73DE3" w:rsidRPr="009A39AB" w:rsidRDefault="00C73DE3" w:rsidP="00BC0C43">
            <w:pPr>
              <w:rPr>
                <w:rFonts w:asciiTheme="minorHAnsi" w:eastAsia="Segoe UI" w:hAnsiTheme="minorHAnsi" w:cstheme="minorHAnsi"/>
                <w:b/>
                <w:bCs/>
                <w:color w:val="000000"/>
              </w:rPr>
            </w:pPr>
            <w:r w:rsidRPr="009A39AB">
              <w:rPr>
                <w:rFonts w:asciiTheme="minorHAnsi" w:eastAsia="Segoe UI" w:hAnsiTheme="minorHAnsi" w:cstheme="minorHAnsi"/>
                <w:b/>
                <w:bCs/>
                <w:color w:val="000000"/>
              </w:rPr>
              <w:t>Treatment</w:t>
            </w:r>
          </w:p>
        </w:tc>
        <w:tc>
          <w:tcPr>
            <w:tcW w:w="2500" w:type="pct"/>
          </w:tcPr>
          <w:p w14:paraId="40746781" w14:textId="6E1617B0" w:rsidR="00C73DE3" w:rsidRPr="009A39AB" w:rsidRDefault="00C73DE3" w:rsidP="00BC0C43">
            <w:pPr>
              <w:rPr>
                <w:rFonts w:asciiTheme="minorHAnsi" w:eastAsia="Segoe UI" w:hAnsiTheme="minorHAnsi" w:cstheme="minorHAnsi"/>
                <w:b/>
                <w:bCs/>
                <w:color w:val="000000"/>
              </w:rPr>
            </w:pPr>
            <w:r w:rsidRPr="009A39AB">
              <w:rPr>
                <w:rFonts w:asciiTheme="minorHAnsi" w:eastAsia="Segoe UI" w:hAnsiTheme="minorHAnsi" w:cstheme="minorHAnsi"/>
                <w:b/>
                <w:bCs/>
                <w:color w:val="000000"/>
              </w:rPr>
              <w:t>PBS code</w:t>
            </w:r>
            <w:r w:rsidR="009A39AB" w:rsidRPr="009A39AB">
              <w:rPr>
                <w:rFonts w:asciiTheme="minorHAnsi" w:eastAsia="Segoe UI" w:hAnsiTheme="minorHAnsi" w:cstheme="minorHAnsi"/>
                <w:b/>
                <w:bCs/>
                <w:color w:val="000000"/>
              </w:rPr>
              <w:t>(s)</w:t>
            </w:r>
          </w:p>
        </w:tc>
      </w:tr>
      <w:tr w:rsidR="00C73DE3" w14:paraId="48681641" w14:textId="77777777" w:rsidTr="009A39AB">
        <w:tc>
          <w:tcPr>
            <w:tcW w:w="2500" w:type="pct"/>
          </w:tcPr>
          <w:p w14:paraId="6058CC90" w14:textId="0C896C6B" w:rsidR="00C73DE3" w:rsidRPr="00DC728A" w:rsidRDefault="00C73DE3" w:rsidP="00DC728A">
            <w:r w:rsidRPr="00DC728A">
              <w:t>Palbociclib</w:t>
            </w:r>
          </w:p>
        </w:tc>
        <w:tc>
          <w:tcPr>
            <w:tcW w:w="2500" w:type="pct"/>
          </w:tcPr>
          <w:p w14:paraId="49AC9C22" w14:textId="3BF29A6E" w:rsidR="00C73DE3" w:rsidRPr="00DC728A" w:rsidRDefault="00C73DE3" w:rsidP="00DC728A">
            <w:r w:rsidRPr="00DC728A">
              <w:t>12822W, 12818P, 12819Q</w:t>
            </w:r>
          </w:p>
        </w:tc>
      </w:tr>
      <w:tr w:rsidR="00C73DE3" w14:paraId="4EEFAB53" w14:textId="77777777" w:rsidTr="009A39AB">
        <w:tc>
          <w:tcPr>
            <w:tcW w:w="2500" w:type="pct"/>
          </w:tcPr>
          <w:p w14:paraId="5C2A9719" w14:textId="1A5EA3EE" w:rsidR="00C73DE3" w:rsidRPr="00DC728A" w:rsidRDefault="00C73DE3" w:rsidP="00DC728A">
            <w:proofErr w:type="spellStart"/>
            <w:r w:rsidRPr="00DC728A">
              <w:t>Fulvestrant</w:t>
            </w:r>
            <w:proofErr w:type="spellEnd"/>
          </w:p>
        </w:tc>
        <w:tc>
          <w:tcPr>
            <w:tcW w:w="2500" w:type="pct"/>
          </w:tcPr>
          <w:p w14:paraId="68F391F7" w14:textId="19E6D050" w:rsidR="00C73DE3" w:rsidRPr="00DC728A" w:rsidRDefault="00C73DE3" w:rsidP="00DC728A">
            <w:r w:rsidRPr="00DC728A">
              <w:t>12300J</w:t>
            </w:r>
          </w:p>
        </w:tc>
      </w:tr>
    </w:tbl>
    <w:p w14:paraId="7AE42CF7" w14:textId="1FFF8B0A" w:rsidR="00FE257E" w:rsidRPr="00BC0C43" w:rsidRDefault="00EA0AA0" w:rsidP="00BC0C43">
      <w:pPr>
        <w:pStyle w:val="Heading2"/>
      </w:pPr>
      <w:r>
        <w:t>P</w:t>
      </w:r>
      <w:r w:rsidR="005B5A58">
        <w:t>rovide a rationale for why this is a comparator</w:t>
      </w:r>
      <w:r w:rsidR="000627EF">
        <w:t>:</w:t>
      </w:r>
    </w:p>
    <w:p w14:paraId="726EB109" w14:textId="149D281B" w:rsidR="00CA2179" w:rsidRDefault="00CA2179" w:rsidP="00CA2179">
      <w:r w:rsidRPr="006A706D">
        <w:rPr>
          <w:b/>
          <w:bCs/>
        </w:rPr>
        <w:t>PIK3CA testing:</w:t>
      </w:r>
      <w:r>
        <w:t xml:space="preserve"> </w:t>
      </w:r>
      <w:r w:rsidR="00FA0734">
        <w:t>Wh</w:t>
      </w:r>
      <w:r w:rsidR="00570DC7">
        <w:t>i</w:t>
      </w:r>
      <w:r w:rsidR="00FA0734">
        <w:t>le not reimbursed through the MBS</w:t>
      </w:r>
      <w:r w:rsidR="00DC728A">
        <w:t>,</w:t>
      </w:r>
      <w:r w:rsidR="00FA0734">
        <w:t xml:space="preserve"> </w:t>
      </w:r>
      <w:r>
        <w:t xml:space="preserve">PIK3CA testing in breast cancer patients is currently being undertaken in several private and public molecular pathology laboratories. As such, it is reasonable to claim that, to some extent, PIK3CA testing </w:t>
      </w:r>
      <w:r w:rsidR="006234C3">
        <w:t>represents</w:t>
      </w:r>
      <w:r>
        <w:t xml:space="preserve"> established practice.</w:t>
      </w:r>
    </w:p>
    <w:p w14:paraId="5652BD26" w14:textId="07C7F8AE" w:rsidR="004D682E" w:rsidRDefault="00CA2179" w:rsidP="004D682E">
      <w:r>
        <w:t>As outlined in the</w:t>
      </w:r>
      <w:r w:rsidR="008908D3">
        <w:t xml:space="preserve"> Medical Services Advisory Committee (</w:t>
      </w:r>
      <w:r>
        <w:t>MSAC</w:t>
      </w:r>
      <w:r w:rsidR="008908D3">
        <w:t>)</w:t>
      </w:r>
      <w:r>
        <w:t xml:space="preserve"> Guidelines</w:t>
      </w:r>
      <w:r w:rsidR="004D682E">
        <w:t xml:space="preserve"> “</w:t>
      </w:r>
      <w:r w:rsidR="00DE6D6C">
        <w:t>i</w:t>
      </w:r>
      <w:r w:rsidR="004D682E">
        <w:t>n situations where the health technology proposed for public funding is already established practice</w:t>
      </w:r>
      <w:r w:rsidR="00DE6D6C">
        <w:t xml:space="preserve"> </w:t>
      </w:r>
      <w:r w:rsidR="004D682E">
        <w:t>(i.e. it has already ‘diffused’), the comparator should be what was used before the introduction of</w:t>
      </w:r>
      <w:r w:rsidR="00DE6D6C">
        <w:t xml:space="preserve"> </w:t>
      </w:r>
      <w:r w:rsidR="004D682E">
        <w:t>the health technology</w:t>
      </w:r>
      <w:r w:rsidR="00DE6D6C">
        <w:t>” (</w:t>
      </w:r>
      <w:r w:rsidR="003710F5">
        <w:t xml:space="preserve">MSAC 2021 </w:t>
      </w:r>
      <w:r w:rsidR="00DE6D6C">
        <w:t>p. 36)</w:t>
      </w:r>
      <w:r w:rsidR="004D682E">
        <w:t>.</w:t>
      </w:r>
    </w:p>
    <w:p w14:paraId="436A141D" w14:textId="18ABF21D" w:rsidR="00DE6D6C" w:rsidRDefault="00DE6D6C" w:rsidP="004D682E">
      <w:r>
        <w:t>The nomination o</w:t>
      </w:r>
      <w:r w:rsidR="009A6C44">
        <w:t>f ‘</w:t>
      </w:r>
      <w:r w:rsidR="00951C8E">
        <w:t xml:space="preserve">no PIK3CA testing’ </w:t>
      </w:r>
      <w:r w:rsidR="00D65652">
        <w:t xml:space="preserve">aligns with </w:t>
      </w:r>
      <w:r w:rsidR="00626319">
        <w:t xml:space="preserve">the approach to comparator selection outlined in the MSAC Guidelines </w:t>
      </w:r>
      <w:r w:rsidR="00D65652">
        <w:t xml:space="preserve">in </w:t>
      </w:r>
      <w:r w:rsidR="00EE57B1">
        <w:t xml:space="preserve">that it </w:t>
      </w:r>
      <w:r w:rsidR="007B3B1F">
        <w:t>reflects what was used before the introduction of PIK3CA testing</w:t>
      </w:r>
      <w:r w:rsidR="00D65652">
        <w:t>.</w:t>
      </w:r>
    </w:p>
    <w:p w14:paraId="37CD0498" w14:textId="53124F03" w:rsidR="00D65652" w:rsidRDefault="00D65652" w:rsidP="004D682E">
      <w:proofErr w:type="spellStart"/>
      <w:r w:rsidRPr="009E79C7">
        <w:rPr>
          <w:b/>
          <w:bCs/>
        </w:rPr>
        <w:t>In</w:t>
      </w:r>
      <w:r w:rsidR="009E79C7" w:rsidRPr="009E79C7">
        <w:rPr>
          <w:b/>
          <w:bCs/>
        </w:rPr>
        <w:t>avolisib</w:t>
      </w:r>
      <w:proofErr w:type="spellEnd"/>
      <w:r w:rsidR="009E79C7" w:rsidRPr="009E79C7">
        <w:rPr>
          <w:b/>
          <w:bCs/>
        </w:rPr>
        <w:t>:</w:t>
      </w:r>
      <w:r w:rsidR="009E79C7" w:rsidRPr="009F7673">
        <w:t xml:space="preserve"> </w:t>
      </w:r>
      <w:r w:rsidR="000247BF" w:rsidRPr="009F7673">
        <w:t>In the INAVO120 trial</w:t>
      </w:r>
      <w:r w:rsidR="008152FF" w:rsidRPr="009F7673">
        <w:t xml:space="preserve"> patients were randomised to receive </w:t>
      </w:r>
      <w:proofErr w:type="spellStart"/>
      <w:r w:rsidR="009F7673" w:rsidRPr="009F7673">
        <w:t>inavolisib</w:t>
      </w:r>
      <w:proofErr w:type="spellEnd"/>
      <w:r w:rsidR="009F7673" w:rsidRPr="009F7673">
        <w:t xml:space="preserve"> in combination with </w:t>
      </w:r>
      <w:proofErr w:type="spellStart"/>
      <w:r w:rsidR="009F7673" w:rsidRPr="009F7673">
        <w:t>palbociclib</w:t>
      </w:r>
      <w:proofErr w:type="spellEnd"/>
      <w:r w:rsidR="009F7673" w:rsidRPr="009F7673">
        <w:t xml:space="preserve"> plus </w:t>
      </w:r>
      <w:proofErr w:type="spellStart"/>
      <w:r w:rsidR="009F7673" w:rsidRPr="009F7673">
        <w:t>fulvestrant</w:t>
      </w:r>
      <w:proofErr w:type="spellEnd"/>
      <w:r w:rsidR="009F7673" w:rsidRPr="009F7673">
        <w:t xml:space="preserve"> or placebo in combination with </w:t>
      </w:r>
      <w:proofErr w:type="spellStart"/>
      <w:r w:rsidR="009F7673" w:rsidRPr="009F7673">
        <w:t>palbociclib</w:t>
      </w:r>
      <w:proofErr w:type="spellEnd"/>
      <w:r w:rsidR="009F7673" w:rsidRPr="009F7673">
        <w:t xml:space="preserve"> plus </w:t>
      </w:r>
      <w:proofErr w:type="spellStart"/>
      <w:r w:rsidR="009F7673" w:rsidRPr="009F7673">
        <w:t>fulvestrant</w:t>
      </w:r>
      <w:proofErr w:type="spellEnd"/>
      <w:r w:rsidR="009F7673" w:rsidRPr="009F7673">
        <w:t>.</w:t>
      </w:r>
    </w:p>
    <w:p w14:paraId="068ED05C" w14:textId="2DA9BC39" w:rsidR="009F7673" w:rsidRDefault="009F7673" w:rsidP="004D682E">
      <w:r>
        <w:lastRenderedPageBreak/>
        <w:t xml:space="preserve">The </w:t>
      </w:r>
      <w:r w:rsidR="002324AE">
        <w:t>choice of clinical trial comparator (</w:t>
      </w:r>
      <w:proofErr w:type="spellStart"/>
      <w:r w:rsidR="002324AE">
        <w:t>palbociclib</w:t>
      </w:r>
      <w:proofErr w:type="spellEnd"/>
      <w:r w:rsidR="002324AE">
        <w:t xml:space="preserve"> plus </w:t>
      </w:r>
      <w:proofErr w:type="spellStart"/>
      <w:r w:rsidR="002324AE">
        <w:t>fulvestrant</w:t>
      </w:r>
      <w:proofErr w:type="spellEnd"/>
      <w:r w:rsidR="00487800">
        <w:t xml:space="preserve">) </w:t>
      </w:r>
      <w:r w:rsidR="00516651">
        <w:t>represents a</w:t>
      </w:r>
      <w:r w:rsidR="00D53F67">
        <w:t xml:space="preserve"> preferred first line treatment regimen </w:t>
      </w:r>
      <w:r w:rsidR="00724A85">
        <w:t xml:space="preserve">for HR+/HER2- </w:t>
      </w:r>
      <w:r w:rsidR="00176622">
        <w:t xml:space="preserve">metastatic or advanced </w:t>
      </w:r>
      <w:r w:rsidR="00724A85">
        <w:t>breast cancer</w:t>
      </w:r>
      <w:r w:rsidR="007D41F2">
        <w:t xml:space="preserve"> </w:t>
      </w:r>
      <w:r w:rsidR="007D41F2">
        <w:fldChar w:fldCharType="begin"/>
      </w:r>
      <w:r w:rsidR="007D41F2">
        <w:instrText xml:space="preserve"> ADDIN EN.CITE &lt;EndNote&gt;&lt;Cite&gt;&lt;Author&gt;NCCN&lt;/Author&gt;&lt;Year&gt;2024&lt;/Year&gt;&lt;RecNum&gt;2388&lt;/RecNum&gt;&lt;DisplayText&gt;(NCCN 2024)&lt;/DisplayText&gt;&lt;record&gt;&lt;rec-number&gt;2388&lt;/rec-number&gt;&lt;foreign-keys&gt;&lt;key app="EN" db-id="ezvspvpphdrt93e9asepdx5etr9rf5rptvp0" timestamp="1710977387"&gt;2388&lt;/key&gt;&lt;/foreign-keys&gt;&lt;ref-type name="Government Document"&gt;46&lt;/ref-type&gt;&lt;contributors&gt;&lt;authors&gt;&lt;author&gt;NCCN,&lt;/author&gt;&lt;/authors&gt;&lt;secondary-authors&gt;&lt;author&gt;National Comprehensive Cancer Network&lt;/author&gt;&lt;/secondary-authors&gt;&lt;/contributors&gt;&lt;titles&gt;&lt;title&gt;NCCN Clinical Practice Guidelines in Oncology (NCCN Guidelines®): Breast Cancer (Version 2.2024 - March 12, 2024)&lt;/title&gt;&lt;/titles&gt;&lt;dates&gt;&lt;year&gt;2024&lt;/year&gt;&lt;/dates&gt;&lt;urls&gt;&lt;/urls&gt;&lt;/record&gt;&lt;/Cite&gt;&lt;/EndNote&gt;</w:instrText>
      </w:r>
      <w:r w:rsidR="007D41F2">
        <w:fldChar w:fldCharType="separate"/>
      </w:r>
      <w:r w:rsidR="007D41F2">
        <w:rPr>
          <w:noProof/>
        </w:rPr>
        <w:t>(NCCN 2024)</w:t>
      </w:r>
      <w:r w:rsidR="007D41F2">
        <w:fldChar w:fldCharType="end"/>
      </w:r>
      <w:r w:rsidR="00501DED">
        <w:t>.</w:t>
      </w:r>
      <w:r w:rsidR="00C07D3F">
        <w:t xml:space="preserve"> </w:t>
      </w:r>
      <w:r w:rsidR="00CF6BCF">
        <w:t>Palbociclib (</w:t>
      </w:r>
      <w:r w:rsidR="007A0BDE">
        <w:t xml:space="preserve">a CDK 4/6 inhibitor) and </w:t>
      </w:r>
      <w:proofErr w:type="spellStart"/>
      <w:r w:rsidR="007A0BDE">
        <w:t>fulvestrant</w:t>
      </w:r>
      <w:proofErr w:type="spellEnd"/>
      <w:r w:rsidR="00234C83">
        <w:t xml:space="preserve"> are both listed on the </w:t>
      </w:r>
      <w:r w:rsidR="00F32A5B">
        <w:t>PBS and</w:t>
      </w:r>
      <w:r w:rsidR="00FA606E">
        <w:t xml:space="preserve"> would be </w:t>
      </w:r>
      <w:r w:rsidR="00FF06FE">
        <w:t xml:space="preserve">required to be </w:t>
      </w:r>
      <w:r w:rsidR="00FA606E">
        <w:t xml:space="preserve">used in </w:t>
      </w:r>
      <w:r w:rsidR="008426C1">
        <w:t xml:space="preserve">combination with </w:t>
      </w:r>
      <w:proofErr w:type="spellStart"/>
      <w:r w:rsidR="008426C1">
        <w:t>inavolisib</w:t>
      </w:r>
      <w:proofErr w:type="spellEnd"/>
      <w:r w:rsidR="008426C1">
        <w:t xml:space="preserve"> in patients identified with PIK3CA </w:t>
      </w:r>
      <w:r w:rsidR="00E7027F">
        <w:t>mutations</w:t>
      </w:r>
      <w:r w:rsidR="00FF06FE">
        <w:t xml:space="preserve"> through the foreshadowed PBS restriction </w:t>
      </w:r>
      <w:r w:rsidR="00757258">
        <w:t xml:space="preserve">for </w:t>
      </w:r>
      <w:proofErr w:type="spellStart"/>
      <w:r w:rsidR="00757258">
        <w:t>inavolisib</w:t>
      </w:r>
      <w:proofErr w:type="spellEnd"/>
      <w:r w:rsidR="00757258">
        <w:t xml:space="preserve"> presented to the </w:t>
      </w:r>
      <w:r w:rsidR="006A06DF">
        <w:t>Pharmaceutical Benefits Advisory Committee (</w:t>
      </w:r>
      <w:r w:rsidR="00757258">
        <w:t>PBAC</w:t>
      </w:r>
      <w:r w:rsidR="006A06DF">
        <w:t>)</w:t>
      </w:r>
      <w:r w:rsidR="00E7027F">
        <w:t>.</w:t>
      </w:r>
    </w:p>
    <w:p w14:paraId="229575DB" w14:textId="0485DBAC" w:rsidR="00E7027F" w:rsidRPr="009E79C7" w:rsidRDefault="00E7027F" w:rsidP="004D682E">
      <w:pPr>
        <w:rPr>
          <w:b/>
          <w:bCs/>
        </w:rPr>
      </w:pPr>
      <w:r>
        <w:t xml:space="preserve">Nomination of </w:t>
      </w:r>
      <w:proofErr w:type="spellStart"/>
      <w:r w:rsidR="00C61094">
        <w:t>palbociclib</w:t>
      </w:r>
      <w:proofErr w:type="spellEnd"/>
      <w:r w:rsidR="00C61094">
        <w:t xml:space="preserve"> plus </w:t>
      </w:r>
      <w:proofErr w:type="spellStart"/>
      <w:r w:rsidR="00C61094">
        <w:t>fulvestrant</w:t>
      </w:r>
      <w:proofErr w:type="spellEnd"/>
      <w:r w:rsidR="00C61094">
        <w:t xml:space="preserve"> as the comparator treatment regimen will allow the PBAC to assess the incremental </w:t>
      </w:r>
      <w:r w:rsidR="00496F3B">
        <w:t xml:space="preserve">safety and effectiveness of adding </w:t>
      </w:r>
      <w:proofErr w:type="spellStart"/>
      <w:r w:rsidR="00496F3B">
        <w:t>inavolisib</w:t>
      </w:r>
      <w:proofErr w:type="spellEnd"/>
      <w:r w:rsidR="00496F3B">
        <w:t xml:space="preserve"> to </w:t>
      </w:r>
      <w:proofErr w:type="spellStart"/>
      <w:r w:rsidR="00773B7D">
        <w:t>palbociclib</w:t>
      </w:r>
      <w:proofErr w:type="spellEnd"/>
      <w:r w:rsidR="00773B7D">
        <w:t xml:space="preserve"> plus </w:t>
      </w:r>
      <w:proofErr w:type="spellStart"/>
      <w:r w:rsidR="00773B7D">
        <w:t>fulvestrant</w:t>
      </w:r>
      <w:proofErr w:type="spellEnd"/>
      <w:r w:rsidR="00773B7D">
        <w:t xml:space="preserve"> in</w:t>
      </w:r>
      <w:r w:rsidR="00AB6F2F">
        <w:t xml:space="preserve"> patients with HR+/HER2-/PIK3CA</w:t>
      </w:r>
      <w:r w:rsidR="00560EC0">
        <w:t xml:space="preserve"> </w:t>
      </w:r>
      <w:r w:rsidR="00AB6F2F">
        <w:t>mut</w:t>
      </w:r>
      <w:r w:rsidR="00560EC0">
        <w:t>ated</w:t>
      </w:r>
      <w:r w:rsidR="00AB6F2F">
        <w:t xml:space="preserve"> locally advanced or metastatic </w:t>
      </w:r>
      <w:r w:rsidR="00501DED">
        <w:t>breast cancer.</w:t>
      </w:r>
    </w:p>
    <w:p w14:paraId="7D835BE0" w14:textId="5F88B30C" w:rsidR="00361BBE" w:rsidRDefault="005B5A58" w:rsidP="00BC0C43">
      <w:pPr>
        <w:pStyle w:val="Heading2"/>
      </w:pPr>
      <w:r>
        <w:t xml:space="preserve">Pattern of substitution – Will the proposed health technology wholly replace the proposed comparator, partially replace </w:t>
      </w:r>
      <w:r w:rsidR="000627EF">
        <w:t>the proposed comparator, displace the proposed comparator or be used in combination with the proposed comparator?</w:t>
      </w:r>
    </w:p>
    <w:p w14:paraId="0A5F4C44" w14:textId="1A49B66B" w:rsidR="000627EF" w:rsidRPr="00582377" w:rsidRDefault="004D764C" w:rsidP="00582377">
      <w:pPr>
        <w:pStyle w:val="Tickboxes"/>
      </w:pPr>
      <w:r>
        <w:fldChar w:fldCharType="begin">
          <w:ffData>
            <w:name w:val=""/>
            <w:enabled/>
            <w:calcOnExit w:val="0"/>
            <w:checkBox>
              <w:sizeAuto/>
              <w:default w:val="1"/>
            </w:checkBox>
          </w:ffData>
        </w:fldChar>
      </w:r>
      <w:r>
        <w:instrText xml:space="preserve"> FORMCHECKBOX </w:instrText>
      </w:r>
      <w:r w:rsidR="005623BF">
        <w:fldChar w:fldCharType="separate"/>
      </w:r>
      <w:r>
        <w:fldChar w:fldCharType="end"/>
      </w:r>
      <w:r w:rsidR="00BC0C43" w:rsidRPr="00582377">
        <w:t xml:space="preserve"> </w:t>
      </w:r>
      <w:r w:rsidR="000627EF" w:rsidRPr="00582377">
        <w:t xml:space="preserve">None </w:t>
      </w:r>
      <w:r w:rsidR="00BC0C43" w:rsidRPr="00582377">
        <w:t>(u</w:t>
      </w:r>
      <w:r w:rsidR="000627EF" w:rsidRPr="00582377">
        <w:t>sed with the comparator</w:t>
      </w:r>
      <w:r w:rsidR="00BC0C43" w:rsidRPr="00582377">
        <w:t>)</w:t>
      </w:r>
    </w:p>
    <w:p w14:paraId="04FD711F" w14:textId="717AF290" w:rsidR="000627EF" w:rsidRPr="00582377" w:rsidRDefault="000627EF"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005623BF">
        <w:fldChar w:fldCharType="separate"/>
      </w:r>
      <w:r w:rsidRPr="00582377">
        <w:fldChar w:fldCharType="end"/>
      </w:r>
      <w:r w:rsidRPr="00582377">
        <w:t xml:space="preserve"> Displaced </w:t>
      </w:r>
      <w:r w:rsidR="00BC0C43" w:rsidRPr="00582377">
        <w:t>(c</w:t>
      </w:r>
      <w:r w:rsidRPr="00582377">
        <w:t>omparator will likely be used following the proposed technology in some patients</w:t>
      </w:r>
      <w:r w:rsidR="00BC0C43" w:rsidRPr="00582377">
        <w:t>)</w:t>
      </w:r>
    </w:p>
    <w:p w14:paraId="3243B3BE" w14:textId="18E7DF4B" w:rsidR="000627EF" w:rsidRPr="00582377" w:rsidRDefault="000627EF" w:rsidP="00582377">
      <w:pPr>
        <w:pStyle w:val="Tickboxes"/>
      </w:pPr>
      <w:r w:rsidRPr="00582377">
        <w:fldChar w:fldCharType="begin">
          <w:ffData>
            <w:name w:val="Check1"/>
            <w:enabled/>
            <w:calcOnExit w:val="0"/>
            <w:checkBox>
              <w:sizeAuto/>
              <w:default w:val="0"/>
            </w:checkBox>
          </w:ffData>
        </w:fldChar>
      </w:r>
      <w:r w:rsidRPr="00582377">
        <w:instrText xml:space="preserve"> FORMCHECKBOX </w:instrText>
      </w:r>
      <w:r w:rsidR="005623BF">
        <w:fldChar w:fldCharType="separate"/>
      </w:r>
      <w:r w:rsidRPr="00582377">
        <w:fldChar w:fldCharType="end"/>
      </w:r>
      <w:r w:rsidRPr="00582377">
        <w:t xml:space="preserve"> Partial </w:t>
      </w:r>
      <w:r w:rsidR="00BC0C43" w:rsidRPr="00582377">
        <w:t>(in</w:t>
      </w:r>
      <w:r w:rsidRPr="00582377">
        <w:t xml:space="preserve"> some cases, the proposed technology will replace the use of the comparator, but not all</w:t>
      </w:r>
      <w:r w:rsidR="00BC0C43" w:rsidRPr="00582377">
        <w:t>)</w:t>
      </w:r>
    </w:p>
    <w:p w14:paraId="32AA0FD6" w14:textId="105F130E" w:rsidR="000627EF" w:rsidRPr="00582377" w:rsidRDefault="004D764C" w:rsidP="00582377">
      <w:pPr>
        <w:pStyle w:val="Tickboxes"/>
      </w:pPr>
      <w:r>
        <w:fldChar w:fldCharType="begin">
          <w:ffData>
            <w:name w:val=""/>
            <w:enabled/>
            <w:calcOnExit w:val="0"/>
            <w:checkBox>
              <w:sizeAuto/>
              <w:default w:val="1"/>
            </w:checkBox>
          </w:ffData>
        </w:fldChar>
      </w:r>
      <w:r>
        <w:instrText xml:space="preserve"> FORMCHECKBOX </w:instrText>
      </w:r>
      <w:r w:rsidR="005623BF">
        <w:fldChar w:fldCharType="separate"/>
      </w:r>
      <w:r>
        <w:fldChar w:fldCharType="end"/>
      </w:r>
      <w:r w:rsidR="000627EF" w:rsidRPr="00582377">
        <w:t xml:space="preserve"> Full </w:t>
      </w:r>
      <w:r w:rsidR="00BC0C43" w:rsidRPr="00582377">
        <w:t>(s</w:t>
      </w:r>
      <w:r w:rsidR="000627EF" w:rsidRPr="00582377">
        <w:t>ubjects who receive the proposed intervention will not receive the comparator</w:t>
      </w:r>
      <w:r w:rsidR="00BC0C43" w:rsidRPr="00582377">
        <w:t>)</w:t>
      </w:r>
    </w:p>
    <w:p w14:paraId="3D9A6633" w14:textId="0FC8A361" w:rsidR="000627EF" w:rsidRPr="00582377" w:rsidRDefault="00EA0AA0" w:rsidP="00582377">
      <w:pPr>
        <w:pStyle w:val="Heading2"/>
      </w:pPr>
      <w:r>
        <w:t>Outline and e</w:t>
      </w:r>
      <w:r w:rsidR="000627EF" w:rsidRPr="00582377">
        <w:t>xplain the extent to which the current comparator is expected to be substituted:</w:t>
      </w:r>
    </w:p>
    <w:p w14:paraId="674F8F96" w14:textId="5A7B3AFB" w:rsidR="000627EF" w:rsidRDefault="00B40CD5" w:rsidP="00BC0C43">
      <w:r>
        <w:t xml:space="preserve">When requested, </w:t>
      </w:r>
      <w:r w:rsidR="00563CA4">
        <w:t xml:space="preserve">PIK3CA testing would fully </w:t>
      </w:r>
      <w:r w:rsidR="00121472">
        <w:t xml:space="preserve">replace the </w:t>
      </w:r>
      <w:r>
        <w:t>comparator of no PIK3CA testing</w:t>
      </w:r>
      <w:r w:rsidR="006A06DF">
        <w:t>.</w:t>
      </w:r>
    </w:p>
    <w:p w14:paraId="6EDF66B7" w14:textId="3B385999" w:rsidR="00B40CD5" w:rsidRPr="00BE6B22" w:rsidRDefault="00EF726E" w:rsidP="00BC0C43">
      <w:pPr>
        <w:rPr>
          <w:rFonts w:asciiTheme="minorHAnsi" w:eastAsia="Segoe UI" w:hAnsiTheme="minorHAnsi" w:cstheme="minorHAnsi"/>
          <w:color w:val="000000"/>
        </w:rPr>
      </w:pPr>
      <w:r>
        <w:t xml:space="preserve">When prescribed, </w:t>
      </w:r>
      <w:proofErr w:type="spellStart"/>
      <w:r>
        <w:t>i</w:t>
      </w:r>
      <w:r w:rsidR="00501C0C">
        <w:t>navolisib</w:t>
      </w:r>
      <w:proofErr w:type="spellEnd"/>
      <w:r w:rsidR="00501C0C">
        <w:t xml:space="preserve"> </w:t>
      </w:r>
      <w:r w:rsidR="00EE57B1">
        <w:t>would</w:t>
      </w:r>
      <w:r w:rsidR="00501C0C">
        <w:t xml:space="preserve"> be used with comparator of</w:t>
      </w:r>
      <w:r w:rsidR="005A3D78">
        <w:t xml:space="preserve"> </w:t>
      </w:r>
      <w:proofErr w:type="spellStart"/>
      <w:r w:rsidR="005A3D78">
        <w:t>palbociclib</w:t>
      </w:r>
      <w:proofErr w:type="spellEnd"/>
      <w:r w:rsidR="005A3D78">
        <w:t xml:space="preserve"> plus </w:t>
      </w:r>
      <w:proofErr w:type="spellStart"/>
      <w:r w:rsidR="005A3D78">
        <w:t>fulvestrant</w:t>
      </w:r>
      <w:proofErr w:type="spellEnd"/>
      <w:r w:rsidR="005A3D78">
        <w:t>.</w:t>
      </w:r>
    </w:p>
    <w:p w14:paraId="527F0163" w14:textId="2737A668" w:rsidR="0016065A" w:rsidRPr="00EA0AA0" w:rsidRDefault="0016065A" w:rsidP="00EA0AA0">
      <w:pPr>
        <w:pStyle w:val="Heading1"/>
      </w:pPr>
      <w:r w:rsidRPr="00EA0AA0">
        <w:t>Outcome</w:t>
      </w:r>
      <w:r w:rsidR="00770FA6" w:rsidRPr="00EA0AA0">
        <w:t>s</w:t>
      </w:r>
    </w:p>
    <w:p w14:paraId="17E1F7BE" w14:textId="126E1179" w:rsidR="00361BBE" w:rsidRDefault="004C02B7" w:rsidP="00361BBE">
      <w:pPr>
        <w:pStyle w:val="Heading2"/>
        <w:spacing w:after="120"/>
      </w:pPr>
      <w:r>
        <w:t>List the key health outcomes (major and minor – prioritising major key health outcomes first) that will need to be measured in assessing the clinical claim for the proposed medical service/technology (versus the comparator):</w:t>
      </w:r>
    </w:p>
    <w:p w14:paraId="2BA09AC5" w14:textId="3D7E4D18" w:rsidR="004C02B7" w:rsidRDefault="005A3D78" w:rsidP="00582377">
      <w:pPr>
        <w:pStyle w:val="Tickboxes"/>
      </w:pPr>
      <w:r>
        <w:fldChar w:fldCharType="begin">
          <w:ffData>
            <w:name w:val="Check1"/>
            <w:enabled/>
            <w:calcOnExit w:val="0"/>
            <w:checkBox>
              <w:sizeAuto/>
              <w:default w:val="1"/>
            </w:checkBox>
          </w:ffData>
        </w:fldChar>
      </w:r>
      <w:bookmarkStart w:id="2" w:name="Check1"/>
      <w:r>
        <w:instrText xml:space="preserve"> FORMCHECKBOX </w:instrText>
      </w:r>
      <w:r w:rsidR="005623BF">
        <w:fldChar w:fldCharType="separate"/>
      </w:r>
      <w:r>
        <w:fldChar w:fldCharType="end"/>
      </w:r>
      <w:bookmarkEnd w:id="2"/>
      <w:r w:rsidR="00BC0C43" w:rsidRPr="00BC0C43">
        <w:t xml:space="preserve"> </w:t>
      </w:r>
      <w:r w:rsidR="004C02B7" w:rsidRPr="00BC0C43">
        <w:t>Health benefits</w:t>
      </w:r>
    </w:p>
    <w:p w14:paraId="58E05794" w14:textId="77777777" w:rsidR="00573C6F" w:rsidRDefault="00573C6F" w:rsidP="00582377">
      <w:pPr>
        <w:pStyle w:val="Tickboxes"/>
      </w:pPr>
    </w:p>
    <w:p w14:paraId="53D711E5" w14:textId="26524F3C" w:rsidR="00F50237" w:rsidRDefault="00F50237" w:rsidP="00582377">
      <w:pPr>
        <w:pStyle w:val="Tickboxes"/>
      </w:pPr>
      <w:r>
        <w:t>Major outcome: Progression</w:t>
      </w:r>
      <w:r w:rsidR="00465FF5">
        <w:t xml:space="preserve"> </w:t>
      </w:r>
      <w:r>
        <w:t>free survival</w:t>
      </w:r>
    </w:p>
    <w:p w14:paraId="4F3EF524" w14:textId="1EFB2A05" w:rsidR="00C172AE" w:rsidRDefault="00C172AE" w:rsidP="00582377">
      <w:pPr>
        <w:pStyle w:val="Tickboxes"/>
      </w:pPr>
      <w:r>
        <w:t xml:space="preserve">Major outcome: Overall </w:t>
      </w:r>
      <w:r w:rsidR="00EF726E">
        <w:t>survival</w:t>
      </w:r>
    </w:p>
    <w:p w14:paraId="735F0FAC" w14:textId="160B48E3" w:rsidR="00F50237" w:rsidRDefault="00270B50" w:rsidP="00582377">
      <w:pPr>
        <w:pStyle w:val="Tickboxes"/>
      </w:pPr>
      <w:r>
        <w:t xml:space="preserve">Minor outcome: </w:t>
      </w:r>
      <w:r w:rsidR="00FB263F">
        <w:t xml:space="preserve">Objective response </w:t>
      </w:r>
      <w:r w:rsidR="008A7BF7">
        <w:t>rate</w:t>
      </w:r>
    </w:p>
    <w:p w14:paraId="1BB787CA" w14:textId="78D6EFEB" w:rsidR="008A7BF7" w:rsidRDefault="008A7BF7" w:rsidP="00582377">
      <w:pPr>
        <w:pStyle w:val="Tickboxes"/>
      </w:pPr>
      <w:r>
        <w:t>Minor outcome:</w:t>
      </w:r>
      <w:r w:rsidR="00997DCE">
        <w:t xml:space="preserve"> Best overall response</w:t>
      </w:r>
    </w:p>
    <w:p w14:paraId="02EEA7C6" w14:textId="5004CA41" w:rsidR="00997DCE" w:rsidRDefault="00997DCE" w:rsidP="00582377">
      <w:pPr>
        <w:pStyle w:val="Tickboxes"/>
      </w:pPr>
      <w:r>
        <w:t>Minor outcome: Duration of response</w:t>
      </w:r>
    </w:p>
    <w:p w14:paraId="61A71188" w14:textId="67CA4254" w:rsidR="00997DCE" w:rsidRDefault="00997DCE" w:rsidP="00582377">
      <w:pPr>
        <w:pStyle w:val="Tickboxes"/>
      </w:pPr>
      <w:r>
        <w:t>Minor outcome: Clinical benefit rate</w:t>
      </w:r>
    </w:p>
    <w:p w14:paraId="7A40BA98" w14:textId="2487D24B" w:rsidR="00C172AE" w:rsidRDefault="00C172AE" w:rsidP="00582377">
      <w:pPr>
        <w:pStyle w:val="Tickboxes"/>
      </w:pPr>
      <w:r>
        <w:t>Minor outcome: Health-related quality of l</w:t>
      </w:r>
      <w:r w:rsidR="00EF726E">
        <w:t>i</w:t>
      </w:r>
      <w:r>
        <w:t>fe</w:t>
      </w:r>
    </w:p>
    <w:p w14:paraId="37B61B99" w14:textId="77777777" w:rsidR="00573C6F" w:rsidRPr="00BC0C43" w:rsidRDefault="00573C6F" w:rsidP="00582377">
      <w:pPr>
        <w:pStyle w:val="Tickboxes"/>
      </w:pPr>
    </w:p>
    <w:p w14:paraId="4B5E35E8" w14:textId="53C41092" w:rsidR="004C02B7" w:rsidRDefault="005A3D78" w:rsidP="00582377">
      <w:pPr>
        <w:pStyle w:val="Tickboxes"/>
      </w:pPr>
      <w:r>
        <w:fldChar w:fldCharType="begin">
          <w:ffData>
            <w:name w:val=""/>
            <w:enabled/>
            <w:calcOnExit w:val="0"/>
            <w:checkBox>
              <w:sizeAuto/>
              <w:default w:val="1"/>
            </w:checkBox>
          </w:ffData>
        </w:fldChar>
      </w:r>
      <w:r>
        <w:instrText xml:space="preserve"> FORMCHECKBOX </w:instrText>
      </w:r>
      <w:r w:rsidR="005623BF">
        <w:fldChar w:fldCharType="separate"/>
      </w:r>
      <w:r>
        <w:fldChar w:fldCharType="end"/>
      </w:r>
      <w:r w:rsidR="004C02B7" w:rsidRPr="00BC0C43">
        <w:t xml:space="preserve"> Health harms</w:t>
      </w:r>
    </w:p>
    <w:p w14:paraId="4B680248" w14:textId="3723FA1C" w:rsidR="00096C1D" w:rsidRPr="00BE6B22" w:rsidRDefault="00096C1D" w:rsidP="00096C1D">
      <w:pPr>
        <w:rPr>
          <w:rFonts w:asciiTheme="minorHAnsi" w:eastAsia="Segoe UI" w:hAnsiTheme="minorHAnsi" w:cstheme="minorHAnsi"/>
          <w:color w:val="000000"/>
        </w:rPr>
      </w:pPr>
      <w:r>
        <w:t xml:space="preserve">Major outcome: Rate and nature of adverse events reported in patients treated with </w:t>
      </w:r>
      <w:proofErr w:type="spellStart"/>
      <w:r w:rsidR="001B6C3A">
        <w:t>i</w:t>
      </w:r>
      <w:r>
        <w:t>navolisib</w:t>
      </w:r>
      <w:proofErr w:type="spellEnd"/>
      <w:r>
        <w:t xml:space="preserve"> </w:t>
      </w:r>
      <w:r w:rsidR="001B6C3A">
        <w:t xml:space="preserve">in combination with </w:t>
      </w:r>
      <w:proofErr w:type="spellStart"/>
      <w:r>
        <w:t>palbociclib</w:t>
      </w:r>
      <w:proofErr w:type="spellEnd"/>
      <w:r>
        <w:t xml:space="preserve"> plus </w:t>
      </w:r>
      <w:proofErr w:type="spellStart"/>
      <w:r>
        <w:t>fulvestrant</w:t>
      </w:r>
      <w:proofErr w:type="spellEnd"/>
      <w:r>
        <w:t xml:space="preserve"> vs </w:t>
      </w:r>
      <w:r w:rsidR="001B6C3A">
        <w:t xml:space="preserve">placebo in combination with </w:t>
      </w:r>
      <w:proofErr w:type="spellStart"/>
      <w:r w:rsidR="001B6C3A">
        <w:t>palbociclib</w:t>
      </w:r>
      <w:proofErr w:type="spellEnd"/>
      <w:r w:rsidR="001B6C3A">
        <w:t xml:space="preserve"> plus </w:t>
      </w:r>
      <w:proofErr w:type="spellStart"/>
      <w:r w:rsidR="001B6C3A">
        <w:t>fulvestrant</w:t>
      </w:r>
      <w:proofErr w:type="spellEnd"/>
      <w:r w:rsidR="00DC03BF">
        <w:t>.</w:t>
      </w:r>
    </w:p>
    <w:p w14:paraId="43C45ECC" w14:textId="702C4F9B" w:rsidR="00096C1D" w:rsidRDefault="00096C1D" w:rsidP="00582377">
      <w:pPr>
        <w:pStyle w:val="Tickboxes"/>
      </w:pPr>
    </w:p>
    <w:p w14:paraId="7846E3EA" w14:textId="23A0FE8A" w:rsidR="004C02B7" w:rsidRPr="00BC0C43" w:rsidRDefault="005A3D78" w:rsidP="00582377">
      <w:pPr>
        <w:pStyle w:val="Tickboxes"/>
      </w:pPr>
      <w:r>
        <w:fldChar w:fldCharType="begin">
          <w:ffData>
            <w:name w:val=""/>
            <w:enabled/>
            <w:calcOnExit w:val="0"/>
            <w:checkBox>
              <w:sizeAuto/>
              <w:default w:val="1"/>
            </w:checkBox>
          </w:ffData>
        </w:fldChar>
      </w:r>
      <w:r>
        <w:instrText xml:space="preserve"> FORMCHECKBOX </w:instrText>
      </w:r>
      <w:r w:rsidR="005623BF">
        <w:fldChar w:fldCharType="separate"/>
      </w:r>
      <w:r>
        <w:fldChar w:fldCharType="end"/>
      </w:r>
      <w:r w:rsidR="004C02B7" w:rsidRPr="00BC0C43">
        <w:t xml:space="preserve"> Resources</w:t>
      </w:r>
    </w:p>
    <w:p w14:paraId="4A3C8161" w14:textId="3093E4D6" w:rsidR="00E00CD3" w:rsidRPr="00BC0C43" w:rsidRDefault="004C02B7" w:rsidP="00582377">
      <w:pPr>
        <w:pStyle w:val="Tickboxes"/>
        <w:rPr>
          <w:b/>
        </w:rPr>
      </w:pPr>
      <w:r w:rsidRPr="00BC0C43">
        <w:fldChar w:fldCharType="begin">
          <w:ffData>
            <w:name w:val="Check2"/>
            <w:enabled/>
            <w:calcOnExit w:val="0"/>
            <w:checkBox>
              <w:sizeAuto/>
              <w:default w:val="0"/>
            </w:checkBox>
          </w:ffData>
        </w:fldChar>
      </w:r>
      <w:r w:rsidRPr="00BC0C43">
        <w:instrText xml:space="preserve"> FORMCHECKBOX </w:instrText>
      </w:r>
      <w:r w:rsidR="005623BF">
        <w:fldChar w:fldCharType="separate"/>
      </w:r>
      <w:r w:rsidRPr="00BC0C43">
        <w:fldChar w:fldCharType="end"/>
      </w:r>
      <w:r w:rsidRPr="00BC0C43">
        <w:t xml:space="preserve"> Value of knowing</w:t>
      </w:r>
    </w:p>
    <w:p w14:paraId="36189B68" w14:textId="3F33D0B2" w:rsidR="004C02B7" w:rsidRPr="00BC0C43" w:rsidRDefault="00E00CD3" w:rsidP="00BC0C43">
      <w:pPr>
        <w:pStyle w:val="Heading2"/>
      </w:pPr>
      <w:r>
        <w:lastRenderedPageBreak/>
        <w:t>O</w:t>
      </w:r>
      <w:r w:rsidR="00CB5480">
        <w:t>utcome description</w:t>
      </w:r>
      <w:r>
        <w:t xml:space="preserve"> –</w:t>
      </w:r>
      <w:r w:rsidR="00EA0AA0">
        <w:t xml:space="preserve"> </w:t>
      </w:r>
      <w:r>
        <w:t>include information about whether a change in patient management, or prognosis, occurs as a result of the test information</w:t>
      </w:r>
      <w:r w:rsidR="004C02B7">
        <w:t>:</w:t>
      </w:r>
    </w:p>
    <w:p w14:paraId="690EA31F" w14:textId="557CE7B9" w:rsidR="00A870D0" w:rsidRDefault="00386776" w:rsidP="00BC0C43">
      <w:r>
        <w:t xml:space="preserve">A change in management is expected as a result of the test information. </w:t>
      </w:r>
      <w:r w:rsidR="00E27753">
        <w:t>P</w:t>
      </w:r>
      <w:r>
        <w:t>atients identified as harbouring a PIK3CA mutation</w:t>
      </w:r>
      <w:r w:rsidR="00E27753">
        <w:t xml:space="preserve"> would be eligible for treatment with </w:t>
      </w:r>
      <w:proofErr w:type="spellStart"/>
      <w:r w:rsidR="00C83DE1">
        <w:t>inavolisi</w:t>
      </w:r>
      <w:r w:rsidR="00E27753">
        <w:t>b</w:t>
      </w:r>
      <w:proofErr w:type="spellEnd"/>
      <w:r w:rsidR="000A595A">
        <w:t xml:space="preserve"> (used in combination with </w:t>
      </w:r>
      <w:proofErr w:type="spellStart"/>
      <w:r w:rsidR="000A595A">
        <w:t>palbociclib</w:t>
      </w:r>
      <w:proofErr w:type="spellEnd"/>
      <w:r w:rsidR="000A595A">
        <w:t xml:space="preserve"> plus </w:t>
      </w:r>
      <w:proofErr w:type="spellStart"/>
      <w:r w:rsidR="000A595A">
        <w:t>fulvestrant</w:t>
      </w:r>
      <w:proofErr w:type="spellEnd"/>
      <w:r w:rsidR="000A595A">
        <w:t>). Patients with no PIK3CA mutation</w:t>
      </w:r>
      <w:r w:rsidR="00B7253B">
        <w:t xml:space="preserve">s identified would not be eligible for </w:t>
      </w:r>
      <w:proofErr w:type="spellStart"/>
      <w:r w:rsidR="00B7253B">
        <w:t>inavolisib</w:t>
      </w:r>
      <w:proofErr w:type="spellEnd"/>
      <w:r w:rsidR="00B7253B">
        <w:t xml:space="preserve"> and</w:t>
      </w:r>
      <w:r w:rsidR="00454D62">
        <w:t xml:space="preserve">, </w:t>
      </w:r>
      <w:r w:rsidR="00B24D1A">
        <w:t>subsequently</w:t>
      </w:r>
      <w:r w:rsidR="00454D62">
        <w:t xml:space="preserve">, managed with </w:t>
      </w:r>
      <w:proofErr w:type="spellStart"/>
      <w:r w:rsidR="00454D62">
        <w:t>palbociclib</w:t>
      </w:r>
      <w:proofErr w:type="spellEnd"/>
      <w:r w:rsidR="00454D62">
        <w:t xml:space="preserve"> plus </w:t>
      </w:r>
      <w:proofErr w:type="spellStart"/>
      <w:r w:rsidR="00454D62">
        <w:t>fulvestrant</w:t>
      </w:r>
      <w:proofErr w:type="spellEnd"/>
      <w:r w:rsidR="00B7253B">
        <w:t xml:space="preserve"> </w:t>
      </w:r>
      <w:r w:rsidR="004E2CF1">
        <w:t xml:space="preserve">or other CDK 4/6 inhibitor </w:t>
      </w:r>
      <w:r w:rsidR="00081FDE">
        <w:t xml:space="preserve">plus </w:t>
      </w:r>
      <w:proofErr w:type="spellStart"/>
      <w:r w:rsidR="00F12BF6">
        <w:t>fulvestrant</w:t>
      </w:r>
      <w:proofErr w:type="spellEnd"/>
      <w:r w:rsidR="00F12BF6">
        <w:t xml:space="preserve"> or aromatase inhibitor based on individual patient circumstances.</w:t>
      </w:r>
    </w:p>
    <w:p w14:paraId="51234613" w14:textId="244CDB64" w:rsidR="00566CF9" w:rsidRPr="00EA0AA0" w:rsidRDefault="00566CF9" w:rsidP="00EA0AA0">
      <w:pPr>
        <w:pStyle w:val="Heading1"/>
      </w:pPr>
      <w:r w:rsidRPr="00EA0AA0">
        <w:t>Proposed MBS items</w:t>
      </w:r>
    </w:p>
    <w:p w14:paraId="65E4A37C" w14:textId="7251B4B8" w:rsidR="009C0554" w:rsidRDefault="009C0554" w:rsidP="00BC0C43">
      <w:pPr>
        <w:pStyle w:val="Heading2"/>
      </w:pPr>
      <w:r>
        <w:t>How is the technology/service funded at present? (</w:t>
      </w:r>
      <w:r w:rsidR="00EA0AA0">
        <w:t>e.g.,</w:t>
      </w:r>
      <w:r>
        <w:t xml:space="preserve"> research funding; State-based funding; self-funded by patients; no funding or payments):</w:t>
      </w:r>
    </w:p>
    <w:p w14:paraId="78F847ED" w14:textId="7B40AFFB" w:rsidR="007C0DF4" w:rsidRDefault="007C0DF4" w:rsidP="004E0D2B">
      <w:r>
        <w:t>PIK3CA testing in breast cancer patients is currently being undertaken in several private and public molecular pathology laboratories. Under these arrangement</w:t>
      </w:r>
      <w:r w:rsidR="00F32A5B">
        <w:t>s</w:t>
      </w:r>
      <w:r>
        <w:t xml:space="preserve">, </w:t>
      </w:r>
      <w:r w:rsidR="004E0D2B">
        <w:t xml:space="preserve">testing would either be </w:t>
      </w:r>
      <w:r w:rsidR="00F32A5B">
        <w:t>self-funded</w:t>
      </w:r>
      <w:r w:rsidR="004E0D2B">
        <w:t xml:space="preserve"> by patients or funded through State-based programs.</w:t>
      </w:r>
    </w:p>
    <w:p w14:paraId="3426B0DE" w14:textId="31C00DFE" w:rsidR="004E0D2B" w:rsidRPr="004E0D2B" w:rsidRDefault="000F608D" w:rsidP="004E0D2B">
      <w:r>
        <w:t xml:space="preserve">For patients being managed in clinics </w:t>
      </w:r>
      <w:r w:rsidR="007C0D24">
        <w:t xml:space="preserve">registered as investigational sites for breast cancer clinical trials, PIK3CA testing may be performed through research funding </w:t>
      </w:r>
      <w:r w:rsidR="00252057">
        <w:t xml:space="preserve">or supported by the sponsor of </w:t>
      </w:r>
      <w:r w:rsidR="00DA2772">
        <w:t>the clinical trial.</w:t>
      </w:r>
    </w:p>
    <w:p w14:paraId="3F158DED" w14:textId="5E93FA3F" w:rsidR="00361BBE" w:rsidRDefault="00EA0AA0" w:rsidP="00BC0C43">
      <w:pPr>
        <w:pStyle w:val="Heading2"/>
      </w:pPr>
      <w:r>
        <w:t>P</w:t>
      </w:r>
      <w:r w:rsidR="00566CF9">
        <w:t xml:space="preserve">rovide at least one proposed item with their descriptor and associated costs, for each </w:t>
      </w:r>
      <w:r>
        <w:t>P</w:t>
      </w:r>
      <w:r w:rsidR="00566CF9">
        <w:t>opulation/Intervention:</w:t>
      </w:r>
    </w:p>
    <w:p w14:paraId="4340F50F" w14:textId="29CE8B04" w:rsidR="00AE76EF" w:rsidRDefault="009208A2" w:rsidP="008E1D51">
      <w:r>
        <w:t xml:space="preserve">Alternate </w:t>
      </w:r>
      <w:r w:rsidR="00553393">
        <w:t xml:space="preserve">listing scenarios supporting </w:t>
      </w:r>
      <w:r w:rsidR="002C5853">
        <w:t xml:space="preserve">the conduct of PIK3CA testing through the MBS </w:t>
      </w:r>
      <w:r w:rsidR="00553393">
        <w:t>are presented for consideration by the Department of Health</w:t>
      </w:r>
      <w:r w:rsidR="0082390E">
        <w:t xml:space="preserve"> and Aged Care</w:t>
      </w:r>
      <w:r w:rsidR="002C5853">
        <w:t>.</w:t>
      </w:r>
    </w:p>
    <w:p w14:paraId="3F5056C6" w14:textId="542ABAE9" w:rsidR="00CA0B59" w:rsidRDefault="00AE76EF" w:rsidP="008E1D51">
      <w:r>
        <w:t xml:space="preserve">The applicant will </w:t>
      </w:r>
      <w:r w:rsidR="00B30E53">
        <w:t xml:space="preserve">present </w:t>
      </w:r>
      <w:r w:rsidR="00F75090">
        <w:t>an MBS item descriptor</w:t>
      </w:r>
      <w:r w:rsidR="00AB572E">
        <w:t xml:space="preserve"> </w:t>
      </w:r>
      <w:r w:rsidR="00A870D0">
        <w:t xml:space="preserve">in any forthcoming </w:t>
      </w:r>
      <w:r w:rsidR="00777DA5">
        <w:t xml:space="preserve">reimbursement submission </w:t>
      </w:r>
      <w:r w:rsidR="0012043E">
        <w:t xml:space="preserve">based on </w:t>
      </w:r>
      <w:r w:rsidR="00AB572E">
        <w:t>advice from the Department of Health</w:t>
      </w:r>
      <w:r w:rsidR="0082390E">
        <w:t xml:space="preserve"> and Aged Care</w:t>
      </w:r>
      <w:r w:rsidR="00AB572E">
        <w:t xml:space="preserve"> on its preferred</w:t>
      </w:r>
      <w:r w:rsidR="0012043E">
        <w:t xml:space="preserve"> </w:t>
      </w:r>
      <w:r w:rsidR="002D7EC9">
        <w:t>approach</w:t>
      </w:r>
      <w:r w:rsidR="0012043E">
        <w:t xml:space="preserve"> to </w:t>
      </w:r>
      <w:r w:rsidR="00CA0B59">
        <w:t>funding PIK3CA testing</w:t>
      </w:r>
      <w:r>
        <w:t>.</w:t>
      </w:r>
    </w:p>
    <w:p w14:paraId="61C8D95E" w14:textId="38871F92" w:rsidR="009208A2" w:rsidRPr="008C25CD" w:rsidRDefault="00CA0B59" w:rsidP="008E1D51">
      <w:pPr>
        <w:rPr>
          <w:b/>
          <w:bCs/>
        </w:rPr>
      </w:pPr>
      <w:r w:rsidRPr="008C25CD">
        <w:rPr>
          <w:b/>
          <w:bCs/>
        </w:rPr>
        <w:t>Scenario 1: Amend the MBS item</w:t>
      </w:r>
      <w:r w:rsidR="002D7EC9" w:rsidRPr="008C25CD">
        <w:rPr>
          <w:b/>
          <w:bCs/>
        </w:rPr>
        <w:t xml:space="preserve"> </w:t>
      </w:r>
      <w:r w:rsidRPr="008C25CD">
        <w:rPr>
          <w:b/>
          <w:bCs/>
        </w:rPr>
        <w:t>descri</w:t>
      </w:r>
      <w:r w:rsidR="008C25CD" w:rsidRPr="008C25CD">
        <w:rPr>
          <w:b/>
          <w:bCs/>
        </w:rPr>
        <w:t>ptor presented in MSAC Application 1766</w:t>
      </w:r>
    </w:p>
    <w:p w14:paraId="7D02747A" w14:textId="6A5E9EF9" w:rsidR="00777DA5" w:rsidRDefault="0061131D" w:rsidP="008E1D51">
      <w:r>
        <w:t xml:space="preserve">The applicant notes that MSAC Application </w:t>
      </w:r>
      <w:r w:rsidR="00221D07">
        <w:t>1766</w:t>
      </w:r>
      <w:r w:rsidR="00611608">
        <w:t xml:space="preserve"> is requesting funding for detection of AKT-pathway </w:t>
      </w:r>
      <w:r w:rsidR="009E40B4">
        <w:t xml:space="preserve">altered tumour </w:t>
      </w:r>
      <w:r w:rsidR="00581BD0">
        <w:t>to determine eligibility for treatment with an AKT serine/threonine kinase inhibitor (</w:t>
      </w:r>
      <w:proofErr w:type="spellStart"/>
      <w:r w:rsidR="00EC7BCE">
        <w:t>capivasertib</w:t>
      </w:r>
      <w:proofErr w:type="spellEnd"/>
      <w:r w:rsidR="00EC7BCE">
        <w:t>) un</w:t>
      </w:r>
      <w:r w:rsidR="00777DA5">
        <w:t>der</w:t>
      </w:r>
      <w:r w:rsidR="00EC7BCE">
        <w:t xml:space="preserve"> the PBS</w:t>
      </w:r>
      <w:r w:rsidR="00DC03BF">
        <w:t xml:space="preserve"> (MSAC </w:t>
      </w:r>
      <w:r w:rsidR="002D5D8D">
        <w:t>Application 1766 (</w:t>
      </w:r>
      <w:r w:rsidR="00DC03BF">
        <w:t>2024</w:t>
      </w:r>
      <w:r w:rsidR="002D5D8D">
        <w:t>)</w:t>
      </w:r>
      <w:r w:rsidR="00DC03BF">
        <w:t>)</w:t>
      </w:r>
      <w:r w:rsidR="00EC7BCE">
        <w:t>.</w:t>
      </w:r>
    </w:p>
    <w:p w14:paraId="4DE9E499" w14:textId="1F8D2684" w:rsidR="008E1D51" w:rsidRDefault="00EC7BCE" w:rsidP="008E1D51">
      <w:r>
        <w:t>Minor amendment</w:t>
      </w:r>
      <w:r w:rsidR="001C734C">
        <w:t xml:space="preserve"> (</w:t>
      </w:r>
      <w:r w:rsidR="000215A6">
        <w:t>bold text in table below)</w:t>
      </w:r>
      <w:r>
        <w:t xml:space="preserve"> to the MBS item descriptor set out in the PICO Set Document for MSAC Application 1766 would </w:t>
      </w:r>
      <w:r w:rsidR="002243C2">
        <w:t xml:space="preserve">facilitate patient access to PIK3CA testing </w:t>
      </w:r>
      <w:r w:rsidR="005B309A">
        <w:t xml:space="preserve">as </w:t>
      </w:r>
      <w:r w:rsidR="002243C2">
        <w:t>performed</w:t>
      </w:r>
      <w:r w:rsidR="005B309A">
        <w:t xml:space="preserve"> in the INAVO120 trial.</w:t>
      </w:r>
    </w:p>
    <w:p w14:paraId="5E92DAE5" w14:textId="77777777" w:rsidR="0061131D" w:rsidRPr="008E1D51" w:rsidRDefault="0061131D" w:rsidP="008E1D51"/>
    <w:tbl>
      <w:tblPr>
        <w:tblStyle w:val="TableGrid"/>
        <w:tblW w:w="0" w:type="auto"/>
        <w:tblLook w:val="04A0" w:firstRow="1" w:lastRow="0" w:firstColumn="1" w:lastColumn="0" w:noHBand="0" w:noVBand="1"/>
      </w:tblPr>
      <w:tblGrid>
        <w:gridCol w:w="3256"/>
        <w:gridCol w:w="6209"/>
      </w:tblGrid>
      <w:tr w:rsidR="00A05B4D" w14:paraId="550CA6B5" w14:textId="77777777" w:rsidTr="00A05B4D">
        <w:tc>
          <w:tcPr>
            <w:tcW w:w="3256" w:type="dxa"/>
          </w:tcPr>
          <w:p w14:paraId="392E8065" w14:textId="291357C7" w:rsidR="00A05B4D" w:rsidRPr="006B1118" w:rsidRDefault="00A05B4D" w:rsidP="00777DA5">
            <w:pPr>
              <w:keepNext/>
              <w:keepLines/>
              <w:rPr>
                <w:sz w:val="21"/>
                <w:szCs w:val="21"/>
              </w:rPr>
            </w:pPr>
            <w:bookmarkStart w:id="3" w:name="_Hlk121232719"/>
            <w:r w:rsidRPr="006B1118">
              <w:rPr>
                <w:sz w:val="21"/>
                <w:szCs w:val="21"/>
              </w:rPr>
              <w:lastRenderedPageBreak/>
              <w:t xml:space="preserve">MBS item number </w:t>
            </w:r>
            <w:r w:rsidR="00BC0C43" w:rsidRPr="006B1118">
              <w:rPr>
                <w:sz w:val="21"/>
                <w:szCs w:val="21"/>
              </w:rPr>
              <w:br/>
            </w:r>
            <w:r w:rsidRPr="006B1118">
              <w:rPr>
                <w:sz w:val="21"/>
                <w:szCs w:val="21"/>
              </w:rPr>
              <w:t>(where used as a template for the proposed item)</w:t>
            </w:r>
          </w:p>
        </w:tc>
        <w:tc>
          <w:tcPr>
            <w:tcW w:w="6209" w:type="dxa"/>
          </w:tcPr>
          <w:p w14:paraId="4800781C" w14:textId="51C1C26D" w:rsidR="00A05B4D" w:rsidRPr="006B1118" w:rsidRDefault="005B309A" w:rsidP="002D5D8D">
            <w:pPr>
              <w:keepNext/>
              <w:keepLines/>
              <w:rPr>
                <w:sz w:val="21"/>
                <w:szCs w:val="21"/>
              </w:rPr>
            </w:pPr>
            <w:r>
              <w:rPr>
                <w:sz w:val="21"/>
                <w:szCs w:val="21"/>
              </w:rPr>
              <w:t>Table 1</w:t>
            </w:r>
            <w:r w:rsidR="002D5D8D">
              <w:rPr>
                <w:sz w:val="21"/>
                <w:szCs w:val="21"/>
              </w:rPr>
              <w:t xml:space="preserve"> (</w:t>
            </w:r>
            <w:r>
              <w:rPr>
                <w:sz w:val="21"/>
                <w:szCs w:val="21"/>
              </w:rPr>
              <w:t xml:space="preserve">p. </w:t>
            </w:r>
            <w:r w:rsidR="002B7F62">
              <w:rPr>
                <w:sz w:val="21"/>
                <w:szCs w:val="21"/>
              </w:rPr>
              <w:t>8) of PICO Set Document for MSAC Application 1766</w:t>
            </w:r>
          </w:p>
        </w:tc>
      </w:tr>
      <w:tr w:rsidR="00A05B4D" w14:paraId="28C30EF6" w14:textId="77777777" w:rsidTr="00A05B4D">
        <w:tc>
          <w:tcPr>
            <w:tcW w:w="3256" w:type="dxa"/>
          </w:tcPr>
          <w:p w14:paraId="6164541B" w14:textId="67698528" w:rsidR="00A05B4D" w:rsidRPr="006B1118" w:rsidRDefault="00A05B4D" w:rsidP="00777DA5">
            <w:pPr>
              <w:keepNext/>
              <w:keepLines/>
              <w:rPr>
                <w:sz w:val="21"/>
                <w:szCs w:val="21"/>
              </w:rPr>
            </w:pPr>
            <w:r w:rsidRPr="006B1118">
              <w:rPr>
                <w:sz w:val="21"/>
                <w:szCs w:val="21"/>
              </w:rPr>
              <w:t>Category number</w:t>
            </w:r>
          </w:p>
        </w:tc>
        <w:tc>
          <w:tcPr>
            <w:tcW w:w="6209" w:type="dxa"/>
          </w:tcPr>
          <w:p w14:paraId="60FB6E4B" w14:textId="717E7655" w:rsidR="00A05B4D" w:rsidRPr="006B1118" w:rsidRDefault="00147866" w:rsidP="00777DA5">
            <w:pPr>
              <w:keepNext/>
              <w:keepLines/>
              <w:rPr>
                <w:sz w:val="21"/>
                <w:szCs w:val="21"/>
              </w:rPr>
            </w:pPr>
            <w:r>
              <w:rPr>
                <w:sz w:val="21"/>
                <w:szCs w:val="21"/>
              </w:rPr>
              <w:t>Category 6 – Pathology Services</w:t>
            </w:r>
          </w:p>
        </w:tc>
      </w:tr>
      <w:tr w:rsidR="00A05B4D" w14:paraId="27CB821A" w14:textId="77777777" w:rsidTr="00A05B4D">
        <w:tc>
          <w:tcPr>
            <w:tcW w:w="3256" w:type="dxa"/>
          </w:tcPr>
          <w:p w14:paraId="5E21B36E" w14:textId="39749155" w:rsidR="00A05B4D" w:rsidRPr="006B1118" w:rsidRDefault="00A05B4D" w:rsidP="00777DA5">
            <w:pPr>
              <w:keepNext/>
              <w:keepLines/>
              <w:rPr>
                <w:sz w:val="21"/>
                <w:szCs w:val="21"/>
              </w:rPr>
            </w:pPr>
            <w:r w:rsidRPr="006B1118">
              <w:rPr>
                <w:sz w:val="21"/>
                <w:szCs w:val="21"/>
              </w:rPr>
              <w:t>Category description</w:t>
            </w:r>
          </w:p>
        </w:tc>
        <w:tc>
          <w:tcPr>
            <w:tcW w:w="6209" w:type="dxa"/>
          </w:tcPr>
          <w:p w14:paraId="4DED686A" w14:textId="4A16D1C2" w:rsidR="00A05B4D" w:rsidRPr="006B1118" w:rsidRDefault="00147866" w:rsidP="00777DA5">
            <w:pPr>
              <w:keepNext/>
              <w:keepLines/>
              <w:rPr>
                <w:sz w:val="21"/>
                <w:szCs w:val="21"/>
              </w:rPr>
            </w:pPr>
            <w:r>
              <w:rPr>
                <w:sz w:val="21"/>
                <w:szCs w:val="21"/>
              </w:rPr>
              <w:t>Group P7 - Genetics</w:t>
            </w:r>
          </w:p>
        </w:tc>
      </w:tr>
      <w:tr w:rsidR="00A05B4D" w14:paraId="7AF5F341" w14:textId="77777777" w:rsidTr="00A05B4D">
        <w:tc>
          <w:tcPr>
            <w:tcW w:w="3256" w:type="dxa"/>
          </w:tcPr>
          <w:p w14:paraId="454ADFE2" w14:textId="5F0060E6" w:rsidR="00A05B4D" w:rsidRPr="006B1118" w:rsidRDefault="00A05B4D" w:rsidP="00777DA5">
            <w:pPr>
              <w:keepNext/>
              <w:keepLines/>
              <w:rPr>
                <w:sz w:val="21"/>
                <w:szCs w:val="21"/>
              </w:rPr>
            </w:pPr>
            <w:r w:rsidRPr="006B1118">
              <w:rPr>
                <w:sz w:val="21"/>
                <w:szCs w:val="21"/>
              </w:rPr>
              <w:t>Proposed item descriptor</w:t>
            </w:r>
          </w:p>
        </w:tc>
        <w:tc>
          <w:tcPr>
            <w:tcW w:w="6209" w:type="dxa"/>
          </w:tcPr>
          <w:p w14:paraId="4A87FAEB" w14:textId="009B9640" w:rsidR="00B45603" w:rsidRPr="00B45603" w:rsidRDefault="00B45603" w:rsidP="00777DA5">
            <w:pPr>
              <w:keepNext/>
              <w:keepLines/>
              <w:rPr>
                <w:sz w:val="21"/>
                <w:szCs w:val="21"/>
              </w:rPr>
            </w:pPr>
            <w:r w:rsidRPr="00B45603">
              <w:rPr>
                <w:sz w:val="21"/>
                <w:szCs w:val="21"/>
              </w:rPr>
              <w:t xml:space="preserve">A test of tumour tissue </w:t>
            </w:r>
            <w:r w:rsidR="000215A6" w:rsidRPr="000E7B22">
              <w:rPr>
                <w:b/>
                <w:bCs/>
                <w:sz w:val="21"/>
                <w:szCs w:val="21"/>
              </w:rPr>
              <w:t xml:space="preserve">or circulating </w:t>
            </w:r>
            <w:r w:rsidR="000E7B22" w:rsidRPr="000E7B22">
              <w:rPr>
                <w:b/>
                <w:bCs/>
                <w:sz w:val="21"/>
                <w:szCs w:val="21"/>
              </w:rPr>
              <w:t>tumour DNA (</w:t>
            </w:r>
            <w:proofErr w:type="spellStart"/>
            <w:r w:rsidR="000E7B22" w:rsidRPr="000E7B22">
              <w:rPr>
                <w:b/>
                <w:bCs/>
                <w:sz w:val="21"/>
                <w:szCs w:val="21"/>
              </w:rPr>
              <w:t>ctDNA</w:t>
            </w:r>
            <w:proofErr w:type="spellEnd"/>
            <w:r w:rsidR="000E7B22" w:rsidRPr="000E7B22">
              <w:rPr>
                <w:b/>
                <w:bCs/>
                <w:sz w:val="21"/>
                <w:szCs w:val="21"/>
              </w:rPr>
              <w:t>)</w:t>
            </w:r>
            <w:r w:rsidR="000E7B22">
              <w:rPr>
                <w:sz w:val="21"/>
                <w:szCs w:val="21"/>
              </w:rPr>
              <w:t xml:space="preserve"> </w:t>
            </w:r>
            <w:r w:rsidRPr="00B45603">
              <w:rPr>
                <w:sz w:val="21"/>
                <w:szCs w:val="21"/>
              </w:rPr>
              <w:t>for the detection of an AKT-pathway altered</w:t>
            </w:r>
            <w:r>
              <w:rPr>
                <w:sz w:val="21"/>
                <w:szCs w:val="21"/>
              </w:rPr>
              <w:t xml:space="preserve"> </w:t>
            </w:r>
            <w:r w:rsidRPr="00B45603">
              <w:rPr>
                <w:sz w:val="21"/>
                <w:szCs w:val="21"/>
              </w:rPr>
              <w:t>(PIK3CA, AKT1 or PTEN) tumour, in a patient with:</w:t>
            </w:r>
          </w:p>
          <w:p w14:paraId="138844A6" w14:textId="10C35A28" w:rsidR="00B45603" w:rsidRPr="00B45603" w:rsidRDefault="00B45603" w:rsidP="00777DA5">
            <w:pPr>
              <w:pStyle w:val="ListParagraph"/>
              <w:keepNext/>
              <w:keepLines/>
              <w:numPr>
                <w:ilvl w:val="0"/>
                <w:numId w:val="7"/>
              </w:numPr>
              <w:rPr>
                <w:sz w:val="21"/>
                <w:szCs w:val="21"/>
              </w:rPr>
            </w:pPr>
            <w:r w:rsidRPr="00B45603">
              <w:rPr>
                <w:sz w:val="21"/>
                <w:szCs w:val="21"/>
              </w:rPr>
              <w:t>locally advanced (inoperable) or metastatic hormone receptor positive, HER2-negative breast cancer</w:t>
            </w:r>
          </w:p>
          <w:p w14:paraId="647BC308" w14:textId="134C9D62" w:rsidR="00A05B4D" w:rsidRPr="006B1118" w:rsidRDefault="00B45603" w:rsidP="00777DA5">
            <w:pPr>
              <w:keepNext/>
              <w:keepLines/>
              <w:rPr>
                <w:sz w:val="21"/>
                <w:szCs w:val="21"/>
              </w:rPr>
            </w:pPr>
            <w:r w:rsidRPr="00B45603">
              <w:rPr>
                <w:sz w:val="21"/>
                <w:szCs w:val="21"/>
              </w:rPr>
              <w:t>As requested by a specialist or consultant physician, to determine</w:t>
            </w:r>
            <w:r>
              <w:rPr>
                <w:sz w:val="21"/>
                <w:szCs w:val="21"/>
              </w:rPr>
              <w:t xml:space="preserve"> </w:t>
            </w:r>
            <w:r w:rsidRPr="00B45603">
              <w:rPr>
                <w:sz w:val="21"/>
                <w:szCs w:val="21"/>
              </w:rPr>
              <w:t>eligibility for treatment with an AKT serine/threonine kinase inhibitor</w:t>
            </w:r>
            <w:r>
              <w:rPr>
                <w:sz w:val="21"/>
                <w:szCs w:val="21"/>
              </w:rPr>
              <w:t xml:space="preserve"> </w:t>
            </w:r>
            <w:r w:rsidRPr="001C734C">
              <w:rPr>
                <w:b/>
                <w:bCs/>
                <w:sz w:val="21"/>
                <w:szCs w:val="21"/>
              </w:rPr>
              <w:t>or PIK3CA inhibitor</w:t>
            </w:r>
            <w:r>
              <w:rPr>
                <w:sz w:val="21"/>
                <w:szCs w:val="21"/>
              </w:rPr>
              <w:t xml:space="preserve"> </w:t>
            </w:r>
            <w:r w:rsidRPr="00B45603">
              <w:rPr>
                <w:sz w:val="21"/>
                <w:szCs w:val="21"/>
              </w:rPr>
              <w:t>under</w:t>
            </w:r>
            <w:r>
              <w:rPr>
                <w:sz w:val="21"/>
                <w:szCs w:val="21"/>
              </w:rPr>
              <w:t xml:space="preserve"> </w:t>
            </w:r>
            <w:r w:rsidRPr="00B45603">
              <w:rPr>
                <w:sz w:val="21"/>
                <w:szCs w:val="21"/>
              </w:rPr>
              <w:t>the</w:t>
            </w:r>
            <w:r>
              <w:rPr>
                <w:sz w:val="21"/>
                <w:szCs w:val="21"/>
              </w:rPr>
              <w:t xml:space="preserve"> </w:t>
            </w:r>
            <w:r w:rsidRPr="00B45603">
              <w:rPr>
                <w:sz w:val="21"/>
                <w:szCs w:val="21"/>
              </w:rPr>
              <w:t>Pharmaceutical</w:t>
            </w:r>
            <w:r>
              <w:rPr>
                <w:sz w:val="21"/>
                <w:szCs w:val="21"/>
              </w:rPr>
              <w:t xml:space="preserve"> </w:t>
            </w:r>
            <w:r w:rsidRPr="00B45603">
              <w:rPr>
                <w:sz w:val="21"/>
                <w:szCs w:val="21"/>
              </w:rPr>
              <w:t>Benefits</w:t>
            </w:r>
            <w:r>
              <w:rPr>
                <w:sz w:val="21"/>
                <w:szCs w:val="21"/>
              </w:rPr>
              <w:t xml:space="preserve"> </w:t>
            </w:r>
            <w:r w:rsidRPr="00B45603">
              <w:rPr>
                <w:sz w:val="21"/>
                <w:szCs w:val="21"/>
              </w:rPr>
              <w:t>Scheme</w:t>
            </w:r>
            <w:r>
              <w:rPr>
                <w:sz w:val="21"/>
                <w:szCs w:val="21"/>
              </w:rPr>
              <w:t xml:space="preserve"> </w:t>
            </w:r>
            <w:r w:rsidRPr="00B45603">
              <w:rPr>
                <w:sz w:val="21"/>
                <w:szCs w:val="21"/>
              </w:rPr>
              <w:t>(PBS)</w:t>
            </w:r>
          </w:p>
        </w:tc>
      </w:tr>
      <w:tr w:rsidR="00A05B4D" w14:paraId="2C0CA02D" w14:textId="77777777" w:rsidTr="00A05B4D">
        <w:tc>
          <w:tcPr>
            <w:tcW w:w="3256" w:type="dxa"/>
          </w:tcPr>
          <w:p w14:paraId="4881ED4A" w14:textId="6F25EF4B" w:rsidR="00A05B4D" w:rsidRPr="006B1118" w:rsidRDefault="00A05B4D" w:rsidP="00777DA5">
            <w:pPr>
              <w:keepNext/>
              <w:keepLines/>
              <w:rPr>
                <w:sz w:val="21"/>
                <w:szCs w:val="21"/>
              </w:rPr>
            </w:pPr>
            <w:r w:rsidRPr="006B1118">
              <w:rPr>
                <w:sz w:val="21"/>
                <w:szCs w:val="21"/>
              </w:rPr>
              <w:t>Proposed MBS fee</w:t>
            </w:r>
          </w:p>
        </w:tc>
        <w:tc>
          <w:tcPr>
            <w:tcW w:w="6209" w:type="dxa"/>
          </w:tcPr>
          <w:p w14:paraId="3B790048" w14:textId="104390D0" w:rsidR="00A05B4D" w:rsidRPr="006B1118" w:rsidRDefault="003F7EBF" w:rsidP="00DC03BF">
            <w:pPr>
              <w:keepNext/>
              <w:keepLines/>
              <w:rPr>
                <w:sz w:val="21"/>
                <w:szCs w:val="21"/>
              </w:rPr>
            </w:pPr>
            <w:r>
              <w:rPr>
                <w:sz w:val="21"/>
                <w:szCs w:val="21"/>
              </w:rPr>
              <w:t xml:space="preserve">No MBS fee proposed in MSAC Application </w:t>
            </w:r>
            <w:r w:rsidR="00215E14">
              <w:rPr>
                <w:sz w:val="21"/>
                <w:szCs w:val="21"/>
              </w:rPr>
              <w:t>1766</w:t>
            </w:r>
          </w:p>
        </w:tc>
      </w:tr>
      <w:tr w:rsidR="00A05B4D" w14:paraId="0984AD65" w14:textId="77777777" w:rsidTr="00A05B4D">
        <w:tc>
          <w:tcPr>
            <w:tcW w:w="3256" w:type="dxa"/>
          </w:tcPr>
          <w:p w14:paraId="7B69A5E7" w14:textId="0C7AED59" w:rsidR="00A05B4D" w:rsidRPr="006B1118" w:rsidRDefault="00A05B4D" w:rsidP="00777DA5">
            <w:pPr>
              <w:keepNext/>
              <w:keepLines/>
              <w:rPr>
                <w:sz w:val="21"/>
                <w:szCs w:val="21"/>
              </w:rPr>
            </w:pPr>
            <w:r w:rsidRPr="006B1118">
              <w:rPr>
                <w:sz w:val="21"/>
                <w:szCs w:val="21"/>
              </w:rPr>
              <w:t>Indicate the overall cost per patient of providing the proposed health technology</w:t>
            </w:r>
          </w:p>
        </w:tc>
        <w:tc>
          <w:tcPr>
            <w:tcW w:w="6209" w:type="dxa"/>
          </w:tcPr>
          <w:p w14:paraId="1F0E7AAB" w14:textId="6F2A77F4" w:rsidR="00A05B4D" w:rsidRPr="006B1118" w:rsidRDefault="007B0A9C" w:rsidP="00777DA5">
            <w:pPr>
              <w:keepNext/>
              <w:keepLines/>
              <w:rPr>
                <w:sz w:val="21"/>
                <w:szCs w:val="21"/>
              </w:rPr>
            </w:pPr>
            <w:r>
              <w:rPr>
                <w:sz w:val="21"/>
                <w:szCs w:val="21"/>
              </w:rPr>
              <w:t xml:space="preserve">MSAC Application 1766 </w:t>
            </w:r>
            <w:r w:rsidR="009208A2">
              <w:rPr>
                <w:sz w:val="21"/>
                <w:szCs w:val="21"/>
              </w:rPr>
              <w:t>states that “a</w:t>
            </w:r>
            <w:r w:rsidR="009208A2" w:rsidRPr="009208A2">
              <w:rPr>
                <w:sz w:val="21"/>
                <w:szCs w:val="21"/>
              </w:rPr>
              <w:t xml:space="preserve"> detailed utilisation analysis will be presented in the integrated </w:t>
            </w:r>
            <w:r w:rsidR="00F37725" w:rsidRPr="009208A2">
              <w:rPr>
                <w:sz w:val="21"/>
                <w:szCs w:val="21"/>
              </w:rPr>
              <w:t>co-dependent</w:t>
            </w:r>
            <w:r w:rsidR="009208A2">
              <w:rPr>
                <w:sz w:val="21"/>
                <w:szCs w:val="21"/>
              </w:rPr>
              <w:t xml:space="preserve"> </w:t>
            </w:r>
            <w:r w:rsidR="009208A2" w:rsidRPr="009208A2">
              <w:rPr>
                <w:sz w:val="21"/>
                <w:szCs w:val="21"/>
              </w:rPr>
              <w:t>MSAC/PBAC</w:t>
            </w:r>
            <w:r w:rsidR="009208A2">
              <w:rPr>
                <w:sz w:val="21"/>
                <w:szCs w:val="21"/>
              </w:rPr>
              <w:t xml:space="preserve"> </w:t>
            </w:r>
            <w:r w:rsidR="009208A2" w:rsidRPr="009208A2">
              <w:rPr>
                <w:sz w:val="21"/>
                <w:szCs w:val="21"/>
              </w:rPr>
              <w:t>submission</w:t>
            </w:r>
            <w:r w:rsidR="009208A2">
              <w:rPr>
                <w:sz w:val="21"/>
                <w:szCs w:val="21"/>
              </w:rPr>
              <w:t>”</w:t>
            </w:r>
          </w:p>
        </w:tc>
      </w:tr>
      <w:tr w:rsidR="00A05B4D" w14:paraId="273F94AE" w14:textId="77777777" w:rsidTr="00A05B4D">
        <w:tc>
          <w:tcPr>
            <w:tcW w:w="3256" w:type="dxa"/>
          </w:tcPr>
          <w:p w14:paraId="41FCA2CE" w14:textId="1F2EB5A8" w:rsidR="00A05B4D" w:rsidRPr="006B1118" w:rsidRDefault="00A05B4D" w:rsidP="00777DA5">
            <w:pPr>
              <w:keepNext/>
              <w:keepLines/>
              <w:rPr>
                <w:sz w:val="21"/>
                <w:szCs w:val="21"/>
              </w:rPr>
            </w:pPr>
            <w:r w:rsidRPr="006B1118">
              <w:rPr>
                <w:sz w:val="21"/>
                <w:szCs w:val="21"/>
              </w:rPr>
              <w:t>Please specify any anticipated out of pocket expenses</w:t>
            </w:r>
          </w:p>
        </w:tc>
        <w:tc>
          <w:tcPr>
            <w:tcW w:w="6209" w:type="dxa"/>
          </w:tcPr>
          <w:p w14:paraId="13FE8BA2" w14:textId="0D2543EB" w:rsidR="00A05B4D" w:rsidRPr="006B1118" w:rsidRDefault="009208A2" w:rsidP="00777DA5">
            <w:pPr>
              <w:keepNext/>
              <w:keepLines/>
              <w:rPr>
                <w:rFonts w:eastAsia="Segoe UI"/>
                <w:bCs/>
                <w:color w:val="000000"/>
                <w:sz w:val="21"/>
                <w:szCs w:val="21"/>
              </w:rPr>
            </w:pPr>
            <w:r>
              <w:rPr>
                <w:sz w:val="21"/>
                <w:szCs w:val="21"/>
              </w:rPr>
              <w:t>MSAC Application 1766 states that “a</w:t>
            </w:r>
            <w:r w:rsidRPr="009208A2">
              <w:rPr>
                <w:sz w:val="21"/>
                <w:szCs w:val="21"/>
              </w:rPr>
              <w:t xml:space="preserve"> detailed utilisation analysis will be presented in the integrated </w:t>
            </w:r>
            <w:r w:rsidR="00F37725" w:rsidRPr="009208A2">
              <w:rPr>
                <w:sz w:val="21"/>
                <w:szCs w:val="21"/>
              </w:rPr>
              <w:t>co-dependent</w:t>
            </w:r>
            <w:r>
              <w:rPr>
                <w:sz w:val="21"/>
                <w:szCs w:val="21"/>
              </w:rPr>
              <w:t xml:space="preserve"> </w:t>
            </w:r>
            <w:r w:rsidRPr="009208A2">
              <w:rPr>
                <w:sz w:val="21"/>
                <w:szCs w:val="21"/>
              </w:rPr>
              <w:t>MSAC/PBAC</w:t>
            </w:r>
            <w:r>
              <w:rPr>
                <w:sz w:val="21"/>
                <w:szCs w:val="21"/>
              </w:rPr>
              <w:t xml:space="preserve"> </w:t>
            </w:r>
            <w:r w:rsidRPr="009208A2">
              <w:rPr>
                <w:sz w:val="21"/>
                <w:szCs w:val="21"/>
              </w:rPr>
              <w:t>submission</w:t>
            </w:r>
            <w:r>
              <w:rPr>
                <w:sz w:val="21"/>
                <w:szCs w:val="21"/>
              </w:rPr>
              <w:t>”</w:t>
            </w:r>
          </w:p>
        </w:tc>
      </w:tr>
      <w:tr w:rsidR="00A05B4D" w14:paraId="553E9440" w14:textId="77777777" w:rsidTr="00A05B4D">
        <w:tc>
          <w:tcPr>
            <w:tcW w:w="3256" w:type="dxa"/>
          </w:tcPr>
          <w:p w14:paraId="4D378DFC" w14:textId="4C67A6B8" w:rsidR="00A05B4D" w:rsidRPr="006B1118" w:rsidRDefault="00A05B4D" w:rsidP="00777DA5">
            <w:pPr>
              <w:keepNext/>
              <w:keepLines/>
              <w:rPr>
                <w:sz w:val="21"/>
                <w:szCs w:val="21"/>
              </w:rPr>
            </w:pPr>
            <w:r w:rsidRPr="006B1118">
              <w:rPr>
                <w:sz w:val="21"/>
                <w:szCs w:val="21"/>
              </w:rPr>
              <w:t>Provide any further details and explain</w:t>
            </w:r>
          </w:p>
        </w:tc>
        <w:tc>
          <w:tcPr>
            <w:tcW w:w="6209" w:type="dxa"/>
          </w:tcPr>
          <w:p w14:paraId="674ECDEB" w14:textId="0594E5F9" w:rsidR="00A05B4D" w:rsidRPr="006B1118" w:rsidRDefault="009208A2" w:rsidP="00777DA5">
            <w:pPr>
              <w:keepNext/>
              <w:keepLines/>
              <w:rPr>
                <w:rFonts w:eastAsia="Segoe UI"/>
                <w:bCs/>
                <w:color w:val="000000"/>
                <w:sz w:val="21"/>
                <w:szCs w:val="21"/>
              </w:rPr>
            </w:pPr>
            <w:r>
              <w:rPr>
                <w:sz w:val="21"/>
                <w:szCs w:val="21"/>
              </w:rPr>
              <w:t>MSAC Application 1766 states that “a</w:t>
            </w:r>
            <w:r w:rsidRPr="009208A2">
              <w:rPr>
                <w:sz w:val="21"/>
                <w:szCs w:val="21"/>
              </w:rPr>
              <w:t xml:space="preserve"> detailed utilisation analysis will be presented in the integrated </w:t>
            </w:r>
            <w:r w:rsidR="00F37725" w:rsidRPr="009208A2">
              <w:rPr>
                <w:sz w:val="21"/>
                <w:szCs w:val="21"/>
              </w:rPr>
              <w:t>co-dependent</w:t>
            </w:r>
            <w:r>
              <w:rPr>
                <w:sz w:val="21"/>
                <w:szCs w:val="21"/>
              </w:rPr>
              <w:t xml:space="preserve"> </w:t>
            </w:r>
            <w:r w:rsidRPr="009208A2">
              <w:rPr>
                <w:sz w:val="21"/>
                <w:szCs w:val="21"/>
              </w:rPr>
              <w:t>MSAC/PBAC</w:t>
            </w:r>
            <w:r>
              <w:rPr>
                <w:sz w:val="21"/>
                <w:szCs w:val="21"/>
              </w:rPr>
              <w:t xml:space="preserve"> </w:t>
            </w:r>
            <w:r w:rsidRPr="009208A2">
              <w:rPr>
                <w:sz w:val="21"/>
                <w:szCs w:val="21"/>
              </w:rPr>
              <w:t>submission</w:t>
            </w:r>
            <w:r>
              <w:rPr>
                <w:sz w:val="21"/>
                <w:szCs w:val="21"/>
              </w:rPr>
              <w:t>”</w:t>
            </w:r>
          </w:p>
        </w:tc>
      </w:tr>
      <w:bookmarkEnd w:id="3"/>
    </w:tbl>
    <w:p w14:paraId="5CB4775F" w14:textId="77777777" w:rsidR="008C25CD" w:rsidRDefault="008C25CD" w:rsidP="008C25CD"/>
    <w:p w14:paraId="2A44188C" w14:textId="12797F34" w:rsidR="008C25CD" w:rsidRDefault="008C25CD" w:rsidP="00777DA5">
      <w:pPr>
        <w:keepNext/>
        <w:keepLines/>
        <w:rPr>
          <w:b/>
          <w:bCs/>
        </w:rPr>
      </w:pPr>
      <w:r w:rsidRPr="008C25CD">
        <w:rPr>
          <w:b/>
          <w:bCs/>
        </w:rPr>
        <w:lastRenderedPageBreak/>
        <w:t xml:space="preserve">Scenario </w:t>
      </w:r>
      <w:r>
        <w:rPr>
          <w:b/>
          <w:bCs/>
        </w:rPr>
        <w:t>2</w:t>
      </w:r>
      <w:r w:rsidRPr="008C25CD">
        <w:rPr>
          <w:b/>
          <w:bCs/>
        </w:rPr>
        <w:t xml:space="preserve">: </w:t>
      </w:r>
      <w:r>
        <w:rPr>
          <w:b/>
          <w:bCs/>
        </w:rPr>
        <w:t xml:space="preserve">Create </w:t>
      </w:r>
      <w:r w:rsidR="009750E7">
        <w:rPr>
          <w:b/>
          <w:bCs/>
        </w:rPr>
        <w:t xml:space="preserve">an </w:t>
      </w:r>
      <w:r w:rsidRPr="008C25CD">
        <w:rPr>
          <w:b/>
          <w:bCs/>
        </w:rPr>
        <w:t>MBS item descriptor</w:t>
      </w:r>
      <w:r w:rsidR="00C86498">
        <w:rPr>
          <w:b/>
          <w:bCs/>
        </w:rPr>
        <w:t xml:space="preserve"> specific to PIK3CA testing and </w:t>
      </w:r>
      <w:r w:rsidR="009750E7">
        <w:rPr>
          <w:b/>
          <w:bCs/>
        </w:rPr>
        <w:t>PIK3CA inhibi</w:t>
      </w:r>
      <w:r w:rsidR="0023440E">
        <w:rPr>
          <w:b/>
          <w:bCs/>
        </w:rPr>
        <w:t>tor (</w:t>
      </w:r>
      <w:proofErr w:type="spellStart"/>
      <w:r w:rsidR="00C86498">
        <w:rPr>
          <w:b/>
          <w:bCs/>
        </w:rPr>
        <w:t>inavolisib</w:t>
      </w:r>
      <w:proofErr w:type="spellEnd"/>
      <w:r w:rsidR="0023440E">
        <w:rPr>
          <w:b/>
          <w:bCs/>
        </w:rPr>
        <w:t>) access</w:t>
      </w:r>
    </w:p>
    <w:tbl>
      <w:tblPr>
        <w:tblStyle w:val="TableGrid"/>
        <w:tblW w:w="0" w:type="auto"/>
        <w:tblLook w:val="04A0" w:firstRow="1" w:lastRow="0" w:firstColumn="1" w:lastColumn="0" w:noHBand="0" w:noVBand="1"/>
      </w:tblPr>
      <w:tblGrid>
        <w:gridCol w:w="3256"/>
        <w:gridCol w:w="6209"/>
      </w:tblGrid>
      <w:tr w:rsidR="00C86498" w14:paraId="2AB36EAE" w14:textId="77777777" w:rsidTr="00E45D47">
        <w:tc>
          <w:tcPr>
            <w:tcW w:w="3256" w:type="dxa"/>
          </w:tcPr>
          <w:p w14:paraId="01996621" w14:textId="77777777" w:rsidR="00C86498" w:rsidRPr="006B1118" w:rsidRDefault="00C86498" w:rsidP="00777DA5">
            <w:pPr>
              <w:keepNext/>
              <w:keepLines/>
              <w:rPr>
                <w:sz w:val="21"/>
                <w:szCs w:val="21"/>
              </w:rPr>
            </w:pPr>
            <w:r w:rsidRPr="006B1118">
              <w:rPr>
                <w:sz w:val="21"/>
                <w:szCs w:val="21"/>
              </w:rPr>
              <w:t xml:space="preserve">MBS item number </w:t>
            </w:r>
            <w:r w:rsidRPr="006B1118">
              <w:rPr>
                <w:sz w:val="21"/>
                <w:szCs w:val="21"/>
              </w:rPr>
              <w:br/>
              <w:t>(where used as a template for the proposed item)</w:t>
            </w:r>
          </w:p>
        </w:tc>
        <w:tc>
          <w:tcPr>
            <w:tcW w:w="6209" w:type="dxa"/>
          </w:tcPr>
          <w:p w14:paraId="74EFB303" w14:textId="633F26CD" w:rsidR="00C86498" w:rsidRPr="006B1118" w:rsidRDefault="001F0B7A" w:rsidP="00777DA5">
            <w:pPr>
              <w:keepNext/>
              <w:keepLines/>
              <w:rPr>
                <w:sz w:val="21"/>
                <w:szCs w:val="21"/>
              </w:rPr>
            </w:pPr>
            <w:r>
              <w:rPr>
                <w:sz w:val="21"/>
                <w:szCs w:val="21"/>
              </w:rPr>
              <w:t xml:space="preserve">MBS item </w:t>
            </w:r>
            <w:r w:rsidR="00402FD2">
              <w:rPr>
                <w:sz w:val="21"/>
                <w:szCs w:val="21"/>
              </w:rPr>
              <w:t>73433</w:t>
            </w:r>
            <w:r>
              <w:rPr>
                <w:sz w:val="21"/>
                <w:szCs w:val="21"/>
              </w:rPr>
              <w:t xml:space="preserve"> was used as a high-level template for the proposed item</w:t>
            </w:r>
          </w:p>
        </w:tc>
      </w:tr>
      <w:tr w:rsidR="00C86498" w14:paraId="0A315ACD" w14:textId="77777777" w:rsidTr="00E45D47">
        <w:tc>
          <w:tcPr>
            <w:tcW w:w="3256" w:type="dxa"/>
          </w:tcPr>
          <w:p w14:paraId="40A9E081" w14:textId="77777777" w:rsidR="00C86498" w:rsidRPr="006B1118" w:rsidRDefault="00C86498" w:rsidP="00777DA5">
            <w:pPr>
              <w:keepNext/>
              <w:keepLines/>
              <w:rPr>
                <w:sz w:val="21"/>
                <w:szCs w:val="21"/>
              </w:rPr>
            </w:pPr>
            <w:r w:rsidRPr="006B1118">
              <w:rPr>
                <w:sz w:val="21"/>
                <w:szCs w:val="21"/>
              </w:rPr>
              <w:t>Category number</w:t>
            </w:r>
          </w:p>
        </w:tc>
        <w:tc>
          <w:tcPr>
            <w:tcW w:w="6209" w:type="dxa"/>
          </w:tcPr>
          <w:p w14:paraId="50167FCA" w14:textId="77777777" w:rsidR="00C86498" w:rsidRPr="006B1118" w:rsidRDefault="00C86498" w:rsidP="00777DA5">
            <w:pPr>
              <w:keepNext/>
              <w:keepLines/>
              <w:rPr>
                <w:sz w:val="21"/>
                <w:szCs w:val="21"/>
              </w:rPr>
            </w:pPr>
            <w:r>
              <w:rPr>
                <w:sz w:val="21"/>
                <w:szCs w:val="21"/>
              </w:rPr>
              <w:t>Category 6 – Pathology Services</w:t>
            </w:r>
          </w:p>
        </w:tc>
      </w:tr>
      <w:tr w:rsidR="00C86498" w14:paraId="7FA1D138" w14:textId="77777777" w:rsidTr="00E45D47">
        <w:tc>
          <w:tcPr>
            <w:tcW w:w="3256" w:type="dxa"/>
          </w:tcPr>
          <w:p w14:paraId="22752BF6" w14:textId="77777777" w:rsidR="00C86498" w:rsidRPr="006B1118" w:rsidRDefault="00C86498" w:rsidP="00777DA5">
            <w:pPr>
              <w:keepNext/>
              <w:keepLines/>
              <w:rPr>
                <w:sz w:val="21"/>
                <w:szCs w:val="21"/>
              </w:rPr>
            </w:pPr>
            <w:r w:rsidRPr="006B1118">
              <w:rPr>
                <w:sz w:val="21"/>
                <w:szCs w:val="21"/>
              </w:rPr>
              <w:t>Category description</w:t>
            </w:r>
          </w:p>
        </w:tc>
        <w:tc>
          <w:tcPr>
            <w:tcW w:w="6209" w:type="dxa"/>
          </w:tcPr>
          <w:p w14:paraId="04244CC5" w14:textId="77777777" w:rsidR="00C86498" w:rsidRPr="006B1118" w:rsidRDefault="00C86498" w:rsidP="00777DA5">
            <w:pPr>
              <w:keepNext/>
              <w:keepLines/>
              <w:rPr>
                <w:sz w:val="21"/>
                <w:szCs w:val="21"/>
              </w:rPr>
            </w:pPr>
            <w:r>
              <w:rPr>
                <w:sz w:val="21"/>
                <w:szCs w:val="21"/>
              </w:rPr>
              <w:t>Group P7 - Genetics</w:t>
            </w:r>
          </w:p>
        </w:tc>
      </w:tr>
      <w:tr w:rsidR="00C86498" w14:paraId="7C4FAA0D" w14:textId="77777777" w:rsidTr="00E45D47">
        <w:tc>
          <w:tcPr>
            <w:tcW w:w="3256" w:type="dxa"/>
          </w:tcPr>
          <w:p w14:paraId="7DE43F43" w14:textId="77777777" w:rsidR="00C86498" w:rsidRPr="006B1118" w:rsidRDefault="00C86498" w:rsidP="00777DA5">
            <w:pPr>
              <w:keepNext/>
              <w:keepLines/>
              <w:rPr>
                <w:sz w:val="21"/>
                <w:szCs w:val="21"/>
              </w:rPr>
            </w:pPr>
            <w:r w:rsidRPr="006B1118">
              <w:rPr>
                <w:sz w:val="21"/>
                <w:szCs w:val="21"/>
              </w:rPr>
              <w:t>Proposed item descriptor</w:t>
            </w:r>
          </w:p>
        </w:tc>
        <w:tc>
          <w:tcPr>
            <w:tcW w:w="6209" w:type="dxa"/>
          </w:tcPr>
          <w:p w14:paraId="7B425B71" w14:textId="438CC33F" w:rsidR="000F0561" w:rsidRDefault="009661B9" w:rsidP="00777DA5">
            <w:pPr>
              <w:keepNext/>
              <w:keepLines/>
              <w:rPr>
                <w:sz w:val="21"/>
                <w:szCs w:val="21"/>
              </w:rPr>
            </w:pPr>
            <w:r>
              <w:rPr>
                <w:sz w:val="21"/>
                <w:szCs w:val="21"/>
              </w:rPr>
              <w:t xml:space="preserve">Next generation sequencing (NGS) test for </w:t>
            </w:r>
            <w:r w:rsidR="00D13673" w:rsidRPr="00D13673">
              <w:rPr>
                <w:sz w:val="21"/>
                <w:szCs w:val="21"/>
              </w:rPr>
              <w:t>phosphatidylinositol 4,5-bisphosphate 3-kinase catalytic subunit</w:t>
            </w:r>
            <w:r w:rsidR="00424B43">
              <w:rPr>
                <w:sz w:val="21"/>
                <w:szCs w:val="21"/>
              </w:rPr>
              <w:t xml:space="preserve"> </w:t>
            </w:r>
            <w:r w:rsidR="00D13673" w:rsidRPr="00D13673">
              <w:rPr>
                <w:sz w:val="21"/>
                <w:szCs w:val="21"/>
              </w:rPr>
              <w:t>alpha isoform</w:t>
            </w:r>
            <w:r w:rsidR="00424B43">
              <w:rPr>
                <w:sz w:val="21"/>
                <w:szCs w:val="21"/>
              </w:rPr>
              <w:t xml:space="preserve"> (PIK3CA) </w:t>
            </w:r>
            <w:r w:rsidR="00511440">
              <w:rPr>
                <w:sz w:val="21"/>
                <w:szCs w:val="21"/>
              </w:rPr>
              <w:t>mutations</w:t>
            </w:r>
            <w:r w:rsidR="00387865">
              <w:rPr>
                <w:sz w:val="21"/>
                <w:szCs w:val="21"/>
              </w:rPr>
              <w:t xml:space="preserve"> </w:t>
            </w:r>
            <w:r w:rsidR="007847C3" w:rsidRPr="003F0AF7">
              <w:rPr>
                <w:sz w:val="21"/>
                <w:szCs w:val="21"/>
              </w:rPr>
              <w:t xml:space="preserve">performed on </w:t>
            </w:r>
            <w:r w:rsidR="00C86498" w:rsidRPr="003F0AF7">
              <w:rPr>
                <w:sz w:val="21"/>
                <w:szCs w:val="21"/>
              </w:rPr>
              <w:t>tumour tissue or circulating tumour DNA (</w:t>
            </w:r>
            <w:proofErr w:type="spellStart"/>
            <w:r w:rsidR="00C86498" w:rsidRPr="003F0AF7">
              <w:rPr>
                <w:sz w:val="21"/>
                <w:szCs w:val="21"/>
              </w:rPr>
              <w:t>ctDNA</w:t>
            </w:r>
            <w:proofErr w:type="spellEnd"/>
            <w:r w:rsidR="00C86498" w:rsidRPr="003F0AF7">
              <w:rPr>
                <w:sz w:val="21"/>
                <w:szCs w:val="21"/>
              </w:rPr>
              <w:t xml:space="preserve">) </w:t>
            </w:r>
            <w:r w:rsidR="000F0561" w:rsidRPr="003F0AF7">
              <w:rPr>
                <w:sz w:val="21"/>
                <w:szCs w:val="21"/>
              </w:rPr>
              <w:t>from a patient with locally advanced</w:t>
            </w:r>
            <w:r w:rsidR="009C284E" w:rsidRPr="003F0AF7">
              <w:rPr>
                <w:sz w:val="21"/>
                <w:szCs w:val="21"/>
              </w:rPr>
              <w:t xml:space="preserve"> (inoperable)</w:t>
            </w:r>
            <w:r w:rsidR="000F0561" w:rsidRPr="003F0AF7">
              <w:rPr>
                <w:sz w:val="21"/>
                <w:szCs w:val="21"/>
              </w:rPr>
              <w:t xml:space="preserve"> or metastatic breast cancer, if:</w:t>
            </w:r>
          </w:p>
          <w:p w14:paraId="31793F55" w14:textId="2E969494" w:rsidR="00513448" w:rsidRDefault="00205525" w:rsidP="00777DA5">
            <w:pPr>
              <w:pStyle w:val="ListParagraph"/>
              <w:keepNext/>
              <w:keepLines/>
              <w:numPr>
                <w:ilvl w:val="0"/>
                <w:numId w:val="9"/>
              </w:numPr>
              <w:rPr>
                <w:sz w:val="21"/>
                <w:szCs w:val="21"/>
              </w:rPr>
            </w:pPr>
            <w:r w:rsidRPr="00513448">
              <w:rPr>
                <w:sz w:val="21"/>
                <w:szCs w:val="21"/>
              </w:rPr>
              <w:t xml:space="preserve">The breast cancer is </w:t>
            </w:r>
            <w:r w:rsidR="00513448" w:rsidRPr="00513448">
              <w:rPr>
                <w:sz w:val="21"/>
                <w:szCs w:val="21"/>
              </w:rPr>
              <w:t xml:space="preserve">documented as </w:t>
            </w:r>
            <w:r w:rsidR="00C86498" w:rsidRPr="00513448">
              <w:rPr>
                <w:sz w:val="21"/>
                <w:szCs w:val="21"/>
              </w:rPr>
              <w:t>hormone receptor</w:t>
            </w:r>
            <w:r w:rsidR="00513448" w:rsidRPr="00513448">
              <w:rPr>
                <w:sz w:val="21"/>
                <w:szCs w:val="21"/>
              </w:rPr>
              <w:t>-</w:t>
            </w:r>
            <w:r w:rsidR="00C86498" w:rsidRPr="00513448">
              <w:rPr>
                <w:sz w:val="21"/>
                <w:szCs w:val="21"/>
              </w:rPr>
              <w:t>positive</w:t>
            </w:r>
            <w:r w:rsidR="003B7CA6">
              <w:rPr>
                <w:sz w:val="21"/>
                <w:szCs w:val="21"/>
              </w:rPr>
              <w:t>;</w:t>
            </w:r>
            <w:r w:rsidR="00513448">
              <w:rPr>
                <w:sz w:val="21"/>
                <w:szCs w:val="21"/>
              </w:rPr>
              <w:t xml:space="preserve"> and</w:t>
            </w:r>
          </w:p>
          <w:p w14:paraId="36A6E26C" w14:textId="5C35B54C" w:rsidR="00C86498" w:rsidRDefault="00513448" w:rsidP="00777DA5">
            <w:pPr>
              <w:pStyle w:val="ListParagraph"/>
              <w:keepNext/>
              <w:keepLines/>
              <w:numPr>
                <w:ilvl w:val="0"/>
                <w:numId w:val="9"/>
              </w:numPr>
              <w:rPr>
                <w:sz w:val="21"/>
                <w:szCs w:val="21"/>
              </w:rPr>
            </w:pPr>
            <w:r>
              <w:rPr>
                <w:sz w:val="21"/>
                <w:szCs w:val="21"/>
              </w:rPr>
              <w:t>The breast cancer is documented as</w:t>
            </w:r>
            <w:r w:rsidR="00C86498" w:rsidRPr="00513448">
              <w:rPr>
                <w:sz w:val="21"/>
                <w:szCs w:val="21"/>
              </w:rPr>
              <w:t xml:space="preserve"> HER2-negative</w:t>
            </w:r>
            <w:r w:rsidR="003B7CA6">
              <w:rPr>
                <w:sz w:val="21"/>
                <w:szCs w:val="21"/>
              </w:rPr>
              <w:t>; and</w:t>
            </w:r>
          </w:p>
          <w:p w14:paraId="29E2C308" w14:textId="77FB0A0C" w:rsidR="003B7CA6" w:rsidRPr="00443918" w:rsidRDefault="007250E4" w:rsidP="00777DA5">
            <w:pPr>
              <w:pStyle w:val="ListParagraph"/>
              <w:keepNext/>
              <w:keepLines/>
              <w:numPr>
                <w:ilvl w:val="0"/>
                <w:numId w:val="9"/>
              </w:numPr>
              <w:rPr>
                <w:sz w:val="21"/>
                <w:szCs w:val="21"/>
              </w:rPr>
            </w:pPr>
            <w:r w:rsidRPr="00443918">
              <w:rPr>
                <w:sz w:val="21"/>
                <w:szCs w:val="21"/>
              </w:rPr>
              <w:t xml:space="preserve">The test is requested by a specialist or consultant physician to determine if requirements relating to PIK3CA mutation status for access to a </w:t>
            </w:r>
            <w:r w:rsidR="00443918" w:rsidRPr="00443918">
              <w:rPr>
                <w:sz w:val="21"/>
                <w:szCs w:val="21"/>
              </w:rPr>
              <w:t xml:space="preserve">PIK3CA </w:t>
            </w:r>
            <w:r w:rsidRPr="00443918">
              <w:rPr>
                <w:sz w:val="21"/>
                <w:szCs w:val="21"/>
              </w:rPr>
              <w:t>inhibitor under the</w:t>
            </w:r>
            <w:r w:rsidR="00443918">
              <w:rPr>
                <w:sz w:val="21"/>
                <w:szCs w:val="21"/>
              </w:rPr>
              <w:t xml:space="preserve"> </w:t>
            </w:r>
            <w:r w:rsidRPr="00443918">
              <w:rPr>
                <w:sz w:val="21"/>
                <w:szCs w:val="21"/>
              </w:rPr>
              <w:t>Pharmaceutical Benefits Scheme are fulfilled</w:t>
            </w:r>
          </w:p>
          <w:p w14:paraId="3B490B9F" w14:textId="18A86BDB" w:rsidR="00C86498" w:rsidRPr="006B1118" w:rsidRDefault="0027241B" w:rsidP="00777DA5">
            <w:pPr>
              <w:keepNext/>
              <w:keepLines/>
              <w:rPr>
                <w:sz w:val="21"/>
                <w:szCs w:val="21"/>
              </w:rPr>
            </w:pPr>
            <w:r w:rsidRPr="0027241B">
              <w:rPr>
                <w:sz w:val="21"/>
                <w:szCs w:val="21"/>
              </w:rPr>
              <w:t xml:space="preserve">Applicable only once per </w:t>
            </w:r>
            <w:r w:rsidR="00B46D0F">
              <w:rPr>
                <w:sz w:val="21"/>
                <w:szCs w:val="21"/>
              </w:rPr>
              <w:t>lifetime</w:t>
            </w:r>
          </w:p>
        </w:tc>
      </w:tr>
      <w:tr w:rsidR="00C86498" w14:paraId="0D5F43B8" w14:textId="77777777" w:rsidTr="00E45D47">
        <w:tc>
          <w:tcPr>
            <w:tcW w:w="3256" w:type="dxa"/>
          </w:tcPr>
          <w:p w14:paraId="173BA604" w14:textId="77777777" w:rsidR="00C86498" w:rsidRPr="006B1118" w:rsidRDefault="00C86498" w:rsidP="00777DA5">
            <w:pPr>
              <w:keepNext/>
              <w:keepLines/>
              <w:rPr>
                <w:sz w:val="21"/>
                <w:szCs w:val="21"/>
              </w:rPr>
            </w:pPr>
            <w:r w:rsidRPr="006B1118">
              <w:rPr>
                <w:sz w:val="21"/>
                <w:szCs w:val="21"/>
              </w:rPr>
              <w:t>Proposed MBS fee</w:t>
            </w:r>
          </w:p>
        </w:tc>
        <w:tc>
          <w:tcPr>
            <w:tcW w:w="6209" w:type="dxa"/>
          </w:tcPr>
          <w:p w14:paraId="0313AD23" w14:textId="77777777" w:rsidR="005A7A75" w:rsidRDefault="00E07B2A" w:rsidP="00777DA5">
            <w:pPr>
              <w:keepNext/>
              <w:keepLines/>
              <w:rPr>
                <w:sz w:val="21"/>
                <w:szCs w:val="21"/>
              </w:rPr>
            </w:pPr>
            <w:r>
              <w:rPr>
                <w:sz w:val="21"/>
                <w:szCs w:val="21"/>
              </w:rPr>
              <w:t xml:space="preserve">The applicant is currently engaging with molecular pathology laboratories to </w:t>
            </w:r>
            <w:r w:rsidR="00AC413F">
              <w:rPr>
                <w:sz w:val="21"/>
                <w:szCs w:val="21"/>
              </w:rPr>
              <w:t>understand the costs associated with PIK3CA testing.</w:t>
            </w:r>
          </w:p>
          <w:p w14:paraId="665CB381" w14:textId="15ED39EF" w:rsidR="00C86498" w:rsidRPr="006B1118" w:rsidRDefault="00947222" w:rsidP="00777DA5">
            <w:pPr>
              <w:keepNext/>
              <w:keepLines/>
              <w:rPr>
                <w:sz w:val="21"/>
                <w:szCs w:val="21"/>
              </w:rPr>
            </w:pPr>
            <w:r>
              <w:rPr>
                <w:sz w:val="21"/>
                <w:szCs w:val="21"/>
              </w:rPr>
              <w:t>I</w:t>
            </w:r>
            <w:r w:rsidR="00B46D0F">
              <w:rPr>
                <w:sz w:val="21"/>
                <w:szCs w:val="21"/>
              </w:rPr>
              <w:t xml:space="preserve">t is </w:t>
            </w:r>
            <w:r w:rsidR="00694FF9">
              <w:rPr>
                <w:sz w:val="21"/>
                <w:szCs w:val="21"/>
              </w:rPr>
              <w:t>foreshadowed than an MBS fee of $350 - $400 will be proposed.</w:t>
            </w:r>
            <w:r>
              <w:rPr>
                <w:sz w:val="21"/>
                <w:szCs w:val="21"/>
              </w:rPr>
              <w:t xml:space="preserve"> However, the proposed MBS fee will be </w:t>
            </w:r>
            <w:r w:rsidR="006D0D4E">
              <w:rPr>
                <w:sz w:val="21"/>
                <w:szCs w:val="21"/>
              </w:rPr>
              <w:t xml:space="preserve">determined by the costing </w:t>
            </w:r>
            <w:r>
              <w:rPr>
                <w:sz w:val="21"/>
                <w:szCs w:val="21"/>
              </w:rPr>
              <w:t>information gathered</w:t>
            </w:r>
            <w:r w:rsidR="006D0D4E">
              <w:rPr>
                <w:sz w:val="21"/>
                <w:szCs w:val="21"/>
              </w:rPr>
              <w:t xml:space="preserve"> during the </w:t>
            </w:r>
            <w:r w:rsidR="0061650B">
              <w:rPr>
                <w:sz w:val="21"/>
                <w:szCs w:val="21"/>
              </w:rPr>
              <w:t xml:space="preserve">preparation of </w:t>
            </w:r>
            <w:r>
              <w:rPr>
                <w:sz w:val="21"/>
                <w:szCs w:val="21"/>
              </w:rPr>
              <w:t>any forthcoming reimbursement submission.</w:t>
            </w:r>
          </w:p>
        </w:tc>
      </w:tr>
      <w:tr w:rsidR="00C86498" w14:paraId="17187E09" w14:textId="77777777" w:rsidTr="00E45D47">
        <w:tc>
          <w:tcPr>
            <w:tcW w:w="3256" w:type="dxa"/>
          </w:tcPr>
          <w:p w14:paraId="1AB593E2" w14:textId="77777777" w:rsidR="00C86498" w:rsidRPr="006B1118" w:rsidRDefault="00C86498" w:rsidP="00777DA5">
            <w:pPr>
              <w:keepNext/>
              <w:keepLines/>
              <w:rPr>
                <w:sz w:val="21"/>
                <w:szCs w:val="21"/>
              </w:rPr>
            </w:pPr>
            <w:r w:rsidRPr="006B1118">
              <w:rPr>
                <w:sz w:val="21"/>
                <w:szCs w:val="21"/>
              </w:rPr>
              <w:t>Indicate the overall cost per patient of providing the proposed health technology</w:t>
            </w:r>
          </w:p>
        </w:tc>
        <w:tc>
          <w:tcPr>
            <w:tcW w:w="6209" w:type="dxa"/>
          </w:tcPr>
          <w:p w14:paraId="42F6F4C2" w14:textId="06F7C340" w:rsidR="00C86498" w:rsidRPr="006B1118" w:rsidRDefault="00694FF9" w:rsidP="00777DA5">
            <w:pPr>
              <w:keepNext/>
              <w:keepLines/>
              <w:rPr>
                <w:sz w:val="21"/>
                <w:szCs w:val="21"/>
              </w:rPr>
            </w:pPr>
            <w:r>
              <w:rPr>
                <w:sz w:val="21"/>
                <w:szCs w:val="21"/>
              </w:rPr>
              <w:t>$350 - $400</w:t>
            </w:r>
            <w:r w:rsidR="0061650B">
              <w:rPr>
                <w:sz w:val="21"/>
                <w:szCs w:val="21"/>
              </w:rPr>
              <w:t xml:space="preserve"> (indicative cost only)</w:t>
            </w:r>
          </w:p>
        </w:tc>
      </w:tr>
      <w:tr w:rsidR="00C86498" w14:paraId="146DE3B6" w14:textId="77777777" w:rsidTr="00E45D47">
        <w:tc>
          <w:tcPr>
            <w:tcW w:w="3256" w:type="dxa"/>
          </w:tcPr>
          <w:p w14:paraId="21A7E4A8" w14:textId="77777777" w:rsidR="00C86498" w:rsidRPr="006B1118" w:rsidRDefault="00C86498" w:rsidP="00777DA5">
            <w:pPr>
              <w:keepNext/>
              <w:keepLines/>
              <w:rPr>
                <w:sz w:val="21"/>
                <w:szCs w:val="21"/>
              </w:rPr>
            </w:pPr>
            <w:r w:rsidRPr="006B1118">
              <w:rPr>
                <w:sz w:val="21"/>
                <w:szCs w:val="21"/>
              </w:rPr>
              <w:t>Please specify any anticipated out of pocket expenses</w:t>
            </w:r>
          </w:p>
        </w:tc>
        <w:tc>
          <w:tcPr>
            <w:tcW w:w="6209" w:type="dxa"/>
          </w:tcPr>
          <w:p w14:paraId="223C2DD9" w14:textId="77777777" w:rsidR="00CA56B9" w:rsidRDefault="00694FF9" w:rsidP="00777DA5">
            <w:pPr>
              <w:keepNext/>
              <w:keepLines/>
              <w:rPr>
                <w:sz w:val="21"/>
                <w:szCs w:val="21"/>
              </w:rPr>
            </w:pPr>
            <w:r>
              <w:rPr>
                <w:sz w:val="21"/>
                <w:szCs w:val="21"/>
              </w:rPr>
              <w:t>$0</w:t>
            </w:r>
          </w:p>
          <w:p w14:paraId="40FBBC26" w14:textId="6FF2ACA4" w:rsidR="00C86498" w:rsidRPr="006B1118" w:rsidRDefault="007D70AF" w:rsidP="00055098">
            <w:pPr>
              <w:keepNext/>
              <w:keepLines/>
              <w:rPr>
                <w:rFonts w:eastAsia="Segoe UI"/>
                <w:bCs/>
                <w:color w:val="000000"/>
                <w:sz w:val="21"/>
                <w:szCs w:val="21"/>
              </w:rPr>
            </w:pPr>
            <w:r>
              <w:rPr>
                <w:sz w:val="21"/>
                <w:szCs w:val="21"/>
              </w:rPr>
              <w:t>PIK3CA testing is currently being offered by several private and public molecular pathology laboratories at a fee of $350 - $400</w:t>
            </w:r>
            <w:r w:rsidR="00CA56B9">
              <w:rPr>
                <w:sz w:val="21"/>
                <w:szCs w:val="21"/>
              </w:rPr>
              <w:t xml:space="preserve">. A MBS </w:t>
            </w:r>
            <w:r w:rsidR="00055098">
              <w:rPr>
                <w:sz w:val="21"/>
                <w:szCs w:val="21"/>
              </w:rPr>
              <w:t xml:space="preserve">funded item </w:t>
            </w:r>
            <w:r w:rsidR="00CA56B9">
              <w:rPr>
                <w:sz w:val="21"/>
                <w:szCs w:val="21"/>
              </w:rPr>
              <w:t xml:space="preserve">in the same price range </w:t>
            </w:r>
            <w:r w:rsidR="00117D1C">
              <w:rPr>
                <w:sz w:val="21"/>
                <w:szCs w:val="21"/>
              </w:rPr>
              <w:t>will minimise the potential for out of pocket expenses</w:t>
            </w:r>
            <w:r w:rsidR="003F0AF7">
              <w:rPr>
                <w:sz w:val="21"/>
                <w:szCs w:val="21"/>
              </w:rPr>
              <w:t>.</w:t>
            </w:r>
            <w:r>
              <w:rPr>
                <w:sz w:val="21"/>
                <w:szCs w:val="21"/>
              </w:rPr>
              <w:t xml:space="preserve"> </w:t>
            </w:r>
          </w:p>
        </w:tc>
      </w:tr>
    </w:tbl>
    <w:p w14:paraId="540BFB9A" w14:textId="77777777" w:rsidR="002B05AD" w:rsidRDefault="002B05AD" w:rsidP="00EA0AA0">
      <w:pPr>
        <w:pStyle w:val="Heading1"/>
      </w:pPr>
    </w:p>
    <w:p w14:paraId="6A789605" w14:textId="77777777" w:rsidR="002B05AD" w:rsidRDefault="002B05AD">
      <w:pPr>
        <w:spacing w:after="160" w:line="259" w:lineRule="auto"/>
        <w:rPr>
          <w:b/>
          <w:bCs/>
          <w:color w:val="0070C0"/>
          <w:sz w:val="32"/>
          <w:szCs w:val="32"/>
        </w:rPr>
      </w:pPr>
      <w:r>
        <w:br w:type="page"/>
      </w:r>
    </w:p>
    <w:p w14:paraId="321449D0" w14:textId="6AC03330" w:rsidR="005E1CFB" w:rsidRPr="00EA0AA0" w:rsidRDefault="0090168B" w:rsidP="00EA0AA0">
      <w:pPr>
        <w:pStyle w:val="Heading1"/>
      </w:pPr>
      <w:r w:rsidRPr="00EA0AA0">
        <w:lastRenderedPageBreak/>
        <w:t>Algorithms</w:t>
      </w:r>
    </w:p>
    <w:p w14:paraId="7EDD3EB5" w14:textId="76582628" w:rsidR="0090168B" w:rsidRPr="00EA0AA0" w:rsidRDefault="00EA0AA0" w:rsidP="00BC0C43">
      <w:pPr>
        <w:pStyle w:val="Heading2"/>
        <w:rPr>
          <w:u w:val="single"/>
        </w:rPr>
      </w:pPr>
      <w:r w:rsidRPr="00EA0AA0">
        <w:rPr>
          <w:u w:val="single"/>
        </w:rPr>
        <w:t>PREPARATION FOR USING THE HEALTH TECHNOLOGY</w:t>
      </w:r>
    </w:p>
    <w:p w14:paraId="463FDC5D" w14:textId="5634DB9D" w:rsidR="005E1CFB" w:rsidRPr="00BC0C43" w:rsidRDefault="0090168B" w:rsidP="00BC0C43">
      <w:pPr>
        <w:pStyle w:val="Heading2"/>
      </w:pPr>
      <w:r>
        <w:t xml:space="preserve">Define and summarise the clinical management algorithm, including any required tests or healthcare resources, before patients would be eligible for the </w:t>
      </w:r>
      <w:r w:rsidRPr="00DD0A06">
        <w:rPr>
          <w:u w:val="single"/>
        </w:rPr>
        <w:t>proposed health technology</w:t>
      </w:r>
      <w:r w:rsidR="005E1CFB">
        <w:t>:</w:t>
      </w:r>
    </w:p>
    <w:p w14:paraId="5032EDC7" w14:textId="13791501" w:rsidR="00BE5D24" w:rsidRDefault="00813B8D" w:rsidP="00BC0C43">
      <w:r>
        <w:t xml:space="preserve">As outlined previously, patients would </w:t>
      </w:r>
      <w:r w:rsidR="00A11E9F">
        <w:t xml:space="preserve">undergo </w:t>
      </w:r>
      <w:r w:rsidR="00BD6DAA">
        <w:t>consultations</w:t>
      </w:r>
      <w:r w:rsidR="00A11E9F">
        <w:t xml:space="preserve"> and investigations (</w:t>
      </w:r>
      <w:r w:rsidR="00EA50BE">
        <w:t xml:space="preserve">pathological assessment of tumour tissue and </w:t>
      </w:r>
      <w:r w:rsidR="006020B0">
        <w:t xml:space="preserve">diagnostic </w:t>
      </w:r>
      <w:r w:rsidR="00EA50BE">
        <w:t>imaging</w:t>
      </w:r>
      <w:r w:rsidR="006020B0">
        <w:t>)</w:t>
      </w:r>
      <w:r w:rsidR="00A11E9F">
        <w:t xml:space="preserve"> required to </w:t>
      </w:r>
      <w:r w:rsidR="00381EEC">
        <w:t>establish</w:t>
      </w:r>
      <w:r w:rsidR="00A11E9F">
        <w:t xml:space="preserve"> a</w:t>
      </w:r>
      <w:r w:rsidR="006020B0">
        <w:t xml:space="preserve"> diagnosis of </w:t>
      </w:r>
      <w:r w:rsidR="00BE5D24">
        <w:t>HR+/HER2- locally advanced or metastatic breast cancer.</w:t>
      </w:r>
    </w:p>
    <w:p w14:paraId="4131E93D" w14:textId="27278C86" w:rsidR="005E1CFB" w:rsidRDefault="0090168B" w:rsidP="00BC0C43">
      <w:pPr>
        <w:rPr>
          <w:bCs/>
        </w:rPr>
      </w:pPr>
      <w:r w:rsidRPr="00BC0C43">
        <w:rPr>
          <w:rStyle w:val="Heading2Char"/>
        </w:rPr>
        <w:t>Is there any expectation that the clinical management algorithm before the health technology is used will change due to the introduction of the proposed health technology</w:t>
      </w:r>
      <w:r w:rsidR="005E1CFB" w:rsidRPr="00BC0C43">
        <w:rPr>
          <w:rStyle w:val="Heading2Char"/>
        </w:rPr>
        <w:t>?</w:t>
      </w:r>
    </w:p>
    <w:p w14:paraId="1546906F" w14:textId="5136D5B9" w:rsidR="005E1CFB" w:rsidRDefault="005E1CFB" w:rsidP="00BC0C43">
      <w:r w:rsidRPr="007B3AE3">
        <w:t>No</w:t>
      </w:r>
    </w:p>
    <w:p w14:paraId="0EA69E70" w14:textId="2F8BA449" w:rsidR="005E1CFB" w:rsidRPr="00BC0C43" w:rsidRDefault="0090168B" w:rsidP="00BC0C43">
      <w:pPr>
        <w:pStyle w:val="Heading2"/>
      </w:pPr>
      <w:r>
        <w:t xml:space="preserve">Describe and explain any differences in the clinical management algorithm prior to the use of the </w:t>
      </w:r>
      <w:r w:rsidRPr="00DD0A06">
        <w:rPr>
          <w:u w:val="single"/>
        </w:rPr>
        <w:t>proposed health technology</w:t>
      </w:r>
      <w:r>
        <w:t xml:space="preserve"> vs. the </w:t>
      </w:r>
      <w:r w:rsidRPr="00DD0A06">
        <w:rPr>
          <w:u w:val="single"/>
        </w:rPr>
        <w:t>comparator health technology</w:t>
      </w:r>
      <w:r w:rsidR="005E1CFB">
        <w:t>:</w:t>
      </w:r>
    </w:p>
    <w:p w14:paraId="16F3E419" w14:textId="1DA16152" w:rsidR="00BE6B22" w:rsidRPr="00BC0C43" w:rsidRDefault="0090168B" w:rsidP="00BC0C43">
      <w:pPr>
        <w:rPr>
          <w:rFonts w:asciiTheme="minorHAnsi" w:eastAsia="Segoe UI" w:hAnsiTheme="minorHAnsi" w:cstheme="minorHAnsi"/>
          <w:color w:val="000000"/>
        </w:rPr>
      </w:pPr>
      <w:r>
        <w:fldChar w:fldCharType="begin">
          <w:ffData>
            <w:name w:val=""/>
            <w:enabled/>
            <w:calcOnExit w:val="0"/>
            <w:textInput>
              <w:default w:val="Please provide a response if you answered 'Yes' to the question above"/>
            </w:textInput>
          </w:ffData>
        </w:fldChar>
      </w:r>
      <w:r>
        <w:instrText xml:space="preserve"> FORMTEXT </w:instrText>
      </w:r>
      <w:r>
        <w:fldChar w:fldCharType="separate"/>
      </w:r>
      <w:r w:rsidR="00010AAA">
        <w:rPr>
          <w:noProof/>
        </w:rPr>
        <w:t>Please provide a response if you answered 'Yes' to the question above</w:t>
      </w:r>
      <w:r>
        <w:fldChar w:fldCharType="end"/>
      </w:r>
    </w:p>
    <w:p w14:paraId="2AEB8C28" w14:textId="17DF89E6" w:rsidR="00F16239" w:rsidRPr="00EA0AA0" w:rsidRDefault="00EA0AA0" w:rsidP="00BC0C43">
      <w:pPr>
        <w:pStyle w:val="Heading2"/>
        <w:rPr>
          <w:u w:val="single"/>
        </w:rPr>
      </w:pPr>
      <w:r w:rsidRPr="00EA0AA0">
        <w:rPr>
          <w:u w:val="single"/>
        </w:rPr>
        <w:t>USE OF THE HEALTH TECHNOLOGY</w:t>
      </w:r>
    </w:p>
    <w:p w14:paraId="7C130FEF" w14:textId="04FF653C" w:rsidR="0090168B" w:rsidRPr="00BC0C43" w:rsidRDefault="00F16239" w:rsidP="00BC0C43">
      <w:pPr>
        <w:pStyle w:val="Heading2"/>
      </w:pPr>
      <w:r>
        <w:t xml:space="preserve">Explain what other healthcare resources are used in conjunction with delivering the </w:t>
      </w:r>
      <w:r w:rsidRPr="00DD0A06">
        <w:rPr>
          <w:u w:val="single"/>
        </w:rPr>
        <w:t>proposed health technology</w:t>
      </w:r>
      <w:r w:rsidR="0090168B">
        <w:t>:</w:t>
      </w:r>
    </w:p>
    <w:p w14:paraId="09037594" w14:textId="77777777" w:rsidR="002A4F73" w:rsidRDefault="0005524B" w:rsidP="00BC0C43">
      <w:r>
        <w:t>The collection of a biopsy sample for the purpose of undertaking patholo</w:t>
      </w:r>
      <w:r w:rsidR="00C52A16">
        <w:t>gic assessment of tumour tissue is routine clinical practice</w:t>
      </w:r>
      <w:r w:rsidR="00007229">
        <w:t xml:space="preserve">. For a small number of patients whose original biopsy sample may have been of insufficient </w:t>
      </w:r>
      <w:r w:rsidR="00D777E8">
        <w:t xml:space="preserve">quality, or was exhausted through performing prior pathological assessment, a re-biopsy may be required to obtain </w:t>
      </w:r>
      <w:r w:rsidR="002A4F73">
        <w:t>adequate tumour tissue to perform PIK3CA testing.</w:t>
      </w:r>
    </w:p>
    <w:p w14:paraId="69244EED" w14:textId="53718B5E" w:rsidR="0090168B" w:rsidRPr="00BC0C43" w:rsidRDefault="002A4F73" w:rsidP="00BC0C43">
      <w:pPr>
        <w:rPr>
          <w:rFonts w:asciiTheme="minorHAnsi" w:eastAsia="Segoe UI" w:hAnsiTheme="minorHAnsi" w:cstheme="minorHAnsi"/>
          <w:color w:val="000000"/>
        </w:rPr>
      </w:pPr>
      <w:r>
        <w:t xml:space="preserve">For patients having PIK3CA testing performed </w:t>
      </w:r>
      <w:r w:rsidR="007E6C76">
        <w:t xml:space="preserve">on </w:t>
      </w:r>
      <w:proofErr w:type="spellStart"/>
      <w:r w:rsidR="007E6C76">
        <w:t>ctDNA</w:t>
      </w:r>
      <w:proofErr w:type="spellEnd"/>
      <w:r w:rsidR="003870A2">
        <w:t>,</w:t>
      </w:r>
      <w:r w:rsidR="007E6C76">
        <w:t xml:space="preserve"> collection of</w:t>
      </w:r>
      <w:r w:rsidR="003C0073">
        <w:t xml:space="preserve"> a plasma sample</w:t>
      </w:r>
      <w:r w:rsidR="009734FB">
        <w:t xml:space="preserve"> for processing and testing </w:t>
      </w:r>
      <w:r w:rsidR="001A390C">
        <w:t>is</w:t>
      </w:r>
      <w:r w:rsidR="009734FB">
        <w:t xml:space="preserve"> required. This could be performed during a consultation </w:t>
      </w:r>
      <w:r w:rsidR="001B421F">
        <w:t>with the clinician requesting PIK3CA testing or at a pathology collection centre</w:t>
      </w:r>
      <w:r w:rsidR="00A071EB">
        <w:t>, with the sample subsequently transported to the pathology laboratory for processing and testing.</w:t>
      </w:r>
    </w:p>
    <w:p w14:paraId="38D2ADE7" w14:textId="00333F26" w:rsidR="0090168B" w:rsidRPr="00BC0C43" w:rsidRDefault="00F16239" w:rsidP="00BC0C43">
      <w:pPr>
        <w:pStyle w:val="Heading2"/>
      </w:pPr>
      <w:r>
        <w:t xml:space="preserve">Explain what other healthcare resources are used in conjunction with the </w:t>
      </w:r>
      <w:r w:rsidRPr="00DD0A06">
        <w:rPr>
          <w:u w:val="single"/>
        </w:rPr>
        <w:t>comparator health technology</w:t>
      </w:r>
      <w:r w:rsidR="0090168B">
        <w:t>:</w:t>
      </w:r>
    </w:p>
    <w:p w14:paraId="54F80CE7" w14:textId="1BD922E3" w:rsidR="0071698D" w:rsidRDefault="003E6A26" w:rsidP="00BC0C43">
      <w:proofErr w:type="spellStart"/>
      <w:r>
        <w:t>Fulvestrant</w:t>
      </w:r>
      <w:proofErr w:type="spellEnd"/>
      <w:r>
        <w:t xml:space="preserve"> </w:t>
      </w:r>
      <w:r w:rsidR="00A31E8C">
        <w:t xml:space="preserve">is administered by </w:t>
      </w:r>
      <w:r w:rsidR="0023133A">
        <w:t>intramuscular injection</w:t>
      </w:r>
      <w:r w:rsidR="00223206">
        <w:t xml:space="preserve">, with the recommended dose (500 mg) </w:t>
      </w:r>
      <w:r w:rsidR="003E1208">
        <w:t xml:space="preserve">to be administered as 2 x 5 </w:t>
      </w:r>
      <w:r w:rsidR="00116B08">
        <w:t>mL</w:t>
      </w:r>
      <w:r w:rsidR="003E1208">
        <w:t xml:space="preserve"> injection</w:t>
      </w:r>
      <w:r w:rsidR="005237BD">
        <w:t>s</w:t>
      </w:r>
      <w:r w:rsidR="003E1208">
        <w:t>, one in each buttock</w:t>
      </w:r>
      <w:r w:rsidR="00EF1FCA">
        <w:t xml:space="preserve">, over a 1 – 2 minutes/injection. Health care resources </w:t>
      </w:r>
      <w:r w:rsidR="006125BF">
        <w:t xml:space="preserve">associated with </w:t>
      </w:r>
      <w:r w:rsidR="00381EEC">
        <w:t>an</w:t>
      </w:r>
      <w:r w:rsidR="006125BF">
        <w:t xml:space="preserve"> intramuscular injection</w:t>
      </w:r>
      <w:r w:rsidR="007B023B">
        <w:t xml:space="preserve"> of </w:t>
      </w:r>
      <w:proofErr w:type="spellStart"/>
      <w:r w:rsidR="007B023B">
        <w:t>fulvestrant</w:t>
      </w:r>
      <w:proofErr w:type="spellEnd"/>
      <w:r w:rsidR="007B023B">
        <w:t xml:space="preserve"> by a clinician or nurse </w:t>
      </w:r>
      <w:r w:rsidR="00523B1B">
        <w:t>would be used</w:t>
      </w:r>
      <w:r w:rsidR="0023133A">
        <w:t xml:space="preserve"> </w:t>
      </w:r>
      <w:r w:rsidR="00523B1B">
        <w:t xml:space="preserve">with the comparator </w:t>
      </w:r>
      <w:r w:rsidR="0071698D">
        <w:t xml:space="preserve">health technology </w:t>
      </w:r>
      <w:r w:rsidR="00BC467D">
        <w:t xml:space="preserve">of </w:t>
      </w:r>
      <w:proofErr w:type="spellStart"/>
      <w:r w:rsidR="00BC467D" w:rsidRPr="00AA5302">
        <w:t>palbociclib</w:t>
      </w:r>
      <w:proofErr w:type="spellEnd"/>
      <w:r w:rsidR="00BC467D" w:rsidRPr="00AA5302">
        <w:t xml:space="preserve"> and </w:t>
      </w:r>
      <w:proofErr w:type="spellStart"/>
      <w:r w:rsidR="00BC467D" w:rsidRPr="00AA5302">
        <w:t>fulvestrant</w:t>
      </w:r>
      <w:proofErr w:type="spellEnd"/>
    </w:p>
    <w:p w14:paraId="4151B2DB" w14:textId="38FC04A2" w:rsidR="0090168B" w:rsidRPr="00BC0C43" w:rsidRDefault="00BC467D" w:rsidP="00BC0C43">
      <w:pPr>
        <w:rPr>
          <w:rFonts w:asciiTheme="minorHAnsi" w:eastAsia="Segoe UI" w:hAnsiTheme="minorHAnsi" w:cstheme="minorHAnsi"/>
          <w:color w:val="000000"/>
        </w:rPr>
      </w:pPr>
      <w:proofErr w:type="spellStart"/>
      <w:r>
        <w:t>I</w:t>
      </w:r>
      <w:r w:rsidR="0071698D">
        <w:t>navolisib</w:t>
      </w:r>
      <w:proofErr w:type="spellEnd"/>
      <w:r w:rsidR="006F151D">
        <w:t xml:space="preserve"> </w:t>
      </w:r>
      <w:r>
        <w:t xml:space="preserve">is taken orally and </w:t>
      </w:r>
      <w:r w:rsidR="006F151D">
        <w:t xml:space="preserve">is intended to be used in </w:t>
      </w:r>
      <w:r>
        <w:t xml:space="preserve">combination with </w:t>
      </w:r>
      <w:proofErr w:type="spellStart"/>
      <w:r w:rsidRPr="00AA5302">
        <w:t>palbociclib</w:t>
      </w:r>
      <w:proofErr w:type="spellEnd"/>
      <w:r w:rsidR="00F15E28">
        <w:t xml:space="preserve"> (also taken orally)</w:t>
      </w:r>
      <w:r w:rsidRPr="00AA5302">
        <w:t xml:space="preserve"> and </w:t>
      </w:r>
      <w:proofErr w:type="spellStart"/>
      <w:r w:rsidRPr="00AA5302">
        <w:t>fulvestrant</w:t>
      </w:r>
      <w:proofErr w:type="spellEnd"/>
      <w:r>
        <w:t xml:space="preserve">. Therefore, no incremental different in healthcare resources </w:t>
      </w:r>
      <w:r w:rsidR="00E670C2">
        <w:t xml:space="preserve">associated with treatment administration </w:t>
      </w:r>
      <w:r>
        <w:t>are anticipated</w:t>
      </w:r>
      <w:r w:rsidR="00E670C2">
        <w:t>.</w:t>
      </w:r>
    </w:p>
    <w:p w14:paraId="378F78D9" w14:textId="28E2F695" w:rsidR="00F16239" w:rsidRPr="00BC0C43" w:rsidRDefault="00F16239" w:rsidP="005237BD">
      <w:pPr>
        <w:pStyle w:val="Heading2"/>
        <w:keepNext/>
        <w:keepLines/>
      </w:pPr>
      <w:r>
        <w:lastRenderedPageBreak/>
        <w:t xml:space="preserve">Describe and explain any differences in the healthcare resources used in conjunction with the </w:t>
      </w:r>
      <w:r w:rsidRPr="00DD0A06">
        <w:rPr>
          <w:u w:val="single"/>
        </w:rPr>
        <w:t>proposed health technology</w:t>
      </w:r>
      <w:r>
        <w:t xml:space="preserve"> vs. the </w:t>
      </w:r>
      <w:r w:rsidRPr="00DD0A06">
        <w:rPr>
          <w:u w:val="single"/>
        </w:rPr>
        <w:t>comparator health technology</w:t>
      </w:r>
      <w:r>
        <w:t>:</w:t>
      </w:r>
    </w:p>
    <w:tbl>
      <w:tblPr>
        <w:tblStyle w:val="TableGrid"/>
        <w:tblW w:w="0" w:type="auto"/>
        <w:tblLook w:val="04A0" w:firstRow="1" w:lastRow="0" w:firstColumn="1" w:lastColumn="0" w:noHBand="0" w:noVBand="1"/>
      </w:tblPr>
      <w:tblGrid>
        <w:gridCol w:w="2395"/>
        <w:gridCol w:w="1773"/>
        <w:gridCol w:w="1773"/>
        <w:gridCol w:w="1773"/>
        <w:gridCol w:w="1773"/>
      </w:tblGrid>
      <w:tr w:rsidR="00EE3BB4" w14:paraId="7E2200ED" w14:textId="77777777" w:rsidTr="00EE3BB4">
        <w:tc>
          <w:tcPr>
            <w:tcW w:w="0" w:type="auto"/>
          </w:tcPr>
          <w:p w14:paraId="521B17A7" w14:textId="77777777" w:rsidR="00EE3BB4" w:rsidRPr="000421BC" w:rsidRDefault="00EE3BB4" w:rsidP="005237BD">
            <w:pPr>
              <w:keepNext/>
              <w:keepLines/>
              <w:rPr>
                <w:b/>
                <w:bCs/>
              </w:rPr>
            </w:pPr>
          </w:p>
        </w:tc>
        <w:tc>
          <w:tcPr>
            <w:tcW w:w="3546" w:type="dxa"/>
            <w:gridSpan w:val="2"/>
          </w:tcPr>
          <w:p w14:paraId="364BE872" w14:textId="20BBF9BE" w:rsidR="00EE3BB4" w:rsidRPr="000421BC" w:rsidRDefault="00EE3BB4" w:rsidP="005237BD">
            <w:pPr>
              <w:keepNext/>
              <w:keepLines/>
              <w:jc w:val="center"/>
              <w:rPr>
                <w:b/>
                <w:bCs/>
              </w:rPr>
            </w:pPr>
            <w:r>
              <w:rPr>
                <w:b/>
                <w:bCs/>
              </w:rPr>
              <w:t>Testing component</w:t>
            </w:r>
          </w:p>
        </w:tc>
        <w:tc>
          <w:tcPr>
            <w:tcW w:w="3546" w:type="dxa"/>
            <w:gridSpan w:val="2"/>
          </w:tcPr>
          <w:p w14:paraId="26ED7158" w14:textId="69DE06A8" w:rsidR="00EE3BB4" w:rsidRPr="000421BC" w:rsidRDefault="00EE3BB4" w:rsidP="005237BD">
            <w:pPr>
              <w:keepNext/>
              <w:keepLines/>
              <w:jc w:val="center"/>
              <w:rPr>
                <w:b/>
                <w:bCs/>
              </w:rPr>
            </w:pPr>
            <w:r>
              <w:rPr>
                <w:b/>
                <w:bCs/>
              </w:rPr>
              <w:t>Treatment component</w:t>
            </w:r>
          </w:p>
        </w:tc>
      </w:tr>
      <w:tr w:rsidR="00C43130" w14:paraId="0AD4AFEB" w14:textId="2AE57DA5" w:rsidTr="000421BC">
        <w:tc>
          <w:tcPr>
            <w:tcW w:w="0" w:type="auto"/>
          </w:tcPr>
          <w:p w14:paraId="75D5222D" w14:textId="35B8A234" w:rsidR="00C43130" w:rsidRPr="000421BC" w:rsidRDefault="00C43130" w:rsidP="005237BD">
            <w:pPr>
              <w:keepNext/>
              <w:keepLines/>
              <w:rPr>
                <w:b/>
                <w:bCs/>
              </w:rPr>
            </w:pPr>
            <w:r w:rsidRPr="000421BC">
              <w:rPr>
                <w:b/>
                <w:bCs/>
              </w:rPr>
              <w:t>Healthcare resource</w:t>
            </w:r>
          </w:p>
        </w:tc>
        <w:tc>
          <w:tcPr>
            <w:tcW w:w="1773" w:type="dxa"/>
          </w:tcPr>
          <w:p w14:paraId="3362228E" w14:textId="77777777" w:rsidR="00C43130" w:rsidRDefault="00C43130" w:rsidP="005237BD">
            <w:pPr>
              <w:keepNext/>
              <w:keepLines/>
              <w:rPr>
                <w:b/>
                <w:bCs/>
              </w:rPr>
            </w:pPr>
            <w:r w:rsidRPr="000421BC">
              <w:rPr>
                <w:b/>
                <w:bCs/>
              </w:rPr>
              <w:t>PIK3CA testing</w:t>
            </w:r>
          </w:p>
          <w:p w14:paraId="0C8D0F90" w14:textId="7504A421" w:rsidR="00F15E28" w:rsidRPr="000421BC" w:rsidRDefault="00F15E28" w:rsidP="005237BD">
            <w:pPr>
              <w:keepNext/>
              <w:keepLines/>
              <w:rPr>
                <w:b/>
                <w:bCs/>
              </w:rPr>
            </w:pPr>
            <w:r>
              <w:rPr>
                <w:b/>
                <w:bCs/>
              </w:rPr>
              <w:t>(Proposed)</w:t>
            </w:r>
          </w:p>
        </w:tc>
        <w:tc>
          <w:tcPr>
            <w:tcW w:w="1773" w:type="dxa"/>
          </w:tcPr>
          <w:p w14:paraId="1A9ABA7E" w14:textId="765339FF" w:rsidR="00C43130" w:rsidRPr="000421BC" w:rsidRDefault="00C43130" w:rsidP="005237BD">
            <w:pPr>
              <w:keepNext/>
              <w:keepLines/>
              <w:rPr>
                <w:b/>
                <w:bCs/>
              </w:rPr>
            </w:pPr>
            <w:r w:rsidRPr="000421BC">
              <w:rPr>
                <w:b/>
                <w:bCs/>
              </w:rPr>
              <w:t>No PIK3CA testing</w:t>
            </w:r>
            <w:r w:rsidR="00F15E28">
              <w:rPr>
                <w:b/>
                <w:bCs/>
              </w:rPr>
              <w:t xml:space="preserve"> (Comparator)</w:t>
            </w:r>
          </w:p>
        </w:tc>
        <w:tc>
          <w:tcPr>
            <w:tcW w:w="1773" w:type="dxa"/>
          </w:tcPr>
          <w:p w14:paraId="1D918FA7" w14:textId="77777777" w:rsidR="00C43130" w:rsidRDefault="00C43130" w:rsidP="005237BD">
            <w:pPr>
              <w:keepNext/>
              <w:keepLines/>
              <w:rPr>
                <w:b/>
                <w:bCs/>
              </w:rPr>
            </w:pPr>
            <w:proofErr w:type="spellStart"/>
            <w:r w:rsidRPr="000421BC">
              <w:rPr>
                <w:b/>
                <w:bCs/>
              </w:rPr>
              <w:t>Inavolisib</w:t>
            </w:r>
            <w:proofErr w:type="spellEnd"/>
            <w:r w:rsidRPr="000421BC">
              <w:rPr>
                <w:b/>
                <w:bCs/>
              </w:rPr>
              <w:t xml:space="preserve"> in combination with </w:t>
            </w:r>
            <w:proofErr w:type="spellStart"/>
            <w:r w:rsidRPr="000421BC">
              <w:rPr>
                <w:b/>
                <w:bCs/>
              </w:rPr>
              <w:t>palbociclib</w:t>
            </w:r>
            <w:proofErr w:type="spellEnd"/>
            <w:r w:rsidRPr="000421BC">
              <w:rPr>
                <w:b/>
                <w:bCs/>
              </w:rPr>
              <w:t xml:space="preserve"> and </w:t>
            </w:r>
            <w:proofErr w:type="spellStart"/>
            <w:r w:rsidRPr="000421BC">
              <w:rPr>
                <w:b/>
                <w:bCs/>
              </w:rPr>
              <w:t>fulvestrant</w:t>
            </w:r>
            <w:proofErr w:type="spellEnd"/>
          </w:p>
          <w:p w14:paraId="3CF12993" w14:textId="3A7FA7D5" w:rsidR="00F15E28" w:rsidRPr="000421BC" w:rsidRDefault="00F15E28" w:rsidP="005237BD">
            <w:pPr>
              <w:keepNext/>
              <w:keepLines/>
              <w:rPr>
                <w:b/>
                <w:bCs/>
              </w:rPr>
            </w:pPr>
            <w:r>
              <w:rPr>
                <w:b/>
                <w:bCs/>
              </w:rPr>
              <w:t>(Proposed)</w:t>
            </w:r>
          </w:p>
        </w:tc>
        <w:tc>
          <w:tcPr>
            <w:tcW w:w="1773" w:type="dxa"/>
          </w:tcPr>
          <w:p w14:paraId="4111ECD2" w14:textId="0CA4BF67" w:rsidR="00C43130" w:rsidRPr="000421BC" w:rsidRDefault="00FD2317" w:rsidP="005237BD">
            <w:pPr>
              <w:keepNext/>
              <w:keepLines/>
              <w:rPr>
                <w:b/>
                <w:bCs/>
              </w:rPr>
            </w:pPr>
            <w:r w:rsidRPr="000421BC">
              <w:rPr>
                <w:b/>
                <w:bCs/>
              </w:rPr>
              <w:t xml:space="preserve">Palbociclib and </w:t>
            </w:r>
            <w:proofErr w:type="spellStart"/>
            <w:r w:rsidRPr="000421BC">
              <w:rPr>
                <w:b/>
                <w:bCs/>
              </w:rPr>
              <w:t>fulvestrant</w:t>
            </w:r>
            <w:proofErr w:type="spellEnd"/>
            <w:r w:rsidR="00F15E28">
              <w:rPr>
                <w:b/>
                <w:bCs/>
              </w:rPr>
              <w:t xml:space="preserve"> (Comparator)</w:t>
            </w:r>
          </w:p>
        </w:tc>
      </w:tr>
      <w:tr w:rsidR="00FB5407" w14:paraId="5B072248" w14:textId="235CB052" w:rsidTr="000421BC">
        <w:tc>
          <w:tcPr>
            <w:tcW w:w="0" w:type="auto"/>
          </w:tcPr>
          <w:p w14:paraId="1C6D70BD" w14:textId="0E492A14" w:rsidR="00FB5407" w:rsidRPr="00FB5407" w:rsidRDefault="00FB5407" w:rsidP="005237BD">
            <w:pPr>
              <w:keepNext/>
              <w:keepLines/>
            </w:pPr>
            <w:r w:rsidRPr="00FB5407">
              <w:t>PIK3CA testing</w:t>
            </w:r>
          </w:p>
        </w:tc>
        <w:tc>
          <w:tcPr>
            <w:tcW w:w="1773" w:type="dxa"/>
          </w:tcPr>
          <w:p w14:paraId="2D8AB623" w14:textId="3C1EFE6B" w:rsidR="00FB5407" w:rsidRPr="00FB5407" w:rsidRDefault="00FB5407" w:rsidP="005237BD">
            <w:pPr>
              <w:keepNext/>
              <w:keepLines/>
            </w:pPr>
            <w:r>
              <w:sym w:font="Wingdings" w:char="F0FC"/>
            </w:r>
          </w:p>
        </w:tc>
        <w:tc>
          <w:tcPr>
            <w:tcW w:w="1773" w:type="dxa"/>
          </w:tcPr>
          <w:p w14:paraId="3D7A2E63" w14:textId="0C133441" w:rsidR="00FB5407" w:rsidRPr="00FB5407" w:rsidRDefault="00FB5407" w:rsidP="005237BD">
            <w:pPr>
              <w:keepNext/>
              <w:keepLines/>
            </w:pPr>
            <w:r>
              <w:sym w:font="Wingdings" w:char="F0FB"/>
            </w:r>
          </w:p>
        </w:tc>
        <w:tc>
          <w:tcPr>
            <w:tcW w:w="1773" w:type="dxa"/>
          </w:tcPr>
          <w:p w14:paraId="1352655B" w14:textId="3CCCDC76" w:rsidR="00FB5407" w:rsidRPr="00FB5407" w:rsidRDefault="005237BD" w:rsidP="005237BD">
            <w:pPr>
              <w:keepNext/>
              <w:keepLines/>
            </w:pPr>
            <w:r>
              <w:t>NA</w:t>
            </w:r>
          </w:p>
        </w:tc>
        <w:tc>
          <w:tcPr>
            <w:tcW w:w="1773" w:type="dxa"/>
          </w:tcPr>
          <w:p w14:paraId="35E4F475" w14:textId="7118E4F3" w:rsidR="00FB5407" w:rsidRPr="00FB5407" w:rsidRDefault="005237BD" w:rsidP="005237BD">
            <w:pPr>
              <w:keepNext/>
              <w:keepLines/>
            </w:pPr>
            <w:r>
              <w:t>NA</w:t>
            </w:r>
          </w:p>
        </w:tc>
      </w:tr>
      <w:tr w:rsidR="005237BD" w14:paraId="2B1FD870" w14:textId="38AD1165" w:rsidTr="000421BC">
        <w:tc>
          <w:tcPr>
            <w:tcW w:w="0" w:type="auto"/>
          </w:tcPr>
          <w:p w14:paraId="3BBB1646" w14:textId="4F38AD6D" w:rsidR="005237BD" w:rsidRPr="00FB5407" w:rsidRDefault="005237BD" w:rsidP="005237BD">
            <w:pPr>
              <w:keepNext/>
              <w:keepLines/>
            </w:pPr>
            <w:r w:rsidRPr="00FB5407">
              <w:t>Re-biopsy to collect fresh tissue for testing</w:t>
            </w:r>
          </w:p>
        </w:tc>
        <w:tc>
          <w:tcPr>
            <w:tcW w:w="1773" w:type="dxa"/>
          </w:tcPr>
          <w:p w14:paraId="13524769" w14:textId="7070C305" w:rsidR="005237BD" w:rsidRPr="00FB5407" w:rsidRDefault="005237BD" w:rsidP="005237BD">
            <w:pPr>
              <w:keepNext/>
              <w:keepLines/>
            </w:pPr>
            <w:r>
              <w:sym w:font="Wingdings" w:char="F0FC"/>
            </w:r>
            <w:r>
              <w:t xml:space="preserve"> (only in patients with inadequate tissue from original biopsy)</w:t>
            </w:r>
          </w:p>
        </w:tc>
        <w:tc>
          <w:tcPr>
            <w:tcW w:w="1773" w:type="dxa"/>
          </w:tcPr>
          <w:p w14:paraId="568A41AA" w14:textId="5806E196" w:rsidR="005237BD" w:rsidRPr="00FB5407" w:rsidRDefault="005237BD" w:rsidP="005237BD">
            <w:pPr>
              <w:keepNext/>
              <w:keepLines/>
            </w:pPr>
            <w:r>
              <w:sym w:font="Wingdings" w:char="F0FB"/>
            </w:r>
          </w:p>
        </w:tc>
        <w:tc>
          <w:tcPr>
            <w:tcW w:w="1773" w:type="dxa"/>
          </w:tcPr>
          <w:p w14:paraId="1105EB48" w14:textId="1633C833" w:rsidR="005237BD" w:rsidRPr="00FB5407" w:rsidRDefault="005237BD" w:rsidP="005237BD">
            <w:pPr>
              <w:keepNext/>
              <w:keepLines/>
            </w:pPr>
            <w:r>
              <w:t>NA</w:t>
            </w:r>
          </w:p>
        </w:tc>
        <w:tc>
          <w:tcPr>
            <w:tcW w:w="1773" w:type="dxa"/>
          </w:tcPr>
          <w:p w14:paraId="628122A3" w14:textId="5877B088" w:rsidR="005237BD" w:rsidRPr="00FB5407" w:rsidRDefault="005237BD" w:rsidP="005237BD">
            <w:pPr>
              <w:keepNext/>
              <w:keepLines/>
            </w:pPr>
            <w:r>
              <w:t>NA</w:t>
            </w:r>
          </w:p>
        </w:tc>
      </w:tr>
      <w:tr w:rsidR="001A235C" w14:paraId="5FE5F61C" w14:textId="16D0789B" w:rsidTr="000421BC">
        <w:tc>
          <w:tcPr>
            <w:tcW w:w="0" w:type="auto"/>
          </w:tcPr>
          <w:p w14:paraId="7FBF0BC3" w14:textId="27305BE4" w:rsidR="001A235C" w:rsidRPr="00FB5407" w:rsidRDefault="001A235C" w:rsidP="001A235C">
            <w:pPr>
              <w:keepNext/>
              <w:keepLines/>
            </w:pPr>
            <w:r w:rsidRPr="00FB5407">
              <w:t>Collection of plasma sample for testing</w:t>
            </w:r>
          </w:p>
        </w:tc>
        <w:tc>
          <w:tcPr>
            <w:tcW w:w="1773" w:type="dxa"/>
          </w:tcPr>
          <w:p w14:paraId="5F333831" w14:textId="27E1F827" w:rsidR="001A235C" w:rsidRPr="00FB5407" w:rsidRDefault="001A235C" w:rsidP="001A235C">
            <w:pPr>
              <w:keepNext/>
              <w:keepLines/>
            </w:pPr>
            <w:r>
              <w:sym w:font="Wingdings" w:char="F0FC"/>
            </w:r>
            <w:r>
              <w:t xml:space="preserve"> (only in patients requested for </w:t>
            </w:r>
            <w:proofErr w:type="spellStart"/>
            <w:r>
              <w:t>ctDNA</w:t>
            </w:r>
            <w:proofErr w:type="spellEnd"/>
            <w:r>
              <w:t xml:space="preserve"> testing)</w:t>
            </w:r>
          </w:p>
        </w:tc>
        <w:tc>
          <w:tcPr>
            <w:tcW w:w="1773" w:type="dxa"/>
          </w:tcPr>
          <w:p w14:paraId="4AFF8F7C" w14:textId="0A3EBF98" w:rsidR="001A235C" w:rsidRPr="00FB5407" w:rsidRDefault="001A235C" w:rsidP="001A235C">
            <w:pPr>
              <w:keepNext/>
              <w:keepLines/>
            </w:pPr>
            <w:r>
              <w:sym w:font="Wingdings" w:char="F0FB"/>
            </w:r>
          </w:p>
        </w:tc>
        <w:tc>
          <w:tcPr>
            <w:tcW w:w="1773" w:type="dxa"/>
          </w:tcPr>
          <w:p w14:paraId="4930602A" w14:textId="519470C7" w:rsidR="001A235C" w:rsidRPr="00FB5407" w:rsidRDefault="001A235C" w:rsidP="001A235C">
            <w:pPr>
              <w:keepNext/>
              <w:keepLines/>
            </w:pPr>
            <w:r>
              <w:t>NA</w:t>
            </w:r>
          </w:p>
        </w:tc>
        <w:tc>
          <w:tcPr>
            <w:tcW w:w="1773" w:type="dxa"/>
          </w:tcPr>
          <w:p w14:paraId="56AF88C8" w14:textId="0336B773" w:rsidR="001A235C" w:rsidRPr="00FB5407" w:rsidRDefault="001A235C" w:rsidP="001A235C">
            <w:pPr>
              <w:keepNext/>
              <w:keepLines/>
            </w:pPr>
            <w:r>
              <w:t>NA</w:t>
            </w:r>
          </w:p>
        </w:tc>
      </w:tr>
      <w:tr w:rsidR="005237BD" w14:paraId="79490041" w14:textId="77777777" w:rsidTr="000421BC">
        <w:tc>
          <w:tcPr>
            <w:tcW w:w="0" w:type="auto"/>
          </w:tcPr>
          <w:p w14:paraId="0AA439AC" w14:textId="54C99988" w:rsidR="005237BD" w:rsidRPr="00FB5407" w:rsidRDefault="005237BD" w:rsidP="005237BD">
            <w:pPr>
              <w:keepNext/>
              <w:keepLines/>
            </w:pPr>
            <w:r w:rsidRPr="00FB5407">
              <w:t>Clinical or nurse consultation for treatment administration</w:t>
            </w:r>
          </w:p>
        </w:tc>
        <w:tc>
          <w:tcPr>
            <w:tcW w:w="1773" w:type="dxa"/>
          </w:tcPr>
          <w:p w14:paraId="59451FAC" w14:textId="04811015" w:rsidR="005237BD" w:rsidRPr="00FB5407" w:rsidRDefault="005237BD" w:rsidP="005237BD">
            <w:pPr>
              <w:keepNext/>
              <w:keepLines/>
            </w:pPr>
            <w:r>
              <w:t>NA</w:t>
            </w:r>
          </w:p>
        </w:tc>
        <w:tc>
          <w:tcPr>
            <w:tcW w:w="1773" w:type="dxa"/>
          </w:tcPr>
          <w:p w14:paraId="4BDCFF6C" w14:textId="0BE94596" w:rsidR="005237BD" w:rsidRPr="00FB5407" w:rsidRDefault="005237BD" w:rsidP="005237BD">
            <w:pPr>
              <w:keepNext/>
              <w:keepLines/>
            </w:pPr>
            <w:r>
              <w:t>NA</w:t>
            </w:r>
          </w:p>
        </w:tc>
        <w:tc>
          <w:tcPr>
            <w:tcW w:w="1773" w:type="dxa"/>
          </w:tcPr>
          <w:p w14:paraId="783FA853" w14:textId="760A5111" w:rsidR="005237BD" w:rsidRPr="00FB5407" w:rsidRDefault="005237BD" w:rsidP="005237BD">
            <w:pPr>
              <w:keepNext/>
              <w:keepLines/>
            </w:pPr>
            <w:r>
              <w:sym w:font="Wingdings" w:char="F0FC"/>
            </w:r>
          </w:p>
        </w:tc>
        <w:tc>
          <w:tcPr>
            <w:tcW w:w="1773" w:type="dxa"/>
          </w:tcPr>
          <w:p w14:paraId="3D296D0A" w14:textId="04D4DF75" w:rsidR="005237BD" w:rsidRPr="00FB5407" w:rsidRDefault="005237BD" w:rsidP="005237BD">
            <w:pPr>
              <w:keepNext/>
              <w:keepLines/>
            </w:pPr>
            <w:r>
              <w:sym w:font="Wingdings" w:char="F0FC"/>
            </w:r>
          </w:p>
        </w:tc>
      </w:tr>
    </w:tbl>
    <w:p w14:paraId="2BE17ED5" w14:textId="3717FB37" w:rsidR="00F16239" w:rsidRPr="00BF4BAA" w:rsidRDefault="00EA0AA0" w:rsidP="00BF4BAA">
      <w:pPr>
        <w:pStyle w:val="Heading2"/>
        <w:rPr>
          <w:u w:val="single"/>
        </w:rPr>
      </w:pPr>
      <w:r w:rsidRPr="00BC0C43">
        <w:rPr>
          <w:u w:val="single"/>
        </w:rPr>
        <w:t>CLINICAL MANAGEMENT AFTER THE USE OF HEALTH TECHNOLOGY</w:t>
      </w:r>
    </w:p>
    <w:p w14:paraId="3017C87B" w14:textId="631F5EC6" w:rsidR="00F16239" w:rsidRPr="00BC0C43" w:rsidRDefault="00F16239" w:rsidP="00BC0C43">
      <w:pPr>
        <w:pStyle w:val="Heading2"/>
      </w:pPr>
      <w:r>
        <w:t xml:space="preserve">Define and summarise the clinical management algorithm, including any required tests or healthcare resources, </w:t>
      </w:r>
      <w:r w:rsidRPr="00DD0A06">
        <w:rPr>
          <w:i/>
          <w:iCs/>
        </w:rPr>
        <w:t>after</w:t>
      </w:r>
      <w:r>
        <w:t xml:space="preserve"> the use of the </w:t>
      </w:r>
      <w:r w:rsidRPr="00DD0A06">
        <w:rPr>
          <w:u w:val="single"/>
        </w:rPr>
        <w:t>proposed health technology</w:t>
      </w:r>
      <w:r>
        <w:t>:</w:t>
      </w:r>
    </w:p>
    <w:p w14:paraId="62236FA7" w14:textId="10AE65E2" w:rsidR="0044113A" w:rsidRDefault="00565CB2" w:rsidP="00BC0C43">
      <w:proofErr w:type="spellStart"/>
      <w:r>
        <w:t>Inavolisib</w:t>
      </w:r>
      <w:proofErr w:type="spellEnd"/>
      <w:r>
        <w:t xml:space="preserve"> would be used in addition to </w:t>
      </w:r>
      <w:proofErr w:type="spellStart"/>
      <w:r w:rsidRPr="00AA5302">
        <w:t>palbociclib</w:t>
      </w:r>
      <w:proofErr w:type="spellEnd"/>
      <w:r w:rsidRPr="00AA5302">
        <w:t xml:space="preserve"> and </w:t>
      </w:r>
      <w:proofErr w:type="spellStart"/>
      <w:r w:rsidRPr="00AA5302">
        <w:t>fulvestrant</w:t>
      </w:r>
      <w:proofErr w:type="spellEnd"/>
      <w:r>
        <w:t xml:space="preserve"> in </w:t>
      </w:r>
      <w:r w:rsidR="00E311C0">
        <w:t xml:space="preserve">patients </w:t>
      </w:r>
      <w:r w:rsidR="003F6749">
        <w:t xml:space="preserve">assessed as harbouring </w:t>
      </w:r>
      <w:r w:rsidR="00E311C0">
        <w:t>PIK3CA</w:t>
      </w:r>
      <w:r w:rsidR="003F6749">
        <w:t xml:space="preserve"> mutations</w:t>
      </w:r>
      <w:r w:rsidR="0044113A">
        <w:t>.</w:t>
      </w:r>
    </w:p>
    <w:p w14:paraId="1EBCB5D7" w14:textId="74CA0165" w:rsidR="0044113A" w:rsidRDefault="007E3B8E" w:rsidP="00BC0C43">
      <w:r>
        <w:t>P</w:t>
      </w:r>
      <w:r w:rsidR="0044113A">
        <w:t>atients who</w:t>
      </w:r>
      <w:r>
        <w:t>se</w:t>
      </w:r>
      <w:r w:rsidR="0044113A">
        <w:t xml:space="preserve"> tumour is assessed as not </w:t>
      </w:r>
      <w:r w:rsidR="001E2886">
        <w:t>harbouring PIK3CA</w:t>
      </w:r>
      <w:r w:rsidR="0044113A">
        <w:t xml:space="preserve"> mutations </w:t>
      </w:r>
      <w:r>
        <w:t xml:space="preserve">would not be eligible for treatment with </w:t>
      </w:r>
      <w:proofErr w:type="spellStart"/>
      <w:r w:rsidR="0044113A">
        <w:t>inavolisib</w:t>
      </w:r>
      <w:proofErr w:type="spellEnd"/>
      <w:r w:rsidR="0044113A">
        <w:t xml:space="preserve"> </w:t>
      </w:r>
      <w:r>
        <w:t>through the PBS</w:t>
      </w:r>
      <w:r w:rsidR="00933C8E">
        <w:t>.</w:t>
      </w:r>
    </w:p>
    <w:p w14:paraId="09165252" w14:textId="69360128" w:rsidR="00F16239" w:rsidRPr="00BC0C43" w:rsidRDefault="00F16239" w:rsidP="00BC0C43">
      <w:pPr>
        <w:pStyle w:val="Heading2"/>
      </w:pPr>
      <w:r>
        <w:t xml:space="preserve">Define and summarise the clinical management algorithm, including any required tests or healthcare resources, </w:t>
      </w:r>
      <w:r w:rsidRPr="00545A4C">
        <w:rPr>
          <w:i/>
          <w:iCs/>
        </w:rPr>
        <w:t>after</w:t>
      </w:r>
      <w:r>
        <w:t xml:space="preserve"> the use of the </w:t>
      </w:r>
      <w:r w:rsidRPr="00545A4C">
        <w:rPr>
          <w:u w:val="single"/>
        </w:rPr>
        <w:t>comparator health technology</w:t>
      </w:r>
      <w:r>
        <w:t>:</w:t>
      </w:r>
    </w:p>
    <w:p w14:paraId="1F3F0067" w14:textId="4B1A2F29" w:rsidR="001F553E" w:rsidRPr="00BE6B22" w:rsidRDefault="00962353" w:rsidP="001F553E">
      <w:pPr>
        <w:rPr>
          <w:rFonts w:asciiTheme="minorHAnsi" w:eastAsia="Segoe UI" w:hAnsiTheme="minorHAnsi" w:cstheme="minorHAnsi"/>
          <w:color w:val="000000"/>
        </w:rPr>
      </w:pPr>
      <w:r>
        <w:t xml:space="preserve">Patients who do not </w:t>
      </w:r>
      <w:r w:rsidR="001322F7">
        <w:t>undergo PIK3CA will have an unknow</w:t>
      </w:r>
      <w:r w:rsidR="00F15E28">
        <w:t>n</w:t>
      </w:r>
      <w:r w:rsidR="001322F7">
        <w:t xml:space="preserve"> PIK3CA mutation status and</w:t>
      </w:r>
      <w:r w:rsidR="00F56D8F">
        <w:t xml:space="preserve"> would not be indicated for treatment with </w:t>
      </w:r>
      <w:proofErr w:type="spellStart"/>
      <w:r w:rsidR="00F56D8F">
        <w:t>inavolisib</w:t>
      </w:r>
      <w:proofErr w:type="spellEnd"/>
      <w:r w:rsidR="00F56D8F">
        <w:t xml:space="preserve">. </w:t>
      </w:r>
      <w:r w:rsidR="00116B08">
        <w:t xml:space="preserve">Treatment with </w:t>
      </w:r>
      <w:proofErr w:type="spellStart"/>
      <w:r w:rsidR="001F553E">
        <w:t>palbociclib</w:t>
      </w:r>
      <w:proofErr w:type="spellEnd"/>
      <w:r w:rsidR="001F553E">
        <w:t xml:space="preserve"> plus </w:t>
      </w:r>
      <w:proofErr w:type="spellStart"/>
      <w:r w:rsidR="001F553E">
        <w:t>fulvestrant</w:t>
      </w:r>
      <w:proofErr w:type="spellEnd"/>
      <w:r w:rsidR="001F553E">
        <w:t xml:space="preserve"> or other CDK 4/6 inhibitor plus </w:t>
      </w:r>
      <w:proofErr w:type="spellStart"/>
      <w:r w:rsidR="001F553E">
        <w:t>fulvestrant</w:t>
      </w:r>
      <w:proofErr w:type="spellEnd"/>
      <w:r w:rsidR="001F553E">
        <w:t xml:space="preserve"> or aromatase inhibitor</w:t>
      </w:r>
      <w:r w:rsidR="007A051A">
        <w:t xml:space="preserve"> regimen</w:t>
      </w:r>
      <w:r w:rsidR="001F553E">
        <w:t xml:space="preserve"> </w:t>
      </w:r>
      <w:r w:rsidR="007A051A">
        <w:t>is indicated</w:t>
      </w:r>
      <w:r w:rsidR="001F553E">
        <w:t>.</w:t>
      </w:r>
    </w:p>
    <w:p w14:paraId="5C871695" w14:textId="78E78F7F" w:rsidR="00F16239" w:rsidRPr="00BC0C43" w:rsidRDefault="00F16239" w:rsidP="001A235C">
      <w:pPr>
        <w:pStyle w:val="Heading2"/>
        <w:keepNext/>
        <w:keepLines/>
      </w:pPr>
      <w:r w:rsidRPr="001F553E">
        <w:rPr>
          <w:i/>
          <w:iCs/>
        </w:rPr>
        <w:lastRenderedPageBreak/>
        <w:t xml:space="preserve">Describe and explain any differences in the healthcare resources used after the </w:t>
      </w:r>
      <w:r w:rsidRPr="001F553E">
        <w:rPr>
          <w:i/>
          <w:iCs/>
          <w:u w:val="single"/>
        </w:rPr>
        <w:t>proposed</w:t>
      </w:r>
      <w:r w:rsidRPr="00545A4C">
        <w:rPr>
          <w:u w:val="single"/>
        </w:rPr>
        <w:t xml:space="preserve"> health technology</w:t>
      </w:r>
      <w:r>
        <w:t xml:space="preserve"> vs. the </w:t>
      </w:r>
      <w:r w:rsidRPr="00545A4C">
        <w:rPr>
          <w:u w:val="single"/>
        </w:rPr>
        <w:t>comparator health technology</w:t>
      </w:r>
      <w:r>
        <w:t>:</w:t>
      </w:r>
    </w:p>
    <w:tbl>
      <w:tblPr>
        <w:tblStyle w:val="TableGrid"/>
        <w:tblW w:w="0" w:type="auto"/>
        <w:tblLook w:val="04A0" w:firstRow="1" w:lastRow="0" w:firstColumn="1" w:lastColumn="0" w:noHBand="0" w:noVBand="1"/>
      </w:tblPr>
      <w:tblGrid>
        <w:gridCol w:w="2277"/>
        <w:gridCol w:w="1773"/>
        <w:gridCol w:w="1773"/>
        <w:gridCol w:w="1773"/>
        <w:gridCol w:w="1773"/>
      </w:tblGrid>
      <w:tr w:rsidR="00EE3BB4" w14:paraId="57D4C5C3" w14:textId="77777777" w:rsidTr="00EE3BB4">
        <w:tc>
          <w:tcPr>
            <w:tcW w:w="0" w:type="auto"/>
          </w:tcPr>
          <w:p w14:paraId="7CE362A5" w14:textId="77777777" w:rsidR="00EE3BB4" w:rsidRPr="000421BC" w:rsidRDefault="00EE3BB4" w:rsidP="001A235C">
            <w:pPr>
              <w:keepNext/>
              <w:keepLines/>
              <w:rPr>
                <w:b/>
                <w:bCs/>
              </w:rPr>
            </w:pPr>
          </w:p>
        </w:tc>
        <w:tc>
          <w:tcPr>
            <w:tcW w:w="3546" w:type="dxa"/>
            <w:gridSpan w:val="2"/>
          </w:tcPr>
          <w:p w14:paraId="1B3F7878" w14:textId="30C93D82" w:rsidR="00EE3BB4" w:rsidRPr="000421BC" w:rsidRDefault="00EE3BB4" w:rsidP="001A235C">
            <w:pPr>
              <w:keepNext/>
              <w:keepLines/>
              <w:jc w:val="center"/>
              <w:rPr>
                <w:b/>
                <w:bCs/>
              </w:rPr>
            </w:pPr>
            <w:r>
              <w:rPr>
                <w:b/>
                <w:bCs/>
              </w:rPr>
              <w:t>Testing component</w:t>
            </w:r>
          </w:p>
        </w:tc>
        <w:tc>
          <w:tcPr>
            <w:tcW w:w="3546" w:type="dxa"/>
            <w:gridSpan w:val="2"/>
          </w:tcPr>
          <w:p w14:paraId="4E84CDB7" w14:textId="55C2A1DF" w:rsidR="00EE3BB4" w:rsidRPr="000421BC" w:rsidRDefault="00EE3BB4" w:rsidP="001A235C">
            <w:pPr>
              <w:keepNext/>
              <w:keepLines/>
              <w:jc w:val="center"/>
              <w:rPr>
                <w:b/>
                <w:bCs/>
              </w:rPr>
            </w:pPr>
            <w:r>
              <w:rPr>
                <w:b/>
                <w:bCs/>
              </w:rPr>
              <w:t>Treatment component</w:t>
            </w:r>
          </w:p>
        </w:tc>
      </w:tr>
      <w:tr w:rsidR="004256DC" w14:paraId="37562923" w14:textId="77777777" w:rsidTr="00E45D47">
        <w:tc>
          <w:tcPr>
            <w:tcW w:w="0" w:type="auto"/>
          </w:tcPr>
          <w:p w14:paraId="1D96074D" w14:textId="77777777" w:rsidR="004256DC" w:rsidRPr="000421BC" w:rsidRDefault="004256DC" w:rsidP="001A235C">
            <w:pPr>
              <w:keepNext/>
              <w:keepLines/>
              <w:rPr>
                <w:b/>
                <w:bCs/>
              </w:rPr>
            </w:pPr>
            <w:r w:rsidRPr="000421BC">
              <w:rPr>
                <w:b/>
                <w:bCs/>
              </w:rPr>
              <w:t>Healthcare resource</w:t>
            </w:r>
          </w:p>
        </w:tc>
        <w:tc>
          <w:tcPr>
            <w:tcW w:w="1773" w:type="dxa"/>
          </w:tcPr>
          <w:p w14:paraId="67FD5D01" w14:textId="77777777" w:rsidR="004256DC" w:rsidRDefault="004256DC" w:rsidP="001A235C">
            <w:pPr>
              <w:keepNext/>
              <w:keepLines/>
              <w:rPr>
                <w:b/>
                <w:bCs/>
              </w:rPr>
            </w:pPr>
            <w:r w:rsidRPr="000421BC">
              <w:rPr>
                <w:b/>
                <w:bCs/>
              </w:rPr>
              <w:t>PIK3CA testing</w:t>
            </w:r>
          </w:p>
          <w:p w14:paraId="1FA2C4B4" w14:textId="4BA4A332" w:rsidR="00FB1725" w:rsidRPr="000421BC" w:rsidRDefault="00FB1725" w:rsidP="001A235C">
            <w:pPr>
              <w:keepNext/>
              <w:keepLines/>
              <w:rPr>
                <w:b/>
                <w:bCs/>
              </w:rPr>
            </w:pPr>
            <w:r>
              <w:rPr>
                <w:b/>
                <w:bCs/>
              </w:rPr>
              <w:t>(Proposed)</w:t>
            </w:r>
          </w:p>
        </w:tc>
        <w:tc>
          <w:tcPr>
            <w:tcW w:w="1773" w:type="dxa"/>
          </w:tcPr>
          <w:p w14:paraId="084FBD80" w14:textId="77777777" w:rsidR="004256DC" w:rsidRDefault="004256DC" w:rsidP="001A235C">
            <w:pPr>
              <w:keepNext/>
              <w:keepLines/>
              <w:rPr>
                <w:b/>
                <w:bCs/>
              </w:rPr>
            </w:pPr>
            <w:r w:rsidRPr="000421BC">
              <w:rPr>
                <w:b/>
                <w:bCs/>
              </w:rPr>
              <w:t>No PIK3CA testing</w:t>
            </w:r>
          </w:p>
          <w:p w14:paraId="4260FBEA" w14:textId="6FA0B2C0" w:rsidR="00FB1725" w:rsidRPr="000421BC" w:rsidRDefault="00FB1725" w:rsidP="001A235C">
            <w:pPr>
              <w:keepNext/>
              <w:keepLines/>
              <w:rPr>
                <w:b/>
                <w:bCs/>
              </w:rPr>
            </w:pPr>
            <w:r>
              <w:rPr>
                <w:b/>
                <w:bCs/>
              </w:rPr>
              <w:t>(Comparator)</w:t>
            </w:r>
          </w:p>
        </w:tc>
        <w:tc>
          <w:tcPr>
            <w:tcW w:w="1773" w:type="dxa"/>
          </w:tcPr>
          <w:p w14:paraId="30C82464" w14:textId="77777777" w:rsidR="004256DC" w:rsidRDefault="004256DC" w:rsidP="001A235C">
            <w:pPr>
              <w:keepNext/>
              <w:keepLines/>
              <w:rPr>
                <w:b/>
                <w:bCs/>
              </w:rPr>
            </w:pPr>
            <w:proofErr w:type="spellStart"/>
            <w:r w:rsidRPr="000421BC">
              <w:rPr>
                <w:b/>
                <w:bCs/>
              </w:rPr>
              <w:t>Inavolisib</w:t>
            </w:r>
            <w:proofErr w:type="spellEnd"/>
            <w:r w:rsidRPr="000421BC">
              <w:rPr>
                <w:b/>
                <w:bCs/>
              </w:rPr>
              <w:t xml:space="preserve"> in combination with </w:t>
            </w:r>
            <w:proofErr w:type="spellStart"/>
            <w:r w:rsidRPr="000421BC">
              <w:rPr>
                <w:b/>
                <w:bCs/>
              </w:rPr>
              <w:t>palbociclib</w:t>
            </w:r>
            <w:proofErr w:type="spellEnd"/>
            <w:r w:rsidRPr="000421BC">
              <w:rPr>
                <w:b/>
                <w:bCs/>
              </w:rPr>
              <w:t xml:space="preserve"> and </w:t>
            </w:r>
            <w:proofErr w:type="spellStart"/>
            <w:r w:rsidRPr="000421BC">
              <w:rPr>
                <w:b/>
                <w:bCs/>
              </w:rPr>
              <w:t>fulvestrant</w:t>
            </w:r>
            <w:proofErr w:type="spellEnd"/>
          </w:p>
          <w:p w14:paraId="1DAD27A3" w14:textId="707C8CB0" w:rsidR="00FB1725" w:rsidRPr="000421BC" w:rsidRDefault="00FB1725" w:rsidP="001A235C">
            <w:pPr>
              <w:keepNext/>
              <w:keepLines/>
              <w:rPr>
                <w:b/>
                <w:bCs/>
              </w:rPr>
            </w:pPr>
            <w:r>
              <w:rPr>
                <w:b/>
                <w:bCs/>
              </w:rPr>
              <w:t>(Proposed)</w:t>
            </w:r>
          </w:p>
        </w:tc>
        <w:tc>
          <w:tcPr>
            <w:tcW w:w="1773" w:type="dxa"/>
          </w:tcPr>
          <w:p w14:paraId="09A4BF2B" w14:textId="77777777" w:rsidR="004256DC" w:rsidRDefault="004256DC" w:rsidP="001A235C">
            <w:pPr>
              <w:keepNext/>
              <w:keepLines/>
              <w:rPr>
                <w:b/>
                <w:bCs/>
              </w:rPr>
            </w:pPr>
            <w:r w:rsidRPr="000421BC">
              <w:rPr>
                <w:b/>
                <w:bCs/>
              </w:rPr>
              <w:t xml:space="preserve">Palbociclib and </w:t>
            </w:r>
            <w:proofErr w:type="spellStart"/>
            <w:r w:rsidRPr="000421BC">
              <w:rPr>
                <w:b/>
                <w:bCs/>
              </w:rPr>
              <w:t>fulvestrant</w:t>
            </w:r>
            <w:proofErr w:type="spellEnd"/>
          </w:p>
          <w:p w14:paraId="16D653B6" w14:textId="7AE6C22E" w:rsidR="00FB1725" w:rsidRPr="000421BC" w:rsidRDefault="00FB1725" w:rsidP="001A235C">
            <w:pPr>
              <w:keepNext/>
              <w:keepLines/>
              <w:rPr>
                <w:b/>
                <w:bCs/>
              </w:rPr>
            </w:pPr>
            <w:r>
              <w:rPr>
                <w:b/>
                <w:bCs/>
              </w:rPr>
              <w:t>(Comparator)</w:t>
            </w:r>
          </w:p>
        </w:tc>
      </w:tr>
      <w:tr w:rsidR="001A235C" w14:paraId="00667E41" w14:textId="77777777" w:rsidTr="00E45D47">
        <w:tc>
          <w:tcPr>
            <w:tcW w:w="0" w:type="auto"/>
          </w:tcPr>
          <w:p w14:paraId="45D66182" w14:textId="6D706375" w:rsidR="001A235C" w:rsidRPr="00FB5407" w:rsidRDefault="001A235C" w:rsidP="001A235C">
            <w:pPr>
              <w:keepNext/>
              <w:keepLines/>
            </w:pPr>
            <w:proofErr w:type="spellStart"/>
            <w:r>
              <w:t>Inavolisib</w:t>
            </w:r>
            <w:proofErr w:type="spellEnd"/>
          </w:p>
        </w:tc>
        <w:tc>
          <w:tcPr>
            <w:tcW w:w="1773" w:type="dxa"/>
          </w:tcPr>
          <w:p w14:paraId="4C6797AF" w14:textId="14336372" w:rsidR="001A235C" w:rsidRPr="00FB5407" w:rsidRDefault="001A235C" w:rsidP="001A235C">
            <w:pPr>
              <w:keepNext/>
              <w:keepLines/>
            </w:pPr>
            <w:r>
              <w:sym w:font="Wingdings" w:char="F0FC"/>
            </w:r>
            <w:r>
              <w:t xml:space="preserve"> (only in patients harbouring a PIK3CA mutation)</w:t>
            </w:r>
          </w:p>
        </w:tc>
        <w:tc>
          <w:tcPr>
            <w:tcW w:w="1773" w:type="dxa"/>
          </w:tcPr>
          <w:p w14:paraId="3D32FE26" w14:textId="127AC896" w:rsidR="001A235C" w:rsidRPr="00FB5407" w:rsidRDefault="001A235C" w:rsidP="001A235C">
            <w:pPr>
              <w:keepNext/>
              <w:keepLines/>
            </w:pPr>
            <w:r>
              <w:sym w:font="Wingdings" w:char="F0FB"/>
            </w:r>
          </w:p>
        </w:tc>
        <w:tc>
          <w:tcPr>
            <w:tcW w:w="1773" w:type="dxa"/>
          </w:tcPr>
          <w:p w14:paraId="684CCF05" w14:textId="1A530B70" w:rsidR="001A235C" w:rsidRPr="00FB5407" w:rsidRDefault="00EB02A0" w:rsidP="001A235C">
            <w:pPr>
              <w:keepNext/>
              <w:keepLines/>
            </w:pPr>
            <w:r>
              <w:sym w:font="Wingdings" w:char="F0FC"/>
            </w:r>
          </w:p>
        </w:tc>
        <w:tc>
          <w:tcPr>
            <w:tcW w:w="1773" w:type="dxa"/>
          </w:tcPr>
          <w:p w14:paraId="65AEDD23" w14:textId="040551A0" w:rsidR="001A235C" w:rsidRPr="00FB5407" w:rsidRDefault="00EB02A0" w:rsidP="001A235C">
            <w:pPr>
              <w:keepNext/>
              <w:keepLines/>
            </w:pPr>
            <w:r>
              <w:sym w:font="Wingdings" w:char="F0FB"/>
            </w:r>
          </w:p>
        </w:tc>
      </w:tr>
    </w:tbl>
    <w:p w14:paraId="5574CCE6" w14:textId="562A47EE" w:rsidR="003B5CCD" w:rsidRPr="003B5CCD" w:rsidRDefault="00364572" w:rsidP="003B5CCD">
      <w:pPr>
        <w:pStyle w:val="Heading2"/>
      </w:pPr>
      <w:r>
        <w:t xml:space="preserve">Insert </w:t>
      </w:r>
      <w:r w:rsidR="00545A4C">
        <w:t>diagrams demonstrating the clinical management algorithm with and without the proposed health technology:</w:t>
      </w:r>
    </w:p>
    <w:p w14:paraId="4B2F1513" w14:textId="31ED4B2C" w:rsidR="00A27788" w:rsidRPr="002B05AD" w:rsidRDefault="00A27788" w:rsidP="00A27788">
      <w:pPr>
        <w:pStyle w:val="Caption"/>
        <w:rPr>
          <w:color w:val="auto"/>
        </w:rPr>
      </w:pPr>
      <w:r w:rsidRPr="002B05AD">
        <w:rPr>
          <w:color w:val="auto"/>
        </w:rPr>
        <w:t xml:space="preserve">Figure </w:t>
      </w:r>
      <w:r w:rsidR="002B05AD" w:rsidRPr="002B05AD">
        <w:rPr>
          <w:color w:val="auto"/>
        </w:rPr>
        <w:fldChar w:fldCharType="begin"/>
      </w:r>
      <w:r w:rsidR="002B05AD" w:rsidRPr="002B05AD">
        <w:rPr>
          <w:color w:val="auto"/>
        </w:rPr>
        <w:instrText xml:space="preserve"> SEQ Figure \* ARABIC </w:instrText>
      </w:r>
      <w:r w:rsidR="002B05AD" w:rsidRPr="002B05AD">
        <w:rPr>
          <w:color w:val="auto"/>
        </w:rPr>
        <w:fldChar w:fldCharType="separate"/>
      </w:r>
      <w:r w:rsidR="00BA56B8" w:rsidRPr="002B05AD">
        <w:rPr>
          <w:noProof/>
          <w:color w:val="auto"/>
        </w:rPr>
        <w:t>1</w:t>
      </w:r>
      <w:r w:rsidR="002B05AD" w:rsidRPr="002B05AD">
        <w:rPr>
          <w:noProof/>
          <w:color w:val="auto"/>
        </w:rPr>
        <w:fldChar w:fldCharType="end"/>
      </w:r>
      <w:r w:rsidRPr="002B05AD">
        <w:rPr>
          <w:color w:val="auto"/>
        </w:rPr>
        <w:t xml:space="preserve">: </w:t>
      </w:r>
      <w:r w:rsidR="008215F0" w:rsidRPr="002B05AD">
        <w:rPr>
          <w:color w:val="auto"/>
        </w:rPr>
        <w:t xml:space="preserve">Clinical management algorithm </w:t>
      </w:r>
      <w:r w:rsidR="008215F0" w:rsidRPr="002B05AD">
        <w:rPr>
          <w:color w:val="auto"/>
          <w:u w:val="single"/>
        </w:rPr>
        <w:t>without</w:t>
      </w:r>
      <w:r w:rsidR="008215F0" w:rsidRPr="002B05AD">
        <w:rPr>
          <w:color w:val="auto"/>
        </w:rPr>
        <w:t xml:space="preserve"> PIK3CA testing and </w:t>
      </w:r>
      <w:proofErr w:type="spellStart"/>
      <w:r w:rsidR="008215F0" w:rsidRPr="002B05AD">
        <w:rPr>
          <w:color w:val="auto"/>
        </w:rPr>
        <w:t>inavolisib</w:t>
      </w:r>
      <w:proofErr w:type="spellEnd"/>
    </w:p>
    <w:p w14:paraId="6088232B" w14:textId="6E80DF4A" w:rsidR="008215F0" w:rsidRDefault="00F37725" w:rsidP="008215F0">
      <w:r w:rsidRPr="00F37725">
        <w:rPr>
          <w:noProof/>
          <w:lang w:val="en-US"/>
        </w:rPr>
        <w:drawing>
          <wp:inline distT="0" distB="0" distL="0" distR="0" wp14:anchorId="6103149D" wp14:editId="33D4C655">
            <wp:extent cx="6030595" cy="3988435"/>
            <wp:effectExtent l="0" t="0" r="8255" b="0"/>
            <wp:docPr id="3" name="Picture 2" descr="Clinical management algorithm without PIK3CA testing and inavolis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linical management algorithm without PIK3CA testing and inavolisib"/>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030595" cy="3988435"/>
                    </a:xfrm>
                    <a:prstGeom prst="rect">
                      <a:avLst/>
                    </a:prstGeom>
                  </pic:spPr>
                </pic:pic>
              </a:graphicData>
            </a:graphic>
          </wp:inline>
        </w:drawing>
      </w:r>
    </w:p>
    <w:p w14:paraId="3C332A0B" w14:textId="39292D82" w:rsidR="008215F0" w:rsidRPr="002B05AD" w:rsidRDefault="008215F0" w:rsidP="001A235C">
      <w:pPr>
        <w:pStyle w:val="Caption"/>
        <w:keepNext/>
        <w:rPr>
          <w:color w:val="auto"/>
        </w:rPr>
      </w:pPr>
      <w:r w:rsidRPr="002B05AD">
        <w:rPr>
          <w:color w:val="auto"/>
        </w:rPr>
        <w:lastRenderedPageBreak/>
        <w:t xml:space="preserve">Figure </w:t>
      </w:r>
      <w:r w:rsidR="002B05AD" w:rsidRPr="002B05AD">
        <w:rPr>
          <w:color w:val="auto"/>
        </w:rPr>
        <w:fldChar w:fldCharType="begin"/>
      </w:r>
      <w:r w:rsidR="002B05AD" w:rsidRPr="002B05AD">
        <w:rPr>
          <w:color w:val="auto"/>
        </w:rPr>
        <w:instrText xml:space="preserve"> SEQ Figure \* ARABIC </w:instrText>
      </w:r>
      <w:r w:rsidR="002B05AD" w:rsidRPr="002B05AD">
        <w:rPr>
          <w:color w:val="auto"/>
        </w:rPr>
        <w:fldChar w:fldCharType="separate"/>
      </w:r>
      <w:r w:rsidR="00BA56B8" w:rsidRPr="002B05AD">
        <w:rPr>
          <w:noProof/>
          <w:color w:val="auto"/>
        </w:rPr>
        <w:t>2</w:t>
      </w:r>
      <w:r w:rsidR="002B05AD" w:rsidRPr="002B05AD">
        <w:rPr>
          <w:noProof/>
          <w:color w:val="auto"/>
        </w:rPr>
        <w:fldChar w:fldCharType="end"/>
      </w:r>
      <w:r w:rsidRPr="002B05AD">
        <w:rPr>
          <w:color w:val="auto"/>
        </w:rPr>
        <w:t xml:space="preserve">: Clinical management algorithm </w:t>
      </w:r>
      <w:r w:rsidRPr="002B05AD">
        <w:rPr>
          <w:color w:val="auto"/>
          <w:u w:val="single"/>
        </w:rPr>
        <w:t>with</w:t>
      </w:r>
      <w:r w:rsidRPr="002B05AD">
        <w:rPr>
          <w:color w:val="auto"/>
        </w:rPr>
        <w:t xml:space="preserve"> PIK3CA testing and </w:t>
      </w:r>
      <w:proofErr w:type="spellStart"/>
      <w:r w:rsidRPr="002B05AD">
        <w:rPr>
          <w:color w:val="auto"/>
        </w:rPr>
        <w:t>inavolisib</w:t>
      </w:r>
      <w:proofErr w:type="spellEnd"/>
    </w:p>
    <w:p w14:paraId="12632E29" w14:textId="78681246" w:rsidR="00377DB3" w:rsidRDefault="00F37725" w:rsidP="00377DB3">
      <w:r w:rsidRPr="00F37725">
        <w:rPr>
          <w:noProof/>
          <w:lang w:val="en-US"/>
        </w:rPr>
        <w:drawing>
          <wp:inline distT="0" distB="0" distL="0" distR="0" wp14:anchorId="4B9203F6" wp14:editId="48C6F697">
            <wp:extent cx="6030595" cy="4093210"/>
            <wp:effectExtent l="0" t="0" r="8255" b="2540"/>
            <wp:docPr id="7" name="Picture 6" descr="Clinical management algorithm with PIK3CA testing and inavolis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Clinical management algorithm with PIK3CA testing and inavolisib"/>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030595" cy="4093210"/>
                    </a:xfrm>
                    <a:prstGeom prst="rect">
                      <a:avLst/>
                    </a:prstGeom>
                  </pic:spPr>
                </pic:pic>
              </a:graphicData>
            </a:graphic>
          </wp:inline>
        </w:drawing>
      </w:r>
    </w:p>
    <w:p w14:paraId="4D6689BB" w14:textId="5791137C" w:rsidR="00FF7F64" w:rsidRPr="001E2886" w:rsidRDefault="00FF7F64" w:rsidP="00377DB3">
      <w:pPr>
        <w:rPr>
          <w:sz w:val="18"/>
          <w:szCs w:val="18"/>
        </w:rPr>
      </w:pPr>
      <w:r w:rsidRPr="001E2886">
        <w:rPr>
          <w:sz w:val="18"/>
          <w:szCs w:val="18"/>
        </w:rPr>
        <w:t>Notes:</w:t>
      </w:r>
      <w:r>
        <w:rPr>
          <w:sz w:val="18"/>
          <w:szCs w:val="18"/>
        </w:rPr>
        <w:t xml:space="preserve"> </w:t>
      </w:r>
      <w:r w:rsidRPr="001E2886">
        <w:rPr>
          <w:sz w:val="18"/>
          <w:szCs w:val="18"/>
        </w:rPr>
        <w:t>Green shaded boxes highlight proposed changes to current pathway. The outcome of PIK3CA mutation testing is highlight</w:t>
      </w:r>
      <w:r w:rsidR="00805E73">
        <w:rPr>
          <w:sz w:val="18"/>
          <w:szCs w:val="18"/>
        </w:rPr>
        <w:t>ed in</w:t>
      </w:r>
      <w:r w:rsidRPr="001E2886">
        <w:rPr>
          <w:sz w:val="18"/>
          <w:szCs w:val="18"/>
        </w:rPr>
        <w:t xml:space="preserve"> yellow. </w:t>
      </w:r>
    </w:p>
    <w:p w14:paraId="5C94C69B" w14:textId="4B95100F" w:rsidR="004A45BE" w:rsidRDefault="004A45BE" w:rsidP="00EA0AA0">
      <w:pPr>
        <w:pStyle w:val="Heading1"/>
      </w:pPr>
      <w:r>
        <w:t>Claims</w:t>
      </w:r>
    </w:p>
    <w:p w14:paraId="022C40EC" w14:textId="3BD758E1" w:rsidR="00361BBE" w:rsidRDefault="004A45BE" w:rsidP="00582377">
      <w:pPr>
        <w:pStyle w:val="Heading2"/>
      </w:pPr>
      <w:bookmarkStart w:id="4" w:name="_Hlk121218597"/>
      <w:r>
        <w:t>In terms of health outcomes (comparative benefits and harms), is the proposed technology claimed to be superior, non-inferior or inferior to the comparator(s)?</w:t>
      </w:r>
    </w:p>
    <w:p w14:paraId="137243BD" w14:textId="4F7989A7" w:rsidR="004209FC" w:rsidRPr="00F92246" w:rsidRDefault="00674444" w:rsidP="00582377">
      <w:pPr>
        <w:pStyle w:val="Tickboxes"/>
      </w:pPr>
      <w:r>
        <w:fldChar w:fldCharType="begin">
          <w:ffData>
            <w:name w:val=""/>
            <w:enabled/>
            <w:calcOnExit w:val="0"/>
            <w:checkBox>
              <w:sizeAuto/>
              <w:default w:val="1"/>
            </w:checkBox>
          </w:ffData>
        </w:fldChar>
      </w:r>
      <w:r>
        <w:instrText xml:space="preserve"> FORMCHECKBOX </w:instrText>
      </w:r>
      <w:r w:rsidR="005623BF">
        <w:fldChar w:fldCharType="separate"/>
      </w:r>
      <w:r>
        <w:fldChar w:fldCharType="end"/>
      </w:r>
      <w:r w:rsidR="004209FC" w:rsidRPr="00BC0C43">
        <w:t xml:space="preserve"> Superior</w:t>
      </w:r>
    </w:p>
    <w:p w14:paraId="219D6AC6" w14:textId="77777777" w:rsidR="004209FC" w:rsidRPr="00BC0C43" w:rsidRDefault="004209FC"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5623BF">
        <w:fldChar w:fldCharType="separate"/>
      </w:r>
      <w:r w:rsidRPr="00BC0C43">
        <w:fldChar w:fldCharType="end"/>
      </w:r>
      <w:r w:rsidRPr="00BC0C43">
        <w:t xml:space="preserve"> Non-inferior</w:t>
      </w:r>
    </w:p>
    <w:p w14:paraId="1E1E7FC3" w14:textId="04A2A450" w:rsidR="00364572" w:rsidRPr="00BC0C43" w:rsidRDefault="004209FC" w:rsidP="00582377">
      <w:pPr>
        <w:pStyle w:val="Tickboxes"/>
      </w:pPr>
      <w:r w:rsidRPr="00BC0C43">
        <w:fldChar w:fldCharType="begin">
          <w:ffData>
            <w:name w:val=""/>
            <w:enabled/>
            <w:calcOnExit w:val="0"/>
            <w:checkBox>
              <w:sizeAuto/>
              <w:default w:val="0"/>
            </w:checkBox>
          </w:ffData>
        </w:fldChar>
      </w:r>
      <w:r w:rsidRPr="00BC0C43">
        <w:instrText xml:space="preserve"> FORMCHECKBOX </w:instrText>
      </w:r>
      <w:r w:rsidR="005623BF">
        <w:fldChar w:fldCharType="separate"/>
      </w:r>
      <w:r w:rsidRPr="00BC0C43">
        <w:fldChar w:fldCharType="end"/>
      </w:r>
      <w:r w:rsidRPr="00BC0C43">
        <w:t xml:space="preserve"> Inferior</w:t>
      </w:r>
    </w:p>
    <w:p w14:paraId="12D880D8" w14:textId="573EC961" w:rsidR="004A45BE" w:rsidRPr="00BC0C43" w:rsidRDefault="00364572" w:rsidP="00BC0C43">
      <w:pPr>
        <w:pStyle w:val="Heading2"/>
      </w:pPr>
      <w:r w:rsidRPr="0026282C">
        <w:t>Please state what the overall claim is, and provide a rationale</w:t>
      </w:r>
      <w:r w:rsidRPr="00B15CDF">
        <w:t>:</w:t>
      </w:r>
    </w:p>
    <w:bookmarkEnd w:id="4"/>
    <w:p w14:paraId="5FF4BA2A" w14:textId="64F3E97C" w:rsidR="000351DD" w:rsidRDefault="00FE3B4B" w:rsidP="000351DD">
      <w:r>
        <w:t xml:space="preserve">The overall claim is that </w:t>
      </w:r>
      <w:r w:rsidR="007F25E2">
        <w:t xml:space="preserve">PIK3CA testing </w:t>
      </w:r>
      <w:r w:rsidR="000351DD">
        <w:t xml:space="preserve">followed by </w:t>
      </w:r>
      <w:proofErr w:type="spellStart"/>
      <w:r w:rsidR="000351DD">
        <w:t>inavolisib</w:t>
      </w:r>
      <w:proofErr w:type="spellEnd"/>
      <w:r w:rsidR="000351DD">
        <w:t xml:space="preserve"> in combination with </w:t>
      </w:r>
      <w:proofErr w:type="spellStart"/>
      <w:r w:rsidR="000351DD" w:rsidRPr="00AA5302">
        <w:t>palbociclib</w:t>
      </w:r>
      <w:proofErr w:type="spellEnd"/>
      <w:r w:rsidR="000351DD" w:rsidRPr="00AA5302">
        <w:t xml:space="preserve"> and </w:t>
      </w:r>
      <w:proofErr w:type="spellStart"/>
      <w:r w:rsidR="000351DD" w:rsidRPr="00AA5302">
        <w:t>fulvestrant</w:t>
      </w:r>
      <w:proofErr w:type="spellEnd"/>
      <w:r w:rsidR="00060FF9">
        <w:t xml:space="preserve"> in patient</w:t>
      </w:r>
      <w:r w:rsidR="00AA769C">
        <w:t>s</w:t>
      </w:r>
      <w:r w:rsidR="00060FF9">
        <w:t xml:space="preserve"> with PIK3CA mutations is superior </w:t>
      </w:r>
      <w:r w:rsidR="00AA769C">
        <w:t>to</w:t>
      </w:r>
      <w:r w:rsidR="00060FF9">
        <w:t xml:space="preserve"> no PIK3CA testing and</w:t>
      </w:r>
      <w:r w:rsidR="003870C8">
        <w:t xml:space="preserve"> trea</w:t>
      </w:r>
      <w:r w:rsidR="00B802F3">
        <w:t xml:space="preserve">tment with </w:t>
      </w:r>
      <w:proofErr w:type="spellStart"/>
      <w:r w:rsidR="00B802F3">
        <w:t>palbociclib</w:t>
      </w:r>
      <w:proofErr w:type="spellEnd"/>
      <w:r w:rsidR="00B802F3">
        <w:t xml:space="preserve"> plus </w:t>
      </w:r>
      <w:proofErr w:type="spellStart"/>
      <w:r w:rsidR="00B802F3">
        <w:t>fulvestrant</w:t>
      </w:r>
      <w:proofErr w:type="spellEnd"/>
      <w:r w:rsidR="00B802F3">
        <w:t>.</w:t>
      </w:r>
    </w:p>
    <w:p w14:paraId="0222069D" w14:textId="3E3791B0" w:rsidR="009B484F" w:rsidRDefault="00B802F3" w:rsidP="009B484F">
      <w:r>
        <w:t>The clinical claim is supported by the results of the INAVO120 trial</w:t>
      </w:r>
      <w:r w:rsidR="00DE1FCA">
        <w:t xml:space="preserve"> where improvements in progression</w:t>
      </w:r>
      <w:r w:rsidR="008D1E2A">
        <w:t xml:space="preserve"> </w:t>
      </w:r>
      <w:r w:rsidR="00DE1FCA">
        <w:t xml:space="preserve">free survival and </w:t>
      </w:r>
      <w:r w:rsidR="004A4161">
        <w:t xml:space="preserve">overall survival were reported for patients treated with </w:t>
      </w:r>
      <w:proofErr w:type="spellStart"/>
      <w:r w:rsidR="004A4161">
        <w:t>inavolisib</w:t>
      </w:r>
      <w:proofErr w:type="spellEnd"/>
      <w:r w:rsidR="003F284A">
        <w:t xml:space="preserve"> (</w:t>
      </w:r>
      <w:r w:rsidR="009E52C6">
        <w:fldChar w:fldCharType="begin"/>
      </w:r>
      <w:r w:rsidR="009E52C6">
        <w:instrText xml:space="preserve"> REF _Ref161902092 \h </w:instrText>
      </w:r>
      <w:r w:rsidR="009E52C6">
        <w:fldChar w:fldCharType="separate"/>
      </w:r>
      <w:r w:rsidR="00BA56B8">
        <w:t xml:space="preserve">Table </w:t>
      </w:r>
      <w:r w:rsidR="00BA56B8">
        <w:rPr>
          <w:noProof/>
        </w:rPr>
        <w:t>2</w:t>
      </w:r>
      <w:r w:rsidR="009E52C6">
        <w:fldChar w:fldCharType="end"/>
      </w:r>
      <w:r w:rsidR="003F284A">
        <w:t>)</w:t>
      </w:r>
      <w:r w:rsidR="004A4161">
        <w:t xml:space="preserve">. All patients enrolled in the INAVO120 trial </w:t>
      </w:r>
      <w:r w:rsidR="009B484F">
        <w:t xml:space="preserve">were assessed as having PIK3CA mutations by testing of </w:t>
      </w:r>
      <w:r w:rsidR="00F92246">
        <w:t xml:space="preserve">tumour tissue or </w:t>
      </w:r>
      <w:proofErr w:type="spellStart"/>
      <w:r w:rsidR="009B484F">
        <w:t>ctDNA</w:t>
      </w:r>
      <w:proofErr w:type="spellEnd"/>
      <w:r w:rsidR="009B484F">
        <w:t>.</w:t>
      </w:r>
    </w:p>
    <w:p w14:paraId="4624D1A3" w14:textId="00A2DB60" w:rsidR="009B484F" w:rsidRPr="002B05AD" w:rsidRDefault="003F284A" w:rsidP="001A235C">
      <w:pPr>
        <w:pStyle w:val="Caption"/>
        <w:keepNext/>
        <w:keepLines/>
        <w:rPr>
          <w:color w:val="auto"/>
        </w:rPr>
      </w:pPr>
      <w:bookmarkStart w:id="5" w:name="_Ref161902092"/>
      <w:r w:rsidRPr="002B05AD">
        <w:rPr>
          <w:color w:val="auto"/>
        </w:rPr>
        <w:lastRenderedPageBreak/>
        <w:t xml:space="preserve">Table </w:t>
      </w:r>
      <w:r w:rsidR="002B05AD" w:rsidRPr="002B05AD">
        <w:rPr>
          <w:color w:val="auto"/>
        </w:rPr>
        <w:fldChar w:fldCharType="begin"/>
      </w:r>
      <w:r w:rsidR="002B05AD" w:rsidRPr="002B05AD">
        <w:rPr>
          <w:color w:val="auto"/>
        </w:rPr>
        <w:instrText xml:space="preserve"> SEQ Table \* ARABIC </w:instrText>
      </w:r>
      <w:r w:rsidR="002B05AD" w:rsidRPr="002B05AD">
        <w:rPr>
          <w:color w:val="auto"/>
        </w:rPr>
        <w:fldChar w:fldCharType="separate"/>
      </w:r>
      <w:r w:rsidR="00BA56B8" w:rsidRPr="002B05AD">
        <w:rPr>
          <w:noProof/>
          <w:color w:val="auto"/>
        </w:rPr>
        <w:t>2</w:t>
      </w:r>
      <w:r w:rsidR="002B05AD" w:rsidRPr="002B05AD">
        <w:rPr>
          <w:noProof/>
          <w:color w:val="auto"/>
        </w:rPr>
        <w:fldChar w:fldCharType="end"/>
      </w:r>
      <w:bookmarkEnd w:id="5"/>
      <w:r w:rsidR="008D1E2A" w:rsidRPr="002B05AD">
        <w:rPr>
          <w:color w:val="auto"/>
        </w:rPr>
        <w:t>: Progression free survival and overall survival reported at primary analysis of INAVO12 trial</w:t>
      </w:r>
    </w:p>
    <w:tbl>
      <w:tblPr>
        <w:tblStyle w:val="TableGrid"/>
        <w:tblW w:w="0" w:type="auto"/>
        <w:tblLook w:val="04A0" w:firstRow="1" w:lastRow="0" w:firstColumn="1" w:lastColumn="0" w:noHBand="0" w:noVBand="1"/>
      </w:tblPr>
      <w:tblGrid>
        <w:gridCol w:w="3162"/>
        <w:gridCol w:w="3162"/>
        <w:gridCol w:w="3163"/>
      </w:tblGrid>
      <w:tr w:rsidR="009B484F" w14:paraId="04DC8A17" w14:textId="77777777" w:rsidTr="009E52C6">
        <w:tc>
          <w:tcPr>
            <w:tcW w:w="3162" w:type="dxa"/>
            <w:tcBorders>
              <w:bottom w:val="single" w:sz="4" w:space="0" w:color="auto"/>
            </w:tcBorders>
          </w:tcPr>
          <w:p w14:paraId="1AEC7844" w14:textId="35E9E226" w:rsidR="009B484F" w:rsidRPr="001A235C" w:rsidRDefault="007644A3" w:rsidP="001A235C">
            <w:pPr>
              <w:keepNext/>
              <w:keepLines/>
              <w:rPr>
                <w:b/>
                <w:bCs/>
              </w:rPr>
            </w:pPr>
            <w:r w:rsidRPr="001A235C">
              <w:rPr>
                <w:b/>
                <w:bCs/>
              </w:rPr>
              <w:t>Outcome</w:t>
            </w:r>
          </w:p>
        </w:tc>
        <w:tc>
          <w:tcPr>
            <w:tcW w:w="3162" w:type="dxa"/>
            <w:tcBorders>
              <w:bottom w:val="single" w:sz="4" w:space="0" w:color="auto"/>
            </w:tcBorders>
          </w:tcPr>
          <w:p w14:paraId="7CCE87DD" w14:textId="5773C9DC" w:rsidR="009B484F" w:rsidRPr="001A235C" w:rsidRDefault="009B484F" w:rsidP="001A235C">
            <w:pPr>
              <w:keepNext/>
              <w:keepLines/>
              <w:rPr>
                <w:b/>
                <w:bCs/>
              </w:rPr>
            </w:pPr>
            <w:proofErr w:type="spellStart"/>
            <w:r w:rsidRPr="001A235C">
              <w:rPr>
                <w:b/>
                <w:bCs/>
              </w:rPr>
              <w:t>Inavolisib</w:t>
            </w:r>
            <w:proofErr w:type="spellEnd"/>
            <w:r w:rsidRPr="001A235C">
              <w:rPr>
                <w:b/>
                <w:bCs/>
              </w:rPr>
              <w:t xml:space="preserve"> in combination with </w:t>
            </w:r>
            <w:proofErr w:type="spellStart"/>
            <w:r w:rsidRPr="001A235C">
              <w:rPr>
                <w:b/>
                <w:bCs/>
              </w:rPr>
              <w:t>palbociclib</w:t>
            </w:r>
            <w:proofErr w:type="spellEnd"/>
            <w:r w:rsidRPr="001A235C">
              <w:rPr>
                <w:b/>
                <w:bCs/>
              </w:rPr>
              <w:t xml:space="preserve"> and </w:t>
            </w:r>
            <w:proofErr w:type="spellStart"/>
            <w:r w:rsidRPr="001A235C">
              <w:rPr>
                <w:b/>
                <w:bCs/>
              </w:rPr>
              <w:t>fulvestrant</w:t>
            </w:r>
            <w:proofErr w:type="spellEnd"/>
            <w:r w:rsidR="002B1E6F" w:rsidRPr="001A235C">
              <w:rPr>
                <w:b/>
                <w:bCs/>
              </w:rPr>
              <w:t xml:space="preserve"> (N=</w:t>
            </w:r>
            <w:r w:rsidR="00A53BC8" w:rsidRPr="001A235C">
              <w:rPr>
                <w:b/>
                <w:bCs/>
              </w:rPr>
              <w:t>161)</w:t>
            </w:r>
          </w:p>
        </w:tc>
        <w:tc>
          <w:tcPr>
            <w:tcW w:w="3163" w:type="dxa"/>
            <w:tcBorders>
              <w:bottom w:val="single" w:sz="4" w:space="0" w:color="auto"/>
            </w:tcBorders>
          </w:tcPr>
          <w:p w14:paraId="1A3F2E36" w14:textId="43201549" w:rsidR="009B484F" w:rsidRPr="001A235C" w:rsidRDefault="009B484F" w:rsidP="001A235C">
            <w:pPr>
              <w:keepNext/>
              <w:keepLines/>
              <w:rPr>
                <w:b/>
                <w:bCs/>
              </w:rPr>
            </w:pPr>
            <w:r w:rsidRPr="001A235C">
              <w:rPr>
                <w:b/>
                <w:bCs/>
              </w:rPr>
              <w:t xml:space="preserve">Palbociclib and </w:t>
            </w:r>
            <w:proofErr w:type="spellStart"/>
            <w:r w:rsidRPr="001A235C">
              <w:rPr>
                <w:b/>
                <w:bCs/>
              </w:rPr>
              <w:t>fulvestrant</w:t>
            </w:r>
            <w:proofErr w:type="spellEnd"/>
            <w:r w:rsidR="00A53BC8" w:rsidRPr="001A235C">
              <w:rPr>
                <w:b/>
                <w:bCs/>
              </w:rPr>
              <w:t xml:space="preserve"> (N=164)</w:t>
            </w:r>
          </w:p>
        </w:tc>
      </w:tr>
      <w:tr w:rsidR="009B484F" w14:paraId="5AAF4F92" w14:textId="77777777" w:rsidTr="009E52C6">
        <w:tc>
          <w:tcPr>
            <w:tcW w:w="3162" w:type="dxa"/>
            <w:tcBorders>
              <w:right w:val="nil"/>
            </w:tcBorders>
          </w:tcPr>
          <w:p w14:paraId="1BAA37E0" w14:textId="7967BE1C" w:rsidR="009B484F" w:rsidRPr="001A235C" w:rsidRDefault="007644A3" w:rsidP="001A235C">
            <w:pPr>
              <w:keepNext/>
              <w:keepLines/>
              <w:rPr>
                <w:b/>
                <w:bCs/>
              </w:rPr>
            </w:pPr>
            <w:r w:rsidRPr="001A235C">
              <w:rPr>
                <w:b/>
                <w:bCs/>
              </w:rPr>
              <w:t>Progression</w:t>
            </w:r>
            <w:r w:rsidR="00465FF5" w:rsidRPr="001A235C">
              <w:rPr>
                <w:b/>
                <w:bCs/>
              </w:rPr>
              <w:t xml:space="preserve"> </w:t>
            </w:r>
            <w:r w:rsidRPr="001A235C">
              <w:rPr>
                <w:b/>
                <w:bCs/>
              </w:rPr>
              <w:t>free surviv</w:t>
            </w:r>
            <w:r w:rsidR="00C02277" w:rsidRPr="001A235C">
              <w:rPr>
                <w:b/>
                <w:bCs/>
              </w:rPr>
              <w:t>al</w:t>
            </w:r>
          </w:p>
        </w:tc>
        <w:tc>
          <w:tcPr>
            <w:tcW w:w="3162" w:type="dxa"/>
            <w:tcBorders>
              <w:left w:val="nil"/>
              <w:right w:val="nil"/>
            </w:tcBorders>
          </w:tcPr>
          <w:p w14:paraId="6C2E4398" w14:textId="0317167A" w:rsidR="009B484F" w:rsidRPr="001A235C" w:rsidRDefault="009B484F" w:rsidP="001A235C">
            <w:pPr>
              <w:keepNext/>
              <w:keepLines/>
              <w:rPr>
                <w:b/>
                <w:bCs/>
              </w:rPr>
            </w:pPr>
          </w:p>
        </w:tc>
        <w:tc>
          <w:tcPr>
            <w:tcW w:w="3163" w:type="dxa"/>
            <w:tcBorders>
              <w:left w:val="nil"/>
            </w:tcBorders>
          </w:tcPr>
          <w:p w14:paraId="45E41967" w14:textId="58E277B4" w:rsidR="009B484F" w:rsidRPr="001A235C" w:rsidRDefault="009B484F" w:rsidP="001A235C">
            <w:pPr>
              <w:keepNext/>
              <w:keepLines/>
              <w:rPr>
                <w:b/>
                <w:bCs/>
              </w:rPr>
            </w:pPr>
          </w:p>
        </w:tc>
      </w:tr>
      <w:tr w:rsidR="007928F3" w14:paraId="47F1E296" w14:textId="77777777" w:rsidTr="009B484F">
        <w:tc>
          <w:tcPr>
            <w:tcW w:w="3162" w:type="dxa"/>
          </w:tcPr>
          <w:p w14:paraId="0282DA1E" w14:textId="7206D02F" w:rsidR="007928F3" w:rsidRPr="001A235C" w:rsidRDefault="0045397E" w:rsidP="001A235C">
            <w:pPr>
              <w:keepNext/>
              <w:keepLines/>
            </w:pPr>
            <w:r w:rsidRPr="001A235C">
              <w:t>Months</w:t>
            </w:r>
            <w:r w:rsidR="0065798B" w:rsidRPr="001A235C">
              <w:t xml:space="preserve">, </w:t>
            </w:r>
            <w:r w:rsidR="007928F3" w:rsidRPr="001A235C">
              <w:t>Median</w:t>
            </w:r>
            <w:r w:rsidR="0065798B" w:rsidRPr="001A235C">
              <w:t xml:space="preserve"> (95% CI)</w:t>
            </w:r>
          </w:p>
        </w:tc>
        <w:tc>
          <w:tcPr>
            <w:tcW w:w="3162" w:type="dxa"/>
          </w:tcPr>
          <w:p w14:paraId="70F66E0A" w14:textId="272268FC" w:rsidR="007928F3" w:rsidRPr="001A235C" w:rsidRDefault="007928F3" w:rsidP="001A235C">
            <w:pPr>
              <w:keepNext/>
              <w:keepLines/>
            </w:pPr>
            <w:r w:rsidRPr="001A235C">
              <w:t>15.0</w:t>
            </w:r>
            <w:r w:rsidR="0065798B" w:rsidRPr="001A235C">
              <w:t xml:space="preserve"> (11.3, 20.5)</w:t>
            </w:r>
          </w:p>
        </w:tc>
        <w:tc>
          <w:tcPr>
            <w:tcW w:w="3163" w:type="dxa"/>
          </w:tcPr>
          <w:p w14:paraId="38E86EDD" w14:textId="4C25AF46" w:rsidR="007928F3" w:rsidRPr="001A235C" w:rsidRDefault="0065798B" w:rsidP="001A235C">
            <w:pPr>
              <w:keepNext/>
              <w:keepLines/>
            </w:pPr>
            <w:r w:rsidRPr="001A235C">
              <w:t>7.3 (5.6, 9.3)</w:t>
            </w:r>
          </w:p>
        </w:tc>
      </w:tr>
      <w:tr w:rsidR="001A235C" w14:paraId="71D68FDF" w14:textId="77777777" w:rsidTr="001A235C">
        <w:tc>
          <w:tcPr>
            <w:tcW w:w="3162" w:type="dxa"/>
            <w:tcBorders>
              <w:bottom w:val="single" w:sz="4" w:space="0" w:color="auto"/>
            </w:tcBorders>
          </w:tcPr>
          <w:p w14:paraId="0AE50800" w14:textId="3BF2DCB9" w:rsidR="001A235C" w:rsidRPr="001A235C" w:rsidRDefault="001A235C" w:rsidP="001A235C">
            <w:pPr>
              <w:keepNext/>
              <w:keepLines/>
            </w:pPr>
            <w:r w:rsidRPr="001A235C">
              <w:t>Hazard ratio (95% CI)</w:t>
            </w:r>
          </w:p>
        </w:tc>
        <w:tc>
          <w:tcPr>
            <w:tcW w:w="6325" w:type="dxa"/>
            <w:gridSpan w:val="2"/>
            <w:tcBorders>
              <w:bottom w:val="single" w:sz="4" w:space="0" w:color="auto"/>
            </w:tcBorders>
          </w:tcPr>
          <w:p w14:paraId="7011B195" w14:textId="28025CAC" w:rsidR="001A235C" w:rsidRPr="001A235C" w:rsidRDefault="001A235C" w:rsidP="001A235C">
            <w:pPr>
              <w:keepNext/>
              <w:keepLines/>
              <w:jc w:val="center"/>
            </w:pPr>
            <w:r w:rsidRPr="001A235C">
              <w:t>0.43 (0.32, 0.59), p&lt;0.0</w:t>
            </w:r>
            <w:r w:rsidR="001E2F8A">
              <w:t>0</w:t>
            </w:r>
            <w:r w:rsidRPr="001A235C">
              <w:t>01</w:t>
            </w:r>
          </w:p>
        </w:tc>
      </w:tr>
      <w:tr w:rsidR="007928F3" w14:paraId="3E87EC42" w14:textId="77777777" w:rsidTr="009E52C6">
        <w:tc>
          <w:tcPr>
            <w:tcW w:w="3162" w:type="dxa"/>
            <w:tcBorders>
              <w:right w:val="nil"/>
            </w:tcBorders>
          </w:tcPr>
          <w:p w14:paraId="128C7500" w14:textId="285A07FA" w:rsidR="007928F3" w:rsidRPr="001A235C" w:rsidRDefault="007E572A" w:rsidP="001A235C">
            <w:pPr>
              <w:keepNext/>
              <w:keepLines/>
              <w:rPr>
                <w:b/>
                <w:bCs/>
              </w:rPr>
            </w:pPr>
            <w:r w:rsidRPr="001A235C">
              <w:rPr>
                <w:b/>
                <w:bCs/>
              </w:rPr>
              <w:t>Overall survival</w:t>
            </w:r>
          </w:p>
        </w:tc>
        <w:tc>
          <w:tcPr>
            <w:tcW w:w="3162" w:type="dxa"/>
            <w:tcBorders>
              <w:left w:val="nil"/>
              <w:right w:val="nil"/>
            </w:tcBorders>
          </w:tcPr>
          <w:p w14:paraId="31713620" w14:textId="77777777" w:rsidR="007928F3" w:rsidRPr="001A235C" w:rsidRDefault="007928F3" w:rsidP="001A235C">
            <w:pPr>
              <w:keepNext/>
              <w:keepLines/>
            </w:pPr>
          </w:p>
        </w:tc>
        <w:tc>
          <w:tcPr>
            <w:tcW w:w="3163" w:type="dxa"/>
            <w:tcBorders>
              <w:left w:val="nil"/>
            </w:tcBorders>
          </w:tcPr>
          <w:p w14:paraId="5F363B25" w14:textId="77777777" w:rsidR="007928F3" w:rsidRPr="001A235C" w:rsidRDefault="007928F3" w:rsidP="001A235C">
            <w:pPr>
              <w:keepNext/>
              <w:keepLines/>
            </w:pPr>
          </w:p>
        </w:tc>
      </w:tr>
      <w:tr w:rsidR="007E572A" w14:paraId="6CEFFE5E" w14:textId="77777777" w:rsidTr="009B484F">
        <w:tc>
          <w:tcPr>
            <w:tcW w:w="3162" w:type="dxa"/>
          </w:tcPr>
          <w:p w14:paraId="434D6A99" w14:textId="59699DCD" w:rsidR="007E572A" w:rsidRPr="001A235C" w:rsidRDefault="001D2E6C" w:rsidP="001A235C">
            <w:pPr>
              <w:keepNext/>
              <w:keepLines/>
            </w:pPr>
            <w:r w:rsidRPr="001A235C">
              <w:t>Months, Median (95% CI)</w:t>
            </w:r>
          </w:p>
        </w:tc>
        <w:tc>
          <w:tcPr>
            <w:tcW w:w="3162" w:type="dxa"/>
          </w:tcPr>
          <w:p w14:paraId="0BFF44B2" w14:textId="1AC6DC6D" w:rsidR="007E572A" w:rsidRPr="001A235C" w:rsidRDefault="007E572A" w:rsidP="001A235C">
            <w:pPr>
              <w:keepNext/>
              <w:keepLines/>
            </w:pPr>
            <w:r w:rsidRPr="001A235C">
              <w:t>N</w:t>
            </w:r>
            <w:r w:rsidR="00C65868" w:rsidRPr="001A235C">
              <w:t>E (27.3, NE)</w:t>
            </w:r>
          </w:p>
        </w:tc>
        <w:tc>
          <w:tcPr>
            <w:tcW w:w="3163" w:type="dxa"/>
          </w:tcPr>
          <w:p w14:paraId="5AFB120A" w14:textId="6B02C20F" w:rsidR="007E572A" w:rsidRPr="001A235C" w:rsidRDefault="00C65868" w:rsidP="001A235C">
            <w:pPr>
              <w:keepNext/>
              <w:keepLines/>
            </w:pPr>
            <w:r w:rsidRPr="001A235C">
              <w:t>31.1 (22.3, NE)</w:t>
            </w:r>
          </w:p>
        </w:tc>
      </w:tr>
      <w:tr w:rsidR="001A235C" w14:paraId="79B1EFA1" w14:textId="77777777" w:rsidTr="001A235C">
        <w:tc>
          <w:tcPr>
            <w:tcW w:w="3162" w:type="dxa"/>
          </w:tcPr>
          <w:p w14:paraId="522722D8" w14:textId="52A8F281" w:rsidR="001A235C" w:rsidRPr="001A235C" w:rsidRDefault="001A235C" w:rsidP="001A235C">
            <w:pPr>
              <w:keepNext/>
              <w:keepLines/>
            </w:pPr>
            <w:r w:rsidRPr="001A235C">
              <w:t>Hazard ratio (95% CI)</w:t>
            </w:r>
          </w:p>
        </w:tc>
        <w:tc>
          <w:tcPr>
            <w:tcW w:w="6325" w:type="dxa"/>
            <w:gridSpan w:val="2"/>
          </w:tcPr>
          <w:p w14:paraId="72A9DDE1" w14:textId="42FE1793" w:rsidR="001A235C" w:rsidRPr="001A235C" w:rsidRDefault="001A235C" w:rsidP="001A235C">
            <w:pPr>
              <w:keepNext/>
              <w:keepLines/>
              <w:jc w:val="center"/>
            </w:pPr>
            <w:r w:rsidRPr="001A235C">
              <w:t>0.64 (0.43, 0.97), p=0.0338</w:t>
            </w:r>
          </w:p>
        </w:tc>
      </w:tr>
    </w:tbl>
    <w:p w14:paraId="2E1428E2" w14:textId="04787509" w:rsidR="009B484F" w:rsidRPr="009E52C6" w:rsidRDefault="008D1E2A" w:rsidP="009B484F">
      <w:pPr>
        <w:rPr>
          <w:rFonts w:asciiTheme="minorHAnsi" w:eastAsia="Segoe UI" w:hAnsiTheme="minorHAnsi" w:cstheme="minorHAnsi"/>
          <w:color w:val="000000"/>
          <w:sz w:val="18"/>
          <w:szCs w:val="18"/>
        </w:rPr>
      </w:pPr>
      <w:r w:rsidRPr="009E52C6">
        <w:rPr>
          <w:rFonts w:asciiTheme="minorHAnsi" w:eastAsia="Segoe UI" w:hAnsiTheme="minorHAnsi" w:cstheme="minorHAnsi"/>
          <w:color w:val="000000"/>
          <w:sz w:val="18"/>
          <w:szCs w:val="18"/>
        </w:rPr>
        <w:t xml:space="preserve">Abbreviations: CI=confidence interval; NE=not </w:t>
      </w:r>
      <w:r w:rsidR="009E52C6" w:rsidRPr="009E52C6">
        <w:rPr>
          <w:rFonts w:asciiTheme="minorHAnsi" w:eastAsia="Segoe UI" w:hAnsiTheme="minorHAnsi" w:cstheme="minorHAnsi"/>
          <w:color w:val="000000"/>
          <w:sz w:val="18"/>
          <w:szCs w:val="18"/>
        </w:rPr>
        <w:t>estimable</w:t>
      </w:r>
    </w:p>
    <w:p w14:paraId="43670E9E" w14:textId="3DAE6738" w:rsidR="004A45BE" w:rsidRPr="00BC0C43" w:rsidRDefault="004A45BE" w:rsidP="00BC0C43">
      <w:pPr>
        <w:pStyle w:val="Heading2"/>
      </w:pPr>
      <w:r>
        <w:t>Why would the requestor seek to use the proposed investigative technology rather than the comparator(s)?</w:t>
      </w:r>
    </w:p>
    <w:p w14:paraId="027DF2ED" w14:textId="77777777" w:rsidR="003F5070" w:rsidRDefault="00C90D03" w:rsidP="00BC0C43">
      <w:r>
        <w:t xml:space="preserve">Per the results of the INAVO120 trial, patients with PIK3CA mutations treated with </w:t>
      </w:r>
      <w:proofErr w:type="spellStart"/>
      <w:r>
        <w:t>inavolisib</w:t>
      </w:r>
      <w:proofErr w:type="spellEnd"/>
      <w:r>
        <w:t xml:space="preserve"> </w:t>
      </w:r>
      <w:r w:rsidR="00EE625F">
        <w:t>had improved progression survival and overall survival</w:t>
      </w:r>
      <w:r w:rsidR="00FE0434">
        <w:t xml:space="preserve"> compared with </w:t>
      </w:r>
      <w:proofErr w:type="spellStart"/>
      <w:r w:rsidR="00FE0434">
        <w:t>palbociclib</w:t>
      </w:r>
      <w:proofErr w:type="spellEnd"/>
      <w:r w:rsidR="00FE0434">
        <w:t xml:space="preserve"> plus </w:t>
      </w:r>
      <w:proofErr w:type="spellStart"/>
      <w:r w:rsidR="00FE0434">
        <w:t>fulvestrant</w:t>
      </w:r>
      <w:proofErr w:type="spellEnd"/>
      <w:r w:rsidR="00FE0434">
        <w:t xml:space="preserve"> alone.</w:t>
      </w:r>
    </w:p>
    <w:p w14:paraId="56268485" w14:textId="62957472" w:rsidR="004A45BE" w:rsidRPr="00BC0C43" w:rsidRDefault="008A6CF1" w:rsidP="00BC0C43">
      <w:pPr>
        <w:rPr>
          <w:rFonts w:asciiTheme="minorHAnsi" w:eastAsia="Segoe UI" w:hAnsiTheme="minorHAnsi" w:cstheme="minorHAnsi"/>
          <w:color w:val="000000"/>
        </w:rPr>
      </w:pPr>
      <w:r>
        <w:t xml:space="preserve">It is </w:t>
      </w:r>
      <w:r w:rsidR="00E176B1">
        <w:t>foreshadowed</w:t>
      </w:r>
      <w:r>
        <w:t xml:space="preserve"> that the PBS restriction for </w:t>
      </w:r>
      <w:proofErr w:type="spellStart"/>
      <w:r>
        <w:t>inavolisib</w:t>
      </w:r>
      <w:proofErr w:type="spellEnd"/>
      <w:r>
        <w:t xml:space="preserve"> will </w:t>
      </w:r>
      <w:r w:rsidR="003F5070">
        <w:t xml:space="preserve">include a </w:t>
      </w:r>
      <w:r w:rsidR="00F32A5B">
        <w:t>criterion</w:t>
      </w:r>
      <w:r w:rsidR="003F5070">
        <w:t xml:space="preserve"> that a patient must be assessed as harbouring a PIK3CA mutation </w:t>
      </w:r>
      <w:r w:rsidR="00580F71">
        <w:t xml:space="preserve">to be eligible for treatment with </w:t>
      </w:r>
      <w:proofErr w:type="spellStart"/>
      <w:r w:rsidR="00580F71">
        <w:t>inavolisib</w:t>
      </w:r>
      <w:proofErr w:type="spellEnd"/>
      <w:r w:rsidR="00580F71">
        <w:t xml:space="preserve">. As such, requestors would seek to use PIK3CA testing for the purpose of </w:t>
      </w:r>
      <w:r w:rsidR="00812EDE">
        <w:t xml:space="preserve">assessing patient eligibility to access </w:t>
      </w:r>
      <w:proofErr w:type="spellStart"/>
      <w:r w:rsidR="00812EDE">
        <w:t>inavolisib</w:t>
      </w:r>
      <w:proofErr w:type="spellEnd"/>
      <w:r w:rsidR="00812EDE">
        <w:t xml:space="preserve"> through the PBS.</w:t>
      </w:r>
    </w:p>
    <w:p w14:paraId="67792CDE" w14:textId="20F96D42" w:rsidR="004A45BE" w:rsidRPr="00BC0C43" w:rsidRDefault="004A45BE" w:rsidP="00BC0C43">
      <w:pPr>
        <w:pStyle w:val="Heading2"/>
      </w:pPr>
      <w:r w:rsidRPr="00B15CDF">
        <w:t>Identify how the proposed technology achieves the intended patient outcomes</w:t>
      </w:r>
      <w:r>
        <w:t>:</w:t>
      </w:r>
    </w:p>
    <w:p w14:paraId="5ED0D298" w14:textId="66D32B36" w:rsidR="004A45BE" w:rsidRPr="00BC0C43" w:rsidRDefault="00812EDE" w:rsidP="00BC0C43">
      <w:pPr>
        <w:rPr>
          <w:rFonts w:asciiTheme="minorHAnsi" w:eastAsia="Segoe UI" w:hAnsiTheme="minorHAnsi" w:cstheme="minorHAnsi"/>
          <w:color w:val="000000"/>
        </w:rPr>
      </w:pPr>
      <w:r>
        <w:t>Please refer to the response to the same question</w:t>
      </w:r>
      <w:r w:rsidR="00D36FEA">
        <w:t xml:space="preserve"> that was</w:t>
      </w:r>
      <w:r>
        <w:t xml:space="preserve"> provided in the Intervention section.</w:t>
      </w:r>
    </w:p>
    <w:p w14:paraId="0C2BEC69" w14:textId="6E863FF7" w:rsidR="004A45BE" w:rsidRDefault="004A45BE" w:rsidP="00BC0C43">
      <w:pPr>
        <w:pStyle w:val="Heading2"/>
      </w:pPr>
      <w:r>
        <w:t>For some people, compared with the comparator(s), does the test information result in:</w:t>
      </w:r>
    </w:p>
    <w:p w14:paraId="67DE36BA" w14:textId="629EDA7B" w:rsidR="004A45BE" w:rsidRPr="00812EDE" w:rsidRDefault="004A45BE" w:rsidP="00361BBE">
      <w:pPr>
        <w:spacing w:before="120"/>
        <w:rPr>
          <w:bCs/>
        </w:rPr>
      </w:pPr>
      <w:r w:rsidRPr="00361BBE">
        <w:rPr>
          <w:b/>
          <w:bCs/>
        </w:rPr>
        <w:t>A change in clinical management?</w:t>
      </w:r>
      <w:r>
        <w:rPr>
          <w:bCs/>
        </w:rPr>
        <w:tab/>
      </w:r>
      <w:r w:rsidRPr="00812EDE">
        <w:rPr>
          <w:bCs/>
        </w:rPr>
        <w:t>Yes</w:t>
      </w:r>
    </w:p>
    <w:p w14:paraId="6C54CA8D" w14:textId="1D6DE147" w:rsidR="004A45BE" w:rsidRPr="00812EDE" w:rsidRDefault="004A45BE" w:rsidP="00BC0C43">
      <w:pPr>
        <w:rPr>
          <w:bCs/>
        </w:rPr>
      </w:pPr>
      <w:r w:rsidRPr="00812EDE">
        <w:rPr>
          <w:b/>
          <w:bCs/>
        </w:rPr>
        <w:t>A change in health outcome?</w:t>
      </w:r>
      <w:r w:rsidRPr="00812EDE">
        <w:rPr>
          <w:bCs/>
        </w:rPr>
        <w:tab/>
        <w:t>Yes</w:t>
      </w:r>
    </w:p>
    <w:p w14:paraId="0434A6A4" w14:textId="6ACF1460" w:rsidR="004A45BE" w:rsidRPr="00BC0C43" w:rsidRDefault="004A45BE" w:rsidP="00BC0C43">
      <w:pPr>
        <w:rPr>
          <w:bCs/>
        </w:rPr>
      </w:pPr>
      <w:r w:rsidRPr="00812EDE">
        <w:rPr>
          <w:b/>
          <w:bCs/>
        </w:rPr>
        <w:t>Other benefits?</w:t>
      </w:r>
      <w:r w:rsidRPr="00812EDE">
        <w:rPr>
          <w:b/>
          <w:bCs/>
        </w:rPr>
        <w:tab/>
      </w:r>
      <w:r w:rsidRPr="00812EDE">
        <w:rPr>
          <w:bCs/>
        </w:rPr>
        <w:tab/>
      </w:r>
      <w:r w:rsidRPr="00812EDE">
        <w:rPr>
          <w:bCs/>
        </w:rPr>
        <w:tab/>
        <w:t>No</w:t>
      </w:r>
    </w:p>
    <w:p w14:paraId="04716397" w14:textId="0FE58BC1" w:rsidR="004A45BE" w:rsidRPr="00BC0C43" w:rsidRDefault="009D5D20" w:rsidP="00BC0C43">
      <w:pPr>
        <w:pStyle w:val="Heading2"/>
      </w:pPr>
      <w:r>
        <w:t>Please provide a rationale, and information on other benefits if relevant</w:t>
      </w:r>
      <w:r w:rsidR="004A45BE">
        <w:t>:</w:t>
      </w:r>
    </w:p>
    <w:p w14:paraId="4559AF7E" w14:textId="5CEF71F7" w:rsidR="004A45BE" w:rsidRPr="00BC0C43" w:rsidRDefault="009D5D20" w:rsidP="00BC0C43">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010AAA">
        <w:rPr>
          <w:noProof/>
        </w:rPr>
        <w:t>Provide your response here</w:t>
      </w:r>
      <w:r>
        <w:fldChar w:fldCharType="end"/>
      </w:r>
    </w:p>
    <w:p w14:paraId="576F477A" w14:textId="2F50DBB2" w:rsidR="00582377" w:rsidRPr="00CD3A38" w:rsidRDefault="009D5D20" w:rsidP="00CD3A38">
      <w:pPr>
        <w:pStyle w:val="Heading2"/>
        <w:rPr>
          <w:rStyle w:val="InstructionsChar"/>
        </w:rPr>
      </w:pPr>
      <w:r>
        <w:t>In terms of the immediate costs of the proposed technology (and immediate cost consequences, such as procedural costs, testing costs etc.), is the proposed technology claimed to be more costly, the same cost or less costly than the comparator?</w:t>
      </w:r>
    </w:p>
    <w:p w14:paraId="0EB954C3" w14:textId="4C0903F8" w:rsidR="006437E6" w:rsidRPr="00582377" w:rsidRDefault="00CD3A38" w:rsidP="00582377">
      <w:pPr>
        <w:pStyle w:val="Tickboxes"/>
      </w:pPr>
      <w:r>
        <w:fldChar w:fldCharType="begin">
          <w:ffData>
            <w:name w:val=""/>
            <w:enabled/>
            <w:calcOnExit w:val="0"/>
            <w:checkBox>
              <w:sizeAuto/>
              <w:default w:val="1"/>
            </w:checkBox>
          </w:ffData>
        </w:fldChar>
      </w:r>
      <w:r>
        <w:instrText xml:space="preserve"> FORMCHECKBOX </w:instrText>
      </w:r>
      <w:r w:rsidR="005623BF">
        <w:fldChar w:fldCharType="separate"/>
      </w:r>
      <w:r>
        <w:fldChar w:fldCharType="end"/>
      </w:r>
      <w:r w:rsidR="006437E6" w:rsidRPr="00582377">
        <w:t xml:space="preserve"> More costly</w:t>
      </w:r>
    </w:p>
    <w:p w14:paraId="76F56838" w14:textId="77777777" w:rsidR="006437E6" w:rsidRPr="00582377" w:rsidRDefault="006437E6"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005623BF">
        <w:fldChar w:fldCharType="separate"/>
      </w:r>
      <w:r w:rsidRPr="00582377">
        <w:fldChar w:fldCharType="end"/>
      </w:r>
      <w:r w:rsidRPr="00582377">
        <w:t xml:space="preserve"> Same cost</w:t>
      </w:r>
    </w:p>
    <w:p w14:paraId="7925F574" w14:textId="10EA25CD" w:rsidR="00025969" w:rsidRPr="00582377" w:rsidRDefault="006437E6" w:rsidP="00582377">
      <w:pPr>
        <w:pStyle w:val="Tickboxes"/>
      </w:pPr>
      <w:r w:rsidRPr="00582377">
        <w:fldChar w:fldCharType="begin">
          <w:ffData>
            <w:name w:val="Check1"/>
            <w:enabled/>
            <w:calcOnExit w:val="0"/>
            <w:checkBox>
              <w:sizeAuto/>
              <w:default w:val="0"/>
            </w:checkBox>
          </w:ffData>
        </w:fldChar>
      </w:r>
      <w:r w:rsidRPr="00582377">
        <w:instrText xml:space="preserve"> FORMCHECKBOX </w:instrText>
      </w:r>
      <w:r w:rsidR="005623BF">
        <w:fldChar w:fldCharType="separate"/>
      </w:r>
      <w:r w:rsidRPr="00582377">
        <w:fldChar w:fldCharType="end"/>
      </w:r>
      <w:r w:rsidRPr="00582377">
        <w:t xml:space="preserve"> Less costly</w:t>
      </w:r>
    </w:p>
    <w:p w14:paraId="4C77BC49" w14:textId="77777777" w:rsidR="00896761" w:rsidRDefault="00896761">
      <w:pPr>
        <w:spacing w:after="160" w:line="259" w:lineRule="auto"/>
        <w:rPr>
          <w:b/>
          <w:bCs/>
        </w:rPr>
      </w:pPr>
      <w:r>
        <w:br w:type="page"/>
      </w:r>
    </w:p>
    <w:p w14:paraId="3797314E" w14:textId="13EED540" w:rsidR="004A45BE" w:rsidRPr="00BC0C43" w:rsidRDefault="009D5D20" w:rsidP="00BC0C43">
      <w:pPr>
        <w:pStyle w:val="Heading2"/>
      </w:pPr>
      <w:r>
        <w:lastRenderedPageBreak/>
        <w:t>Provide a brief rationale for the claim</w:t>
      </w:r>
      <w:r w:rsidR="004A45BE">
        <w:t>:</w:t>
      </w:r>
    </w:p>
    <w:p w14:paraId="3E4B5467" w14:textId="3F9D1EF6" w:rsidR="004A45BE" w:rsidRPr="007F6A69" w:rsidRDefault="00CD3A38" w:rsidP="007F6A69">
      <w:r w:rsidRPr="007F6A69">
        <w:t xml:space="preserve">Additional costs are incurred </w:t>
      </w:r>
      <w:r w:rsidR="0003248A" w:rsidRPr="007F6A69">
        <w:t>through the conduct of PIK3CA testing</w:t>
      </w:r>
      <w:r w:rsidR="007F6A69" w:rsidRPr="007F6A69">
        <w:t xml:space="preserve"> and </w:t>
      </w:r>
      <w:r w:rsidR="00F92246">
        <w:t>t</w:t>
      </w:r>
      <w:r w:rsidR="0003248A" w:rsidRPr="007F6A69">
        <w:t>he addition</w:t>
      </w:r>
      <w:r w:rsidR="00F92246">
        <w:t xml:space="preserve"> of</w:t>
      </w:r>
      <w:r w:rsidR="0003248A" w:rsidRPr="007F6A69">
        <w:t xml:space="preserve"> </w:t>
      </w:r>
      <w:proofErr w:type="spellStart"/>
      <w:r w:rsidR="0003248A" w:rsidRPr="007F6A69">
        <w:t>inavolisib</w:t>
      </w:r>
      <w:proofErr w:type="spellEnd"/>
      <w:r w:rsidR="0003248A" w:rsidRPr="007F6A69">
        <w:t xml:space="preserve"> to </w:t>
      </w:r>
      <w:proofErr w:type="spellStart"/>
      <w:r w:rsidR="0003248A" w:rsidRPr="007F6A69">
        <w:t>palbociclib</w:t>
      </w:r>
      <w:proofErr w:type="spellEnd"/>
      <w:r w:rsidR="0003248A" w:rsidRPr="007F6A69">
        <w:t xml:space="preserve"> plus </w:t>
      </w:r>
      <w:proofErr w:type="spellStart"/>
      <w:r w:rsidR="0003248A" w:rsidRPr="007F6A69">
        <w:t>fulvestrant</w:t>
      </w:r>
      <w:proofErr w:type="spellEnd"/>
      <w:r w:rsidR="0003248A" w:rsidRPr="007F6A69">
        <w:t xml:space="preserve"> in patients </w:t>
      </w:r>
      <w:r w:rsidR="00195A96" w:rsidRPr="007F6A69">
        <w:t>assessed as harbouring a PIK3CA mutation.</w:t>
      </w:r>
    </w:p>
    <w:p w14:paraId="797B3B37" w14:textId="77777777" w:rsidR="00BC0C43" w:rsidRDefault="00BC0C43">
      <w:pPr>
        <w:spacing w:after="160" w:line="259" w:lineRule="auto"/>
      </w:pPr>
      <w:bookmarkStart w:id="6" w:name="_Hlk122532620"/>
      <w:r>
        <w:br w:type="page"/>
      </w:r>
    </w:p>
    <w:p w14:paraId="3F215402" w14:textId="77777777" w:rsidR="00BF4BAA" w:rsidRDefault="00BF4BAA" w:rsidP="00EA0AA0">
      <w:pPr>
        <w:pStyle w:val="Heading1"/>
        <w:sectPr w:rsidR="00BF4BAA" w:rsidSect="00EA18F7">
          <w:headerReference w:type="default" r:id="rId10"/>
          <w:footerReference w:type="default" r:id="rId11"/>
          <w:pgSz w:w="11906" w:h="16838"/>
          <w:pgMar w:top="993" w:right="1133" w:bottom="993" w:left="1276" w:header="426" w:footer="252" w:gutter="0"/>
          <w:pgNumType w:start="0"/>
          <w:cols w:space="708"/>
          <w:titlePg/>
          <w:docGrid w:linePitch="360"/>
        </w:sectPr>
      </w:pPr>
    </w:p>
    <w:p w14:paraId="78D9C328" w14:textId="7948D0B2" w:rsidR="0030566C" w:rsidRDefault="0030566C" w:rsidP="00EA0AA0">
      <w:pPr>
        <w:pStyle w:val="Heading1"/>
      </w:pPr>
      <w:r>
        <w:lastRenderedPageBreak/>
        <w:t>Summary of Evidence</w:t>
      </w:r>
    </w:p>
    <w:p w14:paraId="093E0992" w14:textId="094F7AF0" w:rsidR="00BC0C43" w:rsidRPr="00BC0C43" w:rsidRDefault="0030566C" w:rsidP="00BC0C43">
      <w:pPr>
        <w:pStyle w:val="Heading2"/>
      </w:pPr>
      <w:r w:rsidRPr="00BC0C43">
        <w:t>Provide one or more recent (published) high quality clinical studies that support use of the proposed health service/technology. At ‘Application Form lodgement’</w:t>
      </w:r>
    </w:p>
    <w:tbl>
      <w:tblPr>
        <w:tblStyle w:val="TableGrid"/>
        <w:tblW w:w="0" w:type="auto"/>
        <w:tblLayout w:type="fixed"/>
        <w:tblLook w:val="04A0" w:firstRow="1" w:lastRow="0" w:firstColumn="1" w:lastColumn="0" w:noHBand="0" w:noVBand="1"/>
        <w:tblCaption w:val="Summary of Evidence - Published"/>
      </w:tblPr>
      <w:tblGrid>
        <w:gridCol w:w="397"/>
        <w:gridCol w:w="1814"/>
        <w:gridCol w:w="3231"/>
        <w:gridCol w:w="3231"/>
        <w:gridCol w:w="3231"/>
        <w:gridCol w:w="1701"/>
      </w:tblGrid>
      <w:tr w:rsidR="009A3006" w:rsidRPr="0030566C" w14:paraId="7D7CFBCF" w14:textId="77777777" w:rsidTr="00D1498F">
        <w:trPr>
          <w:cantSplit/>
          <w:tblHeader/>
        </w:trPr>
        <w:tc>
          <w:tcPr>
            <w:tcW w:w="397" w:type="dxa"/>
          </w:tcPr>
          <w:p w14:paraId="3C303F90" w14:textId="77777777" w:rsidR="002B3774" w:rsidRPr="0030566C" w:rsidRDefault="002B3774" w:rsidP="00FD5044"/>
        </w:tc>
        <w:tc>
          <w:tcPr>
            <w:tcW w:w="1814" w:type="dxa"/>
          </w:tcPr>
          <w:p w14:paraId="22034637" w14:textId="4379EFEF" w:rsidR="002B3774" w:rsidRPr="00BF4BAA" w:rsidRDefault="002B3774" w:rsidP="00FD5044">
            <w:pPr>
              <w:rPr>
                <w:b/>
                <w:bCs/>
              </w:rPr>
            </w:pPr>
            <w:r w:rsidRPr="00BF4BAA">
              <w:rPr>
                <w:b/>
                <w:bCs/>
              </w:rPr>
              <w:t>Type of study design</w:t>
            </w:r>
          </w:p>
        </w:tc>
        <w:tc>
          <w:tcPr>
            <w:tcW w:w="3231" w:type="dxa"/>
          </w:tcPr>
          <w:p w14:paraId="72A969B8" w14:textId="5F1141BC" w:rsidR="002B3774" w:rsidRPr="00BF4BAA" w:rsidRDefault="002B3774" w:rsidP="00FD5044">
            <w:pPr>
              <w:rPr>
                <w:b/>
                <w:bCs/>
              </w:rPr>
            </w:pPr>
            <w:r w:rsidRPr="00BF4BAA">
              <w:rPr>
                <w:b/>
                <w:bCs/>
              </w:rPr>
              <w:t>Title of journal article or research project</w:t>
            </w:r>
          </w:p>
        </w:tc>
        <w:tc>
          <w:tcPr>
            <w:tcW w:w="3231" w:type="dxa"/>
          </w:tcPr>
          <w:p w14:paraId="6849AB75" w14:textId="68CC5580" w:rsidR="002B3774" w:rsidRPr="00BF4BAA" w:rsidRDefault="002B3774" w:rsidP="00FD5044">
            <w:pPr>
              <w:rPr>
                <w:b/>
                <w:bCs/>
              </w:rPr>
            </w:pPr>
            <w:r w:rsidRPr="00BF4BAA">
              <w:rPr>
                <w:b/>
                <w:bCs/>
              </w:rPr>
              <w:t>Short description of researc</w:t>
            </w:r>
            <w:r w:rsidR="00D1498F">
              <w:rPr>
                <w:b/>
                <w:bCs/>
              </w:rPr>
              <w:t>h</w:t>
            </w:r>
            <w:r w:rsidRPr="00677A07">
              <w:rPr>
                <w:rStyle w:val="InstructionsChar"/>
                <w:color w:val="538135" w:themeColor="accent6" w:themeShade="BF"/>
              </w:rPr>
              <w:t>**</w:t>
            </w:r>
          </w:p>
        </w:tc>
        <w:tc>
          <w:tcPr>
            <w:tcW w:w="3231" w:type="dxa"/>
          </w:tcPr>
          <w:p w14:paraId="6D438BD5" w14:textId="1AE10242" w:rsidR="002B3774" w:rsidRPr="00BF4BAA" w:rsidRDefault="002B3774" w:rsidP="00FD5044">
            <w:pPr>
              <w:rPr>
                <w:b/>
                <w:bCs/>
              </w:rPr>
            </w:pPr>
            <w:r w:rsidRPr="00BF4BAA">
              <w:rPr>
                <w:b/>
                <w:bCs/>
              </w:rPr>
              <w:t>Website link to journal article or research</w:t>
            </w:r>
          </w:p>
        </w:tc>
        <w:tc>
          <w:tcPr>
            <w:tcW w:w="1701" w:type="dxa"/>
          </w:tcPr>
          <w:p w14:paraId="53584C89" w14:textId="5C3D1251" w:rsidR="002B3774" w:rsidRPr="00BF4BAA" w:rsidRDefault="002B3774" w:rsidP="00FD5044">
            <w:pPr>
              <w:rPr>
                <w:b/>
                <w:bCs/>
              </w:rPr>
            </w:pPr>
            <w:r w:rsidRPr="00BF4BAA">
              <w:rPr>
                <w:b/>
                <w:bCs/>
              </w:rPr>
              <w:t>Date of publication</w:t>
            </w:r>
          </w:p>
        </w:tc>
      </w:tr>
      <w:tr w:rsidR="009A3006" w:rsidRPr="0030566C" w14:paraId="770ED8C0" w14:textId="77777777" w:rsidTr="00D1498F">
        <w:trPr>
          <w:cantSplit/>
        </w:trPr>
        <w:tc>
          <w:tcPr>
            <w:tcW w:w="397" w:type="dxa"/>
          </w:tcPr>
          <w:p w14:paraId="3ED51E73" w14:textId="77777777" w:rsidR="005C699D" w:rsidRPr="0030566C" w:rsidRDefault="005C699D" w:rsidP="00FD5044">
            <w:r w:rsidRPr="0030566C">
              <w:t>1.</w:t>
            </w:r>
          </w:p>
        </w:tc>
        <w:tc>
          <w:tcPr>
            <w:tcW w:w="1814" w:type="dxa"/>
          </w:tcPr>
          <w:p w14:paraId="10FDEB23" w14:textId="26817F66" w:rsidR="005C699D" w:rsidRPr="00FE64D5" w:rsidRDefault="005C699D" w:rsidP="00FE64D5">
            <w:r w:rsidRPr="00FE64D5">
              <w:t>Phase 3 trial</w:t>
            </w:r>
          </w:p>
        </w:tc>
        <w:tc>
          <w:tcPr>
            <w:tcW w:w="3231" w:type="dxa"/>
          </w:tcPr>
          <w:p w14:paraId="1EA94191" w14:textId="04D9382E" w:rsidR="005C699D" w:rsidRPr="00FE64D5" w:rsidRDefault="00A96140" w:rsidP="00FE64D5">
            <w:proofErr w:type="spellStart"/>
            <w:r w:rsidRPr="00FE64D5">
              <w:t>Inavolisib</w:t>
            </w:r>
            <w:proofErr w:type="spellEnd"/>
            <w:r w:rsidRPr="00FE64D5">
              <w:t xml:space="preserve"> or placebo in combination with </w:t>
            </w:r>
            <w:proofErr w:type="spellStart"/>
            <w:r w:rsidRPr="00FE64D5">
              <w:t>palbociclib</w:t>
            </w:r>
            <w:proofErr w:type="spellEnd"/>
            <w:r w:rsidRPr="00FE64D5">
              <w:t xml:space="preserve"> and </w:t>
            </w:r>
            <w:proofErr w:type="spellStart"/>
            <w:r w:rsidRPr="00FE64D5">
              <w:t>fulvestrant</w:t>
            </w:r>
            <w:proofErr w:type="spellEnd"/>
            <w:r w:rsidRPr="00FE64D5">
              <w:t xml:space="preserve"> in patients with PIK3CA-mutated, </w:t>
            </w:r>
            <w:r w:rsidR="00AA4745">
              <w:t>HR+</w:t>
            </w:r>
            <w:r w:rsidRPr="00FE64D5">
              <w:t>, HER2- locally advanced or metastatic breast cancer: Phase III INAVO120 primary analysis</w:t>
            </w:r>
          </w:p>
          <w:p w14:paraId="1AEEDBA7" w14:textId="77777777" w:rsidR="005E6FED" w:rsidRPr="00FE64D5" w:rsidRDefault="005E6FED" w:rsidP="00FE64D5"/>
          <w:p w14:paraId="78324A85" w14:textId="586D4A57" w:rsidR="005E6FED" w:rsidRPr="00FE64D5" w:rsidRDefault="005E6FED" w:rsidP="00FE64D5">
            <w:r w:rsidRPr="00FE64D5">
              <w:t>NCT04191499</w:t>
            </w:r>
          </w:p>
        </w:tc>
        <w:tc>
          <w:tcPr>
            <w:tcW w:w="3231" w:type="dxa"/>
          </w:tcPr>
          <w:p w14:paraId="4354640B" w14:textId="779F8CA5" w:rsidR="005C699D" w:rsidRDefault="00564B32" w:rsidP="00FE64D5">
            <w:r w:rsidRPr="00FE64D5">
              <w:t xml:space="preserve">Primary analysis of the trial reported a statistically significant and clinically improvement in </w:t>
            </w:r>
            <w:r w:rsidR="00AA4745">
              <w:t>PFS</w:t>
            </w:r>
            <w:r w:rsidRPr="00FE64D5">
              <w:t xml:space="preserve"> in patients with a PIK3CA mutation </w:t>
            </w:r>
            <w:r w:rsidR="00AF20F7" w:rsidRPr="00FE64D5">
              <w:t xml:space="preserve">treated with </w:t>
            </w:r>
            <w:proofErr w:type="spellStart"/>
            <w:r w:rsidR="00AF20F7" w:rsidRPr="00FE64D5">
              <w:t>inavolisib</w:t>
            </w:r>
            <w:proofErr w:type="spellEnd"/>
            <w:r w:rsidR="00AF20F7" w:rsidRPr="00FE64D5">
              <w:t>: HR 0.43 (95% CI 0.32, 0.59), P&lt;0.001</w:t>
            </w:r>
          </w:p>
          <w:p w14:paraId="3C61C1FC" w14:textId="39DFA1C6" w:rsidR="00236F45" w:rsidRPr="00FE64D5" w:rsidRDefault="00236F45" w:rsidP="00FE64D5">
            <w:r w:rsidRPr="00FE64D5">
              <w:t xml:space="preserve">Per-protocol PIK3CA testing was performed on </w:t>
            </w:r>
            <w:proofErr w:type="spellStart"/>
            <w:r w:rsidRPr="00FE64D5">
              <w:t>ctDNA</w:t>
            </w:r>
            <w:proofErr w:type="spellEnd"/>
            <w:r w:rsidRPr="00FE64D5">
              <w:t xml:space="preserve"> or tumour tissue during the screening phase</w:t>
            </w:r>
          </w:p>
        </w:tc>
        <w:tc>
          <w:tcPr>
            <w:tcW w:w="3231" w:type="dxa"/>
          </w:tcPr>
          <w:p w14:paraId="0D5BA928" w14:textId="46BECB40" w:rsidR="005C699D" w:rsidRPr="00FE64D5" w:rsidRDefault="00511A7C" w:rsidP="00FE64D5">
            <w:r w:rsidRPr="00FE64D5">
              <w:t>https://medically.roche.com/content/dam/pdmahub/restricted/oncology/sabcs-2023/SABCS-2023-presentation-jhaveri-inavolisib-or-placebo-in-combination-with-palbociclib.pdf</w:t>
            </w:r>
          </w:p>
        </w:tc>
        <w:tc>
          <w:tcPr>
            <w:tcW w:w="1701" w:type="dxa"/>
          </w:tcPr>
          <w:p w14:paraId="10751763" w14:textId="43EA57E6" w:rsidR="00511A7C" w:rsidRPr="00FE64D5" w:rsidRDefault="00511A7C" w:rsidP="00FE64D5">
            <w:r w:rsidRPr="00FE64D5">
              <w:t>2023</w:t>
            </w:r>
          </w:p>
        </w:tc>
      </w:tr>
      <w:tr w:rsidR="009A3006" w:rsidRPr="0030566C" w14:paraId="13AA3206" w14:textId="77777777" w:rsidTr="00D1498F">
        <w:trPr>
          <w:cantSplit/>
        </w:trPr>
        <w:tc>
          <w:tcPr>
            <w:tcW w:w="397" w:type="dxa"/>
          </w:tcPr>
          <w:p w14:paraId="7E036800" w14:textId="5B0FA1EA" w:rsidR="008C5DE9" w:rsidRPr="0030566C" w:rsidRDefault="008C5DE9" w:rsidP="00FD5044">
            <w:r>
              <w:lastRenderedPageBreak/>
              <w:t>2.</w:t>
            </w:r>
          </w:p>
        </w:tc>
        <w:tc>
          <w:tcPr>
            <w:tcW w:w="1814" w:type="dxa"/>
          </w:tcPr>
          <w:p w14:paraId="63B9BDA3" w14:textId="12181897" w:rsidR="008C5DE9" w:rsidRPr="00FE64D5" w:rsidRDefault="008C5DE9" w:rsidP="00FE64D5">
            <w:r w:rsidRPr="00FE64D5">
              <w:t>Meta</w:t>
            </w:r>
            <w:r w:rsidR="00236F45">
              <w:t>-</w:t>
            </w:r>
            <w:r w:rsidRPr="00FE64D5">
              <w:t>analysis</w:t>
            </w:r>
          </w:p>
        </w:tc>
        <w:tc>
          <w:tcPr>
            <w:tcW w:w="3231" w:type="dxa"/>
          </w:tcPr>
          <w:p w14:paraId="67ACF6F2" w14:textId="04E47CD6" w:rsidR="008C5DE9" w:rsidRPr="00FE64D5" w:rsidRDefault="008C5DE9" w:rsidP="00FE64D5">
            <w:r w:rsidRPr="00FE64D5">
              <w:t>Prognostic effects of PIK3CA mutation status on progression and survival</w:t>
            </w:r>
          </w:p>
        </w:tc>
        <w:tc>
          <w:tcPr>
            <w:tcW w:w="3231" w:type="dxa"/>
          </w:tcPr>
          <w:p w14:paraId="39052BD8" w14:textId="2F3FFA84" w:rsidR="006C7BE6" w:rsidRPr="00FE64D5" w:rsidRDefault="00236F45" w:rsidP="00FE64D5">
            <w:r>
              <w:t>Outcomes</w:t>
            </w:r>
            <w:r w:rsidR="008C5DE9" w:rsidRPr="00FE64D5">
              <w:t xml:space="preserve"> from </w:t>
            </w:r>
            <w:r w:rsidR="00180E59" w:rsidRPr="00FE64D5">
              <w:t>11</w:t>
            </w:r>
            <w:r w:rsidR="008C5DE9" w:rsidRPr="00FE64D5">
              <w:t xml:space="preserve"> trials with a total of 3,219 patients were pooled</w:t>
            </w:r>
            <w:r w:rsidR="007D13F4" w:rsidRPr="00FE64D5">
              <w:t xml:space="preserve"> (</w:t>
            </w:r>
            <w:r w:rsidR="006C7BE6" w:rsidRPr="00FE64D5">
              <w:t>PIK3CA mutated=1,386; PIK3CA wild type=1,883).</w:t>
            </w:r>
          </w:p>
          <w:p w14:paraId="718A8EDB" w14:textId="1F742E53" w:rsidR="008C5DE9" w:rsidRPr="00FE64D5" w:rsidRDefault="008455DA" w:rsidP="00AA4745">
            <w:r w:rsidRPr="00FE64D5">
              <w:t>In patients with HR+/HER2- breast cancer</w:t>
            </w:r>
            <w:r w:rsidR="00236F45">
              <w:t>,</w:t>
            </w:r>
            <w:r w:rsidRPr="00FE64D5">
              <w:t xml:space="preserve"> </w:t>
            </w:r>
            <w:r w:rsidR="00FB3C4C" w:rsidRPr="00FE64D5">
              <w:t>PIK3CA mutation was associated with shorter PFS (-1.8 months</w:t>
            </w:r>
            <w:r w:rsidR="00EF0534" w:rsidRPr="00FE64D5">
              <w:t>) and shorte</w:t>
            </w:r>
            <w:r w:rsidR="00AA4745">
              <w:t>r</w:t>
            </w:r>
            <w:r w:rsidR="00EF0534" w:rsidRPr="00FE64D5">
              <w:t xml:space="preserve"> OS (-8.4 months). Thi</w:t>
            </w:r>
            <w:r w:rsidR="00F03580" w:rsidRPr="00FE64D5">
              <w:t>s meta-analysis is suggestive of PIK3CA mutations having a negative prognostic value</w:t>
            </w:r>
          </w:p>
        </w:tc>
        <w:tc>
          <w:tcPr>
            <w:tcW w:w="3231" w:type="dxa"/>
          </w:tcPr>
          <w:p w14:paraId="6B976BCE" w14:textId="2C3FEF3B" w:rsidR="008C5DE9" w:rsidRPr="00FE64D5" w:rsidRDefault="008C5DE9" w:rsidP="00FE64D5">
            <w:r w:rsidRPr="00FE64D5">
              <w:t>https://pubmed.ncbi.nlm.nih.gov/36131248/</w:t>
            </w:r>
          </w:p>
        </w:tc>
        <w:tc>
          <w:tcPr>
            <w:tcW w:w="1701" w:type="dxa"/>
          </w:tcPr>
          <w:p w14:paraId="2B0FAE9B" w14:textId="2BC9731E" w:rsidR="008C5DE9" w:rsidRPr="00FE64D5" w:rsidRDefault="008C5DE9" w:rsidP="00FE64D5">
            <w:r w:rsidRPr="00FE64D5">
              <w:t>2022</w:t>
            </w:r>
          </w:p>
        </w:tc>
      </w:tr>
      <w:tr w:rsidR="00236F45" w:rsidRPr="0030566C" w14:paraId="16C9A066" w14:textId="77777777" w:rsidTr="00D1498F">
        <w:trPr>
          <w:cantSplit/>
        </w:trPr>
        <w:tc>
          <w:tcPr>
            <w:tcW w:w="397" w:type="dxa"/>
          </w:tcPr>
          <w:p w14:paraId="6C0F015E" w14:textId="16BC38AB" w:rsidR="00236F45" w:rsidRDefault="00236F45" w:rsidP="00236F45">
            <w:r>
              <w:t>3.</w:t>
            </w:r>
          </w:p>
        </w:tc>
        <w:tc>
          <w:tcPr>
            <w:tcW w:w="1814" w:type="dxa"/>
          </w:tcPr>
          <w:p w14:paraId="16B46F15" w14:textId="680B588B" w:rsidR="00236F45" w:rsidRPr="00FE64D5" w:rsidRDefault="00236F45" w:rsidP="00236F45">
            <w:r w:rsidRPr="00FE64D5">
              <w:t>NGS assay clinical development and validation study</w:t>
            </w:r>
          </w:p>
        </w:tc>
        <w:tc>
          <w:tcPr>
            <w:tcW w:w="3231" w:type="dxa"/>
          </w:tcPr>
          <w:p w14:paraId="23163CE4" w14:textId="458DF95E" w:rsidR="00236F45" w:rsidRPr="00FE64D5" w:rsidRDefault="00236F45" w:rsidP="001023C9">
            <w:r w:rsidRPr="00FE64D5">
              <w:t xml:space="preserve">Clinical and analytical validation of </w:t>
            </w:r>
            <w:proofErr w:type="spellStart"/>
            <w:r w:rsidRPr="00FE64D5">
              <w:t>FoundationOne</w:t>
            </w:r>
            <w:proofErr w:type="spellEnd"/>
            <w:r w:rsidRPr="00FE64D5">
              <w:t xml:space="preserve"> Liquid </w:t>
            </w:r>
            <w:proofErr w:type="spellStart"/>
            <w:r w:rsidRPr="00FE64D5">
              <w:t>CDx</w:t>
            </w:r>
            <w:proofErr w:type="spellEnd"/>
            <w:r w:rsidRPr="00FE64D5">
              <w:t xml:space="preserve">, a novel 324-Gene </w:t>
            </w:r>
            <w:proofErr w:type="spellStart"/>
            <w:r w:rsidRPr="00FE64D5">
              <w:t>c</w:t>
            </w:r>
            <w:r w:rsidR="001023C9">
              <w:t>t</w:t>
            </w:r>
            <w:r w:rsidRPr="00FE64D5">
              <w:t>DNA</w:t>
            </w:r>
            <w:proofErr w:type="spellEnd"/>
            <w:r w:rsidRPr="00FE64D5">
              <w:t xml:space="preserve">-based comprehensive genomic profiling assay for cancers of solid </w:t>
            </w:r>
            <w:r w:rsidR="00F92246" w:rsidRPr="00FE64D5">
              <w:t>tumour</w:t>
            </w:r>
            <w:r w:rsidRPr="00FE64D5">
              <w:t xml:space="preserve"> origin</w:t>
            </w:r>
          </w:p>
        </w:tc>
        <w:tc>
          <w:tcPr>
            <w:tcW w:w="3231" w:type="dxa"/>
          </w:tcPr>
          <w:p w14:paraId="3214FFDE" w14:textId="36D01DD5" w:rsidR="00236F45" w:rsidRPr="00FE64D5" w:rsidRDefault="00236F45" w:rsidP="00236F45">
            <w:r w:rsidRPr="00FE64D5">
              <w:t xml:space="preserve">Describes the development and valuation of the </w:t>
            </w:r>
            <w:proofErr w:type="spellStart"/>
            <w:r w:rsidRPr="00FE64D5">
              <w:t>FoundationOne</w:t>
            </w:r>
            <w:proofErr w:type="spellEnd"/>
            <w:r w:rsidRPr="00FE64D5">
              <w:t xml:space="preserve"> Liquid </w:t>
            </w:r>
            <w:proofErr w:type="spellStart"/>
            <w:r w:rsidRPr="00FE64D5">
              <w:t>CDx</w:t>
            </w:r>
            <w:proofErr w:type="spellEnd"/>
            <w:r w:rsidRPr="00FE64D5">
              <w:t xml:space="preserve"> assay. This assay was used to perform </w:t>
            </w:r>
            <w:proofErr w:type="spellStart"/>
            <w:r w:rsidRPr="00FE64D5">
              <w:t>ctDNA</w:t>
            </w:r>
            <w:proofErr w:type="spellEnd"/>
            <w:r w:rsidRPr="00FE64D5">
              <w:t xml:space="preserve"> testing in the INAVO120 trial.</w:t>
            </w:r>
          </w:p>
          <w:p w14:paraId="272ABC83" w14:textId="56B8B400" w:rsidR="00236F45" w:rsidRDefault="00236F45" w:rsidP="00607DFC">
            <w:r w:rsidRPr="00FE64D5">
              <w:t xml:space="preserve">A clinical bridging study of PIK3CA testing using </w:t>
            </w:r>
            <w:proofErr w:type="spellStart"/>
            <w:r w:rsidRPr="00FE64D5">
              <w:t>FoundationOne</w:t>
            </w:r>
            <w:proofErr w:type="spellEnd"/>
            <w:r w:rsidRPr="00FE64D5">
              <w:t xml:space="preserve"> </w:t>
            </w:r>
            <w:proofErr w:type="spellStart"/>
            <w:r w:rsidRPr="00FE64D5">
              <w:t>CDx</w:t>
            </w:r>
            <w:proofErr w:type="spellEnd"/>
            <w:r w:rsidRPr="00FE64D5">
              <w:t xml:space="preserve"> and the tumour tissue PCR assay used in the SO</w:t>
            </w:r>
            <w:r w:rsidR="008130D8">
              <w:t>L</w:t>
            </w:r>
            <w:r w:rsidRPr="00FE64D5">
              <w:t>AR-1 trial (</w:t>
            </w:r>
            <w:proofErr w:type="spellStart"/>
            <w:r w:rsidRPr="00FE64D5">
              <w:t>alpelisib</w:t>
            </w:r>
            <w:proofErr w:type="spellEnd"/>
            <w:r w:rsidRPr="00FE64D5">
              <w:t xml:space="preserve">). </w:t>
            </w:r>
            <w:r w:rsidR="008130D8">
              <w:t>A</w:t>
            </w:r>
            <w:r w:rsidR="002F517E">
              <w:t xml:space="preserve">cross </w:t>
            </w:r>
            <w:r w:rsidRPr="00FE64D5">
              <w:t>375 samples analysed a PPA of 72% and NPA of 100% for the detection of PIK3CA mutations was reported</w:t>
            </w:r>
          </w:p>
        </w:tc>
        <w:tc>
          <w:tcPr>
            <w:tcW w:w="3231" w:type="dxa"/>
          </w:tcPr>
          <w:p w14:paraId="2D8EC495" w14:textId="665E923A" w:rsidR="00236F45" w:rsidRPr="00FE64D5" w:rsidRDefault="00236F45" w:rsidP="00236F45">
            <w:r w:rsidRPr="00FE64D5">
              <w:t>https://pubmed.ncbi.nlm.nih.gov/32976510/</w:t>
            </w:r>
          </w:p>
        </w:tc>
        <w:tc>
          <w:tcPr>
            <w:tcW w:w="1701" w:type="dxa"/>
          </w:tcPr>
          <w:p w14:paraId="59185D8C" w14:textId="77777777" w:rsidR="00236F45" w:rsidRPr="00FE64D5" w:rsidRDefault="00236F45" w:rsidP="00236F45"/>
        </w:tc>
      </w:tr>
      <w:tr w:rsidR="009A3006" w:rsidRPr="0030566C" w14:paraId="51DDDAD3" w14:textId="77777777" w:rsidTr="00D1498F">
        <w:trPr>
          <w:cantSplit/>
        </w:trPr>
        <w:tc>
          <w:tcPr>
            <w:tcW w:w="397" w:type="dxa"/>
          </w:tcPr>
          <w:p w14:paraId="531C52AD" w14:textId="42A3DA2C" w:rsidR="0037632E" w:rsidRDefault="00236F45" w:rsidP="00FD5044">
            <w:r>
              <w:lastRenderedPageBreak/>
              <w:t>4</w:t>
            </w:r>
            <w:r w:rsidR="0037632E">
              <w:t>.</w:t>
            </w:r>
          </w:p>
        </w:tc>
        <w:tc>
          <w:tcPr>
            <w:tcW w:w="1814" w:type="dxa"/>
          </w:tcPr>
          <w:p w14:paraId="009C8826" w14:textId="47E94E28" w:rsidR="0037632E" w:rsidRPr="00FE64D5" w:rsidRDefault="0037632E" w:rsidP="00FE64D5">
            <w:r w:rsidRPr="00FE64D5">
              <w:t>Review</w:t>
            </w:r>
          </w:p>
        </w:tc>
        <w:tc>
          <w:tcPr>
            <w:tcW w:w="3231" w:type="dxa"/>
          </w:tcPr>
          <w:p w14:paraId="101FD05B" w14:textId="02E3F7D4" w:rsidR="0037632E" w:rsidRPr="00FE64D5" w:rsidRDefault="00353F24" w:rsidP="00FE64D5">
            <w:r w:rsidRPr="00FE64D5">
              <w:t xml:space="preserve">A </w:t>
            </w:r>
            <w:r w:rsidR="00AA4745">
              <w:t>s</w:t>
            </w:r>
            <w:r w:rsidRPr="00FE64D5">
              <w:t xml:space="preserve">ystematic </w:t>
            </w:r>
            <w:r w:rsidR="00AA4745">
              <w:t>r</w:t>
            </w:r>
            <w:r w:rsidRPr="00FE64D5">
              <w:t xml:space="preserve">eview of the </w:t>
            </w:r>
            <w:r w:rsidR="00AA4745">
              <w:t>p</w:t>
            </w:r>
            <w:r w:rsidRPr="00FE64D5">
              <w:t xml:space="preserve">revalence and </w:t>
            </w:r>
            <w:r w:rsidR="00AA4745">
              <w:t>d</w:t>
            </w:r>
            <w:r w:rsidRPr="00FE64D5">
              <w:t xml:space="preserve">iagnostic </w:t>
            </w:r>
            <w:r w:rsidR="00AA4745">
              <w:t>w</w:t>
            </w:r>
            <w:r w:rsidRPr="00FE64D5">
              <w:t>ork</w:t>
            </w:r>
            <w:r w:rsidR="00AA4745">
              <w:t xml:space="preserve"> </w:t>
            </w:r>
            <w:r w:rsidRPr="00FE64D5">
              <w:t xml:space="preserve">up of PIK3CA </w:t>
            </w:r>
            <w:r w:rsidR="00AA4745">
              <w:t>m</w:t>
            </w:r>
            <w:r w:rsidRPr="00FE64D5">
              <w:t xml:space="preserve">utations in HR+/HER2– </w:t>
            </w:r>
            <w:r w:rsidR="00AA4745">
              <w:t>m</w:t>
            </w:r>
            <w:r w:rsidRPr="00FE64D5">
              <w:t xml:space="preserve">etastatic </w:t>
            </w:r>
            <w:r w:rsidR="00AA4745">
              <w:t>b</w:t>
            </w:r>
            <w:r w:rsidRPr="00FE64D5">
              <w:t xml:space="preserve">reast </w:t>
            </w:r>
            <w:r w:rsidR="00AA4745">
              <w:t>c</w:t>
            </w:r>
            <w:r w:rsidRPr="00FE64D5">
              <w:t>ancer</w:t>
            </w:r>
          </w:p>
        </w:tc>
        <w:tc>
          <w:tcPr>
            <w:tcW w:w="3231" w:type="dxa"/>
          </w:tcPr>
          <w:p w14:paraId="2F88EF87" w14:textId="00C1958A" w:rsidR="0037632E" w:rsidRPr="00FE64D5" w:rsidRDefault="0037632E" w:rsidP="00FE64D5">
            <w:r w:rsidRPr="00FE64D5">
              <w:t xml:space="preserve">Evidence from 39 studies </w:t>
            </w:r>
            <w:r w:rsidR="009F7F22" w:rsidRPr="00FE64D5">
              <w:t xml:space="preserve">was synthesised to </w:t>
            </w:r>
            <w:r w:rsidR="001E71CC" w:rsidRPr="00FE64D5">
              <w:t>estimate</w:t>
            </w:r>
            <w:r w:rsidR="009F7F22" w:rsidRPr="00FE64D5">
              <w:t xml:space="preserve"> the </w:t>
            </w:r>
            <w:r w:rsidR="007C6E8B" w:rsidRPr="00FE64D5">
              <w:t>prevalence of PIK3CA mutations (median 36%: IQR</w:t>
            </w:r>
            <w:r w:rsidR="00C146A7" w:rsidRPr="00FE64D5">
              <w:t xml:space="preserve"> 31%, 46%). </w:t>
            </w:r>
            <w:r w:rsidR="00F24A34" w:rsidRPr="00FE64D5">
              <w:t xml:space="preserve">Concordance </w:t>
            </w:r>
            <w:r w:rsidR="00794C4C" w:rsidRPr="00FE64D5">
              <w:t>of PIK3CA testing between</w:t>
            </w:r>
            <w:r w:rsidR="00F24A34" w:rsidRPr="00FE64D5">
              <w:t xml:space="preserve"> </w:t>
            </w:r>
            <w:proofErr w:type="spellStart"/>
            <w:r w:rsidR="00F24A34" w:rsidRPr="00FE64D5">
              <w:t>ctDNA</w:t>
            </w:r>
            <w:proofErr w:type="spellEnd"/>
            <w:r w:rsidR="00F24A34" w:rsidRPr="00FE64D5">
              <w:t xml:space="preserve"> and t</w:t>
            </w:r>
            <w:r w:rsidR="0043615E" w:rsidRPr="00FE64D5">
              <w:t>um</w:t>
            </w:r>
            <w:r w:rsidR="00F24A34" w:rsidRPr="00FE64D5">
              <w:t>our tissue</w:t>
            </w:r>
            <w:r w:rsidR="00DA146D">
              <w:t xml:space="preserve"> </w:t>
            </w:r>
            <w:r w:rsidR="00794C4C" w:rsidRPr="00FE64D5">
              <w:t>was reported in 6 studies. Conco</w:t>
            </w:r>
            <w:r w:rsidR="0043615E" w:rsidRPr="00FE64D5">
              <w:t>rdance ranged from 70% to 94%</w:t>
            </w:r>
          </w:p>
        </w:tc>
        <w:tc>
          <w:tcPr>
            <w:tcW w:w="3231" w:type="dxa"/>
          </w:tcPr>
          <w:p w14:paraId="3359E36D" w14:textId="1B040426" w:rsidR="0037632E" w:rsidRPr="00FE64D5" w:rsidRDefault="00FE64D5" w:rsidP="00FE64D5">
            <w:r w:rsidRPr="00FE64D5">
              <w:t>https://pubmed.ncbi.nlm.nih.gov/32637176/</w:t>
            </w:r>
          </w:p>
        </w:tc>
        <w:tc>
          <w:tcPr>
            <w:tcW w:w="1701" w:type="dxa"/>
          </w:tcPr>
          <w:p w14:paraId="1A769279" w14:textId="387EAAE7" w:rsidR="0037632E" w:rsidRPr="00FE64D5" w:rsidRDefault="0037632E" w:rsidP="00FE64D5">
            <w:r w:rsidRPr="00FE64D5">
              <w:t>2020</w:t>
            </w:r>
          </w:p>
        </w:tc>
      </w:tr>
    </w:tbl>
    <w:p w14:paraId="5DA36937" w14:textId="0971FFC5" w:rsidR="00267D7C" w:rsidRDefault="00AA4745" w:rsidP="00077C3F">
      <w:r w:rsidRPr="001E2886">
        <w:rPr>
          <w:i/>
          <w:iCs/>
          <w:color w:val="000000" w:themeColor="text1"/>
          <w:sz w:val="20"/>
          <w:szCs w:val="20"/>
        </w:rPr>
        <w:t xml:space="preserve">Abbreviations: </w:t>
      </w:r>
      <w:r w:rsidR="009911C5" w:rsidRPr="001E2886">
        <w:rPr>
          <w:i/>
          <w:iCs/>
          <w:color w:val="000000" w:themeColor="text1"/>
          <w:sz w:val="20"/>
          <w:szCs w:val="20"/>
        </w:rPr>
        <w:t xml:space="preserve">HR+=hormone receptor positive; </w:t>
      </w:r>
      <w:r w:rsidR="00C5536E" w:rsidRPr="001E2886">
        <w:rPr>
          <w:i/>
          <w:iCs/>
          <w:color w:val="000000" w:themeColor="text1"/>
          <w:sz w:val="20"/>
          <w:szCs w:val="20"/>
        </w:rPr>
        <w:t xml:space="preserve">HER2-= human epidermal growth factor receptor 2 negative; </w:t>
      </w:r>
      <w:proofErr w:type="spellStart"/>
      <w:r w:rsidR="009911C5" w:rsidRPr="001E2886">
        <w:rPr>
          <w:i/>
          <w:iCs/>
          <w:color w:val="000000" w:themeColor="text1"/>
          <w:sz w:val="20"/>
          <w:szCs w:val="20"/>
        </w:rPr>
        <w:t>ctDNA</w:t>
      </w:r>
      <w:proofErr w:type="spellEnd"/>
      <w:r w:rsidR="009911C5" w:rsidRPr="001E2886">
        <w:rPr>
          <w:i/>
          <w:iCs/>
          <w:color w:val="000000" w:themeColor="text1"/>
          <w:sz w:val="20"/>
          <w:szCs w:val="20"/>
        </w:rPr>
        <w:t xml:space="preserve">=circulating tumour DNA; </w:t>
      </w:r>
      <w:r w:rsidRPr="001E2886">
        <w:rPr>
          <w:i/>
          <w:iCs/>
          <w:color w:val="000000" w:themeColor="text1"/>
          <w:sz w:val="20"/>
          <w:szCs w:val="20"/>
        </w:rPr>
        <w:t>PFS=progression free survival; OS=overall survival; PPA=positive percent agreement; NPA=negative percent agreement</w:t>
      </w:r>
      <w:r w:rsidR="00607DFC" w:rsidRPr="001E2886">
        <w:rPr>
          <w:i/>
          <w:iCs/>
          <w:color w:val="000000" w:themeColor="text1"/>
          <w:sz w:val="20"/>
          <w:szCs w:val="20"/>
        </w:rPr>
        <w:t>; IQR=interquartile range</w:t>
      </w:r>
      <w:r w:rsidRPr="001E2886">
        <w:rPr>
          <w:i/>
          <w:iCs/>
          <w:color w:val="000000" w:themeColor="text1"/>
          <w:sz w:val="20"/>
          <w:szCs w:val="20"/>
        </w:rPr>
        <w:t xml:space="preserve"> </w:t>
      </w:r>
      <w:r w:rsidR="00BF4BAA" w:rsidRPr="001E2886">
        <w:rPr>
          <w:i/>
          <w:iCs/>
          <w:color w:val="000000" w:themeColor="text1"/>
          <w:sz w:val="20"/>
          <w:szCs w:val="20"/>
        </w:rPr>
        <w:t xml:space="preserve"> </w:t>
      </w:r>
      <w:bookmarkEnd w:id="6"/>
    </w:p>
    <w:sectPr w:rsidR="00267D7C" w:rsidSect="00CB3DC6">
      <w:pgSz w:w="16838" w:h="11906" w:orient="landscape"/>
      <w:pgMar w:top="1440" w:right="1440" w:bottom="991" w:left="1135"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685E0" w14:textId="77777777" w:rsidR="00B65B77" w:rsidRDefault="00B65B77" w:rsidP="00BC0C43">
      <w:r>
        <w:separator/>
      </w:r>
    </w:p>
  </w:endnote>
  <w:endnote w:type="continuationSeparator" w:id="0">
    <w:p w14:paraId="5B5DF72E" w14:textId="77777777" w:rsidR="00B65B77" w:rsidRDefault="00B65B77" w:rsidP="00BC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88514"/>
      <w:docPartObj>
        <w:docPartGallery w:val="Page Numbers (Bottom of Page)"/>
        <w:docPartUnique/>
      </w:docPartObj>
    </w:sdtPr>
    <w:sdtEndPr/>
    <w:sdtContent>
      <w:p w14:paraId="1D946C7C" w14:textId="6323E60D" w:rsidR="00B65B77" w:rsidRDefault="00B65B77" w:rsidP="002B3774">
        <w:pPr>
          <w:pStyle w:val="Footer"/>
          <w:jc w:val="right"/>
        </w:pPr>
        <w:r w:rsidRPr="00582377">
          <w:rPr>
            <w:sz w:val="21"/>
            <w:szCs w:val="21"/>
          </w:rPr>
          <w:fldChar w:fldCharType="begin"/>
        </w:r>
        <w:r w:rsidRPr="00582377">
          <w:rPr>
            <w:sz w:val="21"/>
            <w:szCs w:val="21"/>
          </w:rPr>
          <w:instrText xml:space="preserve"> PAGE  \* Arabic  \* MERGEFORMAT </w:instrText>
        </w:r>
        <w:r w:rsidRPr="00582377">
          <w:rPr>
            <w:sz w:val="21"/>
            <w:szCs w:val="21"/>
          </w:rPr>
          <w:fldChar w:fldCharType="separate"/>
        </w:r>
        <w:r w:rsidR="00F37725">
          <w:rPr>
            <w:noProof/>
            <w:sz w:val="21"/>
            <w:szCs w:val="21"/>
          </w:rPr>
          <w:t>15</w:t>
        </w:r>
        <w:r w:rsidRPr="00582377">
          <w:rPr>
            <w:sz w:val="21"/>
            <w:szCs w:val="21"/>
          </w:rPr>
          <w:fldChar w:fldCharType="end"/>
        </w:r>
      </w:p>
    </w:sdtContent>
  </w:sdt>
  <w:p w14:paraId="355A1DA5" w14:textId="77777777" w:rsidR="00B65B77" w:rsidRDefault="00B65B77" w:rsidP="00BC0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1C5B4" w14:textId="77777777" w:rsidR="00B65B77" w:rsidRDefault="00B65B77" w:rsidP="00BC0C43">
      <w:r>
        <w:separator/>
      </w:r>
    </w:p>
  </w:footnote>
  <w:footnote w:type="continuationSeparator" w:id="0">
    <w:p w14:paraId="1B2B2BD6" w14:textId="77777777" w:rsidR="00B65B77" w:rsidRDefault="00B65B77" w:rsidP="00BC0C43">
      <w:r>
        <w:continuationSeparator/>
      </w:r>
    </w:p>
  </w:footnote>
  <w:footnote w:id="1">
    <w:p w14:paraId="558F3A74" w14:textId="3678B560" w:rsidR="00B65B77" w:rsidRDefault="00B65B77">
      <w:pPr>
        <w:pStyle w:val="FootnoteText"/>
      </w:pPr>
      <w:r>
        <w:rPr>
          <w:rStyle w:val="FootnoteReference"/>
        </w:rPr>
        <w:footnoteRef/>
      </w:r>
      <w:r>
        <w:t xml:space="preserve"> </w:t>
      </w:r>
      <w:r w:rsidRPr="00B43083">
        <w:t>https://www.clinicallabs.com.au/cancer-services/breast-cancer/</w:t>
      </w:r>
    </w:p>
  </w:footnote>
  <w:footnote w:id="2">
    <w:p w14:paraId="056A18CD" w14:textId="424F3493" w:rsidR="00B65B77" w:rsidRDefault="00B65B77">
      <w:pPr>
        <w:pStyle w:val="FootnoteText"/>
      </w:pPr>
      <w:r>
        <w:rPr>
          <w:rStyle w:val="FootnoteReference"/>
        </w:rPr>
        <w:footnoteRef/>
      </w:r>
      <w:r>
        <w:t xml:space="preserve"> </w:t>
      </w:r>
      <w:r w:rsidRPr="000214FE">
        <w:t>https://www.petermac.org/health-professionals/services-for-health-professionals/pathology-health-professionals/molecular-pathology/somatic-testing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5C5B" w14:textId="0E3F1EEC" w:rsidR="00B65B77" w:rsidRPr="00DB545A" w:rsidRDefault="00896761" w:rsidP="00BC0C43">
    <w:pPr>
      <w:pStyle w:val="Header"/>
      <w:rPr>
        <w:sz w:val="18"/>
        <w:szCs w:val="18"/>
      </w:rPr>
    </w:pPr>
    <w:r w:rsidRPr="00DB545A">
      <w:rPr>
        <w:sz w:val="18"/>
        <w:szCs w:val="18"/>
      </w:rPr>
      <w:t xml:space="preserve">MSAC 1783 - </w:t>
    </w:r>
    <w:r w:rsidR="002B05AD" w:rsidRPr="00DB545A">
      <w:rPr>
        <w:sz w:val="18"/>
        <w:szCs w:val="18"/>
      </w:rPr>
      <w:t>Genetic testing to detect PIK3CA mutations in patients with hormone receptor (HR)-positive, HER-2 negative, locally advanced or metastatic breast cancer, to determine eligibility for</w:t>
    </w:r>
    <w:r w:rsidR="001F5E64">
      <w:rPr>
        <w:sz w:val="18"/>
        <w:szCs w:val="18"/>
      </w:rPr>
      <w:t xml:space="preserve"> treatment with</w:t>
    </w:r>
    <w:r w:rsidR="002B05AD" w:rsidRPr="00DB545A">
      <w:rPr>
        <w:sz w:val="18"/>
        <w:szCs w:val="18"/>
      </w:rPr>
      <w:t xml:space="preserve"> PBS subsidised </w:t>
    </w:r>
    <w:proofErr w:type="spellStart"/>
    <w:r w:rsidR="002B05AD" w:rsidRPr="00DB545A">
      <w:rPr>
        <w:sz w:val="18"/>
        <w:szCs w:val="18"/>
      </w:rPr>
      <w:t>inavolisib</w:t>
    </w:r>
    <w:proofErr w:type="spellEnd"/>
    <w:r w:rsidR="00B65B77" w:rsidRPr="00DB545A">
      <w:rPr>
        <w:sz w:val="18"/>
        <w:szCs w:val="18"/>
      </w:rPr>
      <w:t xml:space="preserve"> </w:t>
    </w:r>
  </w:p>
  <w:p w14:paraId="6451851C" w14:textId="3CB073A8" w:rsidR="00B65B77" w:rsidRDefault="00B65B77" w:rsidP="00BC0C43">
    <w:pPr>
      <w:pStyle w:val="Header"/>
    </w:pPr>
    <w:r>
      <w:rPr>
        <w:noProof/>
        <w:lang w:val="en-US"/>
      </w:rPr>
      <mc:AlternateContent>
        <mc:Choice Requires="wps">
          <w:drawing>
            <wp:anchor distT="0" distB="0" distL="114300" distR="114300" simplePos="0" relativeHeight="251657216" behindDoc="0" locked="0" layoutInCell="1" allowOverlap="1" wp14:anchorId="39B179C6" wp14:editId="3ACB0D94">
              <wp:simplePos x="0" y="0"/>
              <wp:positionH relativeFrom="column">
                <wp:posOffset>-142875</wp:posOffset>
              </wp:positionH>
              <wp:positionV relativeFrom="paragraph">
                <wp:posOffset>117475</wp:posOffset>
              </wp:positionV>
              <wp:extent cx="58959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9473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" strokecolor="#cfcdcd [289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803"/>
    <w:multiLevelType w:val="hybridMultilevel"/>
    <w:tmpl w:val="363A9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0B47E8"/>
    <w:multiLevelType w:val="hybridMultilevel"/>
    <w:tmpl w:val="D0665596"/>
    <w:lvl w:ilvl="0" w:tplc="89D67C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0B0191"/>
    <w:multiLevelType w:val="hybridMultilevel"/>
    <w:tmpl w:val="910AA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EE5C9E"/>
    <w:multiLevelType w:val="hybridMultilevel"/>
    <w:tmpl w:val="A58689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576EF"/>
    <w:multiLevelType w:val="hybridMultilevel"/>
    <w:tmpl w:val="4830E6EE"/>
    <w:lvl w:ilvl="0" w:tplc="28FA5A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4242AB"/>
    <w:multiLevelType w:val="hybridMultilevel"/>
    <w:tmpl w:val="B86ECFB2"/>
    <w:lvl w:ilvl="0" w:tplc="0C090001">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6" w15:restartNumberingAfterBreak="0">
    <w:nsid w:val="42C12729"/>
    <w:multiLevelType w:val="hybridMultilevel"/>
    <w:tmpl w:val="EE725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2B6F70"/>
    <w:multiLevelType w:val="hybridMultilevel"/>
    <w:tmpl w:val="E0689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4B25C7"/>
    <w:multiLevelType w:val="hybridMultilevel"/>
    <w:tmpl w:val="EF263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6693510">
    <w:abstractNumId w:val="3"/>
  </w:num>
  <w:num w:numId="2" w16cid:durableId="437333231">
    <w:abstractNumId w:val="6"/>
  </w:num>
  <w:num w:numId="3" w16cid:durableId="1437562018">
    <w:abstractNumId w:val="0"/>
  </w:num>
  <w:num w:numId="4" w16cid:durableId="189343592">
    <w:abstractNumId w:val="5"/>
  </w:num>
  <w:num w:numId="5" w16cid:durableId="1847866140">
    <w:abstractNumId w:val="8"/>
  </w:num>
  <w:num w:numId="6" w16cid:durableId="1725331483">
    <w:abstractNumId w:val="2"/>
  </w:num>
  <w:num w:numId="7" w16cid:durableId="438914601">
    <w:abstractNumId w:val="7"/>
  </w:num>
  <w:num w:numId="8" w16cid:durableId="1533149981">
    <w:abstractNumId w:val="1"/>
  </w:num>
  <w:num w:numId="9" w16cid:durableId="188688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 TG Edit&lt;/Style&gt;&lt;LeftDelim&gt;{&lt;/LeftDelim&gt;&lt;RightDelim&gt;}&lt;/RightDelim&gt;&lt;FontName&gt;Segoe U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vspvpphdrt93e9asepdx5etr9rf5rptvp0&quot;&gt;HTAccess EndNote Library June 2023&lt;record-ids&gt;&lt;item&gt;2388&lt;/item&gt;&lt;item&gt;2389&lt;/item&gt;&lt;item&gt;2390&lt;/item&gt;&lt;/record-ids&gt;&lt;/item&gt;&lt;/Libraries&gt;"/>
  </w:docVars>
  <w:rsids>
    <w:rsidRoot w:val="00BE6B22"/>
    <w:rsid w:val="00007229"/>
    <w:rsid w:val="00010AAA"/>
    <w:rsid w:val="00016583"/>
    <w:rsid w:val="000214FE"/>
    <w:rsid w:val="000215A6"/>
    <w:rsid w:val="00022685"/>
    <w:rsid w:val="00023845"/>
    <w:rsid w:val="000247BF"/>
    <w:rsid w:val="00025969"/>
    <w:rsid w:val="0003248A"/>
    <w:rsid w:val="00034D3A"/>
    <w:rsid w:val="000351DD"/>
    <w:rsid w:val="000421BC"/>
    <w:rsid w:val="00042A6D"/>
    <w:rsid w:val="00051843"/>
    <w:rsid w:val="00053565"/>
    <w:rsid w:val="00055098"/>
    <w:rsid w:val="0005524B"/>
    <w:rsid w:val="00060FF9"/>
    <w:rsid w:val="00061233"/>
    <w:rsid w:val="000627EF"/>
    <w:rsid w:val="0006721E"/>
    <w:rsid w:val="00074FCE"/>
    <w:rsid w:val="00077C3F"/>
    <w:rsid w:val="00081FDE"/>
    <w:rsid w:val="00085ECF"/>
    <w:rsid w:val="0009097A"/>
    <w:rsid w:val="000934AF"/>
    <w:rsid w:val="00096C1D"/>
    <w:rsid w:val="000A031F"/>
    <w:rsid w:val="000A595A"/>
    <w:rsid w:val="000A6DA7"/>
    <w:rsid w:val="000B14E5"/>
    <w:rsid w:val="000B2487"/>
    <w:rsid w:val="000C3C3F"/>
    <w:rsid w:val="000C43E5"/>
    <w:rsid w:val="000D4542"/>
    <w:rsid w:val="000D4ECD"/>
    <w:rsid w:val="000E60D8"/>
    <w:rsid w:val="000E7B22"/>
    <w:rsid w:val="000F0561"/>
    <w:rsid w:val="000F608D"/>
    <w:rsid w:val="001023C9"/>
    <w:rsid w:val="00105366"/>
    <w:rsid w:val="001103E9"/>
    <w:rsid w:val="00116B08"/>
    <w:rsid w:val="00117D1C"/>
    <w:rsid w:val="0012043E"/>
    <w:rsid w:val="00121472"/>
    <w:rsid w:val="00130593"/>
    <w:rsid w:val="001322F7"/>
    <w:rsid w:val="001333A6"/>
    <w:rsid w:val="00136F71"/>
    <w:rsid w:val="001376B3"/>
    <w:rsid w:val="001425F7"/>
    <w:rsid w:val="001444BD"/>
    <w:rsid w:val="00145575"/>
    <w:rsid w:val="00147866"/>
    <w:rsid w:val="0016065A"/>
    <w:rsid w:val="00160F9D"/>
    <w:rsid w:val="00176622"/>
    <w:rsid w:val="001776B6"/>
    <w:rsid w:val="00180DEB"/>
    <w:rsid w:val="00180E59"/>
    <w:rsid w:val="0018595E"/>
    <w:rsid w:val="00193A43"/>
    <w:rsid w:val="00195A96"/>
    <w:rsid w:val="00197295"/>
    <w:rsid w:val="00197915"/>
    <w:rsid w:val="001A235C"/>
    <w:rsid w:val="001A303F"/>
    <w:rsid w:val="001A30BB"/>
    <w:rsid w:val="001A390C"/>
    <w:rsid w:val="001A445F"/>
    <w:rsid w:val="001A7E1D"/>
    <w:rsid w:val="001B26FD"/>
    <w:rsid w:val="001B421F"/>
    <w:rsid w:val="001B6C3A"/>
    <w:rsid w:val="001C15F3"/>
    <w:rsid w:val="001C734C"/>
    <w:rsid w:val="001C76D3"/>
    <w:rsid w:val="001C7F94"/>
    <w:rsid w:val="001D2E6C"/>
    <w:rsid w:val="001D30A5"/>
    <w:rsid w:val="001D628E"/>
    <w:rsid w:val="001E2886"/>
    <w:rsid w:val="001E2F8A"/>
    <w:rsid w:val="001E50AD"/>
    <w:rsid w:val="001E71CC"/>
    <w:rsid w:val="001F0B7A"/>
    <w:rsid w:val="001F127A"/>
    <w:rsid w:val="001F553E"/>
    <w:rsid w:val="001F5E64"/>
    <w:rsid w:val="001F7BF0"/>
    <w:rsid w:val="00205525"/>
    <w:rsid w:val="00215A07"/>
    <w:rsid w:val="00215E14"/>
    <w:rsid w:val="0022136D"/>
    <w:rsid w:val="00221D07"/>
    <w:rsid w:val="00223206"/>
    <w:rsid w:val="002243C2"/>
    <w:rsid w:val="0023133A"/>
    <w:rsid w:val="00231B7E"/>
    <w:rsid w:val="002324AE"/>
    <w:rsid w:val="0023440E"/>
    <w:rsid w:val="00234C83"/>
    <w:rsid w:val="00236F45"/>
    <w:rsid w:val="00240035"/>
    <w:rsid w:val="00246E56"/>
    <w:rsid w:val="00252057"/>
    <w:rsid w:val="00267D7C"/>
    <w:rsid w:val="00270B50"/>
    <w:rsid w:val="0027241B"/>
    <w:rsid w:val="00280050"/>
    <w:rsid w:val="00284445"/>
    <w:rsid w:val="00285B0B"/>
    <w:rsid w:val="00292C57"/>
    <w:rsid w:val="002A232E"/>
    <w:rsid w:val="002A4AE5"/>
    <w:rsid w:val="002A4F73"/>
    <w:rsid w:val="002B05AD"/>
    <w:rsid w:val="002B1E6F"/>
    <w:rsid w:val="002B2CE0"/>
    <w:rsid w:val="002B3774"/>
    <w:rsid w:val="002B7B2B"/>
    <w:rsid w:val="002B7F62"/>
    <w:rsid w:val="002C5853"/>
    <w:rsid w:val="002C6DFE"/>
    <w:rsid w:val="002D289F"/>
    <w:rsid w:val="002D3CC9"/>
    <w:rsid w:val="002D5D8D"/>
    <w:rsid w:val="002D7216"/>
    <w:rsid w:val="002D7EC9"/>
    <w:rsid w:val="002E357C"/>
    <w:rsid w:val="002E6501"/>
    <w:rsid w:val="002F1E84"/>
    <w:rsid w:val="002F517E"/>
    <w:rsid w:val="00304ADF"/>
    <w:rsid w:val="0030566C"/>
    <w:rsid w:val="00305DD6"/>
    <w:rsid w:val="003106F5"/>
    <w:rsid w:val="00314DE1"/>
    <w:rsid w:val="00325E35"/>
    <w:rsid w:val="0032675C"/>
    <w:rsid w:val="003475AF"/>
    <w:rsid w:val="00353F24"/>
    <w:rsid w:val="00361BBE"/>
    <w:rsid w:val="0036218A"/>
    <w:rsid w:val="003625DA"/>
    <w:rsid w:val="00363A81"/>
    <w:rsid w:val="00364572"/>
    <w:rsid w:val="00364660"/>
    <w:rsid w:val="003710F5"/>
    <w:rsid w:val="00375DA1"/>
    <w:rsid w:val="0037632E"/>
    <w:rsid w:val="00377DB3"/>
    <w:rsid w:val="00380C41"/>
    <w:rsid w:val="00381EEC"/>
    <w:rsid w:val="00382F92"/>
    <w:rsid w:val="00386776"/>
    <w:rsid w:val="003870A2"/>
    <w:rsid w:val="003870C8"/>
    <w:rsid w:val="00387865"/>
    <w:rsid w:val="003925C1"/>
    <w:rsid w:val="00393649"/>
    <w:rsid w:val="003A16D1"/>
    <w:rsid w:val="003A6AC0"/>
    <w:rsid w:val="003B309D"/>
    <w:rsid w:val="003B5315"/>
    <w:rsid w:val="003B5CCD"/>
    <w:rsid w:val="003B7CA6"/>
    <w:rsid w:val="003C0073"/>
    <w:rsid w:val="003C2446"/>
    <w:rsid w:val="003C245B"/>
    <w:rsid w:val="003E1208"/>
    <w:rsid w:val="003E3909"/>
    <w:rsid w:val="003E6A26"/>
    <w:rsid w:val="003F07B8"/>
    <w:rsid w:val="003F0AF7"/>
    <w:rsid w:val="003F1CAB"/>
    <w:rsid w:val="003F284A"/>
    <w:rsid w:val="003F39D1"/>
    <w:rsid w:val="003F5070"/>
    <w:rsid w:val="003F588F"/>
    <w:rsid w:val="003F5C74"/>
    <w:rsid w:val="003F6749"/>
    <w:rsid w:val="003F7EBF"/>
    <w:rsid w:val="004002FE"/>
    <w:rsid w:val="00402FD2"/>
    <w:rsid w:val="0041114C"/>
    <w:rsid w:val="00415641"/>
    <w:rsid w:val="004209FC"/>
    <w:rsid w:val="0042180F"/>
    <w:rsid w:val="00421D38"/>
    <w:rsid w:val="00424B43"/>
    <w:rsid w:val="004256DC"/>
    <w:rsid w:val="00435A3A"/>
    <w:rsid w:val="00435EDD"/>
    <w:rsid w:val="0043615E"/>
    <w:rsid w:val="0044113A"/>
    <w:rsid w:val="00442402"/>
    <w:rsid w:val="00443918"/>
    <w:rsid w:val="00452657"/>
    <w:rsid w:val="00452A33"/>
    <w:rsid w:val="0045397E"/>
    <w:rsid w:val="00454D62"/>
    <w:rsid w:val="00465FF5"/>
    <w:rsid w:val="00467A2E"/>
    <w:rsid w:val="00481659"/>
    <w:rsid w:val="00482120"/>
    <w:rsid w:val="00487800"/>
    <w:rsid w:val="00495592"/>
    <w:rsid w:val="00496F3B"/>
    <w:rsid w:val="004A4161"/>
    <w:rsid w:val="004A45BE"/>
    <w:rsid w:val="004A4EBF"/>
    <w:rsid w:val="004A7308"/>
    <w:rsid w:val="004B41EC"/>
    <w:rsid w:val="004B4AD0"/>
    <w:rsid w:val="004C02B7"/>
    <w:rsid w:val="004C1B46"/>
    <w:rsid w:val="004C7646"/>
    <w:rsid w:val="004D682E"/>
    <w:rsid w:val="004D71BE"/>
    <w:rsid w:val="004D764C"/>
    <w:rsid w:val="004E0D2B"/>
    <w:rsid w:val="004E2CF1"/>
    <w:rsid w:val="004F0EC8"/>
    <w:rsid w:val="004F2D15"/>
    <w:rsid w:val="00501C0C"/>
    <w:rsid w:val="00501DED"/>
    <w:rsid w:val="00511440"/>
    <w:rsid w:val="00511A7C"/>
    <w:rsid w:val="00513448"/>
    <w:rsid w:val="00513E53"/>
    <w:rsid w:val="00516651"/>
    <w:rsid w:val="0052274F"/>
    <w:rsid w:val="005237BD"/>
    <w:rsid w:val="00523B1B"/>
    <w:rsid w:val="00525824"/>
    <w:rsid w:val="00540D27"/>
    <w:rsid w:val="00540D58"/>
    <w:rsid w:val="00545A4C"/>
    <w:rsid w:val="00546C69"/>
    <w:rsid w:val="00547A66"/>
    <w:rsid w:val="00550BD8"/>
    <w:rsid w:val="00553393"/>
    <w:rsid w:val="005579EA"/>
    <w:rsid w:val="005603E4"/>
    <w:rsid w:val="0056049D"/>
    <w:rsid w:val="00560EC0"/>
    <w:rsid w:val="005623BF"/>
    <w:rsid w:val="00563CA4"/>
    <w:rsid w:val="00564B32"/>
    <w:rsid w:val="00565CB2"/>
    <w:rsid w:val="00566CF9"/>
    <w:rsid w:val="00570DC7"/>
    <w:rsid w:val="00572CA8"/>
    <w:rsid w:val="00573C6F"/>
    <w:rsid w:val="00575270"/>
    <w:rsid w:val="00577E23"/>
    <w:rsid w:val="00580F71"/>
    <w:rsid w:val="00581484"/>
    <w:rsid w:val="0058150F"/>
    <w:rsid w:val="00581BD0"/>
    <w:rsid w:val="00582377"/>
    <w:rsid w:val="005837E9"/>
    <w:rsid w:val="005842D9"/>
    <w:rsid w:val="0059034D"/>
    <w:rsid w:val="0059147A"/>
    <w:rsid w:val="00594033"/>
    <w:rsid w:val="005942C5"/>
    <w:rsid w:val="00597CB6"/>
    <w:rsid w:val="005A1461"/>
    <w:rsid w:val="005A3D78"/>
    <w:rsid w:val="005A498E"/>
    <w:rsid w:val="005A6248"/>
    <w:rsid w:val="005A7A75"/>
    <w:rsid w:val="005B309A"/>
    <w:rsid w:val="005B5A58"/>
    <w:rsid w:val="005B7C83"/>
    <w:rsid w:val="005C0848"/>
    <w:rsid w:val="005C303C"/>
    <w:rsid w:val="005C5D0F"/>
    <w:rsid w:val="005C5D3E"/>
    <w:rsid w:val="005C699D"/>
    <w:rsid w:val="005D23BC"/>
    <w:rsid w:val="005D453E"/>
    <w:rsid w:val="005D49B7"/>
    <w:rsid w:val="005D5D92"/>
    <w:rsid w:val="005E13F0"/>
    <w:rsid w:val="005E1CFB"/>
    <w:rsid w:val="005E6FED"/>
    <w:rsid w:val="006020B0"/>
    <w:rsid w:val="00602D62"/>
    <w:rsid w:val="00607DFC"/>
    <w:rsid w:val="0061131D"/>
    <w:rsid w:val="00611608"/>
    <w:rsid w:val="006125BF"/>
    <w:rsid w:val="00614D65"/>
    <w:rsid w:val="0061650B"/>
    <w:rsid w:val="00617B5B"/>
    <w:rsid w:val="00617F01"/>
    <w:rsid w:val="006227EF"/>
    <w:rsid w:val="006234C3"/>
    <w:rsid w:val="00624D0F"/>
    <w:rsid w:val="00626319"/>
    <w:rsid w:val="006303C5"/>
    <w:rsid w:val="006429A1"/>
    <w:rsid w:val="006437E6"/>
    <w:rsid w:val="006458F3"/>
    <w:rsid w:val="00647E63"/>
    <w:rsid w:val="0065085F"/>
    <w:rsid w:val="0065798B"/>
    <w:rsid w:val="00665487"/>
    <w:rsid w:val="00667833"/>
    <w:rsid w:val="00671F7B"/>
    <w:rsid w:val="00674444"/>
    <w:rsid w:val="006770B7"/>
    <w:rsid w:val="00677A07"/>
    <w:rsid w:val="00681C68"/>
    <w:rsid w:val="0069212F"/>
    <w:rsid w:val="00694FF9"/>
    <w:rsid w:val="006A06DF"/>
    <w:rsid w:val="006A4E73"/>
    <w:rsid w:val="006A706D"/>
    <w:rsid w:val="006B1118"/>
    <w:rsid w:val="006B4E5E"/>
    <w:rsid w:val="006B60D6"/>
    <w:rsid w:val="006C3229"/>
    <w:rsid w:val="006C3336"/>
    <w:rsid w:val="006C4926"/>
    <w:rsid w:val="006C5C28"/>
    <w:rsid w:val="006C7872"/>
    <w:rsid w:val="006C7BE6"/>
    <w:rsid w:val="006D0D4E"/>
    <w:rsid w:val="006D2772"/>
    <w:rsid w:val="006D5A52"/>
    <w:rsid w:val="006E0832"/>
    <w:rsid w:val="006E0845"/>
    <w:rsid w:val="006E688F"/>
    <w:rsid w:val="006F151D"/>
    <w:rsid w:val="006F41FB"/>
    <w:rsid w:val="007079F6"/>
    <w:rsid w:val="00711E99"/>
    <w:rsid w:val="0071281A"/>
    <w:rsid w:val="0071698D"/>
    <w:rsid w:val="00720C9F"/>
    <w:rsid w:val="00724A85"/>
    <w:rsid w:val="007250E4"/>
    <w:rsid w:val="007259DB"/>
    <w:rsid w:val="00730E14"/>
    <w:rsid w:val="00732FDE"/>
    <w:rsid w:val="00733E95"/>
    <w:rsid w:val="0073598C"/>
    <w:rsid w:val="0073636E"/>
    <w:rsid w:val="00742396"/>
    <w:rsid w:val="00744C3F"/>
    <w:rsid w:val="00757258"/>
    <w:rsid w:val="00762D33"/>
    <w:rsid w:val="00763125"/>
    <w:rsid w:val="007644A3"/>
    <w:rsid w:val="00765B2C"/>
    <w:rsid w:val="00767633"/>
    <w:rsid w:val="00770FA6"/>
    <w:rsid w:val="007737FF"/>
    <w:rsid w:val="0077392D"/>
    <w:rsid w:val="00773B7D"/>
    <w:rsid w:val="00777DA5"/>
    <w:rsid w:val="007847C3"/>
    <w:rsid w:val="00790F36"/>
    <w:rsid w:val="007928F3"/>
    <w:rsid w:val="0079373B"/>
    <w:rsid w:val="00794C4C"/>
    <w:rsid w:val="007A051A"/>
    <w:rsid w:val="007A0BDE"/>
    <w:rsid w:val="007A4111"/>
    <w:rsid w:val="007B023B"/>
    <w:rsid w:val="007B0A9C"/>
    <w:rsid w:val="007B3AE3"/>
    <w:rsid w:val="007B3B1F"/>
    <w:rsid w:val="007C00C9"/>
    <w:rsid w:val="007C0D24"/>
    <w:rsid w:val="007C0DF4"/>
    <w:rsid w:val="007C16B8"/>
    <w:rsid w:val="007C6241"/>
    <w:rsid w:val="007C6E8B"/>
    <w:rsid w:val="007D13F4"/>
    <w:rsid w:val="007D1B0B"/>
    <w:rsid w:val="007D3497"/>
    <w:rsid w:val="007D41F2"/>
    <w:rsid w:val="007D70AF"/>
    <w:rsid w:val="007E3B8E"/>
    <w:rsid w:val="007E572A"/>
    <w:rsid w:val="007E6C76"/>
    <w:rsid w:val="007F0936"/>
    <w:rsid w:val="007F0A78"/>
    <w:rsid w:val="007F25E2"/>
    <w:rsid w:val="007F6A69"/>
    <w:rsid w:val="008019A7"/>
    <w:rsid w:val="00805E73"/>
    <w:rsid w:val="008071BB"/>
    <w:rsid w:val="00811A16"/>
    <w:rsid w:val="00812EDE"/>
    <w:rsid w:val="008130D8"/>
    <w:rsid w:val="00813B8D"/>
    <w:rsid w:val="00814F6C"/>
    <w:rsid w:val="008152FF"/>
    <w:rsid w:val="008158B3"/>
    <w:rsid w:val="0082077E"/>
    <w:rsid w:val="008215F0"/>
    <w:rsid w:val="0082390E"/>
    <w:rsid w:val="00823B24"/>
    <w:rsid w:val="0082600C"/>
    <w:rsid w:val="00836A15"/>
    <w:rsid w:val="008426C1"/>
    <w:rsid w:val="008455DA"/>
    <w:rsid w:val="008510F8"/>
    <w:rsid w:val="008555CE"/>
    <w:rsid w:val="00856528"/>
    <w:rsid w:val="008613D0"/>
    <w:rsid w:val="00866F15"/>
    <w:rsid w:val="00867D5C"/>
    <w:rsid w:val="00870AB2"/>
    <w:rsid w:val="00871579"/>
    <w:rsid w:val="008820A3"/>
    <w:rsid w:val="00884F92"/>
    <w:rsid w:val="0088719B"/>
    <w:rsid w:val="008908D3"/>
    <w:rsid w:val="00896761"/>
    <w:rsid w:val="008A43F2"/>
    <w:rsid w:val="008A6CF1"/>
    <w:rsid w:val="008A7A5A"/>
    <w:rsid w:val="008A7BF7"/>
    <w:rsid w:val="008B1381"/>
    <w:rsid w:val="008B20F8"/>
    <w:rsid w:val="008B2C95"/>
    <w:rsid w:val="008B2FBF"/>
    <w:rsid w:val="008B6411"/>
    <w:rsid w:val="008C25CD"/>
    <w:rsid w:val="008C5DE9"/>
    <w:rsid w:val="008D1E2A"/>
    <w:rsid w:val="008D2A28"/>
    <w:rsid w:val="008D2CF6"/>
    <w:rsid w:val="008E18C6"/>
    <w:rsid w:val="008E1D51"/>
    <w:rsid w:val="008E3D93"/>
    <w:rsid w:val="008F4F0F"/>
    <w:rsid w:val="008F747A"/>
    <w:rsid w:val="008F78DE"/>
    <w:rsid w:val="00900C04"/>
    <w:rsid w:val="0090168B"/>
    <w:rsid w:val="009060A1"/>
    <w:rsid w:val="009135D3"/>
    <w:rsid w:val="009139B7"/>
    <w:rsid w:val="00917342"/>
    <w:rsid w:val="009208A2"/>
    <w:rsid w:val="00921A6B"/>
    <w:rsid w:val="00923241"/>
    <w:rsid w:val="00925A05"/>
    <w:rsid w:val="00926465"/>
    <w:rsid w:val="00930344"/>
    <w:rsid w:val="00933C8E"/>
    <w:rsid w:val="0094409D"/>
    <w:rsid w:val="0094507C"/>
    <w:rsid w:val="00946466"/>
    <w:rsid w:val="00947222"/>
    <w:rsid w:val="00950147"/>
    <w:rsid w:val="00951C8E"/>
    <w:rsid w:val="00953831"/>
    <w:rsid w:val="00955904"/>
    <w:rsid w:val="00960CE6"/>
    <w:rsid w:val="009621DF"/>
    <w:rsid w:val="00962353"/>
    <w:rsid w:val="009661B9"/>
    <w:rsid w:val="00966524"/>
    <w:rsid w:val="009734FB"/>
    <w:rsid w:val="009750E7"/>
    <w:rsid w:val="0097510A"/>
    <w:rsid w:val="0097597C"/>
    <w:rsid w:val="00975B6D"/>
    <w:rsid w:val="00980D01"/>
    <w:rsid w:val="009868DE"/>
    <w:rsid w:val="009911C5"/>
    <w:rsid w:val="00996797"/>
    <w:rsid w:val="00997DCE"/>
    <w:rsid w:val="009A3006"/>
    <w:rsid w:val="009A39AB"/>
    <w:rsid w:val="009A646C"/>
    <w:rsid w:val="009A6C44"/>
    <w:rsid w:val="009B0149"/>
    <w:rsid w:val="009B484F"/>
    <w:rsid w:val="009B49BC"/>
    <w:rsid w:val="009C0554"/>
    <w:rsid w:val="009C19AE"/>
    <w:rsid w:val="009C284E"/>
    <w:rsid w:val="009C3A21"/>
    <w:rsid w:val="009C3ABE"/>
    <w:rsid w:val="009C6F9F"/>
    <w:rsid w:val="009D2DE9"/>
    <w:rsid w:val="009D4B3D"/>
    <w:rsid w:val="009D5D20"/>
    <w:rsid w:val="009E40B4"/>
    <w:rsid w:val="009E4C68"/>
    <w:rsid w:val="009E52C6"/>
    <w:rsid w:val="009E79C7"/>
    <w:rsid w:val="009F7673"/>
    <w:rsid w:val="009F7F22"/>
    <w:rsid w:val="00A00741"/>
    <w:rsid w:val="00A033A4"/>
    <w:rsid w:val="00A05B4D"/>
    <w:rsid w:val="00A0667B"/>
    <w:rsid w:val="00A071EB"/>
    <w:rsid w:val="00A10197"/>
    <w:rsid w:val="00A11615"/>
    <w:rsid w:val="00A11E9F"/>
    <w:rsid w:val="00A27788"/>
    <w:rsid w:val="00A31E8C"/>
    <w:rsid w:val="00A42316"/>
    <w:rsid w:val="00A435D2"/>
    <w:rsid w:val="00A50F35"/>
    <w:rsid w:val="00A53BC8"/>
    <w:rsid w:val="00A56691"/>
    <w:rsid w:val="00A6304B"/>
    <w:rsid w:val="00A73F08"/>
    <w:rsid w:val="00A747F8"/>
    <w:rsid w:val="00A75490"/>
    <w:rsid w:val="00A858E8"/>
    <w:rsid w:val="00A86942"/>
    <w:rsid w:val="00A870D0"/>
    <w:rsid w:val="00A914A1"/>
    <w:rsid w:val="00A96140"/>
    <w:rsid w:val="00A9727F"/>
    <w:rsid w:val="00AA35D0"/>
    <w:rsid w:val="00AA4745"/>
    <w:rsid w:val="00AA5302"/>
    <w:rsid w:val="00AA769C"/>
    <w:rsid w:val="00AA7F52"/>
    <w:rsid w:val="00AB0CB1"/>
    <w:rsid w:val="00AB1A7D"/>
    <w:rsid w:val="00AB26AC"/>
    <w:rsid w:val="00AB5712"/>
    <w:rsid w:val="00AB572E"/>
    <w:rsid w:val="00AB60C4"/>
    <w:rsid w:val="00AB6417"/>
    <w:rsid w:val="00AB6F2F"/>
    <w:rsid w:val="00AC2B6A"/>
    <w:rsid w:val="00AC413F"/>
    <w:rsid w:val="00AE76EF"/>
    <w:rsid w:val="00AF20F7"/>
    <w:rsid w:val="00B029FC"/>
    <w:rsid w:val="00B068BF"/>
    <w:rsid w:val="00B10A36"/>
    <w:rsid w:val="00B14914"/>
    <w:rsid w:val="00B24D1A"/>
    <w:rsid w:val="00B27683"/>
    <w:rsid w:val="00B30E53"/>
    <w:rsid w:val="00B40CD5"/>
    <w:rsid w:val="00B4133B"/>
    <w:rsid w:val="00B42C8A"/>
    <w:rsid w:val="00B43083"/>
    <w:rsid w:val="00B45603"/>
    <w:rsid w:val="00B46D0F"/>
    <w:rsid w:val="00B539AA"/>
    <w:rsid w:val="00B54F5F"/>
    <w:rsid w:val="00B56E0C"/>
    <w:rsid w:val="00B633B6"/>
    <w:rsid w:val="00B6401A"/>
    <w:rsid w:val="00B64105"/>
    <w:rsid w:val="00B6535E"/>
    <w:rsid w:val="00B65B77"/>
    <w:rsid w:val="00B7253B"/>
    <w:rsid w:val="00B759D1"/>
    <w:rsid w:val="00B802F3"/>
    <w:rsid w:val="00B90315"/>
    <w:rsid w:val="00B909C0"/>
    <w:rsid w:val="00B9340D"/>
    <w:rsid w:val="00B936AF"/>
    <w:rsid w:val="00BA56B8"/>
    <w:rsid w:val="00BA6502"/>
    <w:rsid w:val="00BA7ECF"/>
    <w:rsid w:val="00BB494A"/>
    <w:rsid w:val="00BC0C43"/>
    <w:rsid w:val="00BC1AA9"/>
    <w:rsid w:val="00BC467D"/>
    <w:rsid w:val="00BD4FDA"/>
    <w:rsid w:val="00BD6DAA"/>
    <w:rsid w:val="00BE0219"/>
    <w:rsid w:val="00BE0612"/>
    <w:rsid w:val="00BE3AE0"/>
    <w:rsid w:val="00BE5D24"/>
    <w:rsid w:val="00BE6B22"/>
    <w:rsid w:val="00BF4BAA"/>
    <w:rsid w:val="00BF4CF6"/>
    <w:rsid w:val="00C02277"/>
    <w:rsid w:val="00C02E1C"/>
    <w:rsid w:val="00C03A2A"/>
    <w:rsid w:val="00C05129"/>
    <w:rsid w:val="00C05943"/>
    <w:rsid w:val="00C07D3F"/>
    <w:rsid w:val="00C146A7"/>
    <w:rsid w:val="00C172AE"/>
    <w:rsid w:val="00C43130"/>
    <w:rsid w:val="00C467F1"/>
    <w:rsid w:val="00C52A16"/>
    <w:rsid w:val="00C5536E"/>
    <w:rsid w:val="00C57631"/>
    <w:rsid w:val="00C57662"/>
    <w:rsid w:val="00C61094"/>
    <w:rsid w:val="00C61792"/>
    <w:rsid w:val="00C65868"/>
    <w:rsid w:val="00C73DE3"/>
    <w:rsid w:val="00C7702A"/>
    <w:rsid w:val="00C803E5"/>
    <w:rsid w:val="00C82578"/>
    <w:rsid w:val="00C8320D"/>
    <w:rsid w:val="00C83DE1"/>
    <w:rsid w:val="00C86498"/>
    <w:rsid w:val="00C90D03"/>
    <w:rsid w:val="00C96E92"/>
    <w:rsid w:val="00CA0B59"/>
    <w:rsid w:val="00CA0C80"/>
    <w:rsid w:val="00CA2179"/>
    <w:rsid w:val="00CA478E"/>
    <w:rsid w:val="00CA56B9"/>
    <w:rsid w:val="00CB13D4"/>
    <w:rsid w:val="00CB3DC6"/>
    <w:rsid w:val="00CB5480"/>
    <w:rsid w:val="00CC1BD0"/>
    <w:rsid w:val="00CC4444"/>
    <w:rsid w:val="00CC701E"/>
    <w:rsid w:val="00CD2926"/>
    <w:rsid w:val="00CD3A38"/>
    <w:rsid w:val="00CF0DFE"/>
    <w:rsid w:val="00CF6BCF"/>
    <w:rsid w:val="00D1323B"/>
    <w:rsid w:val="00D13673"/>
    <w:rsid w:val="00D1498F"/>
    <w:rsid w:val="00D224E6"/>
    <w:rsid w:val="00D32DD1"/>
    <w:rsid w:val="00D36FEA"/>
    <w:rsid w:val="00D4124C"/>
    <w:rsid w:val="00D42274"/>
    <w:rsid w:val="00D4319A"/>
    <w:rsid w:val="00D44873"/>
    <w:rsid w:val="00D461E3"/>
    <w:rsid w:val="00D5009E"/>
    <w:rsid w:val="00D53DF1"/>
    <w:rsid w:val="00D53F67"/>
    <w:rsid w:val="00D55769"/>
    <w:rsid w:val="00D57A1B"/>
    <w:rsid w:val="00D65652"/>
    <w:rsid w:val="00D65B90"/>
    <w:rsid w:val="00D6668A"/>
    <w:rsid w:val="00D75C4E"/>
    <w:rsid w:val="00D777E8"/>
    <w:rsid w:val="00DA0E7F"/>
    <w:rsid w:val="00DA13AB"/>
    <w:rsid w:val="00DA146D"/>
    <w:rsid w:val="00DA2772"/>
    <w:rsid w:val="00DA75AC"/>
    <w:rsid w:val="00DB1710"/>
    <w:rsid w:val="00DB1744"/>
    <w:rsid w:val="00DB2D53"/>
    <w:rsid w:val="00DB545A"/>
    <w:rsid w:val="00DC03BF"/>
    <w:rsid w:val="00DC1643"/>
    <w:rsid w:val="00DC33A2"/>
    <w:rsid w:val="00DC5798"/>
    <w:rsid w:val="00DC6E5D"/>
    <w:rsid w:val="00DC728A"/>
    <w:rsid w:val="00DD0A06"/>
    <w:rsid w:val="00DE1FCA"/>
    <w:rsid w:val="00DE51E8"/>
    <w:rsid w:val="00DE6D6C"/>
    <w:rsid w:val="00DE7FB7"/>
    <w:rsid w:val="00DF09C3"/>
    <w:rsid w:val="00E00C1E"/>
    <w:rsid w:val="00E00CD3"/>
    <w:rsid w:val="00E07B2A"/>
    <w:rsid w:val="00E133B7"/>
    <w:rsid w:val="00E176B1"/>
    <w:rsid w:val="00E20CBB"/>
    <w:rsid w:val="00E27753"/>
    <w:rsid w:val="00E311C0"/>
    <w:rsid w:val="00E3232D"/>
    <w:rsid w:val="00E32337"/>
    <w:rsid w:val="00E337B6"/>
    <w:rsid w:val="00E42CD4"/>
    <w:rsid w:val="00E45D47"/>
    <w:rsid w:val="00E51DF9"/>
    <w:rsid w:val="00E670C2"/>
    <w:rsid w:val="00E67F8A"/>
    <w:rsid w:val="00E7027F"/>
    <w:rsid w:val="00E96108"/>
    <w:rsid w:val="00EA0AA0"/>
    <w:rsid w:val="00EA11D6"/>
    <w:rsid w:val="00EA18F7"/>
    <w:rsid w:val="00EA50BE"/>
    <w:rsid w:val="00EA7B42"/>
    <w:rsid w:val="00EA7C1D"/>
    <w:rsid w:val="00EB02A0"/>
    <w:rsid w:val="00EB0D62"/>
    <w:rsid w:val="00EC7BCE"/>
    <w:rsid w:val="00ED09B5"/>
    <w:rsid w:val="00ED10DE"/>
    <w:rsid w:val="00EE3BB4"/>
    <w:rsid w:val="00EE57B1"/>
    <w:rsid w:val="00EE625F"/>
    <w:rsid w:val="00EF0534"/>
    <w:rsid w:val="00EF12E1"/>
    <w:rsid w:val="00EF1FCA"/>
    <w:rsid w:val="00EF21C7"/>
    <w:rsid w:val="00EF30E0"/>
    <w:rsid w:val="00EF32EB"/>
    <w:rsid w:val="00EF726E"/>
    <w:rsid w:val="00F03580"/>
    <w:rsid w:val="00F12BF6"/>
    <w:rsid w:val="00F14D6C"/>
    <w:rsid w:val="00F15E28"/>
    <w:rsid w:val="00F16239"/>
    <w:rsid w:val="00F167FD"/>
    <w:rsid w:val="00F20FEC"/>
    <w:rsid w:val="00F246CB"/>
    <w:rsid w:val="00F24A34"/>
    <w:rsid w:val="00F27B2B"/>
    <w:rsid w:val="00F30500"/>
    <w:rsid w:val="00F31BE4"/>
    <w:rsid w:val="00F32A5B"/>
    <w:rsid w:val="00F37725"/>
    <w:rsid w:val="00F40D86"/>
    <w:rsid w:val="00F41BB2"/>
    <w:rsid w:val="00F43325"/>
    <w:rsid w:val="00F47AD7"/>
    <w:rsid w:val="00F50237"/>
    <w:rsid w:val="00F52C2D"/>
    <w:rsid w:val="00F53525"/>
    <w:rsid w:val="00F56D8F"/>
    <w:rsid w:val="00F749D5"/>
    <w:rsid w:val="00F75090"/>
    <w:rsid w:val="00F762EA"/>
    <w:rsid w:val="00F772FD"/>
    <w:rsid w:val="00F90417"/>
    <w:rsid w:val="00F92246"/>
    <w:rsid w:val="00F96866"/>
    <w:rsid w:val="00FA0734"/>
    <w:rsid w:val="00FA54C9"/>
    <w:rsid w:val="00FA606E"/>
    <w:rsid w:val="00FA6D97"/>
    <w:rsid w:val="00FA75A0"/>
    <w:rsid w:val="00FB1725"/>
    <w:rsid w:val="00FB18A8"/>
    <w:rsid w:val="00FB263F"/>
    <w:rsid w:val="00FB3C4C"/>
    <w:rsid w:val="00FB5407"/>
    <w:rsid w:val="00FC5152"/>
    <w:rsid w:val="00FD2317"/>
    <w:rsid w:val="00FD4B0E"/>
    <w:rsid w:val="00FD5044"/>
    <w:rsid w:val="00FE0434"/>
    <w:rsid w:val="00FE0B89"/>
    <w:rsid w:val="00FE257E"/>
    <w:rsid w:val="00FE3B4B"/>
    <w:rsid w:val="00FE64D5"/>
    <w:rsid w:val="00FF06FE"/>
    <w:rsid w:val="00FF1ECB"/>
    <w:rsid w:val="00FF70B3"/>
    <w:rsid w:val="00FF7F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9B7"/>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EA0AA0"/>
    <w:pPr>
      <w:spacing w:before="240"/>
      <w:outlineLvl w:val="0"/>
    </w:pPr>
    <w:rPr>
      <w:b/>
      <w:bCs/>
      <w:color w:val="0070C0"/>
      <w:sz w:val="32"/>
      <w:szCs w:val="32"/>
    </w:rPr>
  </w:style>
  <w:style w:type="paragraph" w:styleId="Heading2">
    <w:name w:val="heading 2"/>
    <w:basedOn w:val="Normal"/>
    <w:next w:val="Normal"/>
    <w:link w:val="Heading2Char"/>
    <w:uiPriority w:val="9"/>
    <w:unhideWhenUsed/>
    <w:qFormat/>
    <w:rsid w:val="00F96866"/>
    <w:pPr>
      <w:spacing w:before="240" w:after="2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582377"/>
    <w:pPr>
      <w:spacing w:after="160"/>
      <w:contextualSpacing/>
    </w:pPr>
    <w:rPr>
      <w:bCs/>
      <w:sz w:val="21"/>
      <w:szCs w:val="21"/>
    </w:rPr>
  </w:style>
  <w:style w:type="character" w:customStyle="1" w:styleId="TickboxesChar">
    <w:name w:val="Tick boxes Char"/>
    <w:basedOn w:val="DefaultParagraphFont"/>
    <w:link w:val="Tickboxes"/>
    <w:rsid w:val="00582377"/>
    <w:rPr>
      <w:rFonts w:ascii="Segoe UI" w:hAnsi="Segoe UI" w:cs="Segoe UI"/>
      <w:bCs/>
      <w:sz w:val="21"/>
      <w:szCs w:val="21"/>
    </w:rPr>
  </w:style>
  <w:style w:type="paragraph" w:styleId="NormalWeb">
    <w:name w:val="Normal (Web)"/>
    <w:basedOn w:val="Normal"/>
    <w:uiPriority w:val="99"/>
    <w:semiHidden/>
    <w:unhideWhenUsed/>
    <w:rsid w:val="000627EF"/>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character" w:customStyle="1" w:styleId="Heading2Char">
    <w:name w:val="Heading 2 Char"/>
    <w:basedOn w:val="DefaultParagraphFont"/>
    <w:link w:val="Heading2"/>
    <w:uiPriority w:val="9"/>
    <w:rsid w:val="00F96866"/>
    <w:rPr>
      <w:rFonts w:ascii="Segoe UI" w:hAnsi="Segoe UI" w:cs="Segoe UI"/>
      <w:b/>
      <w:bCs/>
      <w:sz w:val="22"/>
      <w:szCs w:val="22"/>
    </w:rPr>
  </w:style>
  <w:style w:type="character" w:customStyle="1" w:styleId="Heading1Char">
    <w:name w:val="Heading 1 Char"/>
    <w:basedOn w:val="DefaultParagraphFont"/>
    <w:link w:val="Heading1"/>
    <w:uiPriority w:val="9"/>
    <w:rsid w:val="00EA0AA0"/>
    <w:rPr>
      <w:rFonts w:ascii="Segoe UI" w:hAnsi="Segoe UI" w:cs="Segoe UI"/>
      <w:b/>
      <w:bCs/>
      <w:color w:val="0070C0"/>
      <w:sz w:val="32"/>
      <w:szCs w:val="32"/>
    </w:rPr>
  </w:style>
  <w:style w:type="paragraph" w:customStyle="1" w:styleId="Instructions">
    <w:name w:val="Instructions"/>
    <w:basedOn w:val="Heading2"/>
    <w:link w:val="InstructionsChar"/>
    <w:qFormat/>
    <w:rsid w:val="00361BBE"/>
    <w:pPr>
      <w:spacing w:before="120" w:after="120"/>
    </w:pPr>
    <w:rPr>
      <w:b w:val="0"/>
      <w:bCs w:val="0"/>
    </w:rPr>
  </w:style>
  <w:style w:type="character" w:customStyle="1" w:styleId="InstructionsChar">
    <w:name w:val="Instructions Char"/>
    <w:basedOn w:val="Heading2Char"/>
    <w:link w:val="Instructions"/>
    <w:rsid w:val="00361BBE"/>
    <w:rPr>
      <w:rFonts w:ascii="Segoe UI" w:hAnsi="Segoe UI" w:cs="Segoe UI"/>
      <w:b w:val="0"/>
      <w:bCs w:val="0"/>
      <w:sz w:val="22"/>
      <w:szCs w:val="22"/>
    </w:rPr>
  </w:style>
  <w:style w:type="paragraph" w:styleId="ListParagraph">
    <w:name w:val="List Paragraph"/>
    <w:basedOn w:val="Normal"/>
    <w:uiPriority w:val="34"/>
    <w:qFormat/>
    <w:rsid w:val="006C4926"/>
    <w:pPr>
      <w:ind w:left="720"/>
      <w:contextualSpacing/>
    </w:pPr>
  </w:style>
  <w:style w:type="paragraph" w:styleId="Caption">
    <w:name w:val="caption"/>
    <w:basedOn w:val="Normal"/>
    <w:next w:val="Normal"/>
    <w:uiPriority w:val="35"/>
    <w:unhideWhenUsed/>
    <w:qFormat/>
    <w:rsid w:val="003475AF"/>
    <w:pPr>
      <w:spacing w:after="200"/>
    </w:pPr>
    <w:rPr>
      <w:i/>
      <w:iCs/>
      <w:color w:val="44546A" w:themeColor="text2"/>
      <w:sz w:val="18"/>
      <w:szCs w:val="18"/>
    </w:rPr>
  </w:style>
  <w:style w:type="paragraph" w:customStyle="1" w:styleId="EndNoteBibliographyTitle">
    <w:name w:val="EndNote Bibliography Title"/>
    <w:basedOn w:val="Normal"/>
    <w:link w:val="EndNoteBibliographyTitleChar"/>
    <w:rsid w:val="007D41F2"/>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7D41F2"/>
    <w:rPr>
      <w:rFonts w:ascii="Segoe UI" w:hAnsi="Segoe UI" w:cs="Segoe UI"/>
      <w:noProof/>
      <w:sz w:val="22"/>
      <w:szCs w:val="22"/>
      <w:lang w:val="en-US"/>
    </w:rPr>
  </w:style>
  <w:style w:type="paragraph" w:customStyle="1" w:styleId="EndNoteBibliography">
    <w:name w:val="EndNote Bibliography"/>
    <w:basedOn w:val="Normal"/>
    <w:link w:val="EndNoteBibliographyChar"/>
    <w:rsid w:val="007D41F2"/>
    <w:rPr>
      <w:noProof/>
      <w:lang w:val="en-US"/>
    </w:rPr>
  </w:style>
  <w:style w:type="character" w:customStyle="1" w:styleId="EndNoteBibliographyChar">
    <w:name w:val="EndNote Bibliography Char"/>
    <w:basedOn w:val="DefaultParagraphFont"/>
    <w:link w:val="EndNoteBibliography"/>
    <w:rsid w:val="007D41F2"/>
    <w:rPr>
      <w:rFonts w:ascii="Segoe UI" w:hAnsi="Segoe UI" w:cs="Segoe UI"/>
      <w:noProof/>
      <w:sz w:val="22"/>
      <w:szCs w:val="22"/>
      <w:lang w:val="en-US"/>
    </w:rPr>
  </w:style>
  <w:style w:type="paragraph" w:styleId="FootnoteText">
    <w:name w:val="footnote text"/>
    <w:basedOn w:val="Normal"/>
    <w:link w:val="FootnoteTextChar"/>
    <w:uiPriority w:val="99"/>
    <w:semiHidden/>
    <w:unhideWhenUsed/>
    <w:rsid w:val="00B43083"/>
    <w:pPr>
      <w:spacing w:after="0"/>
    </w:pPr>
    <w:rPr>
      <w:sz w:val="20"/>
      <w:szCs w:val="20"/>
    </w:rPr>
  </w:style>
  <w:style w:type="character" w:customStyle="1" w:styleId="FootnoteTextChar">
    <w:name w:val="Footnote Text Char"/>
    <w:basedOn w:val="DefaultParagraphFont"/>
    <w:link w:val="FootnoteText"/>
    <w:uiPriority w:val="99"/>
    <w:semiHidden/>
    <w:rsid w:val="00B43083"/>
    <w:rPr>
      <w:rFonts w:ascii="Segoe UI" w:hAnsi="Segoe UI" w:cs="Segoe UI"/>
      <w:sz w:val="20"/>
      <w:szCs w:val="20"/>
    </w:rPr>
  </w:style>
  <w:style w:type="character" w:styleId="FootnoteReference">
    <w:name w:val="footnote reference"/>
    <w:basedOn w:val="DefaultParagraphFont"/>
    <w:uiPriority w:val="99"/>
    <w:semiHidden/>
    <w:unhideWhenUsed/>
    <w:rsid w:val="00B43083"/>
    <w:rPr>
      <w:vertAlign w:val="superscript"/>
    </w:rPr>
  </w:style>
  <w:style w:type="paragraph" w:styleId="BalloonText">
    <w:name w:val="Balloon Text"/>
    <w:basedOn w:val="Normal"/>
    <w:link w:val="BalloonTextChar"/>
    <w:uiPriority w:val="99"/>
    <w:semiHidden/>
    <w:unhideWhenUsed/>
    <w:rsid w:val="00E45D47"/>
    <w:pPr>
      <w:spacing w:after="0"/>
    </w:pPr>
    <w:rPr>
      <w:sz w:val="18"/>
      <w:szCs w:val="18"/>
    </w:rPr>
  </w:style>
  <w:style w:type="character" w:customStyle="1" w:styleId="BalloonTextChar">
    <w:name w:val="Balloon Text Char"/>
    <w:basedOn w:val="DefaultParagraphFont"/>
    <w:link w:val="BalloonText"/>
    <w:uiPriority w:val="99"/>
    <w:semiHidden/>
    <w:rsid w:val="00E45D47"/>
    <w:rPr>
      <w:rFonts w:ascii="Segoe UI" w:hAnsi="Segoe UI" w:cs="Segoe UI"/>
      <w:sz w:val="18"/>
      <w:szCs w:val="18"/>
    </w:rPr>
  </w:style>
  <w:style w:type="character" w:styleId="Hyperlink">
    <w:name w:val="Hyperlink"/>
    <w:basedOn w:val="DefaultParagraphFont"/>
    <w:uiPriority w:val="99"/>
    <w:unhideWhenUsed/>
    <w:rsid w:val="00EA11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91582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66822-8FB6-4473-A687-A4CD0895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5093</Words>
  <Characters>29031</Characters>
  <Application>Microsoft Office Word</Application>
  <DocSecurity>0</DocSecurity>
  <PresentationFormat/>
  <Lines>241</Lines>
  <Paragraphs>68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1783 Application PICO Set</dc:title>
  <dc:subject/>
  <dc:creator/>
  <cp:keywords/>
  <dc:description/>
  <cp:lastModifiedBy/>
  <cp:revision>1</cp:revision>
  <dcterms:created xsi:type="dcterms:W3CDTF">2024-05-13T01:42:00Z</dcterms:created>
  <dcterms:modified xsi:type="dcterms:W3CDTF">2024-05-20T05:32:00Z</dcterms:modified>
  <cp:category/>
  <cp:contentStatus/>
  <dc:language/>
  <cp:version/>
</cp:coreProperties>
</file>