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AADB" w14:textId="77777777" w:rsidR="00350C8D" w:rsidRDefault="008B5AB2" w:rsidP="008B5AB2">
      <w:pPr>
        <w:jc w:val="center"/>
      </w:pPr>
      <w:bookmarkStart w:id="0" w:name="_GoBack"/>
      <w:bookmarkEnd w:id="0"/>
      <w:r>
        <w:rPr>
          <w:b/>
          <w:noProof/>
          <w:lang w:eastAsia="en-AU"/>
        </w:rPr>
        <w:drawing>
          <wp:inline distT="0" distB="0" distL="0" distR="0" wp14:anchorId="02B58B45" wp14:editId="09AC8AF8">
            <wp:extent cx="1897077" cy="1257300"/>
            <wp:effectExtent l="0" t="0" r="8255" b="0"/>
            <wp:docPr id="2"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2565D11" w14:textId="77777777" w:rsidR="008B5AB2" w:rsidRPr="000C4286" w:rsidRDefault="008B5AB2" w:rsidP="008B5AB2">
      <w:pPr>
        <w:jc w:val="center"/>
        <w:rPr>
          <w:sz w:val="144"/>
          <w:szCs w:val="144"/>
        </w:rPr>
      </w:pPr>
    </w:p>
    <w:p w14:paraId="163D0FEC" w14:textId="77777777" w:rsidR="005C67C3" w:rsidRDefault="00D713A4" w:rsidP="008B5AB2">
      <w:pPr>
        <w:spacing w:before="180"/>
        <w:jc w:val="center"/>
        <w:rPr>
          <w:rFonts w:ascii="Arial" w:hAnsi="Arial" w:cs="Arial"/>
          <w:b/>
          <w:sz w:val="36"/>
          <w:szCs w:val="36"/>
        </w:rPr>
      </w:pPr>
      <w:hyperlink r:id="rId10" w:history="1">
        <w:r w:rsidR="008B5AB2" w:rsidRPr="00FC7AB9">
          <w:rPr>
            <w:rStyle w:val="Hyperlink"/>
            <w:rFonts w:ascii="Arial" w:hAnsi="Arial" w:cs="Arial"/>
            <w:b/>
            <w:sz w:val="36"/>
            <w:szCs w:val="36"/>
          </w:rPr>
          <w:t>MEDICAL SERVICES ADVISORY COMMITTEE</w:t>
        </w:r>
      </w:hyperlink>
      <w:r w:rsidR="008B5AB2" w:rsidRPr="00FC7AB9">
        <w:rPr>
          <w:rFonts w:ascii="Arial" w:hAnsi="Arial" w:cs="Arial"/>
          <w:b/>
          <w:sz w:val="36"/>
          <w:szCs w:val="36"/>
        </w:rPr>
        <w:t xml:space="preserve"> </w:t>
      </w:r>
    </w:p>
    <w:p w14:paraId="3F9893CC" w14:textId="77777777" w:rsidR="00732394" w:rsidRPr="000C4286" w:rsidRDefault="00732394" w:rsidP="008B5AB2">
      <w:pPr>
        <w:spacing w:before="180"/>
        <w:jc w:val="center"/>
        <w:rPr>
          <w:rFonts w:ascii="Arial" w:hAnsi="Arial" w:cs="Arial"/>
          <w:b/>
          <w:sz w:val="144"/>
          <w:szCs w:val="144"/>
        </w:rPr>
      </w:pPr>
    </w:p>
    <w:p w14:paraId="5B6AC263" w14:textId="52CED03E" w:rsidR="00732394" w:rsidRDefault="00A451AC" w:rsidP="008B5AB2">
      <w:pPr>
        <w:spacing w:before="180"/>
        <w:jc w:val="center"/>
        <w:rPr>
          <w:rFonts w:ascii="Arial" w:hAnsi="Arial" w:cs="Arial"/>
          <w:b/>
          <w:sz w:val="36"/>
          <w:szCs w:val="36"/>
        </w:rPr>
      </w:pPr>
      <w:r>
        <w:rPr>
          <w:rFonts w:ascii="Arial" w:hAnsi="Arial" w:cs="Arial"/>
          <w:b/>
          <w:sz w:val="36"/>
          <w:szCs w:val="36"/>
        </w:rPr>
        <w:t xml:space="preserve">EGFR mutation testing to determine eligibility for access to PBS subsidised </w:t>
      </w:r>
      <w:r w:rsidR="00312075">
        <w:rPr>
          <w:rFonts w:ascii="Arial" w:hAnsi="Arial" w:cs="Arial"/>
          <w:b/>
          <w:sz w:val="36"/>
          <w:szCs w:val="36"/>
        </w:rPr>
        <w:t>AZD9291</w:t>
      </w:r>
      <w:r>
        <w:rPr>
          <w:rFonts w:ascii="Arial" w:hAnsi="Arial" w:cs="Arial"/>
          <w:b/>
          <w:sz w:val="36"/>
          <w:szCs w:val="36"/>
        </w:rPr>
        <w:t xml:space="preserve"> therapy in patient</w:t>
      </w:r>
      <w:r w:rsidR="005A734E">
        <w:rPr>
          <w:rFonts w:ascii="Arial" w:hAnsi="Arial" w:cs="Arial"/>
          <w:b/>
          <w:sz w:val="36"/>
          <w:szCs w:val="36"/>
        </w:rPr>
        <w:t>s</w:t>
      </w:r>
      <w:r>
        <w:rPr>
          <w:rFonts w:ascii="Arial" w:hAnsi="Arial" w:cs="Arial"/>
          <w:b/>
          <w:sz w:val="36"/>
          <w:szCs w:val="36"/>
        </w:rPr>
        <w:t xml:space="preserve"> with locally advanced or metastatic </w:t>
      </w:r>
      <w:proofErr w:type="spellStart"/>
      <w:r w:rsidR="000431F5">
        <w:rPr>
          <w:rFonts w:ascii="Arial" w:hAnsi="Arial" w:cs="Arial"/>
          <w:b/>
          <w:sz w:val="36"/>
          <w:szCs w:val="36"/>
        </w:rPr>
        <w:t>EGFR</w:t>
      </w:r>
      <w:r w:rsidR="00F0346B">
        <w:rPr>
          <w:rFonts w:ascii="Arial" w:hAnsi="Arial" w:cs="Arial"/>
          <w:b/>
          <w:sz w:val="36"/>
          <w:szCs w:val="36"/>
        </w:rPr>
        <w:t>m</w:t>
      </w:r>
      <w:proofErr w:type="spellEnd"/>
      <w:r w:rsidR="000431F5">
        <w:rPr>
          <w:rFonts w:ascii="Arial" w:hAnsi="Arial" w:cs="Arial"/>
          <w:b/>
          <w:sz w:val="36"/>
          <w:szCs w:val="36"/>
        </w:rPr>
        <w:t xml:space="preserve"> </w:t>
      </w:r>
      <w:r>
        <w:rPr>
          <w:rFonts w:ascii="Arial" w:hAnsi="Arial" w:cs="Arial"/>
          <w:b/>
          <w:sz w:val="36"/>
          <w:szCs w:val="36"/>
        </w:rPr>
        <w:t>NSCLC</w:t>
      </w:r>
    </w:p>
    <w:p w14:paraId="29B04288" w14:textId="77777777" w:rsidR="00732394" w:rsidRPr="00A451AC" w:rsidRDefault="00732394" w:rsidP="008B5AB2">
      <w:pPr>
        <w:spacing w:before="180"/>
        <w:jc w:val="center"/>
        <w:rPr>
          <w:rFonts w:ascii="Arial" w:hAnsi="Arial" w:cs="Arial"/>
          <w:b/>
          <w:sz w:val="72"/>
          <w:szCs w:val="144"/>
        </w:rPr>
      </w:pPr>
    </w:p>
    <w:p w14:paraId="69F52AD4" w14:textId="2F4D2777" w:rsidR="008B5AB2" w:rsidRDefault="00366282" w:rsidP="008B5AB2">
      <w:pPr>
        <w:spacing w:before="180"/>
        <w:jc w:val="center"/>
        <w:rPr>
          <w:rFonts w:ascii="Arial" w:hAnsi="Arial" w:cs="Arial"/>
          <w:b/>
          <w:sz w:val="36"/>
          <w:szCs w:val="36"/>
        </w:rPr>
      </w:pPr>
      <w:r>
        <w:rPr>
          <w:rFonts w:ascii="Arial" w:hAnsi="Arial" w:cs="Arial"/>
          <w:b/>
          <w:sz w:val="36"/>
          <w:szCs w:val="36"/>
        </w:rPr>
        <w:t xml:space="preserve">Final </w:t>
      </w:r>
      <w:r w:rsidR="00732394">
        <w:rPr>
          <w:rFonts w:ascii="Arial" w:hAnsi="Arial" w:cs="Arial"/>
          <w:b/>
          <w:sz w:val="36"/>
          <w:szCs w:val="36"/>
        </w:rPr>
        <w:t>Protocol</w:t>
      </w:r>
    </w:p>
    <w:p w14:paraId="7D78F588" w14:textId="77777777" w:rsidR="00A451AC" w:rsidRPr="00FC7AB9" w:rsidRDefault="003D0329" w:rsidP="008B5AB2">
      <w:pPr>
        <w:spacing w:before="180"/>
        <w:jc w:val="center"/>
        <w:rPr>
          <w:rFonts w:ascii="Arial" w:hAnsi="Arial" w:cs="Arial"/>
          <w:b/>
          <w:sz w:val="36"/>
          <w:szCs w:val="36"/>
        </w:rPr>
      </w:pPr>
      <w:r>
        <w:rPr>
          <w:rFonts w:ascii="Arial" w:hAnsi="Arial" w:cs="Arial"/>
          <w:b/>
          <w:sz w:val="36"/>
          <w:szCs w:val="36"/>
        </w:rPr>
        <w:t>MSAC Applicat</w:t>
      </w:r>
      <w:r w:rsidR="00C7079D">
        <w:rPr>
          <w:rFonts w:ascii="Arial" w:hAnsi="Arial" w:cs="Arial"/>
          <w:b/>
          <w:sz w:val="36"/>
          <w:szCs w:val="36"/>
        </w:rPr>
        <w:t xml:space="preserve">ion </w:t>
      </w:r>
      <w:r>
        <w:rPr>
          <w:rFonts w:ascii="Arial" w:hAnsi="Arial" w:cs="Arial"/>
          <w:b/>
          <w:sz w:val="36"/>
          <w:szCs w:val="36"/>
        </w:rPr>
        <w:t>1407</w:t>
      </w:r>
    </w:p>
    <w:p w14:paraId="24705F8A" w14:textId="72C94AF2" w:rsidR="00732394" w:rsidRPr="00732394" w:rsidRDefault="00366282" w:rsidP="00306289">
      <w:pPr>
        <w:jc w:val="right"/>
        <w:rPr>
          <w:sz w:val="36"/>
          <w:szCs w:val="36"/>
        </w:rPr>
      </w:pPr>
      <w:r>
        <w:rPr>
          <w:sz w:val="36"/>
          <w:szCs w:val="36"/>
        </w:rPr>
        <w:t>November</w:t>
      </w:r>
      <w:r w:rsidR="002373F2">
        <w:rPr>
          <w:sz w:val="36"/>
          <w:szCs w:val="36"/>
        </w:rPr>
        <w:t xml:space="preserve"> </w:t>
      </w:r>
      <w:r w:rsidR="00A451AC">
        <w:rPr>
          <w:sz w:val="36"/>
          <w:szCs w:val="36"/>
        </w:rPr>
        <w:t>2015</w:t>
      </w:r>
    </w:p>
    <w:p w14:paraId="060DF1CD" w14:textId="77777777" w:rsidR="00704E55" w:rsidRDefault="00704E55">
      <w:pPr>
        <w:rPr>
          <w:rFonts w:ascii="Arial" w:hAnsi="Arial" w:cs="Arial"/>
          <w:sz w:val="20"/>
          <w:szCs w:val="20"/>
        </w:rPr>
        <w:sectPr w:rsidR="00704E55" w:rsidSect="00F0346B">
          <w:headerReference w:type="even" r:id="rId11"/>
          <w:headerReference w:type="default" r:id="rId12"/>
          <w:footerReference w:type="even" r:id="rId13"/>
          <w:footerReference w:type="default" r:id="rId14"/>
          <w:headerReference w:type="first" r:id="rId15"/>
          <w:footerReference w:type="first" r:id="rId16"/>
          <w:pgSz w:w="11906" w:h="16838"/>
          <w:pgMar w:top="1560" w:right="1416" w:bottom="1276" w:left="1560" w:header="708" w:footer="708" w:gutter="0"/>
          <w:cols w:space="708"/>
          <w:docGrid w:linePitch="360"/>
        </w:sectPr>
      </w:pPr>
    </w:p>
    <w:p w14:paraId="6001EF95" w14:textId="77777777" w:rsidR="000C4286" w:rsidRDefault="00A76F89" w:rsidP="009C49F2">
      <w:pPr>
        <w:pStyle w:val="Heading2"/>
      </w:pPr>
      <w:r w:rsidRPr="00A76F89">
        <w:lastRenderedPageBreak/>
        <w:t>Title of Application</w:t>
      </w:r>
    </w:p>
    <w:p w14:paraId="4551041D" w14:textId="05BE98AF" w:rsidR="00A451AC" w:rsidRPr="00AA0C2E" w:rsidRDefault="00A451AC" w:rsidP="008B2295">
      <w:pPr>
        <w:pStyle w:val="ListParagraph"/>
        <w:spacing w:before="180" w:line="360" w:lineRule="auto"/>
        <w:ind w:left="0"/>
        <w:jc w:val="both"/>
        <w:rPr>
          <w:rFonts w:ascii="Arial" w:hAnsi="Arial" w:cs="Arial"/>
          <w:szCs w:val="36"/>
        </w:rPr>
      </w:pPr>
      <w:r w:rsidRPr="00AA0C2E">
        <w:rPr>
          <w:rFonts w:ascii="Arial" w:hAnsi="Arial" w:cs="Arial"/>
          <w:szCs w:val="36"/>
        </w:rPr>
        <w:t>E</w:t>
      </w:r>
      <w:r w:rsidR="00934CA0" w:rsidRPr="00AA0C2E">
        <w:rPr>
          <w:rFonts w:ascii="Arial" w:hAnsi="Arial" w:cs="Arial"/>
          <w:szCs w:val="36"/>
        </w:rPr>
        <w:t xml:space="preserve">pidermal </w:t>
      </w:r>
      <w:r w:rsidRPr="00AA0C2E">
        <w:rPr>
          <w:rFonts w:ascii="Arial" w:hAnsi="Arial" w:cs="Arial"/>
          <w:szCs w:val="36"/>
        </w:rPr>
        <w:t>G</w:t>
      </w:r>
      <w:r w:rsidR="00934CA0" w:rsidRPr="00AA0C2E">
        <w:rPr>
          <w:rFonts w:ascii="Arial" w:hAnsi="Arial" w:cs="Arial"/>
          <w:szCs w:val="36"/>
        </w:rPr>
        <w:t xml:space="preserve">rowth </w:t>
      </w:r>
      <w:r w:rsidRPr="00AA0C2E">
        <w:rPr>
          <w:rFonts w:ascii="Arial" w:hAnsi="Arial" w:cs="Arial"/>
          <w:szCs w:val="36"/>
        </w:rPr>
        <w:t>F</w:t>
      </w:r>
      <w:r w:rsidR="00934CA0" w:rsidRPr="00AA0C2E">
        <w:rPr>
          <w:rFonts w:ascii="Arial" w:hAnsi="Arial" w:cs="Arial"/>
          <w:szCs w:val="36"/>
        </w:rPr>
        <w:t xml:space="preserve">actor </w:t>
      </w:r>
      <w:r w:rsidRPr="00AA0C2E">
        <w:rPr>
          <w:rFonts w:ascii="Arial" w:hAnsi="Arial" w:cs="Arial"/>
          <w:szCs w:val="36"/>
        </w:rPr>
        <w:t>R</w:t>
      </w:r>
      <w:r w:rsidR="00934CA0" w:rsidRPr="00AA0C2E">
        <w:rPr>
          <w:rFonts w:ascii="Arial" w:hAnsi="Arial" w:cs="Arial"/>
          <w:szCs w:val="36"/>
        </w:rPr>
        <w:t>eceptor (EGFR)</w:t>
      </w:r>
      <w:r w:rsidRPr="00AA0C2E">
        <w:rPr>
          <w:rFonts w:ascii="Arial" w:hAnsi="Arial" w:cs="Arial"/>
          <w:szCs w:val="36"/>
        </w:rPr>
        <w:t xml:space="preserve"> mutation testing to determine eligibility for access to P</w:t>
      </w:r>
      <w:r w:rsidR="003A373B" w:rsidRPr="00AA0C2E">
        <w:rPr>
          <w:rFonts w:ascii="Arial" w:hAnsi="Arial" w:cs="Arial"/>
          <w:szCs w:val="36"/>
        </w:rPr>
        <w:t xml:space="preserve">harmaceutical </w:t>
      </w:r>
      <w:r w:rsidRPr="00AA0C2E">
        <w:rPr>
          <w:rFonts w:ascii="Arial" w:hAnsi="Arial" w:cs="Arial"/>
          <w:szCs w:val="36"/>
        </w:rPr>
        <w:t>B</w:t>
      </w:r>
      <w:r w:rsidR="003A373B" w:rsidRPr="00AA0C2E">
        <w:rPr>
          <w:rFonts w:ascii="Arial" w:hAnsi="Arial" w:cs="Arial"/>
          <w:szCs w:val="36"/>
        </w:rPr>
        <w:t xml:space="preserve">enefits </w:t>
      </w:r>
      <w:r w:rsidRPr="00AA0C2E">
        <w:rPr>
          <w:rFonts w:ascii="Arial" w:hAnsi="Arial" w:cs="Arial"/>
          <w:szCs w:val="36"/>
        </w:rPr>
        <w:t>S</w:t>
      </w:r>
      <w:r w:rsidR="003A373B" w:rsidRPr="00AA0C2E">
        <w:rPr>
          <w:rFonts w:ascii="Arial" w:hAnsi="Arial" w:cs="Arial"/>
          <w:szCs w:val="36"/>
        </w:rPr>
        <w:t>cheme (PBS)</w:t>
      </w:r>
      <w:r w:rsidRPr="00AA0C2E">
        <w:rPr>
          <w:rFonts w:ascii="Arial" w:hAnsi="Arial" w:cs="Arial"/>
          <w:szCs w:val="36"/>
        </w:rPr>
        <w:t xml:space="preserve"> subsidised </w:t>
      </w:r>
      <w:r w:rsidR="00312075">
        <w:rPr>
          <w:rFonts w:ascii="Arial" w:hAnsi="Arial" w:cs="Arial"/>
          <w:szCs w:val="36"/>
        </w:rPr>
        <w:t>AZD9291</w:t>
      </w:r>
      <w:r w:rsidRPr="00AA0C2E">
        <w:rPr>
          <w:rFonts w:ascii="Arial" w:hAnsi="Arial" w:cs="Arial"/>
          <w:szCs w:val="36"/>
        </w:rPr>
        <w:t xml:space="preserve"> therapy in patient</w:t>
      </w:r>
      <w:r w:rsidR="00F0346B" w:rsidRPr="00AA0C2E">
        <w:rPr>
          <w:rFonts w:ascii="Arial" w:hAnsi="Arial" w:cs="Arial"/>
          <w:szCs w:val="36"/>
        </w:rPr>
        <w:t>s</w:t>
      </w:r>
      <w:r w:rsidRPr="00AA0C2E">
        <w:rPr>
          <w:rFonts w:ascii="Arial" w:hAnsi="Arial" w:cs="Arial"/>
          <w:szCs w:val="36"/>
        </w:rPr>
        <w:t xml:space="preserve"> with </w:t>
      </w:r>
      <w:r w:rsidR="00934CA0" w:rsidRPr="00AA0C2E">
        <w:rPr>
          <w:rFonts w:ascii="Arial" w:hAnsi="Arial" w:cs="Arial"/>
          <w:szCs w:val="36"/>
        </w:rPr>
        <w:t>locally advanced</w:t>
      </w:r>
      <w:r w:rsidR="00325BDC" w:rsidRPr="00AA0C2E">
        <w:rPr>
          <w:rFonts w:ascii="Arial" w:hAnsi="Arial" w:cs="Arial"/>
          <w:szCs w:val="36"/>
        </w:rPr>
        <w:t xml:space="preserve"> (Stage </w:t>
      </w:r>
      <w:proofErr w:type="spellStart"/>
      <w:r w:rsidR="00325BDC" w:rsidRPr="00AA0C2E">
        <w:rPr>
          <w:rFonts w:ascii="Arial" w:hAnsi="Arial" w:cs="Arial"/>
          <w:szCs w:val="36"/>
        </w:rPr>
        <w:t>IIIb</w:t>
      </w:r>
      <w:proofErr w:type="spellEnd"/>
      <w:r w:rsidR="00325BDC" w:rsidRPr="00AA0C2E">
        <w:rPr>
          <w:rFonts w:ascii="Arial" w:hAnsi="Arial" w:cs="Arial"/>
          <w:szCs w:val="36"/>
        </w:rPr>
        <w:t>)</w:t>
      </w:r>
      <w:r w:rsidR="00934CA0" w:rsidRPr="00AA0C2E">
        <w:rPr>
          <w:rFonts w:ascii="Arial" w:hAnsi="Arial" w:cs="Arial"/>
          <w:szCs w:val="36"/>
        </w:rPr>
        <w:t xml:space="preserve"> or metastatic</w:t>
      </w:r>
      <w:r w:rsidR="00325BDC" w:rsidRPr="00AA0C2E">
        <w:rPr>
          <w:rFonts w:ascii="Arial" w:hAnsi="Arial" w:cs="Arial"/>
          <w:szCs w:val="36"/>
        </w:rPr>
        <w:t xml:space="preserve"> (Stage IV) non-squamous or not otherwise specified (NOS)</w:t>
      </w:r>
      <w:r w:rsidR="00F0346B" w:rsidRPr="00AA0C2E">
        <w:rPr>
          <w:rFonts w:ascii="Arial" w:hAnsi="Arial" w:cs="Arial"/>
          <w:szCs w:val="36"/>
        </w:rPr>
        <w:t xml:space="preserve"> EGFR </w:t>
      </w:r>
      <w:r w:rsidR="003A373B" w:rsidRPr="00AA0C2E">
        <w:rPr>
          <w:rFonts w:ascii="Arial" w:hAnsi="Arial" w:cs="Arial"/>
          <w:szCs w:val="36"/>
        </w:rPr>
        <w:t xml:space="preserve">sensitising </w:t>
      </w:r>
      <w:r w:rsidR="00F0346B" w:rsidRPr="00AA0C2E">
        <w:rPr>
          <w:rFonts w:ascii="Arial" w:hAnsi="Arial" w:cs="Arial"/>
          <w:szCs w:val="36"/>
        </w:rPr>
        <w:t>mutation positive</w:t>
      </w:r>
      <w:r w:rsidR="00934CA0" w:rsidRPr="00AA0C2E">
        <w:rPr>
          <w:rFonts w:ascii="Arial" w:hAnsi="Arial" w:cs="Arial"/>
          <w:szCs w:val="36"/>
        </w:rPr>
        <w:t xml:space="preserve"> </w:t>
      </w:r>
      <w:r w:rsidR="00F0346B" w:rsidRPr="00AA0C2E">
        <w:rPr>
          <w:rFonts w:ascii="Arial" w:hAnsi="Arial" w:cs="Arial"/>
          <w:szCs w:val="36"/>
        </w:rPr>
        <w:t>(</w:t>
      </w:r>
      <w:proofErr w:type="spellStart"/>
      <w:r w:rsidR="00F0346B" w:rsidRPr="00AA0C2E">
        <w:rPr>
          <w:rFonts w:ascii="Arial" w:hAnsi="Arial" w:cs="Arial"/>
          <w:szCs w:val="36"/>
        </w:rPr>
        <w:t>EGFRm</w:t>
      </w:r>
      <w:proofErr w:type="spellEnd"/>
      <w:r w:rsidR="00F0346B" w:rsidRPr="00AA0C2E">
        <w:rPr>
          <w:rFonts w:ascii="Arial" w:hAnsi="Arial" w:cs="Arial"/>
          <w:szCs w:val="36"/>
        </w:rPr>
        <w:t xml:space="preserve">) </w:t>
      </w:r>
      <w:r w:rsidR="00934CA0" w:rsidRPr="00AA0C2E">
        <w:rPr>
          <w:rFonts w:ascii="Arial" w:hAnsi="Arial" w:cs="Arial"/>
          <w:szCs w:val="36"/>
        </w:rPr>
        <w:t>non-small cell lung cancer (N</w:t>
      </w:r>
      <w:r w:rsidRPr="00AA0C2E">
        <w:rPr>
          <w:rFonts w:ascii="Arial" w:hAnsi="Arial" w:cs="Arial"/>
          <w:szCs w:val="36"/>
        </w:rPr>
        <w:t>SCLC</w:t>
      </w:r>
      <w:r w:rsidR="00934CA0" w:rsidRPr="00AA0C2E">
        <w:rPr>
          <w:rFonts w:ascii="Arial" w:hAnsi="Arial" w:cs="Arial"/>
          <w:szCs w:val="36"/>
        </w:rPr>
        <w:t>)</w:t>
      </w:r>
      <w:r w:rsidR="00325BDC" w:rsidRPr="00AA0C2E">
        <w:rPr>
          <w:rFonts w:ascii="Arial" w:hAnsi="Arial" w:cs="Arial"/>
          <w:szCs w:val="36"/>
        </w:rPr>
        <w:t xml:space="preserve"> who have previous</w:t>
      </w:r>
      <w:r w:rsidR="00FC1A9F" w:rsidRPr="00AA0C2E">
        <w:rPr>
          <w:rFonts w:ascii="Arial" w:hAnsi="Arial" w:cs="Arial"/>
          <w:szCs w:val="36"/>
        </w:rPr>
        <w:t>ly received</w:t>
      </w:r>
      <w:r w:rsidR="00325BDC" w:rsidRPr="00AA0C2E">
        <w:rPr>
          <w:rFonts w:ascii="Arial" w:hAnsi="Arial" w:cs="Arial"/>
          <w:szCs w:val="36"/>
        </w:rPr>
        <w:t xml:space="preserve"> treatment with </w:t>
      </w:r>
      <w:r w:rsidR="008763F2" w:rsidRPr="00AA0C2E">
        <w:rPr>
          <w:rFonts w:ascii="Arial" w:hAnsi="Arial" w:cs="Arial"/>
          <w:szCs w:val="36"/>
        </w:rPr>
        <w:t>a</w:t>
      </w:r>
      <w:r w:rsidR="00165ECC" w:rsidRPr="00AA0C2E">
        <w:rPr>
          <w:rFonts w:ascii="Arial" w:hAnsi="Arial" w:cs="Arial"/>
          <w:szCs w:val="36"/>
        </w:rPr>
        <w:t>n</w:t>
      </w:r>
      <w:r w:rsidR="008763F2" w:rsidRPr="00AA0C2E">
        <w:rPr>
          <w:rFonts w:ascii="Arial" w:hAnsi="Arial" w:cs="Arial"/>
          <w:szCs w:val="36"/>
        </w:rPr>
        <w:t xml:space="preserve"> </w:t>
      </w:r>
      <w:r w:rsidR="00325BDC" w:rsidRPr="00AA0C2E">
        <w:rPr>
          <w:rFonts w:ascii="Arial" w:hAnsi="Arial" w:cs="Arial"/>
          <w:szCs w:val="36"/>
        </w:rPr>
        <w:t>EGFR T</w:t>
      </w:r>
      <w:r w:rsidR="00D64003" w:rsidRPr="00AA0C2E">
        <w:rPr>
          <w:rFonts w:ascii="Arial" w:hAnsi="Arial" w:cs="Arial"/>
          <w:szCs w:val="36"/>
        </w:rPr>
        <w:t xml:space="preserve">yrosine </w:t>
      </w:r>
      <w:r w:rsidR="00325BDC" w:rsidRPr="00AA0C2E">
        <w:rPr>
          <w:rFonts w:ascii="Arial" w:hAnsi="Arial" w:cs="Arial"/>
          <w:szCs w:val="36"/>
        </w:rPr>
        <w:t>K</w:t>
      </w:r>
      <w:r w:rsidR="00D64003" w:rsidRPr="00AA0C2E">
        <w:rPr>
          <w:rFonts w:ascii="Arial" w:hAnsi="Arial" w:cs="Arial"/>
          <w:szCs w:val="36"/>
        </w:rPr>
        <w:t xml:space="preserve">inase </w:t>
      </w:r>
      <w:r w:rsidR="00325BDC" w:rsidRPr="00AA0C2E">
        <w:rPr>
          <w:rFonts w:ascii="Arial" w:hAnsi="Arial" w:cs="Arial"/>
          <w:szCs w:val="36"/>
        </w:rPr>
        <w:t>I</w:t>
      </w:r>
      <w:r w:rsidR="00D64003" w:rsidRPr="00AA0C2E">
        <w:rPr>
          <w:rFonts w:ascii="Arial" w:hAnsi="Arial" w:cs="Arial"/>
          <w:szCs w:val="36"/>
        </w:rPr>
        <w:t>nhibitor</w:t>
      </w:r>
      <w:r w:rsidR="00A94974" w:rsidRPr="00AA0C2E">
        <w:rPr>
          <w:rFonts w:ascii="Arial" w:hAnsi="Arial" w:cs="Arial"/>
          <w:szCs w:val="36"/>
        </w:rPr>
        <w:t xml:space="preserve"> (TKI)</w:t>
      </w:r>
      <w:r w:rsidR="00D64003" w:rsidRPr="00AA0C2E">
        <w:rPr>
          <w:rFonts w:ascii="Arial" w:hAnsi="Arial" w:cs="Arial"/>
          <w:szCs w:val="36"/>
        </w:rPr>
        <w:t xml:space="preserve"> (</w:t>
      </w:r>
      <w:proofErr w:type="spellStart"/>
      <w:r w:rsidR="00D64003" w:rsidRPr="00AA0C2E">
        <w:rPr>
          <w:rFonts w:ascii="Arial" w:hAnsi="Arial" w:cs="Arial"/>
          <w:szCs w:val="36"/>
        </w:rPr>
        <w:t>gefitinib</w:t>
      </w:r>
      <w:proofErr w:type="spellEnd"/>
      <w:r w:rsidR="00D64003" w:rsidRPr="00AA0C2E">
        <w:rPr>
          <w:rFonts w:ascii="Arial" w:hAnsi="Arial" w:cs="Arial"/>
          <w:szCs w:val="36"/>
        </w:rPr>
        <w:t xml:space="preserve">, </w:t>
      </w:r>
      <w:proofErr w:type="spellStart"/>
      <w:r w:rsidR="00D64003" w:rsidRPr="00AA0C2E">
        <w:rPr>
          <w:rFonts w:ascii="Arial" w:hAnsi="Arial" w:cs="Arial"/>
          <w:szCs w:val="36"/>
        </w:rPr>
        <w:t>erlotinib</w:t>
      </w:r>
      <w:proofErr w:type="spellEnd"/>
      <w:r w:rsidR="00D64003" w:rsidRPr="00AA0C2E">
        <w:rPr>
          <w:rFonts w:ascii="Arial" w:hAnsi="Arial" w:cs="Arial"/>
          <w:szCs w:val="36"/>
        </w:rPr>
        <w:t xml:space="preserve">, </w:t>
      </w:r>
      <w:proofErr w:type="spellStart"/>
      <w:r w:rsidR="00D64003" w:rsidRPr="00AA0C2E">
        <w:rPr>
          <w:rFonts w:ascii="Arial" w:hAnsi="Arial" w:cs="Arial"/>
          <w:szCs w:val="36"/>
        </w:rPr>
        <w:t>afatinib</w:t>
      </w:r>
      <w:proofErr w:type="spellEnd"/>
      <w:r w:rsidR="00FC1A9F" w:rsidRPr="00AA0C2E">
        <w:rPr>
          <w:rFonts w:ascii="Arial" w:hAnsi="Arial" w:cs="Arial"/>
          <w:szCs w:val="36"/>
        </w:rPr>
        <w:t xml:space="preserve">), </w:t>
      </w:r>
      <w:r w:rsidR="00325BDC" w:rsidRPr="00AA0C2E">
        <w:rPr>
          <w:rFonts w:ascii="Arial" w:hAnsi="Arial" w:cs="Arial"/>
          <w:szCs w:val="36"/>
        </w:rPr>
        <w:t xml:space="preserve">have a </w:t>
      </w:r>
      <w:r w:rsidR="00FC1A9F" w:rsidRPr="00AA0C2E">
        <w:rPr>
          <w:rFonts w:ascii="Arial" w:hAnsi="Arial" w:cs="Arial"/>
          <w:szCs w:val="36"/>
        </w:rPr>
        <w:t xml:space="preserve">World Health Organisation (WHO) </w:t>
      </w:r>
      <w:r w:rsidR="00325BDC" w:rsidRPr="00AA0C2E">
        <w:rPr>
          <w:rFonts w:ascii="Arial" w:hAnsi="Arial" w:cs="Arial"/>
          <w:szCs w:val="36"/>
        </w:rPr>
        <w:t xml:space="preserve">Performance Status (PS) of 0 or 1 and </w:t>
      </w:r>
      <w:r w:rsidR="00BF0A58" w:rsidRPr="00AA0C2E">
        <w:rPr>
          <w:rFonts w:ascii="Arial" w:hAnsi="Arial" w:cs="Arial"/>
          <w:szCs w:val="36"/>
        </w:rPr>
        <w:t>have progressive disease</w:t>
      </w:r>
      <w:r w:rsidR="00C06CCA">
        <w:rPr>
          <w:rFonts w:ascii="Arial" w:hAnsi="Arial" w:cs="Arial"/>
          <w:szCs w:val="36"/>
        </w:rPr>
        <w:t>.</w:t>
      </w:r>
    </w:p>
    <w:p w14:paraId="5017B655" w14:textId="77777777" w:rsidR="00BC2CC2" w:rsidRPr="00A451AC" w:rsidRDefault="00BC2CC2" w:rsidP="00F029ED">
      <w:pPr>
        <w:pStyle w:val="ListParagraph"/>
        <w:spacing w:before="180"/>
        <w:ind w:left="0"/>
        <w:jc w:val="both"/>
        <w:rPr>
          <w:rFonts w:ascii="Arial" w:hAnsi="Arial" w:cs="Arial"/>
          <w:color w:val="365F91" w:themeColor="accent1" w:themeShade="BF"/>
          <w:szCs w:val="36"/>
        </w:rPr>
      </w:pPr>
    </w:p>
    <w:p w14:paraId="38BAC700" w14:textId="77777777" w:rsidR="00A90026" w:rsidRPr="00A90026" w:rsidRDefault="000C4286" w:rsidP="00A90026">
      <w:pPr>
        <w:pStyle w:val="Heading2"/>
      </w:pPr>
      <w:r w:rsidRPr="00FA05FC">
        <w:t>Purpose of application</w:t>
      </w:r>
    </w:p>
    <w:p w14:paraId="707128F5" w14:textId="77777777" w:rsidR="00325BDC" w:rsidRPr="00AA0C2E" w:rsidRDefault="00A451AC" w:rsidP="008B2295">
      <w:pPr>
        <w:spacing w:before="120" w:after="120" w:line="360" w:lineRule="auto"/>
        <w:jc w:val="both"/>
        <w:rPr>
          <w:rFonts w:ascii="Arial" w:hAnsi="Arial" w:cs="Arial"/>
          <w:szCs w:val="36"/>
        </w:rPr>
      </w:pPr>
      <w:r w:rsidRPr="00AA0C2E">
        <w:rPr>
          <w:rFonts w:ascii="Arial" w:hAnsi="Arial" w:cs="Arial"/>
          <w:szCs w:val="36"/>
        </w:rPr>
        <w:t xml:space="preserve">The </w:t>
      </w:r>
      <w:r w:rsidRPr="00AA0C2E">
        <w:rPr>
          <w:rFonts w:ascii="Arial" w:hAnsi="Arial" w:cs="Arial"/>
          <w:szCs w:val="36"/>
          <w:u w:val="single"/>
        </w:rPr>
        <w:t>purpose</w:t>
      </w:r>
      <w:r w:rsidRPr="00AA0C2E">
        <w:rPr>
          <w:rFonts w:ascii="Arial" w:hAnsi="Arial" w:cs="Arial"/>
          <w:szCs w:val="36"/>
        </w:rPr>
        <w:t xml:space="preserve"> of this application is to request the addition of </w:t>
      </w:r>
      <w:r w:rsidR="00325BDC" w:rsidRPr="00AA0C2E">
        <w:rPr>
          <w:rFonts w:ascii="Arial" w:hAnsi="Arial" w:cs="Arial"/>
          <w:szCs w:val="36"/>
        </w:rPr>
        <w:t>a new MBS item code with the proposed item descriptor:</w:t>
      </w:r>
    </w:p>
    <w:p w14:paraId="403D36AA" w14:textId="6C8CA946" w:rsidR="00325BDC" w:rsidRPr="00AA0C2E" w:rsidRDefault="00325BDC" w:rsidP="008B2295">
      <w:pPr>
        <w:spacing w:before="120" w:after="120" w:line="360" w:lineRule="auto"/>
        <w:jc w:val="both"/>
        <w:rPr>
          <w:rFonts w:ascii="Arial" w:hAnsi="Arial" w:cs="Arial"/>
          <w:i/>
          <w:szCs w:val="36"/>
        </w:rPr>
      </w:pPr>
      <w:r w:rsidRPr="00AA0C2E">
        <w:rPr>
          <w:rFonts w:ascii="Arial" w:hAnsi="Arial" w:cs="Arial"/>
          <w:i/>
          <w:szCs w:val="36"/>
        </w:rPr>
        <w:t>‘A test of tumour DNA</w:t>
      </w:r>
      <w:r w:rsidR="00FD1E9F" w:rsidRPr="003F273B">
        <w:rPr>
          <w:rFonts w:ascii="Arial" w:hAnsi="Arial" w:cs="Arial"/>
          <w:i/>
          <w:szCs w:val="36"/>
        </w:rPr>
        <w:t xml:space="preserve">, </w:t>
      </w:r>
      <w:r w:rsidR="007E33BC" w:rsidRPr="003F273B">
        <w:rPr>
          <w:rFonts w:ascii="Arial" w:hAnsi="Arial" w:cs="Arial"/>
          <w:i/>
          <w:szCs w:val="36"/>
        </w:rPr>
        <w:t xml:space="preserve">derived from </w:t>
      </w:r>
      <w:r w:rsidR="00D025B2" w:rsidRPr="00217570">
        <w:rPr>
          <w:rFonts w:ascii="Arial" w:hAnsi="Arial" w:cs="Arial"/>
          <w:i/>
          <w:szCs w:val="36"/>
        </w:rPr>
        <w:t xml:space="preserve">a new </w:t>
      </w:r>
      <w:r w:rsidR="007E33BC" w:rsidRPr="003F273B">
        <w:rPr>
          <w:rFonts w:ascii="Arial" w:hAnsi="Arial" w:cs="Arial"/>
          <w:i/>
          <w:szCs w:val="36"/>
        </w:rPr>
        <w:t>tissue</w:t>
      </w:r>
      <w:r w:rsidR="00D025B2" w:rsidRPr="003F273B">
        <w:rPr>
          <w:rFonts w:ascii="Arial" w:hAnsi="Arial" w:cs="Arial"/>
          <w:i/>
          <w:szCs w:val="36"/>
        </w:rPr>
        <w:t xml:space="preserve"> sample</w:t>
      </w:r>
      <w:r w:rsidR="00FD1E9F" w:rsidRPr="00AA0C2E">
        <w:rPr>
          <w:rFonts w:ascii="Arial" w:hAnsi="Arial" w:cs="Arial"/>
          <w:i/>
          <w:szCs w:val="36"/>
        </w:rPr>
        <w:t>,</w:t>
      </w:r>
      <w:r w:rsidRPr="00AA0C2E">
        <w:rPr>
          <w:rFonts w:ascii="Arial" w:hAnsi="Arial" w:cs="Arial"/>
          <w:i/>
          <w:szCs w:val="36"/>
        </w:rPr>
        <w:t xml:space="preserve"> from a patient with</w:t>
      </w:r>
      <w:r w:rsidR="00FD1E9F" w:rsidRPr="00AA0C2E">
        <w:rPr>
          <w:rFonts w:ascii="Arial" w:hAnsi="Arial" w:cs="Arial"/>
          <w:i/>
          <w:szCs w:val="36"/>
        </w:rPr>
        <w:t xml:space="preserve"> </w:t>
      </w:r>
      <w:r w:rsidR="00D025B2">
        <w:rPr>
          <w:rFonts w:ascii="Arial" w:hAnsi="Arial" w:cs="Arial"/>
          <w:i/>
          <w:szCs w:val="36"/>
        </w:rPr>
        <w:t xml:space="preserve">locally advanced (Stage </w:t>
      </w:r>
      <w:proofErr w:type="spellStart"/>
      <w:r w:rsidR="00D025B2">
        <w:rPr>
          <w:rFonts w:ascii="Arial" w:hAnsi="Arial" w:cs="Arial"/>
          <w:i/>
          <w:szCs w:val="36"/>
        </w:rPr>
        <w:t>IIIb</w:t>
      </w:r>
      <w:proofErr w:type="spellEnd"/>
      <w:r w:rsidR="00D025B2">
        <w:rPr>
          <w:rFonts w:ascii="Arial" w:hAnsi="Arial" w:cs="Arial"/>
          <w:i/>
          <w:szCs w:val="36"/>
        </w:rPr>
        <w:t>) or metastatic (Stage IV)</w:t>
      </w:r>
      <w:r w:rsidR="00EF0638">
        <w:rPr>
          <w:rFonts w:ascii="Arial" w:hAnsi="Arial" w:cs="Arial"/>
          <w:i/>
          <w:szCs w:val="36"/>
        </w:rPr>
        <w:t xml:space="preserve">, non-squamous or not otherwise specified (NOS) </w:t>
      </w:r>
      <w:r w:rsidRPr="00AA0C2E">
        <w:rPr>
          <w:rFonts w:ascii="Arial" w:hAnsi="Arial" w:cs="Arial"/>
          <w:i/>
          <w:szCs w:val="36"/>
        </w:rPr>
        <w:t>non-small cell lung cancer</w:t>
      </w:r>
      <w:r w:rsidR="00EF0638">
        <w:rPr>
          <w:rFonts w:ascii="Arial" w:hAnsi="Arial" w:cs="Arial"/>
          <w:i/>
          <w:szCs w:val="36"/>
        </w:rPr>
        <w:t xml:space="preserve"> (NSCLC)</w:t>
      </w:r>
      <w:r w:rsidR="007E33BC" w:rsidRPr="00AA0C2E">
        <w:rPr>
          <w:rFonts w:ascii="Arial" w:hAnsi="Arial" w:cs="Arial"/>
          <w:i/>
          <w:szCs w:val="36"/>
        </w:rPr>
        <w:t>,</w:t>
      </w:r>
      <w:r w:rsidR="00FD1E9F" w:rsidRPr="00AA0C2E">
        <w:rPr>
          <w:rFonts w:ascii="Arial" w:hAnsi="Arial" w:cs="Arial"/>
          <w:i/>
          <w:szCs w:val="36"/>
        </w:rPr>
        <w:t xml:space="preserve"> </w:t>
      </w:r>
      <w:r w:rsidR="00EF0638">
        <w:rPr>
          <w:rFonts w:ascii="Arial" w:hAnsi="Arial" w:cs="Arial"/>
          <w:i/>
          <w:szCs w:val="36"/>
        </w:rPr>
        <w:t>with a sensitising EGFR mutation</w:t>
      </w:r>
      <w:r w:rsidR="00D23ED3">
        <w:rPr>
          <w:rFonts w:ascii="Arial" w:hAnsi="Arial" w:cs="Arial"/>
          <w:i/>
          <w:szCs w:val="36"/>
        </w:rPr>
        <w:t xml:space="preserve"> (</w:t>
      </w:r>
      <w:proofErr w:type="spellStart"/>
      <w:r w:rsidR="00D23ED3">
        <w:rPr>
          <w:rFonts w:ascii="Arial" w:hAnsi="Arial" w:cs="Arial"/>
          <w:i/>
          <w:szCs w:val="36"/>
        </w:rPr>
        <w:t>EGFRm</w:t>
      </w:r>
      <w:proofErr w:type="spellEnd"/>
      <w:r w:rsidR="00D23ED3">
        <w:rPr>
          <w:rFonts w:ascii="Arial" w:hAnsi="Arial" w:cs="Arial"/>
          <w:i/>
          <w:szCs w:val="36"/>
        </w:rPr>
        <w:t>)</w:t>
      </w:r>
      <w:r w:rsidR="007E33BC" w:rsidRPr="00AA0C2E">
        <w:rPr>
          <w:rFonts w:ascii="Arial" w:hAnsi="Arial" w:cs="Arial"/>
          <w:i/>
          <w:szCs w:val="36"/>
        </w:rPr>
        <w:t xml:space="preserve"> </w:t>
      </w:r>
      <w:r w:rsidR="00FD1E9F" w:rsidRPr="00AA0C2E">
        <w:rPr>
          <w:rFonts w:ascii="Arial" w:hAnsi="Arial" w:cs="Arial"/>
          <w:i/>
          <w:szCs w:val="36"/>
        </w:rPr>
        <w:t xml:space="preserve">who has </w:t>
      </w:r>
      <w:r w:rsidR="00D64003" w:rsidRPr="00AA0C2E">
        <w:rPr>
          <w:rFonts w:ascii="Arial" w:hAnsi="Arial" w:cs="Arial"/>
          <w:i/>
          <w:szCs w:val="36"/>
        </w:rPr>
        <w:t>previous</w:t>
      </w:r>
      <w:r w:rsidR="00FC1A9F" w:rsidRPr="00AA0C2E">
        <w:rPr>
          <w:rFonts w:ascii="Arial" w:hAnsi="Arial" w:cs="Arial"/>
          <w:i/>
          <w:szCs w:val="36"/>
        </w:rPr>
        <w:t>ly received</w:t>
      </w:r>
      <w:r w:rsidR="00FD1E9F" w:rsidRPr="00AA0C2E">
        <w:rPr>
          <w:rFonts w:ascii="Arial" w:hAnsi="Arial" w:cs="Arial"/>
          <w:i/>
          <w:szCs w:val="36"/>
        </w:rPr>
        <w:t xml:space="preserve"> treatment with an EGFR TKI (</w:t>
      </w:r>
      <w:proofErr w:type="spellStart"/>
      <w:r w:rsidR="00FD1E9F" w:rsidRPr="00AA0C2E">
        <w:rPr>
          <w:rFonts w:ascii="Arial" w:hAnsi="Arial" w:cs="Arial"/>
          <w:i/>
          <w:szCs w:val="36"/>
        </w:rPr>
        <w:t>gefitinib</w:t>
      </w:r>
      <w:proofErr w:type="spellEnd"/>
      <w:r w:rsidR="00FD1E9F" w:rsidRPr="00AA0C2E">
        <w:rPr>
          <w:rFonts w:ascii="Arial" w:hAnsi="Arial" w:cs="Arial"/>
          <w:i/>
          <w:szCs w:val="36"/>
        </w:rPr>
        <w:t xml:space="preserve">, </w:t>
      </w:r>
      <w:proofErr w:type="spellStart"/>
      <w:r w:rsidR="00FD1E9F" w:rsidRPr="00AA0C2E">
        <w:rPr>
          <w:rFonts w:ascii="Arial" w:hAnsi="Arial" w:cs="Arial"/>
          <w:i/>
          <w:szCs w:val="36"/>
        </w:rPr>
        <w:t>erlotinib</w:t>
      </w:r>
      <w:proofErr w:type="spellEnd"/>
      <w:r w:rsidR="00FD1E9F" w:rsidRPr="00AA0C2E">
        <w:rPr>
          <w:rFonts w:ascii="Arial" w:hAnsi="Arial" w:cs="Arial"/>
          <w:i/>
          <w:szCs w:val="36"/>
        </w:rPr>
        <w:t xml:space="preserve">, </w:t>
      </w:r>
      <w:proofErr w:type="spellStart"/>
      <w:r w:rsidR="00FD1E9F" w:rsidRPr="00AA0C2E">
        <w:rPr>
          <w:rFonts w:ascii="Arial" w:hAnsi="Arial" w:cs="Arial"/>
          <w:i/>
          <w:szCs w:val="36"/>
        </w:rPr>
        <w:t>afatinib</w:t>
      </w:r>
      <w:proofErr w:type="spellEnd"/>
      <w:r w:rsidR="00FD1E9F" w:rsidRPr="00AA0C2E">
        <w:rPr>
          <w:rFonts w:ascii="Arial" w:hAnsi="Arial" w:cs="Arial"/>
          <w:i/>
          <w:szCs w:val="36"/>
        </w:rPr>
        <w:t>)</w:t>
      </w:r>
      <w:r w:rsidR="008A1274" w:rsidRPr="00AA0C2E">
        <w:rPr>
          <w:rFonts w:ascii="Arial" w:hAnsi="Arial" w:cs="Arial"/>
          <w:i/>
          <w:szCs w:val="36"/>
        </w:rPr>
        <w:t xml:space="preserve"> </w:t>
      </w:r>
      <w:r w:rsidR="00BB4233" w:rsidRPr="00AA0C2E">
        <w:rPr>
          <w:rFonts w:ascii="Arial" w:hAnsi="Arial" w:cs="Arial"/>
          <w:i/>
          <w:szCs w:val="36"/>
        </w:rPr>
        <w:t>and</w:t>
      </w:r>
      <w:r w:rsidR="00FD1E9F" w:rsidRPr="00AA0C2E">
        <w:rPr>
          <w:rFonts w:ascii="Arial" w:hAnsi="Arial" w:cs="Arial"/>
          <w:i/>
          <w:szCs w:val="36"/>
        </w:rPr>
        <w:t xml:space="preserve"> ha</w:t>
      </w:r>
      <w:r w:rsidR="00BB4233" w:rsidRPr="00AA0C2E">
        <w:rPr>
          <w:rFonts w:ascii="Arial" w:hAnsi="Arial" w:cs="Arial"/>
          <w:i/>
          <w:szCs w:val="36"/>
        </w:rPr>
        <w:t>ve</w:t>
      </w:r>
      <w:r w:rsidR="00FD1E9F" w:rsidRPr="00AA0C2E">
        <w:rPr>
          <w:rFonts w:ascii="Arial" w:hAnsi="Arial" w:cs="Arial"/>
          <w:i/>
          <w:szCs w:val="36"/>
        </w:rPr>
        <w:t xml:space="preserve"> progress</w:t>
      </w:r>
      <w:r w:rsidR="00BB4233" w:rsidRPr="00AA0C2E">
        <w:rPr>
          <w:rFonts w:ascii="Arial" w:hAnsi="Arial" w:cs="Arial"/>
          <w:i/>
          <w:szCs w:val="36"/>
        </w:rPr>
        <w:t>ive disease</w:t>
      </w:r>
      <w:r w:rsidR="00FD1E9F" w:rsidRPr="00AA0C2E">
        <w:rPr>
          <w:rFonts w:ascii="Arial" w:hAnsi="Arial" w:cs="Arial"/>
          <w:i/>
          <w:szCs w:val="36"/>
        </w:rPr>
        <w:t xml:space="preserve">, </w:t>
      </w:r>
      <w:r w:rsidR="007E33BC" w:rsidRPr="00AA0C2E">
        <w:rPr>
          <w:rFonts w:ascii="Arial" w:hAnsi="Arial" w:cs="Arial"/>
          <w:i/>
          <w:szCs w:val="36"/>
        </w:rPr>
        <w:t xml:space="preserve">requested by a specialist or consultant physician, to determine if the requirements relating to epidermal growth factor receptor (EGFR) gene status for access to </w:t>
      </w:r>
      <w:r w:rsidR="00312075">
        <w:rPr>
          <w:rFonts w:ascii="Arial" w:hAnsi="Arial" w:cs="Arial"/>
          <w:i/>
          <w:szCs w:val="36"/>
        </w:rPr>
        <w:t>AZD9291</w:t>
      </w:r>
      <w:r w:rsidR="00EF0638" w:rsidRPr="00AA0C2E">
        <w:rPr>
          <w:rFonts w:ascii="Arial" w:hAnsi="Arial" w:cs="Arial"/>
          <w:i/>
          <w:szCs w:val="36"/>
        </w:rPr>
        <w:t xml:space="preserve"> </w:t>
      </w:r>
      <w:r w:rsidR="007E33BC" w:rsidRPr="00AA0C2E">
        <w:rPr>
          <w:rFonts w:ascii="Arial" w:hAnsi="Arial" w:cs="Arial"/>
          <w:i/>
          <w:szCs w:val="36"/>
        </w:rPr>
        <w:t>under the Pharmaceutical Benefits Scheme (PBS) are fulfilled.</w:t>
      </w:r>
      <w:r w:rsidR="004C6794" w:rsidRPr="00AA0C2E">
        <w:rPr>
          <w:rFonts w:ascii="Arial" w:hAnsi="Arial" w:cs="Arial"/>
          <w:i/>
          <w:szCs w:val="36"/>
        </w:rPr>
        <w:t>’</w:t>
      </w:r>
    </w:p>
    <w:p w14:paraId="0766F4BF" w14:textId="6B46E5ED" w:rsidR="008B2903" w:rsidRPr="00AA0C2E" w:rsidRDefault="00A451AC" w:rsidP="008B2295">
      <w:pPr>
        <w:spacing w:before="120" w:after="120" w:line="360" w:lineRule="auto"/>
        <w:jc w:val="both"/>
        <w:rPr>
          <w:rFonts w:ascii="Arial" w:hAnsi="Arial" w:cs="Arial"/>
          <w:szCs w:val="36"/>
        </w:rPr>
      </w:pPr>
      <w:r w:rsidRPr="00AA0C2E">
        <w:rPr>
          <w:rFonts w:ascii="Arial" w:hAnsi="Arial" w:cs="Arial"/>
          <w:szCs w:val="36"/>
        </w:rPr>
        <w:t>PBS lis</w:t>
      </w:r>
      <w:r w:rsidR="00934CA0" w:rsidRPr="00AA0C2E">
        <w:rPr>
          <w:rFonts w:ascii="Arial" w:hAnsi="Arial" w:cs="Arial"/>
          <w:szCs w:val="36"/>
        </w:rPr>
        <w:t xml:space="preserve">ting for </w:t>
      </w:r>
      <w:r w:rsidR="00312075">
        <w:rPr>
          <w:rFonts w:ascii="Arial" w:hAnsi="Arial" w:cs="Arial"/>
          <w:szCs w:val="36"/>
        </w:rPr>
        <w:t>AZD9291</w:t>
      </w:r>
      <w:r w:rsidR="00934CA0" w:rsidRPr="00AA0C2E">
        <w:rPr>
          <w:rFonts w:ascii="Arial" w:hAnsi="Arial" w:cs="Arial"/>
          <w:szCs w:val="36"/>
        </w:rPr>
        <w:t xml:space="preserve"> will be sought</w:t>
      </w:r>
      <w:r w:rsidR="00B640D3" w:rsidRPr="00AA0C2E">
        <w:rPr>
          <w:rFonts w:ascii="Arial" w:hAnsi="Arial" w:cs="Arial"/>
          <w:szCs w:val="36"/>
        </w:rPr>
        <w:t xml:space="preserve"> </w:t>
      </w:r>
      <w:r w:rsidR="00934CA0" w:rsidRPr="00AA0C2E">
        <w:rPr>
          <w:rFonts w:ascii="Arial" w:hAnsi="Arial" w:cs="Arial"/>
          <w:szCs w:val="36"/>
        </w:rPr>
        <w:t>for</w:t>
      </w:r>
      <w:r w:rsidR="00B640D3" w:rsidRPr="00AA0C2E">
        <w:rPr>
          <w:rFonts w:ascii="Arial" w:hAnsi="Arial" w:cs="Arial"/>
          <w:szCs w:val="36"/>
        </w:rPr>
        <w:t xml:space="preserve"> </w:t>
      </w:r>
      <w:r w:rsidR="00934CA0" w:rsidRPr="00AA0C2E">
        <w:rPr>
          <w:rFonts w:ascii="Arial" w:hAnsi="Arial" w:cs="Arial"/>
          <w:szCs w:val="36"/>
        </w:rPr>
        <w:t>treatment of patients with locally advanced</w:t>
      </w:r>
      <w:r w:rsidR="00D64003" w:rsidRPr="00AA0C2E">
        <w:rPr>
          <w:rFonts w:ascii="Arial" w:hAnsi="Arial" w:cs="Arial"/>
          <w:szCs w:val="36"/>
        </w:rPr>
        <w:t xml:space="preserve"> (Stage </w:t>
      </w:r>
      <w:proofErr w:type="spellStart"/>
      <w:r w:rsidR="00D64003" w:rsidRPr="00AA0C2E">
        <w:rPr>
          <w:rFonts w:ascii="Arial" w:hAnsi="Arial" w:cs="Arial"/>
          <w:szCs w:val="36"/>
        </w:rPr>
        <w:t>IIIb</w:t>
      </w:r>
      <w:proofErr w:type="spellEnd"/>
      <w:r w:rsidR="00D64003" w:rsidRPr="00AA0C2E">
        <w:rPr>
          <w:rFonts w:ascii="Arial" w:hAnsi="Arial" w:cs="Arial"/>
          <w:szCs w:val="36"/>
        </w:rPr>
        <w:t>)</w:t>
      </w:r>
      <w:r w:rsidR="00934CA0" w:rsidRPr="00AA0C2E">
        <w:rPr>
          <w:rFonts w:ascii="Arial" w:hAnsi="Arial" w:cs="Arial"/>
          <w:szCs w:val="36"/>
        </w:rPr>
        <w:t xml:space="preserve"> or metastatic</w:t>
      </w:r>
      <w:r w:rsidR="00D64003" w:rsidRPr="00AA0C2E">
        <w:rPr>
          <w:rFonts w:ascii="Arial" w:hAnsi="Arial" w:cs="Arial"/>
          <w:szCs w:val="36"/>
        </w:rPr>
        <w:t xml:space="preserve"> (Stage IV) non-squamous or NOS</w:t>
      </w:r>
      <w:r w:rsidR="00934CA0" w:rsidRPr="00AA0C2E">
        <w:rPr>
          <w:rFonts w:ascii="Arial" w:hAnsi="Arial" w:cs="Arial"/>
          <w:szCs w:val="36"/>
        </w:rPr>
        <w:t xml:space="preserve"> </w:t>
      </w:r>
      <w:r w:rsidR="004A6A6B" w:rsidRPr="00AA0C2E">
        <w:rPr>
          <w:rFonts w:ascii="Arial" w:hAnsi="Arial" w:cs="Arial"/>
          <w:szCs w:val="36"/>
        </w:rPr>
        <w:t xml:space="preserve">EGFR </w:t>
      </w:r>
      <w:r w:rsidR="009106BE" w:rsidRPr="00AA0C2E">
        <w:rPr>
          <w:rFonts w:ascii="Arial" w:hAnsi="Arial" w:cs="Arial"/>
          <w:szCs w:val="36"/>
        </w:rPr>
        <w:t>mutation positive</w:t>
      </w:r>
      <w:r w:rsidR="004A6A6B" w:rsidRPr="00AA0C2E">
        <w:rPr>
          <w:rFonts w:ascii="Arial" w:hAnsi="Arial" w:cs="Arial"/>
          <w:szCs w:val="36"/>
        </w:rPr>
        <w:t xml:space="preserve"> </w:t>
      </w:r>
      <w:r w:rsidR="00934CA0" w:rsidRPr="00AA0C2E">
        <w:rPr>
          <w:rFonts w:ascii="Arial" w:hAnsi="Arial" w:cs="Arial"/>
          <w:szCs w:val="36"/>
        </w:rPr>
        <w:t xml:space="preserve">NSCLC </w:t>
      </w:r>
      <w:r w:rsidR="00F029ED" w:rsidRPr="00AA0C2E">
        <w:rPr>
          <w:rFonts w:ascii="Arial" w:hAnsi="Arial" w:cs="Arial"/>
          <w:szCs w:val="36"/>
        </w:rPr>
        <w:t xml:space="preserve">who </w:t>
      </w:r>
      <w:r w:rsidR="003D0329" w:rsidRPr="00AA0C2E">
        <w:rPr>
          <w:rFonts w:ascii="Arial" w:hAnsi="Arial" w:cs="Arial"/>
          <w:szCs w:val="36"/>
        </w:rPr>
        <w:t xml:space="preserve">have </w:t>
      </w:r>
      <w:r w:rsidR="00F029ED" w:rsidRPr="00AA0C2E">
        <w:rPr>
          <w:rFonts w:ascii="Arial" w:hAnsi="Arial" w:cs="Arial"/>
          <w:szCs w:val="36"/>
        </w:rPr>
        <w:t>previously received</w:t>
      </w:r>
      <w:r w:rsidR="00934CA0" w:rsidRPr="00AA0C2E">
        <w:rPr>
          <w:rFonts w:ascii="Arial" w:hAnsi="Arial" w:cs="Arial"/>
          <w:szCs w:val="36"/>
        </w:rPr>
        <w:t xml:space="preserve"> EGFR TKI therapy</w:t>
      </w:r>
      <w:r w:rsidR="00165ECC" w:rsidRPr="00AA0C2E">
        <w:rPr>
          <w:rFonts w:ascii="Arial" w:hAnsi="Arial" w:cs="Arial"/>
          <w:szCs w:val="36"/>
        </w:rPr>
        <w:t xml:space="preserve"> (</w:t>
      </w:r>
      <w:proofErr w:type="spellStart"/>
      <w:r w:rsidR="00165ECC" w:rsidRPr="00AA0C2E">
        <w:rPr>
          <w:rFonts w:ascii="Arial" w:hAnsi="Arial" w:cs="Arial"/>
          <w:szCs w:val="36"/>
        </w:rPr>
        <w:t>gefitinib</w:t>
      </w:r>
      <w:proofErr w:type="spellEnd"/>
      <w:r w:rsidR="00165ECC" w:rsidRPr="00AA0C2E">
        <w:rPr>
          <w:rFonts w:ascii="Arial" w:hAnsi="Arial" w:cs="Arial"/>
          <w:szCs w:val="36"/>
        </w:rPr>
        <w:t xml:space="preserve">, </w:t>
      </w:r>
      <w:proofErr w:type="spellStart"/>
      <w:r w:rsidR="00165ECC" w:rsidRPr="00AA0C2E">
        <w:rPr>
          <w:rFonts w:ascii="Arial" w:hAnsi="Arial" w:cs="Arial"/>
          <w:szCs w:val="36"/>
        </w:rPr>
        <w:t>erlotinib</w:t>
      </w:r>
      <w:proofErr w:type="spellEnd"/>
      <w:r w:rsidR="00165ECC" w:rsidRPr="00AA0C2E">
        <w:rPr>
          <w:rFonts w:ascii="Arial" w:hAnsi="Arial" w:cs="Arial"/>
          <w:szCs w:val="36"/>
        </w:rPr>
        <w:t xml:space="preserve">, </w:t>
      </w:r>
      <w:proofErr w:type="spellStart"/>
      <w:r w:rsidR="00165ECC" w:rsidRPr="00AA0C2E">
        <w:rPr>
          <w:rFonts w:ascii="Arial" w:hAnsi="Arial" w:cs="Arial"/>
          <w:szCs w:val="36"/>
        </w:rPr>
        <w:t>afatinib</w:t>
      </w:r>
      <w:proofErr w:type="spellEnd"/>
      <w:r w:rsidR="00E01907" w:rsidRPr="00AA0C2E">
        <w:rPr>
          <w:rFonts w:ascii="Arial" w:hAnsi="Arial" w:cs="Arial"/>
          <w:szCs w:val="36"/>
        </w:rPr>
        <w:t>)</w:t>
      </w:r>
      <w:r w:rsidR="000C5B89" w:rsidRPr="00AA0C2E">
        <w:rPr>
          <w:rFonts w:ascii="Arial" w:hAnsi="Arial" w:cs="Arial"/>
          <w:szCs w:val="36"/>
        </w:rPr>
        <w:t xml:space="preserve">, </w:t>
      </w:r>
      <w:r w:rsidR="00BB4233" w:rsidRPr="00AA0C2E">
        <w:rPr>
          <w:rFonts w:ascii="Arial" w:hAnsi="Arial" w:cs="Arial"/>
          <w:szCs w:val="36"/>
        </w:rPr>
        <w:t xml:space="preserve">who have </w:t>
      </w:r>
      <w:r w:rsidR="00460FA9" w:rsidRPr="00AA0C2E">
        <w:rPr>
          <w:rFonts w:ascii="Arial" w:hAnsi="Arial" w:cs="Arial"/>
          <w:szCs w:val="36"/>
        </w:rPr>
        <w:t>progress</w:t>
      </w:r>
      <w:r w:rsidR="00BB4233" w:rsidRPr="00AA0C2E">
        <w:rPr>
          <w:rFonts w:ascii="Arial" w:hAnsi="Arial" w:cs="Arial"/>
          <w:szCs w:val="36"/>
        </w:rPr>
        <w:t>ive disease</w:t>
      </w:r>
      <w:r w:rsidR="00112659" w:rsidRPr="00AA0C2E">
        <w:rPr>
          <w:rFonts w:ascii="Arial" w:hAnsi="Arial" w:cs="Arial"/>
          <w:szCs w:val="36"/>
        </w:rPr>
        <w:t>, PS 0-1,</w:t>
      </w:r>
      <w:r w:rsidR="00934CA0" w:rsidRPr="00AA0C2E">
        <w:rPr>
          <w:rFonts w:ascii="Arial" w:hAnsi="Arial" w:cs="Arial"/>
          <w:szCs w:val="36"/>
        </w:rPr>
        <w:t xml:space="preserve"> and whose tumour</w:t>
      </w:r>
      <w:r w:rsidR="004A6A6B" w:rsidRPr="00AA0C2E">
        <w:rPr>
          <w:rFonts w:ascii="Arial" w:hAnsi="Arial" w:cs="Arial"/>
          <w:szCs w:val="36"/>
        </w:rPr>
        <w:t>(</w:t>
      </w:r>
      <w:r w:rsidR="00934CA0" w:rsidRPr="00AA0C2E">
        <w:rPr>
          <w:rFonts w:ascii="Arial" w:hAnsi="Arial" w:cs="Arial"/>
          <w:szCs w:val="36"/>
        </w:rPr>
        <w:t>s</w:t>
      </w:r>
      <w:r w:rsidR="004A6A6B" w:rsidRPr="00AA0C2E">
        <w:rPr>
          <w:rFonts w:ascii="Arial" w:hAnsi="Arial" w:cs="Arial"/>
          <w:szCs w:val="36"/>
        </w:rPr>
        <w:t>)</w:t>
      </w:r>
      <w:r w:rsidR="00934CA0" w:rsidRPr="00AA0C2E">
        <w:rPr>
          <w:rFonts w:ascii="Arial" w:hAnsi="Arial" w:cs="Arial"/>
          <w:szCs w:val="36"/>
        </w:rPr>
        <w:t xml:space="preserve"> harbour a T790M </w:t>
      </w:r>
      <w:r w:rsidR="00B640D3" w:rsidRPr="00AA0C2E">
        <w:rPr>
          <w:rFonts w:ascii="Arial" w:hAnsi="Arial" w:cs="Arial"/>
          <w:szCs w:val="36"/>
        </w:rPr>
        <w:t xml:space="preserve">resistance </w:t>
      </w:r>
      <w:r w:rsidR="00934CA0" w:rsidRPr="00AA0C2E">
        <w:rPr>
          <w:rFonts w:ascii="Arial" w:hAnsi="Arial" w:cs="Arial"/>
          <w:szCs w:val="36"/>
        </w:rPr>
        <w:t>mutation within the EGFR gene.</w:t>
      </w:r>
      <w:r w:rsidR="00B640D3" w:rsidRPr="00AA0C2E">
        <w:rPr>
          <w:rFonts w:ascii="Arial" w:hAnsi="Arial" w:cs="Arial"/>
          <w:szCs w:val="36"/>
        </w:rPr>
        <w:t xml:space="preserve"> </w:t>
      </w:r>
    </w:p>
    <w:p w14:paraId="13C806D3" w14:textId="64B8DD25" w:rsidR="004C6794" w:rsidRPr="00AA0C2E" w:rsidRDefault="004C6794" w:rsidP="008B2295">
      <w:pPr>
        <w:spacing w:before="120" w:after="120" w:line="360" w:lineRule="auto"/>
        <w:jc w:val="both"/>
        <w:rPr>
          <w:rFonts w:ascii="Arial" w:hAnsi="Arial" w:cs="Arial"/>
          <w:szCs w:val="36"/>
        </w:rPr>
      </w:pPr>
      <w:r w:rsidRPr="00AA0C2E">
        <w:rPr>
          <w:rFonts w:ascii="Arial" w:hAnsi="Arial" w:cs="Arial"/>
          <w:szCs w:val="36"/>
        </w:rPr>
        <w:t xml:space="preserve">The consequence of </w:t>
      </w:r>
      <w:r w:rsidR="00BC6058" w:rsidRPr="00AA0C2E">
        <w:rPr>
          <w:rFonts w:ascii="Arial" w:hAnsi="Arial" w:cs="Arial"/>
          <w:szCs w:val="36"/>
        </w:rPr>
        <w:t>a</w:t>
      </w:r>
      <w:r w:rsidRPr="00AA0C2E">
        <w:rPr>
          <w:rFonts w:ascii="Arial" w:hAnsi="Arial" w:cs="Arial"/>
          <w:szCs w:val="36"/>
        </w:rPr>
        <w:t xml:space="preserve"> new MBS item would be a requirement for an additional</w:t>
      </w:r>
      <w:r w:rsidR="00E01907" w:rsidRPr="00AA0C2E">
        <w:rPr>
          <w:rFonts w:ascii="Arial" w:hAnsi="Arial" w:cs="Arial"/>
          <w:szCs w:val="36"/>
        </w:rPr>
        <w:t xml:space="preserve"> tumour DNA sample</w:t>
      </w:r>
      <w:r w:rsidR="00BD18E7" w:rsidRPr="00AA0C2E">
        <w:rPr>
          <w:rFonts w:ascii="Arial" w:hAnsi="Arial" w:cs="Arial"/>
          <w:szCs w:val="36"/>
        </w:rPr>
        <w:t xml:space="preserve"> </w:t>
      </w:r>
      <w:r w:rsidR="00D06E8D" w:rsidRPr="00AA0C2E">
        <w:rPr>
          <w:rFonts w:ascii="Arial" w:hAnsi="Arial" w:cs="Arial"/>
          <w:szCs w:val="36"/>
        </w:rPr>
        <w:t>and an additional EGFR mutation test (currently MBS item 73337) for eligible patients.</w:t>
      </w:r>
      <w:r w:rsidR="00DC215F">
        <w:rPr>
          <w:rFonts w:ascii="Arial" w:hAnsi="Arial" w:cs="Arial"/>
          <w:szCs w:val="36"/>
        </w:rPr>
        <w:t xml:space="preserve"> </w:t>
      </w:r>
    </w:p>
    <w:p w14:paraId="7BBA9268" w14:textId="77777777" w:rsidR="008D4E41" w:rsidRPr="00AA0C2E" w:rsidRDefault="009106BE" w:rsidP="008B2295">
      <w:pPr>
        <w:pStyle w:val="Default"/>
        <w:spacing w:before="120" w:after="120" w:line="360" w:lineRule="auto"/>
        <w:jc w:val="both"/>
        <w:rPr>
          <w:rFonts w:ascii="Arial" w:hAnsi="Arial" w:cs="Arial"/>
          <w:color w:val="auto"/>
          <w:sz w:val="22"/>
          <w:szCs w:val="36"/>
        </w:rPr>
      </w:pPr>
      <w:r w:rsidRPr="00AA0C2E">
        <w:rPr>
          <w:rFonts w:ascii="Arial" w:hAnsi="Arial" w:cs="Arial"/>
          <w:color w:val="auto"/>
          <w:sz w:val="22"/>
          <w:szCs w:val="36"/>
        </w:rPr>
        <w:t xml:space="preserve">The </w:t>
      </w:r>
      <w:r w:rsidRPr="00AA0C2E">
        <w:rPr>
          <w:rFonts w:ascii="Arial" w:hAnsi="Arial" w:cs="Arial"/>
          <w:color w:val="auto"/>
          <w:sz w:val="22"/>
          <w:szCs w:val="36"/>
          <w:u w:val="single"/>
        </w:rPr>
        <w:t>rationale</w:t>
      </w:r>
      <w:r w:rsidRPr="00AA0C2E">
        <w:rPr>
          <w:rFonts w:ascii="Arial" w:hAnsi="Arial" w:cs="Arial"/>
          <w:color w:val="auto"/>
          <w:sz w:val="22"/>
          <w:szCs w:val="36"/>
        </w:rPr>
        <w:t xml:space="preserve"> for this application is </w:t>
      </w:r>
      <w:r w:rsidR="00685C6E" w:rsidRPr="00AA0C2E">
        <w:rPr>
          <w:rFonts w:ascii="Arial" w:hAnsi="Arial" w:cs="Arial"/>
          <w:color w:val="auto"/>
          <w:sz w:val="22"/>
          <w:szCs w:val="36"/>
        </w:rPr>
        <w:t>the</w:t>
      </w:r>
      <w:r w:rsidR="000431F5" w:rsidRPr="00AA0C2E">
        <w:rPr>
          <w:rFonts w:ascii="Arial" w:hAnsi="Arial" w:cs="Arial"/>
          <w:color w:val="auto"/>
          <w:sz w:val="22"/>
          <w:szCs w:val="36"/>
        </w:rPr>
        <w:t xml:space="preserve"> </w:t>
      </w:r>
      <w:r w:rsidR="0072075C" w:rsidRPr="00AA0C2E">
        <w:rPr>
          <w:rFonts w:ascii="Arial" w:hAnsi="Arial" w:cs="Arial"/>
          <w:color w:val="auto"/>
          <w:sz w:val="22"/>
          <w:szCs w:val="36"/>
        </w:rPr>
        <w:t xml:space="preserve">current </w:t>
      </w:r>
      <w:r w:rsidR="000431F5" w:rsidRPr="00AA0C2E">
        <w:rPr>
          <w:rFonts w:ascii="Arial" w:hAnsi="Arial" w:cs="Arial"/>
          <w:color w:val="auto"/>
          <w:sz w:val="22"/>
          <w:szCs w:val="36"/>
        </w:rPr>
        <w:t xml:space="preserve">limited </w:t>
      </w:r>
      <w:r w:rsidR="00685C6E" w:rsidRPr="00AA0C2E">
        <w:rPr>
          <w:rFonts w:ascii="Arial" w:hAnsi="Arial" w:cs="Arial"/>
          <w:color w:val="auto"/>
          <w:sz w:val="22"/>
          <w:szCs w:val="36"/>
        </w:rPr>
        <w:t xml:space="preserve">number of </w:t>
      </w:r>
      <w:r w:rsidR="0072075C" w:rsidRPr="00AA0C2E">
        <w:rPr>
          <w:rFonts w:ascii="Arial" w:hAnsi="Arial" w:cs="Arial"/>
          <w:color w:val="auto"/>
          <w:sz w:val="22"/>
          <w:szCs w:val="36"/>
        </w:rPr>
        <w:t xml:space="preserve">effective </w:t>
      </w:r>
      <w:r w:rsidR="000431F5" w:rsidRPr="00AA0C2E">
        <w:rPr>
          <w:rFonts w:ascii="Arial" w:hAnsi="Arial" w:cs="Arial"/>
          <w:color w:val="auto"/>
          <w:sz w:val="22"/>
          <w:szCs w:val="36"/>
        </w:rPr>
        <w:t>treatment options for patients with</w:t>
      </w:r>
      <w:r w:rsidR="00F0346B" w:rsidRPr="00AA0C2E">
        <w:rPr>
          <w:rFonts w:ascii="Arial" w:hAnsi="Arial" w:cs="Arial"/>
          <w:color w:val="auto"/>
          <w:sz w:val="22"/>
          <w:szCs w:val="36"/>
        </w:rPr>
        <w:t xml:space="preserve"> </w:t>
      </w:r>
      <w:proofErr w:type="spellStart"/>
      <w:r w:rsidR="00F0346B" w:rsidRPr="00AA0C2E">
        <w:rPr>
          <w:rFonts w:ascii="Arial" w:hAnsi="Arial" w:cs="Arial"/>
          <w:color w:val="auto"/>
          <w:sz w:val="22"/>
          <w:szCs w:val="36"/>
        </w:rPr>
        <w:t>EGFRm</w:t>
      </w:r>
      <w:proofErr w:type="spellEnd"/>
      <w:r w:rsidR="00F0346B" w:rsidRPr="00AA0C2E">
        <w:rPr>
          <w:rFonts w:ascii="Arial" w:hAnsi="Arial" w:cs="Arial"/>
          <w:color w:val="auto"/>
          <w:sz w:val="22"/>
          <w:szCs w:val="36"/>
        </w:rPr>
        <w:t xml:space="preserve"> advanced NSCLC </w:t>
      </w:r>
      <w:r w:rsidR="00BB4233" w:rsidRPr="00AA0C2E">
        <w:rPr>
          <w:rFonts w:ascii="Arial" w:hAnsi="Arial" w:cs="Arial"/>
          <w:color w:val="auto"/>
          <w:sz w:val="22"/>
          <w:szCs w:val="36"/>
        </w:rPr>
        <w:t>with progressive disease</w:t>
      </w:r>
      <w:r w:rsidR="00F0346B" w:rsidRPr="00AA0C2E">
        <w:rPr>
          <w:rFonts w:ascii="Arial" w:hAnsi="Arial" w:cs="Arial"/>
          <w:color w:val="auto"/>
          <w:sz w:val="22"/>
          <w:szCs w:val="36"/>
        </w:rPr>
        <w:t>.</w:t>
      </w:r>
      <w:r w:rsidR="000431F5" w:rsidRPr="00AA0C2E">
        <w:rPr>
          <w:rFonts w:ascii="Arial" w:hAnsi="Arial" w:cs="Arial"/>
          <w:color w:val="auto"/>
          <w:sz w:val="22"/>
          <w:szCs w:val="36"/>
        </w:rPr>
        <w:t xml:space="preserve"> </w:t>
      </w:r>
    </w:p>
    <w:p w14:paraId="3F8FA41B" w14:textId="77777777" w:rsidR="008D4E41" w:rsidRPr="00AA0C2E" w:rsidRDefault="008D4E41" w:rsidP="008B2295">
      <w:pPr>
        <w:spacing w:before="120" w:after="120" w:line="360" w:lineRule="auto"/>
        <w:jc w:val="both"/>
        <w:rPr>
          <w:rFonts w:ascii="Arial" w:hAnsi="Arial" w:cs="Arial"/>
          <w:szCs w:val="36"/>
        </w:rPr>
      </w:pPr>
      <w:r w:rsidRPr="00AA0C2E">
        <w:rPr>
          <w:rFonts w:ascii="Arial" w:hAnsi="Arial" w:cs="Arial"/>
          <w:szCs w:val="36"/>
        </w:rPr>
        <w:t xml:space="preserve">Australian clinical treatment guidelines </w:t>
      </w:r>
      <w:r w:rsidRPr="00AA0C2E">
        <w:rPr>
          <w:rFonts w:ascii="Arial" w:hAnsi="Arial" w:cs="Arial"/>
          <w:szCs w:val="36"/>
        </w:rPr>
        <w:fldChar w:fldCharType="begin"/>
      </w:r>
      <w:r w:rsidR="009B3639">
        <w:rPr>
          <w:rFonts w:ascii="Arial" w:hAnsi="Arial" w:cs="Arial"/>
          <w:szCs w:val="36"/>
        </w:rPr>
        <w:instrText xml:space="preserve"> ADDIN EN.CITE &lt;EndNote&gt;&lt;Cite&gt;&lt;Author&gt;Pavlakis&lt;/Author&gt;&lt;RecNum&gt;11&lt;/RecNum&gt;&lt;DisplayText&gt;[1]&lt;/DisplayText&gt;&lt;record&gt;&lt;rec-number&gt;11&lt;/rec-number&gt;&lt;foreign-keys&gt;&lt;key app="EN" db-id="rprtzr95srz0woefsws5fs50rfwvtsf5aw2f"&gt;11&lt;/key&gt;&lt;/foreign-keys&gt;&lt;ref-type name="Web Page"&gt;12&lt;/ref-type&gt;&lt;contributors&gt;&lt;authors&gt;&lt;author&gt;Pavlakis, N&lt;/author&gt;&lt;author&gt;Gunawardana, D&lt;/author&gt;&lt;author&gt;Khasraw, M&lt;/author&gt;&lt;author&gt;Cancer Council Australia Lung Cancer Guidelines Working Party&lt;/author&gt;&lt;/authors&gt;&lt;/contributors&gt;&lt;titles&gt;&lt;title&gt;Clinical practice guidelines for the treatment of lung cancer. &lt;/title&gt;&lt;/titles&gt;&lt;dates&gt;&lt;/dates&gt;&lt;pub-location&gt;Sydney&lt;/pub-location&gt;&lt;publisher&gt;Cancer Council Australia&lt;/publisher&gt;&lt;urls&gt;&lt;related-urls&gt;&lt;url&gt; http://wiki.cancer.org.au/australia/Guidelines:Lung_cancer&lt;/url&gt;&lt;/related-urls&gt;&lt;/urls&gt;&lt;custom2&gt;05-01-2015&lt;/custom2&gt;&lt;/record&gt;&lt;/Cite&gt;&lt;/EndNote&gt;</w:instrText>
      </w:r>
      <w:r w:rsidRPr="00AA0C2E">
        <w:rPr>
          <w:rFonts w:ascii="Arial" w:hAnsi="Arial" w:cs="Arial"/>
          <w:szCs w:val="36"/>
        </w:rPr>
        <w:fldChar w:fldCharType="separate"/>
      </w:r>
      <w:r w:rsidR="00B16A45" w:rsidRPr="00AA0C2E">
        <w:rPr>
          <w:rFonts w:ascii="Arial" w:hAnsi="Arial" w:cs="Arial"/>
          <w:noProof/>
          <w:szCs w:val="36"/>
        </w:rPr>
        <w:t>[</w:t>
      </w:r>
      <w:hyperlink w:anchor="_ENREF_1" w:tooltip="Pavlakis,  #11" w:history="1">
        <w:r w:rsidR="00F65C59" w:rsidRPr="00AA0C2E">
          <w:rPr>
            <w:rFonts w:ascii="Arial" w:hAnsi="Arial" w:cs="Arial"/>
            <w:noProof/>
            <w:szCs w:val="36"/>
          </w:rPr>
          <w:t>1</w:t>
        </w:r>
      </w:hyperlink>
      <w:r w:rsidR="00B16A45" w:rsidRPr="00AA0C2E">
        <w:rPr>
          <w:rFonts w:ascii="Arial" w:hAnsi="Arial" w:cs="Arial"/>
          <w:noProof/>
          <w:szCs w:val="36"/>
        </w:rPr>
        <w:t>]</w:t>
      </w:r>
      <w:r w:rsidRPr="00AA0C2E">
        <w:rPr>
          <w:rFonts w:ascii="Arial" w:hAnsi="Arial" w:cs="Arial"/>
          <w:szCs w:val="36"/>
        </w:rPr>
        <w:fldChar w:fldCharType="end"/>
      </w:r>
      <w:r w:rsidRPr="00AA0C2E">
        <w:rPr>
          <w:rFonts w:ascii="Arial" w:hAnsi="Arial" w:cs="Arial"/>
          <w:szCs w:val="36"/>
        </w:rPr>
        <w:t xml:space="preserve"> recommend that </w:t>
      </w:r>
      <w:r w:rsidRPr="00AA0C2E">
        <w:rPr>
          <w:rFonts w:ascii="Arial" w:hAnsi="Arial" w:cs="Arial"/>
          <w:i/>
          <w:szCs w:val="36"/>
        </w:rPr>
        <w:t>‘Patients with known activating gene mutations (exon-19 deletions or exon-21 point mutations) to EGFR should be treated with an EGFR TKI.’</w:t>
      </w:r>
      <w:r w:rsidR="00EC7841" w:rsidRPr="00AA0C2E">
        <w:rPr>
          <w:rFonts w:ascii="Arial" w:hAnsi="Arial" w:cs="Arial"/>
          <w:szCs w:val="36"/>
        </w:rPr>
        <w:t xml:space="preserve"> </w:t>
      </w:r>
      <w:r w:rsidR="0072075C" w:rsidRPr="00AA0C2E">
        <w:rPr>
          <w:rFonts w:ascii="Arial" w:hAnsi="Arial" w:cs="Arial"/>
          <w:szCs w:val="36"/>
        </w:rPr>
        <w:t xml:space="preserve">The </w:t>
      </w:r>
      <w:r w:rsidR="00DF67C7" w:rsidRPr="00AA0C2E">
        <w:rPr>
          <w:rFonts w:ascii="Arial" w:hAnsi="Arial" w:cs="Arial"/>
          <w:szCs w:val="36"/>
        </w:rPr>
        <w:t xml:space="preserve">availability of </w:t>
      </w:r>
      <w:r w:rsidR="00EC7841" w:rsidRPr="00AA0C2E">
        <w:rPr>
          <w:rFonts w:ascii="Arial" w:hAnsi="Arial" w:cs="Arial"/>
          <w:szCs w:val="36"/>
        </w:rPr>
        <w:t>EGFR mutation testing of non-squamous or not otherwise specified (NOS) NSCLC at diagnosis</w:t>
      </w:r>
      <w:r w:rsidR="00DF67C7" w:rsidRPr="00AA0C2E">
        <w:rPr>
          <w:rFonts w:ascii="Arial" w:hAnsi="Arial" w:cs="Arial"/>
          <w:szCs w:val="36"/>
        </w:rPr>
        <w:t xml:space="preserve"> (‘reflex’)</w:t>
      </w:r>
      <w:r w:rsidR="0072075C" w:rsidRPr="00AA0C2E">
        <w:rPr>
          <w:rFonts w:ascii="Arial" w:hAnsi="Arial" w:cs="Arial"/>
          <w:szCs w:val="36"/>
        </w:rPr>
        <w:t xml:space="preserve"> on the MBS</w:t>
      </w:r>
      <w:r w:rsidR="00EC7841" w:rsidRPr="00AA0C2E">
        <w:rPr>
          <w:rFonts w:ascii="Arial" w:hAnsi="Arial" w:cs="Arial"/>
          <w:szCs w:val="36"/>
        </w:rPr>
        <w:t xml:space="preserve"> means most frequently an EGFR TKI is commenced as first-line treatment in the advanced setting. In some cases, </w:t>
      </w:r>
      <w:r w:rsidR="00EC7841" w:rsidRPr="00AA0C2E">
        <w:rPr>
          <w:rFonts w:ascii="Arial" w:hAnsi="Arial" w:cs="Arial"/>
          <w:szCs w:val="36"/>
        </w:rPr>
        <w:lastRenderedPageBreak/>
        <w:t xml:space="preserve">platinum based </w:t>
      </w:r>
      <w:r w:rsidR="003A373B" w:rsidRPr="00AA0C2E">
        <w:rPr>
          <w:rFonts w:ascii="Arial" w:hAnsi="Arial" w:cs="Arial"/>
          <w:szCs w:val="36"/>
        </w:rPr>
        <w:t xml:space="preserve">doublet </w:t>
      </w:r>
      <w:r w:rsidR="00EC7841" w:rsidRPr="00AA0C2E">
        <w:rPr>
          <w:rFonts w:ascii="Arial" w:hAnsi="Arial" w:cs="Arial"/>
          <w:szCs w:val="36"/>
        </w:rPr>
        <w:t>chemotherapy may be commenced</w:t>
      </w:r>
      <w:r w:rsidR="00B32826" w:rsidRPr="00AA0C2E">
        <w:rPr>
          <w:rFonts w:ascii="Arial" w:hAnsi="Arial" w:cs="Arial"/>
          <w:szCs w:val="36"/>
        </w:rPr>
        <w:t xml:space="preserve"> if there is a delay in testing, or</w:t>
      </w:r>
      <w:r w:rsidR="00EC7841" w:rsidRPr="00AA0C2E">
        <w:rPr>
          <w:rFonts w:ascii="Arial" w:hAnsi="Arial" w:cs="Arial"/>
          <w:szCs w:val="36"/>
        </w:rPr>
        <w:t xml:space="preserve"> to relieve symptoms prior to initiation of the TKI.</w:t>
      </w:r>
    </w:p>
    <w:p w14:paraId="04977142" w14:textId="77777777" w:rsidR="00881F9B" w:rsidRPr="00AA0C2E" w:rsidRDefault="003D1207" w:rsidP="008B2295">
      <w:pPr>
        <w:pStyle w:val="Default"/>
        <w:spacing w:before="120" w:after="120" w:line="360" w:lineRule="auto"/>
        <w:jc w:val="both"/>
        <w:rPr>
          <w:rFonts w:ascii="Arial" w:hAnsi="Arial" w:cs="Arial"/>
          <w:color w:val="auto"/>
          <w:lang w:val="en-GB"/>
        </w:rPr>
      </w:pPr>
      <w:r w:rsidRPr="00AA0C2E">
        <w:rPr>
          <w:rFonts w:ascii="Arial" w:hAnsi="Arial" w:cs="Arial"/>
          <w:color w:val="auto"/>
          <w:sz w:val="22"/>
          <w:szCs w:val="36"/>
        </w:rPr>
        <w:t xml:space="preserve">Despite the initial efficacy of </w:t>
      </w:r>
      <w:r w:rsidR="003A373B" w:rsidRPr="00AA0C2E">
        <w:rPr>
          <w:rFonts w:ascii="Arial" w:hAnsi="Arial" w:cs="Arial"/>
          <w:color w:val="auto"/>
          <w:sz w:val="22"/>
          <w:szCs w:val="36"/>
        </w:rPr>
        <w:t xml:space="preserve">the </w:t>
      </w:r>
      <w:r w:rsidR="00FA69C4" w:rsidRPr="00AA0C2E">
        <w:rPr>
          <w:rFonts w:ascii="Arial" w:hAnsi="Arial" w:cs="Arial"/>
          <w:color w:val="auto"/>
          <w:sz w:val="22"/>
          <w:szCs w:val="36"/>
        </w:rPr>
        <w:t>first</w:t>
      </w:r>
      <w:r w:rsidR="005F0AAC" w:rsidRPr="00AA0C2E">
        <w:rPr>
          <w:rFonts w:ascii="Arial" w:hAnsi="Arial" w:cs="Arial"/>
          <w:color w:val="auto"/>
          <w:sz w:val="22"/>
          <w:szCs w:val="36"/>
        </w:rPr>
        <w:t>-generation</w:t>
      </w:r>
      <w:r w:rsidR="00C4424D" w:rsidRPr="00AA0C2E">
        <w:rPr>
          <w:rFonts w:ascii="Arial" w:hAnsi="Arial" w:cs="Arial"/>
          <w:color w:val="auto"/>
          <w:sz w:val="22"/>
          <w:szCs w:val="36"/>
        </w:rPr>
        <w:t xml:space="preserve"> (</w:t>
      </w:r>
      <w:proofErr w:type="spellStart"/>
      <w:r w:rsidR="00C4424D" w:rsidRPr="00AA0C2E">
        <w:rPr>
          <w:rFonts w:ascii="Arial" w:hAnsi="Arial" w:cs="Arial"/>
          <w:color w:val="auto"/>
          <w:sz w:val="22"/>
          <w:szCs w:val="36"/>
        </w:rPr>
        <w:t>gefitinib</w:t>
      </w:r>
      <w:proofErr w:type="spellEnd"/>
      <w:r w:rsidR="00C4424D" w:rsidRPr="00AA0C2E">
        <w:rPr>
          <w:rFonts w:ascii="Arial" w:hAnsi="Arial" w:cs="Arial"/>
          <w:color w:val="auto"/>
          <w:sz w:val="22"/>
          <w:szCs w:val="36"/>
        </w:rPr>
        <w:t xml:space="preserve"> or </w:t>
      </w:r>
      <w:proofErr w:type="spellStart"/>
      <w:r w:rsidR="00C4424D" w:rsidRPr="00AA0C2E">
        <w:rPr>
          <w:rFonts w:ascii="Arial" w:hAnsi="Arial" w:cs="Arial"/>
          <w:color w:val="auto"/>
          <w:sz w:val="22"/>
          <w:szCs w:val="36"/>
        </w:rPr>
        <w:t>erlotinib</w:t>
      </w:r>
      <w:proofErr w:type="spellEnd"/>
      <w:r w:rsidR="00C4424D" w:rsidRPr="00AA0C2E">
        <w:rPr>
          <w:rFonts w:ascii="Arial" w:hAnsi="Arial" w:cs="Arial"/>
          <w:color w:val="auto"/>
          <w:sz w:val="22"/>
          <w:szCs w:val="36"/>
        </w:rPr>
        <w:t>) and second</w:t>
      </w:r>
      <w:r w:rsidR="005F0AAC" w:rsidRPr="00AA0C2E">
        <w:rPr>
          <w:rFonts w:ascii="Arial" w:hAnsi="Arial" w:cs="Arial"/>
          <w:color w:val="auto"/>
          <w:sz w:val="22"/>
          <w:szCs w:val="36"/>
        </w:rPr>
        <w:t>-generation</w:t>
      </w:r>
      <w:r w:rsidR="00C4424D" w:rsidRPr="00AA0C2E">
        <w:rPr>
          <w:rFonts w:ascii="Arial" w:hAnsi="Arial" w:cs="Arial"/>
          <w:color w:val="auto"/>
          <w:sz w:val="22"/>
          <w:szCs w:val="36"/>
        </w:rPr>
        <w:t xml:space="preserve"> (</w:t>
      </w:r>
      <w:proofErr w:type="spellStart"/>
      <w:r w:rsidR="00C4424D" w:rsidRPr="00AA0C2E">
        <w:rPr>
          <w:rFonts w:ascii="Arial" w:hAnsi="Arial" w:cs="Arial"/>
          <w:color w:val="auto"/>
          <w:sz w:val="22"/>
          <w:szCs w:val="36"/>
        </w:rPr>
        <w:t>afatinib</w:t>
      </w:r>
      <w:proofErr w:type="spellEnd"/>
      <w:r w:rsidR="00C4424D" w:rsidRPr="00AA0C2E">
        <w:rPr>
          <w:rFonts w:ascii="Arial" w:hAnsi="Arial" w:cs="Arial"/>
          <w:color w:val="auto"/>
          <w:sz w:val="22"/>
          <w:szCs w:val="36"/>
        </w:rPr>
        <w:t>)</w:t>
      </w:r>
      <w:r w:rsidR="00A679BB" w:rsidRPr="00AA0C2E">
        <w:rPr>
          <w:rFonts w:ascii="Arial" w:hAnsi="Arial" w:cs="Arial"/>
          <w:color w:val="auto"/>
          <w:sz w:val="22"/>
          <w:szCs w:val="36"/>
        </w:rPr>
        <w:t xml:space="preserve"> </w:t>
      </w:r>
      <w:r w:rsidRPr="00AA0C2E">
        <w:rPr>
          <w:rFonts w:ascii="Arial" w:hAnsi="Arial" w:cs="Arial"/>
          <w:color w:val="auto"/>
          <w:sz w:val="22"/>
          <w:szCs w:val="36"/>
        </w:rPr>
        <w:t xml:space="preserve">EGFR-TKIs, most, if not all, patients treated with these agents will eventually progress such that median </w:t>
      </w:r>
      <w:r w:rsidR="0065185F" w:rsidRPr="00AA0C2E">
        <w:rPr>
          <w:rFonts w:ascii="Arial" w:hAnsi="Arial" w:cs="Arial"/>
          <w:color w:val="auto"/>
          <w:sz w:val="22"/>
          <w:szCs w:val="36"/>
        </w:rPr>
        <w:t>progression-free survival (</w:t>
      </w:r>
      <w:r w:rsidRPr="00AA0C2E">
        <w:rPr>
          <w:rFonts w:ascii="Arial" w:hAnsi="Arial" w:cs="Arial"/>
          <w:color w:val="auto"/>
          <w:sz w:val="22"/>
          <w:szCs w:val="36"/>
        </w:rPr>
        <w:t>PFS</w:t>
      </w:r>
      <w:r w:rsidR="0065185F" w:rsidRPr="00AA0C2E">
        <w:rPr>
          <w:rFonts w:ascii="Arial" w:hAnsi="Arial" w:cs="Arial"/>
          <w:color w:val="auto"/>
          <w:sz w:val="22"/>
          <w:szCs w:val="36"/>
        </w:rPr>
        <w:t>)</w:t>
      </w:r>
      <w:r w:rsidRPr="00AA0C2E">
        <w:rPr>
          <w:rFonts w:ascii="Arial" w:hAnsi="Arial" w:cs="Arial"/>
          <w:color w:val="auto"/>
          <w:sz w:val="22"/>
          <w:szCs w:val="36"/>
        </w:rPr>
        <w:t xml:space="preserve"> is often reported to be less than 12 months</w:t>
      </w:r>
      <w:r w:rsidR="0065185F" w:rsidRPr="00AA0C2E">
        <w:rPr>
          <w:rFonts w:ascii="Arial" w:hAnsi="Arial" w:cs="Arial"/>
          <w:color w:val="auto"/>
          <w:sz w:val="22"/>
          <w:szCs w:val="36"/>
        </w:rPr>
        <w:t xml:space="preserve"> </w:t>
      </w:r>
      <w:r w:rsidR="0065185F" w:rsidRPr="00AA0C2E">
        <w:rPr>
          <w:rFonts w:ascii="Arial" w:hAnsi="Arial" w:cs="Arial"/>
          <w:color w:val="auto"/>
          <w:sz w:val="22"/>
          <w:szCs w:val="36"/>
        </w:rPr>
        <w:fldChar w:fldCharType="begin">
          <w:fldData xml:space="preserve">PEVuZE5vdGU+PENpdGU+PEF1dGhvcj5Nb2s8L0F1dGhvcj48WWVhcj4yMDA5PC9ZZWFyPjxSZWNO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</w:fldData>
        </w:fldChar>
      </w:r>
      <w:r w:rsidR="00F65C59">
        <w:rPr>
          <w:rFonts w:ascii="Arial" w:hAnsi="Arial" w:cs="Arial"/>
          <w:color w:val="auto"/>
          <w:sz w:val="22"/>
          <w:szCs w:val="36"/>
        </w:rPr>
        <w:instrText xml:space="preserve"> ADDIN EN.CITE </w:instrText>
      </w:r>
      <w:r w:rsidR="00F65C59">
        <w:rPr>
          <w:rFonts w:ascii="Arial" w:hAnsi="Arial" w:cs="Arial"/>
          <w:color w:val="auto"/>
          <w:sz w:val="22"/>
          <w:szCs w:val="36"/>
        </w:rPr>
        <w:fldChar w:fldCharType="begin">
          <w:fldData xml:space="preserve">PEVuZE5vdGU+PENpdGU+PEF1dGhvcj5Nb2s8L0F1dGhvcj48WWVhcj4yMDA5PC9ZZWFyPjxSZWNO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</w:fldData>
        </w:fldChar>
      </w:r>
      <w:r w:rsidR="00F65C59">
        <w:rPr>
          <w:rFonts w:ascii="Arial" w:hAnsi="Arial" w:cs="Arial"/>
          <w:color w:val="auto"/>
          <w:sz w:val="22"/>
          <w:szCs w:val="36"/>
        </w:rPr>
        <w:instrText xml:space="preserve"> ADDIN EN.CITE.DATA </w:instrText>
      </w:r>
      <w:r w:rsidR="00F65C59">
        <w:rPr>
          <w:rFonts w:ascii="Arial" w:hAnsi="Arial" w:cs="Arial"/>
          <w:color w:val="auto"/>
          <w:sz w:val="22"/>
          <w:szCs w:val="36"/>
        </w:rPr>
      </w:r>
      <w:r w:rsidR="00F65C59">
        <w:rPr>
          <w:rFonts w:ascii="Arial" w:hAnsi="Arial" w:cs="Arial"/>
          <w:color w:val="auto"/>
          <w:sz w:val="22"/>
          <w:szCs w:val="36"/>
        </w:rPr>
        <w:fldChar w:fldCharType="end"/>
      </w:r>
      <w:r w:rsidR="0065185F" w:rsidRPr="00AA0C2E">
        <w:rPr>
          <w:rFonts w:ascii="Arial" w:hAnsi="Arial" w:cs="Arial"/>
          <w:color w:val="auto"/>
          <w:sz w:val="22"/>
          <w:szCs w:val="36"/>
        </w:rPr>
      </w:r>
      <w:r w:rsidR="0065185F" w:rsidRPr="00AA0C2E">
        <w:rPr>
          <w:rFonts w:ascii="Arial" w:hAnsi="Arial" w:cs="Arial"/>
          <w:color w:val="auto"/>
          <w:sz w:val="22"/>
          <w:szCs w:val="36"/>
        </w:rPr>
        <w:fldChar w:fldCharType="separate"/>
      </w:r>
      <w:r w:rsidR="00B16A45" w:rsidRPr="00AA0C2E">
        <w:rPr>
          <w:rFonts w:ascii="Arial" w:hAnsi="Arial" w:cs="Arial"/>
          <w:noProof/>
          <w:color w:val="auto"/>
          <w:sz w:val="22"/>
          <w:szCs w:val="36"/>
        </w:rPr>
        <w:t>[</w:t>
      </w:r>
      <w:hyperlink w:anchor="_ENREF_2" w:tooltip="TSK, 2009 #66" w:history="1">
        <w:r w:rsidR="00F65C59" w:rsidRPr="00AA0C2E">
          <w:rPr>
            <w:rFonts w:ascii="Arial" w:hAnsi="Arial" w:cs="Arial"/>
            <w:noProof/>
            <w:color w:val="auto"/>
            <w:sz w:val="22"/>
            <w:szCs w:val="36"/>
          </w:rPr>
          <w:t>2-5</w:t>
        </w:r>
      </w:hyperlink>
      <w:r w:rsidR="00B16A45" w:rsidRPr="00AA0C2E">
        <w:rPr>
          <w:rFonts w:ascii="Arial" w:hAnsi="Arial" w:cs="Arial"/>
          <w:noProof/>
          <w:color w:val="auto"/>
          <w:sz w:val="22"/>
          <w:szCs w:val="36"/>
        </w:rPr>
        <w:t>]</w:t>
      </w:r>
      <w:r w:rsidR="0065185F" w:rsidRPr="00AA0C2E">
        <w:rPr>
          <w:rFonts w:ascii="Arial" w:hAnsi="Arial" w:cs="Arial"/>
          <w:color w:val="auto"/>
          <w:sz w:val="22"/>
          <w:szCs w:val="36"/>
        </w:rPr>
        <w:fldChar w:fldCharType="end"/>
      </w:r>
      <w:r w:rsidR="0065185F" w:rsidRPr="00AA0C2E">
        <w:rPr>
          <w:rFonts w:ascii="Arial" w:hAnsi="Arial" w:cs="Arial"/>
          <w:color w:val="auto"/>
          <w:sz w:val="22"/>
          <w:szCs w:val="36"/>
        </w:rPr>
        <w:t>.</w:t>
      </w:r>
      <w:r w:rsidR="00FA69C4" w:rsidRPr="00AA0C2E">
        <w:rPr>
          <w:rFonts w:ascii="Arial" w:hAnsi="Arial" w:cs="Arial"/>
          <w:color w:val="auto"/>
          <w:sz w:val="22"/>
          <w:szCs w:val="36"/>
        </w:rPr>
        <w:t xml:space="preserve"> </w:t>
      </w:r>
      <w:proofErr w:type="spellStart"/>
      <w:r w:rsidR="00BD1635" w:rsidRPr="00AA0C2E">
        <w:rPr>
          <w:rFonts w:ascii="Arial" w:hAnsi="Arial" w:cs="Arial"/>
          <w:color w:val="auto"/>
          <w:sz w:val="22"/>
          <w:szCs w:val="36"/>
        </w:rPr>
        <w:t>Jackman</w:t>
      </w:r>
      <w:proofErr w:type="spellEnd"/>
      <w:r w:rsidR="00BD1635" w:rsidRPr="00AA0C2E">
        <w:rPr>
          <w:rFonts w:ascii="Arial" w:hAnsi="Arial" w:cs="Arial"/>
          <w:color w:val="auto"/>
          <w:sz w:val="22"/>
          <w:szCs w:val="36"/>
        </w:rPr>
        <w:t xml:space="preserve"> and colleagues</w:t>
      </w:r>
      <w:r w:rsidR="00A41286" w:rsidRPr="00AA0C2E">
        <w:rPr>
          <w:rFonts w:ascii="Arial" w:hAnsi="Arial" w:cs="Arial"/>
          <w:color w:val="auto"/>
          <w:sz w:val="22"/>
          <w:szCs w:val="36"/>
        </w:rPr>
        <w:t xml:space="preserve"> </w:t>
      </w:r>
      <w:r w:rsidR="00A41286" w:rsidRPr="00AA0C2E">
        <w:rPr>
          <w:rFonts w:ascii="Arial" w:hAnsi="Arial" w:cs="Arial"/>
          <w:color w:val="auto"/>
          <w:sz w:val="22"/>
          <w:szCs w:val="36"/>
        </w:rPr>
        <w:fldChar w:fldCharType="begin"/>
      </w:r>
      <w:r w:rsidR="009B3639">
        <w:rPr>
          <w:rFonts w:ascii="Arial" w:hAnsi="Arial" w:cs="Arial"/>
          <w:color w:val="auto"/>
          <w:sz w:val="22"/>
          <w:szCs w:val="36"/>
        </w:rPr>
        <w:instrText xml:space="preserve"> ADDIN EN.CITE &lt;EndNote&gt;&lt;Cite&gt;&lt;Author&gt;Jackman D&lt;/Author&gt;&lt;Year&gt;2010&lt;/Year&gt;&lt;RecNum&gt;4&lt;/RecNum&gt;&lt;DisplayText&gt;[6]&lt;/DisplayText&gt;&lt;record&gt;&lt;rec-number&gt;4&lt;/rec-number&gt;&lt;foreign-keys&gt;&lt;key app="EN" db-id="rprtzr95srz0woefsws5fs50rfwvtsf5aw2f"&gt;4&lt;/key&gt;&lt;/foreign-keys&gt;&lt;ref-type name="Journal Article"&gt;17&lt;/ref-type&gt;&lt;contributors&gt;&lt;authors&gt;&lt;author&gt;Jackman D, Pao W, Riely GJ, Engelman JA, Kris MG, Janne PA, et al. &lt;/author&gt;&lt;/authors&gt;&lt;/contributors&gt;&lt;titles&gt;&lt;title&gt;Clinical definition of acquired resistance to epidermal growth factor receptor tyrosine kinase inhibitors in non-small-cell lung cancer&lt;/title&gt;&lt;secondary-title&gt;Journal of Clinical Oncology&lt;/secondary-title&gt;&lt;/titles&gt;&lt;periodical&gt;&lt;full-title&gt;Journal of Clinical Oncology&lt;/full-title&gt;&lt;/periodical&gt;&lt;pages&gt;357-60&lt;/pages&gt;&lt;volume&gt;28&lt;/volume&gt;&lt;number&gt;2&lt;/number&gt;&lt;dates&gt;&lt;year&gt;2010&lt;/year&gt;&lt;pub-dates&gt;&lt;date&gt;10 January 2010&lt;/date&gt;&lt;/pub-dates&gt;&lt;/dates&gt;&lt;urls&gt;&lt;/urls&gt;&lt;/record&gt;&lt;/Cite&gt;&lt;/EndNote&gt;</w:instrText>
      </w:r>
      <w:r w:rsidR="00A41286" w:rsidRPr="00AA0C2E">
        <w:rPr>
          <w:rFonts w:ascii="Arial" w:hAnsi="Arial" w:cs="Arial"/>
          <w:color w:val="auto"/>
          <w:sz w:val="22"/>
          <w:szCs w:val="36"/>
        </w:rPr>
        <w:fldChar w:fldCharType="separate"/>
      </w:r>
      <w:r w:rsidR="00B16A45" w:rsidRPr="00AA0C2E">
        <w:rPr>
          <w:rFonts w:ascii="Arial" w:hAnsi="Arial" w:cs="Arial"/>
          <w:noProof/>
          <w:color w:val="auto"/>
          <w:sz w:val="22"/>
          <w:szCs w:val="36"/>
        </w:rPr>
        <w:t>[</w:t>
      </w:r>
      <w:hyperlink w:anchor="_ENREF_6" w:tooltip="Jackman D, 2010 #4" w:history="1">
        <w:r w:rsidR="00F65C59" w:rsidRPr="00AA0C2E">
          <w:rPr>
            <w:rFonts w:ascii="Arial" w:hAnsi="Arial" w:cs="Arial"/>
            <w:noProof/>
            <w:color w:val="auto"/>
            <w:sz w:val="22"/>
            <w:szCs w:val="36"/>
          </w:rPr>
          <w:t>6</w:t>
        </w:r>
      </w:hyperlink>
      <w:r w:rsidR="00B16A45" w:rsidRPr="00AA0C2E">
        <w:rPr>
          <w:rFonts w:ascii="Arial" w:hAnsi="Arial" w:cs="Arial"/>
          <w:noProof/>
          <w:color w:val="auto"/>
          <w:sz w:val="22"/>
          <w:szCs w:val="36"/>
        </w:rPr>
        <w:t>]</w:t>
      </w:r>
      <w:r w:rsidR="00A41286" w:rsidRPr="00AA0C2E">
        <w:rPr>
          <w:rFonts w:ascii="Arial" w:hAnsi="Arial" w:cs="Arial"/>
          <w:color w:val="auto"/>
          <w:sz w:val="22"/>
          <w:szCs w:val="36"/>
        </w:rPr>
        <w:fldChar w:fldCharType="end"/>
      </w:r>
      <w:r w:rsidR="00BD1635" w:rsidRPr="00AA0C2E">
        <w:rPr>
          <w:rFonts w:ascii="Arial" w:hAnsi="Arial" w:cs="Arial"/>
          <w:color w:val="auto"/>
          <w:sz w:val="22"/>
          <w:szCs w:val="36"/>
        </w:rPr>
        <w:t xml:space="preserve"> propose</w:t>
      </w:r>
      <w:r w:rsidR="00A41286" w:rsidRPr="00AA0C2E">
        <w:rPr>
          <w:rFonts w:ascii="Arial" w:hAnsi="Arial" w:cs="Arial"/>
          <w:color w:val="auto"/>
          <w:sz w:val="22"/>
          <w:szCs w:val="36"/>
        </w:rPr>
        <w:t>d</w:t>
      </w:r>
      <w:r w:rsidR="00BD1635" w:rsidRPr="00AA0C2E">
        <w:rPr>
          <w:rFonts w:ascii="Arial" w:hAnsi="Arial" w:cs="Arial"/>
          <w:color w:val="auto"/>
          <w:sz w:val="22"/>
          <w:szCs w:val="36"/>
        </w:rPr>
        <w:t xml:space="preserve"> a clinical definition for this </w:t>
      </w:r>
      <w:r w:rsidR="00685C6E" w:rsidRPr="00AA0C2E">
        <w:rPr>
          <w:rFonts w:ascii="Arial" w:hAnsi="Arial" w:cs="Arial"/>
          <w:color w:val="auto"/>
          <w:sz w:val="22"/>
          <w:szCs w:val="36"/>
        </w:rPr>
        <w:t>‘</w:t>
      </w:r>
      <w:r w:rsidR="009106BE" w:rsidRPr="00AA0C2E">
        <w:rPr>
          <w:rFonts w:ascii="Arial" w:hAnsi="Arial" w:cs="Arial"/>
          <w:color w:val="auto"/>
          <w:sz w:val="22"/>
          <w:szCs w:val="36"/>
        </w:rPr>
        <w:t>acquired resistance</w:t>
      </w:r>
      <w:r w:rsidR="00685C6E" w:rsidRPr="00AA0C2E">
        <w:rPr>
          <w:rFonts w:ascii="Arial" w:hAnsi="Arial" w:cs="Arial"/>
          <w:color w:val="auto"/>
          <w:sz w:val="22"/>
          <w:szCs w:val="36"/>
        </w:rPr>
        <w:t>’</w:t>
      </w:r>
      <w:r w:rsidR="00323BF4" w:rsidRPr="00AA0C2E">
        <w:rPr>
          <w:rFonts w:ascii="Arial" w:hAnsi="Arial" w:cs="Arial"/>
          <w:color w:val="auto"/>
          <w:sz w:val="22"/>
          <w:szCs w:val="36"/>
        </w:rPr>
        <w:t xml:space="preserve"> </w:t>
      </w:r>
      <w:r w:rsidR="009106BE" w:rsidRPr="00AA0C2E">
        <w:rPr>
          <w:rFonts w:ascii="Arial" w:hAnsi="Arial" w:cs="Arial"/>
          <w:color w:val="auto"/>
          <w:sz w:val="22"/>
          <w:szCs w:val="36"/>
        </w:rPr>
        <w:t xml:space="preserve">to </w:t>
      </w:r>
      <w:r w:rsidR="00A27717" w:rsidRPr="00AA0C2E">
        <w:rPr>
          <w:rFonts w:ascii="Arial" w:hAnsi="Arial" w:cs="Arial"/>
          <w:color w:val="auto"/>
          <w:sz w:val="22"/>
          <w:szCs w:val="36"/>
        </w:rPr>
        <w:t>EGFR TKIs</w:t>
      </w:r>
      <w:r w:rsidR="00685C6E" w:rsidRPr="00AA0C2E">
        <w:rPr>
          <w:rFonts w:ascii="Arial" w:hAnsi="Arial" w:cs="Arial"/>
          <w:color w:val="auto"/>
          <w:sz w:val="22"/>
          <w:szCs w:val="36"/>
        </w:rPr>
        <w:t xml:space="preserve"> </w:t>
      </w:r>
      <w:r w:rsidR="00A27717" w:rsidRPr="00AA0C2E">
        <w:rPr>
          <w:rFonts w:ascii="Arial" w:hAnsi="Arial" w:cs="Arial"/>
          <w:color w:val="auto"/>
          <w:sz w:val="22"/>
          <w:szCs w:val="36"/>
        </w:rPr>
        <w:t>in tumours</w:t>
      </w:r>
      <w:r w:rsidR="00A41286" w:rsidRPr="00AA0C2E">
        <w:rPr>
          <w:rFonts w:ascii="Arial" w:hAnsi="Arial" w:cs="Arial"/>
          <w:color w:val="auto"/>
          <w:sz w:val="22"/>
          <w:szCs w:val="36"/>
        </w:rPr>
        <w:t xml:space="preserve"> for which s</w:t>
      </w:r>
      <w:r w:rsidR="00BD1635" w:rsidRPr="00AA0C2E">
        <w:rPr>
          <w:rFonts w:ascii="Arial" w:hAnsi="Arial" w:cs="Arial"/>
          <w:color w:val="auto"/>
          <w:sz w:val="22"/>
          <w:szCs w:val="36"/>
        </w:rPr>
        <w:t xml:space="preserve">everal mechanisms </w:t>
      </w:r>
      <w:r w:rsidR="008901E3" w:rsidRPr="00AA0C2E">
        <w:rPr>
          <w:rFonts w:ascii="Arial" w:hAnsi="Arial" w:cs="Arial"/>
          <w:color w:val="auto"/>
          <w:sz w:val="22"/>
          <w:szCs w:val="36"/>
        </w:rPr>
        <w:t>have been identified</w:t>
      </w:r>
      <w:r w:rsidR="008B5D9B" w:rsidRPr="00AA0C2E">
        <w:rPr>
          <w:rFonts w:ascii="Arial" w:hAnsi="Arial" w:cs="Arial"/>
          <w:color w:val="auto"/>
          <w:sz w:val="22"/>
          <w:szCs w:val="36"/>
        </w:rPr>
        <w:t xml:space="preserve">. The most common is the presence of a secondary mutation, T790M, which is detected in up to 60% of patients </w:t>
      </w:r>
      <w:r w:rsidR="008901E3" w:rsidRPr="00AA0C2E">
        <w:rPr>
          <w:rFonts w:ascii="Arial" w:hAnsi="Arial" w:cs="Arial"/>
          <w:color w:val="auto"/>
          <w:sz w:val="22"/>
          <w:szCs w:val="36"/>
        </w:rPr>
        <w:fldChar w:fldCharType="begin">
          <w:fldData xml:space="preserve">PEVuZE5vdGU+PENpdGU+PEF1dGhvcj5TZXF1aXN0PC9BdXRob3I+PFllYXI+MjAxMTwvWWVhcj48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</w:fldData>
        </w:fldChar>
      </w:r>
      <w:r w:rsidR="00F65C59">
        <w:rPr>
          <w:rFonts w:ascii="Arial" w:hAnsi="Arial" w:cs="Arial"/>
          <w:color w:val="auto"/>
          <w:sz w:val="22"/>
          <w:szCs w:val="36"/>
        </w:rPr>
        <w:instrText xml:space="preserve"> ADDIN EN.CITE </w:instrText>
      </w:r>
      <w:r w:rsidR="00F65C59">
        <w:rPr>
          <w:rFonts w:ascii="Arial" w:hAnsi="Arial" w:cs="Arial"/>
          <w:color w:val="auto"/>
          <w:sz w:val="22"/>
          <w:szCs w:val="36"/>
        </w:rPr>
        <w:fldChar w:fldCharType="begin">
          <w:fldData xml:space="preserve">PEVuZE5vdGU+PENpdGU+PEF1dGhvcj5TZXF1aXN0PC9BdXRob3I+PFllYXI+MjAxMTwvWWVhcj48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</w:fldData>
        </w:fldChar>
      </w:r>
      <w:r w:rsidR="00F65C59">
        <w:rPr>
          <w:rFonts w:ascii="Arial" w:hAnsi="Arial" w:cs="Arial"/>
          <w:color w:val="auto"/>
          <w:sz w:val="22"/>
          <w:szCs w:val="36"/>
        </w:rPr>
        <w:instrText xml:space="preserve"> ADDIN EN.CITE.DATA </w:instrText>
      </w:r>
      <w:r w:rsidR="00F65C59">
        <w:rPr>
          <w:rFonts w:ascii="Arial" w:hAnsi="Arial" w:cs="Arial"/>
          <w:color w:val="auto"/>
          <w:sz w:val="22"/>
          <w:szCs w:val="36"/>
        </w:rPr>
      </w:r>
      <w:r w:rsidR="00F65C59">
        <w:rPr>
          <w:rFonts w:ascii="Arial" w:hAnsi="Arial" w:cs="Arial"/>
          <w:color w:val="auto"/>
          <w:sz w:val="22"/>
          <w:szCs w:val="36"/>
        </w:rPr>
        <w:fldChar w:fldCharType="end"/>
      </w:r>
      <w:r w:rsidR="008901E3" w:rsidRPr="00AA0C2E">
        <w:rPr>
          <w:rFonts w:ascii="Arial" w:hAnsi="Arial" w:cs="Arial"/>
          <w:color w:val="auto"/>
          <w:sz w:val="22"/>
          <w:szCs w:val="36"/>
        </w:rPr>
      </w:r>
      <w:r w:rsidR="008901E3" w:rsidRPr="00AA0C2E">
        <w:rPr>
          <w:rFonts w:ascii="Arial" w:hAnsi="Arial" w:cs="Arial"/>
          <w:color w:val="auto"/>
          <w:sz w:val="22"/>
          <w:szCs w:val="36"/>
        </w:rPr>
        <w:fldChar w:fldCharType="separate"/>
      </w:r>
      <w:r w:rsidR="00B16A45" w:rsidRPr="00AA0C2E">
        <w:rPr>
          <w:rFonts w:ascii="Arial" w:hAnsi="Arial" w:cs="Arial"/>
          <w:noProof/>
          <w:color w:val="auto"/>
          <w:sz w:val="22"/>
          <w:szCs w:val="36"/>
        </w:rPr>
        <w:t>[</w:t>
      </w:r>
      <w:hyperlink w:anchor="_ENREF_7" w:tooltip="Sequist, 2011 #50" w:history="1">
        <w:r w:rsidR="00F65C59" w:rsidRPr="00AA0C2E">
          <w:rPr>
            <w:rFonts w:ascii="Arial" w:hAnsi="Arial" w:cs="Arial"/>
            <w:noProof/>
            <w:color w:val="auto"/>
            <w:sz w:val="22"/>
            <w:szCs w:val="36"/>
          </w:rPr>
          <w:t>7-13</w:t>
        </w:r>
      </w:hyperlink>
      <w:r w:rsidR="00B16A45" w:rsidRPr="00AA0C2E">
        <w:rPr>
          <w:rFonts w:ascii="Arial" w:hAnsi="Arial" w:cs="Arial"/>
          <w:noProof/>
          <w:color w:val="auto"/>
          <w:sz w:val="22"/>
          <w:szCs w:val="36"/>
        </w:rPr>
        <w:t>]</w:t>
      </w:r>
      <w:r w:rsidR="008901E3" w:rsidRPr="00AA0C2E">
        <w:rPr>
          <w:rFonts w:ascii="Arial" w:hAnsi="Arial" w:cs="Arial"/>
          <w:color w:val="auto"/>
          <w:sz w:val="22"/>
          <w:szCs w:val="36"/>
        </w:rPr>
        <w:fldChar w:fldCharType="end"/>
      </w:r>
      <w:r w:rsidR="009106BE" w:rsidRPr="00AA0C2E">
        <w:rPr>
          <w:rFonts w:ascii="Arial" w:hAnsi="Arial" w:cs="Arial"/>
          <w:color w:val="auto"/>
          <w:sz w:val="22"/>
          <w:szCs w:val="36"/>
        </w:rPr>
        <w:t>.</w:t>
      </w:r>
      <w:r w:rsidR="00685C6E" w:rsidRPr="00AA0C2E">
        <w:rPr>
          <w:rFonts w:ascii="Arial" w:hAnsi="Arial" w:cs="Arial"/>
          <w:color w:val="auto"/>
          <w:sz w:val="22"/>
          <w:szCs w:val="36"/>
        </w:rPr>
        <w:t xml:space="preserve"> </w:t>
      </w:r>
    </w:p>
    <w:p w14:paraId="40E0B576" w14:textId="77777777" w:rsidR="00A679BB" w:rsidRPr="00AA0C2E" w:rsidRDefault="008B5D9B" w:rsidP="008B2295">
      <w:pPr>
        <w:pStyle w:val="Default"/>
        <w:spacing w:before="120" w:after="120" w:line="360" w:lineRule="auto"/>
        <w:jc w:val="both"/>
        <w:rPr>
          <w:rFonts w:ascii="Arial" w:hAnsi="Arial" w:cs="Arial"/>
          <w:color w:val="auto"/>
          <w:sz w:val="22"/>
          <w:szCs w:val="22"/>
        </w:rPr>
      </w:pPr>
      <w:r w:rsidRPr="00AA0C2E">
        <w:rPr>
          <w:rFonts w:ascii="Arial" w:hAnsi="Arial" w:cs="Arial"/>
          <w:color w:val="auto"/>
          <w:sz w:val="22"/>
          <w:szCs w:val="36"/>
        </w:rPr>
        <w:t xml:space="preserve">This </w:t>
      </w:r>
      <w:r w:rsidR="003A373B" w:rsidRPr="00AA0C2E">
        <w:rPr>
          <w:rFonts w:ascii="Arial" w:hAnsi="Arial" w:cs="Arial"/>
          <w:color w:val="auto"/>
          <w:sz w:val="22"/>
          <w:szCs w:val="36"/>
        </w:rPr>
        <w:t xml:space="preserve">point </w:t>
      </w:r>
      <w:r w:rsidRPr="00AA0C2E">
        <w:rPr>
          <w:rFonts w:ascii="Arial" w:hAnsi="Arial" w:cs="Arial"/>
          <w:color w:val="auto"/>
          <w:sz w:val="22"/>
          <w:szCs w:val="36"/>
        </w:rPr>
        <w:t xml:space="preserve">mutation occurs in exon 20 of EGFR and leads to substitution of methionine for threonine at position 790 in the kinase domain of the receptor </w:t>
      </w:r>
      <w:r w:rsidRPr="00AA0C2E">
        <w:rPr>
          <w:rFonts w:ascii="Arial" w:hAnsi="Arial" w:cs="Arial"/>
          <w:color w:val="auto"/>
          <w:sz w:val="22"/>
          <w:szCs w:val="36"/>
        </w:rPr>
        <w:fldChar w:fldCharType="begin"/>
      </w:r>
      <w:r w:rsidR="00C06CCA">
        <w:rPr>
          <w:rFonts w:ascii="Arial" w:hAnsi="Arial" w:cs="Arial"/>
          <w:color w:val="auto"/>
          <w:sz w:val="22"/>
          <w:szCs w:val="36"/>
        </w:rPr>
        <w:instrText xml:space="preserve"> ADDIN EN.CITE &lt;EndNote&gt;&lt;Cite&gt;&lt;Author&gt;Pao W&lt;/Author&gt;&lt;Year&gt;2005&lt;/Year&gt;&lt;RecNum&gt;49&lt;/RecNum&gt;&lt;DisplayText&gt;[14, 15]&lt;/DisplayText&gt;&lt;record&gt;&lt;rec-number&gt;49&lt;/rec-number&gt;&lt;foreign-keys&gt;&lt;key app="EN" db-id="rprtzr95srz0woefsws5fs50rfwvtsf5aw2f"&gt;49&lt;/key&gt;&lt;/foreign-keys&gt;&lt;ref-type name="Journal Article"&gt;17&lt;/ref-type&gt;&lt;contributors&gt;&lt;authors&gt;&lt;author&gt;Pao W, Miller VA, Politi KA, Riely GJ, Somwar R, Zakowski, et al.&lt;/author&gt;&lt;/authors&gt;&lt;/contributors&gt;&lt;titles&gt;&lt;title&gt;Acquired resistance of lung adenocarcinomas to gefitinib or erlotinib is associated with a second mutation in the EGFR kinase domain.&lt;/title&gt;&lt;secondary-title&gt;PLoS&lt;/secondary-title&gt;&lt;/titles&gt;&lt;periodical&gt;&lt;full-title&gt;PLoS&lt;/full-title&gt;&lt;/periodical&gt;&lt;volume&gt;2&lt;/volume&gt;&lt;number&gt;e73&lt;/number&gt;&lt;dates&gt;&lt;year&gt;2005&lt;/year&gt;&lt;/dates&gt;&lt;urls&gt;&lt;/urls&gt;&lt;/record&gt;&lt;/Cite&gt;&lt;Cite&gt;&lt;Author&gt;Cheng&lt;/Author&gt;&lt;Year&gt;2012&lt;/Year&gt;&lt;RecNum&gt;67&lt;/RecNum&gt;&lt;record&gt;&lt;rec-number&gt;67&lt;/rec-number&gt;&lt;foreign-keys&gt;&lt;key app="EN" db-id="rprtzr95srz0woefsws5fs50rfwvtsf5aw2f"&gt;67&lt;/key&gt;&lt;/foreign-keys&gt;&lt;ref-type name="Journal Article"&gt;17&lt;/ref-type&gt;&lt;contributors&gt;&lt;authors&gt;&lt;author&gt;Cheng L&lt;/author&gt;&lt;author&gt;Alexander RE&lt;/author&gt;&lt;author&gt;MacLennan GT&lt;/author&gt;&lt;author&gt;Cummings OW&lt;/author&gt;&lt;author&gt;et al.&lt;/author&gt;&lt;/authors&gt;&lt;/contributors&gt;&lt;titles&gt;&lt;title&gt;Molecular pathology of lung cancer: key to personalized medicine&lt;/title&gt;&lt;secondary-title&gt;Modern Pathology&lt;/secondary-title&gt;&lt;/titles&gt;&lt;periodical&gt;&lt;full-title&gt;Modern Pathology&lt;/full-title&gt;&lt;/periodical&gt;&lt;pages&gt;347-369&lt;/pages&gt;&lt;volume&gt;25&lt;/volume&gt;&lt;dates&gt;&lt;year&gt;2012&lt;/year&gt;&lt;/dates&gt;&lt;urls&gt;&lt;/urls&gt;&lt;electronic-resource-num&gt;10.1038/modpathol.2011.215&lt;/electronic-resource-num&gt;&lt;/record&gt;&lt;/Cite&gt;&lt;/EndNote&gt;</w:instrText>
      </w:r>
      <w:r w:rsidRPr="00AA0C2E">
        <w:rPr>
          <w:rFonts w:ascii="Arial" w:hAnsi="Arial" w:cs="Arial"/>
          <w:color w:val="auto"/>
          <w:sz w:val="22"/>
          <w:szCs w:val="36"/>
        </w:rPr>
        <w:fldChar w:fldCharType="separate"/>
      </w:r>
      <w:r w:rsidR="00B16A45" w:rsidRPr="00AA0C2E">
        <w:rPr>
          <w:rFonts w:ascii="Arial" w:hAnsi="Arial" w:cs="Arial"/>
          <w:noProof/>
          <w:color w:val="auto"/>
          <w:sz w:val="22"/>
          <w:szCs w:val="36"/>
        </w:rPr>
        <w:t>[</w:t>
      </w:r>
      <w:hyperlink w:anchor="_ENREF_14" w:tooltip="Pao W, 2005 #49" w:history="1">
        <w:r w:rsidR="00F65C59" w:rsidRPr="00AA0C2E">
          <w:rPr>
            <w:rFonts w:ascii="Arial" w:hAnsi="Arial" w:cs="Arial"/>
            <w:noProof/>
            <w:color w:val="auto"/>
            <w:sz w:val="22"/>
            <w:szCs w:val="36"/>
          </w:rPr>
          <w:t>14</w:t>
        </w:r>
      </w:hyperlink>
      <w:r w:rsidR="00B16A45" w:rsidRPr="00AA0C2E">
        <w:rPr>
          <w:rFonts w:ascii="Arial" w:hAnsi="Arial" w:cs="Arial"/>
          <w:noProof/>
          <w:color w:val="auto"/>
          <w:sz w:val="22"/>
          <w:szCs w:val="36"/>
        </w:rPr>
        <w:t xml:space="preserve">, </w:t>
      </w:r>
      <w:hyperlink w:anchor="_ENREF_15" w:tooltip="L, 2012 #67" w:history="1">
        <w:r w:rsidR="00F65C59" w:rsidRPr="00AA0C2E">
          <w:rPr>
            <w:rFonts w:ascii="Arial" w:hAnsi="Arial" w:cs="Arial"/>
            <w:noProof/>
            <w:color w:val="auto"/>
            <w:sz w:val="22"/>
            <w:szCs w:val="36"/>
          </w:rPr>
          <w:t>15</w:t>
        </w:r>
      </w:hyperlink>
      <w:r w:rsidR="00B16A45" w:rsidRPr="00AA0C2E">
        <w:rPr>
          <w:rFonts w:ascii="Arial" w:hAnsi="Arial" w:cs="Arial"/>
          <w:noProof/>
          <w:color w:val="auto"/>
          <w:sz w:val="22"/>
          <w:szCs w:val="36"/>
        </w:rPr>
        <w:t>]</w:t>
      </w:r>
      <w:r w:rsidRPr="00AA0C2E">
        <w:rPr>
          <w:rFonts w:ascii="Arial" w:hAnsi="Arial" w:cs="Arial"/>
          <w:color w:val="auto"/>
          <w:sz w:val="22"/>
          <w:szCs w:val="36"/>
        </w:rPr>
        <w:fldChar w:fldCharType="end"/>
      </w:r>
      <w:r w:rsidRPr="00AA0C2E">
        <w:rPr>
          <w:rFonts w:ascii="Arial" w:hAnsi="Arial" w:cs="Arial"/>
          <w:color w:val="auto"/>
          <w:sz w:val="22"/>
          <w:szCs w:val="36"/>
        </w:rPr>
        <w:t xml:space="preserve">. In the absence of competitive pressure from the driver sensitising mutation(s) being </w:t>
      </w:r>
      <w:r w:rsidR="003A373B" w:rsidRPr="00AA0C2E">
        <w:rPr>
          <w:rFonts w:ascii="Arial" w:hAnsi="Arial" w:cs="Arial"/>
          <w:color w:val="auto"/>
          <w:sz w:val="22"/>
          <w:szCs w:val="22"/>
        </w:rPr>
        <w:t>suppressed by an EGFR TKI</w:t>
      </w:r>
      <w:r w:rsidRPr="00AA0C2E">
        <w:rPr>
          <w:rFonts w:ascii="Arial" w:hAnsi="Arial" w:cs="Arial"/>
          <w:color w:val="auto"/>
          <w:sz w:val="22"/>
          <w:szCs w:val="36"/>
        </w:rPr>
        <w:t xml:space="preserve">, T790M </w:t>
      </w:r>
      <w:r w:rsidR="00B32826" w:rsidRPr="00AA0C2E">
        <w:rPr>
          <w:rFonts w:ascii="Arial" w:hAnsi="Arial" w:cs="Arial"/>
          <w:color w:val="auto"/>
          <w:sz w:val="22"/>
          <w:szCs w:val="36"/>
        </w:rPr>
        <w:t xml:space="preserve">clones proliferate </w:t>
      </w:r>
      <w:r w:rsidR="003A373B" w:rsidRPr="00AA0C2E">
        <w:rPr>
          <w:rFonts w:ascii="Arial" w:hAnsi="Arial" w:cs="Arial"/>
          <w:color w:val="auto"/>
          <w:sz w:val="22"/>
          <w:szCs w:val="36"/>
        </w:rPr>
        <w:t>in the tumour environment</w:t>
      </w:r>
      <w:r w:rsidRPr="00AA0C2E">
        <w:rPr>
          <w:rFonts w:ascii="Arial" w:hAnsi="Arial" w:cs="Arial"/>
          <w:color w:val="auto"/>
          <w:sz w:val="22"/>
          <w:szCs w:val="22"/>
        </w:rPr>
        <w:t>.</w:t>
      </w:r>
      <w:r w:rsidR="009A336C" w:rsidRPr="00AA0C2E">
        <w:rPr>
          <w:rFonts w:ascii="Arial" w:hAnsi="Arial" w:cs="Arial"/>
          <w:color w:val="auto"/>
          <w:sz w:val="22"/>
          <w:szCs w:val="22"/>
        </w:rPr>
        <w:t xml:space="preserve"> </w:t>
      </w:r>
    </w:p>
    <w:p w14:paraId="079E4A76" w14:textId="77777777" w:rsidR="008E40B9" w:rsidRPr="00AA0C2E" w:rsidRDefault="008E40B9" w:rsidP="008B2295">
      <w:pPr>
        <w:spacing w:before="120" w:after="120" w:line="360" w:lineRule="auto"/>
        <w:jc w:val="both"/>
        <w:rPr>
          <w:rFonts w:ascii="Arial" w:hAnsi="Arial" w:cs="Arial"/>
          <w:szCs w:val="36"/>
        </w:rPr>
      </w:pPr>
      <w:r w:rsidRPr="00AA0C2E">
        <w:rPr>
          <w:rFonts w:ascii="Arial" w:hAnsi="Arial" w:cs="Arial"/>
        </w:rPr>
        <w:t xml:space="preserve">In the advanced NSCLC post-EGFR TKI treatment failure setting, </w:t>
      </w:r>
      <w:r w:rsidR="007D00A7" w:rsidRPr="00AA0C2E">
        <w:rPr>
          <w:rFonts w:ascii="Arial" w:hAnsi="Arial" w:cs="Arial"/>
        </w:rPr>
        <w:t>n</w:t>
      </w:r>
      <w:r w:rsidR="007C5B32" w:rsidRPr="00AA0C2E">
        <w:rPr>
          <w:rFonts w:ascii="Arial" w:hAnsi="Arial" w:cs="Arial"/>
        </w:rPr>
        <w:t xml:space="preserve">o approved therapy is </w:t>
      </w:r>
      <w:r w:rsidRPr="00AA0C2E">
        <w:rPr>
          <w:rFonts w:ascii="Arial" w:hAnsi="Arial" w:cs="Arial"/>
        </w:rPr>
        <w:t xml:space="preserve">currently available for patients with T790M mutation positive tumours that have acquired EGFR TKI resistance or </w:t>
      </w:r>
      <w:r w:rsidR="0072075C" w:rsidRPr="00AA0C2E">
        <w:rPr>
          <w:rFonts w:ascii="Arial" w:hAnsi="Arial" w:cs="Arial"/>
        </w:rPr>
        <w:t>are refractory to EGFR TKI treatment</w:t>
      </w:r>
      <w:r w:rsidRPr="00AA0C2E">
        <w:rPr>
          <w:rFonts w:ascii="Arial" w:hAnsi="Arial" w:cs="Arial"/>
          <w:szCs w:val="36"/>
        </w:rPr>
        <w:t xml:space="preserve">. </w:t>
      </w:r>
      <w:r w:rsidR="007D00A7" w:rsidRPr="00AA0C2E">
        <w:rPr>
          <w:rFonts w:ascii="Arial" w:hAnsi="Arial" w:cs="Arial"/>
          <w:szCs w:val="36"/>
        </w:rPr>
        <w:t>Subsequent</w:t>
      </w:r>
      <w:r w:rsidRPr="00AA0C2E">
        <w:rPr>
          <w:rFonts w:ascii="Arial" w:hAnsi="Arial" w:cs="Arial"/>
          <w:szCs w:val="36"/>
        </w:rPr>
        <w:t xml:space="preserve"> treatment of </w:t>
      </w:r>
      <w:proofErr w:type="spellStart"/>
      <w:r w:rsidRPr="00AA0C2E">
        <w:rPr>
          <w:rFonts w:ascii="Arial" w:hAnsi="Arial" w:cs="Arial"/>
          <w:szCs w:val="36"/>
        </w:rPr>
        <w:t>EGFRm</w:t>
      </w:r>
      <w:proofErr w:type="spellEnd"/>
      <w:r w:rsidRPr="00AA0C2E">
        <w:rPr>
          <w:rFonts w:ascii="Arial" w:hAnsi="Arial" w:cs="Arial"/>
          <w:szCs w:val="36"/>
        </w:rPr>
        <w:t xml:space="preserve"> NSCLC include</w:t>
      </w:r>
      <w:r w:rsidR="007D00A7" w:rsidRPr="00AA0C2E">
        <w:rPr>
          <w:rFonts w:ascii="Arial" w:hAnsi="Arial" w:cs="Arial"/>
          <w:szCs w:val="36"/>
        </w:rPr>
        <w:t>s</w:t>
      </w:r>
      <w:r w:rsidRPr="00AA0C2E">
        <w:rPr>
          <w:rFonts w:ascii="Arial" w:hAnsi="Arial" w:cs="Arial"/>
          <w:szCs w:val="36"/>
        </w:rPr>
        <w:t xml:space="preserve"> using platinum-based chemotherapy doublet treatment </w:t>
      </w:r>
      <w:r w:rsidR="007D00A7" w:rsidRPr="00AA0C2E">
        <w:rPr>
          <w:rFonts w:ascii="Arial" w:hAnsi="Arial" w:cs="Arial"/>
          <w:szCs w:val="36"/>
        </w:rPr>
        <w:fldChar w:fldCharType="begin">
          <w:fldData xml:space="preserve">PEVuZE5vdGU+PENpdGU+PEF1dGhvcj5HcmlkZWxsaTwvQXV0aG9yPjxZZWFyPjIwMTQ8L1llYXI+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==
</w:fldData>
        </w:fldChar>
      </w:r>
      <w:r w:rsidR="00C06CCA">
        <w:rPr>
          <w:rFonts w:ascii="Arial" w:hAnsi="Arial" w:cs="Arial"/>
          <w:szCs w:val="36"/>
        </w:rPr>
        <w:instrText xml:space="preserve"> ADDIN EN.CITE </w:instrText>
      </w:r>
      <w:r w:rsidR="00C06CCA">
        <w:rPr>
          <w:rFonts w:ascii="Arial" w:hAnsi="Arial" w:cs="Arial"/>
          <w:szCs w:val="36"/>
        </w:rPr>
        <w:fldChar w:fldCharType="begin">
          <w:fldData xml:space="preserve">PEVuZE5vdGU+PENpdGU+PEF1dGhvcj5HcmlkZWxsaTwvQXV0aG9yPjxZZWFyPjIwMTQ8L1llYXI+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==
</w:fldData>
        </w:fldChar>
      </w:r>
      <w:r w:rsidR="00C06CCA">
        <w:rPr>
          <w:rFonts w:ascii="Arial" w:hAnsi="Arial" w:cs="Arial"/>
          <w:szCs w:val="36"/>
        </w:rPr>
        <w:instrText xml:space="preserve"> ADDIN EN.CITE.DATA </w:instrText>
      </w:r>
      <w:r w:rsidR="00C06CCA">
        <w:rPr>
          <w:rFonts w:ascii="Arial" w:hAnsi="Arial" w:cs="Arial"/>
          <w:szCs w:val="36"/>
        </w:rPr>
      </w:r>
      <w:r w:rsidR="00C06CCA">
        <w:rPr>
          <w:rFonts w:ascii="Arial" w:hAnsi="Arial" w:cs="Arial"/>
          <w:szCs w:val="36"/>
        </w:rPr>
        <w:fldChar w:fldCharType="end"/>
      </w:r>
      <w:r w:rsidR="007D00A7" w:rsidRPr="00AA0C2E">
        <w:rPr>
          <w:rFonts w:ascii="Arial" w:hAnsi="Arial" w:cs="Arial"/>
          <w:szCs w:val="36"/>
        </w:rPr>
      </w:r>
      <w:r w:rsidR="007D00A7" w:rsidRPr="00AA0C2E">
        <w:rPr>
          <w:rFonts w:ascii="Arial" w:hAnsi="Arial" w:cs="Arial"/>
          <w:szCs w:val="36"/>
        </w:rPr>
        <w:fldChar w:fldCharType="separate"/>
      </w:r>
      <w:r w:rsidR="00B16A45" w:rsidRPr="00AA0C2E">
        <w:rPr>
          <w:rFonts w:ascii="Arial" w:hAnsi="Arial" w:cs="Arial"/>
          <w:noProof/>
          <w:szCs w:val="36"/>
        </w:rPr>
        <w:t>[</w:t>
      </w:r>
      <w:hyperlink w:anchor="_ENREF_16" w:tooltip="Gridelli, 2014 #83" w:history="1">
        <w:r w:rsidR="00F65C59" w:rsidRPr="00AA0C2E">
          <w:rPr>
            <w:rFonts w:ascii="Arial" w:hAnsi="Arial" w:cs="Arial"/>
            <w:noProof/>
            <w:szCs w:val="36"/>
          </w:rPr>
          <w:t>16-18</w:t>
        </w:r>
      </w:hyperlink>
      <w:r w:rsidR="00B16A45" w:rsidRPr="00AA0C2E">
        <w:rPr>
          <w:rFonts w:ascii="Arial" w:hAnsi="Arial" w:cs="Arial"/>
          <w:noProof/>
          <w:szCs w:val="36"/>
        </w:rPr>
        <w:t>]</w:t>
      </w:r>
      <w:r w:rsidR="007D00A7" w:rsidRPr="00AA0C2E">
        <w:rPr>
          <w:rFonts w:ascii="Arial" w:hAnsi="Arial" w:cs="Arial"/>
          <w:szCs w:val="36"/>
        </w:rPr>
        <w:fldChar w:fldCharType="end"/>
      </w:r>
      <w:r w:rsidR="003808E9" w:rsidRPr="00AA0C2E">
        <w:rPr>
          <w:rFonts w:ascii="Arial" w:hAnsi="Arial" w:cs="Arial"/>
          <w:szCs w:val="36"/>
        </w:rPr>
        <w:t xml:space="preserve"> </w:t>
      </w:r>
      <w:r w:rsidR="007C5B32" w:rsidRPr="00AA0C2E">
        <w:rPr>
          <w:rFonts w:ascii="Arial" w:hAnsi="Arial" w:cs="Arial"/>
          <w:szCs w:val="36"/>
        </w:rPr>
        <w:t xml:space="preserve">with the associated </w:t>
      </w:r>
      <w:r w:rsidRPr="00AA0C2E">
        <w:rPr>
          <w:rFonts w:ascii="Arial" w:hAnsi="Arial" w:cs="Arial"/>
          <w:szCs w:val="36"/>
        </w:rPr>
        <w:t xml:space="preserve">toxicity burden that </w:t>
      </w:r>
      <w:r w:rsidR="007C5B32" w:rsidRPr="00AA0C2E">
        <w:rPr>
          <w:rFonts w:ascii="Arial" w:hAnsi="Arial" w:cs="Arial"/>
          <w:szCs w:val="36"/>
        </w:rPr>
        <w:t xml:space="preserve">may </w:t>
      </w:r>
      <w:r w:rsidRPr="00AA0C2E">
        <w:rPr>
          <w:rFonts w:ascii="Arial" w:hAnsi="Arial" w:cs="Arial"/>
          <w:szCs w:val="36"/>
        </w:rPr>
        <w:t>include nausea, vomiting, bone marrow suppression, alopecia, fatigue, and peripheral neuropathy</w:t>
      </w:r>
      <w:r w:rsidR="007C5B32" w:rsidRPr="00AA0C2E">
        <w:rPr>
          <w:rFonts w:ascii="Arial" w:hAnsi="Arial" w:cs="Arial"/>
          <w:szCs w:val="36"/>
        </w:rPr>
        <w:t>.</w:t>
      </w:r>
      <w:r w:rsidRPr="00AA0C2E">
        <w:rPr>
          <w:rFonts w:ascii="Arial" w:hAnsi="Arial" w:cs="Arial"/>
          <w:szCs w:val="36"/>
        </w:rPr>
        <w:t xml:space="preserve"> </w:t>
      </w:r>
    </w:p>
    <w:p w14:paraId="5E9B3522" w14:textId="77777777" w:rsidR="00E91CCB" w:rsidRPr="00AA0C2E" w:rsidRDefault="00A679BB" w:rsidP="008B2295">
      <w:pPr>
        <w:pStyle w:val="Default"/>
        <w:spacing w:before="120" w:after="120" w:line="360" w:lineRule="auto"/>
        <w:jc w:val="both"/>
        <w:rPr>
          <w:rFonts w:ascii="Arial" w:hAnsi="Arial" w:cs="Arial"/>
          <w:color w:val="auto"/>
          <w:sz w:val="22"/>
          <w:szCs w:val="22"/>
        </w:rPr>
      </w:pPr>
      <w:r w:rsidRPr="00AA0C2E">
        <w:rPr>
          <w:rFonts w:ascii="Arial" w:hAnsi="Arial" w:cs="Arial"/>
          <w:color w:val="auto"/>
          <w:sz w:val="22"/>
          <w:szCs w:val="22"/>
        </w:rPr>
        <w:t xml:space="preserve">The only way to </w:t>
      </w:r>
      <w:r w:rsidR="00EB32DB" w:rsidRPr="00AA0C2E">
        <w:rPr>
          <w:rFonts w:ascii="Arial" w:hAnsi="Arial" w:cs="Arial"/>
          <w:color w:val="auto"/>
          <w:sz w:val="22"/>
          <w:szCs w:val="22"/>
        </w:rPr>
        <w:t xml:space="preserve">confirm </w:t>
      </w:r>
      <w:r w:rsidR="005D5667" w:rsidRPr="00AA0C2E">
        <w:rPr>
          <w:rFonts w:ascii="Arial" w:hAnsi="Arial" w:cs="Arial"/>
          <w:color w:val="auto"/>
          <w:sz w:val="22"/>
          <w:szCs w:val="22"/>
        </w:rPr>
        <w:t>if the</w:t>
      </w:r>
      <w:r w:rsidRPr="00AA0C2E">
        <w:rPr>
          <w:rFonts w:ascii="Arial" w:hAnsi="Arial" w:cs="Arial"/>
          <w:color w:val="auto"/>
          <w:sz w:val="22"/>
          <w:szCs w:val="22"/>
        </w:rPr>
        <w:t xml:space="preserve"> tumour growth </w:t>
      </w:r>
      <w:r w:rsidR="005D5667" w:rsidRPr="00AA0C2E">
        <w:rPr>
          <w:rFonts w:ascii="Arial" w:hAnsi="Arial" w:cs="Arial"/>
          <w:color w:val="auto"/>
          <w:sz w:val="22"/>
          <w:szCs w:val="22"/>
        </w:rPr>
        <w:t xml:space="preserve">in a patient receiving EGFR TKI </w:t>
      </w:r>
      <w:r w:rsidRPr="00AA0C2E">
        <w:rPr>
          <w:rFonts w:ascii="Arial" w:hAnsi="Arial" w:cs="Arial"/>
          <w:color w:val="auto"/>
          <w:sz w:val="22"/>
          <w:szCs w:val="22"/>
        </w:rPr>
        <w:t>is being driven by the secondary mutation, T790M</w:t>
      </w:r>
      <w:r w:rsidR="006B22EC" w:rsidRPr="00AA0C2E">
        <w:rPr>
          <w:rFonts w:ascii="Arial" w:hAnsi="Arial" w:cs="Arial"/>
          <w:color w:val="auto"/>
          <w:sz w:val="22"/>
          <w:szCs w:val="22"/>
        </w:rPr>
        <w:t>,</w:t>
      </w:r>
      <w:r w:rsidRPr="00AA0C2E">
        <w:rPr>
          <w:rFonts w:ascii="Arial" w:hAnsi="Arial" w:cs="Arial"/>
          <w:color w:val="auto"/>
          <w:sz w:val="22"/>
          <w:szCs w:val="22"/>
        </w:rPr>
        <w:t xml:space="preserve"> is to obtain a </w:t>
      </w:r>
      <w:r w:rsidR="006B22EC" w:rsidRPr="00AA0C2E">
        <w:rPr>
          <w:rFonts w:ascii="Arial" w:hAnsi="Arial" w:cs="Arial"/>
          <w:color w:val="auto"/>
          <w:sz w:val="22"/>
          <w:szCs w:val="22"/>
        </w:rPr>
        <w:t>tumour DNA</w:t>
      </w:r>
      <w:r w:rsidRPr="00AA0C2E">
        <w:rPr>
          <w:rFonts w:ascii="Arial" w:hAnsi="Arial" w:cs="Arial"/>
          <w:color w:val="auto"/>
          <w:sz w:val="22"/>
          <w:szCs w:val="22"/>
        </w:rPr>
        <w:t xml:space="preserve"> sample</w:t>
      </w:r>
      <w:r w:rsidR="006B22EC" w:rsidRPr="00AA0C2E">
        <w:rPr>
          <w:rFonts w:ascii="Arial" w:hAnsi="Arial" w:cs="Arial"/>
          <w:color w:val="auto"/>
          <w:sz w:val="22"/>
          <w:szCs w:val="22"/>
        </w:rPr>
        <w:t>, and conduct an EGFR mutation test</w:t>
      </w:r>
      <w:r w:rsidRPr="00AA0C2E">
        <w:rPr>
          <w:rFonts w:ascii="Arial" w:hAnsi="Arial" w:cs="Arial"/>
          <w:color w:val="auto"/>
          <w:sz w:val="22"/>
          <w:szCs w:val="22"/>
        </w:rPr>
        <w:t xml:space="preserve"> at the time of </w:t>
      </w:r>
      <w:r w:rsidR="00EB32DB" w:rsidRPr="00AA0C2E">
        <w:rPr>
          <w:rFonts w:ascii="Arial" w:hAnsi="Arial" w:cs="Arial"/>
          <w:color w:val="auto"/>
          <w:sz w:val="22"/>
          <w:szCs w:val="22"/>
        </w:rPr>
        <w:t xml:space="preserve">disease </w:t>
      </w:r>
      <w:r w:rsidRPr="00AA0C2E">
        <w:rPr>
          <w:rFonts w:ascii="Arial" w:hAnsi="Arial" w:cs="Arial"/>
          <w:color w:val="auto"/>
          <w:sz w:val="22"/>
          <w:szCs w:val="22"/>
        </w:rPr>
        <w:t xml:space="preserve">progression. </w:t>
      </w:r>
    </w:p>
    <w:p w14:paraId="03522FE6" w14:textId="35C0CDD3" w:rsidR="00047AB3" w:rsidRPr="00AA0C2E" w:rsidRDefault="00047AB3" w:rsidP="008B2295">
      <w:pPr>
        <w:spacing w:after="120" w:line="360" w:lineRule="auto"/>
        <w:jc w:val="both"/>
        <w:rPr>
          <w:rFonts w:ascii="Arial" w:hAnsi="Arial" w:cs="Arial"/>
          <w:szCs w:val="36"/>
        </w:rPr>
      </w:pPr>
      <w:r w:rsidRPr="00AA0C2E">
        <w:rPr>
          <w:rFonts w:ascii="Arial" w:hAnsi="Arial" w:cs="Arial"/>
          <w:szCs w:val="36"/>
        </w:rPr>
        <w:t>Note: The EGFR T790M mutation is rarely (&lt;1%) identified in EGFR TKI</w:t>
      </w:r>
      <w:r w:rsidR="008B2295" w:rsidRPr="00AA0C2E">
        <w:rPr>
          <w:rFonts w:ascii="Arial" w:hAnsi="Arial" w:cs="Arial"/>
          <w:szCs w:val="36"/>
        </w:rPr>
        <w:t>-</w:t>
      </w:r>
      <w:r w:rsidRPr="00AA0C2E">
        <w:rPr>
          <w:rFonts w:ascii="Arial" w:hAnsi="Arial" w:cs="Arial"/>
          <w:szCs w:val="36"/>
        </w:rPr>
        <w:t xml:space="preserve">naïve tumours. These "de novo" T790M mutations </w:t>
      </w:r>
      <w:r w:rsidR="00734A1D" w:rsidRPr="00AA0C2E">
        <w:rPr>
          <w:rFonts w:ascii="Arial" w:hAnsi="Arial" w:cs="Arial"/>
          <w:szCs w:val="36"/>
        </w:rPr>
        <w:t xml:space="preserve">have been identified in EGFR mutation testing for first-line EGFR TKI access. These </w:t>
      </w:r>
      <w:r w:rsidRPr="00AA0C2E">
        <w:rPr>
          <w:rFonts w:ascii="Arial" w:hAnsi="Arial" w:cs="Arial"/>
          <w:szCs w:val="36"/>
        </w:rPr>
        <w:t>generally occur concurrently with a</w:t>
      </w:r>
      <w:r w:rsidR="00DA50C1" w:rsidRPr="00AA0C2E">
        <w:rPr>
          <w:rFonts w:ascii="Arial" w:hAnsi="Arial" w:cs="Arial"/>
          <w:szCs w:val="36"/>
        </w:rPr>
        <w:t>n</w:t>
      </w:r>
      <w:r w:rsidRPr="00AA0C2E">
        <w:rPr>
          <w:rFonts w:ascii="Arial" w:hAnsi="Arial" w:cs="Arial"/>
          <w:szCs w:val="36"/>
        </w:rPr>
        <w:t xml:space="preserve"> EGFR sensitizing mutation and have been found to be associated with decreased sensitivity to the first and second generation EGFR TKIs</w:t>
      </w:r>
      <w:r w:rsidR="00731055" w:rsidRPr="00AA0C2E">
        <w:rPr>
          <w:rFonts w:ascii="Arial" w:hAnsi="Arial" w:cs="Arial"/>
          <w:szCs w:val="36"/>
        </w:rPr>
        <w:t xml:space="preserve">. Clinical treatment in these cases, may be to commence EGFR TKI treatment, however research suggests that these subset of patients have a distinct clinical course and further </w:t>
      </w:r>
      <w:r w:rsidR="00D60708" w:rsidRPr="00AA0C2E">
        <w:rPr>
          <w:rFonts w:ascii="Arial" w:hAnsi="Arial" w:cs="Arial"/>
          <w:szCs w:val="36"/>
        </w:rPr>
        <w:t>data</w:t>
      </w:r>
      <w:r w:rsidR="00731055" w:rsidRPr="00AA0C2E">
        <w:rPr>
          <w:rFonts w:ascii="Arial" w:hAnsi="Arial" w:cs="Arial"/>
          <w:szCs w:val="36"/>
        </w:rPr>
        <w:t xml:space="preserve"> is required</w:t>
      </w:r>
      <w:r w:rsidR="00D60708" w:rsidRPr="00AA0C2E">
        <w:rPr>
          <w:rFonts w:ascii="Arial" w:hAnsi="Arial" w:cs="Arial"/>
          <w:szCs w:val="36"/>
        </w:rPr>
        <w:t xml:space="preserve"> to determine the optimum clinical management for these patients</w:t>
      </w:r>
      <w:r w:rsidR="00731055" w:rsidRPr="00AA0C2E">
        <w:rPr>
          <w:rFonts w:ascii="Arial" w:hAnsi="Arial" w:cs="Arial"/>
          <w:szCs w:val="36"/>
        </w:rPr>
        <w:t xml:space="preserve"> </w:t>
      </w:r>
      <w:r w:rsidRPr="00AA0C2E">
        <w:rPr>
          <w:rFonts w:ascii="Arial" w:hAnsi="Arial" w:cs="Arial"/>
          <w:szCs w:val="36"/>
        </w:rPr>
        <w:t xml:space="preserve"> </w:t>
      </w:r>
      <w:r w:rsidRPr="00AA0C2E">
        <w:rPr>
          <w:rFonts w:ascii="Arial" w:hAnsi="Arial" w:cs="Arial"/>
          <w:szCs w:val="36"/>
        </w:rPr>
        <w:fldChar w:fldCharType="begin"/>
      </w:r>
      <w:r w:rsidR="009B3639">
        <w:rPr>
          <w:rFonts w:ascii="Arial" w:hAnsi="Arial" w:cs="Arial"/>
          <w:szCs w:val="36"/>
        </w:rPr>
        <w:instrText xml:space="preserve"> ADDIN EN.CITE &lt;EndNote&gt;&lt;Cite&gt;&lt;Author&gt;Wu&lt;/Author&gt;&lt;Year&gt;2011&lt;/Year&gt;&lt;RecNum&gt;13&lt;/RecNum&gt;&lt;DisplayText&gt;[19, 20]&lt;/DisplayText&gt;&lt;record&gt;&lt;rec-number&gt;13&lt;/rec-number&gt;&lt;foreign-keys&gt;&lt;key app="EN" db-id="rprtzr95srz0woefsws5fs50rfwvtsf5aw2f"&gt;13&lt;/key&gt;&lt;/foreign-keys&gt;&lt;ref-type name="Journal Article"&gt;17&lt;/ref-type&gt;&lt;contributors&gt;&lt;authors&gt;&lt;author&gt;Wu, J-Y&lt;/author&gt;&lt;author&gt;Yu, C-J&lt;/author&gt;&lt;author&gt;Chang, Y-C&lt;/author&gt;&lt;author&gt;Yang, C-H&lt;/author&gt;&lt;author&gt;Shih, J-Y&lt;/author&gt;&lt;author&gt;Yang, P-C&lt;/author&gt;&lt;/authors&gt;&lt;/contributors&gt;&lt;titles&gt;&lt;title&gt;Effectiveness of Tyrosine Kinase Inhibitors on &amp;quot;Uncommon&amp;quot; Epidermal Growth Factor Receptor Mutations of Unknown Clinical Significance in Non–Small Cell Lung Cancer&lt;/title&gt;&lt;secondary-title&gt;Clinical Cancer Research&lt;/secondary-title&gt;&lt;/titles&gt;&lt;periodical&gt;&lt;full-title&gt;Clinical Cancer Research&lt;/full-title&gt;&lt;/periodical&gt;&lt;pages&gt;3812-21&lt;/pages&gt;&lt;volume&gt;17&lt;/volume&gt;&lt;number&gt;11&lt;/number&gt;&lt;dates&gt;&lt;year&gt;2011&lt;/year&gt;&lt;/dates&gt;&lt;urls&gt;&lt;/urls&gt;&lt;electronic-resource-num&gt;10.1158/1078-0432.CCR-10-3408&lt;/electronic-resource-num&gt;&lt;/record&gt;&lt;/Cite&gt;&lt;Cite&gt;&lt;Author&gt;Yu&lt;/Author&gt;&lt;Year&gt;2014&lt;/Year&gt;&lt;RecNum&gt;101&lt;/RecNum&gt;&lt;record&gt;&lt;rec-number&gt;101&lt;/rec-number&gt;&lt;foreign-keys&gt;&lt;key app="EN" db-id="rprtzr95srz0woefsws5fs50rfwvtsf5aw2f"&gt;101&lt;/key&gt;&lt;/foreign-keys&gt;&lt;ref-type name="Journal Article"&gt;17&lt;/ref-type&gt;&lt;contributors&gt;&lt;authors&gt;&lt;author&gt;Yu, HA&lt;/author&gt;&lt;author&gt;Arcila, ME&lt;/author&gt;&lt;author&gt;Hellman, MD&lt;/author&gt;&lt;author&gt;Kris, MG&lt;/author&gt;&lt;author&gt;et al&lt;/author&gt;&lt;/authors&gt;&lt;/contributors&gt;&lt;titles&gt;&lt;title&gt;Poor response to erlotinib in patients with tumours containing baseline EGFR T790M mutations found by routine clinical molecular testing&lt;/title&gt;&lt;secondary-title&gt;Annals of Oncology&lt;/secondary-title&gt;&lt;/titles&gt;&lt;periodical&gt;&lt;full-title&gt;Annals of Oncology&lt;/full-title&gt;&lt;/periodical&gt;&lt;pages&gt;423-428&lt;/pages&gt;&lt;volume&gt;25&lt;/volume&gt;&lt;dates&gt;&lt;year&gt;2014&lt;/year&gt;&lt;/dates&gt;&lt;urls&gt;&lt;/urls&gt;&lt;/record&gt;&lt;/Cite&gt;&lt;/EndNote&gt;</w:instrText>
      </w:r>
      <w:r w:rsidRPr="00AA0C2E">
        <w:rPr>
          <w:rFonts w:ascii="Arial" w:hAnsi="Arial" w:cs="Arial"/>
          <w:szCs w:val="36"/>
        </w:rPr>
        <w:fldChar w:fldCharType="separate"/>
      </w:r>
      <w:r w:rsidR="00B16A45" w:rsidRPr="00AA0C2E">
        <w:rPr>
          <w:rFonts w:ascii="Arial" w:hAnsi="Arial" w:cs="Arial"/>
          <w:noProof/>
          <w:szCs w:val="36"/>
        </w:rPr>
        <w:t>[</w:t>
      </w:r>
      <w:hyperlink w:anchor="_ENREF_19" w:tooltip="Wu, 2011 #13" w:history="1">
        <w:r w:rsidR="00F65C59" w:rsidRPr="00AA0C2E">
          <w:rPr>
            <w:rFonts w:ascii="Arial" w:hAnsi="Arial" w:cs="Arial"/>
            <w:noProof/>
            <w:szCs w:val="36"/>
          </w:rPr>
          <w:t>19</w:t>
        </w:r>
      </w:hyperlink>
      <w:r w:rsidR="00B16A45" w:rsidRPr="00AA0C2E">
        <w:rPr>
          <w:rFonts w:ascii="Arial" w:hAnsi="Arial" w:cs="Arial"/>
          <w:noProof/>
          <w:szCs w:val="36"/>
        </w:rPr>
        <w:t xml:space="preserve">, </w:t>
      </w:r>
      <w:hyperlink w:anchor="_ENREF_20" w:tooltip="Yu, 2014 #101" w:history="1">
        <w:r w:rsidR="00F65C59" w:rsidRPr="00AA0C2E">
          <w:rPr>
            <w:rFonts w:ascii="Arial" w:hAnsi="Arial" w:cs="Arial"/>
            <w:noProof/>
            <w:szCs w:val="36"/>
          </w:rPr>
          <w:t>20</w:t>
        </w:r>
      </w:hyperlink>
      <w:r w:rsidR="00B16A45" w:rsidRPr="00AA0C2E">
        <w:rPr>
          <w:rFonts w:ascii="Arial" w:hAnsi="Arial" w:cs="Arial"/>
          <w:noProof/>
          <w:szCs w:val="36"/>
        </w:rPr>
        <w:t>]</w:t>
      </w:r>
      <w:r w:rsidRPr="00AA0C2E">
        <w:rPr>
          <w:rFonts w:ascii="Arial" w:hAnsi="Arial" w:cs="Arial"/>
          <w:szCs w:val="36"/>
        </w:rPr>
        <w:fldChar w:fldCharType="end"/>
      </w:r>
      <w:r w:rsidRPr="00AA0C2E">
        <w:rPr>
          <w:rFonts w:ascii="Arial" w:hAnsi="Arial" w:cs="Arial"/>
          <w:szCs w:val="36"/>
        </w:rPr>
        <w:t xml:space="preserve">. </w:t>
      </w:r>
      <w:r w:rsidR="00DA50C1" w:rsidRPr="00AA0C2E">
        <w:rPr>
          <w:rFonts w:ascii="Arial" w:hAnsi="Arial" w:cs="Arial"/>
          <w:szCs w:val="36"/>
        </w:rPr>
        <w:t xml:space="preserve">A study of </w:t>
      </w:r>
      <w:r w:rsidR="00312075">
        <w:rPr>
          <w:rFonts w:ascii="Arial" w:hAnsi="Arial" w:cs="Arial"/>
          <w:szCs w:val="36"/>
        </w:rPr>
        <w:t>AZD9291</w:t>
      </w:r>
      <w:r w:rsidR="00DA50C1" w:rsidRPr="00AA0C2E">
        <w:rPr>
          <w:rFonts w:ascii="Arial" w:hAnsi="Arial" w:cs="Arial"/>
          <w:szCs w:val="36"/>
        </w:rPr>
        <w:t xml:space="preserve"> in the treatment of first-line locally advanced or metastatic </w:t>
      </w:r>
      <w:proofErr w:type="spellStart"/>
      <w:r w:rsidR="00DA50C1" w:rsidRPr="00AA0C2E">
        <w:rPr>
          <w:rFonts w:ascii="Arial" w:hAnsi="Arial" w:cs="Arial"/>
          <w:szCs w:val="36"/>
        </w:rPr>
        <w:t>EGFRm</w:t>
      </w:r>
      <w:proofErr w:type="spellEnd"/>
      <w:r w:rsidR="00DA50C1" w:rsidRPr="00AA0C2E">
        <w:rPr>
          <w:rFonts w:ascii="Arial" w:hAnsi="Arial" w:cs="Arial"/>
          <w:szCs w:val="36"/>
        </w:rPr>
        <w:t xml:space="preserve"> NSCLC is currently recruiting participants (FLAURA, NCT02296125)</w:t>
      </w:r>
      <w:r w:rsidR="00731055" w:rsidRPr="00AA0C2E">
        <w:rPr>
          <w:rFonts w:ascii="Arial" w:hAnsi="Arial" w:cs="Arial"/>
          <w:szCs w:val="36"/>
        </w:rPr>
        <w:t xml:space="preserve"> and may provide further data on</w:t>
      </w:r>
      <w:r w:rsidR="006353DC">
        <w:rPr>
          <w:rFonts w:ascii="Arial" w:hAnsi="Arial" w:cs="Arial"/>
          <w:szCs w:val="36"/>
        </w:rPr>
        <w:t xml:space="preserve"> the</w:t>
      </w:r>
      <w:r w:rsidR="00731055" w:rsidRPr="00AA0C2E">
        <w:rPr>
          <w:rFonts w:ascii="Arial" w:hAnsi="Arial" w:cs="Arial"/>
          <w:szCs w:val="36"/>
        </w:rPr>
        <w:t xml:space="preserve"> most appropriate clinical management</w:t>
      </w:r>
      <w:r w:rsidR="00C949E9">
        <w:rPr>
          <w:rFonts w:ascii="Arial" w:hAnsi="Arial" w:cs="Arial"/>
          <w:szCs w:val="36"/>
        </w:rPr>
        <w:t>.</w:t>
      </w:r>
      <w:r w:rsidR="00D60708" w:rsidRPr="00AA0C2E">
        <w:rPr>
          <w:rFonts w:ascii="Arial" w:hAnsi="Arial" w:cs="Arial"/>
          <w:szCs w:val="36"/>
        </w:rPr>
        <w:t xml:space="preserve"> Nevertheless, if such patients did receive prior EGFR TKI treatment and fulfil other eligibility criteria this should not preclude them from further EGFR mutation testing and potential treatment with </w:t>
      </w:r>
      <w:r w:rsidR="00312075">
        <w:rPr>
          <w:rFonts w:ascii="Arial" w:hAnsi="Arial" w:cs="Arial"/>
          <w:szCs w:val="36"/>
        </w:rPr>
        <w:t>AZD9291</w:t>
      </w:r>
      <w:r w:rsidR="00D60708" w:rsidRPr="00AA0C2E">
        <w:rPr>
          <w:rFonts w:ascii="Arial" w:hAnsi="Arial" w:cs="Arial"/>
          <w:szCs w:val="36"/>
        </w:rPr>
        <w:t>.</w:t>
      </w:r>
    </w:p>
    <w:p w14:paraId="0304362B" w14:textId="0AA4EB24" w:rsidR="00DA50C1" w:rsidRPr="00AA0C2E" w:rsidRDefault="00312075" w:rsidP="008B2295">
      <w:pPr>
        <w:pStyle w:val="Default"/>
        <w:spacing w:before="120" w:after="120" w:line="360" w:lineRule="auto"/>
        <w:jc w:val="both"/>
        <w:rPr>
          <w:rFonts w:ascii="Arial" w:hAnsi="Arial" w:cs="Arial"/>
          <w:color w:val="auto"/>
          <w:sz w:val="22"/>
          <w:szCs w:val="36"/>
        </w:rPr>
      </w:pPr>
      <w:r>
        <w:rPr>
          <w:rFonts w:ascii="Arial" w:hAnsi="Arial" w:cs="Arial"/>
          <w:color w:val="auto"/>
          <w:sz w:val="22"/>
          <w:szCs w:val="36"/>
        </w:rPr>
        <w:lastRenderedPageBreak/>
        <w:t>AZD9291</w:t>
      </w:r>
      <w:r w:rsidR="00DA50C1" w:rsidRPr="00AA0C2E">
        <w:rPr>
          <w:rFonts w:ascii="Arial" w:hAnsi="Arial" w:cs="Arial"/>
          <w:color w:val="auto"/>
          <w:sz w:val="22"/>
          <w:szCs w:val="36"/>
        </w:rPr>
        <w:t xml:space="preserve"> is an oral, mutant-selective, irreversible third-generation EGFR TKI with activity against tumours harbouring sensitising mutations (</w:t>
      </w:r>
      <w:proofErr w:type="spellStart"/>
      <w:r w:rsidR="00DA50C1" w:rsidRPr="00AA0C2E">
        <w:rPr>
          <w:rFonts w:ascii="Arial" w:hAnsi="Arial" w:cs="Arial"/>
          <w:color w:val="auto"/>
          <w:sz w:val="22"/>
          <w:szCs w:val="36"/>
        </w:rPr>
        <w:t>EGFRm</w:t>
      </w:r>
      <w:proofErr w:type="spellEnd"/>
      <w:r w:rsidR="00DA50C1" w:rsidRPr="00AA0C2E">
        <w:rPr>
          <w:rFonts w:ascii="Arial" w:hAnsi="Arial" w:cs="Arial"/>
          <w:color w:val="auto"/>
          <w:sz w:val="22"/>
          <w:szCs w:val="36"/>
        </w:rPr>
        <w:t xml:space="preserve">) </w:t>
      </w:r>
      <w:r w:rsidR="000922BF" w:rsidRPr="00AA0C2E">
        <w:rPr>
          <w:rFonts w:ascii="Arial" w:hAnsi="Arial" w:cs="Arial"/>
          <w:color w:val="auto"/>
          <w:sz w:val="22"/>
          <w:szCs w:val="36"/>
        </w:rPr>
        <w:t xml:space="preserve">including </w:t>
      </w:r>
      <w:r w:rsidR="00DA50C1" w:rsidRPr="00AA0C2E">
        <w:rPr>
          <w:rFonts w:ascii="Arial" w:hAnsi="Arial" w:cs="Arial"/>
          <w:color w:val="auto"/>
          <w:sz w:val="22"/>
          <w:szCs w:val="36"/>
        </w:rPr>
        <w:t>the resistance conferring T790M mutation (</w:t>
      </w:r>
      <w:proofErr w:type="spellStart"/>
      <w:r w:rsidR="00DA50C1" w:rsidRPr="00AA0C2E">
        <w:rPr>
          <w:rFonts w:ascii="Arial" w:hAnsi="Arial" w:cs="Arial"/>
          <w:color w:val="auto"/>
          <w:sz w:val="22"/>
          <w:szCs w:val="36"/>
        </w:rPr>
        <w:t>EGFRm</w:t>
      </w:r>
      <w:proofErr w:type="spellEnd"/>
      <w:r w:rsidR="00DA50C1" w:rsidRPr="00AA0C2E">
        <w:rPr>
          <w:rFonts w:ascii="Arial" w:hAnsi="Arial" w:cs="Arial"/>
          <w:color w:val="auto"/>
          <w:sz w:val="22"/>
          <w:szCs w:val="36"/>
        </w:rPr>
        <w:t>/T790M) of the EGFR gene in NSCLC</w:t>
      </w:r>
      <w:r w:rsidR="000922BF" w:rsidRPr="00AA0C2E">
        <w:rPr>
          <w:rFonts w:ascii="Arial" w:hAnsi="Arial" w:cs="Arial"/>
          <w:color w:val="auto"/>
          <w:sz w:val="22"/>
          <w:szCs w:val="36"/>
        </w:rPr>
        <w:t xml:space="preserve">. </w:t>
      </w:r>
      <w:r>
        <w:rPr>
          <w:rFonts w:ascii="Arial" w:hAnsi="Arial" w:cs="Arial"/>
          <w:color w:val="auto"/>
          <w:sz w:val="22"/>
          <w:szCs w:val="36"/>
        </w:rPr>
        <w:t>AZD9291</w:t>
      </w:r>
      <w:r w:rsidR="00DA50C1" w:rsidRPr="00AA0C2E">
        <w:rPr>
          <w:rFonts w:ascii="Arial" w:hAnsi="Arial" w:cs="Arial"/>
          <w:color w:val="auto"/>
          <w:sz w:val="22"/>
          <w:szCs w:val="36"/>
        </w:rPr>
        <w:t xml:space="preserve"> has been shown in a Phase I </w:t>
      </w:r>
      <w:r w:rsidR="006353DC">
        <w:rPr>
          <w:rFonts w:ascii="Arial" w:hAnsi="Arial" w:cs="Arial"/>
          <w:color w:val="auto"/>
          <w:sz w:val="22"/>
          <w:szCs w:val="36"/>
        </w:rPr>
        <w:t xml:space="preserve">and II </w:t>
      </w:r>
      <w:r w:rsidR="00DA50C1" w:rsidRPr="00AA0C2E">
        <w:rPr>
          <w:rFonts w:ascii="Arial" w:hAnsi="Arial" w:cs="Arial"/>
          <w:color w:val="auto"/>
          <w:sz w:val="22"/>
          <w:szCs w:val="36"/>
        </w:rPr>
        <w:t>stud</w:t>
      </w:r>
      <w:r w:rsidR="006353DC">
        <w:rPr>
          <w:rFonts w:ascii="Arial" w:hAnsi="Arial" w:cs="Arial"/>
          <w:color w:val="auto"/>
          <w:sz w:val="22"/>
          <w:szCs w:val="36"/>
        </w:rPr>
        <w:t>ies</w:t>
      </w:r>
      <w:r w:rsidR="00DA50C1" w:rsidRPr="00AA0C2E">
        <w:rPr>
          <w:rFonts w:ascii="Arial" w:hAnsi="Arial" w:cs="Arial"/>
          <w:color w:val="auto"/>
          <w:sz w:val="22"/>
          <w:szCs w:val="36"/>
        </w:rPr>
        <w:t xml:space="preserve"> to be clinically active and </w:t>
      </w:r>
      <w:r w:rsidR="000922BF" w:rsidRPr="00AA0C2E">
        <w:rPr>
          <w:rFonts w:ascii="Arial" w:hAnsi="Arial" w:cs="Arial"/>
          <w:color w:val="auto"/>
          <w:sz w:val="22"/>
          <w:szCs w:val="36"/>
        </w:rPr>
        <w:t xml:space="preserve">well </w:t>
      </w:r>
      <w:r w:rsidR="00DA50C1" w:rsidRPr="00AA0C2E">
        <w:rPr>
          <w:rFonts w:ascii="Arial" w:hAnsi="Arial" w:cs="Arial"/>
          <w:color w:val="auto"/>
          <w:sz w:val="22"/>
          <w:szCs w:val="36"/>
        </w:rPr>
        <w:t xml:space="preserve">tolerated as monotherapy </w:t>
      </w:r>
      <w:r w:rsidR="00DA50C1" w:rsidRPr="00AA0C2E">
        <w:rPr>
          <w:rFonts w:ascii="Arial" w:hAnsi="Arial" w:cs="Arial"/>
          <w:color w:val="auto"/>
          <w:sz w:val="22"/>
          <w:szCs w:val="36"/>
        </w:rPr>
        <w:fldChar w:fldCharType="begin">
          <w:fldData xml:space="preserve">PEVuZE5vdGU+PENpdGU+PEF1dGhvcj5Dcm9zczwvQXV0aG9yPjxZZWFyPjIwMTQ8L1llYXI+PFJl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</w:fldData>
        </w:fldChar>
      </w:r>
      <w:r w:rsidR="00F65C59">
        <w:rPr>
          <w:rFonts w:ascii="Arial" w:hAnsi="Arial" w:cs="Arial"/>
          <w:color w:val="auto"/>
          <w:sz w:val="22"/>
          <w:szCs w:val="36"/>
        </w:rPr>
        <w:instrText xml:space="preserve"> ADDIN EN.CITE </w:instrText>
      </w:r>
      <w:r w:rsidR="00F65C59">
        <w:rPr>
          <w:rFonts w:ascii="Arial" w:hAnsi="Arial" w:cs="Arial"/>
          <w:color w:val="auto"/>
          <w:sz w:val="22"/>
          <w:szCs w:val="36"/>
        </w:rPr>
        <w:fldChar w:fldCharType="begin">
          <w:fldData xml:space="preserve">PEVuZE5vdGU+PENpdGU+PEF1dGhvcj5Dcm9zczwvQXV0aG9yPjxZZWFyPjIwMTQ8L1llYXI+PFJl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</w:fldData>
        </w:fldChar>
      </w:r>
      <w:r w:rsidR="00F65C59">
        <w:rPr>
          <w:rFonts w:ascii="Arial" w:hAnsi="Arial" w:cs="Arial"/>
          <w:color w:val="auto"/>
          <w:sz w:val="22"/>
          <w:szCs w:val="36"/>
        </w:rPr>
        <w:instrText xml:space="preserve"> ADDIN EN.CITE.DATA </w:instrText>
      </w:r>
      <w:r w:rsidR="00F65C59">
        <w:rPr>
          <w:rFonts w:ascii="Arial" w:hAnsi="Arial" w:cs="Arial"/>
          <w:color w:val="auto"/>
          <w:sz w:val="22"/>
          <w:szCs w:val="36"/>
        </w:rPr>
      </w:r>
      <w:r w:rsidR="00F65C59">
        <w:rPr>
          <w:rFonts w:ascii="Arial" w:hAnsi="Arial" w:cs="Arial"/>
          <w:color w:val="auto"/>
          <w:sz w:val="22"/>
          <w:szCs w:val="36"/>
        </w:rPr>
        <w:fldChar w:fldCharType="end"/>
      </w:r>
      <w:r w:rsidR="00DA50C1" w:rsidRPr="00AA0C2E">
        <w:rPr>
          <w:rFonts w:ascii="Arial" w:hAnsi="Arial" w:cs="Arial"/>
          <w:color w:val="auto"/>
          <w:sz w:val="22"/>
          <w:szCs w:val="36"/>
        </w:rPr>
      </w:r>
      <w:r w:rsidR="00DA50C1" w:rsidRPr="00AA0C2E">
        <w:rPr>
          <w:rFonts w:ascii="Arial" w:hAnsi="Arial" w:cs="Arial"/>
          <w:color w:val="auto"/>
          <w:sz w:val="22"/>
          <w:szCs w:val="36"/>
        </w:rPr>
        <w:fldChar w:fldCharType="separate"/>
      </w:r>
      <w:r w:rsidR="00F65C59">
        <w:rPr>
          <w:rFonts w:ascii="Arial" w:hAnsi="Arial" w:cs="Arial"/>
          <w:noProof/>
          <w:color w:val="auto"/>
          <w:sz w:val="22"/>
          <w:szCs w:val="36"/>
        </w:rPr>
        <w:t>[</w:t>
      </w:r>
      <w:hyperlink w:anchor="_ENREF_21" w:tooltip="D, 2014 #29" w:history="1">
        <w:r w:rsidR="00F65C59">
          <w:rPr>
            <w:rFonts w:ascii="Arial" w:hAnsi="Arial" w:cs="Arial"/>
            <w:noProof/>
            <w:color w:val="auto"/>
            <w:sz w:val="22"/>
            <w:szCs w:val="36"/>
          </w:rPr>
          <w:t>21-25</w:t>
        </w:r>
      </w:hyperlink>
      <w:r w:rsidR="00F65C59">
        <w:rPr>
          <w:rFonts w:ascii="Arial" w:hAnsi="Arial" w:cs="Arial"/>
          <w:noProof/>
          <w:color w:val="auto"/>
          <w:sz w:val="22"/>
          <w:szCs w:val="36"/>
        </w:rPr>
        <w:t>]</w:t>
      </w:r>
      <w:r w:rsidR="00DA50C1" w:rsidRPr="00AA0C2E">
        <w:rPr>
          <w:rFonts w:ascii="Arial" w:hAnsi="Arial" w:cs="Arial"/>
          <w:color w:val="auto"/>
          <w:sz w:val="22"/>
          <w:szCs w:val="36"/>
        </w:rPr>
        <w:fldChar w:fldCharType="end"/>
      </w:r>
      <w:r w:rsidR="00802C6B" w:rsidRPr="00AA0C2E">
        <w:rPr>
          <w:rFonts w:ascii="Arial" w:hAnsi="Arial" w:cs="Arial"/>
          <w:color w:val="auto"/>
          <w:sz w:val="22"/>
          <w:szCs w:val="36"/>
        </w:rPr>
        <w:t>.</w:t>
      </w:r>
      <w:r w:rsidR="00DA50C1" w:rsidRPr="00AA0C2E">
        <w:rPr>
          <w:rFonts w:ascii="Arial" w:hAnsi="Arial" w:cs="Arial"/>
          <w:color w:val="auto"/>
          <w:sz w:val="22"/>
          <w:szCs w:val="36"/>
        </w:rPr>
        <w:t xml:space="preserve"> The targeting of EGFR mutation</w:t>
      </w:r>
      <w:r w:rsidR="000922BF" w:rsidRPr="00AA0C2E">
        <w:rPr>
          <w:rFonts w:ascii="Arial" w:hAnsi="Arial" w:cs="Arial"/>
          <w:color w:val="auto"/>
          <w:sz w:val="22"/>
          <w:szCs w:val="36"/>
        </w:rPr>
        <w:t>s</w:t>
      </w:r>
      <w:r w:rsidR="00DA50C1" w:rsidRPr="00AA0C2E">
        <w:rPr>
          <w:rFonts w:ascii="Arial" w:hAnsi="Arial" w:cs="Arial"/>
          <w:color w:val="auto"/>
          <w:sz w:val="22"/>
          <w:szCs w:val="36"/>
        </w:rPr>
        <w:t xml:space="preserve"> of the tyrosine kinase domain </w:t>
      </w:r>
      <w:r w:rsidR="000922BF" w:rsidRPr="00AA0C2E">
        <w:rPr>
          <w:rFonts w:ascii="Arial" w:hAnsi="Arial" w:cs="Arial"/>
          <w:color w:val="auto"/>
          <w:sz w:val="22"/>
          <w:szCs w:val="36"/>
        </w:rPr>
        <w:t>including</w:t>
      </w:r>
      <w:r w:rsidR="00DA50C1" w:rsidRPr="00AA0C2E">
        <w:rPr>
          <w:rFonts w:ascii="Arial" w:hAnsi="Arial" w:cs="Arial"/>
          <w:color w:val="auto"/>
          <w:sz w:val="22"/>
          <w:szCs w:val="36"/>
        </w:rPr>
        <w:t xml:space="preserve"> the T790M mutation leads to attenuation of uncontrolled cell survival and proliferation. </w:t>
      </w:r>
    </w:p>
    <w:p w14:paraId="539EB829" w14:textId="73DD7E5F" w:rsidR="00DC5151" w:rsidRDefault="00DC5151">
      <w:pPr>
        <w:rPr>
          <w:rFonts w:ascii="Helvetica" w:hAnsi="Helvetica" w:cs="Helvetica"/>
          <w:color w:val="0A3841"/>
          <w:sz w:val="18"/>
          <w:szCs w:val="18"/>
          <w:shd w:val="clear" w:color="auto" w:fill="CCEFF6"/>
          <w:vertAlign w:val="superscript"/>
        </w:rPr>
      </w:pPr>
    </w:p>
    <w:p w14:paraId="0B0BD1A3" w14:textId="77777777" w:rsidR="000C4286" w:rsidRPr="00E85EA0" w:rsidRDefault="000C4286" w:rsidP="009C49F2">
      <w:pPr>
        <w:pStyle w:val="Heading2"/>
      </w:pPr>
      <w:r>
        <w:t>Po</w:t>
      </w:r>
      <w:r w:rsidR="009C49F2">
        <w:t xml:space="preserve">pulation and medical condition </w:t>
      </w:r>
      <w:r>
        <w:t>eligible for the proposed medical services</w:t>
      </w:r>
    </w:p>
    <w:p w14:paraId="5F7616C1" w14:textId="77777777" w:rsidR="00E0678C" w:rsidRPr="00AA0C2E" w:rsidRDefault="00E0678C" w:rsidP="008B2295">
      <w:pPr>
        <w:spacing w:before="120" w:after="120" w:line="360" w:lineRule="auto"/>
        <w:jc w:val="both"/>
        <w:rPr>
          <w:rFonts w:ascii="Arial" w:hAnsi="Arial" w:cs="Arial"/>
        </w:rPr>
      </w:pPr>
      <w:r w:rsidRPr="00AA0C2E">
        <w:rPr>
          <w:rFonts w:ascii="Arial" w:hAnsi="Arial" w:cs="Arial"/>
          <w:u w:val="single"/>
        </w:rPr>
        <w:t>Disease Description</w:t>
      </w:r>
      <w:r w:rsidRPr="00AA0C2E">
        <w:rPr>
          <w:rFonts w:ascii="Arial" w:hAnsi="Arial" w:cs="Arial"/>
        </w:rPr>
        <w:t>:</w:t>
      </w:r>
    </w:p>
    <w:p w14:paraId="5053E153" w14:textId="77777777" w:rsidR="00886167" w:rsidRPr="00AA0C2E" w:rsidRDefault="009F6E28" w:rsidP="008B2295">
      <w:pPr>
        <w:spacing w:before="120" w:after="120" w:line="360" w:lineRule="auto"/>
        <w:jc w:val="both"/>
        <w:rPr>
          <w:rFonts w:ascii="Arial" w:hAnsi="Arial" w:cs="Arial"/>
        </w:rPr>
      </w:pPr>
      <w:r w:rsidRPr="00AA0C2E">
        <w:rPr>
          <w:rFonts w:ascii="Arial" w:hAnsi="Arial" w:cs="Arial"/>
        </w:rPr>
        <w:t>Lung cancer is the fourth most commonly diagnosed cancer in Australian men and women</w:t>
      </w:r>
      <w:r w:rsidR="008C224B" w:rsidRPr="00AA0C2E">
        <w:rPr>
          <w:rFonts w:ascii="Arial" w:hAnsi="Arial" w:cs="Arial"/>
        </w:rPr>
        <w:t xml:space="preserve">, with an </w:t>
      </w:r>
      <w:r w:rsidR="005F3FE0" w:rsidRPr="00AA0C2E">
        <w:rPr>
          <w:rFonts w:ascii="Arial" w:hAnsi="Arial" w:cs="Arial"/>
        </w:rPr>
        <w:t>expected 12,180</w:t>
      </w:r>
      <w:r w:rsidR="008C224B" w:rsidRPr="00AA0C2E">
        <w:rPr>
          <w:rFonts w:ascii="Arial" w:hAnsi="Arial" w:cs="Arial"/>
        </w:rPr>
        <w:t xml:space="preserve"> new </w:t>
      </w:r>
      <w:r w:rsidR="00FC12E2" w:rsidRPr="00AA0C2E">
        <w:rPr>
          <w:rFonts w:ascii="Arial" w:hAnsi="Arial" w:cs="Arial"/>
        </w:rPr>
        <w:t xml:space="preserve">cases </w:t>
      </w:r>
      <w:r w:rsidR="005F3FE0" w:rsidRPr="00AA0C2E">
        <w:rPr>
          <w:rFonts w:ascii="Arial" w:hAnsi="Arial" w:cs="Arial"/>
        </w:rPr>
        <w:t>in</w:t>
      </w:r>
      <w:r w:rsidR="008C224B" w:rsidRPr="00AA0C2E">
        <w:rPr>
          <w:rFonts w:ascii="Arial" w:hAnsi="Arial" w:cs="Arial"/>
        </w:rPr>
        <w:t xml:space="preserve"> 201</w:t>
      </w:r>
      <w:r w:rsidR="005F3FE0" w:rsidRPr="00AA0C2E">
        <w:rPr>
          <w:rFonts w:ascii="Arial" w:hAnsi="Arial" w:cs="Arial"/>
        </w:rPr>
        <w:t xml:space="preserve">6 </w:t>
      </w:r>
      <w:r w:rsidR="005F3FE0" w:rsidRPr="00AA0C2E">
        <w:rPr>
          <w:rFonts w:ascii="Arial" w:hAnsi="Arial" w:cs="Arial"/>
        </w:rPr>
        <w:fldChar w:fldCharType="begin"/>
      </w:r>
      <w:r w:rsidR="00F65C59">
        <w:rPr>
          <w:rFonts w:ascii="Arial" w:hAnsi="Arial" w:cs="Arial"/>
        </w:rPr>
        <w:instrText xml:space="preserve"> ADDIN EN.CITE &lt;EndNote&gt;&lt;Cite&gt;&lt;Author&gt;Welfare&lt;/Author&gt;&lt;Year&gt;2012&lt;/Year&gt;&lt;RecNum&gt;87&lt;/RecNum&gt;&lt;DisplayText&gt;[26]&lt;/DisplayText&gt;&lt;record&gt;&lt;rec-number&gt;87&lt;/rec-number&gt;&lt;foreign-keys&gt;&lt;key app="EN" db-id="rprtzr95srz0woefsws5fs50rfwvtsf5aw2f"&gt;87&lt;/key&gt;&lt;/foreign-keys&gt;&lt;ref-type name="Report"&gt;27&lt;/ref-type&gt;&lt;contributors&gt;&lt;authors&gt;&lt;author&gt;Australian Institute of Health and Welfare,&lt;/author&gt;&lt;/authors&gt;&lt;/contributors&gt;&lt;titles&gt;&lt;title&gt;Cancer Incidence Projections. Australia, 2011 to 2020&lt;/title&gt;&lt;secondary-title&gt;Cancer Series&lt;/secondary-title&gt;&lt;/titles&gt;&lt;volume&gt;Number 66&lt;/volume&gt;&lt;number&gt;Cat. no. CAN 62&lt;/number&gt;&lt;dates&gt;&lt;year&gt;2012&lt;/year&gt;&lt;/dates&gt;&lt;pub-location&gt;Canberra, Australia&lt;/pub-location&gt;&lt;publisher&gt;Australian Institute of Health and Welfare&lt;/publisher&gt;&lt;urls&gt;&lt;/urls&gt;&lt;/record&gt;&lt;/Cite&gt;&lt;/EndNote&gt;</w:instrText>
      </w:r>
      <w:r w:rsidR="005F3FE0" w:rsidRPr="00AA0C2E">
        <w:rPr>
          <w:rFonts w:ascii="Arial" w:hAnsi="Arial" w:cs="Arial"/>
        </w:rPr>
        <w:fldChar w:fldCharType="separate"/>
      </w:r>
      <w:r w:rsidR="00F65C59">
        <w:rPr>
          <w:rFonts w:ascii="Arial" w:hAnsi="Arial" w:cs="Arial"/>
          <w:noProof/>
        </w:rPr>
        <w:t>[</w:t>
      </w:r>
      <w:hyperlink w:anchor="_ENREF_26" w:tooltip="Australian Institute of Health and Welfare, 2012 #87" w:history="1">
        <w:r w:rsidR="00F65C59">
          <w:rPr>
            <w:rFonts w:ascii="Arial" w:hAnsi="Arial" w:cs="Arial"/>
            <w:noProof/>
          </w:rPr>
          <w:t>26</w:t>
        </w:r>
      </w:hyperlink>
      <w:r w:rsidR="00F65C59">
        <w:rPr>
          <w:rFonts w:ascii="Arial" w:hAnsi="Arial" w:cs="Arial"/>
          <w:noProof/>
        </w:rPr>
        <w:t>]</w:t>
      </w:r>
      <w:r w:rsidR="005F3FE0" w:rsidRPr="00AA0C2E">
        <w:rPr>
          <w:rFonts w:ascii="Arial" w:hAnsi="Arial" w:cs="Arial"/>
        </w:rPr>
        <w:fldChar w:fldCharType="end"/>
      </w:r>
      <w:r w:rsidRPr="00AA0C2E">
        <w:rPr>
          <w:rFonts w:ascii="Arial" w:hAnsi="Arial" w:cs="Arial"/>
        </w:rPr>
        <w:t xml:space="preserve">. </w:t>
      </w:r>
      <w:r w:rsidR="00A90411" w:rsidRPr="00AA0C2E">
        <w:rPr>
          <w:rFonts w:ascii="Arial" w:hAnsi="Arial" w:cs="Arial"/>
        </w:rPr>
        <w:t>T</w:t>
      </w:r>
      <w:r w:rsidR="00FC12E2" w:rsidRPr="00AA0C2E">
        <w:rPr>
          <w:rFonts w:ascii="Arial" w:hAnsi="Arial" w:cs="Arial"/>
        </w:rPr>
        <w:t>he disease is</w:t>
      </w:r>
      <w:r w:rsidR="00C84AA2" w:rsidRPr="00AA0C2E">
        <w:rPr>
          <w:rFonts w:ascii="Arial" w:hAnsi="Arial" w:cs="Arial"/>
        </w:rPr>
        <w:t xml:space="preserve"> the most common cause of death from cancers. </w:t>
      </w:r>
      <w:r w:rsidRPr="00AA0C2E">
        <w:rPr>
          <w:rFonts w:ascii="Arial" w:hAnsi="Arial" w:cs="Arial"/>
        </w:rPr>
        <w:t>Prognosis is poor with a 5-year survival rate of approximately 1</w:t>
      </w:r>
      <w:r w:rsidR="007220C7" w:rsidRPr="00AA0C2E">
        <w:rPr>
          <w:rFonts w:ascii="Arial" w:hAnsi="Arial" w:cs="Arial"/>
        </w:rPr>
        <w:t>4</w:t>
      </w:r>
      <w:r w:rsidRPr="00AA0C2E">
        <w:rPr>
          <w:rFonts w:ascii="Arial" w:hAnsi="Arial" w:cs="Arial"/>
        </w:rPr>
        <w:t xml:space="preserve">% </w:t>
      </w:r>
      <w:r w:rsidR="007220C7" w:rsidRPr="00AA0C2E">
        <w:rPr>
          <w:rFonts w:ascii="Arial" w:hAnsi="Arial" w:cs="Arial"/>
        </w:rPr>
        <w:fldChar w:fldCharType="begin"/>
      </w:r>
      <w:r w:rsidR="00F65C59">
        <w:rPr>
          <w:rFonts w:ascii="Arial" w:hAnsi="Arial" w:cs="Arial"/>
        </w:rPr>
        <w:instrText xml:space="preserve"> ADDIN EN.CITE &lt;EndNote&gt;&lt;Cite&gt;&lt;Author&gt;Welfare&lt;/Author&gt;&lt;Year&gt;2014&lt;/Year&gt;&lt;RecNum&gt;58&lt;/RecNum&gt;&lt;DisplayText&gt;[27]&lt;/DisplayText&gt;&lt;record&gt;&lt;rec-number&gt;58&lt;/rec-number&gt;&lt;foreign-keys&gt;&lt;key app="EN" db-id="rprtzr95srz0woefsws5fs50rfwvtsf5aw2f"&gt;58&lt;/key&gt;&lt;/foreign-keys&gt;&lt;ref-type name="Report"&gt;27&lt;/ref-type&gt;&lt;contributors&gt;&lt;authors&gt;&lt;author&gt;Australian Institute of Health and Welfare,&lt;/author&gt;&lt;/authors&gt;&lt;/contributors&gt;&lt;titles&gt;&lt;title&gt;Cancer in Australia: an overview 2014&lt;/title&gt;&lt;secondary-title&gt;Cancer Series&lt;/secondary-title&gt;&lt;/titles&gt;&lt;number&gt;Cat. no. CAN 88&lt;/number&gt;&lt;num-vols&gt;Number 90&lt;/num-vols&gt;&lt;dates&gt;&lt;year&gt;2014&lt;/year&gt;&lt;/dates&gt;&lt;pub-location&gt;Canberra&lt;/pub-location&gt;&lt;publisher&gt;Australian Institute of Health and Welfare&lt;/publisher&gt;&lt;urls&gt;&lt;/urls&gt;&lt;/record&gt;&lt;/Cite&gt;&lt;/EndNote&gt;</w:instrText>
      </w:r>
      <w:r w:rsidR="007220C7" w:rsidRPr="00AA0C2E">
        <w:rPr>
          <w:rFonts w:ascii="Arial" w:hAnsi="Arial" w:cs="Arial"/>
        </w:rPr>
        <w:fldChar w:fldCharType="separate"/>
      </w:r>
      <w:r w:rsidR="00F65C59">
        <w:rPr>
          <w:rFonts w:ascii="Arial" w:hAnsi="Arial" w:cs="Arial"/>
          <w:noProof/>
        </w:rPr>
        <w:t>[</w:t>
      </w:r>
      <w:hyperlink w:anchor="_ENREF_27" w:tooltip="Australian Institute of Health and Welfare, 2014 #58" w:history="1">
        <w:r w:rsidR="00F65C59">
          <w:rPr>
            <w:rFonts w:ascii="Arial" w:hAnsi="Arial" w:cs="Arial"/>
            <w:noProof/>
          </w:rPr>
          <w:t>27</w:t>
        </w:r>
      </w:hyperlink>
      <w:r w:rsidR="00F65C59">
        <w:rPr>
          <w:rFonts w:ascii="Arial" w:hAnsi="Arial" w:cs="Arial"/>
          <w:noProof/>
        </w:rPr>
        <w:t>]</w:t>
      </w:r>
      <w:r w:rsidR="007220C7" w:rsidRPr="00AA0C2E">
        <w:rPr>
          <w:rFonts w:ascii="Arial" w:hAnsi="Arial" w:cs="Arial"/>
        </w:rPr>
        <w:fldChar w:fldCharType="end"/>
      </w:r>
      <w:r w:rsidR="007220C7" w:rsidRPr="00AA0C2E">
        <w:rPr>
          <w:rFonts w:ascii="Arial" w:hAnsi="Arial" w:cs="Arial"/>
        </w:rPr>
        <w:t xml:space="preserve">. </w:t>
      </w:r>
      <w:r w:rsidR="00FC12E2" w:rsidRPr="00AA0C2E">
        <w:rPr>
          <w:rFonts w:ascii="Arial" w:hAnsi="Arial" w:cs="Arial"/>
        </w:rPr>
        <w:t>This is due</w:t>
      </w:r>
      <w:r w:rsidR="00886167" w:rsidRPr="00AA0C2E">
        <w:rPr>
          <w:rFonts w:ascii="Arial" w:hAnsi="Arial" w:cs="Arial"/>
        </w:rPr>
        <w:t xml:space="preserve"> </w:t>
      </w:r>
      <w:r w:rsidR="007220C7" w:rsidRPr="00AA0C2E">
        <w:rPr>
          <w:rFonts w:ascii="Arial" w:hAnsi="Arial" w:cs="Arial"/>
        </w:rPr>
        <w:t>in part to</w:t>
      </w:r>
      <w:r w:rsidR="00886167" w:rsidRPr="00AA0C2E">
        <w:rPr>
          <w:rFonts w:ascii="Arial" w:hAnsi="Arial" w:cs="Arial"/>
        </w:rPr>
        <w:t xml:space="preserve"> late </w:t>
      </w:r>
      <w:r w:rsidR="007220C7" w:rsidRPr="00AA0C2E">
        <w:rPr>
          <w:rFonts w:ascii="Arial" w:hAnsi="Arial" w:cs="Arial"/>
        </w:rPr>
        <w:t>presentation and detection</w:t>
      </w:r>
      <w:r w:rsidR="00886167" w:rsidRPr="00AA0C2E">
        <w:rPr>
          <w:rFonts w:ascii="Arial" w:hAnsi="Arial" w:cs="Arial"/>
        </w:rPr>
        <w:t>, with over</w:t>
      </w:r>
      <w:r w:rsidR="00FC12E2" w:rsidRPr="00AA0C2E">
        <w:rPr>
          <w:rFonts w:ascii="Arial" w:hAnsi="Arial" w:cs="Arial"/>
        </w:rPr>
        <w:t xml:space="preserve"> 50% of patients with lung cancer </w:t>
      </w:r>
      <w:r w:rsidR="00886167" w:rsidRPr="00AA0C2E">
        <w:rPr>
          <w:rFonts w:ascii="Arial" w:hAnsi="Arial" w:cs="Arial"/>
        </w:rPr>
        <w:t>being</w:t>
      </w:r>
      <w:r w:rsidR="00FC12E2" w:rsidRPr="00AA0C2E">
        <w:rPr>
          <w:rFonts w:ascii="Arial" w:hAnsi="Arial" w:cs="Arial"/>
        </w:rPr>
        <w:t xml:space="preserve"> diagnosed when the disease is</w:t>
      </w:r>
      <w:r w:rsidR="007220C7" w:rsidRPr="00AA0C2E">
        <w:rPr>
          <w:rFonts w:ascii="Arial" w:hAnsi="Arial" w:cs="Arial"/>
        </w:rPr>
        <w:t xml:space="preserve"> already</w:t>
      </w:r>
      <w:r w:rsidR="00886167" w:rsidRPr="00AA0C2E">
        <w:rPr>
          <w:rFonts w:ascii="Arial" w:hAnsi="Arial" w:cs="Arial"/>
        </w:rPr>
        <w:t xml:space="preserve"> at an</w:t>
      </w:r>
      <w:r w:rsidR="00FC12E2" w:rsidRPr="00AA0C2E">
        <w:rPr>
          <w:rFonts w:ascii="Arial" w:hAnsi="Arial" w:cs="Arial"/>
        </w:rPr>
        <w:t xml:space="preserve"> advanced and inoperable</w:t>
      </w:r>
      <w:r w:rsidR="00886167" w:rsidRPr="00AA0C2E">
        <w:rPr>
          <w:rFonts w:ascii="Arial" w:hAnsi="Arial" w:cs="Arial"/>
        </w:rPr>
        <w:t xml:space="preserve"> stage</w:t>
      </w:r>
      <w:r w:rsidR="00FC12E2" w:rsidRPr="00AA0C2E">
        <w:rPr>
          <w:rFonts w:ascii="Arial" w:hAnsi="Arial" w:cs="Arial"/>
        </w:rPr>
        <w:t xml:space="preserve"> </w:t>
      </w:r>
      <w:r w:rsidR="00FC12E2" w:rsidRPr="00AA0C2E">
        <w:rPr>
          <w:rFonts w:ascii="Arial" w:hAnsi="Arial" w:cs="Arial"/>
        </w:rPr>
        <w:fldChar w:fldCharType="begin"/>
      </w:r>
      <w:r w:rsidR="00F65C59">
        <w:rPr>
          <w:rFonts w:ascii="Arial" w:hAnsi="Arial" w:cs="Arial"/>
        </w:rPr>
        <w:instrText xml:space="preserve"> ADDIN EN.CITE &lt;EndNote&gt;&lt;Cite&gt;&lt;Year&gt;2011&lt;/Year&gt;&lt;RecNum&gt;1&lt;/RecNum&gt;&lt;DisplayText&gt;[28]&lt;/DisplayText&gt;&lt;record&gt;&lt;rec-number&gt;1&lt;/rec-number&gt;&lt;foreign-keys&gt;&lt;key app="EN" db-id="rprtzr95srz0woefsws5fs50rfwvtsf5aw2f"&gt;1&lt;/key&gt;&lt;/foreign-keys&gt;&lt;ref-type name="Report"&gt;27&lt;/ref-type&gt;&lt;contributors&gt;&lt;authors&gt;&lt;author&gt;Australian Institute of Health and Welfare,&lt;/author&gt;&lt;/authors&gt;&lt;tertiary-authors&gt;&lt;author&gt;AIHW&lt;/author&gt;&lt;/tertiary-authors&gt;&lt;/contributors&gt;&lt;titles&gt;&lt;title&gt;Lung cancer in Australia: An overview&lt;/title&gt;&lt;secondary-title&gt;AIHW Cancer Series&lt;/secondary-title&gt;&lt;/titles&gt;&lt;number&gt;Cat. no. CAN 58.&lt;/number&gt;&lt;num-vols&gt;no. 64&lt;/num-vols&gt;&lt;dates&gt;&lt;year&gt;2011&lt;/year&gt;&lt;/dates&gt;&lt;pub-location&gt;Canberra&lt;/pub-location&gt;&lt;publisher&gt;Australian Institute of Health and Welfare &amp;amp; Cancer Australia&lt;/publisher&gt;&lt;urls&gt;&lt;related-urls&gt;&lt;url&gt;http://www.aihw.gov.au/publication-detail/?id=10737420419&lt;/url&gt;&lt;/related-urls&gt;&lt;/urls&gt;&lt;/record&gt;&lt;/Cite&gt;&lt;/EndNote&gt;</w:instrText>
      </w:r>
      <w:r w:rsidR="00FC12E2" w:rsidRPr="00AA0C2E">
        <w:rPr>
          <w:rFonts w:ascii="Arial" w:hAnsi="Arial" w:cs="Arial"/>
        </w:rPr>
        <w:fldChar w:fldCharType="separate"/>
      </w:r>
      <w:r w:rsidR="00F65C59">
        <w:rPr>
          <w:rFonts w:ascii="Arial" w:hAnsi="Arial" w:cs="Arial"/>
          <w:noProof/>
        </w:rPr>
        <w:t>[</w:t>
      </w:r>
      <w:hyperlink w:anchor="_ENREF_28" w:tooltip="Australian Institute of Health and Welfare, 2011 #1" w:history="1">
        <w:r w:rsidR="00F65C59">
          <w:rPr>
            <w:rFonts w:ascii="Arial" w:hAnsi="Arial" w:cs="Arial"/>
            <w:noProof/>
          </w:rPr>
          <w:t>28</w:t>
        </w:r>
      </w:hyperlink>
      <w:r w:rsidR="00F65C59">
        <w:rPr>
          <w:rFonts w:ascii="Arial" w:hAnsi="Arial" w:cs="Arial"/>
          <w:noProof/>
        </w:rPr>
        <w:t>]</w:t>
      </w:r>
      <w:r w:rsidR="00FC12E2" w:rsidRPr="00AA0C2E">
        <w:rPr>
          <w:rFonts w:ascii="Arial" w:hAnsi="Arial" w:cs="Arial"/>
        </w:rPr>
        <w:fldChar w:fldCharType="end"/>
      </w:r>
      <w:r w:rsidR="00FC12E2" w:rsidRPr="00AA0C2E">
        <w:rPr>
          <w:rFonts w:ascii="Arial" w:hAnsi="Arial" w:cs="Arial"/>
        </w:rPr>
        <w:t xml:space="preserve">. </w:t>
      </w:r>
    </w:p>
    <w:p w14:paraId="3CF8069E" w14:textId="77777777" w:rsidR="00DF6735" w:rsidRPr="00AA0C2E" w:rsidRDefault="007849C5" w:rsidP="008B2295">
      <w:pPr>
        <w:spacing w:before="120" w:after="120" w:line="360" w:lineRule="auto"/>
        <w:jc w:val="both"/>
        <w:rPr>
          <w:rFonts w:ascii="Arial" w:hAnsi="Arial" w:cs="Arial"/>
        </w:rPr>
      </w:pPr>
      <w:r w:rsidRPr="00AA0C2E">
        <w:rPr>
          <w:rFonts w:ascii="Arial" w:hAnsi="Arial" w:cs="Arial"/>
        </w:rPr>
        <w:t>In Australia, a</w:t>
      </w:r>
      <w:r w:rsidR="00886167" w:rsidRPr="00AA0C2E">
        <w:rPr>
          <w:rFonts w:ascii="Arial" w:hAnsi="Arial" w:cs="Arial"/>
        </w:rPr>
        <w:t xml:space="preserve">pproximately </w:t>
      </w:r>
      <w:r w:rsidR="008B2295" w:rsidRPr="00AA0C2E">
        <w:rPr>
          <w:rFonts w:ascii="Arial" w:hAnsi="Arial" w:cs="Arial"/>
        </w:rPr>
        <w:t>80</w:t>
      </w:r>
      <w:r w:rsidR="00886167" w:rsidRPr="00AA0C2E">
        <w:rPr>
          <w:rFonts w:ascii="Arial" w:hAnsi="Arial" w:cs="Arial"/>
        </w:rPr>
        <w:t>%</w:t>
      </w:r>
      <w:r w:rsidR="00DB075B" w:rsidRPr="00AA0C2E">
        <w:rPr>
          <w:rFonts w:ascii="Arial" w:hAnsi="Arial" w:cs="Arial"/>
        </w:rPr>
        <w:t xml:space="preserve"> of lung cancers are classified histologically as non-small cell lung cancer (NSCLC)</w:t>
      </w:r>
      <w:r w:rsidR="006D770D" w:rsidRPr="00AA0C2E">
        <w:rPr>
          <w:rFonts w:ascii="Arial" w:hAnsi="Arial" w:cs="Arial"/>
        </w:rPr>
        <w:t>, and of these 84% are further classified as</w:t>
      </w:r>
      <w:r w:rsidRPr="00AA0C2E">
        <w:rPr>
          <w:rFonts w:ascii="Arial" w:hAnsi="Arial" w:cs="Arial"/>
        </w:rPr>
        <w:t xml:space="preserve"> non-squamous / NOS </w:t>
      </w:r>
      <w:r w:rsidRPr="00AA0C2E">
        <w:rPr>
          <w:rFonts w:ascii="Arial" w:hAnsi="Arial" w:cs="Arial"/>
        </w:rPr>
        <w:fldChar w:fldCharType="begin"/>
      </w:r>
      <w:r w:rsidR="00F65C59">
        <w:rPr>
          <w:rFonts w:ascii="Arial" w:hAnsi="Arial" w:cs="Arial"/>
        </w:rPr>
        <w:instrText xml:space="preserve"> ADDIN EN.CITE &lt;EndNote&gt;&lt;Cite&gt;&lt;Author&gt;Healthcare&lt;/Author&gt;&lt;Year&gt;2014&lt;/Year&gt;&lt;RecNum&gt;89&lt;/RecNum&gt;&lt;DisplayText&gt;[29]&lt;/DisplayText&gt;&lt;record&gt;&lt;rec-number&gt;89&lt;/rec-number&gt;&lt;foreign-keys&gt;&lt;key app="EN" db-id="rprtzr95srz0woefsws5fs50rfwvtsf5aw2f"&gt;89&lt;/key&gt;&lt;/foreign-keys&gt;&lt;ref-type name="Report"&gt;27&lt;/ref-type&gt;&lt;contributors&gt;&lt;authors&gt;&lt;author&gt;Ipsos Healthcare,&lt;/author&gt;&lt;/authors&gt;&lt;/contributors&gt;&lt;titles&gt;&lt;title&gt;Ipsos Oncology Monitor - NSCLC&lt;/title&gt;&lt;/titles&gt;&lt;volume&gt;Q3, 2014&lt;/volume&gt;&lt;dates&gt;&lt;year&gt;2014&lt;/year&gt;&lt;/dates&gt;&lt;pub-location&gt;Australia&lt;/pub-location&gt;&lt;urls&gt;&lt;/urls&gt;&lt;/record&gt;&lt;/Cite&gt;&lt;/EndNote&gt;</w:instrText>
      </w:r>
      <w:r w:rsidRPr="00AA0C2E">
        <w:rPr>
          <w:rFonts w:ascii="Arial" w:hAnsi="Arial" w:cs="Arial"/>
        </w:rPr>
        <w:fldChar w:fldCharType="separate"/>
      </w:r>
      <w:r w:rsidR="00F65C59">
        <w:rPr>
          <w:rFonts w:ascii="Arial" w:hAnsi="Arial" w:cs="Arial"/>
          <w:noProof/>
        </w:rPr>
        <w:t>[</w:t>
      </w:r>
      <w:hyperlink w:anchor="_ENREF_29" w:tooltip="Ipsos Healthcare, 2014 #89" w:history="1">
        <w:r w:rsidR="00F65C59">
          <w:rPr>
            <w:rFonts w:ascii="Arial" w:hAnsi="Arial" w:cs="Arial"/>
            <w:noProof/>
          </w:rPr>
          <w:t>29</w:t>
        </w:r>
      </w:hyperlink>
      <w:r w:rsidR="00F65C59">
        <w:rPr>
          <w:rFonts w:ascii="Arial" w:hAnsi="Arial" w:cs="Arial"/>
          <w:noProof/>
        </w:rPr>
        <w:t>]</w:t>
      </w:r>
      <w:r w:rsidRPr="00AA0C2E">
        <w:rPr>
          <w:rFonts w:ascii="Arial" w:hAnsi="Arial" w:cs="Arial"/>
        </w:rPr>
        <w:fldChar w:fldCharType="end"/>
      </w:r>
      <w:r w:rsidRPr="00AA0C2E">
        <w:rPr>
          <w:rFonts w:ascii="Arial" w:hAnsi="Arial" w:cs="Arial"/>
        </w:rPr>
        <w:t>.</w:t>
      </w:r>
    </w:p>
    <w:p w14:paraId="1222B098" w14:textId="77777777" w:rsidR="00DC5151" w:rsidRPr="00AA0C2E" w:rsidRDefault="00D250C3" w:rsidP="008B2295">
      <w:pPr>
        <w:spacing w:before="120" w:after="120" w:line="360" w:lineRule="auto"/>
        <w:jc w:val="both"/>
        <w:rPr>
          <w:rFonts w:ascii="Arial" w:hAnsi="Arial" w:cs="Arial"/>
        </w:rPr>
      </w:pPr>
      <w:r w:rsidRPr="00AA0C2E">
        <w:rPr>
          <w:rFonts w:ascii="Arial" w:hAnsi="Arial" w:cs="Arial"/>
        </w:rPr>
        <w:t>As noted above</w:t>
      </w:r>
      <w:r w:rsidR="00D32088" w:rsidRPr="00AA0C2E">
        <w:rPr>
          <w:rFonts w:ascii="Arial" w:hAnsi="Arial" w:cs="Arial"/>
        </w:rPr>
        <w:t>,</w:t>
      </w:r>
      <w:r w:rsidRPr="00AA0C2E">
        <w:rPr>
          <w:rFonts w:ascii="Arial" w:hAnsi="Arial" w:cs="Arial"/>
        </w:rPr>
        <w:t xml:space="preserve"> </w:t>
      </w:r>
      <w:r w:rsidR="00DF6735" w:rsidRPr="00AA0C2E">
        <w:rPr>
          <w:rFonts w:ascii="Arial" w:hAnsi="Arial" w:cs="Arial"/>
        </w:rPr>
        <w:t>‘</w:t>
      </w:r>
      <w:r w:rsidRPr="00AA0C2E">
        <w:rPr>
          <w:rFonts w:ascii="Arial" w:hAnsi="Arial" w:cs="Arial"/>
        </w:rPr>
        <w:t>r</w:t>
      </w:r>
      <w:r w:rsidR="00DF6735" w:rsidRPr="00AA0C2E">
        <w:rPr>
          <w:rFonts w:ascii="Arial" w:hAnsi="Arial" w:cs="Arial"/>
        </w:rPr>
        <w:t xml:space="preserve">eflex’ </w:t>
      </w:r>
      <w:r w:rsidR="002724E2" w:rsidRPr="00AA0C2E">
        <w:rPr>
          <w:rFonts w:ascii="Arial" w:hAnsi="Arial" w:cs="Arial"/>
        </w:rPr>
        <w:t xml:space="preserve">EGFR mutation </w:t>
      </w:r>
      <w:r w:rsidR="00DF6735" w:rsidRPr="00AA0C2E">
        <w:rPr>
          <w:rFonts w:ascii="Arial" w:hAnsi="Arial" w:cs="Arial"/>
        </w:rPr>
        <w:t>testing at diagnosis</w:t>
      </w:r>
      <w:r w:rsidR="002724E2" w:rsidRPr="00AA0C2E">
        <w:rPr>
          <w:rFonts w:ascii="Arial" w:hAnsi="Arial" w:cs="Arial"/>
        </w:rPr>
        <w:t>, irrespective of disease stage,</w:t>
      </w:r>
      <w:r w:rsidR="00DF6735" w:rsidRPr="00AA0C2E">
        <w:rPr>
          <w:rFonts w:ascii="Arial" w:hAnsi="Arial" w:cs="Arial"/>
        </w:rPr>
        <w:t xml:space="preserve"> </w:t>
      </w:r>
      <w:r w:rsidR="002724E2" w:rsidRPr="00AA0C2E">
        <w:rPr>
          <w:rFonts w:ascii="Arial" w:hAnsi="Arial" w:cs="Arial"/>
        </w:rPr>
        <w:t xml:space="preserve">of NSCLC non-squamous / not otherwise specified histology, </w:t>
      </w:r>
      <w:r w:rsidR="00DF6735" w:rsidRPr="00AA0C2E">
        <w:rPr>
          <w:rFonts w:ascii="Arial" w:hAnsi="Arial" w:cs="Arial"/>
        </w:rPr>
        <w:t>has been</w:t>
      </w:r>
      <w:r w:rsidR="002724E2" w:rsidRPr="00AA0C2E">
        <w:rPr>
          <w:rFonts w:ascii="Arial" w:hAnsi="Arial" w:cs="Arial"/>
        </w:rPr>
        <w:t xml:space="preserve"> MBS</w:t>
      </w:r>
      <w:r w:rsidR="00DF6735" w:rsidRPr="00AA0C2E">
        <w:rPr>
          <w:rFonts w:ascii="Arial" w:hAnsi="Arial" w:cs="Arial"/>
        </w:rPr>
        <w:t xml:space="preserve"> subsidised since 2014</w:t>
      </w:r>
      <w:r w:rsidR="00E0678C" w:rsidRPr="00AA0C2E">
        <w:rPr>
          <w:rFonts w:ascii="Arial" w:hAnsi="Arial" w:cs="Arial"/>
        </w:rPr>
        <w:t xml:space="preserve"> </w:t>
      </w:r>
      <w:r w:rsidR="00E0678C" w:rsidRPr="00AA0C2E">
        <w:rPr>
          <w:rFonts w:ascii="Arial" w:hAnsi="Arial" w:cs="Arial"/>
        </w:rPr>
        <w:fldChar w:fldCharType="begin"/>
      </w:r>
      <w:r w:rsidR="00F65C59">
        <w:rPr>
          <w:rFonts w:ascii="Arial" w:hAnsi="Arial" w:cs="Arial"/>
        </w:rPr>
        <w:instrText xml:space="preserve"> ADDIN EN.CITE &lt;EndNote&gt;&lt;Cite&gt;&lt;Author&gt;Health&lt;/Author&gt;&lt;Year&gt;2015&lt;/Year&gt;&lt;RecNum&gt;70&lt;/RecNum&gt;&lt;DisplayText&gt;[30]&lt;/DisplayText&gt;&lt;record&gt;&lt;rec-number&gt;70&lt;/rec-number&gt;&lt;foreign-keys&gt;&lt;key app="EN" db-id="rprtzr95srz0woefsws5fs50rfwvtsf5aw2f"&gt;70&lt;/key&gt;&lt;/foreign-keys&gt;&lt;ref-type name="Web Page"&gt;12&lt;/ref-type&gt;&lt;contributors&gt;&lt;authors&gt;&lt;author&gt;Australian Government Department of Health,&lt;/author&gt;&lt;/authors&gt;&lt;/contributors&gt;&lt;titles&gt;&lt;title&gt;Medicare Benefits Schedule EGFR mutation test listing&lt;/title&gt;&lt;/titles&gt;&lt;number&gt;16 April 2015&lt;/number&gt;&lt;dates&gt;&lt;year&gt;2015&lt;/year&gt;&lt;/dates&gt;&lt;pub-location&gt;Canberra, Australia&lt;/pub-location&gt;&lt;publisher&gt;Australian Government Department of Health&lt;/publisher&gt;&lt;urls&gt;&lt;related-urls&gt;&lt;url&gt;http://www9.health.gov.au/mbs/search.cfm?q=73337&amp;amp;Submit=&amp;amp;sopt=I &lt;/url&gt;&lt;/related-urls&gt;&lt;/urls&gt;&lt;/record&gt;&lt;/Cite&gt;&lt;/EndNote&gt;</w:instrText>
      </w:r>
      <w:r w:rsidR="00E0678C" w:rsidRPr="00AA0C2E">
        <w:rPr>
          <w:rFonts w:ascii="Arial" w:hAnsi="Arial" w:cs="Arial"/>
        </w:rPr>
        <w:fldChar w:fldCharType="separate"/>
      </w:r>
      <w:r w:rsidR="00F65C59">
        <w:rPr>
          <w:rFonts w:ascii="Arial" w:hAnsi="Arial" w:cs="Arial"/>
          <w:noProof/>
        </w:rPr>
        <w:t>[</w:t>
      </w:r>
      <w:hyperlink w:anchor="_ENREF_30" w:tooltip="Australian Government Department of Health, 2015 #70" w:history="1">
        <w:r w:rsidR="00F65C59">
          <w:rPr>
            <w:rFonts w:ascii="Arial" w:hAnsi="Arial" w:cs="Arial"/>
            <w:noProof/>
          </w:rPr>
          <w:t>30</w:t>
        </w:r>
      </w:hyperlink>
      <w:r w:rsidR="00F65C59">
        <w:rPr>
          <w:rFonts w:ascii="Arial" w:hAnsi="Arial" w:cs="Arial"/>
          <w:noProof/>
        </w:rPr>
        <w:t>]</w:t>
      </w:r>
      <w:r w:rsidR="00E0678C" w:rsidRPr="00AA0C2E">
        <w:rPr>
          <w:rFonts w:ascii="Arial" w:hAnsi="Arial" w:cs="Arial"/>
        </w:rPr>
        <w:fldChar w:fldCharType="end"/>
      </w:r>
      <w:r w:rsidR="00DF6735" w:rsidRPr="00AA0C2E">
        <w:rPr>
          <w:rFonts w:ascii="Arial" w:hAnsi="Arial" w:cs="Arial"/>
        </w:rPr>
        <w:t>.</w:t>
      </w:r>
      <w:r w:rsidR="009F6E28" w:rsidRPr="00AA0C2E">
        <w:rPr>
          <w:rFonts w:ascii="Arial" w:hAnsi="Arial" w:cs="Arial"/>
        </w:rPr>
        <w:t xml:space="preserve"> </w:t>
      </w:r>
      <w:r w:rsidR="002724E2" w:rsidRPr="00AA0C2E">
        <w:rPr>
          <w:rFonts w:ascii="Arial" w:hAnsi="Arial" w:cs="Arial"/>
        </w:rPr>
        <w:t xml:space="preserve">For patients with </w:t>
      </w:r>
      <w:proofErr w:type="spellStart"/>
      <w:r w:rsidR="002724E2" w:rsidRPr="00AA0C2E">
        <w:rPr>
          <w:rFonts w:ascii="Arial" w:hAnsi="Arial" w:cs="Arial"/>
        </w:rPr>
        <w:t>EGFRm</w:t>
      </w:r>
      <w:proofErr w:type="spellEnd"/>
      <w:r w:rsidR="002724E2" w:rsidRPr="00AA0C2E">
        <w:rPr>
          <w:rFonts w:ascii="Arial" w:hAnsi="Arial" w:cs="Arial"/>
        </w:rPr>
        <w:t xml:space="preserve"> NSCLC,</w:t>
      </w:r>
      <w:r w:rsidRPr="00AA0C2E">
        <w:rPr>
          <w:rFonts w:ascii="Arial" w:hAnsi="Arial" w:cs="Arial"/>
        </w:rPr>
        <w:t xml:space="preserve"> </w:t>
      </w:r>
      <w:r w:rsidR="007849C5" w:rsidRPr="00AA0C2E">
        <w:rPr>
          <w:rFonts w:ascii="Arial" w:hAnsi="Arial" w:cs="Arial"/>
        </w:rPr>
        <w:t xml:space="preserve">the </w:t>
      </w:r>
      <w:r w:rsidRPr="00AA0C2E">
        <w:rPr>
          <w:rFonts w:ascii="Arial" w:hAnsi="Arial" w:cs="Arial"/>
        </w:rPr>
        <w:t>EGFR TKIs,</w:t>
      </w:r>
      <w:r w:rsidR="009F6E28" w:rsidRPr="00AA0C2E">
        <w:rPr>
          <w:rFonts w:ascii="Arial" w:hAnsi="Arial" w:cs="Arial"/>
        </w:rPr>
        <w:t xml:space="preserve"> </w:t>
      </w:r>
      <w:proofErr w:type="spellStart"/>
      <w:r w:rsidR="002724E2" w:rsidRPr="00AA0C2E">
        <w:rPr>
          <w:rFonts w:ascii="Arial" w:hAnsi="Arial" w:cs="Arial"/>
        </w:rPr>
        <w:t>gefitinib</w:t>
      </w:r>
      <w:proofErr w:type="spellEnd"/>
      <w:r w:rsidR="002724E2" w:rsidRPr="00AA0C2E">
        <w:rPr>
          <w:rFonts w:ascii="Arial" w:hAnsi="Arial" w:cs="Arial"/>
        </w:rPr>
        <w:t xml:space="preserve"> and </w:t>
      </w:r>
      <w:proofErr w:type="spellStart"/>
      <w:r w:rsidR="002724E2" w:rsidRPr="00AA0C2E">
        <w:rPr>
          <w:rFonts w:ascii="Arial" w:hAnsi="Arial" w:cs="Arial"/>
        </w:rPr>
        <w:t>erlotinib</w:t>
      </w:r>
      <w:proofErr w:type="spellEnd"/>
      <w:r w:rsidRPr="00AA0C2E">
        <w:rPr>
          <w:rFonts w:ascii="Arial" w:hAnsi="Arial" w:cs="Arial"/>
        </w:rPr>
        <w:t>,</w:t>
      </w:r>
      <w:r w:rsidR="002724E2" w:rsidRPr="00AA0C2E">
        <w:rPr>
          <w:rFonts w:ascii="Arial" w:hAnsi="Arial" w:cs="Arial"/>
        </w:rPr>
        <w:t xml:space="preserve"> ar</w:t>
      </w:r>
      <w:r w:rsidR="00E64C47" w:rsidRPr="00AA0C2E">
        <w:rPr>
          <w:rFonts w:ascii="Arial" w:hAnsi="Arial" w:cs="Arial"/>
        </w:rPr>
        <w:t>e available on</w:t>
      </w:r>
      <w:r w:rsidR="007849C5" w:rsidRPr="00AA0C2E">
        <w:rPr>
          <w:rFonts w:ascii="Arial" w:hAnsi="Arial" w:cs="Arial"/>
        </w:rPr>
        <w:t xml:space="preserve"> the</w:t>
      </w:r>
      <w:r w:rsidR="00E64C47" w:rsidRPr="00AA0C2E">
        <w:rPr>
          <w:rFonts w:ascii="Arial" w:hAnsi="Arial" w:cs="Arial"/>
        </w:rPr>
        <w:t xml:space="preserve"> PBS</w:t>
      </w:r>
      <w:r w:rsidR="009A336C" w:rsidRPr="00AA0C2E">
        <w:rPr>
          <w:rFonts w:ascii="Arial" w:hAnsi="Arial" w:cs="Arial"/>
        </w:rPr>
        <w:t xml:space="preserve"> </w:t>
      </w:r>
      <w:r w:rsidR="002724E2" w:rsidRPr="00AA0C2E">
        <w:rPr>
          <w:rFonts w:ascii="Arial" w:hAnsi="Arial" w:cs="Arial"/>
        </w:rPr>
        <w:t>for any line of treatment in the locally advanced or metastatic stage</w:t>
      </w:r>
      <w:r w:rsidR="009A336C" w:rsidRPr="00AA0C2E">
        <w:rPr>
          <w:rFonts w:ascii="Arial" w:hAnsi="Arial" w:cs="Arial"/>
        </w:rPr>
        <w:t xml:space="preserve"> </w:t>
      </w:r>
      <w:r w:rsidR="009A336C" w:rsidRPr="00AA0C2E">
        <w:rPr>
          <w:rFonts w:ascii="Arial" w:hAnsi="Arial" w:cs="Arial"/>
        </w:rPr>
        <w:fldChar w:fldCharType="begin"/>
      </w:r>
      <w:r w:rsidR="00F65C59">
        <w:rPr>
          <w:rFonts w:ascii="Arial" w:hAnsi="Arial" w:cs="Arial"/>
        </w:rPr>
        <w:instrText xml:space="preserve"> ADDIN EN.CITE &lt;EndNote&gt;&lt;Cite&gt;&lt;Author&gt;Health&lt;/Author&gt;&lt;Year&gt;2015&lt;/Year&gt;&lt;RecNum&gt;68&lt;/RecNum&gt;&lt;DisplayText&gt;[31, 32]&lt;/DisplayText&gt;&lt;record&gt;&lt;rec-number&gt;68&lt;/rec-number&gt;&lt;foreign-keys&gt;&lt;key app="EN" db-id="rprtzr95srz0woefsws5fs50rfwvtsf5aw2f"&gt;68&lt;/key&gt;&lt;/foreign-keys&gt;&lt;ref-type name="Web Page"&gt;12&lt;/ref-type&gt;&lt;contributors&gt;&lt;authors&gt;&lt;author&gt;Australian Government Department of Health,&lt;/author&gt;&lt;/authors&gt;&lt;/contributors&gt;&lt;titles&gt;&lt;title&gt;Pharmaceutical Benefits Scheme Gefitinib listing&lt;/title&gt;&lt;/titles&gt;&lt;number&gt;16 April 2015&lt;/number&gt;&lt;dates&gt;&lt;year&gt;2015&lt;/year&gt;&lt;/dates&gt;&lt;pub-location&gt;Canberra, Australia&lt;/pub-location&gt;&lt;publisher&gt;Australian Government Department of Health,&lt;/publisher&gt;&lt;urls&gt;&lt;related-urls&gt;&lt;url&gt;http://pbs.gov.au/medicine/item/8769M &lt;/url&gt;&lt;/related-urls&gt;&lt;/urls&gt;&lt;/record&gt;&lt;/Cite&gt;&lt;Cite&gt;&lt;Author&gt;Health&lt;/Author&gt;&lt;Year&gt;2015&lt;/Year&gt;&lt;RecNum&gt;69&lt;/RecNum&gt;&lt;record&gt;&lt;rec-number&gt;69&lt;/rec-number&gt;&lt;foreign-keys&gt;&lt;key app="EN" db-id="rprtzr95srz0woefsws5fs50rfwvtsf5aw2f"&gt;69&lt;/key&gt;&lt;/foreign-keys&gt;&lt;ref-type name="Web Page"&gt;12&lt;/ref-type&gt;&lt;contributors&gt;&lt;authors&gt;&lt;author&gt;Australian Government Department of Health,&lt;/author&gt;&lt;/authors&gt;&lt;/contributors&gt;&lt;titles&gt;&lt;title&gt;Pharmaceutical Benefits Scheme Erlotinib listings&lt;/title&gt;&lt;/titles&gt;&lt;number&gt;16 April 2015&lt;/number&gt;&lt;dates&gt;&lt;year&gt;2015&lt;/year&gt;&lt;/dates&gt;&lt;pub-location&gt;Canberra, Australia&lt;/pub-location&gt;&lt;publisher&gt;Australian Government Department of Health&lt;/publisher&gt;&lt;urls&gt;&lt;related-urls&gt;&lt;url&gt;http://pbs.gov.au/medicine/item/10014C-10019H-10020J-10022L-10025P-10028T &lt;/url&gt;&lt;/related-urls&gt;&lt;/urls&gt;&lt;/record&gt;&lt;/Cite&gt;&lt;/EndNote&gt;</w:instrText>
      </w:r>
      <w:r w:rsidR="009A336C" w:rsidRPr="00AA0C2E">
        <w:rPr>
          <w:rFonts w:ascii="Arial" w:hAnsi="Arial" w:cs="Arial"/>
        </w:rPr>
        <w:fldChar w:fldCharType="separate"/>
      </w:r>
      <w:r w:rsidR="00F65C59">
        <w:rPr>
          <w:rFonts w:ascii="Arial" w:hAnsi="Arial" w:cs="Arial"/>
          <w:noProof/>
        </w:rPr>
        <w:t>[</w:t>
      </w:r>
      <w:hyperlink w:anchor="_ENREF_31" w:tooltip="Australian Government Department of Health, 2015 #68" w:history="1">
        <w:r w:rsidR="00F65C59">
          <w:rPr>
            <w:rFonts w:ascii="Arial" w:hAnsi="Arial" w:cs="Arial"/>
            <w:noProof/>
          </w:rPr>
          <w:t>31</w:t>
        </w:r>
      </w:hyperlink>
      <w:r w:rsidR="00F65C59">
        <w:rPr>
          <w:rFonts w:ascii="Arial" w:hAnsi="Arial" w:cs="Arial"/>
          <w:noProof/>
        </w:rPr>
        <w:t xml:space="preserve">, </w:t>
      </w:r>
      <w:hyperlink w:anchor="_ENREF_32" w:tooltip="Australian Government Department of Health, 2015 #69" w:history="1">
        <w:r w:rsidR="00F65C59">
          <w:rPr>
            <w:rFonts w:ascii="Arial" w:hAnsi="Arial" w:cs="Arial"/>
            <w:noProof/>
          </w:rPr>
          <w:t>32</w:t>
        </w:r>
      </w:hyperlink>
      <w:r w:rsidR="00F65C59">
        <w:rPr>
          <w:rFonts w:ascii="Arial" w:hAnsi="Arial" w:cs="Arial"/>
          <w:noProof/>
        </w:rPr>
        <w:t>]</w:t>
      </w:r>
      <w:r w:rsidR="009A336C" w:rsidRPr="00AA0C2E">
        <w:rPr>
          <w:rFonts w:ascii="Arial" w:hAnsi="Arial" w:cs="Arial"/>
        </w:rPr>
        <w:fldChar w:fldCharType="end"/>
      </w:r>
      <w:r w:rsidR="002724E2" w:rsidRPr="00AA0C2E">
        <w:rPr>
          <w:rFonts w:ascii="Arial" w:hAnsi="Arial" w:cs="Arial"/>
        </w:rPr>
        <w:t>.</w:t>
      </w:r>
      <w:r w:rsidR="00321344" w:rsidRPr="00AA0C2E">
        <w:rPr>
          <w:rFonts w:ascii="Arial" w:hAnsi="Arial" w:cs="Arial"/>
        </w:rPr>
        <w:t xml:space="preserve"> </w:t>
      </w:r>
      <w:proofErr w:type="spellStart"/>
      <w:r w:rsidR="00321344" w:rsidRPr="00AA0C2E">
        <w:rPr>
          <w:rFonts w:ascii="Arial" w:hAnsi="Arial" w:cs="Arial"/>
        </w:rPr>
        <w:t>Afatinib</w:t>
      </w:r>
      <w:proofErr w:type="spellEnd"/>
      <w:r w:rsidR="00321344" w:rsidRPr="00AA0C2E">
        <w:rPr>
          <w:rFonts w:ascii="Arial" w:hAnsi="Arial" w:cs="Arial"/>
        </w:rPr>
        <w:t xml:space="preserve"> is TGA registered and has a PBAC positive recommendation but is not yet PBS reimbursed</w:t>
      </w:r>
      <w:r w:rsidR="000D297A" w:rsidRPr="00AA0C2E">
        <w:rPr>
          <w:rFonts w:ascii="Arial" w:hAnsi="Arial" w:cs="Arial"/>
        </w:rPr>
        <w:t xml:space="preserve"> </w:t>
      </w:r>
      <w:r w:rsidR="000D297A" w:rsidRPr="00AA0C2E">
        <w:rPr>
          <w:rFonts w:ascii="Arial" w:hAnsi="Arial" w:cs="Arial"/>
        </w:rPr>
        <w:fldChar w:fldCharType="begin"/>
      </w:r>
      <w:r w:rsidR="00F65C59">
        <w:rPr>
          <w:rFonts w:ascii="Arial" w:hAnsi="Arial" w:cs="Arial"/>
        </w:rPr>
        <w:instrText xml:space="preserve"> ADDIN EN.CITE &lt;EndNote&gt;&lt;Cite&gt;&lt;Author&gt;Committee&lt;/Author&gt;&lt;Year&gt;2013&lt;/Year&gt;&lt;RecNum&gt;90&lt;/RecNum&gt;&lt;DisplayText&gt;[33]&lt;/DisplayText&gt;&lt;record&gt;&lt;rec-number&gt;90&lt;/rec-number&gt;&lt;foreign-keys&gt;&lt;key app="EN" db-id="rprtzr95srz0woefsws5fs50rfwvtsf5aw2f"&gt;90&lt;/key&gt;&lt;/foreign-keys&gt;&lt;ref-type name="Government Document"&gt;46&lt;/ref-type&gt;&lt;contributors&gt;&lt;authors&gt;&lt;author&gt;Pharmaceutical Benefits Advisory Committee,&lt;/author&gt;&lt;/authors&gt;&lt;secondary-authors&gt;&lt;author&gt;Australian Government Department of Health,&lt;/author&gt;&lt;/secondary-authors&gt;&lt;/contributors&gt;&lt;titles&gt;&lt;title&gt;Public Summary Document&lt;/title&gt;&lt;/titles&gt;&lt;number&gt;July 2013 PBAC Meeting&lt;/number&gt;&lt;dates&gt;&lt;year&gt;2013&lt;/year&gt;&lt;/dates&gt;&lt;pub-location&gt;Canberra, Australia&lt;/pub-location&gt;&lt;publisher&gt;Australian Government Department of Health,&lt;/publisher&gt;&lt;urls&gt;&lt;related-urls&gt;&lt;url&gt;http://www.pbs.gov.au/industry/listing/elements/pbac-meetings/psd/2013-07/afatinib-first-line-psd-07-2013.pdf&lt;/url&gt;&lt;/related-urls&gt;&lt;/urls&gt;&lt;/record&gt;&lt;/Cite&gt;&lt;/EndNote&gt;</w:instrText>
      </w:r>
      <w:r w:rsidR="000D297A" w:rsidRPr="00AA0C2E">
        <w:rPr>
          <w:rFonts w:ascii="Arial" w:hAnsi="Arial" w:cs="Arial"/>
        </w:rPr>
        <w:fldChar w:fldCharType="separate"/>
      </w:r>
      <w:r w:rsidR="00F65C59">
        <w:rPr>
          <w:rFonts w:ascii="Arial" w:hAnsi="Arial" w:cs="Arial"/>
          <w:noProof/>
        </w:rPr>
        <w:t>[</w:t>
      </w:r>
      <w:hyperlink w:anchor="_ENREF_33" w:tooltip="Pharmaceutical Benefits Advisory Committee, 2013 #90" w:history="1">
        <w:r w:rsidR="00F65C59">
          <w:rPr>
            <w:rFonts w:ascii="Arial" w:hAnsi="Arial" w:cs="Arial"/>
            <w:noProof/>
          </w:rPr>
          <w:t>33</w:t>
        </w:r>
      </w:hyperlink>
      <w:r w:rsidR="00F65C59">
        <w:rPr>
          <w:rFonts w:ascii="Arial" w:hAnsi="Arial" w:cs="Arial"/>
          <w:noProof/>
        </w:rPr>
        <w:t>]</w:t>
      </w:r>
      <w:r w:rsidR="000D297A" w:rsidRPr="00AA0C2E">
        <w:rPr>
          <w:rFonts w:ascii="Arial" w:hAnsi="Arial" w:cs="Arial"/>
        </w:rPr>
        <w:fldChar w:fldCharType="end"/>
      </w:r>
      <w:r w:rsidR="00321344" w:rsidRPr="00AA0C2E">
        <w:rPr>
          <w:rFonts w:ascii="Arial" w:hAnsi="Arial" w:cs="Arial"/>
        </w:rPr>
        <w:t>. The</w:t>
      </w:r>
      <w:r w:rsidR="002724E2" w:rsidRPr="00AA0C2E">
        <w:rPr>
          <w:rFonts w:ascii="Arial" w:hAnsi="Arial" w:cs="Arial"/>
        </w:rPr>
        <w:t xml:space="preserve"> </w:t>
      </w:r>
      <w:r w:rsidR="009A336C" w:rsidRPr="00AA0C2E">
        <w:rPr>
          <w:rFonts w:ascii="Arial" w:hAnsi="Arial" w:cs="Arial"/>
        </w:rPr>
        <w:t>EGFR TKI treatment is not curative and</w:t>
      </w:r>
      <w:r w:rsidR="00D32088" w:rsidRPr="00AA0C2E">
        <w:rPr>
          <w:rFonts w:ascii="Arial" w:hAnsi="Arial" w:cs="Arial"/>
        </w:rPr>
        <w:t>, in the majority of cases,</w:t>
      </w:r>
      <w:r w:rsidR="009A336C" w:rsidRPr="00AA0C2E">
        <w:rPr>
          <w:rFonts w:ascii="Arial" w:hAnsi="Arial" w:cs="Arial"/>
        </w:rPr>
        <w:t xml:space="preserve"> the disease will </w:t>
      </w:r>
      <w:r w:rsidR="00D32088" w:rsidRPr="00AA0C2E">
        <w:rPr>
          <w:rFonts w:ascii="Arial" w:hAnsi="Arial" w:cs="Arial"/>
        </w:rPr>
        <w:t xml:space="preserve">ultimately </w:t>
      </w:r>
      <w:r w:rsidR="009A336C" w:rsidRPr="00AA0C2E">
        <w:rPr>
          <w:rFonts w:ascii="Arial" w:hAnsi="Arial" w:cs="Arial"/>
        </w:rPr>
        <w:t xml:space="preserve">progress. </w:t>
      </w:r>
    </w:p>
    <w:p w14:paraId="57DD7ED9" w14:textId="77777777" w:rsidR="009E56E6" w:rsidRPr="00AA0C2E" w:rsidRDefault="009E56E6" w:rsidP="008B2295">
      <w:pPr>
        <w:spacing w:before="120" w:after="120" w:line="360" w:lineRule="auto"/>
        <w:jc w:val="both"/>
        <w:rPr>
          <w:rFonts w:ascii="Arial" w:hAnsi="Arial" w:cs="Arial"/>
        </w:rPr>
      </w:pPr>
      <w:r w:rsidRPr="00AA0C2E">
        <w:rPr>
          <w:rFonts w:ascii="Arial" w:hAnsi="Arial" w:cs="Arial"/>
          <w:u w:val="single"/>
        </w:rPr>
        <w:t>Proposed patient population</w:t>
      </w:r>
      <w:r w:rsidRPr="00AA0C2E">
        <w:rPr>
          <w:rFonts w:ascii="Arial" w:hAnsi="Arial" w:cs="Arial"/>
        </w:rPr>
        <w:t>:</w:t>
      </w:r>
    </w:p>
    <w:p w14:paraId="67583D8C" w14:textId="7D14E3B1" w:rsidR="009F6E28" w:rsidRPr="00AA0C2E" w:rsidRDefault="0001608A" w:rsidP="008B2295">
      <w:pPr>
        <w:spacing w:before="120" w:after="120" w:line="360" w:lineRule="auto"/>
        <w:jc w:val="both"/>
        <w:rPr>
          <w:rFonts w:ascii="Arial" w:hAnsi="Arial" w:cs="Arial"/>
        </w:rPr>
      </w:pPr>
      <w:r w:rsidRPr="00AA0C2E">
        <w:rPr>
          <w:rFonts w:ascii="Arial" w:hAnsi="Arial" w:cs="Arial"/>
        </w:rPr>
        <w:t xml:space="preserve">This service would apply to </w:t>
      </w:r>
      <w:r w:rsidR="009F6E28" w:rsidRPr="00AA0C2E">
        <w:rPr>
          <w:rFonts w:ascii="Arial" w:hAnsi="Arial" w:cs="Arial"/>
        </w:rPr>
        <w:t>patients</w:t>
      </w:r>
      <w:r w:rsidRPr="00AA0C2E">
        <w:rPr>
          <w:rFonts w:ascii="Arial" w:hAnsi="Arial" w:cs="Arial"/>
        </w:rPr>
        <w:t xml:space="preserve"> with locally advanced</w:t>
      </w:r>
      <w:r w:rsidR="009F409A" w:rsidRPr="00AA0C2E">
        <w:rPr>
          <w:rFonts w:ascii="Arial" w:hAnsi="Arial" w:cs="Arial"/>
        </w:rPr>
        <w:t xml:space="preserve"> (Stage </w:t>
      </w:r>
      <w:proofErr w:type="spellStart"/>
      <w:r w:rsidR="009F409A" w:rsidRPr="00AA0C2E">
        <w:rPr>
          <w:rFonts w:ascii="Arial" w:hAnsi="Arial" w:cs="Arial"/>
        </w:rPr>
        <w:t>IIIb</w:t>
      </w:r>
      <w:proofErr w:type="spellEnd"/>
      <w:r w:rsidR="009F409A" w:rsidRPr="00AA0C2E">
        <w:rPr>
          <w:rFonts w:ascii="Arial" w:hAnsi="Arial" w:cs="Arial"/>
        </w:rPr>
        <w:t>)</w:t>
      </w:r>
      <w:r w:rsidRPr="00AA0C2E">
        <w:rPr>
          <w:rFonts w:ascii="Arial" w:hAnsi="Arial" w:cs="Arial"/>
        </w:rPr>
        <w:t xml:space="preserve"> or metastatic</w:t>
      </w:r>
      <w:r w:rsidR="003D5802" w:rsidRPr="00AA0C2E">
        <w:rPr>
          <w:rFonts w:ascii="Arial" w:hAnsi="Arial" w:cs="Arial"/>
        </w:rPr>
        <w:t xml:space="preserve"> (Stage IV), non-</w:t>
      </w:r>
      <w:r w:rsidR="009F409A" w:rsidRPr="00AA0C2E">
        <w:rPr>
          <w:rFonts w:ascii="Arial" w:hAnsi="Arial" w:cs="Arial"/>
        </w:rPr>
        <w:t>squamous or NOS</w:t>
      </w:r>
      <w:r w:rsidRPr="00AA0C2E">
        <w:rPr>
          <w:rFonts w:ascii="Arial" w:hAnsi="Arial" w:cs="Arial"/>
        </w:rPr>
        <w:t xml:space="preserve"> </w:t>
      </w:r>
      <w:proofErr w:type="spellStart"/>
      <w:r w:rsidR="00CA7DCD" w:rsidRPr="00AA0C2E">
        <w:rPr>
          <w:rFonts w:ascii="Arial" w:hAnsi="Arial" w:cs="Arial"/>
        </w:rPr>
        <w:t>EGFR</w:t>
      </w:r>
      <w:r w:rsidR="00010DBC" w:rsidRPr="00AA0C2E">
        <w:rPr>
          <w:rFonts w:ascii="Arial" w:hAnsi="Arial" w:cs="Arial"/>
        </w:rPr>
        <w:t>m</w:t>
      </w:r>
      <w:proofErr w:type="spellEnd"/>
      <w:r w:rsidR="00CA7DCD" w:rsidRPr="00AA0C2E">
        <w:rPr>
          <w:rFonts w:ascii="Arial" w:hAnsi="Arial" w:cs="Arial"/>
        </w:rPr>
        <w:t xml:space="preserve"> </w:t>
      </w:r>
      <w:r w:rsidRPr="00AA0C2E">
        <w:rPr>
          <w:rFonts w:ascii="Arial" w:hAnsi="Arial" w:cs="Arial"/>
        </w:rPr>
        <w:t>NSCLC</w:t>
      </w:r>
      <w:r w:rsidR="009F6E28" w:rsidRPr="00AA0C2E">
        <w:rPr>
          <w:rFonts w:ascii="Arial" w:hAnsi="Arial" w:cs="Arial"/>
        </w:rPr>
        <w:t xml:space="preserve"> who have</w:t>
      </w:r>
      <w:r w:rsidR="009D53ED" w:rsidRPr="00AA0C2E">
        <w:rPr>
          <w:rFonts w:ascii="Arial" w:hAnsi="Arial" w:cs="Arial"/>
        </w:rPr>
        <w:t xml:space="preserve"> previously</w:t>
      </w:r>
      <w:r w:rsidR="00AD3A29">
        <w:rPr>
          <w:rFonts w:ascii="Arial" w:hAnsi="Arial" w:cs="Arial"/>
        </w:rPr>
        <w:t xml:space="preserve"> </w:t>
      </w:r>
      <w:r w:rsidR="00E633EA" w:rsidRPr="00AA0C2E">
        <w:rPr>
          <w:rFonts w:ascii="Arial" w:hAnsi="Arial" w:cs="Arial"/>
        </w:rPr>
        <w:t xml:space="preserve">received </w:t>
      </w:r>
      <w:r w:rsidR="009F6E28" w:rsidRPr="00AA0C2E">
        <w:rPr>
          <w:rFonts w:ascii="Arial" w:hAnsi="Arial" w:cs="Arial"/>
        </w:rPr>
        <w:t xml:space="preserve">treatment with </w:t>
      </w:r>
      <w:r w:rsidR="008A1274" w:rsidRPr="00AA0C2E">
        <w:rPr>
          <w:rFonts w:ascii="Arial" w:hAnsi="Arial" w:cs="Arial"/>
        </w:rPr>
        <w:t xml:space="preserve">an </w:t>
      </w:r>
      <w:r w:rsidR="009F6E28" w:rsidRPr="00AA0C2E">
        <w:rPr>
          <w:rFonts w:ascii="Arial" w:hAnsi="Arial" w:cs="Arial"/>
        </w:rPr>
        <w:t>EGFR TKI</w:t>
      </w:r>
      <w:r w:rsidR="008A1274" w:rsidRPr="00AA0C2E">
        <w:rPr>
          <w:rFonts w:ascii="Arial" w:hAnsi="Arial" w:cs="Arial"/>
        </w:rPr>
        <w:t xml:space="preserve"> (</w:t>
      </w:r>
      <w:proofErr w:type="spellStart"/>
      <w:r w:rsidR="008A1274" w:rsidRPr="00AA0C2E">
        <w:rPr>
          <w:rFonts w:ascii="Arial" w:hAnsi="Arial" w:cs="Arial"/>
        </w:rPr>
        <w:t>gefitinib</w:t>
      </w:r>
      <w:proofErr w:type="spellEnd"/>
      <w:r w:rsidR="008A1274" w:rsidRPr="00AA0C2E">
        <w:rPr>
          <w:rFonts w:ascii="Arial" w:hAnsi="Arial" w:cs="Arial"/>
        </w:rPr>
        <w:t xml:space="preserve">, </w:t>
      </w:r>
      <w:proofErr w:type="spellStart"/>
      <w:r w:rsidR="008A1274" w:rsidRPr="00AA0C2E">
        <w:rPr>
          <w:rFonts w:ascii="Arial" w:hAnsi="Arial" w:cs="Arial"/>
        </w:rPr>
        <w:t>erlotinib</w:t>
      </w:r>
      <w:proofErr w:type="spellEnd"/>
      <w:r w:rsidR="008A1274" w:rsidRPr="00AA0C2E">
        <w:rPr>
          <w:rFonts w:ascii="Arial" w:hAnsi="Arial" w:cs="Arial"/>
        </w:rPr>
        <w:t xml:space="preserve">, </w:t>
      </w:r>
      <w:proofErr w:type="spellStart"/>
      <w:r w:rsidR="008A1274" w:rsidRPr="00AA0C2E">
        <w:rPr>
          <w:rFonts w:ascii="Arial" w:hAnsi="Arial" w:cs="Arial"/>
        </w:rPr>
        <w:t>afatinib</w:t>
      </w:r>
      <w:proofErr w:type="spellEnd"/>
      <w:r w:rsidR="008A1274" w:rsidRPr="00AA0C2E">
        <w:rPr>
          <w:rFonts w:ascii="Arial" w:hAnsi="Arial" w:cs="Arial"/>
        </w:rPr>
        <w:t>)</w:t>
      </w:r>
      <w:r w:rsidR="00CA7DCD" w:rsidRPr="00AA0C2E">
        <w:rPr>
          <w:rFonts w:ascii="Arial" w:hAnsi="Arial" w:cs="Arial"/>
        </w:rPr>
        <w:t>,</w:t>
      </w:r>
      <w:r w:rsidR="009F6E28" w:rsidRPr="00AA0C2E">
        <w:rPr>
          <w:rFonts w:ascii="Arial" w:hAnsi="Arial" w:cs="Arial"/>
        </w:rPr>
        <w:t xml:space="preserve"> </w:t>
      </w:r>
      <w:r w:rsidR="009F409A" w:rsidRPr="00AA0C2E">
        <w:rPr>
          <w:rFonts w:ascii="Arial" w:hAnsi="Arial" w:cs="Arial"/>
        </w:rPr>
        <w:t xml:space="preserve">PS 0-1, </w:t>
      </w:r>
      <w:r w:rsidR="00412444" w:rsidRPr="00AA0C2E">
        <w:rPr>
          <w:rFonts w:ascii="Arial" w:hAnsi="Arial" w:cs="Arial"/>
        </w:rPr>
        <w:t xml:space="preserve">and have </w:t>
      </w:r>
      <w:r w:rsidR="009F6E28" w:rsidRPr="00AA0C2E">
        <w:rPr>
          <w:rFonts w:ascii="Arial" w:hAnsi="Arial" w:cs="Arial"/>
        </w:rPr>
        <w:t>progress</w:t>
      </w:r>
      <w:r w:rsidR="00412444" w:rsidRPr="00AA0C2E">
        <w:rPr>
          <w:rFonts w:ascii="Arial" w:hAnsi="Arial" w:cs="Arial"/>
        </w:rPr>
        <w:t>ive disease</w:t>
      </w:r>
      <w:r w:rsidR="00CA7DCD" w:rsidRPr="00AA0C2E">
        <w:rPr>
          <w:rFonts w:ascii="Arial" w:hAnsi="Arial" w:cs="Arial"/>
        </w:rPr>
        <w:t>. C</w:t>
      </w:r>
      <w:r w:rsidR="009F6E28" w:rsidRPr="00AA0C2E">
        <w:rPr>
          <w:rFonts w:ascii="Arial" w:hAnsi="Arial" w:cs="Arial"/>
        </w:rPr>
        <w:t xml:space="preserve">onducting an additional EGFR mutation test at this time point will identify those </w:t>
      </w:r>
      <w:r w:rsidR="00CA7DCD" w:rsidRPr="00AA0C2E">
        <w:rPr>
          <w:rFonts w:ascii="Arial" w:hAnsi="Arial" w:cs="Arial"/>
        </w:rPr>
        <w:t xml:space="preserve">patients </w:t>
      </w:r>
      <w:r w:rsidR="009F6E28" w:rsidRPr="00AA0C2E">
        <w:rPr>
          <w:rFonts w:ascii="Arial" w:hAnsi="Arial" w:cs="Arial"/>
        </w:rPr>
        <w:t>whose tumour</w:t>
      </w:r>
      <w:r w:rsidR="00323BF4" w:rsidRPr="00AA0C2E">
        <w:rPr>
          <w:rFonts w:ascii="Arial" w:hAnsi="Arial" w:cs="Arial"/>
        </w:rPr>
        <w:t>(s)</w:t>
      </w:r>
      <w:r w:rsidR="009F6E28" w:rsidRPr="00AA0C2E">
        <w:rPr>
          <w:rFonts w:ascii="Arial" w:hAnsi="Arial" w:cs="Arial"/>
        </w:rPr>
        <w:t xml:space="preserve"> harbour the T790M mutation</w:t>
      </w:r>
      <w:r w:rsidR="00CA7DCD" w:rsidRPr="00AA0C2E">
        <w:rPr>
          <w:rFonts w:ascii="Arial" w:hAnsi="Arial" w:cs="Arial"/>
        </w:rPr>
        <w:t xml:space="preserve"> </w:t>
      </w:r>
      <w:r w:rsidR="009F6E28" w:rsidRPr="00AA0C2E">
        <w:rPr>
          <w:rFonts w:ascii="Arial" w:hAnsi="Arial" w:cs="Arial"/>
        </w:rPr>
        <w:t xml:space="preserve">and </w:t>
      </w:r>
      <w:r w:rsidR="00730471" w:rsidRPr="00AA0C2E">
        <w:rPr>
          <w:rFonts w:ascii="Arial" w:hAnsi="Arial" w:cs="Arial"/>
        </w:rPr>
        <w:t>thus are most likely to benefit from</w:t>
      </w:r>
      <w:r w:rsidR="009F6E28" w:rsidRPr="00AA0C2E">
        <w:rPr>
          <w:rFonts w:ascii="Arial" w:hAnsi="Arial" w:cs="Arial"/>
        </w:rPr>
        <w:t xml:space="preserve"> treatment with </w:t>
      </w:r>
      <w:r w:rsidR="00312075">
        <w:rPr>
          <w:rFonts w:ascii="Arial" w:hAnsi="Arial" w:cs="Arial"/>
        </w:rPr>
        <w:t>AZD9291</w:t>
      </w:r>
      <w:r w:rsidR="009F6E28" w:rsidRPr="00AA0C2E">
        <w:rPr>
          <w:rFonts w:ascii="Arial" w:hAnsi="Arial" w:cs="Arial"/>
        </w:rPr>
        <w:t xml:space="preserve">. </w:t>
      </w:r>
      <w:r w:rsidR="00CA7DCD" w:rsidRPr="00AA0C2E">
        <w:rPr>
          <w:rFonts w:ascii="Arial" w:hAnsi="Arial" w:cs="Arial"/>
        </w:rPr>
        <w:t>It is expected that</w:t>
      </w:r>
      <w:r w:rsidR="00FD5858" w:rsidRPr="00AA0C2E">
        <w:rPr>
          <w:rFonts w:ascii="Arial" w:hAnsi="Arial" w:cs="Arial"/>
        </w:rPr>
        <w:t xml:space="preserve"> a T790M mutation will be present, </w:t>
      </w:r>
      <w:r w:rsidR="00EC55C9" w:rsidRPr="00AA0C2E">
        <w:rPr>
          <w:rFonts w:ascii="Arial" w:hAnsi="Arial" w:cs="Arial"/>
        </w:rPr>
        <w:t>as the</w:t>
      </w:r>
      <w:r w:rsidR="00FD5858" w:rsidRPr="00AA0C2E">
        <w:rPr>
          <w:rFonts w:ascii="Arial" w:hAnsi="Arial" w:cs="Arial"/>
        </w:rPr>
        <w:t xml:space="preserve"> mechanism of </w:t>
      </w:r>
      <w:r w:rsidR="00EC55C9" w:rsidRPr="00AA0C2E">
        <w:rPr>
          <w:rFonts w:ascii="Arial" w:hAnsi="Arial" w:cs="Arial"/>
        </w:rPr>
        <w:t xml:space="preserve">acquired </w:t>
      </w:r>
      <w:r w:rsidR="00FD5858" w:rsidRPr="00AA0C2E">
        <w:rPr>
          <w:rFonts w:ascii="Arial" w:hAnsi="Arial" w:cs="Arial"/>
        </w:rPr>
        <w:t>resistance, in</w:t>
      </w:r>
      <w:r w:rsidR="00CA7DCD" w:rsidRPr="00AA0C2E">
        <w:rPr>
          <w:rFonts w:ascii="Arial" w:hAnsi="Arial" w:cs="Arial"/>
        </w:rPr>
        <w:t xml:space="preserve"> </w:t>
      </w:r>
      <w:r w:rsidR="009F6E28" w:rsidRPr="00AA0C2E">
        <w:rPr>
          <w:rFonts w:ascii="Arial" w:hAnsi="Arial" w:cs="Arial"/>
        </w:rPr>
        <w:t xml:space="preserve">approximately </w:t>
      </w:r>
      <w:r w:rsidR="00DF67C7" w:rsidRPr="00AA0C2E">
        <w:rPr>
          <w:rFonts w:ascii="Arial" w:hAnsi="Arial" w:cs="Arial"/>
        </w:rPr>
        <w:t>6</w:t>
      </w:r>
      <w:r w:rsidR="009F6E28" w:rsidRPr="00AA0C2E">
        <w:rPr>
          <w:rFonts w:ascii="Arial" w:hAnsi="Arial" w:cs="Arial"/>
        </w:rPr>
        <w:t>0% of these patients</w:t>
      </w:r>
      <w:r w:rsidR="00CA7DCD" w:rsidRPr="00AA0C2E">
        <w:rPr>
          <w:rFonts w:ascii="Arial" w:hAnsi="Arial" w:cs="Arial"/>
        </w:rPr>
        <w:t xml:space="preserve"> </w:t>
      </w:r>
      <w:r w:rsidR="00AB4607" w:rsidRPr="00AA0C2E">
        <w:rPr>
          <w:rFonts w:ascii="Arial" w:hAnsi="Arial" w:cs="Arial"/>
        </w:rPr>
        <w:fldChar w:fldCharType="begin"/>
      </w:r>
      <w:r w:rsidR="009B3639">
        <w:rPr>
          <w:rFonts w:ascii="Arial" w:hAnsi="Arial" w:cs="Arial"/>
        </w:rPr>
        <w:instrText xml:space="preserve"> ADDIN EN.CITE &lt;EndNote&gt;&lt;Cite&gt;&lt;Author&gt;Jackman D&lt;/Author&gt;&lt;Year&gt;2010&lt;/Year&gt;&lt;RecNum&gt;4&lt;/RecNum&gt;&lt;DisplayText&gt;[6]&lt;/DisplayText&gt;&lt;record&gt;&lt;rec-number&gt;4&lt;/rec-number&gt;&lt;foreign-keys&gt;&lt;key app="EN" db-id="rprtzr95srz0woefsws5fs50rfwvtsf5aw2f"&gt;4&lt;/key&gt;&lt;/foreign-keys&gt;&lt;ref-type name="Journal Article"&gt;17&lt;/ref-type&gt;&lt;contributors&gt;&lt;authors&gt;&lt;author&gt;Jackman D, Pao W, Riely GJ, Engelman JA, Kris MG, Janne PA, et al. &lt;/author&gt;&lt;/authors&gt;&lt;/contributors&gt;&lt;titles&gt;&lt;title&gt;Clinical definition of acquired resistance to epidermal growth factor receptor tyrosine kinase inhibitors in non-small-cell lung cancer&lt;/title&gt;&lt;secondary-title&gt;Journal of Clinical Oncology&lt;/secondary-title&gt;&lt;/titles&gt;&lt;periodical&gt;&lt;full-title&gt;Journal of Clinical Oncology&lt;/full-title&gt;&lt;/periodical&gt;&lt;pages&gt;357-60&lt;/pages&gt;&lt;volume&gt;28&lt;/volume&gt;&lt;number&gt;2&lt;/number&gt;&lt;dates&gt;&lt;year&gt;2010&lt;/year&gt;&lt;pub-dates&gt;&lt;date&gt;10 January 2010&lt;/date&gt;&lt;/pub-dates&gt;&lt;/dates&gt;&lt;urls&gt;&lt;/urls&gt;&lt;/record&gt;&lt;/Cite&gt;&lt;/EndNote&gt;</w:instrText>
      </w:r>
      <w:r w:rsidR="00AB4607" w:rsidRPr="00AA0C2E">
        <w:rPr>
          <w:rFonts w:ascii="Arial" w:hAnsi="Arial" w:cs="Arial"/>
        </w:rPr>
        <w:fldChar w:fldCharType="separate"/>
      </w:r>
      <w:r w:rsidR="00B16A45" w:rsidRPr="00AA0C2E">
        <w:rPr>
          <w:rFonts w:ascii="Arial" w:hAnsi="Arial" w:cs="Arial"/>
          <w:noProof/>
        </w:rPr>
        <w:t>[</w:t>
      </w:r>
      <w:hyperlink w:anchor="_ENREF_6" w:tooltip="Jackman D, 2010 #4" w:history="1">
        <w:r w:rsidR="00F65C59" w:rsidRPr="00AA0C2E">
          <w:rPr>
            <w:rFonts w:ascii="Arial" w:hAnsi="Arial" w:cs="Arial"/>
            <w:noProof/>
          </w:rPr>
          <w:t>6</w:t>
        </w:r>
      </w:hyperlink>
      <w:r w:rsidR="00B16A45" w:rsidRPr="00AA0C2E">
        <w:rPr>
          <w:rFonts w:ascii="Arial" w:hAnsi="Arial" w:cs="Arial"/>
          <w:noProof/>
        </w:rPr>
        <w:t>]</w:t>
      </w:r>
      <w:r w:rsidR="00AB4607" w:rsidRPr="00AA0C2E">
        <w:rPr>
          <w:rFonts w:ascii="Arial" w:hAnsi="Arial" w:cs="Arial"/>
        </w:rPr>
        <w:fldChar w:fldCharType="end"/>
      </w:r>
      <w:r w:rsidR="009F6E28" w:rsidRPr="00AA0C2E">
        <w:rPr>
          <w:rFonts w:ascii="Arial" w:hAnsi="Arial" w:cs="Arial"/>
        </w:rPr>
        <w:t xml:space="preserve">. </w:t>
      </w:r>
      <w:r w:rsidR="00EC55C9" w:rsidRPr="00AA0C2E">
        <w:rPr>
          <w:rFonts w:ascii="Arial" w:hAnsi="Arial" w:cs="Arial"/>
        </w:rPr>
        <w:t xml:space="preserve">Prevalence </w:t>
      </w:r>
      <w:r w:rsidR="00183434" w:rsidRPr="00AA0C2E">
        <w:rPr>
          <w:rFonts w:ascii="Arial" w:hAnsi="Arial" w:cs="Arial"/>
        </w:rPr>
        <w:t xml:space="preserve">of T790M in the Australian </w:t>
      </w:r>
      <w:proofErr w:type="spellStart"/>
      <w:r w:rsidR="00183434" w:rsidRPr="00AA0C2E">
        <w:rPr>
          <w:rFonts w:ascii="Arial" w:hAnsi="Arial" w:cs="Arial"/>
        </w:rPr>
        <w:t>EGFRm</w:t>
      </w:r>
      <w:proofErr w:type="spellEnd"/>
      <w:r w:rsidR="00183434" w:rsidRPr="00AA0C2E">
        <w:rPr>
          <w:rFonts w:ascii="Arial" w:hAnsi="Arial" w:cs="Arial"/>
        </w:rPr>
        <w:t xml:space="preserve"> </w:t>
      </w:r>
      <w:r w:rsidR="00EC55C9" w:rsidRPr="00AA0C2E">
        <w:rPr>
          <w:rFonts w:ascii="Arial" w:hAnsi="Arial" w:cs="Arial"/>
        </w:rPr>
        <w:t xml:space="preserve">advanced NSCLC </w:t>
      </w:r>
      <w:r w:rsidR="00183434" w:rsidRPr="00AA0C2E">
        <w:rPr>
          <w:rFonts w:ascii="Arial" w:hAnsi="Arial" w:cs="Arial"/>
        </w:rPr>
        <w:t xml:space="preserve">post EGFR TKI </w:t>
      </w:r>
      <w:r w:rsidR="00EC55C9" w:rsidRPr="00AA0C2E">
        <w:rPr>
          <w:rFonts w:ascii="Arial" w:hAnsi="Arial" w:cs="Arial"/>
        </w:rPr>
        <w:t>population at this time point is not known</w:t>
      </w:r>
      <w:r w:rsidR="00183434" w:rsidRPr="00AA0C2E">
        <w:rPr>
          <w:rFonts w:ascii="Arial" w:hAnsi="Arial" w:cs="Arial"/>
        </w:rPr>
        <w:t>.</w:t>
      </w:r>
      <w:r w:rsidR="00EC55C9" w:rsidRPr="00AA0C2E">
        <w:rPr>
          <w:rFonts w:ascii="Arial" w:hAnsi="Arial" w:cs="Arial"/>
        </w:rPr>
        <w:t xml:space="preserve"> </w:t>
      </w:r>
    </w:p>
    <w:p w14:paraId="5EA11ECE" w14:textId="21C69B78" w:rsidR="00C03B54" w:rsidRDefault="00FD5858" w:rsidP="00C03B54">
      <w:pPr>
        <w:spacing w:before="120" w:after="120" w:line="360" w:lineRule="auto"/>
        <w:jc w:val="both"/>
      </w:pPr>
      <w:r w:rsidRPr="00AA0C2E">
        <w:rPr>
          <w:rFonts w:ascii="Arial" w:hAnsi="Arial" w:cs="Arial"/>
        </w:rPr>
        <w:lastRenderedPageBreak/>
        <w:t xml:space="preserve">Three clinical studies </w:t>
      </w:r>
      <w:r w:rsidR="00C1107B" w:rsidRPr="00AA0C2E">
        <w:rPr>
          <w:rFonts w:ascii="Arial" w:hAnsi="Arial" w:cs="Arial"/>
        </w:rPr>
        <w:t>for this indication (</w:t>
      </w:r>
      <w:r w:rsidR="00C1107B" w:rsidRPr="00AA0C2E">
        <w:rPr>
          <w:rFonts w:ascii="Arial" w:hAnsi="Arial" w:cs="Arial"/>
        </w:rPr>
        <w:fldChar w:fldCharType="begin"/>
      </w:r>
      <w:r w:rsidR="00C1107B" w:rsidRPr="00AA0C2E">
        <w:rPr>
          <w:rFonts w:ascii="Arial" w:hAnsi="Arial" w:cs="Arial"/>
        </w:rPr>
        <w:instrText xml:space="preserve"> REF _Ref416539949 \h  \* MERGEFORMAT </w:instrText>
      </w:r>
      <w:r w:rsidR="00C1107B" w:rsidRPr="00AA0C2E">
        <w:rPr>
          <w:rFonts w:ascii="Arial" w:hAnsi="Arial" w:cs="Arial"/>
        </w:rPr>
      </w:r>
      <w:r w:rsidR="00C1107B" w:rsidRPr="00AA0C2E">
        <w:rPr>
          <w:rFonts w:ascii="Arial" w:hAnsi="Arial" w:cs="Arial"/>
        </w:rPr>
        <w:fldChar w:fldCharType="separate"/>
      </w:r>
      <w:r w:rsidR="00710C32" w:rsidRPr="00710C32">
        <w:rPr>
          <w:rFonts w:ascii="Arial" w:hAnsi="Arial" w:cs="Arial"/>
        </w:rPr>
        <w:t>Table 1</w:t>
      </w:r>
      <w:r w:rsidR="00C1107B" w:rsidRPr="00AA0C2E">
        <w:rPr>
          <w:rFonts w:ascii="Arial" w:hAnsi="Arial" w:cs="Arial"/>
        </w:rPr>
        <w:fldChar w:fldCharType="end"/>
      </w:r>
      <w:r w:rsidR="00C1107B" w:rsidRPr="00AA0C2E">
        <w:rPr>
          <w:rFonts w:ascii="Arial" w:hAnsi="Arial" w:cs="Arial"/>
        </w:rPr>
        <w:t>)</w:t>
      </w:r>
      <w:r w:rsidR="00EB32DC" w:rsidRPr="00AA0C2E">
        <w:rPr>
          <w:rFonts w:ascii="Arial" w:hAnsi="Arial" w:cs="Arial"/>
        </w:rPr>
        <w:t xml:space="preserve"> </w:t>
      </w:r>
      <w:r w:rsidR="000D297A" w:rsidRPr="00AA0C2E">
        <w:rPr>
          <w:rFonts w:ascii="Arial" w:hAnsi="Arial" w:cs="Arial"/>
        </w:rPr>
        <w:t xml:space="preserve">are in progress. The completed AURAEX and AURA2 studies </w:t>
      </w:r>
      <w:r w:rsidR="00EB32DC" w:rsidRPr="00AA0C2E">
        <w:rPr>
          <w:rFonts w:ascii="Arial" w:hAnsi="Arial" w:cs="Arial"/>
        </w:rPr>
        <w:t xml:space="preserve">will form the </w:t>
      </w:r>
      <w:r w:rsidR="000D297A" w:rsidRPr="00AA0C2E">
        <w:rPr>
          <w:rFonts w:ascii="Arial" w:hAnsi="Arial" w:cs="Arial"/>
        </w:rPr>
        <w:t xml:space="preserve">pivotal </w:t>
      </w:r>
      <w:r w:rsidR="00EB32DC" w:rsidRPr="00AA0C2E">
        <w:rPr>
          <w:rFonts w:ascii="Arial" w:hAnsi="Arial" w:cs="Arial"/>
        </w:rPr>
        <w:t>evidence base for regulatory and reimbursement dossiers.</w:t>
      </w:r>
      <w:r w:rsidR="00C4517A" w:rsidRPr="00AA0C2E">
        <w:rPr>
          <w:rFonts w:ascii="Arial" w:hAnsi="Arial" w:cs="Arial"/>
        </w:rPr>
        <w:t xml:space="preserve"> The randomised controlled study, AURA3 may not have reached the primary endpoint at the expected times of submission.</w:t>
      </w:r>
      <w:r w:rsidR="00C03B54">
        <w:rPr>
          <w:rFonts w:ascii="Arial" w:hAnsi="Arial" w:cs="Arial"/>
        </w:rPr>
        <w:t xml:space="preserve"> </w:t>
      </w:r>
      <w:r w:rsidR="00C03B54" w:rsidRPr="008D07C5">
        <w:rPr>
          <w:rFonts w:ascii="Arial" w:hAnsi="Arial" w:cs="Arial"/>
        </w:rPr>
        <w:t>PASC noted that from these studies the evidence to be submitted should enable MSAC to assess both the clinical validity of the T790M test to inform prognosis and the clinical utility of the T790M test to predict variation in the effectiveness of AZ9291.</w:t>
      </w:r>
    </w:p>
    <w:p w14:paraId="1D83B559" w14:textId="77777777" w:rsidR="00C03B54" w:rsidRPr="00AA0C2E" w:rsidRDefault="00C03B54" w:rsidP="008B2295">
      <w:pPr>
        <w:spacing w:before="120" w:after="120" w:line="360" w:lineRule="auto"/>
        <w:jc w:val="both"/>
        <w:rPr>
          <w:rFonts w:ascii="Arial" w:hAnsi="Arial" w:cs="Arial"/>
        </w:rPr>
      </w:pPr>
    </w:p>
    <w:p w14:paraId="48485647" w14:textId="555A043A" w:rsidR="00C62866" w:rsidRPr="00DC5151" w:rsidRDefault="00C1107B" w:rsidP="00217729">
      <w:pPr>
        <w:pStyle w:val="Caption"/>
        <w:ind w:left="0" w:firstLine="0"/>
      </w:pPr>
      <w:bookmarkStart w:id="1" w:name="_Ref416539949"/>
      <w:r>
        <w:t xml:space="preserve">Table </w:t>
      </w:r>
      <w:r>
        <w:fldChar w:fldCharType="begin"/>
      </w:r>
      <w:r>
        <w:instrText xml:space="preserve"> SEQ Table \* ARABIC </w:instrText>
      </w:r>
      <w:r>
        <w:fldChar w:fldCharType="separate"/>
      </w:r>
      <w:r w:rsidR="00710C32">
        <w:rPr>
          <w:noProof/>
        </w:rPr>
        <w:t>1</w:t>
      </w:r>
      <w:r>
        <w:fldChar w:fldCharType="end"/>
      </w:r>
      <w:bookmarkEnd w:id="1"/>
      <w:r w:rsidR="00C62866" w:rsidRPr="008D5689">
        <w:rPr>
          <w:color w:val="244061" w:themeColor="accent1" w:themeShade="80"/>
        </w:rPr>
        <w:t xml:space="preserve"> </w:t>
      </w:r>
      <w:r w:rsidR="00C4517A" w:rsidRPr="00DC5151">
        <w:t>C</w:t>
      </w:r>
      <w:r w:rsidR="00C62866" w:rsidRPr="00DC5151">
        <w:t xml:space="preserve">linical </w:t>
      </w:r>
      <w:r w:rsidR="00C4517A" w:rsidRPr="00DC5151">
        <w:t>studies of</w:t>
      </w:r>
      <w:r w:rsidR="00C62866" w:rsidRPr="00DC5151">
        <w:t xml:space="preserve"> </w:t>
      </w:r>
      <w:r w:rsidR="00312075">
        <w:t>AZD9291</w:t>
      </w:r>
      <w:r w:rsidR="00691ED8" w:rsidRPr="00DC5151">
        <w:t xml:space="preserve"> in </w:t>
      </w:r>
      <w:r w:rsidR="00217729" w:rsidRPr="00DC5151">
        <w:t>≥</w:t>
      </w:r>
      <w:r w:rsidR="00691ED8" w:rsidRPr="00DC5151">
        <w:t xml:space="preserve">2nd-line treatment of T790M+ </w:t>
      </w:r>
      <w:proofErr w:type="spellStart"/>
      <w:r w:rsidR="00C4517A" w:rsidRPr="00DC5151">
        <w:t>EGFRm</w:t>
      </w:r>
      <w:proofErr w:type="spellEnd"/>
      <w:r w:rsidR="00C4517A" w:rsidRPr="00DC5151">
        <w:t xml:space="preserve"> locally advanced or metastatic </w:t>
      </w:r>
      <w:r w:rsidR="00691ED8" w:rsidRPr="00DC5151">
        <w:t>NSCLC</w:t>
      </w:r>
    </w:p>
    <w:tbl>
      <w:tblPr>
        <w:tblStyle w:val="LightGrid-Accent1"/>
        <w:tblW w:w="9356" w:type="dxa"/>
        <w:tblInd w:w="-294" w:type="dxa"/>
        <w:tblLook w:val="04A0" w:firstRow="1" w:lastRow="0" w:firstColumn="1" w:lastColumn="0" w:noHBand="0" w:noVBand="1"/>
        <w:tblCaption w:val="Table 1 Clinical studies of AZD9291 in ≥2nd-line treatment of T790M+ EGFRm locally advanced or metastatic NSCLC"/>
      </w:tblPr>
      <w:tblGrid>
        <w:gridCol w:w="3609"/>
        <w:gridCol w:w="1397"/>
        <w:gridCol w:w="1412"/>
        <w:gridCol w:w="1411"/>
        <w:gridCol w:w="1527"/>
      </w:tblGrid>
      <w:tr w:rsidR="00661663" w:rsidRPr="00E83EBD" w14:paraId="27406909" w14:textId="77777777" w:rsidTr="00DF67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9" w:type="dxa"/>
          </w:tcPr>
          <w:p w14:paraId="1A22C1A1" w14:textId="77777777" w:rsidR="00661663" w:rsidRPr="00E83EBD" w:rsidRDefault="00661663" w:rsidP="00FD5858">
            <w:pPr>
              <w:jc w:val="right"/>
              <w:rPr>
                <w:rFonts w:ascii="Arial" w:hAnsi="Arial" w:cs="Arial"/>
                <w:color w:val="1F497D" w:themeColor="text2"/>
                <w:sz w:val="18"/>
                <w:szCs w:val="18"/>
              </w:rPr>
            </w:pPr>
            <w:r w:rsidRPr="00E83EBD">
              <w:rPr>
                <w:rFonts w:ascii="Arial" w:hAnsi="Arial" w:cs="Arial"/>
                <w:color w:val="1F497D" w:themeColor="text2"/>
                <w:sz w:val="18"/>
                <w:szCs w:val="18"/>
              </w:rPr>
              <w:t>STUDY</w:t>
            </w:r>
          </w:p>
          <w:p w14:paraId="426AFD2D" w14:textId="79611A68" w:rsidR="00661663" w:rsidRPr="00E83EBD" w:rsidRDefault="00661663">
            <w:pPr>
              <w:tabs>
                <w:tab w:val="left" w:pos="2087"/>
              </w:tabs>
              <w:rPr>
                <w:rFonts w:ascii="Arial" w:hAnsi="Arial" w:cs="Arial"/>
                <w:color w:val="1F497D" w:themeColor="text2"/>
                <w:sz w:val="18"/>
                <w:szCs w:val="18"/>
              </w:rPr>
            </w:pPr>
            <w:r w:rsidRPr="00E83EBD">
              <w:rPr>
                <w:rFonts w:ascii="Arial" w:hAnsi="Arial" w:cs="Arial"/>
                <w:color w:val="1F497D" w:themeColor="text2"/>
                <w:sz w:val="18"/>
                <w:szCs w:val="18"/>
              </w:rPr>
              <w:t>Criteria(Protocol date)</w:t>
            </w:r>
          </w:p>
        </w:tc>
        <w:tc>
          <w:tcPr>
            <w:tcW w:w="1397" w:type="dxa"/>
          </w:tcPr>
          <w:p w14:paraId="1D7F9053" w14:textId="77777777" w:rsidR="00661663" w:rsidRPr="00E83EBD" w:rsidRDefault="00661663" w:rsidP="00C6286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AURAEX</w:t>
            </w:r>
            <w:r w:rsidRPr="00E83EBD">
              <w:rPr>
                <w:rFonts w:ascii="Arial" w:hAnsi="Arial" w:cs="Arial"/>
                <w:color w:val="1F497D" w:themeColor="text2"/>
                <w:sz w:val="18"/>
                <w:szCs w:val="18"/>
                <w:vertAlign w:val="superscript"/>
              </w:rPr>
              <w:t>ⱡ</w:t>
            </w:r>
            <w:r w:rsidRPr="00E83EBD">
              <w:rPr>
                <w:rFonts w:ascii="Arial" w:hAnsi="Arial" w:cs="Arial"/>
                <w:color w:val="1F497D" w:themeColor="text2"/>
                <w:sz w:val="18"/>
                <w:szCs w:val="18"/>
              </w:rPr>
              <w:t xml:space="preserve"> </w:t>
            </w:r>
          </w:p>
          <w:p w14:paraId="41D085FC" w14:textId="77777777" w:rsidR="00661663" w:rsidRPr="00E83EBD" w:rsidRDefault="00661663" w:rsidP="00C6286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(Feb 2014)</w:t>
            </w:r>
          </w:p>
        </w:tc>
        <w:tc>
          <w:tcPr>
            <w:tcW w:w="1412" w:type="dxa"/>
          </w:tcPr>
          <w:p w14:paraId="77B0F979" w14:textId="77777777" w:rsidR="00661663" w:rsidRPr="00E83EBD" w:rsidRDefault="00661663" w:rsidP="00EA5C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 xml:space="preserve">AURA2 </w:t>
            </w:r>
          </w:p>
          <w:p w14:paraId="5B5F8A7F" w14:textId="77777777" w:rsidR="00661663" w:rsidRPr="00E83EBD" w:rsidRDefault="00661663" w:rsidP="00EA5C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(Sep 2014)</w:t>
            </w:r>
          </w:p>
        </w:tc>
        <w:tc>
          <w:tcPr>
            <w:tcW w:w="1411" w:type="dxa"/>
          </w:tcPr>
          <w:p w14:paraId="7B510792" w14:textId="77777777" w:rsidR="00661663" w:rsidRPr="00E83EBD" w:rsidRDefault="00661663" w:rsidP="00EA5C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 xml:space="preserve">AURA3 </w:t>
            </w:r>
          </w:p>
          <w:p w14:paraId="6E9C5948" w14:textId="77777777" w:rsidR="00661663" w:rsidRPr="00E83EBD" w:rsidRDefault="00661663" w:rsidP="00EA5C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(Dec 2014)</w:t>
            </w:r>
          </w:p>
        </w:tc>
        <w:tc>
          <w:tcPr>
            <w:tcW w:w="1527" w:type="dxa"/>
            <w:shd w:val="clear" w:color="auto" w:fill="DDD9C3" w:themeFill="background2" w:themeFillShade="E6"/>
          </w:tcPr>
          <w:p w14:paraId="7F1A1910" w14:textId="77777777" w:rsidR="00661663" w:rsidRPr="00E83EBD" w:rsidRDefault="00661663" w:rsidP="00EA5C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 xml:space="preserve">#1407 </w:t>
            </w:r>
            <w:r w:rsidR="00DF67C7">
              <w:rPr>
                <w:rFonts w:ascii="Arial" w:hAnsi="Arial" w:cs="Arial"/>
                <w:color w:val="1F497D" w:themeColor="text2"/>
                <w:sz w:val="18"/>
                <w:szCs w:val="18"/>
              </w:rPr>
              <w:t xml:space="preserve">proposed </w:t>
            </w:r>
            <w:r w:rsidRPr="00E83EBD">
              <w:rPr>
                <w:rFonts w:ascii="Arial" w:hAnsi="Arial" w:cs="Arial"/>
                <w:color w:val="1F497D" w:themeColor="text2"/>
                <w:sz w:val="18"/>
                <w:szCs w:val="18"/>
              </w:rPr>
              <w:t>population</w:t>
            </w:r>
          </w:p>
        </w:tc>
      </w:tr>
      <w:tr w:rsidR="00661663" w:rsidRPr="00E83EBD" w14:paraId="69B109E0"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6D0A393C" w14:textId="77777777" w:rsidR="00661663" w:rsidRPr="00E83EBD" w:rsidRDefault="00661663" w:rsidP="00EB32DC">
            <w:pPr>
              <w:rPr>
                <w:rFonts w:ascii="Arial" w:hAnsi="Arial" w:cs="Arial"/>
                <w:b w:val="0"/>
                <w:color w:val="1F497D" w:themeColor="text2"/>
                <w:sz w:val="18"/>
                <w:szCs w:val="18"/>
              </w:rPr>
            </w:pPr>
            <w:r w:rsidRPr="00E83EBD">
              <w:rPr>
                <w:rFonts w:ascii="Arial" w:hAnsi="Arial" w:cs="Arial"/>
                <w:b w:val="0"/>
                <w:color w:val="1F497D" w:themeColor="text2"/>
                <w:sz w:val="18"/>
                <w:szCs w:val="18"/>
              </w:rPr>
              <w:t>AZ Study code</w:t>
            </w:r>
          </w:p>
        </w:tc>
        <w:tc>
          <w:tcPr>
            <w:tcW w:w="1397" w:type="dxa"/>
          </w:tcPr>
          <w:p w14:paraId="3C42B120" w14:textId="77777777" w:rsidR="00661663" w:rsidRPr="00E83EBD" w:rsidRDefault="00661663" w:rsidP="00C62866">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1F497D" w:themeColor="text2"/>
                <w:sz w:val="18"/>
                <w:szCs w:val="18"/>
              </w:rPr>
            </w:pPr>
            <w:r w:rsidRPr="00E83EBD">
              <w:rPr>
                <w:rFonts w:ascii="Arial" w:eastAsiaTheme="majorEastAsia" w:hAnsi="Arial" w:cs="Arial"/>
                <w:bCs/>
                <w:color w:val="1F497D" w:themeColor="text2"/>
                <w:sz w:val="18"/>
                <w:szCs w:val="18"/>
              </w:rPr>
              <w:t>D5160C00001</w:t>
            </w:r>
          </w:p>
        </w:tc>
        <w:tc>
          <w:tcPr>
            <w:tcW w:w="1412" w:type="dxa"/>
          </w:tcPr>
          <w:p w14:paraId="6591FC0E" w14:textId="77777777" w:rsidR="00661663" w:rsidRPr="00E83EBD" w:rsidRDefault="00661663" w:rsidP="00C62866">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1F497D" w:themeColor="text2"/>
                <w:sz w:val="18"/>
                <w:szCs w:val="18"/>
              </w:rPr>
            </w:pPr>
            <w:r w:rsidRPr="00E83EBD">
              <w:rPr>
                <w:rFonts w:ascii="Arial" w:eastAsiaTheme="majorEastAsia" w:hAnsi="Arial" w:cs="Arial"/>
                <w:bCs/>
                <w:color w:val="1F497D" w:themeColor="text2"/>
                <w:sz w:val="18"/>
                <w:szCs w:val="18"/>
              </w:rPr>
              <w:t>D5160C00002</w:t>
            </w:r>
          </w:p>
        </w:tc>
        <w:tc>
          <w:tcPr>
            <w:tcW w:w="1411" w:type="dxa"/>
          </w:tcPr>
          <w:p w14:paraId="2C7F805A" w14:textId="77777777" w:rsidR="00661663" w:rsidRPr="00E83EBD" w:rsidRDefault="00661663" w:rsidP="00C62866">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1F497D" w:themeColor="text2"/>
                <w:sz w:val="18"/>
                <w:szCs w:val="18"/>
              </w:rPr>
            </w:pPr>
            <w:r w:rsidRPr="00E83EBD">
              <w:rPr>
                <w:rFonts w:ascii="Arial" w:eastAsiaTheme="majorEastAsia" w:hAnsi="Arial" w:cs="Arial"/>
                <w:bCs/>
                <w:color w:val="1F497D" w:themeColor="text2"/>
                <w:sz w:val="18"/>
                <w:szCs w:val="18"/>
              </w:rPr>
              <w:t>D5160C00003</w:t>
            </w:r>
          </w:p>
        </w:tc>
        <w:tc>
          <w:tcPr>
            <w:tcW w:w="1527" w:type="dxa"/>
            <w:shd w:val="clear" w:color="auto" w:fill="DDD9C3" w:themeFill="background2" w:themeFillShade="E6"/>
          </w:tcPr>
          <w:p w14:paraId="326BB950" w14:textId="77777777" w:rsidR="00661663" w:rsidRPr="00E83EBD" w:rsidRDefault="00217729" w:rsidP="00C62866">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1F497D" w:themeColor="text2"/>
                <w:sz w:val="18"/>
                <w:szCs w:val="18"/>
              </w:rPr>
            </w:pPr>
            <w:r w:rsidRPr="00E83EBD">
              <w:rPr>
                <w:rFonts w:ascii="Arial" w:eastAsiaTheme="majorEastAsia" w:hAnsi="Arial" w:cs="Arial"/>
                <w:bCs/>
                <w:color w:val="1F497D" w:themeColor="text2"/>
                <w:sz w:val="18"/>
                <w:szCs w:val="18"/>
              </w:rPr>
              <w:t>-</w:t>
            </w:r>
          </w:p>
        </w:tc>
      </w:tr>
      <w:tr w:rsidR="00661663" w:rsidRPr="00E83EBD" w14:paraId="1F9BB4A1"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47D4D215" w14:textId="77777777" w:rsidR="00661663" w:rsidRPr="00E83EBD" w:rsidRDefault="00661663" w:rsidP="00F0684F">
            <w:pPr>
              <w:rPr>
                <w:rFonts w:ascii="Arial" w:hAnsi="Arial" w:cs="Arial"/>
                <w:b w:val="0"/>
                <w:color w:val="1F497D" w:themeColor="text2"/>
                <w:sz w:val="18"/>
                <w:szCs w:val="18"/>
              </w:rPr>
            </w:pPr>
            <w:r w:rsidRPr="00E83EBD">
              <w:rPr>
                <w:rFonts w:ascii="Arial" w:hAnsi="Arial" w:cs="Arial"/>
                <w:b w:val="0"/>
                <w:color w:val="1F497D" w:themeColor="text2"/>
                <w:sz w:val="18"/>
                <w:szCs w:val="18"/>
              </w:rPr>
              <w:t>NCT number (www.clinicaltrials.gov)</w:t>
            </w:r>
          </w:p>
        </w:tc>
        <w:tc>
          <w:tcPr>
            <w:tcW w:w="1397" w:type="dxa"/>
          </w:tcPr>
          <w:p w14:paraId="4A8C4532" w14:textId="77777777" w:rsidR="00661663" w:rsidRPr="00E83EBD" w:rsidRDefault="00661663" w:rsidP="00C62866">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color w:val="1F497D" w:themeColor="text2"/>
                <w:sz w:val="18"/>
                <w:szCs w:val="18"/>
              </w:rPr>
            </w:pPr>
            <w:r w:rsidRPr="00E83EBD">
              <w:rPr>
                <w:rFonts w:ascii="Arial" w:eastAsiaTheme="majorEastAsia" w:hAnsi="Arial" w:cs="Arial"/>
                <w:bCs/>
                <w:color w:val="1F497D" w:themeColor="text2"/>
                <w:sz w:val="18"/>
                <w:szCs w:val="18"/>
              </w:rPr>
              <w:t>NCT01802632</w:t>
            </w:r>
          </w:p>
        </w:tc>
        <w:tc>
          <w:tcPr>
            <w:tcW w:w="1412" w:type="dxa"/>
          </w:tcPr>
          <w:p w14:paraId="024779A4" w14:textId="77777777" w:rsidR="00661663" w:rsidRPr="00E83EBD" w:rsidRDefault="00661663" w:rsidP="00C62866">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color w:val="1F497D" w:themeColor="text2"/>
                <w:sz w:val="18"/>
                <w:szCs w:val="18"/>
              </w:rPr>
            </w:pPr>
            <w:r w:rsidRPr="00E83EBD">
              <w:rPr>
                <w:rFonts w:ascii="Arial" w:eastAsiaTheme="majorEastAsia" w:hAnsi="Arial" w:cs="Arial"/>
                <w:bCs/>
                <w:color w:val="1F497D" w:themeColor="text2"/>
                <w:sz w:val="18"/>
                <w:szCs w:val="18"/>
              </w:rPr>
              <w:t>NCT02094261</w:t>
            </w:r>
          </w:p>
        </w:tc>
        <w:tc>
          <w:tcPr>
            <w:tcW w:w="1411" w:type="dxa"/>
          </w:tcPr>
          <w:p w14:paraId="0B124054" w14:textId="77777777" w:rsidR="00661663" w:rsidRPr="00E83EBD" w:rsidRDefault="00661663" w:rsidP="00C62866">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color w:val="1F497D" w:themeColor="text2"/>
                <w:sz w:val="18"/>
                <w:szCs w:val="18"/>
              </w:rPr>
            </w:pPr>
            <w:r w:rsidRPr="00E83EBD">
              <w:rPr>
                <w:rFonts w:ascii="Arial" w:eastAsiaTheme="majorEastAsia" w:hAnsi="Arial" w:cs="Arial"/>
                <w:bCs/>
                <w:color w:val="1F497D" w:themeColor="text2"/>
                <w:sz w:val="18"/>
                <w:szCs w:val="18"/>
              </w:rPr>
              <w:t>NCT02151981</w:t>
            </w:r>
          </w:p>
        </w:tc>
        <w:tc>
          <w:tcPr>
            <w:tcW w:w="1527" w:type="dxa"/>
            <w:shd w:val="clear" w:color="auto" w:fill="DDD9C3" w:themeFill="background2" w:themeFillShade="E6"/>
          </w:tcPr>
          <w:p w14:paraId="563A8F63" w14:textId="77777777" w:rsidR="00661663" w:rsidRPr="00E83EBD" w:rsidRDefault="00217729" w:rsidP="00C62866">
            <w:pPr>
              <w:jc w:val="cente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color w:val="1F497D" w:themeColor="text2"/>
                <w:sz w:val="18"/>
                <w:szCs w:val="18"/>
              </w:rPr>
            </w:pPr>
            <w:r w:rsidRPr="00E83EBD">
              <w:rPr>
                <w:rFonts w:ascii="Arial" w:eastAsiaTheme="majorEastAsia" w:hAnsi="Arial" w:cs="Arial"/>
                <w:bCs/>
                <w:color w:val="1F497D" w:themeColor="text2"/>
                <w:sz w:val="18"/>
                <w:szCs w:val="18"/>
              </w:rPr>
              <w:t>-</w:t>
            </w:r>
          </w:p>
        </w:tc>
      </w:tr>
      <w:tr w:rsidR="00661663" w:rsidRPr="00E83EBD" w14:paraId="7FC8143E"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336D4FB8" w14:textId="77777777" w:rsidR="00661663" w:rsidRPr="00E83EBD" w:rsidRDefault="00661663" w:rsidP="00F0684F">
            <w:pPr>
              <w:rPr>
                <w:rFonts w:ascii="Arial" w:hAnsi="Arial" w:cs="Arial"/>
                <w:b w:val="0"/>
                <w:color w:val="1F497D" w:themeColor="text2"/>
                <w:sz w:val="18"/>
                <w:szCs w:val="18"/>
              </w:rPr>
            </w:pPr>
            <w:r w:rsidRPr="00E83EBD">
              <w:rPr>
                <w:rFonts w:ascii="Arial" w:hAnsi="Arial" w:cs="Arial"/>
                <w:b w:val="0"/>
                <w:color w:val="1F497D" w:themeColor="text2"/>
                <w:sz w:val="18"/>
                <w:szCs w:val="18"/>
              </w:rPr>
              <w:t>Study design</w:t>
            </w:r>
          </w:p>
        </w:tc>
        <w:tc>
          <w:tcPr>
            <w:tcW w:w="1397" w:type="dxa"/>
          </w:tcPr>
          <w:p w14:paraId="03980769" w14:textId="77777777" w:rsidR="00661663" w:rsidRPr="00E83EBD" w:rsidRDefault="00661663"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Single-arm</w:t>
            </w:r>
          </w:p>
          <w:p w14:paraId="7A60F825" w14:textId="77777777" w:rsidR="00661663" w:rsidRPr="00E83EBD" w:rsidRDefault="00661663"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Open-label</w:t>
            </w:r>
          </w:p>
        </w:tc>
        <w:tc>
          <w:tcPr>
            <w:tcW w:w="1412" w:type="dxa"/>
          </w:tcPr>
          <w:p w14:paraId="751C9BB3" w14:textId="77777777" w:rsidR="00661663" w:rsidRPr="00E83EBD" w:rsidRDefault="00661663"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Single-arm</w:t>
            </w:r>
          </w:p>
          <w:p w14:paraId="658E1065" w14:textId="77777777" w:rsidR="00661663" w:rsidRPr="00E83EBD" w:rsidRDefault="00661663"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Open-label</w:t>
            </w:r>
          </w:p>
        </w:tc>
        <w:tc>
          <w:tcPr>
            <w:tcW w:w="1411" w:type="dxa"/>
          </w:tcPr>
          <w:p w14:paraId="1617E1F6" w14:textId="77777777" w:rsidR="00661663" w:rsidRPr="00E83EBD" w:rsidRDefault="00661663"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Randomised</w:t>
            </w:r>
          </w:p>
          <w:p w14:paraId="2D446A18" w14:textId="77777777" w:rsidR="00661663" w:rsidRPr="00E83EBD" w:rsidRDefault="00661663"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Double-blind</w:t>
            </w:r>
          </w:p>
        </w:tc>
        <w:tc>
          <w:tcPr>
            <w:tcW w:w="1527" w:type="dxa"/>
            <w:shd w:val="clear" w:color="auto" w:fill="DDD9C3" w:themeFill="background2" w:themeFillShade="E6"/>
          </w:tcPr>
          <w:p w14:paraId="34A6D863" w14:textId="77777777" w:rsidR="00661663" w:rsidRPr="00E83EBD" w:rsidRDefault="00217729"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w:t>
            </w:r>
          </w:p>
        </w:tc>
      </w:tr>
      <w:tr w:rsidR="00DF67C7" w:rsidRPr="00E83EBD" w14:paraId="57CB8676"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39BD9D43" w14:textId="77777777" w:rsidR="00DF67C7" w:rsidRPr="00E83EBD" w:rsidRDefault="00DF67C7" w:rsidP="00F0684F">
            <w:pPr>
              <w:rPr>
                <w:rFonts w:ascii="Arial" w:hAnsi="Arial" w:cs="Arial"/>
                <w:b w:val="0"/>
                <w:color w:val="1F497D" w:themeColor="text2"/>
                <w:sz w:val="18"/>
                <w:szCs w:val="18"/>
              </w:rPr>
            </w:pPr>
            <w:r w:rsidRPr="00E83EBD">
              <w:rPr>
                <w:rFonts w:ascii="Arial" w:hAnsi="Arial" w:cs="Arial"/>
                <w:b w:val="0"/>
                <w:color w:val="1F497D" w:themeColor="text2"/>
                <w:sz w:val="18"/>
                <w:szCs w:val="18"/>
              </w:rPr>
              <w:t>Study drug dose and frequency</w:t>
            </w:r>
          </w:p>
        </w:tc>
        <w:tc>
          <w:tcPr>
            <w:tcW w:w="4220" w:type="dxa"/>
            <w:gridSpan w:val="3"/>
          </w:tcPr>
          <w:p w14:paraId="3A46EE3B" w14:textId="77777777" w:rsidR="00DF67C7" w:rsidRPr="00E83EBD" w:rsidRDefault="00DF67C7" w:rsidP="00C6286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80mg tablet once daily oral</w:t>
            </w:r>
          </w:p>
        </w:tc>
        <w:tc>
          <w:tcPr>
            <w:tcW w:w="1527" w:type="dxa"/>
            <w:shd w:val="clear" w:color="auto" w:fill="DDD9C3" w:themeFill="background2" w:themeFillShade="E6"/>
          </w:tcPr>
          <w:p w14:paraId="4E2E0D92" w14:textId="77777777" w:rsidR="00DF67C7" w:rsidRPr="00E83EBD" w:rsidRDefault="00DF67C7" w:rsidP="00C6286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Pr>
                <w:rFonts w:ascii="Arial" w:hAnsi="Arial" w:cs="Arial"/>
                <w:color w:val="1F497D" w:themeColor="text2"/>
                <w:sz w:val="18"/>
                <w:szCs w:val="18"/>
              </w:rPr>
              <w:t>80mg daily</w:t>
            </w:r>
          </w:p>
        </w:tc>
      </w:tr>
      <w:tr w:rsidR="00661663" w:rsidRPr="00E83EBD" w14:paraId="129C9772"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35F23057" w14:textId="77777777" w:rsidR="00661663" w:rsidRPr="00E83EBD" w:rsidRDefault="00661663" w:rsidP="00C62866">
            <w:pPr>
              <w:rPr>
                <w:rFonts w:ascii="Arial" w:hAnsi="Arial" w:cs="Arial"/>
                <w:b w:val="0"/>
                <w:color w:val="1F497D" w:themeColor="text2"/>
                <w:sz w:val="18"/>
                <w:szCs w:val="18"/>
              </w:rPr>
            </w:pPr>
            <w:r w:rsidRPr="00E83EBD">
              <w:rPr>
                <w:rFonts w:ascii="Arial" w:hAnsi="Arial" w:cs="Arial"/>
                <w:b w:val="0"/>
                <w:color w:val="1F497D" w:themeColor="text2"/>
                <w:sz w:val="18"/>
                <w:szCs w:val="18"/>
              </w:rPr>
              <w:t>Subject numbers (n)</w:t>
            </w:r>
          </w:p>
        </w:tc>
        <w:tc>
          <w:tcPr>
            <w:tcW w:w="1397" w:type="dxa"/>
          </w:tcPr>
          <w:p w14:paraId="27353A6C" w14:textId="77777777" w:rsidR="00661663" w:rsidRPr="00E83EBD" w:rsidRDefault="00733D45"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201</w:t>
            </w:r>
          </w:p>
        </w:tc>
        <w:tc>
          <w:tcPr>
            <w:tcW w:w="1412" w:type="dxa"/>
          </w:tcPr>
          <w:p w14:paraId="400EF948" w14:textId="77777777" w:rsidR="00661663" w:rsidRPr="00E83EBD" w:rsidRDefault="00733D45"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210</w:t>
            </w:r>
          </w:p>
          <w:p w14:paraId="197E13E7" w14:textId="77777777" w:rsidR="00C4517A" w:rsidRPr="00E83EBD" w:rsidRDefault="00661663" w:rsidP="00C4517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[ 2</w:t>
            </w:r>
            <w:r w:rsidRPr="00E83EBD">
              <w:rPr>
                <w:rFonts w:ascii="Arial" w:hAnsi="Arial" w:cs="Arial"/>
                <w:color w:val="1F497D" w:themeColor="text2"/>
                <w:sz w:val="18"/>
                <w:szCs w:val="18"/>
                <w:vertAlign w:val="superscript"/>
              </w:rPr>
              <w:t>nd</w:t>
            </w:r>
            <w:r w:rsidRPr="00E83EBD">
              <w:rPr>
                <w:rFonts w:ascii="Arial" w:hAnsi="Arial" w:cs="Arial"/>
                <w:color w:val="1F497D" w:themeColor="text2"/>
                <w:sz w:val="18"/>
                <w:szCs w:val="18"/>
              </w:rPr>
              <w:t>-line (n=</w:t>
            </w:r>
            <w:r w:rsidR="00733D45" w:rsidRPr="00E83EBD">
              <w:rPr>
                <w:rFonts w:ascii="Arial" w:hAnsi="Arial" w:cs="Arial"/>
                <w:color w:val="1F497D" w:themeColor="text2"/>
                <w:sz w:val="18"/>
                <w:szCs w:val="18"/>
              </w:rPr>
              <w:t>7</w:t>
            </w:r>
            <w:r w:rsidRPr="00E83EBD">
              <w:rPr>
                <w:rFonts w:ascii="Arial" w:hAnsi="Arial" w:cs="Arial"/>
                <w:color w:val="1F497D" w:themeColor="text2"/>
                <w:sz w:val="18"/>
                <w:szCs w:val="18"/>
              </w:rPr>
              <w:t>0);</w:t>
            </w:r>
          </w:p>
          <w:p w14:paraId="14CE491B" w14:textId="77777777" w:rsidR="00661663" w:rsidRPr="00E83EBD" w:rsidRDefault="00661663" w:rsidP="00733D4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&gt;2</w:t>
            </w:r>
            <w:r w:rsidRPr="00E83EBD">
              <w:rPr>
                <w:rFonts w:ascii="Arial" w:hAnsi="Arial" w:cs="Arial"/>
                <w:color w:val="1F497D" w:themeColor="text2"/>
                <w:sz w:val="18"/>
                <w:szCs w:val="18"/>
                <w:vertAlign w:val="superscript"/>
              </w:rPr>
              <w:t>nd</w:t>
            </w:r>
            <w:r w:rsidR="00733D45" w:rsidRPr="00E83EBD">
              <w:rPr>
                <w:rFonts w:ascii="Arial" w:hAnsi="Arial" w:cs="Arial"/>
                <w:color w:val="1F497D" w:themeColor="text2"/>
                <w:sz w:val="18"/>
                <w:szCs w:val="18"/>
              </w:rPr>
              <w:t>-line (n=140</w:t>
            </w:r>
            <w:r w:rsidRPr="00E83EBD">
              <w:rPr>
                <w:rFonts w:ascii="Arial" w:hAnsi="Arial" w:cs="Arial"/>
                <w:color w:val="1F497D" w:themeColor="text2"/>
                <w:sz w:val="18"/>
                <w:szCs w:val="18"/>
              </w:rPr>
              <w:t>)]</w:t>
            </w:r>
          </w:p>
        </w:tc>
        <w:tc>
          <w:tcPr>
            <w:tcW w:w="1411" w:type="dxa"/>
          </w:tcPr>
          <w:p w14:paraId="48D74F86" w14:textId="77777777" w:rsidR="00661663" w:rsidRPr="00E83EBD" w:rsidRDefault="00217729"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4</w:t>
            </w:r>
            <w:r w:rsidR="00733D45" w:rsidRPr="00E83EBD">
              <w:rPr>
                <w:rFonts w:ascii="Arial" w:hAnsi="Arial" w:cs="Arial"/>
                <w:color w:val="1F497D" w:themeColor="text2"/>
                <w:sz w:val="18"/>
                <w:szCs w:val="18"/>
              </w:rPr>
              <w:t>1</w:t>
            </w:r>
            <w:r w:rsidR="00661663" w:rsidRPr="00E83EBD">
              <w:rPr>
                <w:rFonts w:ascii="Arial" w:hAnsi="Arial" w:cs="Arial"/>
                <w:color w:val="1F497D" w:themeColor="text2"/>
                <w:sz w:val="18"/>
                <w:szCs w:val="18"/>
              </w:rPr>
              <w:t>0</w:t>
            </w:r>
          </w:p>
          <w:p w14:paraId="0712A2CC" w14:textId="77777777" w:rsidR="00661663" w:rsidRPr="00E83EBD" w:rsidRDefault="00661663" w:rsidP="00733D4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[study drug (n</w:t>
            </w:r>
            <w:r w:rsidR="00733D45" w:rsidRPr="00E83EBD">
              <w:rPr>
                <w:rFonts w:ascii="Arial" w:hAnsi="Arial" w:cs="Arial"/>
                <w:color w:val="1F497D" w:themeColor="text2"/>
                <w:sz w:val="18"/>
                <w:szCs w:val="18"/>
              </w:rPr>
              <w:t>~270</w:t>
            </w:r>
            <w:r w:rsidRPr="00E83EBD">
              <w:rPr>
                <w:rFonts w:ascii="Arial" w:hAnsi="Arial" w:cs="Arial"/>
                <w:color w:val="1F497D" w:themeColor="text2"/>
                <w:sz w:val="18"/>
                <w:szCs w:val="18"/>
              </w:rPr>
              <w:t>); doublet chemo (n</w:t>
            </w:r>
            <w:r w:rsidR="00217729" w:rsidRPr="00E83EBD">
              <w:rPr>
                <w:rFonts w:ascii="Arial" w:hAnsi="Arial" w:cs="Arial"/>
                <w:color w:val="1F497D" w:themeColor="text2"/>
                <w:sz w:val="18"/>
                <w:szCs w:val="18"/>
              </w:rPr>
              <w:t>~1</w:t>
            </w:r>
            <w:r w:rsidR="00733D45" w:rsidRPr="00E83EBD">
              <w:rPr>
                <w:rFonts w:ascii="Arial" w:hAnsi="Arial" w:cs="Arial"/>
                <w:color w:val="1F497D" w:themeColor="text2"/>
                <w:sz w:val="18"/>
                <w:szCs w:val="18"/>
              </w:rPr>
              <w:t>40</w:t>
            </w:r>
            <w:r w:rsidRPr="00E83EBD">
              <w:rPr>
                <w:rFonts w:ascii="Arial" w:hAnsi="Arial" w:cs="Arial"/>
                <w:color w:val="1F497D" w:themeColor="text2"/>
                <w:sz w:val="18"/>
                <w:szCs w:val="18"/>
              </w:rPr>
              <w:t>)]</w:t>
            </w:r>
          </w:p>
        </w:tc>
        <w:tc>
          <w:tcPr>
            <w:tcW w:w="1527" w:type="dxa"/>
            <w:shd w:val="clear" w:color="auto" w:fill="DDD9C3" w:themeFill="background2" w:themeFillShade="E6"/>
          </w:tcPr>
          <w:p w14:paraId="70FC1AC9" w14:textId="77777777" w:rsidR="00661663" w:rsidRPr="00E83EBD" w:rsidRDefault="00217729" w:rsidP="00C628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w:t>
            </w:r>
          </w:p>
        </w:tc>
      </w:tr>
      <w:tr w:rsidR="00661663" w:rsidRPr="00E83EBD" w14:paraId="0A3F5973"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1C6A9ECC" w14:textId="77777777" w:rsidR="00661663" w:rsidRPr="00E83EBD" w:rsidRDefault="00661663" w:rsidP="00F0684F">
            <w:pPr>
              <w:rPr>
                <w:rFonts w:ascii="Arial" w:hAnsi="Arial" w:cs="Arial"/>
                <w:b w:val="0"/>
                <w:color w:val="1F497D" w:themeColor="text2"/>
                <w:sz w:val="18"/>
                <w:szCs w:val="18"/>
              </w:rPr>
            </w:pPr>
            <w:r w:rsidRPr="00E83EBD">
              <w:rPr>
                <w:rFonts w:ascii="Arial" w:hAnsi="Arial" w:cs="Arial"/>
                <w:b w:val="0"/>
                <w:color w:val="1F497D" w:themeColor="text2"/>
                <w:sz w:val="18"/>
                <w:szCs w:val="18"/>
              </w:rPr>
              <w:t>Australian study sites (n)</w:t>
            </w:r>
          </w:p>
        </w:tc>
        <w:tc>
          <w:tcPr>
            <w:tcW w:w="1397" w:type="dxa"/>
          </w:tcPr>
          <w:p w14:paraId="415ABC4B" w14:textId="77777777" w:rsidR="00661663" w:rsidRPr="00E83EBD" w:rsidRDefault="00661663" w:rsidP="00C6286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3</w:t>
            </w:r>
          </w:p>
        </w:tc>
        <w:tc>
          <w:tcPr>
            <w:tcW w:w="1412" w:type="dxa"/>
          </w:tcPr>
          <w:p w14:paraId="50F66E53" w14:textId="1D3EF2DB" w:rsidR="00661663" w:rsidRPr="00E83EBD" w:rsidRDefault="009970D8" w:rsidP="00C6286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Pr>
                <w:rFonts w:ascii="Arial" w:hAnsi="Arial" w:cs="Arial"/>
                <w:color w:val="1F497D" w:themeColor="text2"/>
                <w:sz w:val="18"/>
                <w:szCs w:val="18"/>
              </w:rPr>
              <w:t>0</w:t>
            </w:r>
          </w:p>
        </w:tc>
        <w:tc>
          <w:tcPr>
            <w:tcW w:w="1411" w:type="dxa"/>
          </w:tcPr>
          <w:p w14:paraId="18F34145" w14:textId="77777777" w:rsidR="00661663" w:rsidRPr="00E83EBD" w:rsidRDefault="005B4F5F" w:rsidP="00C6286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5</w:t>
            </w:r>
          </w:p>
        </w:tc>
        <w:tc>
          <w:tcPr>
            <w:tcW w:w="1527" w:type="dxa"/>
            <w:shd w:val="clear" w:color="auto" w:fill="DDD9C3" w:themeFill="background2" w:themeFillShade="E6"/>
          </w:tcPr>
          <w:p w14:paraId="471BA2BF" w14:textId="77777777" w:rsidR="00661663" w:rsidRPr="00E83EBD" w:rsidRDefault="00217729" w:rsidP="00C6286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w:t>
            </w:r>
          </w:p>
        </w:tc>
      </w:tr>
      <w:tr w:rsidR="00661663" w:rsidRPr="00E83EBD" w14:paraId="7C7D95BA"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3B573F02" w14:textId="77777777" w:rsidR="00661663" w:rsidRPr="00E83EBD" w:rsidRDefault="00661663" w:rsidP="00F0684F">
            <w:pPr>
              <w:rPr>
                <w:rFonts w:ascii="Arial" w:hAnsi="Arial" w:cs="Arial"/>
                <w:color w:val="1F497D" w:themeColor="text2"/>
                <w:sz w:val="18"/>
                <w:szCs w:val="18"/>
              </w:rPr>
            </w:pPr>
            <w:r w:rsidRPr="00E83EBD">
              <w:rPr>
                <w:rFonts w:ascii="Arial" w:hAnsi="Arial" w:cs="Arial"/>
                <w:color w:val="1F497D" w:themeColor="text2"/>
                <w:sz w:val="18"/>
                <w:szCs w:val="18"/>
              </w:rPr>
              <w:t>Inclusion</w:t>
            </w:r>
          </w:p>
        </w:tc>
        <w:tc>
          <w:tcPr>
            <w:tcW w:w="1397" w:type="dxa"/>
          </w:tcPr>
          <w:p w14:paraId="1D190C57" w14:textId="77777777" w:rsidR="00661663" w:rsidRPr="00E83EBD" w:rsidRDefault="00661663" w:rsidP="00F0684F">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p>
        </w:tc>
        <w:tc>
          <w:tcPr>
            <w:tcW w:w="1412" w:type="dxa"/>
          </w:tcPr>
          <w:p w14:paraId="64FB2C90" w14:textId="77777777" w:rsidR="00661663" w:rsidRPr="00E83EBD" w:rsidRDefault="00661663" w:rsidP="00F0684F">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p>
        </w:tc>
        <w:tc>
          <w:tcPr>
            <w:tcW w:w="1411" w:type="dxa"/>
          </w:tcPr>
          <w:p w14:paraId="12E96AAE" w14:textId="77777777" w:rsidR="00661663" w:rsidRPr="00E83EBD" w:rsidRDefault="00661663" w:rsidP="00F0684F">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p>
        </w:tc>
        <w:tc>
          <w:tcPr>
            <w:tcW w:w="1527" w:type="dxa"/>
            <w:shd w:val="clear" w:color="auto" w:fill="DDD9C3" w:themeFill="background2" w:themeFillShade="E6"/>
          </w:tcPr>
          <w:p w14:paraId="1FAE4AF0" w14:textId="77777777" w:rsidR="00661663" w:rsidRPr="00E83EBD" w:rsidRDefault="00661663" w:rsidP="00F0684F">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p>
        </w:tc>
      </w:tr>
      <w:tr w:rsidR="00661663" w:rsidRPr="00E83EBD" w14:paraId="196DDF1C"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78E5F7C7" w14:textId="77777777" w:rsidR="00661663" w:rsidRPr="00E83EBD" w:rsidRDefault="00661663" w:rsidP="00F0684F">
            <w:pPr>
              <w:rPr>
                <w:rFonts w:ascii="Arial" w:hAnsi="Arial" w:cs="Arial"/>
                <w:b w:val="0"/>
                <w:color w:val="1F497D" w:themeColor="text2"/>
                <w:sz w:val="18"/>
                <w:szCs w:val="18"/>
              </w:rPr>
            </w:pPr>
            <w:r w:rsidRPr="00E83EBD">
              <w:rPr>
                <w:rFonts w:ascii="Arial" w:hAnsi="Arial" w:cs="Arial"/>
                <w:b w:val="0"/>
                <w:color w:val="1F497D" w:themeColor="text2"/>
                <w:sz w:val="18"/>
                <w:szCs w:val="18"/>
              </w:rPr>
              <w:t>Male or female, ≥18yrs</w:t>
            </w:r>
          </w:p>
        </w:tc>
        <w:tc>
          <w:tcPr>
            <w:tcW w:w="1397" w:type="dxa"/>
          </w:tcPr>
          <w:p w14:paraId="295F8D33"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2" w:type="dxa"/>
          </w:tcPr>
          <w:p w14:paraId="51B89366"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1" w:type="dxa"/>
          </w:tcPr>
          <w:p w14:paraId="30FBA0E6"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527" w:type="dxa"/>
            <w:shd w:val="clear" w:color="auto" w:fill="DDD9C3" w:themeFill="background2" w:themeFillShade="E6"/>
          </w:tcPr>
          <w:p w14:paraId="40586029"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r>
      <w:tr w:rsidR="00661663" w:rsidRPr="00E83EBD" w14:paraId="49E0B345"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27150353" w14:textId="77777777" w:rsidR="00661663" w:rsidRPr="00E83EBD" w:rsidRDefault="00661663" w:rsidP="00F0684F">
            <w:pPr>
              <w:rPr>
                <w:rFonts w:ascii="Arial" w:hAnsi="Arial" w:cs="Arial"/>
                <w:b w:val="0"/>
                <w:color w:val="1F497D" w:themeColor="text2"/>
                <w:sz w:val="18"/>
                <w:szCs w:val="18"/>
              </w:rPr>
            </w:pPr>
            <w:r w:rsidRPr="00E83EBD">
              <w:rPr>
                <w:rFonts w:ascii="Arial" w:hAnsi="Arial" w:cs="Arial"/>
                <w:b w:val="0"/>
                <w:color w:val="1F497D" w:themeColor="text2"/>
                <w:sz w:val="18"/>
                <w:szCs w:val="18"/>
              </w:rPr>
              <w:t>Histological or cytological confirmation of NSCLC</w:t>
            </w:r>
          </w:p>
        </w:tc>
        <w:tc>
          <w:tcPr>
            <w:tcW w:w="1397" w:type="dxa"/>
          </w:tcPr>
          <w:p w14:paraId="6C2D4BEF"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2" w:type="dxa"/>
          </w:tcPr>
          <w:p w14:paraId="20C7064A"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1" w:type="dxa"/>
          </w:tcPr>
          <w:p w14:paraId="0E48FF1B"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527" w:type="dxa"/>
            <w:shd w:val="clear" w:color="auto" w:fill="DDD9C3" w:themeFill="background2" w:themeFillShade="E6"/>
          </w:tcPr>
          <w:p w14:paraId="216F6775"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r>
      <w:tr w:rsidR="00661663" w:rsidRPr="00E83EBD" w14:paraId="0821603E"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4C4A27A5" w14:textId="77777777" w:rsidR="00661663" w:rsidRPr="00E83EBD" w:rsidRDefault="00661663" w:rsidP="00F0684F">
            <w:pPr>
              <w:rPr>
                <w:rFonts w:ascii="Arial" w:hAnsi="Arial" w:cs="Arial"/>
                <w:b w:val="0"/>
                <w:color w:val="1F497D" w:themeColor="text2"/>
                <w:sz w:val="18"/>
                <w:szCs w:val="18"/>
              </w:rPr>
            </w:pPr>
            <w:r w:rsidRPr="00E83EBD">
              <w:rPr>
                <w:rFonts w:ascii="Arial" w:hAnsi="Arial" w:cs="Arial"/>
                <w:b w:val="0"/>
                <w:color w:val="1F497D" w:themeColor="text2"/>
                <w:sz w:val="18"/>
                <w:szCs w:val="18"/>
              </w:rPr>
              <w:t>Locally advanced or metastatic NSCLC, not amenable to curative surgery or radiotherapy</w:t>
            </w:r>
          </w:p>
        </w:tc>
        <w:tc>
          <w:tcPr>
            <w:tcW w:w="1397" w:type="dxa"/>
          </w:tcPr>
          <w:p w14:paraId="53DFCD04"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2" w:type="dxa"/>
          </w:tcPr>
          <w:p w14:paraId="4BC8F7C1"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1" w:type="dxa"/>
          </w:tcPr>
          <w:p w14:paraId="77D59721"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527" w:type="dxa"/>
            <w:shd w:val="clear" w:color="auto" w:fill="DDD9C3" w:themeFill="background2" w:themeFillShade="E6"/>
          </w:tcPr>
          <w:p w14:paraId="5813BC08"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r>
      <w:tr w:rsidR="00661663" w:rsidRPr="00E83EBD" w14:paraId="1F180BBB"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0375DC21" w14:textId="77777777" w:rsidR="00661663" w:rsidRPr="00E83EBD" w:rsidRDefault="00661663" w:rsidP="00F0684F">
            <w:pPr>
              <w:rPr>
                <w:rFonts w:ascii="Arial" w:hAnsi="Arial" w:cs="Arial"/>
                <w:b w:val="0"/>
                <w:color w:val="1F497D" w:themeColor="text2"/>
                <w:sz w:val="18"/>
                <w:szCs w:val="18"/>
              </w:rPr>
            </w:pPr>
            <w:r w:rsidRPr="00E83EBD">
              <w:rPr>
                <w:rFonts w:ascii="Arial" w:hAnsi="Arial" w:cs="Arial"/>
                <w:b w:val="0"/>
                <w:color w:val="1F497D" w:themeColor="text2"/>
                <w:sz w:val="18"/>
                <w:szCs w:val="18"/>
              </w:rPr>
              <w:t>Radiological documentation of disease progression. All patients must have documented radiological progression on the last treatment administered prior to enrolling in the study. Either</w:t>
            </w:r>
          </w:p>
          <w:p w14:paraId="5B8A9AE7" w14:textId="77777777" w:rsidR="00661663" w:rsidRPr="00E83EBD" w:rsidRDefault="00661663" w:rsidP="00BC1F1C">
            <w:pPr>
              <w:pStyle w:val="ListParagraph"/>
              <w:numPr>
                <w:ilvl w:val="0"/>
                <w:numId w:val="4"/>
              </w:numPr>
              <w:rPr>
                <w:rFonts w:ascii="Arial" w:hAnsi="Arial" w:cs="Arial"/>
                <w:b w:val="0"/>
                <w:color w:val="1F497D" w:themeColor="text2"/>
                <w:sz w:val="18"/>
                <w:szCs w:val="18"/>
              </w:rPr>
            </w:pPr>
            <w:r w:rsidRPr="00E83EBD">
              <w:rPr>
                <w:rFonts w:ascii="Arial" w:hAnsi="Arial" w:cs="Arial"/>
                <w:b w:val="0"/>
                <w:color w:val="1F497D" w:themeColor="text2"/>
                <w:sz w:val="18"/>
                <w:szCs w:val="18"/>
              </w:rPr>
              <w:t>following 1</w:t>
            </w:r>
            <w:r w:rsidRPr="00E83EBD">
              <w:rPr>
                <w:rFonts w:ascii="Arial" w:hAnsi="Arial" w:cs="Arial"/>
                <w:b w:val="0"/>
                <w:color w:val="1F497D" w:themeColor="text2"/>
                <w:sz w:val="18"/>
                <w:szCs w:val="18"/>
                <w:vertAlign w:val="superscript"/>
              </w:rPr>
              <w:t>st</w:t>
            </w:r>
            <w:r w:rsidRPr="00E83EBD">
              <w:rPr>
                <w:rFonts w:ascii="Arial" w:hAnsi="Arial" w:cs="Arial"/>
                <w:b w:val="0"/>
                <w:color w:val="1F497D" w:themeColor="text2"/>
                <w:sz w:val="18"/>
                <w:szCs w:val="18"/>
              </w:rPr>
              <w:t xml:space="preserve">-line EGFR TKI treatment but who have not received further treatment </w:t>
            </w:r>
          </w:p>
          <w:p w14:paraId="6F65839B" w14:textId="77777777" w:rsidR="00661663" w:rsidRPr="00E83EBD" w:rsidRDefault="00661663" w:rsidP="00A97EA2">
            <w:pPr>
              <w:pStyle w:val="ListParagraph"/>
              <w:ind w:left="360"/>
              <w:rPr>
                <w:rFonts w:ascii="Arial" w:hAnsi="Arial" w:cs="Arial"/>
                <w:b w:val="0"/>
                <w:color w:val="1F497D" w:themeColor="text2"/>
                <w:sz w:val="18"/>
                <w:szCs w:val="18"/>
              </w:rPr>
            </w:pPr>
            <w:r w:rsidRPr="00E83EBD">
              <w:rPr>
                <w:rFonts w:ascii="Arial" w:hAnsi="Arial" w:cs="Arial"/>
                <w:b w:val="0"/>
                <w:color w:val="1F497D" w:themeColor="text2"/>
                <w:sz w:val="18"/>
                <w:szCs w:val="18"/>
              </w:rPr>
              <w:t>OR</w:t>
            </w:r>
          </w:p>
        </w:tc>
        <w:tc>
          <w:tcPr>
            <w:tcW w:w="1397" w:type="dxa"/>
          </w:tcPr>
          <w:p w14:paraId="2476BC88"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7A2B848B" w14:textId="77777777" w:rsidR="006F7A61" w:rsidRPr="006F7A61" w:rsidRDefault="006F7A61"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72"/>
                <w:szCs w:val="72"/>
              </w:rPr>
            </w:pPr>
          </w:p>
          <w:p w14:paraId="7288D236"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Second-line</w:t>
            </w:r>
          </w:p>
        </w:tc>
        <w:tc>
          <w:tcPr>
            <w:tcW w:w="1412" w:type="dxa"/>
          </w:tcPr>
          <w:p w14:paraId="05F55C6E"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30E79059" w14:textId="77777777" w:rsidR="006F7A61" w:rsidRPr="006F7A61" w:rsidRDefault="006F7A61"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72"/>
                <w:szCs w:val="72"/>
              </w:rPr>
            </w:pPr>
          </w:p>
          <w:p w14:paraId="3E997C80"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Second-line</w:t>
            </w:r>
          </w:p>
        </w:tc>
        <w:tc>
          <w:tcPr>
            <w:tcW w:w="1411" w:type="dxa"/>
          </w:tcPr>
          <w:p w14:paraId="214A0FFF"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315466C8" w14:textId="77777777" w:rsidR="006F7A61" w:rsidRPr="006F7A61" w:rsidRDefault="006F7A61" w:rsidP="00A97E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72"/>
                <w:szCs w:val="72"/>
              </w:rPr>
            </w:pPr>
          </w:p>
          <w:p w14:paraId="0DF7C287" w14:textId="77777777" w:rsidR="00661663" w:rsidRPr="00E83EBD" w:rsidRDefault="00661663" w:rsidP="00A97E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Second-line</w:t>
            </w:r>
          </w:p>
        </w:tc>
        <w:tc>
          <w:tcPr>
            <w:tcW w:w="1527" w:type="dxa"/>
            <w:shd w:val="clear" w:color="auto" w:fill="DDD9C3" w:themeFill="background2" w:themeFillShade="E6"/>
          </w:tcPr>
          <w:p w14:paraId="74EE6D89"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r w:rsidRPr="00E83EBD">
              <w:rPr>
                <w:rFonts w:ascii="Arial" w:hAnsi="Arial" w:cs="Arial"/>
                <w:color w:val="1F497D" w:themeColor="text2"/>
                <w:sz w:val="18"/>
                <w:szCs w:val="18"/>
              </w:rPr>
              <w:t xml:space="preserve"> or clinical progression as determined by clinician</w:t>
            </w:r>
          </w:p>
          <w:p w14:paraId="79ED1F52"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p>
          <w:p w14:paraId="18D7850D"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Second-line</w:t>
            </w:r>
          </w:p>
        </w:tc>
      </w:tr>
      <w:tr w:rsidR="00661663" w:rsidRPr="00E83EBD" w14:paraId="5461CAF1"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7886CDC3" w14:textId="77777777" w:rsidR="00661663" w:rsidRPr="00E83EBD" w:rsidRDefault="00661663" w:rsidP="00BC1F1C">
            <w:pPr>
              <w:pStyle w:val="ListParagraph"/>
              <w:numPr>
                <w:ilvl w:val="0"/>
                <w:numId w:val="4"/>
              </w:numPr>
              <w:autoSpaceDE w:val="0"/>
              <w:autoSpaceDN w:val="0"/>
              <w:adjustRightInd w:val="0"/>
              <w:rPr>
                <w:rFonts w:ascii="Arial" w:hAnsi="Arial" w:cs="Arial"/>
                <w:b w:val="0"/>
                <w:color w:val="1F497D" w:themeColor="text2"/>
                <w:sz w:val="18"/>
                <w:szCs w:val="18"/>
              </w:rPr>
            </w:pPr>
            <w:proofErr w:type="gramStart"/>
            <w:r w:rsidRPr="00E83EBD">
              <w:rPr>
                <w:rFonts w:ascii="Arial" w:hAnsi="Arial" w:cs="Arial"/>
                <w:b w:val="0"/>
                <w:color w:val="1F497D" w:themeColor="text2"/>
                <w:sz w:val="18"/>
                <w:szCs w:val="18"/>
              </w:rPr>
              <w:t>following</w:t>
            </w:r>
            <w:proofErr w:type="gramEnd"/>
            <w:r w:rsidRPr="00E83EBD">
              <w:rPr>
                <w:rFonts w:ascii="Arial" w:hAnsi="Arial" w:cs="Arial"/>
                <w:b w:val="0"/>
                <w:color w:val="1F497D" w:themeColor="text2"/>
                <w:sz w:val="18"/>
                <w:szCs w:val="18"/>
              </w:rPr>
              <w:t xml:space="preserve"> prior therapy with an EGFR TKI and a platinum-based doublet chemotherapy. Patients may have also received additional lines of treatment. </w:t>
            </w:r>
          </w:p>
        </w:tc>
        <w:tc>
          <w:tcPr>
            <w:tcW w:w="1397" w:type="dxa"/>
          </w:tcPr>
          <w:p w14:paraId="6690A0F5"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557BBF3A" w14:textId="77777777" w:rsidR="00661663" w:rsidRPr="00E83EBD" w:rsidRDefault="00661663" w:rsidP="009D69AD">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&gt;Second-line</w:t>
            </w:r>
          </w:p>
        </w:tc>
        <w:tc>
          <w:tcPr>
            <w:tcW w:w="1412" w:type="dxa"/>
          </w:tcPr>
          <w:p w14:paraId="07640750"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2379497A"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&gt; Second-line</w:t>
            </w:r>
          </w:p>
        </w:tc>
        <w:tc>
          <w:tcPr>
            <w:tcW w:w="1411" w:type="dxa"/>
          </w:tcPr>
          <w:p w14:paraId="7F0496BF"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4F"/>
            </w:r>
          </w:p>
        </w:tc>
        <w:tc>
          <w:tcPr>
            <w:tcW w:w="1527" w:type="dxa"/>
            <w:shd w:val="clear" w:color="auto" w:fill="DDD9C3" w:themeFill="background2" w:themeFillShade="E6"/>
          </w:tcPr>
          <w:p w14:paraId="6E181DE3" w14:textId="77777777" w:rsidR="00661663" w:rsidRPr="00E83EBD" w:rsidRDefault="00661663" w:rsidP="0066166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2E3F7B16" w14:textId="77777777" w:rsidR="00661663" w:rsidRPr="00E83EBD" w:rsidRDefault="00661663" w:rsidP="0066166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&gt; Second-line</w:t>
            </w:r>
          </w:p>
        </w:tc>
      </w:tr>
      <w:tr w:rsidR="00661663" w:rsidRPr="00E83EBD" w14:paraId="4A14F3C5"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46B3521F" w14:textId="77777777" w:rsidR="00661663" w:rsidRPr="00E83EBD" w:rsidRDefault="00661663" w:rsidP="00EA5CF0">
            <w:pPr>
              <w:autoSpaceDE w:val="0"/>
              <w:autoSpaceDN w:val="0"/>
              <w:adjustRightInd w:val="0"/>
              <w:rPr>
                <w:rFonts w:ascii="Arial" w:hAnsi="Arial" w:cs="Arial"/>
                <w:b w:val="0"/>
                <w:color w:val="1F497D" w:themeColor="text2"/>
                <w:sz w:val="18"/>
                <w:szCs w:val="18"/>
              </w:rPr>
            </w:pPr>
            <w:r w:rsidRPr="00E83EBD">
              <w:rPr>
                <w:rFonts w:ascii="Arial" w:hAnsi="Arial" w:cs="Arial"/>
                <w:b w:val="0"/>
                <w:color w:val="1F497D" w:themeColor="text2"/>
                <w:sz w:val="18"/>
                <w:szCs w:val="18"/>
              </w:rPr>
              <w:t xml:space="preserve">Subjects must have a diagnosis of ‘non-squamous NSCLC’ to be eligible to receive treatment with </w:t>
            </w:r>
            <w:proofErr w:type="spellStart"/>
            <w:r w:rsidRPr="00E83EBD">
              <w:rPr>
                <w:rFonts w:ascii="Arial" w:hAnsi="Arial" w:cs="Arial"/>
                <w:b w:val="0"/>
                <w:color w:val="1F497D" w:themeColor="text2"/>
                <w:sz w:val="18"/>
                <w:szCs w:val="18"/>
              </w:rPr>
              <w:t>pemetrexed</w:t>
            </w:r>
            <w:proofErr w:type="spellEnd"/>
            <w:r w:rsidRPr="00E83EBD">
              <w:rPr>
                <w:rFonts w:ascii="Arial" w:hAnsi="Arial" w:cs="Arial"/>
                <w:b w:val="0"/>
                <w:color w:val="1F497D" w:themeColor="text2"/>
                <w:sz w:val="18"/>
                <w:szCs w:val="18"/>
              </w:rPr>
              <w:t xml:space="preserve"> platinum-based doublet chemotherapy</w:t>
            </w:r>
          </w:p>
        </w:tc>
        <w:tc>
          <w:tcPr>
            <w:tcW w:w="1397" w:type="dxa"/>
          </w:tcPr>
          <w:p w14:paraId="68624F8B"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NA</w:t>
            </w:r>
          </w:p>
        </w:tc>
        <w:tc>
          <w:tcPr>
            <w:tcW w:w="1412" w:type="dxa"/>
          </w:tcPr>
          <w:p w14:paraId="1E9270FF"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NA</w:t>
            </w:r>
          </w:p>
        </w:tc>
        <w:tc>
          <w:tcPr>
            <w:tcW w:w="1411" w:type="dxa"/>
          </w:tcPr>
          <w:p w14:paraId="7305B6E2"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527" w:type="dxa"/>
            <w:shd w:val="clear" w:color="auto" w:fill="DDD9C3" w:themeFill="background2" w:themeFillShade="E6"/>
          </w:tcPr>
          <w:p w14:paraId="3D45EA8C" w14:textId="77777777" w:rsidR="00661663" w:rsidRPr="00E83EBD" w:rsidRDefault="00661663" w:rsidP="0066166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3E43CCCF"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Non-squamous / NOS</w:t>
            </w:r>
          </w:p>
        </w:tc>
      </w:tr>
      <w:tr w:rsidR="00661663" w:rsidRPr="00E83EBD" w14:paraId="7A540352"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20D8ACDA" w14:textId="77777777" w:rsidR="00661663" w:rsidRPr="00E83EBD" w:rsidRDefault="00661663" w:rsidP="00EA5CF0">
            <w:pPr>
              <w:autoSpaceDE w:val="0"/>
              <w:autoSpaceDN w:val="0"/>
              <w:adjustRightInd w:val="0"/>
              <w:rPr>
                <w:rFonts w:ascii="Arial" w:hAnsi="Arial" w:cs="Arial"/>
                <w:b w:val="0"/>
                <w:color w:val="1F497D" w:themeColor="text2"/>
                <w:sz w:val="18"/>
                <w:szCs w:val="18"/>
              </w:rPr>
            </w:pPr>
            <w:r w:rsidRPr="00E83EBD">
              <w:rPr>
                <w:rFonts w:ascii="Arial" w:hAnsi="Arial" w:cs="Arial"/>
                <w:b w:val="0"/>
                <w:color w:val="1F497D" w:themeColor="text2"/>
                <w:sz w:val="18"/>
                <w:szCs w:val="18"/>
              </w:rPr>
              <w:t>Confirmation that the tumour harbours an EGFR mutation known to be associated with EGFR TKI sensitivity (including G719X, exon 19 deletion, L858R, L861Q)</w:t>
            </w:r>
          </w:p>
          <w:p w14:paraId="336BEA55" w14:textId="77777777" w:rsidR="00661663" w:rsidRPr="00E83EBD" w:rsidRDefault="00661663" w:rsidP="00EA5CF0">
            <w:pPr>
              <w:autoSpaceDE w:val="0"/>
              <w:autoSpaceDN w:val="0"/>
              <w:adjustRightInd w:val="0"/>
              <w:rPr>
                <w:rFonts w:ascii="Arial" w:hAnsi="Arial" w:cs="Arial"/>
                <w:b w:val="0"/>
                <w:color w:val="1F497D" w:themeColor="text2"/>
                <w:sz w:val="18"/>
                <w:szCs w:val="18"/>
              </w:rPr>
            </w:pPr>
            <w:r w:rsidRPr="00E83EBD">
              <w:rPr>
                <w:rFonts w:ascii="Arial" w:hAnsi="Arial" w:cs="Arial"/>
                <w:b w:val="0"/>
                <w:color w:val="1F497D" w:themeColor="text2"/>
                <w:sz w:val="18"/>
                <w:szCs w:val="18"/>
              </w:rPr>
              <w:t>OR</w:t>
            </w:r>
          </w:p>
        </w:tc>
        <w:tc>
          <w:tcPr>
            <w:tcW w:w="1397" w:type="dxa"/>
          </w:tcPr>
          <w:p w14:paraId="4E098F20"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2" w:type="dxa"/>
          </w:tcPr>
          <w:p w14:paraId="5FC4AD11"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1" w:type="dxa"/>
          </w:tcPr>
          <w:p w14:paraId="17305B57"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527" w:type="dxa"/>
            <w:shd w:val="clear" w:color="auto" w:fill="DDD9C3" w:themeFill="background2" w:themeFillShade="E6"/>
          </w:tcPr>
          <w:p w14:paraId="352CDD3E" w14:textId="77777777" w:rsidR="00661663" w:rsidRPr="00E83EBD" w:rsidRDefault="00661663" w:rsidP="0066166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153055B0" w14:textId="77777777" w:rsidR="00661663" w:rsidRPr="00E83EBD" w:rsidRDefault="00661663" w:rsidP="00BD5D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From diagnos</w:t>
            </w:r>
            <w:r w:rsidR="00BD5D87" w:rsidRPr="00E83EBD">
              <w:rPr>
                <w:rFonts w:ascii="Arial" w:hAnsi="Arial" w:cs="Arial"/>
                <w:color w:val="1F497D" w:themeColor="text2"/>
                <w:sz w:val="18"/>
                <w:szCs w:val="18"/>
              </w:rPr>
              <w:t>tic EGFR mutation test</w:t>
            </w:r>
          </w:p>
        </w:tc>
      </w:tr>
      <w:tr w:rsidR="00661663" w:rsidRPr="00E83EBD" w14:paraId="7132E480" w14:textId="77777777" w:rsidTr="00DF67C7">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3609" w:type="dxa"/>
          </w:tcPr>
          <w:p w14:paraId="04105E73" w14:textId="77777777" w:rsidR="00661663" w:rsidRPr="00E83EBD" w:rsidRDefault="00661663" w:rsidP="00EA5CF0">
            <w:pPr>
              <w:autoSpaceDE w:val="0"/>
              <w:autoSpaceDN w:val="0"/>
              <w:adjustRightInd w:val="0"/>
              <w:rPr>
                <w:rFonts w:ascii="Arial" w:hAnsi="Arial" w:cs="Arial"/>
                <w:b w:val="0"/>
                <w:color w:val="1F497D" w:themeColor="text2"/>
                <w:sz w:val="18"/>
                <w:szCs w:val="18"/>
              </w:rPr>
            </w:pPr>
            <w:r w:rsidRPr="00E83EBD">
              <w:rPr>
                <w:rFonts w:ascii="Arial" w:hAnsi="Arial" w:cs="Arial"/>
                <w:b w:val="0"/>
                <w:color w:val="1F497D" w:themeColor="text2"/>
                <w:sz w:val="18"/>
                <w:szCs w:val="18"/>
              </w:rPr>
              <w:lastRenderedPageBreak/>
              <w:t xml:space="preserve">Must have experienced clinical benefit from EGFR TKI, according to </w:t>
            </w:r>
            <w:proofErr w:type="spellStart"/>
            <w:r w:rsidRPr="00E83EBD">
              <w:rPr>
                <w:rFonts w:ascii="Arial" w:hAnsi="Arial" w:cs="Arial"/>
                <w:b w:val="0"/>
                <w:color w:val="1F497D" w:themeColor="text2"/>
                <w:sz w:val="18"/>
                <w:szCs w:val="18"/>
              </w:rPr>
              <w:t>Jackman</w:t>
            </w:r>
            <w:proofErr w:type="spellEnd"/>
            <w:r w:rsidRPr="00E83EBD">
              <w:rPr>
                <w:rFonts w:ascii="Arial" w:hAnsi="Arial" w:cs="Arial"/>
                <w:b w:val="0"/>
                <w:color w:val="1F497D" w:themeColor="text2"/>
                <w:sz w:val="18"/>
                <w:szCs w:val="18"/>
              </w:rPr>
              <w:t xml:space="preserve"> criteria followed by systemic objective progression while on continuous treatment with EGFR TKI</w:t>
            </w:r>
          </w:p>
        </w:tc>
        <w:tc>
          <w:tcPr>
            <w:tcW w:w="1397" w:type="dxa"/>
          </w:tcPr>
          <w:p w14:paraId="0304066C"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r w:rsidR="00BD5D87" w:rsidRPr="00E83EBD">
              <w:rPr>
                <w:rFonts w:ascii="Arial" w:hAnsi="Arial" w:cs="Arial"/>
                <w:color w:val="1F497D" w:themeColor="text2"/>
                <w:sz w:val="18"/>
                <w:szCs w:val="18"/>
              </w:rPr>
              <w:t xml:space="preserve"> </w:t>
            </w:r>
          </w:p>
          <w:p w14:paraId="4C7709E4" w14:textId="77777777" w:rsidR="004E0E06" w:rsidRDefault="006F1189" w:rsidP="004E0E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Pr>
                <w:rFonts w:ascii="Arial" w:hAnsi="Arial" w:cs="Arial"/>
                <w:color w:val="1F497D" w:themeColor="text2"/>
                <w:sz w:val="18"/>
                <w:szCs w:val="18"/>
              </w:rPr>
              <w:t>Escalation</w:t>
            </w:r>
            <w:r w:rsidR="004E0E06">
              <w:rPr>
                <w:rFonts w:ascii="Arial" w:hAnsi="Arial" w:cs="Arial"/>
                <w:color w:val="1F497D" w:themeColor="text2"/>
                <w:sz w:val="18"/>
                <w:szCs w:val="18"/>
              </w:rPr>
              <w:t>^</w:t>
            </w:r>
          </w:p>
          <w:p w14:paraId="0DC35390" w14:textId="77777777" w:rsidR="00BD5D87" w:rsidRDefault="004E0E06" w:rsidP="004E0E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4F"/>
            </w:r>
            <w:r w:rsidR="006F1189">
              <w:rPr>
                <w:rFonts w:ascii="Arial" w:hAnsi="Arial" w:cs="Arial"/>
                <w:color w:val="1F497D" w:themeColor="text2"/>
                <w:sz w:val="18"/>
                <w:szCs w:val="18"/>
              </w:rPr>
              <w:t xml:space="preserve"> </w:t>
            </w:r>
          </w:p>
          <w:p w14:paraId="19697CBA" w14:textId="77777777" w:rsidR="004E0E06" w:rsidRDefault="004E0E06" w:rsidP="004E0E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Pr>
                <w:rFonts w:ascii="Arial" w:hAnsi="Arial" w:cs="Arial"/>
                <w:color w:val="1F497D" w:themeColor="text2"/>
                <w:sz w:val="18"/>
                <w:szCs w:val="18"/>
              </w:rPr>
              <w:t>Expansion</w:t>
            </w:r>
          </w:p>
          <w:p w14:paraId="7EE2B4FF" w14:textId="77777777" w:rsidR="004E0E06" w:rsidRPr="00E83EBD" w:rsidRDefault="004E0E06" w:rsidP="004E0E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Pr>
                <w:rFonts w:ascii="Arial" w:hAnsi="Arial" w:cs="Arial"/>
                <w:color w:val="1F497D" w:themeColor="text2"/>
                <w:sz w:val="18"/>
                <w:szCs w:val="18"/>
              </w:rPr>
              <w:t>Extension</w:t>
            </w:r>
          </w:p>
        </w:tc>
        <w:tc>
          <w:tcPr>
            <w:tcW w:w="1412" w:type="dxa"/>
          </w:tcPr>
          <w:p w14:paraId="5A469B23"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4F"/>
            </w:r>
          </w:p>
        </w:tc>
        <w:tc>
          <w:tcPr>
            <w:tcW w:w="1411" w:type="dxa"/>
          </w:tcPr>
          <w:p w14:paraId="61BA7B55"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4F"/>
            </w:r>
          </w:p>
        </w:tc>
        <w:tc>
          <w:tcPr>
            <w:tcW w:w="1527" w:type="dxa"/>
            <w:shd w:val="clear" w:color="auto" w:fill="DDD9C3" w:themeFill="background2" w:themeFillShade="E6"/>
          </w:tcPr>
          <w:p w14:paraId="4A1A621E" w14:textId="77777777" w:rsidR="00661663" w:rsidRPr="00E83EBD" w:rsidRDefault="00BD5D87"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4F"/>
            </w:r>
          </w:p>
        </w:tc>
      </w:tr>
      <w:tr w:rsidR="00661663" w:rsidRPr="00E83EBD" w14:paraId="269B05F9"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4874E6E7" w14:textId="77777777" w:rsidR="00661663" w:rsidRPr="00E83EBD" w:rsidRDefault="00661663" w:rsidP="00661663">
            <w:pPr>
              <w:autoSpaceDE w:val="0"/>
              <w:autoSpaceDN w:val="0"/>
              <w:adjustRightInd w:val="0"/>
              <w:rPr>
                <w:rFonts w:ascii="Arial" w:hAnsi="Arial" w:cs="Arial"/>
                <w:b w:val="0"/>
                <w:color w:val="1F497D" w:themeColor="text2"/>
                <w:sz w:val="18"/>
                <w:szCs w:val="18"/>
              </w:rPr>
            </w:pPr>
            <w:r w:rsidRPr="00E83EBD">
              <w:rPr>
                <w:rFonts w:ascii="Arial" w:hAnsi="Arial" w:cs="Arial"/>
                <w:b w:val="0"/>
                <w:color w:val="1F497D" w:themeColor="text2"/>
                <w:sz w:val="18"/>
                <w:szCs w:val="18"/>
              </w:rPr>
              <w:t>Patients must have central confirmation of tumour T790M mutation positive status from a biopsy sample taken after documented disease progression on the most recent treatment regimen.</w:t>
            </w:r>
          </w:p>
        </w:tc>
        <w:tc>
          <w:tcPr>
            <w:tcW w:w="1397" w:type="dxa"/>
          </w:tcPr>
          <w:p w14:paraId="47CB150B"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2" w:type="dxa"/>
          </w:tcPr>
          <w:p w14:paraId="54F31AC4" w14:textId="77777777" w:rsidR="00661663"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0D56ADE5" w14:textId="77777777" w:rsidR="00136EAD" w:rsidRPr="00E83EBD" w:rsidRDefault="00136EAD" w:rsidP="001D364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Pr>
                <w:rFonts w:ascii="Arial" w:hAnsi="Arial" w:cs="Arial"/>
                <w:color w:val="1F497D" w:themeColor="text2"/>
                <w:sz w:val="18"/>
                <w:szCs w:val="18"/>
              </w:rPr>
              <w:t xml:space="preserve">Plasma </w:t>
            </w:r>
            <w:proofErr w:type="spellStart"/>
            <w:r>
              <w:rPr>
                <w:rFonts w:ascii="Arial" w:hAnsi="Arial" w:cs="Arial"/>
                <w:color w:val="1F497D" w:themeColor="text2"/>
                <w:sz w:val="18"/>
                <w:szCs w:val="18"/>
              </w:rPr>
              <w:t>ctDNA</w:t>
            </w:r>
            <w:proofErr w:type="spellEnd"/>
            <w:r>
              <w:rPr>
                <w:rFonts w:ascii="Arial" w:hAnsi="Arial" w:cs="Arial"/>
                <w:color w:val="1F497D" w:themeColor="text2"/>
                <w:sz w:val="18"/>
                <w:szCs w:val="18"/>
              </w:rPr>
              <w:t xml:space="preserve"> samples were also taken</w:t>
            </w:r>
          </w:p>
        </w:tc>
        <w:tc>
          <w:tcPr>
            <w:tcW w:w="1411" w:type="dxa"/>
          </w:tcPr>
          <w:p w14:paraId="5159D1C1"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7DD0AF5A"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First-line treatment with an approved EGFR TKI</w:t>
            </w:r>
          </w:p>
        </w:tc>
        <w:tc>
          <w:tcPr>
            <w:tcW w:w="1527" w:type="dxa"/>
            <w:shd w:val="clear" w:color="auto" w:fill="DDD9C3" w:themeFill="background2" w:themeFillShade="E6"/>
          </w:tcPr>
          <w:p w14:paraId="49E41285" w14:textId="77777777" w:rsidR="00BD5D87" w:rsidRPr="00E83EBD" w:rsidRDefault="00BF7E7F" w:rsidP="00BF7E7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r w:rsidR="00BD5D87" w:rsidRPr="00E83EBD">
              <w:rPr>
                <w:rFonts w:ascii="Arial" w:hAnsi="Arial" w:cs="Arial"/>
                <w:color w:val="1F497D" w:themeColor="text2"/>
                <w:sz w:val="18"/>
                <w:szCs w:val="18"/>
              </w:rPr>
              <w:t xml:space="preserve"> </w:t>
            </w:r>
          </w:p>
          <w:p w14:paraId="4DA757D9" w14:textId="77777777" w:rsidR="00BF7E7F" w:rsidRPr="00E83EBD" w:rsidRDefault="00BD5D87" w:rsidP="00BF7E7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Approved local laboratory</w:t>
            </w:r>
          </w:p>
          <w:p w14:paraId="27E21060" w14:textId="77777777" w:rsidR="00661663" w:rsidRPr="00E83EBD" w:rsidRDefault="00661663" w:rsidP="00BF7E7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p>
        </w:tc>
      </w:tr>
      <w:tr w:rsidR="00661663" w:rsidRPr="00E83EBD" w14:paraId="15136838"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2440E5CB" w14:textId="77777777" w:rsidR="00661663" w:rsidRPr="00E83EBD" w:rsidRDefault="00661663" w:rsidP="00EA5CF0">
            <w:pPr>
              <w:autoSpaceDE w:val="0"/>
              <w:autoSpaceDN w:val="0"/>
              <w:adjustRightInd w:val="0"/>
              <w:rPr>
                <w:rFonts w:ascii="Arial" w:hAnsi="Arial" w:cs="Arial"/>
                <w:b w:val="0"/>
                <w:color w:val="1F497D" w:themeColor="text2"/>
                <w:sz w:val="18"/>
                <w:szCs w:val="18"/>
              </w:rPr>
            </w:pPr>
            <w:r w:rsidRPr="00E83EBD">
              <w:rPr>
                <w:rFonts w:ascii="Arial" w:hAnsi="Arial" w:cs="Arial"/>
                <w:b w:val="0"/>
                <w:color w:val="1F497D" w:themeColor="text2"/>
                <w:sz w:val="18"/>
                <w:szCs w:val="18"/>
              </w:rPr>
              <w:t>World Health Organisation (WHO) performance status 0-1 with no deterioration over the previous 2 weeks and a minimum life expectancy of 12 weeks.</w:t>
            </w:r>
          </w:p>
        </w:tc>
        <w:tc>
          <w:tcPr>
            <w:tcW w:w="1397" w:type="dxa"/>
          </w:tcPr>
          <w:p w14:paraId="68BC6965"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2" w:type="dxa"/>
          </w:tcPr>
          <w:p w14:paraId="1F2440ED"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1" w:type="dxa"/>
          </w:tcPr>
          <w:p w14:paraId="4CDB99E4"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527" w:type="dxa"/>
            <w:shd w:val="clear" w:color="auto" w:fill="DDD9C3" w:themeFill="background2" w:themeFillShade="E6"/>
          </w:tcPr>
          <w:p w14:paraId="1FAB98D8" w14:textId="77777777" w:rsidR="00661663" w:rsidRPr="00E83EBD" w:rsidRDefault="00BF7E7F"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r>
      <w:tr w:rsidR="00661663" w:rsidRPr="00E83EBD" w14:paraId="66431F6D"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2491E657" w14:textId="77777777" w:rsidR="00661663" w:rsidRPr="00E83EBD" w:rsidRDefault="00661663" w:rsidP="00EA5CF0">
            <w:pPr>
              <w:autoSpaceDE w:val="0"/>
              <w:autoSpaceDN w:val="0"/>
              <w:adjustRightInd w:val="0"/>
              <w:rPr>
                <w:rFonts w:ascii="Arial" w:hAnsi="Arial" w:cs="Arial"/>
                <w:color w:val="1F497D" w:themeColor="text2"/>
                <w:sz w:val="18"/>
                <w:szCs w:val="18"/>
              </w:rPr>
            </w:pPr>
            <w:r w:rsidRPr="00E83EBD">
              <w:rPr>
                <w:rFonts w:ascii="Arial" w:hAnsi="Arial" w:cs="Arial"/>
                <w:b w:val="0"/>
                <w:color w:val="1F497D" w:themeColor="text2"/>
                <w:sz w:val="18"/>
                <w:szCs w:val="18"/>
              </w:rPr>
              <w:t xml:space="preserve">At least one lesion, not previously irradiated and not chosen for biopsy during the study screening period, that can be accurately measured at baseline as </w:t>
            </w:r>
            <w:r w:rsidRPr="00E83EBD">
              <w:rPr>
                <w:rFonts w:ascii="Arial" w:hAnsi="Arial" w:cs="Arial" w:hint="eastAsia"/>
                <w:b w:val="0"/>
                <w:color w:val="1F497D" w:themeColor="text2"/>
                <w:sz w:val="18"/>
                <w:szCs w:val="18"/>
              </w:rPr>
              <w:t>≥</w:t>
            </w:r>
            <w:r w:rsidRPr="00E83EBD">
              <w:rPr>
                <w:rFonts w:ascii="Arial" w:hAnsi="Arial" w:cs="Arial"/>
                <w:b w:val="0"/>
                <w:color w:val="1F497D" w:themeColor="text2"/>
                <w:sz w:val="18"/>
                <w:szCs w:val="18"/>
              </w:rPr>
              <w:t xml:space="preserve"> 10mm in the longest diameter (except lymph nodes which must have short axis </w:t>
            </w:r>
            <w:r w:rsidRPr="00E83EBD">
              <w:rPr>
                <w:rFonts w:ascii="Arial" w:hAnsi="Arial" w:cs="Arial" w:hint="eastAsia"/>
                <w:b w:val="0"/>
                <w:color w:val="1F497D" w:themeColor="text2"/>
                <w:sz w:val="18"/>
                <w:szCs w:val="18"/>
              </w:rPr>
              <w:t>≥</w:t>
            </w:r>
            <w:r w:rsidRPr="00E83EBD">
              <w:rPr>
                <w:rFonts w:ascii="Arial" w:hAnsi="Arial" w:cs="Arial"/>
                <w:b w:val="0"/>
                <w:color w:val="1F497D" w:themeColor="text2"/>
                <w:sz w:val="18"/>
                <w:szCs w:val="18"/>
              </w:rPr>
              <w:t xml:space="preserve"> 15mm) with computerised tomography (CT) or magnetic resonance imaging (MRI) which is suitable for accurate repeated measurements.</w:t>
            </w:r>
          </w:p>
        </w:tc>
        <w:tc>
          <w:tcPr>
            <w:tcW w:w="1397" w:type="dxa"/>
          </w:tcPr>
          <w:p w14:paraId="0C3E61B7"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2" w:type="dxa"/>
          </w:tcPr>
          <w:p w14:paraId="50374F3E"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1" w:type="dxa"/>
          </w:tcPr>
          <w:p w14:paraId="74E7EC57"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527" w:type="dxa"/>
            <w:shd w:val="clear" w:color="auto" w:fill="DDD9C3" w:themeFill="background2" w:themeFillShade="E6"/>
          </w:tcPr>
          <w:p w14:paraId="0062B840" w14:textId="77777777" w:rsidR="00661663" w:rsidRPr="00E83EBD" w:rsidRDefault="000F0F15">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 xml:space="preserve">In clinical practice, a combination of </w:t>
            </w:r>
            <w:r w:rsidR="001D7B80">
              <w:rPr>
                <w:rFonts w:ascii="Arial" w:hAnsi="Arial" w:cs="Arial"/>
                <w:color w:val="1F497D" w:themeColor="text2"/>
                <w:sz w:val="18"/>
                <w:szCs w:val="18"/>
              </w:rPr>
              <w:t>i</w:t>
            </w:r>
            <w:r w:rsidRPr="00E83EBD">
              <w:rPr>
                <w:rFonts w:ascii="Arial" w:hAnsi="Arial" w:cs="Arial"/>
                <w:color w:val="1F497D" w:themeColor="text2"/>
                <w:sz w:val="18"/>
                <w:szCs w:val="18"/>
              </w:rPr>
              <w:t>maging and symptomatology</w:t>
            </w:r>
          </w:p>
        </w:tc>
      </w:tr>
      <w:tr w:rsidR="00661663" w:rsidRPr="00E83EBD" w14:paraId="484B0C76"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381990EF" w14:textId="77777777" w:rsidR="00661663" w:rsidRPr="00E83EBD" w:rsidRDefault="00661663" w:rsidP="00F0684F">
            <w:pPr>
              <w:rPr>
                <w:rFonts w:ascii="Arial" w:hAnsi="Arial" w:cs="Arial"/>
                <w:b w:val="0"/>
                <w:color w:val="1F497D" w:themeColor="text2"/>
                <w:sz w:val="18"/>
                <w:szCs w:val="18"/>
              </w:rPr>
            </w:pPr>
            <w:r w:rsidRPr="00E83EBD">
              <w:rPr>
                <w:rFonts w:ascii="Arial" w:hAnsi="Arial" w:cs="Arial"/>
                <w:b w:val="0"/>
                <w:color w:val="1F497D" w:themeColor="text2"/>
                <w:sz w:val="18"/>
                <w:szCs w:val="18"/>
              </w:rPr>
              <w:t>Participants should be using adequate contraceptive measures</w:t>
            </w:r>
          </w:p>
        </w:tc>
        <w:tc>
          <w:tcPr>
            <w:tcW w:w="1397" w:type="dxa"/>
          </w:tcPr>
          <w:p w14:paraId="47D9FE1C"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2" w:type="dxa"/>
          </w:tcPr>
          <w:p w14:paraId="10F6577C"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1" w:type="dxa"/>
          </w:tcPr>
          <w:p w14:paraId="5586E552"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527" w:type="dxa"/>
            <w:shd w:val="clear" w:color="auto" w:fill="DDD9C3" w:themeFill="background2" w:themeFillShade="E6"/>
          </w:tcPr>
          <w:p w14:paraId="33185A40" w14:textId="77777777" w:rsidR="00661663" w:rsidRPr="00E83EBD" w:rsidRDefault="00BD5D87"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Discussion with clinician</w:t>
            </w:r>
          </w:p>
        </w:tc>
      </w:tr>
      <w:tr w:rsidR="00661663" w:rsidRPr="00E83EBD" w14:paraId="62957347"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0229E216" w14:textId="77777777" w:rsidR="00661663" w:rsidRPr="00E83EBD" w:rsidRDefault="00661663" w:rsidP="00F0684F">
            <w:pPr>
              <w:rPr>
                <w:rFonts w:ascii="Arial" w:hAnsi="Arial" w:cs="Arial"/>
                <w:color w:val="1F497D" w:themeColor="text2"/>
                <w:sz w:val="18"/>
                <w:szCs w:val="18"/>
              </w:rPr>
            </w:pPr>
            <w:r w:rsidRPr="00E83EBD">
              <w:rPr>
                <w:rFonts w:ascii="Arial" w:hAnsi="Arial" w:cs="Arial"/>
                <w:color w:val="1F497D" w:themeColor="text2"/>
                <w:sz w:val="18"/>
                <w:szCs w:val="18"/>
              </w:rPr>
              <w:t>Exclusion</w:t>
            </w:r>
          </w:p>
        </w:tc>
        <w:tc>
          <w:tcPr>
            <w:tcW w:w="1397" w:type="dxa"/>
          </w:tcPr>
          <w:p w14:paraId="1BD329F4"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p>
        </w:tc>
        <w:tc>
          <w:tcPr>
            <w:tcW w:w="1412" w:type="dxa"/>
          </w:tcPr>
          <w:p w14:paraId="0EFD45D2"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p>
        </w:tc>
        <w:tc>
          <w:tcPr>
            <w:tcW w:w="1411" w:type="dxa"/>
          </w:tcPr>
          <w:p w14:paraId="256C3B0B"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p>
        </w:tc>
        <w:tc>
          <w:tcPr>
            <w:tcW w:w="1527" w:type="dxa"/>
            <w:shd w:val="clear" w:color="auto" w:fill="DDD9C3" w:themeFill="background2" w:themeFillShade="E6"/>
          </w:tcPr>
          <w:p w14:paraId="4421DFD9"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p>
        </w:tc>
      </w:tr>
      <w:tr w:rsidR="00661663" w:rsidRPr="00E83EBD" w14:paraId="560B1163"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1A7456C4" w14:textId="77777777" w:rsidR="00661663" w:rsidRPr="00E83EBD" w:rsidRDefault="00661663" w:rsidP="00F426C1">
            <w:pPr>
              <w:autoSpaceDE w:val="0"/>
              <w:autoSpaceDN w:val="0"/>
              <w:adjustRightInd w:val="0"/>
              <w:rPr>
                <w:rFonts w:ascii="Arial" w:eastAsia="TimesNewRoman" w:hAnsi="Arial" w:cs="Arial"/>
                <w:b w:val="0"/>
                <w:color w:val="1F497D" w:themeColor="text2"/>
                <w:sz w:val="18"/>
                <w:szCs w:val="18"/>
              </w:rPr>
            </w:pPr>
            <w:r w:rsidRPr="00E83EBD">
              <w:rPr>
                <w:rFonts w:ascii="Arial" w:eastAsia="TimesNewRoman" w:hAnsi="Arial" w:cs="Arial"/>
                <w:b w:val="0"/>
                <w:color w:val="1F497D" w:themeColor="text2"/>
                <w:sz w:val="18"/>
                <w:szCs w:val="18"/>
              </w:rPr>
              <w:t>Treatment with more than one prior line of treatment for advanced NSCLC</w:t>
            </w:r>
          </w:p>
        </w:tc>
        <w:tc>
          <w:tcPr>
            <w:tcW w:w="1397" w:type="dxa"/>
          </w:tcPr>
          <w:p w14:paraId="7C316D39"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4F"/>
            </w:r>
          </w:p>
        </w:tc>
        <w:tc>
          <w:tcPr>
            <w:tcW w:w="1412" w:type="dxa"/>
          </w:tcPr>
          <w:p w14:paraId="0F38239D"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4F"/>
            </w:r>
          </w:p>
        </w:tc>
        <w:tc>
          <w:tcPr>
            <w:tcW w:w="1411" w:type="dxa"/>
          </w:tcPr>
          <w:p w14:paraId="77BAF3E8"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p w14:paraId="5A2BFC1F" w14:textId="3CAD1870" w:rsidR="00BD5D87" w:rsidRPr="00E83EBD" w:rsidRDefault="00BD5D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 xml:space="preserve">Second-line </w:t>
            </w:r>
            <w:r w:rsidR="00312075">
              <w:rPr>
                <w:rFonts w:ascii="Arial" w:hAnsi="Arial" w:cs="Arial"/>
                <w:color w:val="1F497D" w:themeColor="text2"/>
                <w:sz w:val="18"/>
                <w:szCs w:val="18"/>
              </w:rPr>
              <w:t>AZD9291</w:t>
            </w:r>
            <w:r w:rsidRPr="00E83EBD">
              <w:rPr>
                <w:rFonts w:ascii="Arial" w:hAnsi="Arial" w:cs="Arial"/>
                <w:color w:val="1F497D" w:themeColor="text2"/>
                <w:sz w:val="18"/>
                <w:szCs w:val="18"/>
              </w:rPr>
              <w:t>only</w:t>
            </w:r>
          </w:p>
        </w:tc>
        <w:tc>
          <w:tcPr>
            <w:tcW w:w="1527" w:type="dxa"/>
            <w:shd w:val="clear" w:color="auto" w:fill="DDD9C3" w:themeFill="background2" w:themeFillShade="E6"/>
          </w:tcPr>
          <w:p w14:paraId="64742061" w14:textId="77777777" w:rsidR="00661663" w:rsidRPr="00E83EBD" w:rsidRDefault="00BF7E7F"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4F"/>
            </w:r>
          </w:p>
        </w:tc>
      </w:tr>
      <w:tr w:rsidR="00661663" w:rsidRPr="00E83EBD" w14:paraId="27E80FC1" w14:textId="77777777" w:rsidTr="00DF6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01A6EF3E" w14:textId="77777777" w:rsidR="00661663" w:rsidRPr="00E83EBD" w:rsidRDefault="00661663" w:rsidP="00F426C1">
            <w:pPr>
              <w:autoSpaceDE w:val="0"/>
              <w:autoSpaceDN w:val="0"/>
              <w:adjustRightInd w:val="0"/>
              <w:rPr>
                <w:rFonts w:ascii="Arial" w:hAnsi="Arial" w:cs="Arial"/>
                <w:b w:val="0"/>
                <w:color w:val="1F497D" w:themeColor="text2"/>
                <w:sz w:val="18"/>
                <w:szCs w:val="18"/>
              </w:rPr>
            </w:pPr>
            <w:r w:rsidRPr="00E83EBD">
              <w:rPr>
                <w:rFonts w:ascii="Arial" w:eastAsia="TimesNewRoman" w:hAnsi="Arial" w:cs="Arial"/>
                <w:b w:val="0"/>
                <w:color w:val="1F497D" w:themeColor="text2"/>
                <w:sz w:val="18"/>
                <w:szCs w:val="18"/>
              </w:rPr>
              <w:t xml:space="preserve">Treatment with an EGFR-TKI (e.g., </w:t>
            </w:r>
            <w:proofErr w:type="spellStart"/>
            <w:r w:rsidRPr="00E83EBD">
              <w:rPr>
                <w:rFonts w:ascii="Arial" w:eastAsia="TimesNewRoman" w:hAnsi="Arial" w:cs="Arial"/>
                <w:b w:val="0"/>
                <w:color w:val="1F497D" w:themeColor="text2"/>
                <w:sz w:val="18"/>
                <w:szCs w:val="18"/>
              </w:rPr>
              <w:t>erlotinib</w:t>
            </w:r>
            <w:proofErr w:type="spellEnd"/>
            <w:r w:rsidRPr="00E83EBD">
              <w:rPr>
                <w:rFonts w:ascii="Arial" w:eastAsia="TimesNewRoman" w:hAnsi="Arial" w:cs="Arial"/>
                <w:b w:val="0"/>
                <w:color w:val="1F497D" w:themeColor="text2"/>
                <w:sz w:val="18"/>
                <w:szCs w:val="18"/>
              </w:rPr>
              <w:t xml:space="preserve">, </w:t>
            </w:r>
            <w:proofErr w:type="spellStart"/>
            <w:r w:rsidRPr="00E83EBD">
              <w:rPr>
                <w:rFonts w:ascii="Arial" w:eastAsia="TimesNewRoman" w:hAnsi="Arial" w:cs="Arial"/>
                <w:b w:val="0"/>
                <w:color w:val="1F497D" w:themeColor="text2"/>
                <w:sz w:val="18"/>
                <w:szCs w:val="18"/>
              </w:rPr>
              <w:t>gefitinib</w:t>
            </w:r>
            <w:proofErr w:type="spellEnd"/>
            <w:r w:rsidRPr="00E83EBD">
              <w:rPr>
                <w:rFonts w:ascii="Arial" w:eastAsia="TimesNewRoman" w:hAnsi="Arial" w:cs="Arial"/>
                <w:b w:val="0"/>
                <w:color w:val="1F497D" w:themeColor="text2"/>
                <w:sz w:val="18"/>
                <w:szCs w:val="18"/>
              </w:rPr>
              <w:t xml:space="preserve">, or </w:t>
            </w:r>
            <w:proofErr w:type="spellStart"/>
            <w:r w:rsidRPr="00E83EBD">
              <w:rPr>
                <w:rFonts w:ascii="Arial" w:eastAsia="TimesNewRoman" w:hAnsi="Arial" w:cs="Arial"/>
                <w:b w:val="0"/>
                <w:color w:val="1F497D" w:themeColor="text2"/>
                <w:sz w:val="18"/>
                <w:szCs w:val="18"/>
              </w:rPr>
              <w:t>afatinib</w:t>
            </w:r>
            <w:proofErr w:type="spellEnd"/>
            <w:r w:rsidRPr="00E83EBD">
              <w:rPr>
                <w:rFonts w:ascii="Arial" w:eastAsia="TimesNewRoman" w:hAnsi="Arial" w:cs="Arial"/>
                <w:b w:val="0"/>
                <w:color w:val="1F497D" w:themeColor="text2"/>
                <w:sz w:val="18"/>
                <w:szCs w:val="18"/>
              </w:rPr>
              <w:t xml:space="preserve">) within 8 days or approximately 5x half-life, whichever is the longer, of the first dose of study </w:t>
            </w:r>
            <w:proofErr w:type="gramStart"/>
            <w:r w:rsidRPr="00E83EBD">
              <w:rPr>
                <w:rFonts w:ascii="Arial" w:eastAsia="TimesNewRoman" w:hAnsi="Arial" w:cs="Arial"/>
                <w:b w:val="0"/>
                <w:color w:val="1F497D" w:themeColor="text2"/>
                <w:sz w:val="18"/>
                <w:szCs w:val="18"/>
              </w:rPr>
              <w:t>treatment.</w:t>
            </w:r>
            <w:proofErr w:type="gramEnd"/>
            <w:r w:rsidRPr="00E83EBD">
              <w:rPr>
                <w:rFonts w:ascii="Arial" w:eastAsia="TimesNewRoman" w:hAnsi="Arial" w:cs="Arial"/>
                <w:b w:val="0"/>
                <w:color w:val="1F497D" w:themeColor="text2"/>
                <w:sz w:val="18"/>
                <w:szCs w:val="18"/>
              </w:rPr>
              <w:t xml:space="preserve"> </w:t>
            </w:r>
          </w:p>
        </w:tc>
        <w:tc>
          <w:tcPr>
            <w:tcW w:w="1397" w:type="dxa"/>
          </w:tcPr>
          <w:p w14:paraId="7C34BCB1"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2" w:type="dxa"/>
          </w:tcPr>
          <w:p w14:paraId="0E37C1B9"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1" w:type="dxa"/>
          </w:tcPr>
          <w:p w14:paraId="0C0F991F" w14:textId="77777777" w:rsidR="00661663" w:rsidRPr="00E83EBD" w:rsidRDefault="00661663"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527" w:type="dxa"/>
            <w:shd w:val="clear" w:color="auto" w:fill="DDD9C3" w:themeFill="background2" w:themeFillShade="E6"/>
          </w:tcPr>
          <w:p w14:paraId="4D71F59B" w14:textId="77777777" w:rsidR="00661663" w:rsidRPr="00E83EBD" w:rsidRDefault="00BD5D87" w:rsidP="00EA5CF0">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t>Clinical practice</w:t>
            </w:r>
          </w:p>
        </w:tc>
      </w:tr>
      <w:tr w:rsidR="00661663" w:rsidRPr="00E83EBD" w14:paraId="4993EDFC" w14:textId="77777777" w:rsidTr="00DF6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0CB12DCB" w14:textId="77777777" w:rsidR="00661663" w:rsidRPr="00E83EBD" w:rsidRDefault="00661663" w:rsidP="00A97EA2">
            <w:pPr>
              <w:autoSpaceDE w:val="0"/>
              <w:autoSpaceDN w:val="0"/>
              <w:adjustRightInd w:val="0"/>
              <w:rPr>
                <w:rFonts w:ascii="Arial" w:hAnsi="Arial" w:cs="Arial"/>
                <w:b w:val="0"/>
                <w:color w:val="1F497D" w:themeColor="text2"/>
                <w:sz w:val="18"/>
                <w:szCs w:val="18"/>
              </w:rPr>
            </w:pPr>
            <w:r w:rsidRPr="00E83EBD">
              <w:rPr>
                <w:rFonts w:ascii="Arial" w:eastAsia="TimesNewRoman" w:hAnsi="Arial" w:cs="Arial"/>
                <w:b w:val="0"/>
                <w:color w:val="1F497D" w:themeColor="text2"/>
                <w:sz w:val="18"/>
                <w:szCs w:val="18"/>
              </w:rPr>
              <w:t>Spinal cord compression or brain metastases unless asymptomatic, stable and not requiring steroids for at least 4 weeks prior to start of study treatment.</w:t>
            </w:r>
          </w:p>
        </w:tc>
        <w:tc>
          <w:tcPr>
            <w:tcW w:w="1397" w:type="dxa"/>
          </w:tcPr>
          <w:p w14:paraId="04366D96"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2" w:type="dxa"/>
          </w:tcPr>
          <w:p w14:paraId="3716C6BE"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411" w:type="dxa"/>
          </w:tcPr>
          <w:p w14:paraId="7FD34A26" w14:textId="77777777" w:rsidR="00661663" w:rsidRPr="00E83EBD" w:rsidRDefault="00661663"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c>
          <w:tcPr>
            <w:tcW w:w="1527" w:type="dxa"/>
            <w:shd w:val="clear" w:color="auto" w:fill="DDD9C3" w:themeFill="background2" w:themeFillShade="E6"/>
          </w:tcPr>
          <w:p w14:paraId="67D09FEB" w14:textId="77777777" w:rsidR="00661663" w:rsidRPr="00E83EBD" w:rsidRDefault="00BF7E7F" w:rsidP="00EA5C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E83EBD">
              <w:rPr>
                <w:rFonts w:ascii="Arial" w:hAnsi="Arial" w:cs="Arial"/>
                <w:color w:val="1F497D" w:themeColor="text2"/>
                <w:sz w:val="18"/>
                <w:szCs w:val="18"/>
              </w:rPr>
              <w:sym w:font="Wingdings 2" w:char="F050"/>
            </w:r>
          </w:p>
        </w:tc>
      </w:tr>
    </w:tbl>
    <w:p w14:paraId="4B1DC0CD" w14:textId="77777777" w:rsidR="00AA5948" w:rsidRPr="004E0E06" w:rsidRDefault="00AA5948" w:rsidP="000C5EB3">
      <w:pPr>
        <w:spacing w:before="120" w:after="120"/>
        <w:rPr>
          <w:rFonts w:ascii="Arial" w:eastAsia="Times New Roman" w:hAnsi="Arial" w:cs="Arial"/>
          <w:color w:val="1F497D" w:themeColor="text2"/>
          <w:sz w:val="18"/>
          <w:szCs w:val="20"/>
          <w:lang w:val="en-GB" w:eastAsia="ja-JP"/>
        </w:rPr>
      </w:pPr>
      <w:r w:rsidRPr="004E0E06">
        <w:rPr>
          <w:rFonts w:ascii="Arial" w:eastAsia="Times New Roman" w:hAnsi="Arial" w:cs="Arial"/>
          <w:color w:val="1F497D" w:themeColor="text2"/>
          <w:sz w:val="18"/>
          <w:szCs w:val="20"/>
          <w:lang w:val="en-GB" w:eastAsia="ja-JP"/>
        </w:rPr>
        <w:t xml:space="preserve">ⱡ AURAEX is the </w:t>
      </w:r>
      <w:r w:rsidR="006F1189" w:rsidRPr="004E0E06">
        <w:rPr>
          <w:rFonts w:ascii="Arial" w:eastAsia="Times New Roman" w:hAnsi="Arial" w:cs="Arial"/>
          <w:color w:val="1F497D" w:themeColor="text2"/>
          <w:sz w:val="18"/>
          <w:szCs w:val="20"/>
          <w:lang w:val="en-GB" w:eastAsia="ja-JP"/>
        </w:rPr>
        <w:t>Extension Phase</w:t>
      </w:r>
      <w:r w:rsidRPr="004E0E06">
        <w:rPr>
          <w:rFonts w:ascii="Arial" w:eastAsia="Times New Roman" w:hAnsi="Arial" w:cs="Arial"/>
          <w:color w:val="1F497D" w:themeColor="text2"/>
          <w:sz w:val="18"/>
          <w:szCs w:val="20"/>
          <w:lang w:val="en-GB" w:eastAsia="ja-JP"/>
        </w:rPr>
        <w:t xml:space="preserve"> of the AURA Study commenc</w:t>
      </w:r>
      <w:r w:rsidR="004E0E06" w:rsidRPr="004E0E06">
        <w:rPr>
          <w:rFonts w:ascii="Arial" w:eastAsia="Times New Roman" w:hAnsi="Arial" w:cs="Arial"/>
          <w:color w:val="1F497D" w:themeColor="text2"/>
          <w:sz w:val="18"/>
          <w:szCs w:val="20"/>
          <w:lang w:val="en-GB" w:eastAsia="ja-JP"/>
        </w:rPr>
        <w:t>ed following completion of the Escalation and Expansion</w:t>
      </w:r>
      <w:r w:rsidRPr="004E0E06">
        <w:rPr>
          <w:rFonts w:ascii="Arial" w:eastAsia="Times New Roman" w:hAnsi="Arial" w:cs="Arial"/>
          <w:color w:val="1F497D" w:themeColor="text2"/>
          <w:sz w:val="18"/>
          <w:szCs w:val="20"/>
          <w:lang w:val="en-GB" w:eastAsia="ja-JP"/>
        </w:rPr>
        <w:t xml:space="preserve"> Phase</w:t>
      </w:r>
      <w:r w:rsidR="004E0E06" w:rsidRPr="004E0E06">
        <w:rPr>
          <w:rFonts w:ascii="Arial" w:eastAsia="Times New Roman" w:hAnsi="Arial" w:cs="Arial"/>
          <w:color w:val="1F497D" w:themeColor="text2"/>
          <w:sz w:val="18"/>
          <w:szCs w:val="20"/>
          <w:lang w:val="en-GB" w:eastAsia="ja-JP"/>
        </w:rPr>
        <w:t>s. ^</w:t>
      </w:r>
      <w:r w:rsidR="004E0E06" w:rsidRPr="004E0E06">
        <w:rPr>
          <w:rFonts w:ascii="Arial" w:hAnsi="Arial" w:cs="Arial"/>
          <w:color w:val="1F497D" w:themeColor="text2"/>
          <w:sz w:val="18"/>
          <w:szCs w:val="18"/>
        </w:rPr>
        <w:t>Escalation phase did not preselect by T790M status</w:t>
      </w:r>
      <w:r w:rsidR="004E0E06">
        <w:rPr>
          <w:rFonts w:ascii="Arial" w:hAnsi="Arial" w:cs="Arial"/>
          <w:color w:val="1F497D" w:themeColor="text2"/>
          <w:sz w:val="18"/>
          <w:szCs w:val="18"/>
        </w:rPr>
        <w:t>.</w:t>
      </w:r>
    </w:p>
    <w:p w14:paraId="4F7A53A9" w14:textId="77777777" w:rsidR="009F6E28" w:rsidRDefault="009F6E28" w:rsidP="000C5EB3">
      <w:pPr>
        <w:spacing w:before="120" w:after="120"/>
        <w:rPr>
          <w:rFonts w:ascii="Arial" w:hAnsi="Arial" w:cs="Arial"/>
        </w:rPr>
      </w:pPr>
    </w:p>
    <w:p w14:paraId="22E85669" w14:textId="77777777" w:rsidR="009E56E6" w:rsidRPr="00AA0C2E" w:rsidRDefault="009E56E6" w:rsidP="00E83EBD">
      <w:pPr>
        <w:spacing w:before="120" w:after="120" w:line="360" w:lineRule="auto"/>
        <w:rPr>
          <w:rFonts w:ascii="Arial" w:hAnsi="Arial" w:cs="Arial"/>
        </w:rPr>
      </w:pPr>
      <w:r w:rsidRPr="00AA0C2E">
        <w:rPr>
          <w:rFonts w:ascii="Arial" w:hAnsi="Arial" w:cs="Arial"/>
          <w:u w:val="single"/>
        </w:rPr>
        <w:t>Details of expected utilisation</w:t>
      </w:r>
      <w:r w:rsidR="00810C91" w:rsidRPr="00AA0C2E">
        <w:rPr>
          <w:rFonts w:ascii="Arial" w:hAnsi="Arial" w:cs="Arial"/>
          <w:u w:val="single"/>
        </w:rPr>
        <w:t>, if ser</w:t>
      </w:r>
      <w:r w:rsidR="006604C2" w:rsidRPr="00AA0C2E">
        <w:rPr>
          <w:rFonts w:ascii="Arial" w:hAnsi="Arial" w:cs="Arial"/>
          <w:u w:val="single"/>
        </w:rPr>
        <w:t>vice is to be publically funded</w:t>
      </w:r>
      <w:r w:rsidR="006604C2" w:rsidRPr="00AA0C2E">
        <w:rPr>
          <w:rFonts w:ascii="Arial" w:hAnsi="Arial" w:cs="Arial"/>
        </w:rPr>
        <w:t>:</w:t>
      </w:r>
    </w:p>
    <w:p w14:paraId="4647AFB8" w14:textId="77777777" w:rsidR="00487045" w:rsidRPr="00AA0C2E" w:rsidRDefault="00487045" w:rsidP="00E83EBD">
      <w:pPr>
        <w:spacing w:before="120" w:after="120" w:line="360" w:lineRule="auto"/>
        <w:jc w:val="both"/>
        <w:rPr>
          <w:rFonts w:ascii="Arial" w:hAnsi="Arial" w:cs="Arial"/>
        </w:rPr>
      </w:pPr>
      <w:r w:rsidRPr="00AA0C2E">
        <w:rPr>
          <w:rFonts w:ascii="Arial" w:hAnsi="Arial" w:cs="Arial"/>
        </w:rPr>
        <w:t>The infrastructure required for a</w:t>
      </w:r>
      <w:r w:rsidR="00412444" w:rsidRPr="00AA0C2E">
        <w:rPr>
          <w:rFonts w:ascii="Arial" w:hAnsi="Arial" w:cs="Arial"/>
        </w:rPr>
        <w:t xml:space="preserve"> </w:t>
      </w:r>
      <w:r w:rsidRPr="00AA0C2E">
        <w:rPr>
          <w:rFonts w:ascii="Arial" w:hAnsi="Arial" w:cs="Arial"/>
        </w:rPr>
        <w:t xml:space="preserve">biopsy and EGFR mutation test is already in place in the Australian health system. </w:t>
      </w:r>
      <w:r w:rsidR="002F48D5" w:rsidRPr="00AA0C2E">
        <w:rPr>
          <w:rFonts w:ascii="Arial" w:hAnsi="Arial" w:cs="Arial"/>
        </w:rPr>
        <w:t>Prior to reimbursement of EGFR mutation testing and EGFR TKIs in 2014, it was</w:t>
      </w:r>
      <w:r w:rsidRPr="00AA0C2E">
        <w:rPr>
          <w:rFonts w:ascii="Arial" w:hAnsi="Arial" w:cs="Arial"/>
        </w:rPr>
        <w:t xml:space="preserve"> </w:t>
      </w:r>
      <w:r w:rsidR="002F48D5" w:rsidRPr="00AA0C2E">
        <w:rPr>
          <w:rFonts w:ascii="Arial" w:hAnsi="Arial" w:cs="Arial"/>
        </w:rPr>
        <w:t>estimated</w:t>
      </w:r>
      <w:r w:rsidRPr="00AA0C2E">
        <w:rPr>
          <w:rFonts w:ascii="Arial" w:hAnsi="Arial" w:cs="Arial"/>
        </w:rPr>
        <w:t xml:space="preserve"> that approximately 7</w:t>
      </w:r>
      <w:r w:rsidR="00DF67C7" w:rsidRPr="00AA0C2E">
        <w:rPr>
          <w:rFonts w:ascii="Arial" w:hAnsi="Arial" w:cs="Arial"/>
        </w:rPr>
        <w:t>10</w:t>
      </w:r>
      <w:r w:rsidRPr="00AA0C2E">
        <w:rPr>
          <w:rFonts w:ascii="Arial" w:hAnsi="Arial" w:cs="Arial"/>
        </w:rPr>
        <w:t xml:space="preserve"> Australian</w:t>
      </w:r>
      <w:r w:rsidR="00412444" w:rsidRPr="00AA0C2E">
        <w:rPr>
          <w:rFonts w:ascii="Arial" w:hAnsi="Arial" w:cs="Arial"/>
        </w:rPr>
        <w:t xml:space="preserve"> </w:t>
      </w:r>
      <w:proofErr w:type="spellStart"/>
      <w:r w:rsidR="00412444" w:rsidRPr="00AA0C2E">
        <w:rPr>
          <w:rFonts w:ascii="Arial" w:hAnsi="Arial" w:cs="Arial"/>
        </w:rPr>
        <w:t>EGFRm</w:t>
      </w:r>
      <w:proofErr w:type="spellEnd"/>
      <w:r w:rsidRPr="00AA0C2E">
        <w:rPr>
          <w:rFonts w:ascii="Arial" w:hAnsi="Arial" w:cs="Arial"/>
        </w:rPr>
        <w:t xml:space="preserve"> NSCLC patients </w:t>
      </w:r>
      <w:r w:rsidR="002F48D5" w:rsidRPr="00AA0C2E">
        <w:rPr>
          <w:rFonts w:ascii="Arial" w:hAnsi="Arial" w:cs="Arial"/>
        </w:rPr>
        <w:t xml:space="preserve">would be eligible </w:t>
      </w:r>
      <w:r w:rsidRPr="00AA0C2E">
        <w:rPr>
          <w:rFonts w:ascii="Arial" w:hAnsi="Arial" w:cs="Arial"/>
        </w:rPr>
        <w:t>to be treated with a</w:t>
      </w:r>
      <w:r w:rsidR="006822E9" w:rsidRPr="00AA0C2E">
        <w:rPr>
          <w:rFonts w:ascii="Arial" w:hAnsi="Arial" w:cs="Arial"/>
        </w:rPr>
        <w:t>n EGFR</w:t>
      </w:r>
      <w:r w:rsidRPr="00AA0C2E">
        <w:rPr>
          <w:rFonts w:ascii="Arial" w:hAnsi="Arial" w:cs="Arial"/>
        </w:rPr>
        <w:t xml:space="preserve"> TKI</w:t>
      </w:r>
      <w:r w:rsidR="00BA769C" w:rsidRPr="00AA0C2E">
        <w:rPr>
          <w:rFonts w:ascii="Arial" w:hAnsi="Arial" w:cs="Arial"/>
        </w:rPr>
        <w:t xml:space="preserve"> in the first-line setting. </w:t>
      </w:r>
      <w:r w:rsidR="00612958" w:rsidRPr="00AA0C2E">
        <w:rPr>
          <w:rFonts w:ascii="Arial" w:hAnsi="Arial" w:cs="Arial"/>
        </w:rPr>
        <w:t xml:space="preserve">It is this EGFR TKI pre-treated population who </w:t>
      </w:r>
      <w:r w:rsidR="008A0F08" w:rsidRPr="00AA0C2E">
        <w:rPr>
          <w:rFonts w:ascii="Arial" w:hAnsi="Arial" w:cs="Arial"/>
        </w:rPr>
        <w:t>may</w:t>
      </w:r>
      <w:r w:rsidR="00612958" w:rsidRPr="00AA0C2E">
        <w:rPr>
          <w:rFonts w:ascii="Arial" w:hAnsi="Arial" w:cs="Arial"/>
        </w:rPr>
        <w:t xml:space="preserve"> receive the proposed </w:t>
      </w:r>
      <w:r w:rsidR="008A0F08" w:rsidRPr="00AA0C2E">
        <w:rPr>
          <w:rFonts w:ascii="Arial" w:hAnsi="Arial" w:cs="Arial"/>
        </w:rPr>
        <w:t>additional</w:t>
      </w:r>
      <w:r w:rsidR="00612958" w:rsidRPr="00AA0C2E">
        <w:rPr>
          <w:rFonts w:ascii="Arial" w:hAnsi="Arial" w:cs="Arial"/>
        </w:rPr>
        <w:t xml:space="preserve"> EGFR </w:t>
      </w:r>
      <w:r w:rsidR="008A0F08" w:rsidRPr="00AA0C2E">
        <w:rPr>
          <w:rFonts w:ascii="Arial" w:hAnsi="Arial" w:cs="Arial"/>
        </w:rPr>
        <w:t xml:space="preserve">mutation </w:t>
      </w:r>
      <w:r w:rsidR="00612958" w:rsidRPr="00AA0C2E">
        <w:rPr>
          <w:rFonts w:ascii="Arial" w:hAnsi="Arial" w:cs="Arial"/>
        </w:rPr>
        <w:t xml:space="preserve">testing service, with the assumption that </w:t>
      </w:r>
      <w:r w:rsidR="008A0F08" w:rsidRPr="00AA0C2E">
        <w:rPr>
          <w:rFonts w:ascii="Arial" w:hAnsi="Arial" w:cs="Arial"/>
        </w:rPr>
        <w:t xml:space="preserve">locally advanced or metastatic </w:t>
      </w:r>
      <w:r w:rsidR="00352A5E" w:rsidRPr="00AA0C2E">
        <w:rPr>
          <w:rFonts w:ascii="Arial" w:hAnsi="Arial" w:cs="Arial"/>
        </w:rPr>
        <w:t>disease eventually will progress</w:t>
      </w:r>
      <w:r w:rsidR="008A0F08" w:rsidRPr="00AA0C2E">
        <w:rPr>
          <w:rFonts w:ascii="Arial" w:hAnsi="Arial" w:cs="Arial"/>
        </w:rPr>
        <w:t xml:space="preserve">. </w:t>
      </w:r>
      <w:r w:rsidR="00DF67C7" w:rsidRPr="00AA0C2E">
        <w:rPr>
          <w:rFonts w:ascii="Arial" w:hAnsi="Arial" w:cs="Arial"/>
        </w:rPr>
        <w:t xml:space="preserve"> Additionally, i</w:t>
      </w:r>
      <w:r w:rsidR="00FA6432" w:rsidRPr="00AA0C2E">
        <w:rPr>
          <w:rFonts w:ascii="Arial" w:hAnsi="Arial" w:cs="Arial"/>
        </w:rPr>
        <w:t xml:space="preserve">n the </w:t>
      </w:r>
      <w:r w:rsidR="00564F33" w:rsidRPr="00AA0C2E">
        <w:rPr>
          <w:rFonts w:ascii="Arial" w:hAnsi="Arial" w:cs="Arial"/>
        </w:rPr>
        <w:t>initial years</w:t>
      </w:r>
      <w:r w:rsidR="00FA6432" w:rsidRPr="00AA0C2E">
        <w:rPr>
          <w:rFonts w:ascii="Arial" w:hAnsi="Arial" w:cs="Arial"/>
        </w:rPr>
        <w:t xml:space="preserve"> of </w:t>
      </w:r>
      <w:r w:rsidR="00564F33" w:rsidRPr="00AA0C2E">
        <w:rPr>
          <w:rFonts w:ascii="Arial" w:hAnsi="Arial" w:cs="Arial"/>
        </w:rPr>
        <w:t xml:space="preserve">the proposed </w:t>
      </w:r>
      <w:r w:rsidR="00FA6432" w:rsidRPr="00AA0C2E">
        <w:rPr>
          <w:rFonts w:ascii="Arial" w:hAnsi="Arial" w:cs="Arial"/>
        </w:rPr>
        <w:t xml:space="preserve">listing, </w:t>
      </w:r>
      <w:r w:rsidR="004E0E06" w:rsidRPr="00AA0C2E">
        <w:rPr>
          <w:rFonts w:ascii="Arial" w:hAnsi="Arial" w:cs="Arial"/>
        </w:rPr>
        <w:t xml:space="preserve">there will be </w:t>
      </w:r>
      <w:r w:rsidR="00DB0057" w:rsidRPr="00AA0C2E">
        <w:rPr>
          <w:rFonts w:ascii="Arial" w:hAnsi="Arial" w:cs="Arial"/>
        </w:rPr>
        <w:t xml:space="preserve">a pool of prevalent </w:t>
      </w:r>
      <w:r w:rsidR="00FA6432" w:rsidRPr="00AA0C2E">
        <w:rPr>
          <w:rFonts w:ascii="Arial" w:hAnsi="Arial" w:cs="Arial"/>
        </w:rPr>
        <w:t>patients</w:t>
      </w:r>
      <w:r w:rsidR="00DB0057" w:rsidRPr="00AA0C2E">
        <w:rPr>
          <w:rFonts w:ascii="Arial" w:hAnsi="Arial" w:cs="Arial"/>
        </w:rPr>
        <w:t>,</w:t>
      </w:r>
      <w:r w:rsidR="00FA6432" w:rsidRPr="00AA0C2E">
        <w:rPr>
          <w:rFonts w:ascii="Arial" w:hAnsi="Arial" w:cs="Arial"/>
        </w:rPr>
        <w:t xml:space="preserve"> who have previously received and progressed on an EGFR TKI </w:t>
      </w:r>
      <w:r w:rsidR="00DB0057" w:rsidRPr="00AA0C2E">
        <w:rPr>
          <w:rFonts w:ascii="Arial" w:hAnsi="Arial" w:cs="Arial"/>
        </w:rPr>
        <w:t xml:space="preserve">and may be eligible </w:t>
      </w:r>
      <w:r w:rsidR="00DB0057" w:rsidRPr="00AA0C2E">
        <w:rPr>
          <w:rFonts w:ascii="Arial" w:hAnsi="Arial" w:cs="Arial"/>
        </w:rPr>
        <w:lastRenderedPageBreak/>
        <w:t>for this service</w:t>
      </w:r>
      <w:r w:rsidR="00D82D24" w:rsidRPr="00AA0C2E">
        <w:rPr>
          <w:rFonts w:ascii="Arial" w:hAnsi="Arial" w:cs="Arial"/>
        </w:rPr>
        <w:t>.</w:t>
      </w:r>
      <w:r w:rsidR="00DB0057" w:rsidRPr="00AA0C2E">
        <w:rPr>
          <w:rFonts w:ascii="Arial" w:hAnsi="Arial" w:cs="Arial"/>
        </w:rPr>
        <w:t xml:space="preserve"> This prevalent population will be estimated in the submission</w:t>
      </w:r>
      <w:r w:rsidR="00DF67C7" w:rsidRPr="00AA0C2E">
        <w:rPr>
          <w:rFonts w:ascii="Arial" w:hAnsi="Arial" w:cs="Arial"/>
        </w:rPr>
        <w:t xml:space="preserve">. </w:t>
      </w:r>
      <w:r w:rsidR="00564F33" w:rsidRPr="00AA0C2E">
        <w:rPr>
          <w:rFonts w:ascii="Arial" w:hAnsi="Arial" w:cs="Arial"/>
        </w:rPr>
        <w:t xml:space="preserve">Estimated numbers of </w:t>
      </w:r>
      <w:r w:rsidR="00DB0057" w:rsidRPr="00AA0C2E">
        <w:rPr>
          <w:rFonts w:ascii="Arial" w:hAnsi="Arial" w:cs="Arial"/>
        </w:rPr>
        <w:t xml:space="preserve">incident </w:t>
      </w:r>
      <w:r w:rsidR="00564F33" w:rsidRPr="00AA0C2E">
        <w:rPr>
          <w:rFonts w:ascii="Arial" w:hAnsi="Arial" w:cs="Arial"/>
        </w:rPr>
        <w:t xml:space="preserve">patients </w:t>
      </w:r>
      <w:r w:rsidR="00D82D24" w:rsidRPr="00AA0C2E">
        <w:rPr>
          <w:rFonts w:ascii="Arial" w:hAnsi="Arial" w:cs="Arial"/>
        </w:rPr>
        <w:t xml:space="preserve">in the first year </w:t>
      </w:r>
      <w:r w:rsidR="00C73AEA" w:rsidRPr="00AA0C2E">
        <w:rPr>
          <w:rFonts w:ascii="Arial" w:hAnsi="Arial" w:cs="Arial"/>
        </w:rPr>
        <w:t xml:space="preserve">are shown in </w:t>
      </w:r>
      <w:r w:rsidR="00C73AEA" w:rsidRPr="00AA0C2E">
        <w:rPr>
          <w:rFonts w:ascii="Arial" w:hAnsi="Arial" w:cs="Arial"/>
        </w:rPr>
        <w:fldChar w:fldCharType="begin"/>
      </w:r>
      <w:r w:rsidR="00C73AEA" w:rsidRPr="00AA0C2E">
        <w:rPr>
          <w:rFonts w:ascii="Arial" w:hAnsi="Arial" w:cs="Arial"/>
        </w:rPr>
        <w:instrText xml:space="preserve"> REF _Ref417550778 \h  \* MERGEFORMAT </w:instrText>
      </w:r>
      <w:r w:rsidR="00C73AEA" w:rsidRPr="00AA0C2E">
        <w:rPr>
          <w:rFonts w:ascii="Arial" w:hAnsi="Arial" w:cs="Arial"/>
        </w:rPr>
      </w:r>
      <w:r w:rsidR="00C73AEA" w:rsidRPr="00AA0C2E">
        <w:rPr>
          <w:rFonts w:ascii="Arial" w:hAnsi="Arial" w:cs="Arial"/>
        </w:rPr>
        <w:fldChar w:fldCharType="separate"/>
      </w:r>
      <w:r w:rsidR="00710C32" w:rsidRPr="00710C32">
        <w:rPr>
          <w:rFonts w:ascii="Arial" w:hAnsi="Arial" w:cs="Arial"/>
        </w:rPr>
        <w:t>Figure 1</w:t>
      </w:r>
      <w:r w:rsidR="00C73AEA" w:rsidRPr="00AA0C2E">
        <w:rPr>
          <w:rFonts w:ascii="Arial" w:hAnsi="Arial" w:cs="Arial"/>
        </w:rPr>
        <w:fldChar w:fldCharType="end"/>
      </w:r>
      <w:r w:rsidR="00C73AEA" w:rsidRPr="00AA0C2E">
        <w:rPr>
          <w:rFonts w:ascii="Arial" w:hAnsi="Arial" w:cs="Arial"/>
        </w:rPr>
        <w:t>.</w:t>
      </w:r>
    </w:p>
    <w:p w14:paraId="472CFAD0" w14:textId="06FD85F1" w:rsidR="00502D61" w:rsidRPr="00AA0C2E" w:rsidRDefault="002C10A8">
      <w:pPr>
        <w:spacing w:line="360" w:lineRule="auto"/>
        <w:jc w:val="both"/>
        <w:rPr>
          <w:rFonts w:ascii="Arial" w:hAnsi="Arial" w:cs="Arial"/>
        </w:rPr>
      </w:pPr>
      <w:r w:rsidRPr="00312075">
        <w:rPr>
          <w:rFonts w:ascii="Arial" w:hAnsi="Arial" w:cs="Arial"/>
        </w:rPr>
        <w:t>Methodologies to obtain circulating-tumour (</w:t>
      </w:r>
      <w:proofErr w:type="spellStart"/>
      <w:r w:rsidRPr="00312075">
        <w:rPr>
          <w:rFonts w:ascii="Arial" w:hAnsi="Arial" w:cs="Arial"/>
        </w:rPr>
        <w:t>ct</w:t>
      </w:r>
      <w:proofErr w:type="spellEnd"/>
      <w:r w:rsidRPr="00312075">
        <w:rPr>
          <w:rFonts w:ascii="Arial" w:hAnsi="Arial" w:cs="Arial"/>
        </w:rPr>
        <w:t xml:space="preserve">) DNA </w:t>
      </w:r>
      <w:r w:rsidR="00E83EBD" w:rsidRPr="00312075">
        <w:rPr>
          <w:rFonts w:ascii="Arial" w:hAnsi="Arial" w:cs="Arial"/>
        </w:rPr>
        <w:t xml:space="preserve">from </w:t>
      </w:r>
      <w:r w:rsidRPr="00312075">
        <w:rPr>
          <w:rFonts w:ascii="Arial" w:hAnsi="Arial" w:cs="Arial"/>
        </w:rPr>
        <w:t xml:space="preserve">plasma samples to </w:t>
      </w:r>
      <w:r w:rsidR="00E83EBD" w:rsidRPr="00312075">
        <w:rPr>
          <w:rFonts w:ascii="Arial" w:hAnsi="Arial" w:cs="Arial"/>
        </w:rPr>
        <w:t xml:space="preserve">use to </w:t>
      </w:r>
      <w:r w:rsidRPr="00312075">
        <w:rPr>
          <w:rFonts w:ascii="Arial" w:hAnsi="Arial" w:cs="Arial"/>
        </w:rPr>
        <w:t>determinat</w:t>
      </w:r>
      <w:r w:rsidR="00E83EBD" w:rsidRPr="00312075">
        <w:rPr>
          <w:rFonts w:ascii="Arial" w:hAnsi="Arial" w:cs="Arial"/>
        </w:rPr>
        <w:t xml:space="preserve">e </w:t>
      </w:r>
      <w:r w:rsidRPr="00312075">
        <w:rPr>
          <w:rFonts w:ascii="Arial" w:hAnsi="Arial" w:cs="Arial"/>
        </w:rPr>
        <w:t>T790M status</w:t>
      </w:r>
      <w:r w:rsidR="00FF26F1" w:rsidRPr="00217570">
        <w:rPr>
          <w:rFonts w:ascii="Arial" w:hAnsi="Arial" w:cs="Arial"/>
        </w:rPr>
        <w:t xml:space="preserve"> and appropriateness for treatment with </w:t>
      </w:r>
      <w:r w:rsidR="00312075" w:rsidRPr="00217570">
        <w:rPr>
          <w:rFonts w:ascii="Arial" w:hAnsi="Arial" w:cs="Arial"/>
        </w:rPr>
        <w:t>AZD9291</w:t>
      </w:r>
      <w:r w:rsidRPr="00312075">
        <w:rPr>
          <w:rFonts w:ascii="Arial" w:hAnsi="Arial" w:cs="Arial"/>
        </w:rPr>
        <w:t xml:space="preserve"> </w:t>
      </w:r>
      <w:r w:rsidR="00E83EBD" w:rsidRPr="00312075">
        <w:rPr>
          <w:rFonts w:ascii="Arial" w:hAnsi="Arial" w:cs="Arial"/>
        </w:rPr>
        <w:t>are</w:t>
      </w:r>
      <w:r w:rsidR="00352A5E" w:rsidRPr="00312075">
        <w:rPr>
          <w:rFonts w:ascii="Arial" w:hAnsi="Arial" w:cs="Arial"/>
        </w:rPr>
        <w:t xml:space="preserve"> in development. </w:t>
      </w:r>
      <w:r w:rsidR="002E0410">
        <w:rPr>
          <w:rFonts w:ascii="Arial" w:hAnsi="Arial" w:cs="Arial"/>
        </w:rPr>
        <w:t>Plasma sampling will overcome the potential impact of tumour heterogeneity</w:t>
      </w:r>
      <w:r w:rsidR="00A65A83">
        <w:rPr>
          <w:rFonts w:ascii="Arial" w:hAnsi="Arial" w:cs="Arial"/>
        </w:rPr>
        <w:t>,</w:t>
      </w:r>
      <w:r w:rsidR="002E0410">
        <w:rPr>
          <w:rFonts w:ascii="Arial" w:hAnsi="Arial" w:cs="Arial"/>
        </w:rPr>
        <w:t xml:space="preserve"> where acquired resistance may not develop equally</w:t>
      </w:r>
      <w:r w:rsidR="00A65A83">
        <w:rPr>
          <w:rFonts w:ascii="Arial" w:hAnsi="Arial" w:cs="Arial"/>
        </w:rPr>
        <w:t>,</w:t>
      </w:r>
      <w:r w:rsidR="002E0410">
        <w:rPr>
          <w:rFonts w:ascii="Arial" w:hAnsi="Arial" w:cs="Arial"/>
        </w:rPr>
        <w:t xml:space="preserve"> and</w:t>
      </w:r>
      <w:r w:rsidR="00A65A83">
        <w:rPr>
          <w:rFonts w:ascii="Arial" w:hAnsi="Arial" w:cs="Arial"/>
        </w:rPr>
        <w:t xml:space="preserve"> be missed by tissue biopsy of </w:t>
      </w:r>
      <w:r w:rsidR="002E0410">
        <w:rPr>
          <w:rFonts w:ascii="Arial" w:hAnsi="Arial" w:cs="Arial"/>
        </w:rPr>
        <w:t xml:space="preserve">one </w:t>
      </w:r>
      <w:r w:rsidR="00A65A83">
        <w:rPr>
          <w:rFonts w:ascii="Arial" w:hAnsi="Arial" w:cs="Arial"/>
        </w:rPr>
        <w:t>tumour at one location only</w:t>
      </w:r>
      <w:r w:rsidR="002E0410">
        <w:rPr>
          <w:rFonts w:ascii="Arial" w:hAnsi="Arial" w:cs="Arial"/>
        </w:rPr>
        <w:t xml:space="preserve">. </w:t>
      </w:r>
    </w:p>
    <w:p w14:paraId="239ED6A8" w14:textId="77777777" w:rsidR="00034209" w:rsidRPr="00AA0C2E" w:rsidRDefault="00C126A7" w:rsidP="00833F7E">
      <w:pPr>
        <w:spacing w:line="360" w:lineRule="auto"/>
        <w:jc w:val="both"/>
        <w:rPr>
          <w:rFonts w:ascii="Arial" w:hAnsi="Arial" w:cs="Arial"/>
        </w:rPr>
      </w:pPr>
      <w:r w:rsidRPr="00AA0C2E">
        <w:rPr>
          <w:rFonts w:ascii="Arial" w:hAnsi="Arial" w:cs="Arial"/>
        </w:rPr>
        <w:t xml:space="preserve">The </w:t>
      </w:r>
      <w:r w:rsidR="009D53ED" w:rsidRPr="00AA0C2E">
        <w:rPr>
          <w:rFonts w:ascii="Arial" w:hAnsi="Arial" w:cs="Arial"/>
        </w:rPr>
        <w:t xml:space="preserve">MBS item statistics </w:t>
      </w:r>
      <w:r w:rsidRPr="00AA0C2E">
        <w:rPr>
          <w:rFonts w:ascii="Arial" w:hAnsi="Arial" w:cs="Arial"/>
        </w:rPr>
        <w:t xml:space="preserve">presented in the protocol critique </w:t>
      </w:r>
      <w:r w:rsidR="009D53ED" w:rsidRPr="00AA0C2E">
        <w:rPr>
          <w:rFonts w:ascii="Arial" w:hAnsi="Arial" w:cs="Arial"/>
        </w:rPr>
        <w:t xml:space="preserve">are less than anticipated </w:t>
      </w:r>
      <w:r w:rsidRPr="00AA0C2E">
        <w:rPr>
          <w:rFonts w:ascii="Arial" w:hAnsi="Arial" w:cs="Arial"/>
        </w:rPr>
        <w:t xml:space="preserve">based on an expected </w:t>
      </w:r>
      <w:r w:rsidR="009D53ED" w:rsidRPr="00AA0C2E">
        <w:rPr>
          <w:rFonts w:ascii="Arial" w:hAnsi="Arial" w:cs="Arial"/>
        </w:rPr>
        <w:t>15%</w:t>
      </w:r>
      <w:r w:rsidRPr="00AA0C2E">
        <w:rPr>
          <w:rFonts w:ascii="Arial" w:hAnsi="Arial" w:cs="Arial"/>
        </w:rPr>
        <w:t xml:space="preserve"> prevalence (n </w:t>
      </w:r>
      <w:r w:rsidR="009D53ED" w:rsidRPr="00AA0C2E">
        <w:rPr>
          <w:rFonts w:ascii="Arial" w:hAnsi="Arial" w:cs="Arial"/>
        </w:rPr>
        <w:t>= 710</w:t>
      </w:r>
      <w:r w:rsidRPr="00AA0C2E">
        <w:rPr>
          <w:rFonts w:ascii="Arial" w:hAnsi="Arial" w:cs="Arial"/>
        </w:rPr>
        <w:t xml:space="preserve"> </w:t>
      </w:r>
      <w:proofErr w:type="spellStart"/>
      <w:r w:rsidRPr="00AA0C2E">
        <w:rPr>
          <w:rFonts w:ascii="Arial" w:hAnsi="Arial" w:cs="Arial"/>
        </w:rPr>
        <w:t>EGFRm</w:t>
      </w:r>
      <w:proofErr w:type="spellEnd"/>
      <w:r w:rsidRPr="00AA0C2E">
        <w:rPr>
          <w:rFonts w:ascii="Arial" w:hAnsi="Arial" w:cs="Arial"/>
        </w:rPr>
        <w:t xml:space="preserve"> patients</w:t>
      </w:r>
      <w:r w:rsidR="009D53ED" w:rsidRPr="00AA0C2E">
        <w:rPr>
          <w:rFonts w:ascii="Arial" w:hAnsi="Arial" w:cs="Arial"/>
        </w:rPr>
        <w:t xml:space="preserve">, total tests&gt;4,000 per year). </w:t>
      </w:r>
      <w:r w:rsidR="006D3F66" w:rsidRPr="00AA0C2E">
        <w:rPr>
          <w:rFonts w:ascii="Arial" w:hAnsi="Arial" w:cs="Arial"/>
        </w:rPr>
        <w:t>Potential r</w:t>
      </w:r>
      <w:r w:rsidR="009D53ED" w:rsidRPr="00AA0C2E">
        <w:rPr>
          <w:rFonts w:ascii="Arial" w:hAnsi="Arial" w:cs="Arial"/>
        </w:rPr>
        <w:t>easons include</w:t>
      </w:r>
      <w:r w:rsidR="006D3F66" w:rsidRPr="00AA0C2E">
        <w:rPr>
          <w:rFonts w:ascii="Arial" w:hAnsi="Arial" w:cs="Arial"/>
        </w:rPr>
        <w:t xml:space="preserve"> claiming using the MBS item code </w:t>
      </w:r>
      <w:r w:rsidR="009D53ED" w:rsidRPr="00AA0C2E">
        <w:rPr>
          <w:rFonts w:ascii="Arial" w:hAnsi="Arial" w:cs="Arial"/>
        </w:rPr>
        <w:t>73328</w:t>
      </w:r>
      <w:r w:rsidR="006D3F66" w:rsidRPr="00AA0C2E">
        <w:rPr>
          <w:rFonts w:ascii="Arial" w:hAnsi="Arial" w:cs="Arial"/>
        </w:rPr>
        <w:t>, also for EGFR mutation testing,</w:t>
      </w:r>
      <w:r w:rsidR="009D53ED" w:rsidRPr="00AA0C2E">
        <w:rPr>
          <w:rFonts w:ascii="Arial" w:hAnsi="Arial" w:cs="Arial"/>
        </w:rPr>
        <w:t xml:space="preserve"> until</w:t>
      </w:r>
      <w:r w:rsidR="006D3F66" w:rsidRPr="00AA0C2E">
        <w:rPr>
          <w:rFonts w:ascii="Arial" w:hAnsi="Arial" w:cs="Arial"/>
        </w:rPr>
        <w:t xml:space="preserve"> it was deleted in</w:t>
      </w:r>
      <w:r w:rsidR="009D53ED" w:rsidRPr="00AA0C2E">
        <w:rPr>
          <w:rFonts w:ascii="Arial" w:hAnsi="Arial" w:cs="Arial"/>
        </w:rPr>
        <w:t xml:space="preserve"> October 2014; private testing via access programs; preselection based on phenotype; public lab</w:t>
      </w:r>
      <w:r w:rsidR="006D3F66" w:rsidRPr="00AA0C2E">
        <w:rPr>
          <w:rFonts w:ascii="Arial" w:hAnsi="Arial" w:cs="Arial"/>
        </w:rPr>
        <w:t>oratorie</w:t>
      </w:r>
      <w:r w:rsidR="009D53ED" w:rsidRPr="00AA0C2E">
        <w:rPr>
          <w:rFonts w:ascii="Arial" w:hAnsi="Arial" w:cs="Arial"/>
        </w:rPr>
        <w:t xml:space="preserve">s </w:t>
      </w:r>
      <w:r w:rsidR="006D3F66" w:rsidRPr="00AA0C2E">
        <w:rPr>
          <w:rFonts w:ascii="Arial" w:hAnsi="Arial" w:cs="Arial"/>
        </w:rPr>
        <w:t xml:space="preserve">are </w:t>
      </w:r>
      <w:r w:rsidR="009D53ED" w:rsidRPr="00AA0C2E">
        <w:rPr>
          <w:rFonts w:ascii="Arial" w:hAnsi="Arial" w:cs="Arial"/>
        </w:rPr>
        <w:t>funded via State Health Dep</w:t>
      </w:r>
      <w:r w:rsidR="006D3F66" w:rsidRPr="00AA0C2E">
        <w:rPr>
          <w:rFonts w:ascii="Arial" w:hAnsi="Arial" w:cs="Arial"/>
        </w:rPr>
        <w:t>artment</w:t>
      </w:r>
      <w:r w:rsidR="009D53ED" w:rsidRPr="00AA0C2E">
        <w:rPr>
          <w:rFonts w:ascii="Arial" w:hAnsi="Arial" w:cs="Arial"/>
        </w:rPr>
        <w:t xml:space="preserve">s and do not claim rebates via Commonwealth schemes; </w:t>
      </w:r>
      <w:r w:rsidR="008B4102" w:rsidRPr="00AA0C2E">
        <w:rPr>
          <w:rFonts w:ascii="Arial" w:hAnsi="Arial" w:cs="Arial"/>
        </w:rPr>
        <w:t>pathologists and medi</w:t>
      </w:r>
      <w:r w:rsidR="006D3F66" w:rsidRPr="00AA0C2E">
        <w:rPr>
          <w:rFonts w:ascii="Arial" w:hAnsi="Arial" w:cs="Arial"/>
        </w:rPr>
        <w:t>cal</w:t>
      </w:r>
      <w:r w:rsidR="008B4102" w:rsidRPr="00AA0C2E">
        <w:rPr>
          <w:rFonts w:ascii="Arial" w:hAnsi="Arial" w:cs="Arial"/>
        </w:rPr>
        <w:t xml:space="preserve"> oncol</w:t>
      </w:r>
      <w:r w:rsidR="006D3F66" w:rsidRPr="00AA0C2E">
        <w:rPr>
          <w:rFonts w:ascii="Arial" w:hAnsi="Arial" w:cs="Arial"/>
        </w:rPr>
        <w:t>ogist</w:t>
      </w:r>
      <w:r w:rsidR="008B4102" w:rsidRPr="00AA0C2E">
        <w:rPr>
          <w:rFonts w:ascii="Arial" w:hAnsi="Arial" w:cs="Arial"/>
        </w:rPr>
        <w:t xml:space="preserve">s not </w:t>
      </w:r>
      <w:r w:rsidR="006D3F66" w:rsidRPr="00AA0C2E">
        <w:rPr>
          <w:rFonts w:ascii="Arial" w:hAnsi="Arial" w:cs="Arial"/>
        </w:rPr>
        <w:t xml:space="preserve">being </w:t>
      </w:r>
      <w:r w:rsidR="008B4102" w:rsidRPr="00AA0C2E">
        <w:rPr>
          <w:rFonts w:ascii="Arial" w:hAnsi="Arial" w:cs="Arial"/>
        </w:rPr>
        <w:t>aware of the ‘pathologist determinable’ designation of the item.</w:t>
      </w:r>
    </w:p>
    <w:p w14:paraId="1F9D9D63" w14:textId="274B5ACD" w:rsidR="00C73AEA" w:rsidRDefault="00C73AEA" w:rsidP="00C73AEA">
      <w:pPr>
        <w:pStyle w:val="Caption"/>
      </w:pPr>
      <w:bookmarkStart w:id="2" w:name="_Ref417550778"/>
      <w:r>
        <w:t xml:space="preserve">Figure </w:t>
      </w:r>
      <w:r w:rsidR="00463EBB">
        <w:fldChar w:fldCharType="begin"/>
      </w:r>
      <w:r w:rsidR="00463EBB">
        <w:instrText xml:space="preserve"> SEQ Figure \* ARABIC </w:instrText>
      </w:r>
      <w:r w:rsidR="00463EBB">
        <w:fldChar w:fldCharType="separate"/>
      </w:r>
      <w:r w:rsidR="002F50F4">
        <w:rPr>
          <w:noProof/>
        </w:rPr>
        <w:t>1</w:t>
      </w:r>
      <w:r w:rsidR="00463EBB">
        <w:fldChar w:fldCharType="end"/>
      </w:r>
      <w:bookmarkEnd w:id="2"/>
      <w:r>
        <w:t xml:space="preserve">: Estimated </w:t>
      </w:r>
      <w:r w:rsidR="00A804EA">
        <w:t xml:space="preserve">incident </w:t>
      </w:r>
      <w:r>
        <w:t>patient numbers for tissue sampling and EGFR mutation testing</w:t>
      </w:r>
    </w:p>
    <w:p w14:paraId="7CAB94D6" w14:textId="4708344F" w:rsidR="00381C67" w:rsidRDefault="00FA1BB3" w:rsidP="00487045">
      <w:pPr>
        <w:rPr>
          <w:rFonts w:ascii="Arial" w:hAnsi="Arial" w:cs="Arial"/>
          <w:color w:val="1F497D" w:themeColor="text2"/>
        </w:rPr>
      </w:pPr>
      <w:r>
        <w:rPr>
          <w:rFonts w:ascii="Arial" w:hAnsi="Arial" w:cs="Arial"/>
          <w:noProof/>
          <w:color w:val="1F497D" w:themeColor="text2"/>
          <w:lang w:eastAsia="en-AU"/>
        </w:rPr>
        <w:drawing>
          <wp:inline distT="0" distB="0" distL="0" distR="0" wp14:anchorId="75AD9373" wp14:editId="0265B1E8">
            <wp:extent cx="5452110" cy="4639733"/>
            <wp:effectExtent l="0" t="0" r="0" b="8890"/>
            <wp:docPr id="1" name="Diagram 1" title="Figure 1: Estimated incident patient numbers for tissue sampling and EGFR mutation test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743AF0">
        <w:rPr>
          <w:rFonts w:ascii="Arial" w:hAnsi="Arial" w:cs="Arial"/>
          <w:color w:val="1F497D" w:themeColor="text2"/>
        </w:rPr>
        <w:t xml:space="preserve"> </w:t>
      </w:r>
    </w:p>
    <w:p w14:paraId="5D79C695" w14:textId="77777777" w:rsidR="009F6E28" w:rsidRDefault="00564F33" w:rsidP="000C5EB3">
      <w:pPr>
        <w:spacing w:before="120" w:after="120"/>
        <w:rPr>
          <w:rFonts w:ascii="Arial" w:hAnsi="Arial" w:cs="Arial"/>
          <w:sz w:val="20"/>
        </w:rPr>
      </w:pPr>
      <w:r>
        <w:rPr>
          <w:rFonts w:ascii="Arial" w:hAnsi="Arial" w:cs="Arial"/>
          <w:color w:val="1F497D" w:themeColor="text2"/>
          <w:sz w:val="20"/>
        </w:rPr>
        <w:lastRenderedPageBreak/>
        <w:t xml:space="preserve">^ </w:t>
      </w:r>
      <w:r w:rsidR="00603C91">
        <w:rPr>
          <w:rFonts w:ascii="Arial" w:hAnsi="Arial" w:cs="Arial"/>
          <w:color w:val="1F497D" w:themeColor="text2"/>
          <w:sz w:val="20"/>
        </w:rPr>
        <w:t>A</w:t>
      </w:r>
      <w:r w:rsidRPr="00564F33">
        <w:rPr>
          <w:rFonts w:ascii="Arial" w:hAnsi="Arial" w:cs="Arial"/>
          <w:color w:val="1F497D" w:themeColor="text2"/>
          <w:sz w:val="20"/>
        </w:rPr>
        <w:t xml:space="preserve"> 2011 study</w:t>
      </w:r>
      <w:r w:rsidR="009E581B">
        <w:rPr>
          <w:rFonts w:ascii="Arial" w:hAnsi="Arial" w:cs="Arial"/>
          <w:color w:val="1F497D" w:themeColor="text2"/>
          <w:sz w:val="20"/>
        </w:rPr>
        <w:t xml:space="preserve"> demonstrated that</w:t>
      </w:r>
      <w:r w:rsidRPr="00564F33">
        <w:rPr>
          <w:rFonts w:ascii="Arial" w:hAnsi="Arial" w:cs="Arial"/>
          <w:color w:val="1F497D" w:themeColor="text2"/>
          <w:sz w:val="20"/>
        </w:rPr>
        <w:t xml:space="preserve"> post-progression </w:t>
      </w:r>
      <w:r w:rsidR="009E581B">
        <w:rPr>
          <w:rFonts w:ascii="Arial" w:hAnsi="Arial" w:cs="Arial"/>
          <w:color w:val="1F497D" w:themeColor="text2"/>
          <w:sz w:val="20"/>
        </w:rPr>
        <w:t xml:space="preserve">tissue sampling of NSCLC </w:t>
      </w:r>
      <w:r w:rsidRPr="00564F33">
        <w:rPr>
          <w:rFonts w:ascii="Arial" w:hAnsi="Arial" w:cs="Arial"/>
          <w:color w:val="1F497D" w:themeColor="text2"/>
          <w:sz w:val="20"/>
        </w:rPr>
        <w:t xml:space="preserve">patients </w:t>
      </w:r>
      <w:r w:rsidR="009E581B" w:rsidRPr="006D3F66">
        <w:rPr>
          <w:rFonts w:ascii="Arial" w:hAnsi="Arial" w:cs="Arial"/>
          <w:color w:val="1F497D" w:themeColor="text2"/>
          <w:sz w:val="20"/>
        </w:rPr>
        <w:t>was feasible</w:t>
      </w:r>
      <w:r w:rsidR="009E581B">
        <w:rPr>
          <w:rFonts w:ascii="Arial" w:hAnsi="Arial" w:cs="Arial"/>
          <w:color w:val="1F497D" w:themeColor="text2"/>
          <w:sz w:val="20"/>
        </w:rPr>
        <w:t xml:space="preserve"> and p</w:t>
      </w:r>
      <w:r w:rsidRPr="00564F33">
        <w:rPr>
          <w:rFonts w:ascii="Arial" w:hAnsi="Arial" w:cs="Arial"/>
          <w:color w:val="1F497D" w:themeColor="text2"/>
          <w:sz w:val="20"/>
        </w:rPr>
        <w:t>rovided sufficient material for mutation analysis in 104 (86%) o</w:t>
      </w:r>
      <w:r w:rsidR="009E581B">
        <w:rPr>
          <w:rFonts w:ascii="Arial" w:hAnsi="Arial" w:cs="Arial"/>
          <w:color w:val="1F497D" w:themeColor="text2"/>
          <w:sz w:val="20"/>
        </w:rPr>
        <w:t>f 121 patients</w:t>
      </w:r>
      <w:r w:rsidRPr="00564F33">
        <w:rPr>
          <w:rFonts w:ascii="Arial" w:hAnsi="Arial" w:cs="Arial"/>
          <w:color w:val="1F497D" w:themeColor="text2"/>
          <w:sz w:val="20"/>
        </w:rPr>
        <w:t xml:space="preserve">. Most failures were related to low tumour content. </w:t>
      </w:r>
      <w:r w:rsidRPr="00564F33">
        <w:rPr>
          <w:rFonts w:ascii="Arial" w:hAnsi="Arial" w:cs="Arial"/>
          <w:color w:val="1F497D" w:themeColor="text2"/>
          <w:sz w:val="20"/>
        </w:rPr>
        <w:fldChar w:fldCharType="begin"/>
      </w:r>
      <w:r w:rsidR="00C06CCA">
        <w:rPr>
          <w:rFonts w:ascii="Arial" w:hAnsi="Arial" w:cs="Arial"/>
          <w:color w:val="1F497D" w:themeColor="text2"/>
          <w:sz w:val="20"/>
        </w:rPr>
        <w:instrText xml:space="preserve"> ADDIN EN.CITE &lt;EndNote&gt;&lt;Cite&gt;&lt;Author&gt;Arcila&lt;/Author&gt;&lt;Year&gt;2011&lt;/Year&gt;&lt;RecNum&gt;44&lt;/RecNum&gt;&lt;DisplayText&gt;[11]&lt;/DisplayText&gt;&lt;record&gt;&lt;rec-number&gt;44&lt;/rec-number&gt;&lt;foreign-keys&gt;&lt;key app="EN" db-id="rprtzr95srz0woefsws5fs50rfwvtsf5aw2f"&gt;44&lt;/key&gt;&lt;/foreign-keys&gt;&lt;ref-type name="Journal Article"&gt;17&lt;/ref-type&gt;&lt;contributors&gt;&lt;authors&gt;&lt;author&gt;Arcila ME&lt;/author&gt;&lt;author&gt;Oxnard GR&lt;/author&gt;&lt;author&gt;Khedoudja N&lt;/author&gt;&lt;author&gt;Riely GJ&lt;/author&gt;&lt;author&gt;et al.&lt;/author&gt;&lt;/authors&gt;&lt;/contributors&gt;&lt;titles&gt;&lt;title&gt;Rebiopsy of Lung Cancer Patients with Acquired Resistance to EGFR Inhibitors and Enhanced Detection of the T790M Mutation Using a Locked Nucleic Acid-Based Assay&lt;/title&gt;&lt;secondary-title&gt;Clinical Cancer Research&lt;/secondary-title&gt;&lt;/titles&gt;&lt;periodical&gt;&lt;full-title&gt;Clinical Cancer Research&lt;/full-title&gt;&lt;/periodical&gt;&lt;pages&gt;1169-1180&lt;/pages&gt;&lt;volume&gt;17&lt;/volume&gt;&lt;number&gt;5&lt;/number&gt;&lt;dates&gt;&lt;year&gt;2011&lt;/year&gt;&lt;/dates&gt;&lt;urls&gt;&lt;/urls&gt;&lt;/record&gt;&lt;/Cite&gt;&lt;/EndNote&gt;</w:instrText>
      </w:r>
      <w:r w:rsidRPr="00564F33">
        <w:rPr>
          <w:rFonts w:ascii="Arial" w:hAnsi="Arial" w:cs="Arial"/>
          <w:color w:val="1F497D" w:themeColor="text2"/>
          <w:sz w:val="20"/>
        </w:rPr>
        <w:fldChar w:fldCharType="separate"/>
      </w:r>
      <w:r w:rsidR="00B16A45">
        <w:rPr>
          <w:rFonts w:ascii="Arial" w:hAnsi="Arial" w:cs="Arial"/>
          <w:noProof/>
          <w:color w:val="1F497D" w:themeColor="text2"/>
          <w:sz w:val="20"/>
        </w:rPr>
        <w:t>[</w:t>
      </w:r>
      <w:hyperlink w:anchor="_ENREF_11" w:tooltip="ME, 2011 #44" w:history="1">
        <w:r w:rsidR="00F65C59">
          <w:rPr>
            <w:rFonts w:ascii="Arial" w:hAnsi="Arial" w:cs="Arial"/>
            <w:noProof/>
            <w:color w:val="1F497D" w:themeColor="text2"/>
            <w:sz w:val="20"/>
          </w:rPr>
          <w:t>11</w:t>
        </w:r>
      </w:hyperlink>
      <w:r w:rsidR="00B16A45">
        <w:rPr>
          <w:rFonts w:ascii="Arial" w:hAnsi="Arial" w:cs="Arial"/>
          <w:noProof/>
          <w:color w:val="1F497D" w:themeColor="text2"/>
          <w:sz w:val="20"/>
        </w:rPr>
        <w:t>]</w:t>
      </w:r>
      <w:r w:rsidRPr="00564F33">
        <w:rPr>
          <w:rFonts w:ascii="Arial" w:hAnsi="Arial" w:cs="Arial"/>
          <w:color w:val="1F497D" w:themeColor="text2"/>
          <w:sz w:val="20"/>
        </w:rPr>
        <w:fldChar w:fldCharType="end"/>
      </w:r>
      <w:r w:rsidR="00960934" w:rsidRPr="00564F33">
        <w:rPr>
          <w:rFonts w:ascii="Arial" w:hAnsi="Arial" w:cs="Arial"/>
          <w:sz w:val="20"/>
        </w:rPr>
        <w:t xml:space="preserve"> </w:t>
      </w:r>
    </w:p>
    <w:p w14:paraId="23C43140" w14:textId="77777777" w:rsidR="00DC5151" w:rsidRPr="00564F33" w:rsidRDefault="001E1392" w:rsidP="001E1392">
      <w:pPr>
        <w:rPr>
          <w:rFonts w:ascii="Arial" w:hAnsi="Arial" w:cs="Arial"/>
          <w:sz w:val="20"/>
        </w:rPr>
      </w:pPr>
      <w:r>
        <w:rPr>
          <w:rFonts w:ascii="Arial" w:hAnsi="Arial" w:cs="Arial"/>
          <w:sz w:val="20"/>
        </w:rPr>
        <w:br w:type="page"/>
      </w:r>
    </w:p>
    <w:p w14:paraId="38A2260A" w14:textId="77777777" w:rsidR="00914766" w:rsidRPr="00A90026" w:rsidRDefault="000C4286" w:rsidP="00A90026">
      <w:pPr>
        <w:pStyle w:val="Heading2"/>
      </w:pPr>
      <w:r w:rsidRPr="00E85EA0">
        <w:lastRenderedPageBreak/>
        <w:t xml:space="preserve">Intervention – </w:t>
      </w:r>
      <w:r w:rsidRPr="00DF021C">
        <w:t xml:space="preserve">proposed medical service </w:t>
      </w:r>
    </w:p>
    <w:p w14:paraId="3F9A138B" w14:textId="77777777" w:rsidR="00A90026" w:rsidRDefault="00A90026" w:rsidP="00E83EBD">
      <w:pPr>
        <w:spacing w:line="360" w:lineRule="auto"/>
        <w:rPr>
          <w:rFonts w:ascii="Arial" w:hAnsi="Arial" w:cs="Arial"/>
          <w:u w:val="single"/>
        </w:rPr>
      </w:pPr>
    </w:p>
    <w:p w14:paraId="14EC8108" w14:textId="77777777" w:rsidR="00900904" w:rsidRPr="00AA0C2E" w:rsidRDefault="00900904" w:rsidP="00E83EBD">
      <w:pPr>
        <w:spacing w:line="360" w:lineRule="auto"/>
        <w:rPr>
          <w:rFonts w:ascii="Arial" w:hAnsi="Arial" w:cs="Arial"/>
        </w:rPr>
      </w:pPr>
      <w:r w:rsidRPr="00AA0C2E">
        <w:rPr>
          <w:rFonts w:ascii="Arial" w:hAnsi="Arial" w:cs="Arial"/>
          <w:u w:val="single"/>
        </w:rPr>
        <w:t>Description of the proposed medical service</w:t>
      </w:r>
      <w:r w:rsidR="00165243" w:rsidRPr="00AA0C2E">
        <w:rPr>
          <w:rFonts w:ascii="Arial" w:hAnsi="Arial" w:cs="Arial"/>
        </w:rPr>
        <w:t>:</w:t>
      </w:r>
    </w:p>
    <w:p w14:paraId="501ED8F6" w14:textId="7A09A4AF" w:rsidR="00764C85" w:rsidRPr="00C03B54" w:rsidRDefault="008B3145" w:rsidP="00C03B54">
      <w:pPr>
        <w:pStyle w:val="CommentText"/>
        <w:spacing w:line="360" w:lineRule="auto"/>
        <w:jc w:val="both"/>
        <w:rPr>
          <w:rFonts w:ascii="Arial" w:hAnsi="Arial" w:cs="Arial"/>
          <w:sz w:val="22"/>
          <w:szCs w:val="22"/>
        </w:rPr>
      </w:pPr>
      <w:r w:rsidRPr="00C03B54">
        <w:rPr>
          <w:rFonts w:ascii="Arial" w:hAnsi="Arial" w:cs="Arial"/>
          <w:sz w:val="22"/>
          <w:szCs w:val="22"/>
        </w:rPr>
        <w:t xml:space="preserve">The proposed medical service is an additional EGFR mutation test </w:t>
      </w:r>
      <w:r w:rsidR="00DE5583" w:rsidRPr="00C03B54">
        <w:rPr>
          <w:rFonts w:ascii="Arial" w:hAnsi="Arial" w:cs="Arial"/>
          <w:sz w:val="22"/>
          <w:szCs w:val="22"/>
        </w:rPr>
        <w:t>to determine the</w:t>
      </w:r>
      <w:r w:rsidRPr="00C03B54">
        <w:rPr>
          <w:rFonts w:ascii="Arial" w:hAnsi="Arial" w:cs="Arial"/>
          <w:sz w:val="22"/>
          <w:szCs w:val="22"/>
        </w:rPr>
        <w:t xml:space="preserve"> presence of the T790M mutation in patients with locally advanced (Stage IIIB) or metastatic (Stage IV), non-squamous or not otherwise specified EGFR mut</w:t>
      </w:r>
      <w:r w:rsidR="00DE5583" w:rsidRPr="00C03B54">
        <w:rPr>
          <w:rFonts w:ascii="Arial" w:hAnsi="Arial" w:cs="Arial"/>
          <w:sz w:val="22"/>
          <w:szCs w:val="22"/>
        </w:rPr>
        <w:t>ation positive NSCLC,</w:t>
      </w:r>
      <w:r w:rsidR="00426DDE" w:rsidRPr="00C03B54">
        <w:rPr>
          <w:rFonts w:ascii="Arial" w:hAnsi="Arial" w:cs="Arial"/>
          <w:sz w:val="22"/>
          <w:szCs w:val="22"/>
        </w:rPr>
        <w:t xml:space="preserve"> PS 0-1,</w:t>
      </w:r>
      <w:r w:rsidR="00DE5583" w:rsidRPr="00C03B54">
        <w:rPr>
          <w:rFonts w:ascii="Arial" w:hAnsi="Arial" w:cs="Arial"/>
          <w:sz w:val="22"/>
          <w:szCs w:val="22"/>
        </w:rPr>
        <w:t xml:space="preserve"> who have </w:t>
      </w:r>
      <w:r w:rsidR="00426DDE" w:rsidRPr="00C03B54">
        <w:rPr>
          <w:rFonts w:ascii="Arial" w:hAnsi="Arial" w:cs="Arial"/>
          <w:sz w:val="22"/>
          <w:szCs w:val="22"/>
        </w:rPr>
        <w:t>previously received</w:t>
      </w:r>
      <w:r w:rsidR="00DE5583" w:rsidRPr="00C03B54">
        <w:rPr>
          <w:rFonts w:ascii="Arial" w:hAnsi="Arial" w:cs="Arial"/>
          <w:sz w:val="22"/>
          <w:szCs w:val="22"/>
        </w:rPr>
        <w:t xml:space="preserve"> </w:t>
      </w:r>
      <w:r w:rsidRPr="00C03B54">
        <w:rPr>
          <w:rFonts w:ascii="Arial" w:hAnsi="Arial" w:cs="Arial"/>
          <w:sz w:val="22"/>
          <w:szCs w:val="22"/>
        </w:rPr>
        <w:t>EGFR TKI treatment</w:t>
      </w:r>
      <w:r w:rsidR="00DE5583" w:rsidRPr="00C03B54">
        <w:rPr>
          <w:rFonts w:ascii="Arial" w:hAnsi="Arial" w:cs="Arial"/>
          <w:sz w:val="22"/>
          <w:szCs w:val="22"/>
        </w:rPr>
        <w:t>,</w:t>
      </w:r>
      <w:r w:rsidRPr="00C03B54">
        <w:rPr>
          <w:rFonts w:ascii="Arial" w:hAnsi="Arial" w:cs="Arial"/>
          <w:sz w:val="22"/>
          <w:szCs w:val="22"/>
        </w:rPr>
        <w:t xml:space="preserve"> and whose disease has subsequently progressed.</w:t>
      </w:r>
      <w:r w:rsidR="00764C85" w:rsidRPr="00C03B54">
        <w:rPr>
          <w:rFonts w:ascii="Arial" w:hAnsi="Arial" w:cs="Arial"/>
          <w:sz w:val="22"/>
          <w:szCs w:val="22"/>
        </w:rPr>
        <w:t xml:space="preserve"> </w:t>
      </w:r>
      <w:r w:rsidR="00C03B54" w:rsidRPr="008D07C5">
        <w:rPr>
          <w:rFonts w:ascii="Arial" w:hAnsi="Arial" w:cs="Arial"/>
          <w:sz w:val="22"/>
          <w:szCs w:val="22"/>
        </w:rPr>
        <w:t xml:space="preserve">PASC advised that it does not support reflex testing for the new MBS item proposed for T790M gene testing. </w:t>
      </w:r>
    </w:p>
    <w:p w14:paraId="4A763307" w14:textId="5D7875A2" w:rsidR="00B84FEF" w:rsidRPr="00AA0C2E" w:rsidRDefault="00764C85" w:rsidP="00C03B54">
      <w:pPr>
        <w:spacing w:line="360" w:lineRule="auto"/>
        <w:jc w:val="both"/>
        <w:rPr>
          <w:rFonts w:ascii="Arial" w:hAnsi="Arial" w:cs="Arial"/>
        </w:rPr>
      </w:pPr>
      <w:r w:rsidRPr="00C03B54">
        <w:rPr>
          <w:rFonts w:ascii="Arial" w:hAnsi="Arial" w:cs="Arial"/>
        </w:rPr>
        <w:t xml:space="preserve">As the aim </w:t>
      </w:r>
      <w:r w:rsidR="006953A1" w:rsidRPr="00C03B54">
        <w:rPr>
          <w:rFonts w:ascii="Arial" w:hAnsi="Arial" w:cs="Arial"/>
        </w:rPr>
        <w:t>of this additional</w:t>
      </w:r>
      <w:r w:rsidR="006953A1" w:rsidRPr="00AA0C2E">
        <w:rPr>
          <w:rFonts w:ascii="Arial" w:hAnsi="Arial" w:cs="Arial"/>
        </w:rPr>
        <w:t xml:space="preserve"> mutation test is to identify changes in the</w:t>
      </w:r>
      <w:r w:rsidRPr="00AA0C2E">
        <w:rPr>
          <w:rFonts w:ascii="Arial" w:hAnsi="Arial" w:cs="Arial"/>
        </w:rPr>
        <w:t xml:space="preserve"> tumour </w:t>
      </w:r>
      <w:r w:rsidR="006953A1" w:rsidRPr="00AA0C2E">
        <w:rPr>
          <w:rFonts w:ascii="Arial" w:hAnsi="Arial" w:cs="Arial"/>
        </w:rPr>
        <w:t xml:space="preserve">environment following exposure to an EGFR TKI, a further tumour sample </w:t>
      </w:r>
      <w:r w:rsidRPr="00AA0C2E">
        <w:rPr>
          <w:rFonts w:ascii="Arial" w:hAnsi="Arial" w:cs="Arial"/>
        </w:rPr>
        <w:t xml:space="preserve">is required at </w:t>
      </w:r>
      <w:r w:rsidR="006953A1" w:rsidRPr="00AA0C2E">
        <w:rPr>
          <w:rFonts w:ascii="Arial" w:hAnsi="Arial" w:cs="Arial"/>
        </w:rPr>
        <w:t>this</w:t>
      </w:r>
      <w:r w:rsidRPr="00AA0C2E">
        <w:rPr>
          <w:rFonts w:ascii="Arial" w:hAnsi="Arial" w:cs="Arial"/>
        </w:rPr>
        <w:t xml:space="preserve"> time point</w:t>
      </w:r>
      <w:r w:rsidR="006953A1" w:rsidRPr="00AA0C2E">
        <w:rPr>
          <w:rFonts w:ascii="Arial" w:hAnsi="Arial" w:cs="Arial"/>
        </w:rPr>
        <w:t xml:space="preserve">. In order to perform a successful molecular mutation test, a sufficient quantity of tumour cells is required to ensure that an adequate amount of tumour DNA is extracted for analysis; thus, tumour biopsy samples </w:t>
      </w:r>
      <w:r w:rsidR="00C40E49" w:rsidRPr="00AA0C2E">
        <w:rPr>
          <w:rFonts w:ascii="Arial" w:hAnsi="Arial" w:cs="Arial"/>
        </w:rPr>
        <w:t xml:space="preserve">have been </w:t>
      </w:r>
      <w:r w:rsidR="006953A1" w:rsidRPr="00AA0C2E">
        <w:rPr>
          <w:rFonts w:ascii="Arial" w:hAnsi="Arial" w:cs="Arial"/>
        </w:rPr>
        <w:t>the most suitable, commonly available and preferred sample type.</w:t>
      </w:r>
      <w:r w:rsidR="00A86FD1" w:rsidRPr="00AA0C2E">
        <w:rPr>
          <w:rFonts w:ascii="Arial" w:hAnsi="Arial" w:cs="Arial"/>
        </w:rPr>
        <w:t xml:space="preserve"> </w:t>
      </w:r>
      <w:r w:rsidR="00B84FEF" w:rsidRPr="00AA0C2E">
        <w:rPr>
          <w:rFonts w:ascii="Arial" w:hAnsi="Arial" w:cs="Arial"/>
        </w:rPr>
        <w:t xml:space="preserve">There are a number of Guidelines </w:t>
      </w:r>
      <w:r w:rsidR="006953A1" w:rsidRPr="00AA0C2E">
        <w:rPr>
          <w:rFonts w:ascii="Arial" w:hAnsi="Arial" w:cs="Arial"/>
        </w:rPr>
        <w:t xml:space="preserve">with </w:t>
      </w:r>
      <w:r w:rsidR="00B84FEF" w:rsidRPr="00AA0C2E">
        <w:rPr>
          <w:rFonts w:ascii="Arial" w:hAnsi="Arial" w:cs="Arial"/>
        </w:rPr>
        <w:t>recommendations regarding tumour tissue sampling for lung cancer management</w:t>
      </w:r>
      <w:r w:rsidR="003E394F" w:rsidRPr="00AA0C2E">
        <w:rPr>
          <w:rFonts w:ascii="Arial" w:hAnsi="Arial" w:cs="Arial"/>
        </w:rPr>
        <w:t xml:space="preserve"> and subsequent molecular testing</w:t>
      </w:r>
      <w:r w:rsidR="00A86FD1" w:rsidRPr="00AA0C2E">
        <w:rPr>
          <w:rFonts w:ascii="Arial" w:hAnsi="Arial" w:cs="Arial"/>
        </w:rPr>
        <w:t xml:space="preserve"> </w:t>
      </w:r>
      <w:r w:rsidR="00A86FD1" w:rsidRPr="00AA0C2E">
        <w:rPr>
          <w:rFonts w:ascii="Arial" w:hAnsi="Arial" w:cs="Arial"/>
        </w:rPr>
        <w:fldChar w:fldCharType="begin">
          <w:fldData xml:space="preserve">PEVuZE5vdGU+PENpdGU+PEF1dGhvcj5LaW08L0F1dGhvcj48WWVhcj4yMDE0PC9ZZWFyPjxSZWNO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=
</w:fldData>
        </w:fldChar>
      </w:r>
      <w:r w:rsidR="00F65C59">
        <w:rPr>
          <w:rFonts w:ascii="Arial" w:hAnsi="Arial" w:cs="Arial"/>
        </w:rPr>
        <w:instrText xml:space="preserve"> ADDIN EN.CITE </w:instrText>
      </w:r>
      <w:r w:rsidR="00F65C59">
        <w:rPr>
          <w:rFonts w:ascii="Arial" w:hAnsi="Arial" w:cs="Arial"/>
        </w:rPr>
        <w:fldChar w:fldCharType="begin">
          <w:fldData xml:space="preserve">PEVuZE5vdGU+PENpdGU+PEF1dGhvcj5LaW08L0F1dGhvcj48WWVhcj4yMDE0PC9ZZWFyPjxSZWNO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=
</w:fldData>
        </w:fldChar>
      </w:r>
      <w:r w:rsidR="00F65C59">
        <w:rPr>
          <w:rFonts w:ascii="Arial" w:hAnsi="Arial" w:cs="Arial"/>
        </w:rPr>
        <w:instrText xml:space="preserve"> ADDIN EN.CITE.DATA </w:instrText>
      </w:r>
      <w:r w:rsidR="00F65C59">
        <w:rPr>
          <w:rFonts w:ascii="Arial" w:hAnsi="Arial" w:cs="Arial"/>
        </w:rPr>
      </w:r>
      <w:r w:rsidR="00F65C59">
        <w:rPr>
          <w:rFonts w:ascii="Arial" w:hAnsi="Arial" w:cs="Arial"/>
        </w:rPr>
        <w:fldChar w:fldCharType="end"/>
      </w:r>
      <w:r w:rsidR="00A86FD1" w:rsidRPr="00AA0C2E">
        <w:rPr>
          <w:rFonts w:ascii="Arial" w:hAnsi="Arial" w:cs="Arial"/>
        </w:rPr>
      </w:r>
      <w:r w:rsidR="00A86FD1" w:rsidRPr="00AA0C2E">
        <w:rPr>
          <w:rFonts w:ascii="Arial" w:hAnsi="Arial" w:cs="Arial"/>
        </w:rPr>
        <w:fldChar w:fldCharType="separate"/>
      </w:r>
      <w:r w:rsidR="00F65C59">
        <w:rPr>
          <w:rFonts w:ascii="Arial" w:hAnsi="Arial" w:cs="Arial"/>
          <w:noProof/>
        </w:rPr>
        <w:t>[</w:t>
      </w:r>
      <w:hyperlink w:anchor="_ENREF_34" w:tooltip="Kim, 2014 #75" w:history="1">
        <w:r w:rsidR="00F65C59">
          <w:rPr>
            <w:rFonts w:ascii="Arial" w:hAnsi="Arial" w:cs="Arial"/>
            <w:noProof/>
          </w:rPr>
          <w:t>34-37</w:t>
        </w:r>
      </w:hyperlink>
      <w:r w:rsidR="00F65C59">
        <w:rPr>
          <w:rFonts w:ascii="Arial" w:hAnsi="Arial" w:cs="Arial"/>
          <w:noProof/>
        </w:rPr>
        <w:t>]</w:t>
      </w:r>
      <w:r w:rsidR="00A86FD1" w:rsidRPr="00AA0C2E">
        <w:rPr>
          <w:rFonts w:ascii="Arial" w:hAnsi="Arial" w:cs="Arial"/>
        </w:rPr>
        <w:fldChar w:fldCharType="end"/>
      </w:r>
      <w:r w:rsidR="003E394F" w:rsidRPr="00AA0C2E">
        <w:rPr>
          <w:rFonts w:ascii="Arial" w:hAnsi="Arial" w:cs="Arial"/>
        </w:rPr>
        <w:t>.</w:t>
      </w:r>
      <w:r w:rsidR="00C40E49" w:rsidRPr="00AA0C2E">
        <w:rPr>
          <w:rFonts w:ascii="Arial" w:hAnsi="Arial" w:cs="Arial"/>
        </w:rPr>
        <w:t xml:space="preserve"> </w:t>
      </w:r>
      <w:r w:rsidR="001C03D7" w:rsidRPr="008D07C5">
        <w:rPr>
          <w:rFonts w:ascii="Arial" w:hAnsi="Arial" w:cs="Arial"/>
        </w:rPr>
        <w:t xml:space="preserve">PASC </w:t>
      </w:r>
      <w:r w:rsidR="00C03B54" w:rsidRPr="008D07C5">
        <w:rPr>
          <w:rFonts w:ascii="Arial" w:hAnsi="Arial" w:cs="Arial"/>
        </w:rPr>
        <w:t>noted</w:t>
      </w:r>
      <w:r w:rsidR="001C03D7" w:rsidRPr="008D07C5">
        <w:rPr>
          <w:rFonts w:ascii="Arial" w:hAnsi="Arial" w:cs="Arial"/>
        </w:rPr>
        <w:t xml:space="preserve"> that a</w:t>
      </w:r>
      <w:r w:rsidR="001A6F28" w:rsidRPr="008D07C5">
        <w:rPr>
          <w:rFonts w:ascii="Arial" w:hAnsi="Arial" w:cs="Arial"/>
        </w:rPr>
        <w:t xml:space="preserve">s the trial data for the intervention is based on tumour biopsy samples, </w:t>
      </w:r>
      <w:r w:rsidR="00327620" w:rsidRPr="008D07C5">
        <w:rPr>
          <w:rFonts w:ascii="Arial" w:hAnsi="Arial" w:cs="Arial"/>
        </w:rPr>
        <w:t xml:space="preserve">so </w:t>
      </w:r>
      <w:r w:rsidR="001A6F28" w:rsidRPr="008D07C5">
        <w:rPr>
          <w:rFonts w:ascii="Arial" w:hAnsi="Arial" w:cs="Arial"/>
        </w:rPr>
        <w:t xml:space="preserve">the possible use of cytology samples will be excluded </w:t>
      </w:r>
      <w:r w:rsidR="00327620" w:rsidRPr="008D07C5">
        <w:rPr>
          <w:rFonts w:ascii="Arial" w:hAnsi="Arial" w:cs="Arial"/>
        </w:rPr>
        <w:t xml:space="preserve">from </w:t>
      </w:r>
      <w:r w:rsidR="001A6F28" w:rsidRPr="008D07C5">
        <w:rPr>
          <w:rFonts w:ascii="Arial" w:hAnsi="Arial" w:cs="Arial"/>
        </w:rPr>
        <w:t>the base case.</w:t>
      </w:r>
    </w:p>
    <w:p w14:paraId="33906F55" w14:textId="77777777" w:rsidR="00426DDE" w:rsidRPr="00AA0C2E" w:rsidRDefault="00426DDE" w:rsidP="00E83EBD">
      <w:pPr>
        <w:spacing w:line="360" w:lineRule="auto"/>
        <w:jc w:val="both"/>
        <w:rPr>
          <w:rFonts w:ascii="Arial" w:hAnsi="Arial" w:cs="Arial"/>
        </w:rPr>
      </w:pPr>
      <w:r w:rsidRPr="00AA0C2E">
        <w:rPr>
          <w:rFonts w:ascii="Arial" w:hAnsi="Arial" w:cs="Arial"/>
        </w:rPr>
        <w:t>This protocol is neither specifying nor sponsoring any specific methodology for EGFR mutation testing. As per MBS item 73337, any appropriately accredited and validated EGFR mutation test methodology is within the scope of this application. The submission will provide details of the tests available commercially in Australia and required concordance and quality assurance data</w:t>
      </w:r>
      <w:r w:rsidR="008B4102" w:rsidRPr="00AA0C2E">
        <w:rPr>
          <w:rFonts w:ascii="Arial" w:hAnsi="Arial" w:cs="Arial"/>
        </w:rPr>
        <w:t xml:space="preserve"> (as per MSAC</w:t>
      </w:r>
      <w:r w:rsidR="0023647B" w:rsidRPr="00AA0C2E">
        <w:rPr>
          <w:rFonts w:ascii="Arial" w:hAnsi="Arial" w:cs="Arial"/>
        </w:rPr>
        <w:t xml:space="preserve"> App</w:t>
      </w:r>
      <w:r w:rsidR="008B4102" w:rsidRPr="00AA0C2E">
        <w:rPr>
          <w:rFonts w:ascii="Arial" w:hAnsi="Arial" w:cs="Arial"/>
        </w:rPr>
        <w:t>lication</w:t>
      </w:r>
      <w:r w:rsidR="0023647B" w:rsidRPr="00AA0C2E">
        <w:rPr>
          <w:rFonts w:ascii="Arial" w:hAnsi="Arial" w:cs="Arial"/>
        </w:rPr>
        <w:t xml:space="preserve"> 1611</w:t>
      </w:r>
      <w:r w:rsidR="00C826F3" w:rsidRPr="00AA0C2E">
        <w:rPr>
          <w:rFonts w:ascii="Arial" w:hAnsi="Arial" w:cs="Arial"/>
        </w:rPr>
        <w:t xml:space="preserve"> </w:t>
      </w:r>
      <w:r w:rsidR="00C826F3" w:rsidRPr="00AA0C2E">
        <w:rPr>
          <w:rFonts w:ascii="Arial" w:hAnsi="Arial" w:cs="Arial"/>
        </w:rPr>
        <w:fldChar w:fldCharType="begin"/>
      </w:r>
      <w:r w:rsidR="00F65C59">
        <w:rPr>
          <w:rFonts w:ascii="Arial" w:hAnsi="Arial" w:cs="Arial"/>
        </w:rPr>
        <w:instrText xml:space="preserve"> ADDIN EN.CITE &lt;EndNote&gt;&lt;Cite&gt;&lt;Author&gt;Medical Services Advisory Committee&lt;/Author&gt;&lt;Year&gt;2013&lt;/Year&gt;&lt;RecNum&gt;6&lt;/RecNum&gt;&lt;DisplayText&gt;[38]&lt;/DisplayText&gt;&lt;record&gt;&lt;rec-number&gt;6&lt;/rec-number&gt;&lt;foreign-keys&gt;&lt;key app="EN" db-id="rprtzr95srz0woefsws5fs50rfwvtsf5aw2f"&gt;6&lt;/key&gt;&lt;/foreign-keys&gt;&lt;ref-type name="Report"&gt;27&lt;/ref-type&gt;&lt;contributors&gt;&lt;authors&gt;&lt;author&gt;Medical Services Advisory Committee,&lt;/author&gt;&lt;/authors&gt;&lt;/contributors&gt;&lt;titles&gt;&lt;title&gt;Public Summary Document.  Application No. 1161 – Gefitinib first line testing for mutations of epidermal growth factor receptor (EGFR) in patients with metastatic non-small cell lung cancer (NSCLC).&lt;/title&gt;&lt;/titles&gt;&lt;dates&gt;&lt;year&gt;2013&lt;/year&gt;&lt;/dates&gt;&lt;urls&gt;&lt;/urls&gt;&lt;/record&gt;&lt;/Cite&gt;&lt;/EndNote&gt;</w:instrText>
      </w:r>
      <w:r w:rsidR="00C826F3" w:rsidRPr="00AA0C2E">
        <w:rPr>
          <w:rFonts w:ascii="Arial" w:hAnsi="Arial" w:cs="Arial"/>
        </w:rPr>
        <w:fldChar w:fldCharType="separate"/>
      </w:r>
      <w:r w:rsidR="00F65C59">
        <w:rPr>
          <w:rFonts w:ascii="Arial" w:hAnsi="Arial" w:cs="Arial"/>
          <w:noProof/>
        </w:rPr>
        <w:t>[</w:t>
      </w:r>
      <w:hyperlink w:anchor="_ENREF_38" w:tooltip="Medical Services Advisory Committee, 2013 #6" w:history="1">
        <w:r w:rsidR="00F65C59">
          <w:rPr>
            <w:rFonts w:ascii="Arial" w:hAnsi="Arial" w:cs="Arial"/>
            <w:noProof/>
          </w:rPr>
          <w:t>38</w:t>
        </w:r>
      </w:hyperlink>
      <w:r w:rsidR="00F65C59">
        <w:rPr>
          <w:rFonts w:ascii="Arial" w:hAnsi="Arial" w:cs="Arial"/>
          <w:noProof/>
        </w:rPr>
        <w:t>]</w:t>
      </w:r>
      <w:r w:rsidR="00C826F3" w:rsidRPr="00AA0C2E">
        <w:rPr>
          <w:rFonts w:ascii="Arial" w:hAnsi="Arial" w:cs="Arial"/>
        </w:rPr>
        <w:fldChar w:fldCharType="end"/>
      </w:r>
      <w:r w:rsidR="008B4102" w:rsidRPr="00AA0C2E">
        <w:rPr>
          <w:rFonts w:ascii="Arial" w:hAnsi="Arial" w:cs="Arial"/>
        </w:rPr>
        <w:t>)</w:t>
      </w:r>
      <w:r w:rsidR="00B16A45" w:rsidRPr="00AA0C2E">
        <w:rPr>
          <w:rFonts w:ascii="Arial" w:hAnsi="Arial" w:cs="Arial"/>
        </w:rPr>
        <w:t>.</w:t>
      </w:r>
    </w:p>
    <w:p w14:paraId="470BD6E9" w14:textId="20CB98A9" w:rsidR="00C45A65" w:rsidRPr="00AA0C2E" w:rsidRDefault="0023647B" w:rsidP="00833F7E">
      <w:pPr>
        <w:pStyle w:val="NoSpacing"/>
        <w:spacing w:line="360" w:lineRule="auto"/>
        <w:jc w:val="both"/>
      </w:pPr>
      <w:r w:rsidRPr="00AA0C2E">
        <w:rPr>
          <w:rFonts w:ascii="Arial" w:hAnsi="Arial" w:cs="Arial"/>
        </w:rPr>
        <w:t>Please note that there are no EGFR test methodologies available that only test for the presence of T790M on exon 20.</w:t>
      </w:r>
      <w:r w:rsidR="00DC579D" w:rsidRPr="00AA0C2E">
        <w:rPr>
          <w:rFonts w:ascii="Arial" w:hAnsi="Arial" w:cs="Arial"/>
        </w:rPr>
        <w:t xml:space="preserve"> </w:t>
      </w:r>
      <w:r w:rsidR="00312075">
        <w:rPr>
          <w:rFonts w:ascii="Arial" w:hAnsi="Arial" w:cs="Arial"/>
        </w:rPr>
        <w:t>AZD9291</w:t>
      </w:r>
      <w:r w:rsidR="00DC579D" w:rsidRPr="00AA0C2E">
        <w:rPr>
          <w:rFonts w:ascii="Arial" w:hAnsi="Arial" w:cs="Arial"/>
        </w:rPr>
        <w:t xml:space="preserve"> has activity against the known sensitising mutations of the EGFR gene </w:t>
      </w:r>
      <w:r w:rsidR="00D16287" w:rsidRPr="00AA0C2E">
        <w:rPr>
          <w:rFonts w:ascii="Arial" w:hAnsi="Arial" w:cs="Arial"/>
        </w:rPr>
        <w:t xml:space="preserve">as well as T790M </w:t>
      </w:r>
      <w:r w:rsidR="00D16287" w:rsidRPr="00AA0C2E">
        <w:rPr>
          <w:rFonts w:ascii="Arial" w:hAnsi="Arial" w:cs="Arial"/>
        </w:rPr>
        <w:fldChar w:fldCharType="begin"/>
      </w:r>
      <w:r w:rsidR="00C06CCA">
        <w:rPr>
          <w:rFonts w:ascii="Arial" w:hAnsi="Arial" w:cs="Arial"/>
        </w:rPr>
        <w:instrText xml:space="preserve"> ADDIN EN.CITE &lt;EndNote&gt;&lt;Cite&gt;&lt;Author&gt;Cross&lt;/Author&gt;&lt;Year&gt;2014&lt;/Year&gt;&lt;RecNum&gt;29&lt;/RecNum&gt;&lt;DisplayText&gt;[21]&lt;/DisplayText&gt;&lt;record&gt;&lt;rec-number&gt;29&lt;/rec-number&gt;&lt;foreign-keys&gt;&lt;key app="EN" db-id="rprtzr95srz0woefsws5fs50rfwvtsf5aw2f"&gt;29&lt;/key&gt;&lt;/foreign-keys&gt;&lt;ref-type name="Journal Article"&gt;17&lt;/ref-type&gt;&lt;contributors&gt;&lt;authors&gt;&lt;author&gt;Cross D&lt;/author&gt;&lt;author&gt;Ashton S&lt;/author&gt;&lt;author&gt;Nebhan C&lt;/author&gt;&lt;author&gt;Eberlein C&lt;/author&gt;&lt;author&gt;et al.&lt;/author&gt;&lt;/authors&gt;&lt;/contributors&gt;&lt;titles&gt;&lt;title&gt;AZD9291, an Irreversible EGFR TKI, Overcomes T790M-Mediated Resistance to EGFR Inhibitors in Lung Cancer&lt;/title&gt;&lt;secondary-title&gt;Cancer Discovery&lt;/secondary-title&gt;&lt;/titles&gt;&lt;periodical&gt;&lt;full-title&gt;Cancer Discovery&lt;/full-title&gt;&lt;/periodical&gt;&lt;pages&gt;1046-61&lt;/pages&gt;&lt;volume&gt;4&lt;/volume&gt;&lt;number&gt;9&lt;/number&gt;&lt;dates&gt;&lt;year&gt;2014&lt;/year&gt;&lt;/dates&gt;&lt;urls&gt;&lt;related-urls&gt;&lt;url&gt;http://mct.aacrjournals.org/content/12/11_Supplement/A109.abstract&lt;/url&gt;&lt;/related-urls&gt;&lt;/urls&gt;&lt;electronic-resource-num&gt;10.1158/2159-8290.CD-14-0337&lt;/electronic-resource-num&gt;&lt;/record&gt;&lt;/Cite&gt;&lt;/EndNote&gt;</w:instrText>
      </w:r>
      <w:r w:rsidR="00D16287" w:rsidRPr="00AA0C2E">
        <w:rPr>
          <w:rFonts w:ascii="Arial" w:hAnsi="Arial" w:cs="Arial"/>
        </w:rPr>
        <w:fldChar w:fldCharType="separate"/>
      </w:r>
      <w:r w:rsidR="00D16287" w:rsidRPr="00AA0C2E">
        <w:rPr>
          <w:rFonts w:ascii="Arial" w:hAnsi="Arial" w:cs="Arial"/>
          <w:noProof/>
        </w:rPr>
        <w:t>[</w:t>
      </w:r>
      <w:hyperlink w:anchor="_ENREF_21" w:tooltip="D, 2014 #29" w:history="1">
        <w:r w:rsidR="00F65C59" w:rsidRPr="00AA0C2E">
          <w:rPr>
            <w:rFonts w:ascii="Arial" w:hAnsi="Arial" w:cs="Arial"/>
            <w:noProof/>
          </w:rPr>
          <w:t>21</w:t>
        </w:r>
      </w:hyperlink>
      <w:r w:rsidR="00D16287" w:rsidRPr="00AA0C2E">
        <w:rPr>
          <w:rFonts w:ascii="Arial" w:hAnsi="Arial" w:cs="Arial"/>
          <w:noProof/>
        </w:rPr>
        <w:t>]</w:t>
      </w:r>
      <w:r w:rsidR="00D16287" w:rsidRPr="00AA0C2E">
        <w:rPr>
          <w:rFonts w:ascii="Arial" w:hAnsi="Arial" w:cs="Arial"/>
        </w:rPr>
        <w:fldChar w:fldCharType="end"/>
      </w:r>
      <w:r w:rsidR="00DC579D" w:rsidRPr="00AA0C2E">
        <w:rPr>
          <w:rFonts w:ascii="Arial" w:hAnsi="Arial" w:cs="Arial"/>
        </w:rPr>
        <w:t xml:space="preserve">. </w:t>
      </w:r>
    </w:p>
    <w:p w14:paraId="2C4089FA" w14:textId="77777777" w:rsidR="0023647B" w:rsidRPr="00AA0C2E" w:rsidRDefault="0023647B" w:rsidP="00E83EBD">
      <w:pPr>
        <w:spacing w:line="360" w:lineRule="auto"/>
        <w:jc w:val="both"/>
        <w:rPr>
          <w:rFonts w:ascii="Arial" w:hAnsi="Arial" w:cs="Arial"/>
        </w:rPr>
      </w:pPr>
    </w:p>
    <w:p w14:paraId="42FA13C9" w14:textId="77777777" w:rsidR="00C26FF5" w:rsidRPr="00AA0C2E" w:rsidRDefault="00900904" w:rsidP="00E83EBD">
      <w:pPr>
        <w:spacing w:line="360" w:lineRule="auto"/>
        <w:rPr>
          <w:rFonts w:ascii="Arial" w:hAnsi="Arial" w:cs="Arial"/>
          <w:u w:val="single"/>
        </w:rPr>
      </w:pPr>
      <w:proofErr w:type="gramStart"/>
      <w:r w:rsidRPr="00AA0C2E">
        <w:rPr>
          <w:rFonts w:ascii="Arial" w:hAnsi="Arial" w:cs="Arial"/>
          <w:u w:val="single"/>
        </w:rPr>
        <w:t xml:space="preserve">Technical specification and any reference or </w:t>
      </w:r>
      <w:r w:rsidR="00C26FF5" w:rsidRPr="00AA0C2E">
        <w:rPr>
          <w:rFonts w:ascii="Arial" w:hAnsi="Arial" w:cs="Arial"/>
          <w:u w:val="single"/>
        </w:rPr>
        <w:t>“</w:t>
      </w:r>
      <w:r w:rsidRPr="00AA0C2E">
        <w:rPr>
          <w:rFonts w:ascii="Arial" w:hAnsi="Arial" w:cs="Arial"/>
          <w:u w:val="single"/>
        </w:rPr>
        <w:t>evidentiary</w:t>
      </w:r>
      <w:r w:rsidR="00C26FF5" w:rsidRPr="00AA0C2E">
        <w:rPr>
          <w:rFonts w:ascii="Arial" w:hAnsi="Arial" w:cs="Arial"/>
          <w:u w:val="single"/>
        </w:rPr>
        <w:t>”</w:t>
      </w:r>
      <w:r w:rsidRPr="00AA0C2E">
        <w:rPr>
          <w:rFonts w:ascii="Arial" w:hAnsi="Arial" w:cs="Arial"/>
          <w:u w:val="single"/>
        </w:rPr>
        <w:t xml:space="preserve"> s</w:t>
      </w:r>
      <w:r w:rsidR="00C26FF5" w:rsidRPr="00AA0C2E">
        <w:rPr>
          <w:rFonts w:ascii="Arial" w:hAnsi="Arial" w:cs="Arial"/>
          <w:u w:val="single"/>
        </w:rPr>
        <w:t>tandard that has been established.</w:t>
      </w:r>
      <w:proofErr w:type="gramEnd"/>
    </w:p>
    <w:p w14:paraId="0ED5E94E" w14:textId="77777777" w:rsidR="00B1482D" w:rsidRPr="00AA0C2E" w:rsidRDefault="00B1482D" w:rsidP="00E83EBD">
      <w:pPr>
        <w:spacing w:line="360" w:lineRule="auto"/>
        <w:jc w:val="both"/>
        <w:rPr>
          <w:rFonts w:ascii="Arial" w:hAnsi="Arial" w:cs="Arial"/>
        </w:rPr>
      </w:pPr>
      <w:r w:rsidRPr="00AA0C2E">
        <w:rPr>
          <w:rFonts w:ascii="Arial" w:hAnsi="Arial" w:cs="Arial"/>
        </w:rPr>
        <w:t xml:space="preserve">There is no established reference standard for EGFR mutation testing. </w:t>
      </w:r>
    </w:p>
    <w:p w14:paraId="3F63FC4D" w14:textId="77777777" w:rsidR="001115E5" w:rsidRPr="00AA0C2E" w:rsidRDefault="003E394F" w:rsidP="00E83EBD">
      <w:pPr>
        <w:spacing w:line="360" w:lineRule="auto"/>
        <w:jc w:val="both"/>
        <w:rPr>
          <w:rFonts w:ascii="Arial" w:hAnsi="Arial" w:cs="Arial"/>
        </w:rPr>
      </w:pPr>
      <w:r w:rsidRPr="00AA0C2E">
        <w:rPr>
          <w:rFonts w:ascii="Arial" w:hAnsi="Arial" w:cs="Arial"/>
        </w:rPr>
        <w:t xml:space="preserve">The AURA studies </w:t>
      </w:r>
      <w:r w:rsidR="008B3145" w:rsidRPr="00AA0C2E">
        <w:rPr>
          <w:rFonts w:ascii="Arial" w:hAnsi="Arial" w:cs="Arial"/>
        </w:rPr>
        <w:t>use</w:t>
      </w:r>
      <w:r w:rsidRPr="00AA0C2E">
        <w:rPr>
          <w:rFonts w:ascii="Arial" w:hAnsi="Arial" w:cs="Arial"/>
        </w:rPr>
        <w:t xml:space="preserve"> the </w:t>
      </w:r>
      <w:proofErr w:type="spellStart"/>
      <w:r w:rsidRPr="00AA0C2E">
        <w:rPr>
          <w:rFonts w:ascii="Arial" w:hAnsi="Arial" w:cs="Arial"/>
        </w:rPr>
        <w:t>cobas</w:t>
      </w:r>
      <w:proofErr w:type="spellEnd"/>
      <w:r w:rsidR="008B3145" w:rsidRPr="00AA0C2E">
        <w:rPr>
          <w:rFonts w:ascii="Arial" w:hAnsi="Arial" w:cs="Arial"/>
          <w:vertAlign w:val="superscript"/>
        </w:rPr>
        <w:t>®</w:t>
      </w:r>
      <w:r w:rsidRPr="00AA0C2E">
        <w:rPr>
          <w:rFonts w:ascii="Arial" w:hAnsi="Arial" w:cs="Arial"/>
        </w:rPr>
        <w:t xml:space="preserve"> EGFR Mutation Test </w:t>
      </w:r>
      <w:r w:rsidR="008B3145" w:rsidRPr="00AA0C2E">
        <w:rPr>
          <w:rFonts w:ascii="Arial" w:hAnsi="Arial" w:cs="Arial"/>
        </w:rPr>
        <w:t xml:space="preserve">(Roche Molecular Diagnostics) </w:t>
      </w:r>
      <w:r w:rsidRPr="00AA0C2E">
        <w:rPr>
          <w:rFonts w:ascii="Arial" w:hAnsi="Arial" w:cs="Arial"/>
        </w:rPr>
        <w:t>to determine eligibility of patients. This is a real-time polymerase chain reaction (PCR) test</w:t>
      </w:r>
      <w:r w:rsidR="00F8342E" w:rsidRPr="00AA0C2E">
        <w:rPr>
          <w:rFonts w:ascii="Arial" w:hAnsi="Arial" w:cs="Arial"/>
        </w:rPr>
        <w:t xml:space="preserve"> </w:t>
      </w:r>
      <w:r w:rsidR="00F8342E" w:rsidRPr="00AA0C2E">
        <w:rPr>
          <w:rFonts w:ascii="Arial" w:hAnsi="Arial" w:cs="Arial"/>
        </w:rPr>
        <w:fldChar w:fldCharType="begin"/>
      </w:r>
      <w:r w:rsidR="00F65C59">
        <w:rPr>
          <w:rFonts w:ascii="Arial" w:hAnsi="Arial" w:cs="Arial"/>
        </w:rPr>
        <w:instrText xml:space="preserve"> ADDIN EN.CITE &lt;EndNote&gt;&lt;Cite&gt;&lt;Author&gt;O&amp;apos;Donnell&lt;/Author&gt;&lt;Year&gt;2013&lt;/Year&gt;&lt;RecNum&gt;78&lt;/RecNum&gt;&lt;DisplayText&gt;[39]&lt;/DisplayText&gt;&lt;record&gt;&lt;rec-number&gt;78&lt;/rec-number&gt;&lt;foreign-keys&gt;&lt;key app="EN" db-id="rprtzr95srz0woefsws5fs50rfwvtsf5aw2f"&gt;78&lt;/key&gt;&lt;/foreign-keys&gt;&lt;ref-type name="Journal Article"&gt;17&lt;/ref-type&gt;&lt;contributors&gt;&lt;authors&gt;&lt;author&gt;O&amp;apos;Donnell, P&lt;/author&gt;&lt;author&gt;Ferguson, J&lt;/author&gt;&lt;author&gt;Shyu, J&lt;/author&gt;&lt;author&gt;Current, R&lt;/author&gt;&lt;author&gt;et al&lt;/author&gt;&lt;/authors&gt;&lt;/contributors&gt;&lt;titles&gt;&lt;title&gt;Analytic performance studies and clinical reproducibility of a real-time PCR assay for the detection of epidermal growth factor receptor gene mutations in formalin-fixed paraffin-embedded tissue specimens of non-small cell lung cancer&lt;/title&gt;&lt;secondary-title&gt;BioMed Central (BMC) Cancer&lt;/secondary-title&gt;&lt;/titles&gt;&lt;periodical&gt;&lt;full-title&gt;BioMed Central (BMC) Cancer&lt;/full-title&gt;&lt;/periodical&gt;&lt;pages&gt;210&lt;/pages&gt;&lt;volume&gt;13&lt;/volume&gt;&lt;dates&gt;&lt;year&gt;2013&lt;/year&gt;&lt;/dates&gt;&lt;urls&gt;&lt;related-urls&gt;&lt;url&gt;http://www.biomedcentral.com/1471-2407/13/210 &lt;/url&gt;&lt;/related-urls&gt;&lt;/urls&gt;&lt;/record&gt;&lt;/Cite&gt;&lt;/EndNote&gt;</w:instrText>
      </w:r>
      <w:r w:rsidR="00F8342E" w:rsidRPr="00AA0C2E">
        <w:rPr>
          <w:rFonts w:ascii="Arial" w:hAnsi="Arial" w:cs="Arial"/>
        </w:rPr>
        <w:fldChar w:fldCharType="separate"/>
      </w:r>
      <w:r w:rsidR="00F65C59">
        <w:rPr>
          <w:rFonts w:ascii="Arial" w:hAnsi="Arial" w:cs="Arial"/>
          <w:noProof/>
        </w:rPr>
        <w:t>[</w:t>
      </w:r>
      <w:hyperlink w:anchor="_ENREF_39" w:tooltip="O'Donnell, 2013 #78" w:history="1">
        <w:r w:rsidR="00F65C59">
          <w:rPr>
            <w:rFonts w:ascii="Arial" w:hAnsi="Arial" w:cs="Arial"/>
            <w:noProof/>
          </w:rPr>
          <w:t>39</w:t>
        </w:r>
      </w:hyperlink>
      <w:r w:rsidR="00F65C59">
        <w:rPr>
          <w:rFonts w:ascii="Arial" w:hAnsi="Arial" w:cs="Arial"/>
          <w:noProof/>
        </w:rPr>
        <w:t>]</w:t>
      </w:r>
      <w:r w:rsidR="00F8342E" w:rsidRPr="00AA0C2E">
        <w:rPr>
          <w:rFonts w:ascii="Arial" w:hAnsi="Arial" w:cs="Arial"/>
        </w:rPr>
        <w:fldChar w:fldCharType="end"/>
      </w:r>
      <w:r w:rsidR="003662E6" w:rsidRPr="00AA0C2E">
        <w:rPr>
          <w:rFonts w:ascii="Arial" w:hAnsi="Arial" w:cs="Arial"/>
        </w:rPr>
        <w:t xml:space="preserve">. The test </w:t>
      </w:r>
      <w:r w:rsidR="00DE5583" w:rsidRPr="00AA0C2E">
        <w:rPr>
          <w:rFonts w:ascii="Arial" w:hAnsi="Arial" w:cs="Arial"/>
        </w:rPr>
        <w:t xml:space="preserve">kit </w:t>
      </w:r>
      <w:r w:rsidR="003662E6" w:rsidRPr="00AA0C2E">
        <w:rPr>
          <w:rFonts w:ascii="Arial" w:hAnsi="Arial" w:cs="Arial"/>
        </w:rPr>
        <w:t xml:space="preserve">was </w:t>
      </w:r>
      <w:r w:rsidR="00DE5583" w:rsidRPr="00AA0C2E">
        <w:rPr>
          <w:rFonts w:ascii="Arial" w:hAnsi="Arial" w:cs="Arial"/>
        </w:rPr>
        <w:t>registered</w:t>
      </w:r>
      <w:r w:rsidR="003662E6" w:rsidRPr="00AA0C2E">
        <w:rPr>
          <w:rFonts w:ascii="Arial" w:hAnsi="Arial" w:cs="Arial"/>
        </w:rPr>
        <w:t xml:space="preserve"> on the Australian Register of Therapeutic Goods (ARTG) </w:t>
      </w:r>
      <w:r w:rsidR="003662E6" w:rsidRPr="00AA0C2E">
        <w:rPr>
          <w:rFonts w:ascii="Arial" w:hAnsi="Arial" w:cs="Arial"/>
        </w:rPr>
        <w:lastRenderedPageBreak/>
        <w:t>#194319, effective 3</w:t>
      </w:r>
      <w:r w:rsidR="003662E6" w:rsidRPr="00AA0C2E">
        <w:rPr>
          <w:rFonts w:ascii="Arial" w:hAnsi="Arial" w:cs="Arial"/>
          <w:vertAlign w:val="superscript"/>
        </w:rPr>
        <w:t>rd</w:t>
      </w:r>
      <w:r w:rsidR="003662E6" w:rsidRPr="00AA0C2E">
        <w:rPr>
          <w:rFonts w:ascii="Arial" w:hAnsi="Arial" w:cs="Arial"/>
        </w:rPr>
        <w:t xml:space="preserve"> February 2012 </w:t>
      </w:r>
      <w:r w:rsidR="003662E6" w:rsidRPr="00AA0C2E">
        <w:rPr>
          <w:rFonts w:ascii="Arial" w:hAnsi="Arial" w:cs="Arial"/>
        </w:rPr>
        <w:fldChar w:fldCharType="begin"/>
      </w:r>
      <w:r w:rsidR="00F65C59">
        <w:rPr>
          <w:rFonts w:ascii="Arial" w:hAnsi="Arial" w:cs="Arial"/>
        </w:rPr>
        <w:instrText xml:space="preserve"> ADDIN EN.CITE &lt;EndNote&gt;&lt;Cite&gt;&lt;Author&gt;Administration&lt;/Author&gt;&lt;Year&gt;2014&lt;/Year&gt;&lt;RecNum&gt;5&lt;/RecNum&gt;&lt;DisplayText&gt;[40]&lt;/DisplayText&gt;&lt;record&gt;&lt;rec-number&gt;5&lt;/rec-number&gt;&lt;foreign-keys&gt;&lt;key app="EN" db-id="rprtzr95srz0woefsws5fs50rfwvtsf5aw2f"&gt;5&lt;/key&gt;&lt;/foreign-keys&gt;&lt;ref-type name="Government Document"&gt;46&lt;/ref-type&gt;&lt;contributors&gt;&lt;authors&gt;&lt;author&gt;Therapeutic Goods Administration,&lt;/author&gt;&lt;/authors&gt;&lt;secondary-authors&gt;&lt;author&gt;Australian Government Department of Health,&lt;/author&gt;&lt;/secondary-authors&gt;&lt;/contributors&gt;&lt;titles&gt;&lt;title&gt;Public Summary for ARTG Entry 194319 Roche Diagnostics Australia&lt;/title&gt;&lt;/titles&gt;&lt;dates&gt;&lt;year&gt;2014&lt;/year&gt;&lt;/dates&gt;&lt;pub-location&gt;Canberra, Australia&lt;/pub-location&gt;&lt;urls&gt;&lt;/urls&gt;&lt;/record&gt;&lt;/Cite&gt;&lt;/EndNote&gt;</w:instrText>
      </w:r>
      <w:r w:rsidR="003662E6" w:rsidRPr="00AA0C2E">
        <w:rPr>
          <w:rFonts w:ascii="Arial" w:hAnsi="Arial" w:cs="Arial"/>
        </w:rPr>
        <w:fldChar w:fldCharType="separate"/>
      </w:r>
      <w:r w:rsidR="00F65C59">
        <w:rPr>
          <w:rFonts w:ascii="Arial" w:hAnsi="Arial" w:cs="Arial"/>
          <w:noProof/>
        </w:rPr>
        <w:t>[</w:t>
      </w:r>
      <w:hyperlink w:anchor="_ENREF_40" w:tooltip="Therapeutic Goods Administration, 2014 #5" w:history="1">
        <w:r w:rsidR="00F65C59">
          <w:rPr>
            <w:rFonts w:ascii="Arial" w:hAnsi="Arial" w:cs="Arial"/>
            <w:noProof/>
          </w:rPr>
          <w:t>40</w:t>
        </w:r>
      </w:hyperlink>
      <w:r w:rsidR="00F65C59">
        <w:rPr>
          <w:rFonts w:ascii="Arial" w:hAnsi="Arial" w:cs="Arial"/>
          <w:noProof/>
        </w:rPr>
        <w:t>]</w:t>
      </w:r>
      <w:r w:rsidR="003662E6" w:rsidRPr="00AA0C2E">
        <w:rPr>
          <w:rFonts w:ascii="Arial" w:hAnsi="Arial" w:cs="Arial"/>
        </w:rPr>
        <w:fldChar w:fldCharType="end"/>
      </w:r>
      <w:r w:rsidR="001115E5" w:rsidRPr="00AA0C2E">
        <w:rPr>
          <w:rFonts w:ascii="Arial" w:hAnsi="Arial" w:cs="Arial"/>
        </w:rPr>
        <w:t xml:space="preserve"> and is the proposed ‘evidentiary’ standard</w:t>
      </w:r>
      <w:r w:rsidR="00DE5583" w:rsidRPr="00AA0C2E">
        <w:rPr>
          <w:rFonts w:ascii="Arial" w:hAnsi="Arial" w:cs="Arial"/>
        </w:rPr>
        <w:t xml:space="preserve"> for this evaluation</w:t>
      </w:r>
      <w:r w:rsidR="001115E5" w:rsidRPr="00AA0C2E">
        <w:rPr>
          <w:rFonts w:ascii="Arial" w:hAnsi="Arial" w:cs="Arial"/>
        </w:rPr>
        <w:t>.</w:t>
      </w:r>
    </w:p>
    <w:p w14:paraId="79D2DAD4" w14:textId="77777777" w:rsidR="009C05DD" w:rsidRPr="00AA0C2E" w:rsidRDefault="00070A6A" w:rsidP="00E83EBD">
      <w:pPr>
        <w:spacing w:line="360" w:lineRule="auto"/>
        <w:jc w:val="both"/>
        <w:rPr>
          <w:rFonts w:ascii="Arial" w:hAnsi="Arial" w:cs="Arial"/>
        </w:rPr>
      </w:pPr>
      <w:r w:rsidRPr="00AA0C2E">
        <w:rPr>
          <w:rFonts w:ascii="Arial" w:hAnsi="Arial" w:cs="Arial"/>
        </w:rPr>
        <w:t xml:space="preserve">The </w:t>
      </w:r>
      <w:proofErr w:type="spellStart"/>
      <w:r w:rsidRPr="00AA0C2E">
        <w:rPr>
          <w:rFonts w:ascii="Arial" w:hAnsi="Arial" w:cs="Arial"/>
        </w:rPr>
        <w:t>cobas</w:t>
      </w:r>
      <w:proofErr w:type="spellEnd"/>
      <w:r w:rsidR="009C05DD" w:rsidRPr="00AA0C2E">
        <w:rPr>
          <w:rFonts w:ascii="Arial" w:hAnsi="Arial" w:cs="Arial"/>
          <w:vertAlign w:val="superscript"/>
        </w:rPr>
        <w:t>®</w:t>
      </w:r>
      <w:r w:rsidRPr="00AA0C2E">
        <w:rPr>
          <w:rFonts w:ascii="Arial" w:hAnsi="Arial" w:cs="Arial"/>
        </w:rPr>
        <w:t> EGFR Mutation Test consists of two major steps: (1) a manual DNA isolation step and (2) PCR amplification and detection of target DNA using complementary primer pairs and oligonucleotide probes labelled with fluorescent dyes. </w:t>
      </w:r>
      <w:r w:rsidR="00DE5583" w:rsidRPr="00AA0C2E">
        <w:rPr>
          <w:rFonts w:ascii="Arial" w:hAnsi="Arial" w:cs="Arial"/>
        </w:rPr>
        <w:t>The test kit:</w:t>
      </w:r>
    </w:p>
    <w:p w14:paraId="2921F473" w14:textId="77777777" w:rsidR="00070A6A" w:rsidRPr="00AA0C2E" w:rsidRDefault="009C05DD" w:rsidP="00E83EBD">
      <w:pPr>
        <w:pStyle w:val="ListParagraph"/>
        <w:numPr>
          <w:ilvl w:val="0"/>
          <w:numId w:val="6"/>
        </w:numPr>
        <w:spacing w:line="360" w:lineRule="auto"/>
        <w:rPr>
          <w:rFonts w:ascii="Arial" w:hAnsi="Arial" w:cs="Arial"/>
        </w:rPr>
      </w:pPr>
      <w:r w:rsidRPr="00AA0C2E">
        <w:rPr>
          <w:rFonts w:ascii="Arial" w:hAnsi="Arial" w:cs="Arial"/>
        </w:rPr>
        <w:t xml:space="preserve">Identifies 41 </w:t>
      </w:r>
      <w:proofErr w:type="gramStart"/>
      <w:r w:rsidRPr="00AA0C2E">
        <w:rPr>
          <w:rFonts w:ascii="Arial" w:hAnsi="Arial" w:cs="Arial"/>
        </w:rPr>
        <w:t>mutation</w:t>
      </w:r>
      <w:proofErr w:type="gramEnd"/>
      <w:r w:rsidRPr="00AA0C2E">
        <w:rPr>
          <w:rFonts w:ascii="Arial" w:hAnsi="Arial" w:cs="Arial"/>
        </w:rPr>
        <w:t xml:space="preserve"> in exons 18, 19, 20 and 21 of the EGFR gene. </w:t>
      </w:r>
      <w:hyperlink r:id="rId22" w:anchor="Resistant_Sensitive-Chart-anchor" w:history="1">
        <w:r w:rsidR="00070A6A" w:rsidRPr="00AA0C2E">
          <w:rPr>
            <w:rFonts w:ascii="Arial" w:hAnsi="Arial" w:cs="Arial"/>
          </w:rPr>
          <w:t xml:space="preserve">The test is designed to detect G719X (G719A, G719C and G719S) in exon 18; deletions and complex mutations in exon 19; S768I, </w:t>
        </w:r>
        <w:r w:rsidR="00070A6A" w:rsidRPr="00AA0C2E">
          <w:rPr>
            <w:rFonts w:ascii="Arial" w:hAnsi="Arial" w:cs="Arial"/>
            <w:b/>
          </w:rPr>
          <w:t>T790M mutation</w:t>
        </w:r>
        <w:r w:rsidR="00070A6A" w:rsidRPr="00AA0C2E">
          <w:rPr>
            <w:rFonts w:ascii="Arial" w:hAnsi="Arial" w:cs="Arial"/>
          </w:rPr>
          <w:t xml:space="preserve"> and insertions in exon 20; and L858R in exon 21.</w:t>
        </w:r>
      </w:hyperlink>
      <w:r w:rsidR="00070A6A" w:rsidRPr="00AA0C2E">
        <w:rPr>
          <w:rFonts w:ascii="Arial" w:hAnsi="Arial" w:cs="Arial"/>
        </w:rPr>
        <w:t> A mutant control and a negative control are included in each run to confirm the validity of the run</w:t>
      </w:r>
      <w:r w:rsidRPr="00AA0C2E">
        <w:rPr>
          <w:rFonts w:ascii="Arial" w:hAnsi="Arial" w:cs="Arial"/>
        </w:rPr>
        <w:t>.</w:t>
      </w:r>
    </w:p>
    <w:p w14:paraId="16AB95F4" w14:textId="77777777" w:rsidR="009C05DD" w:rsidRPr="00AA0C2E" w:rsidRDefault="009C05DD" w:rsidP="00E83EBD">
      <w:pPr>
        <w:pStyle w:val="ListParagraph"/>
        <w:numPr>
          <w:ilvl w:val="0"/>
          <w:numId w:val="6"/>
        </w:numPr>
        <w:spacing w:line="360" w:lineRule="auto"/>
        <w:rPr>
          <w:rFonts w:ascii="Arial" w:hAnsi="Arial" w:cs="Arial"/>
        </w:rPr>
      </w:pPr>
      <w:r w:rsidRPr="00AA0C2E">
        <w:rPr>
          <w:rFonts w:ascii="Arial" w:hAnsi="Arial" w:cs="Arial"/>
        </w:rPr>
        <w:t>Detects &lt;5% mutant sequence copies in a background of wild-type DNA.</w:t>
      </w:r>
    </w:p>
    <w:p w14:paraId="4FA471A1" w14:textId="77777777" w:rsidR="00070A6A" w:rsidRDefault="009C05DD" w:rsidP="00E83EBD">
      <w:pPr>
        <w:pStyle w:val="ListParagraph"/>
        <w:numPr>
          <w:ilvl w:val="0"/>
          <w:numId w:val="6"/>
        </w:numPr>
        <w:spacing w:line="360" w:lineRule="auto"/>
        <w:rPr>
          <w:rFonts w:ascii="Arial" w:hAnsi="Arial" w:cs="Arial"/>
        </w:rPr>
      </w:pPr>
      <w:r w:rsidRPr="00AA0C2E">
        <w:rPr>
          <w:rFonts w:ascii="Arial" w:hAnsi="Arial" w:cs="Arial"/>
        </w:rPr>
        <w:t>Can be performed on a single, 5 µm formalin-fixed paraffin-embedded (FFPE) section with &gt;10% tumour.</w:t>
      </w:r>
      <w:r w:rsidR="00DE5583" w:rsidRPr="00AA0C2E">
        <w:rPr>
          <w:rFonts w:ascii="Arial" w:hAnsi="Arial" w:cs="Arial"/>
        </w:rPr>
        <w:t xml:space="preserve"> </w:t>
      </w:r>
      <w:proofErr w:type="spellStart"/>
      <w:r w:rsidR="00070A6A" w:rsidRPr="00AA0C2E">
        <w:rPr>
          <w:rFonts w:ascii="Arial" w:hAnsi="Arial" w:cs="Arial"/>
        </w:rPr>
        <w:t>Macrodissection</w:t>
      </w:r>
      <w:proofErr w:type="spellEnd"/>
      <w:r w:rsidR="00070A6A" w:rsidRPr="00AA0C2E">
        <w:rPr>
          <w:rFonts w:ascii="Arial" w:hAnsi="Arial" w:cs="Arial"/>
        </w:rPr>
        <w:t xml:space="preserve"> of the tissue section is only required if the estimated tumour content is &lt;10% by pathological assessment</w:t>
      </w:r>
      <w:r w:rsidRPr="00AA0C2E">
        <w:rPr>
          <w:rFonts w:ascii="Arial" w:hAnsi="Arial" w:cs="Arial"/>
        </w:rPr>
        <w:t>.</w:t>
      </w:r>
    </w:p>
    <w:p w14:paraId="44F84FA6" w14:textId="1C42153A" w:rsidR="008D5F13" w:rsidRDefault="008D5F13" w:rsidP="00327620">
      <w:pPr>
        <w:spacing w:line="360" w:lineRule="auto"/>
        <w:jc w:val="both"/>
      </w:pPr>
      <w:r w:rsidRPr="008D07C5">
        <w:rPr>
          <w:rFonts w:ascii="Arial" w:hAnsi="Arial" w:cs="Arial"/>
          <w:szCs w:val="18"/>
        </w:rPr>
        <w:t>PASC advised that more details of the testing process would be needed (e.g. tumour sample size and tissue heterogeneity) to specify the evidentiary standard adequately. If alternative methods of collection, for example cytology samples, are proposed, these will also be required to be assessed against the evidentiary standard.</w:t>
      </w:r>
    </w:p>
    <w:p w14:paraId="72A80BF8" w14:textId="77777777" w:rsidR="00E83EBD" w:rsidRPr="00AA0C2E" w:rsidRDefault="00E83EBD" w:rsidP="00E83EBD">
      <w:pPr>
        <w:spacing w:line="360" w:lineRule="auto"/>
        <w:rPr>
          <w:rFonts w:ascii="Arial" w:hAnsi="Arial" w:cs="Arial"/>
        </w:rPr>
      </w:pPr>
      <w:r w:rsidRPr="00AA0C2E">
        <w:rPr>
          <w:rFonts w:ascii="Arial" w:hAnsi="Arial" w:cs="Arial"/>
        </w:rPr>
        <w:t>In the AURA studies, biopsy is the source of tumour tissue</w:t>
      </w:r>
      <w:r w:rsidR="006C08B1" w:rsidRPr="00AA0C2E">
        <w:rPr>
          <w:rFonts w:ascii="Arial" w:hAnsi="Arial" w:cs="Arial"/>
        </w:rPr>
        <w:t xml:space="preserve"> for mutation testing</w:t>
      </w:r>
      <w:r w:rsidRPr="00AA0C2E">
        <w:rPr>
          <w:rFonts w:ascii="Arial" w:hAnsi="Arial" w:cs="Arial"/>
        </w:rPr>
        <w:t xml:space="preserve">. </w:t>
      </w:r>
    </w:p>
    <w:p w14:paraId="33E02B2C" w14:textId="77777777" w:rsidR="00C80E7B" w:rsidRPr="00AA0C2E" w:rsidRDefault="001115E5" w:rsidP="00E83EBD">
      <w:pPr>
        <w:spacing w:line="360" w:lineRule="auto"/>
        <w:rPr>
          <w:rFonts w:ascii="Arial" w:hAnsi="Arial" w:cs="Arial"/>
        </w:rPr>
      </w:pPr>
      <w:r w:rsidRPr="00AA0C2E">
        <w:rPr>
          <w:rFonts w:ascii="Arial" w:hAnsi="Arial" w:cs="Arial"/>
        </w:rPr>
        <w:t xml:space="preserve">As per MSAC Application 1161 for the reimbursement of EGFR mutation testing to determine eligibility for access to </w:t>
      </w:r>
      <w:proofErr w:type="spellStart"/>
      <w:r w:rsidRPr="00AA0C2E">
        <w:rPr>
          <w:rFonts w:ascii="Arial" w:hAnsi="Arial" w:cs="Arial"/>
        </w:rPr>
        <w:t>gefitinib</w:t>
      </w:r>
      <w:proofErr w:type="spellEnd"/>
      <w:r w:rsidRPr="00AA0C2E">
        <w:rPr>
          <w:rFonts w:ascii="Arial" w:hAnsi="Arial" w:cs="Arial"/>
        </w:rPr>
        <w:t xml:space="preserve"> </w:t>
      </w:r>
      <w:r w:rsidRPr="00AA0C2E">
        <w:rPr>
          <w:rFonts w:ascii="Arial" w:hAnsi="Arial" w:cs="Arial"/>
        </w:rPr>
        <w:fldChar w:fldCharType="begin"/>
      </w:r>
      <w:r w:rsidR="00F65C59">
        <w:rPr>
          <w:rFonts w:ascii="Arial" w:hAnsi="Arial" w:cs="Arial"/>
        </w:rPr>
        <w:instrText xml:space="preserve"> ADDIN EN.CITE &lt;EndNote&gt;&lt;Cite&gt;&lt;Author&gt;Medical Services Advisory Committee&lt;/Author&gt;&lt;Year&gt;2013&lt;/Year&gt;&lt;RecNum&gt;6&lt;/RecNum&gt;&lt;DisplayText&gt;[38]&lt;/DisplayText&gt;&lt;record&gt;&lt;rec-number&gt;6&lt;/rec-number&gt;&lt;foreign-keys&gt;&lt;key app="EN" db-id="rprtzr95srz0woefsws5fs50rfwvtsf5aw2f"&gt;6&lt;/key&gt;&lt;/foreign-keys&gt;&lt;ref-type name="Report"&gt;27&lt;/ref-type&gt;&lt;contributors&gt;&lt;authors&gt;&lt;author&gt;Medical Services Advisory Committee,&lt;/author&gt;&lt;/authors&gt;&lt;/contributors&gt;&lt;titles&gt;&lt;title&gt;Public Summary Document.  Application No. 1161 – Gefitinib first line testing for mutations of epidermal growth factor receptor (EGFR) in patients with metastatic non-small cell lung cancer (NSCLC).&lt;/title&gt;&lt;/titles&gt;&lt;dates&gt;&lt;year&gt;2013&lt;/year&gt;&lt;/dates&gt;&lt;urls&gt;&lt;/urls&gt;&lt;/record&gt;&lt;/Cite&gt;&lt;/EndNote&gt;</w:instrText>
      </w:r>
      <w:r w:rsidRPr="00AA0C2E">
        <w:rPr>
          <w:rFonts w:ascii="Arial" w:hAnsi="Arial" w:cs="Arial"/>
        </w:rPr>
        <w:fldChar w:fldCharType="separate"/>
      </w:r>
      <w:r w:rsidR="00F65C59">
        <w:rPr>
          <w:rFonts w:ascii="Arial" w:hAnsi="Arial" w:cs="Arial"/>
          <w:noProof/>
        </w:rPr>
        <w:t>[</w:t>
      </w:r>
      <w:hyperlink w:anchor="_ENREF_38" w:tooltip="Medical Services Advisory Committee, 2013 #6" w:history="1">
        <w:r w:rsidR="00F65C59">
          <w:rPr>
            <w:rFonts w:ascii="Arial" w:hAnsi="Arial" w:cs="Arial"/>
            <w:noProof/>
          </w:rPr>
          <w:t>38</w:t>
        </w:r>
      </w:hyperlink>
      <w:r w:rsidR="00F65C59">
        <w:rPr>
          <w:rFonts w:ascii="Arial" w:hAnsi="Arial" w:cs="Arial"/>
          <w:noProof/>
        </w:rPr>
        <w:t>]</w:t>
      </w:r>
      <w:r w:rsidRPr="00AA0C2E">
        <w:rPr>
          <w:rFonts w:ascii="Arial" w:hAnsi="Arial" w:cs="Arial"/>
        </w:rPr>
        <w:fldChar w:fldCharType="end"/>
      </w:r>
      <w:r w:rsidR="00DD1536" w:rsidRPr="00AA0C2E">
        <w:rPr>
          <w:rFonts w:ascii="Arial" w:hAnsi="Arial" w:cs="Arial"/>
        </w:rPr>
        <w:t xml:space="preserve">, no specific test methodology </w:t>
      </w:r>
      <w:r w:rsidR="00E84FD7" w:rsidRPr="00AA0C2E">
        <w:rPr>
          <w:rFonts w:ascii="Arial" w:hAnsi="Arial" w:cs="Arial"/>
        </w:rPr>
        <w:t>to determine EGFR</w:t>
      </w:r>
      <w:r w:rsidR="00BB0925" w:rsidRPr="00AA0C2E">
        <w:rPr>
          <w:rFonts w:ascii="Arial" w:hAnsi="Arial" w:cs="Arial"/>
        </w:rPr>
        <w:t xml:space="preserve"> </w:t>
      </w:r>
      <w:r w:rsidR="00E84FD7" w:rsidRPr="00AA0C2E">
        <w:rPr>
          <w:rFonts w:ascii="Arial" w:hAnsi="Arial" w:cs="Arial"/>
        </w:rPr>
        <w:t>T790M</w:t>
      </w:r>
      <w:r w:rsidR="00CD614A" w:rsidRPr="00AA0C2E">
        <w:rPr>
          <w:rFonts w:ascii="Arial" w:hAnsi="Arial" w:cs="Arial"/>
        </w:rPr>
        <w:t xml:space="preserve"> s</w:t>
      </w:r>
      <w:r w:rsidR="00E84FD7" w:rsidRPr="00AA0C2E">
        <w:rPr>
          <w:rFonts w:ascii="Arial" w:hAnsi="Arial" w:cs="Arial"/>
        </w:rPr>
        <w:t xml:space="preserve">tatus </w:t>
      </w:r>
      <w:r w:rsidR="00DD1536" w:rsidRPr="00AA0C2E">
        <w:rPr>
          <w:rFonts w:ascii="Arial" w:hAnsi="Arial" w:cs="Arial"/>
        </w:rPr>
        <w:t>is proposed</w:t>
      </w:r>
      <w:r w:rsidR="00E84FD7" w:rsidRPr="00AA0C2E">
        <w:rPr>
          <w:rFonts w:ascii="Arial" w:hAnsi="Arial" w:cs="Arial"/>
        </w:rPr>
        <w:t xml:space="preserve"> for this service.</w:t>
      </w:r>
    </w:p>
    <w:p w14:paraId="39E4F70C" w14:textId="77777777" w:rsidR="00C26FF5" w:rsidRPr="00AA0C2E" w:rsidRDefault="00C26FF5" w:rsidP="00E83EBD">
      <w:pPr>
        <w:spacing w:line="360" w:lineRule="auto"/>
        <w:rPr>
          <w:rFonts w:ascii="Arial" w:hAnsi="Arial" w:cs="Arial"/>
        </w:rPr>
      </w:pPr>
      <w:r w:rsidRPr="00AA0C2E">
        <w:rPr>
          <w:rFonts w:ascii="Arial" w:hAnsi="Arial" w:cs="Arial"/>
          <w:u w:val="single"/>
        </w:rPr>
        <w:t xml:space="preserve">Does the service include a </w:t>
      </w:r>
      <w:r w:rsidR="009B0F59" w:rsidRPr="00AA0C2E">
        <w:rPr>
          <w:rFonts w:ascii="Arial" w:hAnsi="Arial" w:cs="Arial"/>
          <w:u w:val="single"/>
        </w:rPr>
        <w:t>r</w:t>
      </w:r>
      <w:r w:rsidRPr="00AA0C2E">
        <w:rPr>
          <w:rFonts w:ascii="Arial" w:hAnsi="Arial" w:cs="Arial"/>
          <w:u w:val="single"/>
        </w:rPr>
        <w:t>egistered trademark</w:t>
      </w:r>
      <w:r w:rsidR="00E84FD7" w:rsidRPr="00AA0C2E">
        <w:rPr>
          <w:rFonts w:ascii="Arial" w:hAnsi="Arial" w:cs="Arial"/>
        </w:rPr>
        <w:t>?</w:t>
      </w:r>
    </w:p>
    <w:p w14:paraId="1FE66CD1" w14:textId="77777777" w:rsidR="00E84FD7" w:rsidRPr="00AA0C2E" w:rsidRDefault="00E84FD7" w:rsidP="00E83EBD">
      <w:pPr>
        <w:spacing w:line="360" w:lineRule="auto"/>
        <w:rPr>
          <w:rFonts w:ascii="Arial" w:hAnsi="Arial" w:cs="Arial"/>
        </w:rPr>
      </w:pPr>
      <w:r w:rsidRPr="00AA0C2E">
        <w:rPr>
          <w:rFonts w:ascii="Arial" w:hAnsi="Arial" w:cs="Arial"/>
        </w:rPr>
        <w:t xml:space="preserve">No registered trademark is proposed to be </w:t>
      </w:r>
      <w:r w:rsidR="00483F1B" w:rsidRPr="00AA0C2E">
        <w:rPr>
          <w:rFonts w:ascii="Arial" w:hAnsi="Arial" w:cs="Arial"/>
        </w:rPr>
        <w:t>associated with this service.</w:t>
      </w:r>
      <w:r w:rsidR="00B1482D" w:rsidRPr="00AA0C2E">
        <w:rPr>
          <w:rFonts w:ascii="Arial" w:hAnsi="Arial" w:cs="Arial"/>
        </w:rPr>
        <w:t xml:space="preserve"> AstraZeneca is not a sponsor </w:t>
      </w:r>
      <w:r w:rsidR="00914766" w:rsidRPr="00AA0C2E">
        <w:rPr>
          <w:rFonts w:ascii="Arial" w:hAnsi="Arial" w:cs="Arial"/>
        </w:rPr>
        <w:t>of any EGFR mutation testing methodologies.</w:t>
      </w:r>
    </w:p>
    <w:p w14:paraId="65E93F27" w14:textId="77777777" w:rsidR="001E1392" w:rsidRDefault="001E1392">
      <w:pPr>
        <w:rPr>
          <w:rFonts w:ascii="Arial" w:hAnsi="Arial" w:cs="Arial"/>
          <w:u w:val="single"/>
        </w:rPr>
      </w:pPr>
      <w:r>
        <w:rPr>
          <w:rFonts w:ascii="Arial" w:hAnsi="Arial" w:cs="Arial"/>
          <w:u w:val="single"/>
        </w:rPr>
        <w:br w:type="page"/>
      </w:r>
    </w:p>
    <w:p w14:paraId="4028A1F8" w14:textId="77777777" w:rsidR="00C26FF5" w:rsidRPr="00AA0C2E" w:rsidRDefault="00C26FF5" w:rsidP="00E83EBD">
      <w:pPr>
        <w:spacing w:before="120" w:after="120" w:line="360" w:lineRule="auto"/>
      </w:pPr>
      <w:r w:rsidRPr="00AA0C2E">
        <w:rPr>
          <w:rFonts w:ascii="Arial" w:hAnsi="Arial" w:cs="Arial"/>
          <w:u w:val="single"/>
        </w:rPr>
        <w:lastRenderedPageBreak/>
        <w:t>Indicate the proposed setting in which the proposed medical service will be delivered</w:t>
      </w:r>
      <w:r w:rsidR="00E84FD7" w:rsidRPr="00AA0C2E">
        <w:rPr>
          <w:rFonts w:ascii="Arial" w:hAnsi="Arial" w:cs="Arial"/>
        </w:rPr>
        <w:t>:</w:t>
      </w:r>
      <w:r w:rsidRPr="00AA0C2E">
        <w:rPr>
          <w:rFonts w:ascii="Arial" w:hAnsi="Arial" w:cs="Arial"/>
        </w:rPr>
        <w:t xml:space="preserve"> </w:t>
      </w:r>
    </w:p>
    <w:p w14:paraId="71DA8906" w14:textId="77777777" w:rsidR="00C26FF5" w:rsidRPr="00AA0C2E" w:rsidRDefault="00483F1B" w:rsidP="00E83EBD">
      <w:pPr>
        <w:spacing w:line="360" w:lineRule="auto"/>
        <w:jc w:val="both"/>
        <w:rPr>
          <w:rFonts w:ascii="Arial" w:hAnsi="Arial" w:cs="Arial"/>
        </w:rPr>
      </w:pPr>
      <w:r w:rsidRPr="00AA0C2E">
        <w:rPr>
          <w:rFonts w:ascii="Arial" w:hAnsi="Arial" w:cs="Arial"/>
        </w:rPr>
        <w:t xml:space="preserve">The EGFR mutation test is proposed to be conducted in Australian </w:t>
      </w:r>
      <w:r w:rsidR="00BB0925" w:rsidRPr="00AA0C2E">
        <w:rPr>
          <w:rFonts w:ascii="Arial" w:hAnsi="Arial" w:cs="Arial"/>
        </w:rPr>
        <w:t xml:space="preserve">molecular </w:t>
      </w:r>
      <w:r w:rsidRPr="00AA0C2E">
        <w:rPr>
          <w:rFonts w:ascii="Arial" w:hAnsi="Arial" w:cs="Arial"/>
        </w:rPr>
        <w:t xml:space="preserve">laboratories with </w:t>
      </w:r>
      <w:r w:rsidR="008B003C" w:rsidRPr="00AA0C2E">
        <w:rPr>
          <w:rFonts w:ascii="Arial" w:hAnsi="Arial" w:cs="Arial"/>
        </w:rPr>
        <w:t>EGFR mutation testing as part of their N</w:t>
      </w:r>
      <w:r w:rsidR="00BB0925" w:rsidRPr="00AA0C2E">
        <w:rPr>
          <w:rFonts w:ascii="Arial" w:hAnsi="Arial" w:cs="Arial"/>
        </w:rPr>
        <w:t xml:space="preserve">ational </w:t>
      </w:r>
      <w:r w:rsidR="008B003C" w:rsidRPr="00AA0C2E">
        <w:rPr>
          <w:rFonts w:ascii="Arial" w:hAnsi="Arial" w:cs="Arial"/>
        </w:rPr>
        <w:t>A</w:t>
      </w:r>
      <w:r w:rsidR="00BB0925" w:rsidRPr="00AA0C2E">
        <w:rPr>
          <w:rFonts w:ascii="Arial" w:hAnsi="Arial" w:cs="Arial"/>
        </w:rPr>
        <w:t xml:space="preserve">ssociation of </w:t>
      </w:r>
      <w:r w:rsidR="008B003C" w:rsidRPr="00AA0C2E">
        <w:rPr>
          <w:rFonts w:ascii="Arial" w:hAnsi="Arial" w:cs="Arial"/>
        </w:rPr>
        <w:t>T</w:t>
      </w:r>
      <w:r w:rsidR="00BB0925" w:rsidRPr="00AA0C2E">
        <w:rPr>
          <w:rFonts w:ascii="Arial" w:hAnsi="Arial" w:cs="Arial"/>
        </w:rPr>
        <w:t xml:space="preserve">esting </w:t>
      </w:r>
      <w:r w:rsidR="008B003C" w:rsidRPr="00AA0C2E">
        <w:rPr>
          <w:rFonts w:ascii="Arial" w:hAnsi="Arial" w:cs="Arial"/>
        </w:rPr>
        <w:t>A</w:t>
      </w:r>
      <w:r w:rsidR="00BB0925" w:rsidRPr="00AA0C2E">
        <w:rPr>
          <w:rFonts w:ascii="Arial" w:hAnsi="Arial" w:cs="Arial"/>
        </w:rPr>
        <w:t xml:space="preserve">uthorities, Australia (NATA; </w:t>
      </w:r>
      <w:hyperlink r:id="rId23" w:history="1">
        <w:r w:rsidR="00011F80" w:rsidRPr="00AA0C2E">
          <w:rPr>
            <w:rStyle w:val="Hyperlink"/>
            <w:rFonts w:ascii="Arial" w:hAnsi="Arial" w:cs="Arial"/>
            <w:color w:val="auto"/>
          </w:rPr>
          <w:t>National Association of Testing Authorities</w:t>
        </w:r>
      </w:hyperlink>
      <w:r w:rsidR="00BB0925" w:rsidRPr="00AA0C2E">
        <w:rPr>
          <w:rFonts w:ascii="Arial" w:hAnsi="Arial" w:cs="Arial"/>
        </w:rPr>
        <w:t xml:space="preserve"> )</w:t>
      </w:r>
      <w:r w:rsidR="008B003C" w:rsidRPr="00AA0C2E">
        <w:rPr>
          <w:rFonts w:ascii="Arial" w:hAnsi="Arial" w:cs="Arial"/>
        </w:rPr>
        <w:t xml:space="preserve"> approved scope.</w:t>
      </w:r>
    </w:p>
    <w:p w14:paraId="67C79487" w14:textId="77777777" w:rsidR="00C26FF5" w:rsidRPr="00AA0C2E" w:rsidRDefault="00C26FF5" w:rsidP="00E83EBD">
      <w:pPr>
        <w:spacing w:before="120" w:after="120" w:line="360" w:lineRule="auto"/>
        <w:rPr>
          <w:rFonts w:ascii="Arial" w:hAnsi="Arial" w:cs="Arial"/>
        </w:rPr>
      </w:pPr>
      <w:r w:rsidRPr="00AA0C2E">
        <w:rPr>
          <w:rFonts w:ascii="Arial" w:hAnsi="Arial" w:cs="Arial"/>
          <w:u w:val="single"/>
        </w:rPr>
        <w:t>Describe how the service is delivered in the clinical setting.</w:t>
      </w:r>
      <w:r w:rsidRPr="00AA0C2E">
        <w:rPr>
          <w:rFonts w:ascii="Arial" w:hAnsi="Arial" w:cs="Arial"/>
        </w:rPr>
        <w:t xml:space="preserve">  </w:t>
      </w:r>
    </w:p>
    <w:p w14:paraId="6E99E7DD" w14:textId="77777777" w:rsidR="006604C2" w:rsidRPr="00AA0C2E" w:rsidRDefault="006604C2" w:rsidP="00E83EBD">
      <w:pPr>
        <w:spacing w:before="120" w:after="120" w:line="360" w:lineRule="auto"/>
        <w:jc w:val="both"/>
        <w:rPr>
          <w:rFonts w:ascii="Arial" w:hAnsi="Arial" w:cs="Arial"/>
        </w:rPr>
      </w:pPr>
      <w:r w:rsidRPr="00AA0C2E">
        <w:rPr>
          <w:rFonts w:ascii="Arial" w:hAnsi="Arial" w:cs="Arial"/>
        </w:rPr>
        <w:t xml:space="preserve">It is expected that locally advanced or metastatic NSCLC patients will be the population to whom this service will apply. In the Australian clinical setting, the majority of such patients will be under the care of a Medical Oncologist, and </w:t>
      </w:r>
      <w:r w:rsidR="003A21D0" w:rsidRPr="00AA0C2E">
        <w:rPr>
          <w:rFonts w:ascii="Arial" w:hAnsi="Arial" w:cs="Arial"/>
        </w:rPr>
        <w:t xml:space="preserve">those whose tumours are of non-squamous or NOS histology, </w:t>
      </w:r>
      <w:r w:rsidRPr="00AA0C2E">
        <w:rPr>
          <w:rFonts w:ascii="Arial" w:hAnsi="Arial" w:cs="Arial"/>
        </w:rPr>
        <w:t>will undergo</w:t>
      </w:r>
      <w:r w:rsidR="003A21D0" w:rsidRPr="00AA0C2E">
        <w:rPr>
          <w:rFonts w:ascii="Arial" w:hAnsi="Arial" w:cs="Arial"/>
        </w:rPr>
        <w:t xml:space="preserve"> mutation</w:t>
      </w:r>
      <w:r w:rsidRPr="00AA0C2E">
        <w:rPr>
          <w:rFonts w:ascii="Arial" w:hAnsi="Arial" w:cs="Arial"/>
        </w:rPr>
        <w:t xml:space="preserve"> testing </w:t>
      </w:r>
      <w:r w:rsidR="003A21D0" w:rsidRPr="00AA0C2E">
        <w:rPr>
          <w:rFonts w:ascii="Arial" w:hAnsi="Arial" w:cs="Arial"/>
        </w:rPr>
        <w:t>(</w:t>
      </w:r>
      <w:r w:rsidRPr="00AA0C2E">
        <w:rPr>
          <w:rFonts w:ascii="Arial" w:hAnsi="Arial" w:cs="Arial"/>
        </w:rPr>
        <w:t>at diagnosis</w:t>
      </w:r>
      <w:r w:rsidR="003A21D0" w:rsidRPr="00AA0C2E">
        <w:rPr>
          <w:rFonts w:ascii="Arial" w:hAnsi="Arial" w:cs="Arial"/>
        </w:rPr>
        <w:t>)</w:t>
      </w:r>
      <w:r w:rsidRPr="00AA0C2E">
        <w:rPr>
          <w:rFonts w:ascii="Arial" w:hAnsi="Arial" w:cs="Arial"/>
        </w:rPr>
        <w:t xml:space="preserve"> for the presence of an EGFR sensitising mutation. In clinical practice, for patients who are eligible for, and </w:t>
      </w:r>
      <w:r w:rsidR="00DC579D" w:rsidRPr="00AA0C2E">
        <w:rPr>
          <w:rFonts w:ascii="Arial" w:hAnsi="Arial" w:cs="Arial"/>
        </w:rPr>
        <w:t xml:space="preserve">receive </w:t>
      </w:r>
      <w:r w:rsidRPr="00AA0C2E">
        <w:rPr>
          <w:rFonts w:ascii="Arial" w:hAnsi="Arial" w:cs="Arial"/>
        </w:rPr>
        <w:t xml:space="preserve">an EGFR TKI, disease progression is generally detected following </w:t>
      </w:r>
      <w:r w:rsidR="00CD614A" w:rsidRPr="00AA0C2E">
        <w:rPr>
          <w:rFonts w:ascii="Arial" w:hAnsi="Arial" w:cs="Arial"/>
        </w:rPr>
        <w:t xml:space="preserve">regular </w:t>
      </w:r>
      <w:r w:rsidRPr="00AA0C2E">
        <w:rPr>
          <w:rFonts w:ascii="Arial" w:hAnsi="Arial" w:cs="Arial"/>
        </w:rPr>
        <w:t>investigation</w:t>
      </w:r>
      <w:r w:rsidR="00CD614A" w:rsidRPr="00AA0C2E">
        <w:rPr>
          <w:rFonts w:ascii="Arial" w:hAnsi="Arial" w:cs="Arial"/>
        </w:rPr>
        <w:t>s (e.g. CT scan), and/or symptom return</w:t>
      </w:r>
      <w:r w:rsidRPr="00AA0C2E">
        <w:rPr>
          <w:rFonts w:ascii="Arial" w:hAnsi="Arial" w:cs="Arial"/>
        </w:rPr>
        <w:t>. The medical oncologist and patient will decide whether a</w:t>
      </w:r>
      <w:r w:rsidR="003A21D0" w:rsidRPr="00AA0C2E">
        <w:rPr>
          <w:rFonts w:ascii="Arial" w:hAnsi="Arial" w:cs="Arial"/>
        </w:rPr>
        <w:t xml:space="preserve"> </w:t>
      </w:r>
      <w:r w:rsidR="002E3D8D" w:rsidRPr="00AA0C2E">
        <w:rPr>
          <w:rFonts w:ascii="Arial" w:hAnsi="Arial" w:cs="Arial"/>
        </w:rPr>
        <w:t>subsequent active treatment and a</w:t>
      </w:r>
      <w:r w:rsidRPr="00AA0C2E">
        <w:rPr>
          <w:rFonts w:ascii="Arial" w:hAnsi="Arial" w:cs="Arial"/>
        </w:rPr>
        <w:t xml:space="preserve"> biopsy procedure to obtain tumour tissue </w:t>
      </w:r>
      <w:r w:rsidR="003A21D0" w:rsidRPr="00AA0C2E">
        <w:rPr>
          <w:rFonts w:ascii="Arial" w:hAnsi="Arial" w:cs="Arial"/>
        </w:rPr>
        <w:t xml:space="preserve">at this time point in the disease </w:t>
      </w:r>
      <w:r w:rsidRPr="00AA0C2E">
        <w:rPr>
          <w:rFonts w:ascii="Arial" w:hAnsi="Arial" w:cs="Arial"/>
        </w:rPr>
        <w:t>is a</w:t>
      </w:r>
      <w:r w:rsidR="003A21D0" w:rsidRPr="00AA0C2E">
        <w:rPr>
          <w:rFonts w:ascii="Arial" w:hAnsi="Arial" w:cs="Arial"/>
        </w:rPr>
        <w:t xml:space="preserve"> possibility</w:t>
      </w:r>
      <w:r w:rsidRPr="00AA0C2E">
        <w:rPr>
          <w:rFonts w:ascii="Arial" w:hAnsi="Arial" w:cs="Arial"/>
        </w:rPr>
        <w:t xml:space="preserve">. If yes, a referral to a Respiratory Physician or Interventional Radiologist for the biopsy will be made. The specimen collected </w:t>
      </w:r>
      <w:r w:rsidR="009B0F59" w:rsidRPr="00AA0C2E">
        <w:rPr>
          <w:rFonts w:ascii="Arial" w:hAnsi="Arial" w:cs="Arial"/>
        </w:rPr>
        <w:t>will be</w:t>
      </w:r>
      <w:r w:rsidRPr="00AA0C2E">
        <w:rPr>
          <w:rFonts w:ascii="Arial" w:hAnsi="Arial" w:cs="Arial"/>
        </w:rPr>
        <w:t xml:space="preserve"> forwarded to a</w:t>
      </w:r>
      <w:r w:rsidR="003A21D0" w:rsidRPr="00AA0C2E">
        <w:rPr>
          <w:rFonts w:ascii="Arial" w:hAnsi="Arial" w:cs="Arial"/>
        </w:rPr>
        <w:t>n approved</w:t>
      </w:r>
      <w:r w:rsidRPr="00AA0C2E">
        <w:rPr>
          <w:rFonts w:ascii="Arial" w:hAnsi="Arial" w:cs="Arial"/>
        </w:rPr>
        <w:t xml:space="preserve"> molecular pathology laboratory for conduct of the EGFR mutation test. Decisions on subsequent treatment will depend upon the presence or absence of the T790M mutation.</w:t>
      </w:r>
    </w:p>
    <w:p w14:paraId="21610DE9" w14:textId="77777777" w:rsidR="000C22EA" w:rsidRPr="00AA0C2E" w:rsidRDefault="000C22EA" w:rsidP="00650664">
      <w:pPr>
        <w:shd w:val="clear" w:color="auto" w:fill="FFFFFF"/>
        <w:spacing w:before="120" w:after="120" w:line="360" w:lineRule="auto"/>
        <w:jc w:val="both"/>
        <w:rPr>
          <w:rFonts w:ascii="Arial" w:hAnsi="Arial" w:cs="Arial"/>
        </w:rPr>
      </w:pPr>
      <w:r w:rsidRPr="00AA0C2E">
        <w:rPr>
          <w:rFonts w:ascii="Arial" w:hAnsi="Arial" w:cs="Arial"/>
        </w:rPr>
        <w:t xml:space="preserve">Plasma </w:t>
      </w:r>
      <w:proofErr w:type="spellStart"/>
      <w:r w:rsidRPr="00AA0C2E">
        <w:rPr>
          <w:rFonts w:ascii="Arial" w:hAnsi="Arial" w:cs="Arial"/>
        </w:rPr>
        <w:t>ctDNA</w:t>
      </w:r>
      <w:proofErr w:type="spellEnd"/>
      <w:r w:rsidR="009B3639">
        <w:rPr>
          <w:rFonts w:ascii="Arial" w:hAnsi="Arial" w:cs="Arial"/>
        </w:rPr>
        <w:t xml:space="preserve"> </w:t>
      </w:r>
      <w:r w:rsidR="009B3639">
        <w:rPr>
          <w:rFonts w:ascii="Arial" w:hAnsi="Arial" w:cs="Arial"/>
        </w:rPr>
        <w:fldChar w:fldCharType="begin"/>
      </w:r>
      <w:r w:rsidR="00F65C59">
        <w:rPr>
          <w:rFonts w:ascii="Arial" w:hAnsi="Arial" w:cs="Arial"/>
        </w:rPr>
        <w:instrText xml:space="preserve"> ADDIN EN.CITE &lt;EndNote&gt;&lt;Cite&gt;&lt;Author&gt;Murtaza&lt;/Author&gt;&lt;Year&gt;2013&lt;/Year&gt;&lt;RecNum&gt;109&lt;/RecNum&gt;&lt;DisplayText&gt;[41]&lt;/DisplayText&gt;&lt;record&gt;&lt;rec-number&gt;109&lt;/rec-number&gt;&lt;foreign-keys&gt;&lt;key app="EN" db-id="rprtzr95srz0woefsws5fs50rfwvtsf5aw2f"&gt;109&lt;/key&gt;&lt;/foreign-keys&gt;&lt;ref-type name="Journal Article"&gt;17&lt;/ref-type&gt;&lt;contributors&gt;&lt;authors&gt;&lt;author&gt;Murtaza, M&lt;/author&gt;&lt;author&gt;Dawson, S-J&lt;/author&gt;&lt;author&gt;Tsui, DWY&lt;/author&gt;&lt;author&gt;Gale, D&lt;/author&gt;&lt;author&gt;et al&lt;/author&gt;&lt;/authors&gt;&lt;/contributors&gt;&lt;titles&gt;&lt;title&gt;Non-invasive analysis of acquired resistance to cancer therapy by sequencing of plasma DNA&lt;/title&gt;&lt;secondary-title&gt;Nature  &lt;/secondary-title&gt;&lt;/titles&gt;&lt;periodical&gt;&lt;full-title&gt;Nature&lt;/full-title&gt;&lt;/periodical&gt;&lt;pages&gt;108-112&lt;/pages&gt;&lt;volume&gt;497&lt;/volume&gt;&lt;number&gt;2 May 2013&lt;/number&gt;&lt;dates&gt;&lt;year&gt;2013&lt;/year&gt;&lt;/dates&gt;&lt;urls&gt;&lt;/urls&gt;&lt;electronic-resource-num&gt;doi:10.1038/nature12065&lt;/electronic-resource-num&gt;&lt;/record&gt;&lt;/Cite&gt;&lt;/EndNote&gt;</w:instrText>
      </w:r>
      <w:r w:rsidR="009B3639">
        <w:rPr>
          <w:rFonts w:ascii="Arial" w:hAnsi="Arial" w:cs="Arial"/>
        </w:rPr>
        <w:fldChar w:fldCharType="separate"/>
      </w:r>
      <w:r w:rsidR="00F65C59">
        <w:rPr>
          <w:rFonts w:ascii="Arial" w:hAnsi="Arial" w:cs="Arial"/>
          <w:noProof/>
        </w:rPr>
        <w:t>[</w:t>
      </w:r>
      <w:hyperlink w:anchor="_ENREF_41" w:tooltip="Murtaza, 2013 #109" w:history="1">
        <w:r w:rsidR="00F65C59">
          <w:rPr>
            <w:rFonts w:ascii="Arial" w:hAnsi="Arial" w:cs="Arial"/>
            <w:noProof/>
          </w:rPr>
          <w:t>41</w:t>
        </w:r>
      </w:hyperlink>
      <w:r w:rsidR="00F65C59">
        <w:rPr>
          <w:rFonts w:ascii="Arial" w:hAnsi="Arial" w:cs="Arial"/>
          <w:noProof/>
        </w:rPr>
        <w:t>]</w:t>
      </w:r>
      <w:r w:rsidR="009B3639">
        <w:rPr>
          <w:rFonts w:ascii="Arial" w:hAnsi="Arial" w:cs="Arial"/>
        </w:rPr>
        <w:fldChar w:fldCharType="end"/>
      </w:r>
      <w:r w:rsidRPr="00AA0C2E">
        <w:rPr>
          <w:rFonts w:ascii="Arial" w:hAnsi="Arial" w:cs="Arial"/>
        </w:rPr>
        <w:t>:</w:t>
      </w:r>
    </w:p>
    <w:p w14:paraId="235F6A9B" w14:textId="04F1F66F" w:rsidR="00343609" w:rsidRPr="00AA0C2E" w:rsidRDefault="00650664" w:rsidP="00650664">
      <w:pPr>
        <w:shd w:val="clear" w:color="auto" w:fill="FFFFFF"/>
        <w:spacing w:before="120" w:after="120" w:line="360" w:lineRule="auto"/>
        <w:jc w:val="both"/>
        <w:rPr>
          <w:rFonts w:ascii="Arial" w:hAnsi="Arial" w:cs="Arial"/>
        </w:rPr>
      </w:pPr>
      <w:r w:rsidRPr="00AA0C2E">
        <w:rPr>
          <w:rFonts w:ascii="Arial" w:hAnsi="Arial" w:cs="Arial"/>
        </w:rPr>
        <w:t xml:space="preserve">To avoid the costs, discomfort and possible complications of an invasive procedure, </w:t>
      </w:r>
      <w:r w:rsidR="00343609" w:rsidRPr="00AA0C2E">
        <w:rPr>
          <w:rFonts w:ascii="Arial" w:hAnsi="Arial" w:cs="Arial"/>
        </w:rPr>
        <w:t>and permit</w:t>
      </w:r>
      <w:r w:rsidRPr="00AA0C2E">
        <w:rPr>
          <w:rFonts w:ascii="Arial" w:hAnsi="Arial" w:cs="Arial"/>
        </w:rPr>
        <w:t xml:space="preserve"> as many patients as possible to be tested for mutations following EGFR</w:t>
      </w:r>
      <w:r w:rsidR="00343609" w:rsidRPr="00AA0C2E">
        <w:rPr>
          <w:rFonts w:ascii="Arial" w:hAnsi="Arial" w:cs="Arial"/>
        </w:rPr>
        <w:t xml:space="preserve"> </w:t>
      </w:r>
      <w:r w:rsidRPr="00AA0C2E">
        <w:rPr>
          <w:rFonts w:ascii="Arial" w:hAnsi="Arial" w:cs="Arial"/>
        </w:rPr>
        <w:t xml:space="preserve">TKI treatment, in July 2014 AstraZeneca announced a collaboration with Roche to develop a plasma-based companion diagnostic test, </w:t>
      </w:r>
      <w:proofErr w:type="spellStart"/>
      <w:r w:rsidRPr="00AA0C2E">
        <w:rPr>
          <w:rFonts w:ascii="Arial" w:hAnsi="Arial" w:cs="Arial"/>
        </w:rPr>
        <w:t>cobas</w:t>
      </w:r>
      <w:proofErr w:type="spellEnd"/>
      <w:r w:rsidRPr="00AA0C2E">
        <w:rPr>
          <w:rFonts w:ascii="Arial" w:hAnsi="Arial" w:cs="Arial"/>
        </w:rPr>
        <w:t xml:space="preserve">™, to support </w:t>
      </w:r>
      <w:r w:rsidR="00312075">
        <w:rPr>
          <w:rFonts w:ascii="Arial" w:hAnsi="Arial" w:cs="Arial"/>
        </w:rPr>
        <w:t>AZD9291</w:t>
      </w:r>
      <w:r w:rsidRPr="00AA0C2E">
        <w:rPr>
          <w:rFonts w:ascii="Arial" w:hAnsi="Arial" w:cs="Arial"/>
        </w:rPr>
        <w:t xml:space="preserve">. </w:t>
      </w:r>
      <w:proofErr w:type="spellStart"/>
      <w:proofErr w:type="gramStart"/>
      <w:r w:rsidRPr="00AA0C2E">
        <w:rPr>
          <w:rFonts w:ascii="Arial" w:hAnsi="Arial" w:cs="Arial"/>
        </w:rPr>
        <w:t>cobas</w:t>
      </w:r>
      <w:proofErr w:type="spellEnd"/>
      <w:proofErr w:type="gramEnd"/>
      <w:r w:rsidRPr="00AA0C2E">
        <w:rPr>
          <w:rFonts w:ascii="Arial" w:hAnsi="Arial" w:cs="Arial"/>
        </w:rPr>
        <w:t xml:space="preserve">™  based on </w:t>
      </w:r>
      <w:proofErr w:type="spellStart"/>
      <w:r w:rsidRPr="00AA0C2E">
        <w:rPr>
          <w:rFonts w:ascii="Arial" w:hAnsi="Arial" w:cs="Arial"/>
        </w:rPr>
        <w:t>ctDNA</w:t>
      </w:r>
      <w:proofErr w:type="spellEnd"/>
      <w:r w:rsidR="00FF26F1">
        <w:rPr>
          <w:rFonts w:ascii="Arial" w:hAnsi="Arial" w:cs="Arial"/>
        </w:rPr>
        <w:t xml:space="preserve"> </w:t>
      </w:r>
      <w:r w:rsidRPr="00AA0C2E">
        <w:rPr>
          <w:rFonts w:ascii="Arial" w:hAnsi="Arial" w:cs="Arial"/>
        </w:rPr>
        <w:t xml:space="preserve"> is being designed to identify EGFR mutations in both tumour tissue and plasma derived from patients with NSCLC. </w:t>
      </w:r>
    </w:p>
    <w:p w14:paraId="1E897050" w14:textId="5D8BF238" w:rsidR="00650664" w:rsidRPr="00AA0C2E" w:rsidRDefault="000C22EA" w:rsidP="00650664">
      <w:pPr>
        <w:shd w:val="clear" w:color="auto" w:fill="FFFFFF"/>
        <w:spacing w:before="120" w:after="120" w:line="360" w:lineRule="auto"/>
        <w:jc w:val="both"/>
        <w:rPr>
          <w:rFonts w:ascii="Arial" w:hAnsi="Arial" w:cs="Arial"/>
        </w:rPr>
      </w:pPr>
      <w:r w:rsidRPr="00AA0C2E">
        <w:rPr>
          <w:rFonts w:ascii="Arial" w:hAnsi="Arial" w:cs="Arial"/>
        </w:rPr>
        <w:t xml:space="preserve">AstraZeneca Australia is investigating the feasibility of a sequential approach </w:t>
      </w:r>
      <w:r w:rsidR="001D3648" w:rsidRPr="00AA0C2E">
        <w:rPr>
          <w:rFonts w:ascii="Arial" w:hAnsi="Arial" w:cs="Arial"/>
        </w:rPr>
        <w:t>where</w:t>
      </w:r>
      <w:r w:rsidR="00650664" w:rsidRPr="00AA0C2E">
        <w:rPr>
          <w:rFonts w:ascii="Arial" w:hAnsi="Arial" w:cs="Arial"/>
        </w:rPr>
        <w:t xml:space="preserve"> EGFR T790M mutation status may be first assessed using a plasma-based </w:t>
      </w:r>
      <w:proofErr w:type="spellStart"/>
      <w:r w:rsidR="00650664" w:rsidRPr="00AA0C2E">
        <w:rPr>
          <w:rFonts w:ascii="Arial" w:hAnsi="Arial" w:cs="Arial"/>
        </w:rPr>
        <w:t>ctDNA</w:t>
      </w:r>
      <w:proofErr w:type="spellEnd"/>
      <w:r w:rsidR="00650664" w:rsidRPr="00AA0C2E">
        <w:rPr>
          <w:rFonts w:ascii="Arial" w:hAnsi="Arial" w:cs="Arial"/>
        </w:rPr>
        <w:t xml:space="preserve"> test, and if </w:t>
      </w:r>
      <w:r w:rsidR="00343609" w:rsidRPr="00AA0C2E">
        <w:rPr>
          <w:rFonts w:ascii="Arial" w:hAnsi="Arial" w:cs="Arial"/>
        </w:rPr>
        <w:t xml:space="preserve">the </w:t>
      </w:r>
      <w:r w:rsidR="00650664" w:rsidRPr="00AA0C2E">
        <w:rPr>
          <w:rFonts w:ascii="Arial" w:hAnsi="Arial" w:cs="Arial"/>
        </w:rPr>
        <w:t xml:space="preserve">result </w:t>
      </w:r>
      <w:r w:rsidR="00343609" w:rsidRPr="00AA0C2E">
        <w:rPr>
          <w:rFonts w:ascii="Arial" w:hAnsi="Arial" w:cs="Arial"/>
        </w:rPr>
        <w:t>is</w:t>
      </w:r>
      <w:r w:rsidR="00650664" w:rsidRPr="00AA0C2E">
        <w:rPr>
          <w:rFonts w:ascii="Arial" w:hAnsi="Arial" w:cs="Arial"/>
        </w:rPr>
        <w:t xml:space="preserve"> negative then sampling of tumour tissue by biopsy</w:t>
      </w:r>
      <w:r w:rsidR="00343609" w:rsidRPr="00AA0C2E">
        <w:rPr>
          <w:rFonts w:ascii="Arial" w:hAnsi="Arial" w:cs="Arial"/>
        </w:rPr>
        <w:t xml:space="preserve"> and a subsequent test</w:t>
      </w:r>
      <w:r w:rsidR="00650664" w:rsidRPr="00AA0C2E">
        <w:rPr>
          <w:rFonts w:ascii="Arial" w:hAnsi="Arial" w:cs="Arial"/>
        </w:rPr>
        <w:t xml:space="preserve">. </w:t>
      </w:r>
      <w:r w:rsidR="00047510">
        <w:rPr>
          <w:rFonts w:ascii="Arial" w:hAnsi="Arial" w:cs="Arial"/>
        </w:rPr>
        <w:t>In this scenario, a p</w:t>
      </w:r>
      <w:r w:rsidR="00650664" w:rsidRPr="00AA0C2E">
        <w:rPr>
          <w:rFonts w:ascii="Arial" w:hAnsi="Arial" w:cs="Arial"/>
        </w:rPr>
        <w:t xml:space="preserve">ositive determination of T790M mutation status by either a plasma-based or tissue-based EGFR mutation test </w:t>
      </w:r>
      <w:r w:rsidR="001D3648" w:rsidRPr="00AA0C2E">
        <w:rPr>
          <w:rFonts w:ascii="Arial" w:hAnsi="Arial" w:cs="Arial"/>
        </w:rPr>
        <w:t xml:space="preserve">would </w:t>
      </w:r>
      <w:r w:rsidR="00650664" w:rsidRPr="00AA0C2E">
        <w:rPr>
          <w:rFonts w:ascii="Arial" w:hAnsi="Arial" w:cs="Arial"/>
        </w:rPr>
        <w:t xml:space="preserve">indicate </w:t>
      </w:r>
      <w:r w:rsidR="00343609" w:rsidRPr="00AA0C2E">
        <w:rPr>
          <w:rFonts w:ascii="Arial" w:hAnsi="Arial" w:cs="Arial"/>
        </w:rPr>
        <w:t>suitability</w:t>
      </w:r>
      <w:r w:rsidR="00650664" w:rsidRPr="00AA0C2E">
        <w:rPr>
          <w:rFonts w:ascii="Arial" w:hAnsi="Arial" w:cs="Arial"/>
        </w:rPr>
        <w:t xml:space="preserve"> for treatment with </w:t>
      </w:r>
      <w:r w:rsidR="00312075" w:rsidRPr="00217570">
        <w:rPr>
          <w:rFonts w:ascii="Arial" w:hAnsi="Arial" w:cs="Arial"/>
        </w:rPr>
        <w:t>AZD9291</w:t>
      </w:r>
    </w:p>
    <w:p w14:paraId="19A662CA" w14:textId="5CD83080" w:rsidR="00DC5151" w:rsidRDefault="00DC5151">
      <w:pPr>
        <w:rPr>
          <w:rFonts w:ascii="Arial" w:hAnsi="Arial" w:cs="Arial"/>
          <w:color w:val="1F497D" w:themeColor="text2"/>
        </w:rPr>
      </w:pPr>
    </w:p>
    <w:p w14:paraId="1F289BED" w14:textId="77777777" w:rsidR="000C4286" w:rsidRPr="00E85EA0" w:rsidRDefault="000C4286" w:rsidP="009C49F2">
      <w:pPr>
        <w:pStyle w:val="Heading2"/>
      </w:pPr>
      <w:r w:rsidRPr="00E85EA0">
        <w:t>Co-dependent information</w:t>
      </w:r>
      <w:r>
        <w:t xml:space="preserve"> (if not a co-dependent application go to Section 6)</w:t>
      </w:r>
    </w:p>
    <w:p w14:paraId="73F2A3F1" w14:textId="07CFB6A5" w:rsidR="00CA0330" w:rsidRPr="00AA0C2E" w:rsidRDefault="00490F25" w:rsidP="004D70FE">
      <w:pPr>
        <w:spacing w:before="120" w:after="120" w:line="360" w:lineRule="auto"/>
        <w:jc w:val="both"/>
        <w:rPr>
          <w:rFonts w:ascii="Arial" w:hAnsi="Arial" w:cs="Arial"/>
        </w:rPr>
      </w:pPr>
      <w:r w:rsidRPr="00AA0C2E">
        <w:rPr>
          <w:rFonts w:ascii="Arial" w:hAnsi="Arial" w:cs="Arial"/>
        </w:rPr>
        <w:t xml:space="preserve">MSAC </w:t>
      </w:r>
      <w:r w:rsidR="00C26FF5" w:rsidRPr="00AA0C2E">
        <w:rPr>
          <w:rFonts w:ascii="Arial" w:hAnsi="Arial" w:cs="Arial"/>
        </w:rPr>
        <w:t xml:space="preserve">Application #1407 includes co-dependent technologies. The requested service (EGFR mutation test) is required to identify patients who have a specific mechanism of acquired </w:t>
      </w:r>
      <w:r w:rsidR="00C26FF5" w:rsidRPr="00AA0C2E">
        <w:rPr>
          <w:rFonts w:ascii="Arial" w:hAnsi="Arial" w:cs="Arial"/>
        </w:rPr>
        <w:lastRenderedPageBreak/>
        <w:t>resistance</w:t>
      </w:r>
      <w:r w:rsidR="00EE653F" w:rsidRPr="00AA0C2E">
        <w:rPr>
          <w:rFonts w:ascii="Arial" w:hAnsi="Arial" w:cs="Arial"/>
        </w:rPr>
        <w:t xml:space="preserve"> (T790M point mutation) driving</w:t>
      </w:r>
      <w:r w:rsidR="00C26FF5" w:rsidRPr="00AA0C2E">
        <w:rPr>
          <w:rFonts w:ascii="Arial" w:hAnsi="Arial" w:cs="Arial"/>
        </w:rPr>
        <w:t xml:space="preserve"> disease progression. </w:t>
      </w:r>
      <w:r w:rsidR="00EE653F" w:rsidRPr="00AA0C2E">
        <w:rPr>
          <w:rFonts w:ascii="Arial" w:hAnsi="Arial" w:cs="Arial"/>
        </w:rPr>
        <w:t xml:space="preserve">The drug, </w:t>
      </w:r>
      <w:r w:rsidR="00312075">
        <w:rPr>
          <w:rFonts w:ascii="Arial" w:hAnsi="Arial" w:cs="Arial"/>
        </w:rPr>
        <w:t>AZD9291</w:t>
      </w:r>
      <w:r w:rsidR="00EE653F" w:rsidRPr="00AA0C2E">
        <w:rPr>
          <w:rFonts w:ascii="Arial" w:hAnsi="Arial" w:cs="Arial"/>
        </w:rPr>
        <w:t xml:space="preserve">, </w:t>
      </w:r>
      <w:r w:rsidR="009B0F59" w:rsidRPr="00AA0C2E">
        <w:rPr>
          <w:rFonts w:ascii="Arial" w:hAnsi="Arial" w:cs="Arial"/>
        </w:rPr>
        <w:t>selectively and irreversibly binds to</w:t>
      </w:r>
      <w:r w:rsidR="00A51451" w:rsidRPr="00AA0C2E">
        <w:rPr>
          <w:rFonts w:ascii="Arial" w:hAnsi="Arial" w:cs="Arial"/>
        </w:rPr>
        <w:t xml:space="preserve"> the </w:t>
      </w:r>
      <w:r w:rsidRPr="00AA0C2E">
        <w:rPr>
          <w:rFonts w:ascii="Arial" w:hAnsi="Arial" w:cs="Arial"/>
        </w:rPr>
        <w:t>tyrosine kinase domain of exon 20 mutation</w:t>
      </w:r>
      <w:r w:rsidR="009B0F59" w:rsidRPr="00AA0C2E">
        <w:rPr>
          <w:rFonts w:ascii="Arial" w:hAnsi="Arial" w:cs="Arial"/>
        </w:rPr>
        <w:t xml:space="preserve"> </w:t>
      </w:r>
      <w:r w:rsidR="00EE653F" w:rsidRPr="00AA0C2E">
        <w:rPr>
          <w:rFonts w:ascii="Arial" w:hAnsi="Arial" w:cs="Arial"/>
        </w:rPr>
        <w:t xml:space="preserve">T790M (as well as sensitising mutations of the EGFR gene) and </w:t>
      </w:r>
      <w:r w:rsidR="009B0F59" w:rsidRPr="00AA0C2E">
        <w:rPr>
          <w:rFonts w:ascii="Arial" w:hAnsi="Arial" w:cs="Arial"/>
        </w:rPr>
        <w:t>inhibits</w:t>
      </w:r>
      <w:r w:rsidR="00EE653F" w:rsidRPr="00AA0C2E">
        <w:rPr>
          <w:rFonts w:ascii="Arial" w:hAnsi="Arial" w:cs="Arial"/>
        </w:rPr>
        <w:t xml:space="preserve"> tumour growth. </w:t>
      </w:r>
      <w:r w:rsidR="00312075">
        <w:rPr>
          <w:rFonts w:ascii="Arial" w:hAnsi="Arial" w:cs="Arial"/>
        </w:rPr>
        <w:t>AZD9291</w:t>
      </w:r>
      <w:r w:rsidR="005D2467" w:rsidRPr="00AA0C2E">
        <w:rPr>
          <w:rFonts w:ascii="Arial" w:hAnsi="Arial" w:cs="Arial"/>
        </w:rPr>
        <w:t xml:space="preserve"> has not been studied as a treatment</w:t>
      </w:r>
      <w:r w:rsidR="00EE653F" w:rsidRPr="00AA0C2E">
        <w:rPr>
          <w:rFonts w:ascii="Arial" w:hAnsi="Arial" w:cs="Arial"/>
        </w:rPr>
        <w:t xml:space="preserve"> option for other</w:t>
      </w:r>
      <w:r w:rsidR="005D2467" w:rsidRPr="00AA0C2E">
        <w:rPr>
          <w:rFonts w:ascii="Arial" w:hAnsi="Arial" w:cs="Arial"/>
        </w:rPr>
        <w:t xml:space="preserve"> mechanisms of acquired resistance.</w:t>
      </w:r>
    </w:p>
    <w:p w14:paraId="3E885461" w14:textId="469E8306" w:rsidR="00C62866" w:rsidRPr="00AA0C2E" w:rsidRDefault="00CA0330" w:rsidP="004D70FE">
      <w:pPr>
        <w:spacing w:before="120" w:after="120" w:line="360" w:lineRule="auto"/>
        <w:jc w:val="both"/>
        <w:rPr>
          <w:rFonts w:ascii="Arial" w:hAnsi="Arial" w:cs="Arial"/>
        </w:rPr>
      </w:pPr>
      <w:r w:rsidRPr="00AA0C2E">
        <w:rPr>
          <w:rFonts w:ascii="Arial" w:hAnsi="Arial" w:cs="Arial"/>
        </w:rPr>
        <w:t xml:space="preserve">The service is required at this time point in the course of the disease as it is only during treatment with an EGFR TKI, and suppression of sensitising mutations of the EGFR gene that </w:t>
      </w:r>
      <w:r w:rsidR="00A51451" w:rsidRPr="00AA0C2E">
        <w:rPr>
          <w:rFonts w:ascii="Arial" w:hAnsi="Arial" w:cs="Arial"/>
        </w:rPr>
        <w:t xml:space="preserve">the resistance mutation, </w:t>
      </w:r>
      <w:r w:rsidRPr="00AA0C2E">
        <w:rPr>
          <w:rFonts w:ascii="Arial" w:hAnsi="Arial" w:cs="Arial"/>
        </w:rPr>
        <w:t xml:space="preserve">T790M </w:t>
      </w:r>
      <w:r w:rsidR="00490F25" w:rsidRPr="00AA0C2E">
        <w:rPr>
          <w:rFonts w:ascii="Arial" w:hAnsi="Arial" w:cs="Arial"/>
        </w:rPr>
        <w:t>clones</w:t>
      </w:r>
      <w:r w:rsidRPr="00AA0C2E">
        <w:rPr>
          <w:rFonts w:ascii="Arial" w:hAnsi="Arial" w:cs="Arial"/>
        </w:rPr>
        <w:t xml:space="preserve"> flourish and </w:t>
      </w:r>
      <w:r w:rsidR="00F97E9F" w:rsidRPr="00AA0C2E">
        <w:rPr>
          <w:rFonts w:ascii="Arial" w:hAnsi="Arial" w:cs="Arial"/>
        </w:rPr>
        <w:t>contribute to disease progression.</w:t>
      </w:r>
      <w:r w:rsidR="006B3947" w:rsidRPr="00AA0C2E">
        <w:rPr>
          <w:rFonts w:ascii="Arial" w:hAnsi="Arial" w:cs="Arial"/>
        </w:rPr>
        <w:t xml:space="preserve"> It is only with confirmation of the presence of T790M at the time of progression, that </w:t>
      </w:r>
      <w:r w:rsidR="00312075">
        <w:rPr>
          <w:rFonts w:ascii="Arial" w:hAnsi="Arial" w:cs="Arial"/>
        </w:rPr>
        <w:t>AZD9291</w:t>
      </w:r>
      <w:r w:rsidR="006B3947" w:rsidRPr="00AA0C2E">
        <w:rPr>
          <w:rFonts w:ascii="Arial" w:hAnsi="Arial" w:cs="Arial"/>
        </w:rPr>
        <w:t xml:space="preserve"> becomes the treatment of choice.</w:t>
      </w:r>
    </w:p>
    <w:p w14:paraId="0F19E296" w14:textId="4A156807" w:rsidR="002E480F" w:rsidRPr="00AA0C2E" w:rsidRDefault="002E480F" w:rsidP="004D70FE">
      <w:pPr>
        <w:spacing w:before="120" w:after="120" w:line="360" w:lineRule="auto"/>
        <w:jc w:val="both"/>
        <w:rPr>
          <w:rFonts w:ascii="Arial" w:hAnsi="Arial" w:cs="Arial"/>
        </w:rPr>
      </w:pPr>
      <w:r w:rsidRPr="00AA0C2E">
        <w:rPr>
          <w:rFonts w:ascii="Arial" w:hAnsi="Arial" w:cs="Arial"/>
        </w:rPr>
        <w:t>It is intended that MBS listing of the EGFR mutation test</w:t>
      </w:r>
      <w:r w:rsidR="00FF26F1">
        <w:rPr>
          <w:rFonts w:ascii="Arial" w:hAnsi="Arial" w:cs="Arial"/>
        </w:rPr>
        <w:t xml:space="preserve"> to determine T790M mutation</w:t>
      </w:r>
      <w:r w:rsidRPr="00AA0C2E">
        <w:rPr>
          <w:rFonts w:ascii="Arial" w:hAnsi="Arial" w:cs="Arial"/>
        </w:rPr>
        <w:t xml:space="preserve"> and PBS listing of </w:t>
      </w:r>
      <w:r w:rsidR="00312075">
        <w:rPr>
          <w:rFonts w:ascii="Arial" w:hAnsi="Arial" w:cs="Arial"/>
        </w:rPr>
        <w:t>AZD9291</w:t>
      </w:r>
      <w:r w:rsidRPr="00AA0C2E">
        <w:rPr>
          <w:rFonts w:ascii="Arial" w:hAnsi="Arial" w:cs="Arial"/>
        </w:rPr>
        <w:t xml:space="preserve"> for eligible patients will occur simultaneously.</w:t>
      </w:r>
    </w:p>
    <w:p w14:paraId="6F1643B2" w14:textId="77777777" w:rsidR="002B6ED4" w:rsidRPr="00C26FF5" w:rsidRDefault="002B6ED4" w:rsidP="00244B04">
      <w:pPr>
        <w:spacing w:before="120" w:after="120"/>
        <w:jc w:val="both"/>
        <w:rPr>
          <w:rFonts w:ascii="Arial" w:hAnsi="Arial" w:cs="Arial"/>
          <w:color w:val="1F497D" w:themeColor="text2"/>
        </w:rPr>
      </w:pPr>
    </w:p>
    <w:p w14:paraId="442FEE23" w14:textId="77777777" w:rsidR="000C4286" w:rsidRPr="00E85EA0" w:rsidRDefault="000C4286" w:rsidP="009C49F2">
      <w:pPr>
        <w:pStyle w:val="Heading2"/>
      </w:pPr>
      <w:r w:rsidRPr="00E85EA0">
        <w:t>Comparator – clinical claim for the proposed medical service</w:t>
      </w:r>
    </w:p>
    <w:p w14:paraId="7DCF92E5" w14:textId="3244AF22" w:rsidR="00E21D12" w:rsidRDefault="002B6ED4" w:rsidP="004D70FE">
      <w:pPr>
        <w:spacing w:before="120" w:after="120" w:line="360" w:lineRule="auto"/>
        <w:jc w:val="both"/>
        <w:rPr>
          <w:rFonts w:ascii="Arial" w:hAnsi="Arial" w:cs="Arial"/>
        </w:rPr>
      </w:pPr>
      <w:r w:rsidRPr="00AA0C2E">
        <w:rPr>
          <w:rFonts w:ascii="Arial" w:hAnsi="Arial" w:cs="Arial"/>
        </w:rPr>
        <w:t>The c</w:t>
      </w:r>
      <w:r w:rsidR="00A42DF7" w:rsidRPr="00AA0C2E">
        <w:rPr>
          <w:rFonts w:ascii="Arial" w:hAnsi="Arial" w:cs="Arial"/>
        </w:rPr>
        <w:t>omparator</w:t>
      </w:r>
      <w:r w:rsidRPr="00AA0C2E">
        <w:rPr>
          <w:rFonts w:ascii="Arial" w:hAnsi="Arial" w:cs="Arial"/>
        </w:rPr>
        <w:t xml:space="preserve"> </w:t>
      </w:r>
      <w:r w:rsidR="00F92464" w:rsidRPr="00AA0C2E">
        <w:rPr>
          <w:rFonts w:ascii="Arial" w:hAnsi="Arial" w:cs="Arial"/>
        </w:rPr>
        <w:t>for</w:t>
      </w:r>
      <w:r w:rsidRPr="00AA0C2E">
        <w:rPr>
          <w:rFonts w:ascii="Arial" w:hAnsi="Arial" w:cs="Arial"/>
        </w:rPr>
        <w:t xml:space="preserve"> this application is the </w:t>
      </w:r>
      <w:r w:rsidR="00A42DF7" w:rsidRPr="00AA0C2E">
        <w:rPr>
          <w:rFonts w:ascii="Arial" w:hAnsi="Arial" w:cs="Arial"/>
        </w:rPr>
        <w:t xml:space="preserve">current standard of care. </w:t>
      </w:r>
      <w:r w:rsidRPr="00AA0C2E">
        <w:rPr>
          <w:rFonts w:ascii="Arial" w:hAnsi="Arial" w:cs="Arial"/>
        </w:rPr>
        <w:t xml:space="preserve">That is, </w:t>
      </w:r>
      <w:r w:rsidR="00C4424D" w:rsidRPr="00AA0C2E">
        <w:rPr>
          <w:rFonts w:ascii="Arial" w:hAnsi="Arial" w:cs="Arial"/>
        </w:rPr>
        <w:t xml:space="preserve">at progression </w:t>
      </w:r>
      <w:r w:rsidR="00F821DE" w:rsidRPr="00AA0C2E">
        <w:rPr>
          <w:rFonts w:ascii="Arial" w:hAnsi="Arial" w:cs="Arial"/>
        </w:rPr>
        <w:t xml:space="preserve">on </w:t>
      </w:r>
      <w:r w:rsidR="00C4424D" w:rsidRPr="00AA0C2E">
        <w:rPr>
          <w:rFonts w:ascii="Arial" w:hAnsi="Arial" w:cs="Arial"/>
        </w:rPr>
        <w:t>treatment with a</w:t>
      </w:r>
      <w:r w:rsidR="00F92464" w:rsidRPr="00AA0C2E">
        <w:rPr>
          <w:rFonts w:ascii="Arial" w:hAnsi="Arial" w:cs="Arial"/>
        </w:rPr>
        <w:t>n EGFR</w:t>
      </w:r>
      <w:r w:rsidR="00C4424D" w:rsidRPr="00AA0C2E">
        <w:rPr>
          <w:rFonts w:ascii="Arial" w:hAnsi="Arial" w:cs="Arial"/>
        </w:rPr>
        <w:t xml:space="preserve"> TKI</w:t>
      </w:r>
      <w:r w:rsidR="00420B54" w:rsidRPr="00AA0C2E">
        <w:rPr>
          <w:rFonts w:ascii="Arial" w:hAnsi="Arial" w:cs="Arial"/>
        </w:rPr>
        <w:t xml:space="preserve"> or subsequent therapy</w:t>
      </w:r>
      <w:r w:rsidR="00F92464" w:rsidRPr="00AA0C2E">
        <w:rPr>
          <w:rFonts w:ascii="Arial" w:hAnsi="Arial" w:cs="Arial"/>
        </w:rPr>
        <w:t>,</w:t>
      </w:r>
      <w:r w:rsidR="00C4424D" w:rsidRPr="00AA0C2E">
        <w:rPr>
          <w:rFonts w:ascii="Arial" w:hAnsi="Arial" w:cs="Arial"/>
        </w:rPr>
        <w:t xml:space="preserve"> n</w:t>
      </w:r>
      <w:r w:rsidR="001D3B81" w:rsidRPr="00AA0C2E">
        <w:rPr>
          <w:rFonts w:ascii="Arial" w:hAnsi="Arial" w:cs="Arial"/>
        </w:rPr>
        <w:t>o biopsy</w:t>
      </w:r>
      <w:r w:rsidR="00F92464" w:rsidRPr="00AA0C2E">
        <w:rPr>
          <w:rFonts w:ascii="Arial" w:hAnsi="Arial" w:cs="Arial"/>
        </w:rPr>
        <w:t xml:space="preserve"> will be performed</w:t>
      </w:r>
      <w:r w:rsidR="001D3B81" w:rsidRPr="00AA0C2E">
        <w:rPr>
          <w:rFonts w:ascii="Arial" w:hAnsi="Arial" w:cs="Arial"/>
        </w:rPr>
        <w:t xml:space="preserve"> and all patients</w:t>
      </w:r>
      <w:r w:rsidR="00F92464" w:rsidRPr="00AA0C2E">
        <w:rPr>
          <w:rFonts w:ascii="Arial" w:hAnsi="Arial" w:cs="Arial"/>
        </w:rPr>
        <w:t xml:space="preserve"> able to </w:t>
      </w:r>
      <w:r w:rsidR="001D3B81" w:rsidRPr="00AA0C2E">
        <w:rPr>
          <w:rFonts w:ascii="Arial" w:hAnsi="Arial" w:cs="Arial"/>
        </w:rPr>
        <w:t>continu</w:t>
      </w:r>
      <w:r w:rsidR="00F92464" w:rsidRPr="00AA0C2E">
        <w:rPr>
          <w:rFonts w:ascii="Arial" w:hAnsi="Arial" w:cs="Arial"/>
        </w:rPr>
        <w:t>e</w:t>
      </w:r>
      <w:r w:rsidR="001D3B81" w:rsidRPr="00AA0C2E">
        <w:rPr>
          <w:rFonts w:ascii="Arial" w:hAnsi="Arial" w:cs="Arial"/>
        </w:rPr>
        <w:t xml:space="preserve"> </w:t>
      </w:r>
      <w:r w:rsidR="00F92464" w:rsidRPr="00AA0C2E">
        <w:rPr>
          <w:rFonts w:ascii="Arial" w:hAnsi="Arial" w:cs="Arial"/>
        </w:rPr>
        <w:t>with</w:t>
      </w:r>
      <w:r w:rsidR="001D3B81" w:rsidRPr="00AA0C2E">
        <w:rPr>
          <w:rFonts w:ascii="Arial" w:hAnsi="Arial" w:cs="Arial"/>
        </w:rPr>
        <w:t xml:space="preserve"> active therapy</w:t>
      </w:r>
      <w:r w:rsidR="00F821DE" w:rsidRPr="00AA0C2E">
        <w:rPr>
          <w:rFonts w:ascii="Arial" w:hAnsi="Arial" w:cs="Arial"/>
        </w:rPr>
        <w:t xml:space="preserve"> (PS 0-1)</w:t>
      </w:r>
      <w:r w:rsidR="00F92464" w:rsidRPr="00AA0C2E">
        <w:rPr>
          <w:rFonts w:ascii="Arial" w:hAnsi="Arial" w:cs="Arial"/>
        </w:rPr>
        <w:t>, will receive</w:t>
      </w:r>
      <w:r w:rsidR="001D3B81" w:rsidRPr="00AA0C2E">
        <w:rPr>
          <w:rFonts w:ascii="Arial" w:hAnsi="Arial" w:cs="Arial"/>
        </w:rPr>
        <w:t xml:space="preserve"> </w:t>
      </w:r>
      <w:r w:rsidR="00F821DE" w:rsidRPr="00AA0C2E">
        <w:rPr>
          <w:rFonts w:ascii="Arial" w:hAnsi="Arial" w:cs="Arial"/>
        </w:rPr>
        <w:t xml:space="preserve">either </w:t>
      </w:r>
      <w:r w:rsidR="001D3B81" w:rsidRPr="00AA0C2E">
        <w:rPr>
          <w:rFonts w:ascii="Arial" w:hAnsi="Arial" w:cs="Arial"/>
        </w:rPr>
        <w:t>a platinum-based doublet chemotherapy</w:t>
      </w:r>
      <w:r w:rsidR="00F92464" w:rsidRPr="00AA0C2E">
        <w:rPr>
          <w:rFonts w:ascii="Arial" w:hAnsi="Arial" w:cs="Arial"/>
        </w:rPr>
        <w:t xml:space="preserve"> for 4-6 cycles, with or without </w:t>
      </w:r>
      <w:r w:rsidR="001D3B81" w:rsidRPr="00AA0C2E">
        <w:rPr>
          <w:rFonts w:ascii="Arial" w:hAnsi="Arial" w:cs="Arial"/>
        </w:rPr>
        <w:t>maintenance</w:t>
      </w:r>
      <w:r w:rsidR="00F92464" w:rsidRPr="00AA0C2E">
        <w:rPr>
          <w:rFonts w:ascii="Arial" w:hAnsi="Arial" w:cs="Arial"/>
        </w:rPr>
        <w:t xml:space="preserve"> treatment</w:t>
      </w:r>
      <w:r w:rsidR="00F821DE" w:rsidRPr="00AA0C2E">
        <w:rPr>
          <w:rFonts w:ascii="Arial" w:hAnsi="Arial" w:cs="Arial"/>
        </w:rPr>
        <w:t>; or single agent chemotherapy</w:t>
      </w:r>
      <w:r w:rsidR="00F92464" w:rsidRPr="00AA0C2E">
        <w:rPr>
          <w:rFonts w:ascii="Arial" w:hAnsi="Arial" w:cs="Arial"/>
        </w:rPr>
        <w:t xml:space="preserve"> </w:t>
      </w:r>
      <w:r w:rsidR="00F92464" w:rsidRPr="00AA0C2E">
        <w:rPr>
          <w:rFonts w:ascii="Arial" w:hAnsi="Arial" w:cs="Arial"/>
        </w:rPr>
        <w:fldChar w:fldCharType="begin"/>
      </w:r>
      <w:r w:rsidR="009B3639">
        <w:rPr>
          <w:rFonts w:ascii="Arial" w:hAnsi="Arial" w:cs="Arial"/>
        </w:rPr>
        <w:instrText xml:space="preserve"> ADDIN EN.CITE &lt;EndNote&gt;&lt;Cite&gt;&lt;Author&gt;Pavlakis&lt;/Author&gt;&lt;RecNum&gt;11&lt;/RecNum&gt;&lt;DisplayText&gt;[1]&lt;/DisplayText&gt;&lt;record&gt;&lt;rec-number&gt;11&lt;/rec-number&gt;&lt;foreign-keys&gt;&lt;key app="EN" db-id="rprtzr95srz0woefsws5fs50rfwvtsf5aw2f"&gt;11&lt;/key&gt;&lt;/foreign-keys&gt;&lt;ref-type name="Web Page"&gt;12&lt;/ref-type&gt;&lt;contributors&gt;&lt;authors&gt;&lt;author&gt;Pavlakis, N&lt;/author&gt;&lt;author&gt;Gunawardana, D&lt;/author&gt;&lt;author&gt;Khasraw, M&lt;/author&gt;&lt;author&gt;Cancer Council Australia Lung Cancer Guidelines Working Party&lt;/author&gt;&lt;/authors&gt;&lt;/contributors&gt;&lt;titles&gt;&lt;title&gt;Clinical practice guidelines for the treatment of lung cancer. &lt;/title&gt;&lt;/titles&gt;&lt;dates&gt;&lt;/dates&gt;&lt;pub-location&gt;Sydney&lt;/pub-location&gt;&lt;publisher&gt;Cancer Council Australia&lt;/publisher&gt;&lt;urls&gt;&lt;related-urls&gt;&lt;url&gt; http://wiki.cancer.org.au/australia/Guidelines:Lung_cancer&lt;/url&gt;&lt;/related-urls&gt;&lt;/urls&gt;&lt;custom2&gt;05-01-2015&lt;/custom2&gt;&lt;/record&gt;&lt;/Cite&gt;&lt;/EndNote&gt;</w:instrText>
      </w:r>
      <w:r w:rsidR="00F92464" w:rsidRPr="00AA0C2E">
        <w:rPr>
          <w:rFonts w:ascii="Arial" w:hAnsi="Arial" w:cs="Arial"/>
        </w:rPr>
        <w:fldChar w:fldCharType="separate"/>
      </w:r>
      <w:r w:rsidR="00B16A45" w:rsidRPr="00AA0C2E">
        <w:rPr>
          <w:rFonts w:ascii="Arial" w:hAnsi="Arial" w:cs="Arial"/>
          <w:noProof/>
        </w:rPr>
        <w:t>[</w:t>
      </w:r>
      <w:hyperlink w:anchor="_ENREF_1" w:tooltip="Pavlakis,  #11" w:history="1">
        <w:r w:rsidR="00F65C59" w:rsidRPr="00AA0C2E">
          <w:rPr>
            <w:rFonts w:ascii="Arial" w:hAnsi="Arial" w:cs="Arial"/>
            <w:noProof/>
          </w:rPr>
          <w:t>1</w:t>
        </w:r>
      </w:hyperlink>
      <w:r w:rsidR="00B16A45" w:rsidRPr="00AA0C2E">
        <w:rPr>
          <w:rFonts w:ascii="Arial" w:hAnsi="Arial" w:cs="Arial"/>
          <w:noProof/>
        </w:rPr>
        <w:t>]</w:t>
      </w:r>
      <w:r w:rsidR="00F92464" w:rsidRPr="00AA0C2E">
        <w:rPr>
          <w:rFonts w:ascii="Arial" w:hAnsi="Arial" w:cs="Arial"/>
        </w:rPr>
        <w:fldChar w:fldCharType="end"/>
      </w:r>
      <w:r w:rsidR="001D3B81" w:rsidRPr="00AA0C2E">
        <w:rPr>
          <w:rFonts w:ascii="Arial" w:hAnsi="Arial" w:cs="Arial"/>
        </w:rPr>
        <w:t>.</w:t>
      </w:r>
      <w:r w:rsidR="00A87298" w:rsidRPr="00AA0C2E">
        <w:rPr>
          <w:rFonts w:ascii="Arial" w:hAnsi="Arial" w:cs="Arial"/>
        </w:rPr>
        <w:t xml:space="preserve"> </w:t>
      </w:r>
      <w:r w:rsidR="001F596B" w:rsidRPr="00AA0C2E">
        <w:rPr>
          <w:rFonts w:ascii="Arial" w:hAnsi="Arial" w:cs="Arial"/>
        </w:rPr>
        <w:t>Data will be collected and presented in the submission to provide further details regarding local clinical practice</w:t>
      </w:r>
      <w:r w:rsidR="00136EAD" w:rsidRPr="00AA0C2E">
        <w:rPr>
          <w:rFonts w:ascii="Arial" w:hAnsi="Arial" w:cs="Arial"/>
        </w:rPr>
        <w:t xml:space="preserve"> and specific comparators</w:t>
      </w:r>
      <w:r w:rsidR="001F596B" w:rsidRPr="00AA0C2E">
        <w:rPr>
          <w:rFonts w:ascii="Arial" w:hAnsi="Arial" w:cs="Arial"/>
        </w:rPr>
        <w:t>.</w:t>
      </w:r>
      <w:r w:rsidR="00EE31AB">
        <w:rPr>
          <w:rFonts w:ascii="Arial" w:hAnsi="Arial" w:cs="Arial"/>
        </w:rPr>
        <w:t xml:space="preserve"> </w:t>
      </w:r>
      <w:r w:rsidR="00F92464" w:rsidRPr="00AA0C2E">
        <w:rPr>
          <w:rFonts w:ascii="Arial" w:hAnsi="Arial" w:cs="Arial"/>
        </w:rPr>
        <w:t>The p</w:t>
      </w:r>
      <w:r w:rsidR="00AD241B" w:rsidRPr="00AA0C2E">
        <w:rPr>
          <w:rFonts w:ascii="Arial" w:hAnsi="Arial" w:cs="Arial"/>
        </w:rPr>
        <w:t>roposed intervention requires a b</w:t>
      </w:r>
      <w:r w:rsidR="001D3B81" w:rsidRPr="00AA0C2E">
        <w:rPr>
          <w:rFonts w:ascii="Arial" w:hAnsi="Arial" w:cs="Arial"/>
        </w:rPr>
        <w:t xml:space="preserve">iopsy to obtain tumour tissue for </w:t>
      </w:r>
      <w:r w:rsidR="00AD241B" w:rsidRPr="00AA0C2E">
        <w:rPr>
          <w:rFonts w:ascii="Arial" w:hAnsi="Arial" w:cs="Arial"/>
        </w:rPr>
        <w:t xml:space="preserve">the </w:t>
      </w:r>
      <w:r w:rsidR="001D3B81" w:rsidRPr="00AA0C2E">
        <w:rPr>
          <w:rFonts w:ascii="Arial" w:hAnsi="Arial" w:cs="Arial"/>
        </w:rPr>
        <w:t xml:space="preserve">EGFR mutation test </w:t>
      </w:r>
      <w:r w:rsidR="00037824" w:rsidRPr="00AA0C2E">
        <w:rPr>
          <w:rFonts w:ascii="Arial" w:hAnsi="Arial" w:cs="Arial"/>
        </w:rPr>
        <w:t xml:space="preserve">(no established reference standard; evidentiary standard is </w:t>
      </w:r>
      <w:proofErr w:type="spellStart"/>
      <w:r w:rsidR="00037824" w:rsidRPr="00AA0C2E">
        <w:rPr>
          <w:rFonts w:ascii="Arial" w:hAnsi="Arial" w:cs="Arial"/>
        </w:rPr>
        <w:t>cobas</w:t>
      </w:r>
      <w:proofErr w:type="spellEnd"/>
      <w:r w:rsidR="00037824" w:rsidRPr="00AA0C2E">
        <w:rPr>
          <w:rFonts w:ascii="Arial" w:hAnsi="Arial" w:cs="Arial"/>
        </w:rPr>
        <w:t xml:space="preserve"> EGFR mutation test, no preferred testing methodology specified) </w:t>
      </w:r>
      <w:r w:rsidR="001D3B81" w:rsidRPr="00AA0C2E">
        <w:rPr>
          <w:rFonts w:ascii="Arial" w:hAnsi="Arial" w:cs="Arial"/>
        </w:rPr>
        <w:t xml:space="preserve">to determine </w:t>
      </w:r>
      <w:r w:rsidR="00AD241B" w:rsidRPr="00AA0C2E">
        <w:rPr>
          <w:rFonts w:ascii="Arial" w:hAnsi="Arial" w:cs="Arial"/>
        </w:rPr>
        <w:t xml:space="preserve">the </w:t>
      </w:r>
      <w:r w:rsidR="001D3B81" w:rsidRPr="00AA0C2E">
        <w:rPr>
          <w:rFonts w:ascii="Arial" w:hAnsi="Arial" w:cs="Arial"/>
        </w:rPr>
        <w:t>presence of T790M</w:t>
      </w:r>
      <w:r w:rsidR="00A42DF7" w:rsidRPr="00AA0C2E">
        <w:rPr>
          <w:rFonts w:ascii="Arial" w:hAnsi="Arial" w:cs="Arial"/>
        </w:rPr>
        <w:t xml:space="preserve">. In patients with </w:t>
      </w:r>
      <w:r w:rsidR="001D3B81" w:rsidRPr="00AA0C2E">
        <w:rPr>
          <w:rFonts w:ascii="Arial" w:hAnsi="Arial" w:cs="Arial"/>
        </w:rPr>
        <w:t>T790M</w:t>
      </w:r>
      <w:r w:rsidR="00AD241B" w:rsidRPr="00AA0C2E">
        <w:rPr>
          <w:rFonts w:ascii="Arial" w:hAnsi="Arial" w:cs="Arial"/>
        </w:rPr>
        <w:t xml:space="preserve"> positive</w:t>
      </w:r>
      <w:r w:rsidR="001D3B81" w:rsidRPr="00AA0C2E">
        <w:rPr>
          <w:rFonts w:ascii="Arial" w:hAnsi="Arial" w:cs="Arial"/>
        </w:rPr>
        <w:t xml:space="preserve"> tumour(s), treat with </w:t>
      </w:r>
      <w:r w:rsidR="00312075">
        <w:rPr>
          <w:rFonts w:ascii="Arial" w:hAnsi="Arial" w:cs="Arial"/>
        </w:rPr>
        <w:t>AZD9291</w:t>
      </w:r>
      <w:r w:rsidR="001D3B81" w:rsidRPr="00AA0C2E">
        <w:rPr>
          <w:rFonts w:ascii="Arial" w:hAnsi="Arial" w:cs="Arial"/>
        </w:rPr>
        <w:t xml:space="preserve"> 80 mg daily oral.</w:t>
      </w:r>
      <w:r w:rsidR="00AD241B" w:rsidRPr="00AA0C2E">
        <w:rPr>
          <w:rFonts w:ascii="Arial" w:hAnsi="Arial" w:cs="Arial"/>
        </w:rPr>
        <w:t xml:space="preserve"> For patients who are T790M mutation negative or status unknown, treatment is per standard of care.</w:t>
      </w:r>
    </w:p>
    <w:p w14:paraId="42FEFB52" w14:textId="77777777" w:rsidR="008D5F13" w:rsidRPr="00AA0C2E" w:rsidRDefault="008D5F13" w:rsidP="004D70FE">
      <w:pPr>
        <w:spacing w:before="120" w:after="120" w:line="360" w:lineRule="auto"/>
        <w:jc w:val="both"/>
        <w:rPr>
          <w:rFonts w:ascii="Arial" w:hAnsi="Arial" w:cs="Arial"/>
        </w:rPr>
      </w:pPr>
    </w:p>
    <w:p w14:paraId="1F4367C2" w14:textId="77777777" w:rsidR="00244B04" w:rsidRPr="00AA0C2E" w:rsidRDefault="00244B04" w:rsidP="004D70FE">
      <w:pPr>
        <w:spacing w:line="360" w:lineRule="auto"/>
        <w:jc w:val="both"/>
        <w:rPr>
          <w:rFonts w:ascii="Arial" w:hAnsi="Arial" w:cs="Arial"/>
          <w:u w:val="single"/>
        </w:rPr>
      </w:pPr>
      <w:r w:rsidRPr="00AA0C2E">
        <w:rPr>
          <w:rFonts w:ascii="Arial" w:hAnsi="Arial" w:cs="Arial"/>
          <w:u w:val="single"/>
        </w:rPr>
        <w:t>Clinical claim</w:t>
      </w:r>
    </w:p>
    <w:p w14:paraId="77F04E05" w14:textId="0FFF75FC" w:rsidR="00244B04" w:rsidRPr="00AA0C2E" w:rsidRDefault="00244B04" w:rsidP="004D70FE">
      <w:pPr>
        <w:spacing w:line="360" w:lineRule="auto"/>
        <w:jc w:val="both"/>
        <w:rPr>
          <w:rFonts w:ascii="Arial" w:hAnsi="Arial" w:cs="Arial"/>
        </w:rPr>
      </w:pPr>
      <w:r w:rsidRPr="00AA0C2E">
        <w:rPr>
          <w:rFonts w:ascii="Arial" w:hAnsi="Arial" w:cs="Arial"/>
        </w:rPr>
        <w:t xml:space="preserve">For patients with locally advanced </w:t>
      </w:r>
      <w:r w:rsidR="00390AEB" w:rsidRPr="00AA0C2E">
        <w:rPr>
          <w:rFonts w:ascii="Arial" w:hAnsi="Arial" w:cs="Arial"/>
        </w:rPr>
        <w:t xml:space="preserve">(Stage </w:t>
      </w:r>
      <w:proofErr w:type="spellStart"/>
      <w:r w:rsidR="00390AEB" w:rsidRPr="00AA0C2E">
        <w:rPr>
          <w:rFonts w:ascii="Arial" w:hAnsi="Arial" w:cs="Arial"/>
        </w:rPr>
        <w:t>IIIb</w:t>
      </w:r>
      <w:proofErr w:type="spellEnd"/>
      <w:r w:rsidR="00390AEB" w:rsidRPr="00AA0C2E">
        <w:rPr>
          <w:rFonts w:ascii="Arial" w:hAnsi="Arial" w:cs="Arial"/>
        </w:rPr>
        <w:t xml:space="preserve">) </w:t>
      </w:r>
      <w:r w:rsidRPr="00AA0C2E">
        <w:rPr>
          <w:rFonts w:ascii="Arial" w:hAnsi="Arial" w:cs="Arial"/>
        </w:rPr>
        <w:t>or metastatic</w:t>
      </w:r>
      <w:r w:rsidR="00390AEB" w:rsidRPr="00AA0C2E">
        <w:rPr>
          <w:rFonts w:ascii="Arial" w:hAnsi="Arial" w:cs="Arial"/>
        </w:rPr>
        <w:t xml:space="preserve"> (Stage IV)</w:t>
      </w:r>
      <w:r w:rsidRPr="00AA0C2E">
        <w:rPr>
          <w:rFonts w:ascii="Arial" w:hAnsi="Arial" w:cs="Arial"/>
        </w:rPr>
        <w:t xml:space="preserve"> NSCLC of non-squamous or NOS histology harbouring a sensitising mutation of the EGFR gene, who have progressed </w:t>
      </w:r>
      <w:r w:rsidR="004D70FE" w:rsidRPr="00AA0C2E">
        <w:rPr>
          <w:rFonts w:ascii="Arial" w:hAnsi="Arial" w:cs="Arial"/>
        </w:rPr>
        <w:t xml:space="preserve">after </w:t>
      </w:r>
      <w:r w:rsidR="00390AEB" w:rsidRPr="00AA0C2E">
        <w:rPr>
          <w:rFonts w:ascii="Arial" w:hAnsi="Arial" w:cs="Arial"/>
        </w:rPr>
        <w:t xml:space="preserve">previous </w:t>
      </w:r>
      <w:r w:rsidRPr="00AA0C2E">
        <w:rPr>
          <w:rFonts w:ascii="Arial" w:hAnsi="Arial" w:cs="Arial"/>
        </w:rPr>
        <w:t>treatment with an EGFR TKI (</w:t>
      </w:r>
      <w:proofErr w:type="spellStart"/>
      <w:r w:rsidR="004C537C" w:rsidRPr="00AA0C2E">
        <w:rPr>
          <w:rFonts w:ascii="Arial" w:hAnsi="Arial" w:cs="Arial"/>
        </w:rPr>
        <w:t>gefitinib</w:t>
      </w:r>
      <w:proofErr w:type="spellEnd"/>
      <w:r w:rsidR="004C537C" w:rsidRPr="00AA0C2E">
        <w:rPr>
          <w:rFonts w:ascii="Arial" w:hAnsi="Arial" w:cs="Arial"/>
        </w:rPr>
        <w:t xml:space="preserve">, </w:t>
      </w:r>
      <w:proofErr w:type="spellStart"/>
      <w:r w:rsidR="004C537C" w:rsidRPr="00AA0C2E">
        <w:rPr>
          <w:rFonts w:ascii="Arial" w:hAnsi="Arial" w:cs="Arial"/>
        </w:rPr>
        <w:t>erlotinib</w:t>
      </w:r>
      <w:proofErr w:type="spellEnd"/>
      <w:r w:rsidR="004C537C" w:rsidRPr="00AA0C2E">
        <w:rPr>
          <w:rFonts w:ascii="Arial" w:hAnsi="Arial" w:cs="Arial"/>
        </w:rPr>
        <w:t xml:space="preserve">, </w:t>
      </w:r>
      <w:proofErr w:type="spellStart"/>
      <w:r w:rsidR="004C537C" w:rsidRPr="00AA0C2E">
        <w:rPr>
          <w:rFonts w:ascii="Arial" w:hAnsi="Arial" w:cs="Arial"/>
        </w:rPr>
        <w:t>afatinib</w:t>
      </w:r>
      <w:proofErr w:type="spellEnd"/>
      <w:r w:rsidRPr="00AA0C2E">
        <w:rPr>
          <w:rFonts w:ascii="Arial" w:hAnsi="Arial" w:cs="Arial"/>
        </w:rPr>
        <w:t>),</w:t>
      </w:r>
      <w:r w:rsidR="00390AEB" w:rsidRPr="00AA0C2E">
        <w:rPr>
          <w:rFonts w:ascii="Arial" w:hAnsi="Arial" w:cs="Arial"/>
        </w:rPr>
        <w:t xml:space="preserve"> PS 0-1, </w:t>
      </w:r>
      <w:r w:rsidRPr="00AA0C2E">
        <w:rPr>
          <w:rFonts w:ascii="Arial" w:hAnsi="Arial" w:cs="Arial"/>
        </w:rPr>
        <w:t xml:space="preserve"> EGFR mutation testing followed by treatment with </w:t>
      </w:r>
      <w:r w:rsidR="00312075">
        <w:rPr>
          <w:rFonts w:ascii="Arial" w:hAnsi="Arial" w:cs="Arial"/>
        </w:rPr>
        <w:t>AZD9291</w:t>
      </w:r>
      <w:r w:rsidRPr="00AA0C2E">
        <w:rPr>
          <w:rFonts w:ascii="Arial" w:hAnsi="Arial" w:cs="Arial"/>
        </w:rPr>
        <w:t xml:space="preserve"> for those with an identified T790M mutation, and platinum-based doublet chemotherapy</w:t>
      </w:r>
      <w:r w:rsidR="00037824" w:rsidRPr="00AA0C2E">
        <w:rPr>
          <w:rFonts w:ascii="Arial" w:hAnsi="Arial" w:cs="Arial"/>
        </w:rPr>
        <w:t xml:space="preserve"> or mono</w:t>
      </w:r>
      <w:r w:rsidR="004C537C" w:rsidRPr="00AA0C2E">
        <w:rPr>
          <w:rFonts w:ascii="Arial" w:hAnsi="Arial" w:cs="Arial"/>
        </w:rPr>
        <w:t>-chemo</w:t>
      </w:r>
      <w:r w:rsidR="00037824" w:rsidRPr="00AA0C2E">
        <w:rPr>
          <w:rFonts w:ascii="Arial" w:hAnsi="Arial" w:cs="Arial"/>
        </w:rPr>
        <w:t>therapy</w:t>
      </w:r>
      <w:r w:rsidRPr="00AA0C2E">
        <w:rPr>
          <w:rFonts w:ascii="Arial" w:hAnsi="Arial" w:cs="Arial"/>
        </w:rPr>
        <w:t xml:space="preserve"> for those without a T790M mutation, is </w:t>
      </w:r>
      <w:r w:rsidRPr="00AA0C2E">
        <w:rPr>
          <w:rFonts w:ascii="Arial" w:hAnsi="Arial" w:cs="Arial"/>
          <w:u w:val="single"/>
        </w:rPr>
        <w:t>superior</w:t>
      </w:r>
      <w:r w:rsidRPr="00AA0C2E">
        <w:rPr>
          <w:rFonts w:ascii="Arial" w:hAnsi="Arial" w:cs="Arial"/>
        </w:rPr>
        <w:t xml:space="preserve">, in terms of both comparative effectiveness and safety, to no test and treatment with platinum-based doublet chemotherapy </w:t>
      </w:r>
      <w:r w:rsidR="00784526" w:rsidRPr="00AA0C2E">
        <w:rPr>
          <w:rFonts w:ascii="Arial" w:hAnsi="Arial" w:cs="Arial"/>
        </w:rPr>
        <w:t>or mono</w:t>
      </w:r>
      <w:r w:rsidR="004C537C" w:rsidRPr="00AA0C2E">
        <w:rPr>
          <w:rFonts w:ascii="Arial" w:hAnsi="Arial" w:cs="Arial"/>
        </w:rPr>
        <w:t>-chemo</w:t>
      </w:r>
      <w:r w:rsidR="00784526" w:rsidRPr="00AA0C2E">
        <w:rPr>
          <w:rFonts w:ascii="Arial" w:hAnsi="Arial" w:cs="Arial"/>
        </w:rPr>
        <w:t xml:space="preserve">therapy </w:t>
      </w:r>
      <w:r w:rsidRPr="00AA0C2E">
        <w:rPr>
          <w:rFonts w:ascii="Arial" w:hAnsi="Arial" w:cs="Arial"/>
        </w:rPr>
        <w:t xml:space="preserve">for all patients. </w:t>
      </w:r>
    </w:p>
    <w:p w14:paraId="58EE2022" w14:textId="77777777" w:rsidR="000C4286" w:rsidRPr="00E85EA0" w:rsidRDefault="000C4286" w:rsidP="009C49F2">
      <w:pPr>
        <w:pStyle w:val="Heading2"/>
      </w:pPr>
      <w:r>
        <w:lastRenderedPageBreak/>
        <w:t>Expected h</w:t>
      </w:r>
      <w:r w:rsidRPr="00E85EA0">
        <w:t>ealth outcome</w:t>
      </w:r>
      <w:r>
        <w:t>s</w:t>
      </w:r>
      <w:r w:rsidRPr="00E85EA0">
        <w:t xml:space="preserve"> </w:t>
      </w:r>
      <w:r>
        <w:t>relating to the medical service</w:t>
      </w:r>
    </w:p>
    <w:p w14:paraId="42539E2E" w14:textId="565DF4BA" w:rsidR="00002F21" w:rsidRDefault="00002F21" w:rsidP="00327620">
      <w:pPr>
        <w:spacing w:before="120" w:after="120" w:line="360" w:lineRule="auto"/>
        <w:jc w:val="both"/>
        <w:rPr>
          <w:rFonts w:ascii="Arial" w:hAnsi="Arial" w:cs="Arial"/>
        </w:rPr>
      </w:pPr>
      <w:r w:rsidRPr="00AA0C2E">
        <w:rPr>
          <w:rFonts w:ascii="Arial" w:hAnsi="Arial" w:cs="Arial"/>
        </w:rPr>
        <w:t>Health outcomes relating to the proposed indications include overall survival, progression free survival, objective response rate,</w:t>
      </w:r>
      <w:r w:rsidR="00490F25" w:rsidRPr="00AA0C2E">
        <w:rPr>
          <w:rFonts w:ascii="Arial" w:hAnsi="Arial" w:cs="Arial"/>
        </w:rPr>
        <w:t xml:space="preserve"> disease control rate</w:t>
      </w:r>
      <w:r w:rsidR="009C66EE" w:rsidRPr="00AA0C2E">
        <w:rPr>
          <w:rFonts w:ascii="Arial" w:hAnsi="Arial" w:cs="Arial"/>
        </w:rPr>
        <w:t>,</w:t>
      </w:r>
      <w:r w:rsidR="00C07198" w:rsidRPr="00AA0C2E">
        <w:rPr>
          <w:rFonts w:ascii="Arial" w:hAnsi="Arial" w:cs="Arial"/>
        </w:rPr>
        <w:t xml:space="preserve"> tumour shrinkage</w:t>
      </w:r>
      <w:r w:rsidR="00B20558">
        <w:rPr>
          <w:rFonts w:ascii="Arial" w:hAnsi="Arial" w:cs="Arial"/>
        </w:rPr>
        <w:t>,</w:t>
      </w:r>
      <w:r w:rsidRPr="00AA0C2E">
        <w:rPr>
          <w:rFonts w:ascii="Arial" w:hAnsi="Arial" w:cs="Arial"/>
        </w:rPr>
        <w:t xml:space="preserve"> </w:t>
      </w:r>
      <w:proofErr w:type="gramStart"/>
      <w:r w:rsidR="00C27AAA" w:rsidRPr="00AA0C2E">
        <w:rPr>
          <w:rFonts w:ascii="Arial" w:hAnsi="Arial" w:cs="Arial"/>
        </w:rPr>
        <w:t>duration</w:t>
      </w:r>
      <w:proofErr w:type="gramEnd"/>
      <w:r w:rsidR="00C27AAA" w:rsidRPr="00AA0C2E">
        <w:rPr>
          <w:rFonts w:ascii="Arial" w:hAnsi="Arial" w:cs="Arial"/>
        </w:rPr>
        <w:t xml:space="preserve"> of response, </w:t>
      </w:r>
      <w:r w:rsidRPr="00AA0C2E">
        <w:rPr>
          <w:rFonts w:ascii="Arial" w:hAnsi="Arial" w:cs="Arial"/>
        </w:rPr>
        <w:t xml:space="preserve">quality of life measures, </w:t>
      </w:r>
      <w:r w:rsidR="00C07198" w:rsidRPr="00AA0C2E">
        <w:rPr>
          <w:rFonts w:ascii="Arial" w:hAnsi="Arial" w:cs="Arial"/>
        </w:rPr>
        <w:t>safety and tolerability</w:t>
      </w:r>
      <w:r w:rsidRPr="00AA0C2E">
        <w:rPr>
          <w:rFonts w:ascii="Arial" w:hAnsi="Arial" w:cs="Arial"/>
        </w:rPr>
        <w:t>, the diagnostic accuracy of the EGFR mutation test</w:t>
      </w:r>
      <w:r w:rsidR="00C27AAA" w:rsidRPr="00AA0C2E">
        <w:rPr>
          <w:rFonts w:ascii="Arial" w:hAnsi="Arial" w:cs="Arial"/>
        </w:rPr>
        <w:t xml:space="preserve"> and comparison of performance between test methodologies.</w:t>
      </w:r>
    </w:p>
    <w:p w14:paraId="1BB1CA79" w14:textId="77777777" w:rsidR="00E83036" w:rsidRPr="00E83036" w:rsidRDefault="00E83036" w:rsidP="00327620">
      <w:pPr>
        <w:pStyle w:val="CommentText"/>
        <w:spacing w:line="360" w:lineRule="auto"/>
        <w:jc w:val="both"/>
        <w:rPr>
          <w:rFonts w:ascii="Arial" w:hAnsi="Arial" w:cs="Arial"/>
          <w:sz w:val="22"/>
        </w:rPr>
      </w:pPr>
      <w:r w:rsidRPr="008D07C5">
        <w:rPr>
          <w:rFonts w:ascii="Arial" w:hAnsi="Arial" w:cs="Arial"/>
          <w:sz w:val="22"/>
        </w:rPr>
        <w:t>PASC suggested that genetic heterogeneity be considered in the modelling of the intervention and comparator arm (which is based on tumour biopsy).</w:t>
      </w:r>
    </w:p>
    <w:p w14:paraId="4B5E68F3" w14:textId="77777777" w:rsidR="00E83036" w:rsidRPr="00E83036" w:rsidRDefault="00E83036" w:rsidP="00E83036">
      <w:pPr>
        <w:spacing w:before="120" w:after="120" w:line="360" w:lineRule="auto"/>
        <w:rPr>
          <w:rFonts w:ascii="Arial" w:hAnsi="Arial" w:cs="Arial"/>
          <w:sz w:val="28"/>
          <w:szCs w:val="24"/>
        </w:rPr>
      </w:pPr>
    </w:p>
    <w:p w14:paraId="1CE81EC8" w14:textId="77777777" w:rsidR="000A589A" w:rsidRPr="00AA0C2E" w:rsidRDefault="000C4286" w:rsidP="00833F7E">
      <w:pPr>
        <w:autoSpaceDE w:val="0"/>
        <w:autoSpaceDN w:val="0"/>
        <w:adjustRightInd w:val="0"/>
        <w:spacing w:after="120" w:line="360" w:lineRule="auto"/>
        <w:jc w:val="both"/>
        <w:rPr>
          <w:rFonts w:ascii="Arial" w:hAnsi="Arial" w:cs="Arial"/>
          <w:u w:val="single"/>
        </w:rPr>
      </w:pPr>
      <w:r w:rsidRPr="00AA0C2E">
        <w:rPr>
          <w:rFonts w:ascii="Arial" w:hAnsi="Arial" w:cs="Arial"/>
          <w:u w:val="single"/>
        </w:rPr>
        <w:t xml:space="preserve">Describe any potential risks to the patient. </w:t>
      </w:r>
      <w:r w:rsidR="000A589A" w:rsidRPr="00AA0C2E">
        <w:rPr>
          <w:rFonts w:ascii="Arial" w:hAnsi="Arial" w:cs="Arial"/>
          <w:u w:val="single"/>
        </w:rPr>
        <w:t xml:space="preserve">From </w:t>
      </w:r>
      <w:r w:rsidR="00925A5F" w:rsidRPr="00AA0C2E">
        <w:rPr>
          <w:rFonts w:ascii="Arial" w:hAnsi="Arial" w:cs="Arial"/>
          <w:u w:val="single"/>
        </w:rPr>
        <w:t>the biopsy:</w:t>
      </w:r>
    </w:p>
    <w:p w14:paraId="0FF1B0DB" w14:textId="5187A21E" w:rsidR="000C5137" w:rsidRDefault="00793764" w:rsidP="00217570">
      <w:pPr>
        <w:autoSpaceDE w:val="0"/>
        <w:autoSpaceDN w:val="0"/>
        <w:adjustRightInd w:val="0"/>
        <w:spacing w:line="360" w:lineRule="auto"/>
        <w:jc w:val="both"/>
        <w:rPr>
          <w:rFonts w:ascii="Arial" w:hAnsi="Arial" w:cs="Arial"/>
        </w:rPr>
      </w:pPr>
      <w:r w:rsidRPr="00AA0C2E">
        <w:rPr>
          <w:rFonts w:ascii="Arial" w:hAnsi="Arial" w:cs="Arial"/>
        </w:rPr>
        <w:t>The invasive nature of t</w:t>
      </w:r>
      <w:r w:rsidR="00AD241B" w:rsidRPr="00AA0C2E">
        <w:rPr>
          <w:rFonts w:ascii="Arial" w:hAnsi="Arial" w:cs="Arial"/>
        </w:rPr>
        <w:t>issue sampling procedure</w:t>
      </w:r>
      <w:r w:rsidR="002049FB" w:rsidRPr="00AA0C2E">
        <w:rPr>
          <w:rFonts w:ascii="Arial" w:hAnsi="Arial" w:cs="Arial"/>
        </w:rPr>
        <w:t>s</w:t>
      </w:r>
      <w:r w:rsidR="001C20D8" w:rsidRPr="00AA0C2E">
        <w:rPr>
          <w:rFonts w:ascii="Arial" w:hAnsi="Arial" w:cs="Arial"/>
        </w:rPr>
        <w:t xml:space="preserve"> (described in </w:t>
      </w:r>
      <w:proofErr w:type="spellStart"/>
      <w:r w:rsidR="001C20D8" w:rsidRPr="00AA0C2E">
        <w:rPr>
          <w:rFonts w:ascii="Arial" w:hAnsi="Arial" w:cs="Arial"/>
        </w:rPr>
        <w:t>Gefitinib</w:t>
      </w:r>
      <w:proofErr w:type="spellEnd"/>
      <w:r w:rsidR="001C20D8" w:rsidRPr="00AA0C2E">
        <w:rPr>
          <w:rFonts w:ascii="Arial" w:hAnsi="Arial" w:cs="Arial"/>
        </w:rPr>
        <w:t xml:space="preserve"> Protocol, </w:t>
      </w:r>
      <w:r w:rsidR="001C20D8" w:rsidRPr="00AA0C2E">
        <w:rPr>
          <w:rFonts w:ascii="Arial" w:hAnsi="Arial" w:cs="Arial"/>
        </w:rPr>
        <w:fldChar w:fldCharType="begin"/>
      </w:r>
      <w:r w:rsidR="00F65C59">
        <w:rPr>
          <w:rFonts w:ascii="Arial" w:hAnsi="Arial" w:cs="Arial"/>
        </w:rPr>
        <w:instrText xml:space="preserve"> ADDIN EN.CITE &lt;EndNote&gt;&lt;Cite&gt;&lt;Author&gt;Protocol Advisory Sub-Committee&lt;/Author&gt;&lt;Year&gt;2011&lt;/Year&gt;&lt;RecNum&gt;96&lt;/RecNum&gt;&lt;DisplayText&gt;[42]&lt;/DisplayText&gt;&lt;record&gt;&lt;rec-number&gt;96&lt;/rec-number&gt;&lt;foreign-keys&gt;&lt;key app="EN" db-id="rprtzr95srz0woefsws5fs50rfwvtsf5aw2f"&gt;96&lt;/key&gt;&lt;/foreign-keys&gt;&lt;ref-type name="Government Document"&gt;46&lt;/ref-type&gt;&lt;contributors&gt;&lt;authors&gt;&lt;author&gt;Protocol Advisory Sub-Committee,&lt;/author&gt;&lt;/authors&gt;&lt;secondary-authors&gt;&lt;author&gt;Australian Government Department of Health,&lt;/author&gt;&lt;/secondary-authors&gt;&lt;/contributors&gt;&lt;titles&gt;&lt;title&gt;MSAC Application 1161: Final Decision Analytic Protocol (DAP) to guide the assessment of testing for mutations in the epidermal growth factor receptor (EGFR) gene in patients with locally advanced or metastatic non small cell lung cancer (NSCLC) to determine eligibility for subsidised gefitinib&lt;/title&gt;&lt;/titles&gt;&lt;dates&gt;&lt;year&gt;2011&lt;/year&gt;&lt;/dates&gt;&lt;urls&gt;&lt;related-urls&gt;&lt;url&gt;http://www.msac.gov.au/internet/msac/publishing.nsf/Content/9379DDBE51C67664CA257880001F22D6/$File/1161%20FINAL%20DAP.pdf&lt;/url&gt;&lt;/related-urls&gt;&lt;/urls&gt;&lt;/record&gt;&lt;/Cite&gt;&lt;/EndNote&gt;</w:instrText>
      </w:r>
      <w:r w:rsidR="001C20D8" w:rsidRPr="00AA0C2E">
        <w:rPr>
          <w:rFonts w:ascii="Arial" w:hAnsi="Arial" w:cs="Arial"/>
        </w:rPr>
        <w:fldChar w:fldCharType="separate"/>
      </w:r>
      <w:r w:rsidR="00F65C59">
        <w:rPr>
          <w:rFonts w:ascii="Arial" w:hAnsi="Arial" w:cs="Arial"/>
          <w:noProof/>
        </w:rPr>
        <w:t>[</w:t>
      </w:r>
      <w:hyperlink w:anchor="_ENREF_42" w:tooltip="Protocol Advisory Sub-Committee, 2011 #96" w:history="1">
        <w:r w:rsidR="00F65C59">
          <w:rPr>
            <w:rFonts w:ascii="Arial" w:hAnsi="Arial" w:cs="Arial"/>
            <w:noProof/>
          </w:rPr>
          <w:t>42</w:t>
        </w:r>
      </w:hyperlink>
      <w:r w:rsidR="00F65C59">
        <w:rPr>
          <w:rFonts w:ascii="Arial" w:hAnsi="Arial" w:cs="Arial"/>
          <w:noProof/>
        </w:rPr>
        <w:t>]</w:t>
      </w:r>
      <w:r w:rsidR="001C20D8" w:rsidRPr="00AA0C2E">
        <w:rPr>
          <w:rFonts w:ascii="Arial" w:hAnsi="Arial" w:cs="Arial"/>
        </w:rPr>
        <w:fldChar w:fldCharType="end"/>
      </w:r>
      <w:r w:rsidR="001C20D8" w:rsidRPr="00AA0C2E">
        <w:rPr>
          <w:rFonts w:ascii="Arial" w:hAnsi="Arial" w:cs="Arial"/>
        </w:rPr>
        <w:t>)</w:t>
      </w:r>
      <w:r w:rsidRPr="00AA0C2E">
        <w:rPr>
          <w:rFonts w:ascii="Arial" w:hAnsi="Arial" w:cs="Arial"/>
        </w:rPr>
        <w:t xml:space="preserve"> means that there is an associated risk of complications</w:t>
      </w:r>
      <w:r w:rsidR="00797465" w:rsidRPr="00AA0C2E">
        <w:rPr>
          <w:rFonts w:ascii="Arial" w:hAnsi="Arial" w:cs="Arial"/>
        </w:rPr>
        <w:t xml:space="preserve">. </w:t>
      </w:r>
      <w:proofErr w:type="spellStart"/>
      <w:r w:rsidR="00FD46F0">
        <w:rPr>
          <w:rFonts w:ascii="Arial" w:hAnsi="Arial" w:cs="Arial"/>
        </w:rPr>
        <w:t>Jekunen</w:t>
      </w:r>
      <w:proofErr w:type="spellEnd"/>
      <w:r w:rsidR="00FD46F0">
        <w:rPr>
          <w:rFonts w:ascii="Arial" w:hAnsi="Arial" w:cs="Arial"/>
        </w:rPr>
        <w:t xml:space="preserve"> </w:t>
      </w:r>
      <w:r w:rsidR="00FD46F0">
        <w:rPr>
          <w:rFonts w:ascii="Arial" w:hAnsi="Arial" w:cs="Arial"/>
        </w:rPr>
        <w:fldChar w:fldCharType="begin"/>
      </w:r>
      <w:r w:rsidR="00F65C59">
        <w:rPr>
          <w:rFonts w:ascii="Arial" w:hAnsi="Arial" w:cs="Arial"/>
        </w:rPr>
        <w:instrText xml:space="preserve"> ADDIN EN.CITE &lt;EndNote&gt;&lt;Cite&gt;&lt;Author&gt;Jekunen&lt;/Author&gt;&lt;Year&gt;2015&lt;/Year&gt;&lt;RecNum&gt;108&lt;/RecNum&gt;&lt;DisplayText&gt;[43]&lt;/DisplayText&gt;&lt;record&gt;&lt;rec-number&gt;108&lt;/rec-number&gt;&lt;foreign-keys&gt;&lt;key app="EN" db-id="rprtzr95srz0woefsws5fs50rfwvtsf5aw2f"&gt;108&lt;/key&gt;&lt;/foreign-keys&gt;&lt;ref-type name="Journal Article"&gt;17&lt;/ref-type&gt;&lt;contributors&gt;&lt;authors&gt;&lt;author&gt;Jekunen, AP&lt;/author&gt;&lt;/authors&gt;&lt;/contributors&gt;&lt;titles&gt;&lt;title&gt;Role of Rebiopsy in Relapsed Non-Small Cell Lung Cancer for Directing Oncology Treatments&lt;/title&gt;&lt;secondary-title&gt;Journal Of Oncology&lt;/secondary-title&gt;&lt;/titles&gt;&lt;periodical&gt;&lt;full-title&gt;Journal Of Oncology&lt;/full-title&gt;&lt;/periodical&gt;&lt;volume&gt;2015&lt;/volume&gt;&lt;number&gt;Article ID 809835&lt;/number&gt;&lt;dates&gt;&lt;year&gt;2015&lt;/year&gt;&lt;/dates&gt;&lt;urls&gt;&lt;/urls&gt;&lt;electronic-resource-num&gt;http://dx.doi.org/10.1155/2015/809835&lt;/electronic-resource-num&gt;&lt;/record&gt;&lt;/Cite&gt;&lt;/EndNote&gt;</w:instrText>
      </w:r>
      <w:r w:rsidR="00FD46F0">
        <w:rPr>
          <w:rFonts w:ascii="Arial" w:hAnsi="Arial" w:cs="Arial"/>
        </w:rPr>
        <w:fldChar w:fldCharType="separate"/>
      </w:r>
      <w:r w:rsidR="00F65C59">
        <w:rPr>
          <w:rFonts w:ascii="Arial" w:hAnsi="Arial" w:cs="Arial"/>
          <w:noProof/>
        </w:rPr>
        <w:t>[</w:t>
      </w:r>
      <w:hyperlink w:anchor="_ENREF_43" w:tooltip="Jekunen, 2015 #108" w:history="1">
        <w:r w:rsidR="00F65C59">
          <w:rPr>
            <w:rFonts w:ascii="Arial" w:hAnsi="Arial" w:cs="Arial"/>
            <w:noProof/>
          </w:rPr>
          <w:t>43</w:t>
        </w:r>
      </w:hyperlink>
      <w:r w:rsidR="00F65C59">
        <w:rPr>
          <w:rFonts w:ascii="Arial" w:hAnsi="Arial" w:cs="Arial"/>
          <w:noProof/>
        </w:rPr>
        <w:t>]</w:t>
      </w:r>
      <w:r w:rsidR="00FD46F0">
        <w:rPr>
          <w:rFonts w:ascii="Arial" w:hAnsi="Arial" w:cs="Arial"/>
        </w:rPr>
        <w:fldChar w:fldCharType="end"/>
      </w:r>
      <w:r w:rsidR="00FD46F0">
        <w:rPr>
          <w:rFonts w:ascii="Arial" w:hAnsi="Arial" w:cs="Arial"/>
        </w:rPr>
        <w:t xml:space="preserve"> </w:t>
      </w:r>
      <w:r w:rsidR="00DF793E">
        <w:rPr>
          <w:rFonts w:ascii="Arial" w:hAnsi="Arial" w:cs="Arial"/>
        </w:rPr>
        <w:t>conducted</w:t>
      </w:r>
      <w:r w:rsidR="0046655E">
        <w:rPr>
          <w:rFonts w:ascii="Arial" w:hAnsi="Arial" w:cs="Arial"/>
        </w:rPr>
        <w:t xml:space="preserve"> </w:t>
      </w:r>
      <w:r w:rsidR="00FD46F0">
        <w:rPr>
          <w:rFonts w:ascii="Arial" w:hAnsi="Arial" w:cs="Arial"/>
        </w:rPr>
        <w:t>a systematic literature review</w:t>
      </w:r>
      <w:r w:rsidR="00DF793E">
        <w:rPr>
          <w:rFonts w:ascii="Arial" w:hAnsi="Arial" w:cs="Arial"/>
        </w:rPr>
        <w:t xml:space="preserve"> in 2015</w:t>
      </w:r>
      <w:r w:rsidR="0046655E">
        <w:rPr>
          <w:rFonts w:ascii="Arial" w:hAnsi="Arial" w:cs="Arial"/>
        </w:rPr>
        <w:t>,</w:t>
      </w:r>
      <w:r w:rsidR="00FD46F0">
        <w:rPr>
          <w:rFonts w:ascii="Arial" w:hAnsi="Arial" w:cs="Arial"/>
        </w:rPr>
        <w:t xml:space="preserve"> using search terms </w:t>
      </w:r>
      <w:proofErr w:type="spellStart"/>
      <w:r w:rsidR="00FD46F0" w:rsidRPr="00217570">
        <w:rPr>
          <w:rFonts w:ascii="Arial" w:hAnsi="Arial" w:cs="Arial"/>
          <w:i/>
        </w:rPr>
        <w:t>rebiopsy</w:t>
      </w:r>
      <w:proofErr w:type="spellEnd"/>
      <w:r w:rsidR="00FD46F0">
        <w:rPr>
          <w:rFonts w:ascii="Arial" w:hAnsi="Arial" w:cs="Arial"/>
        </w:rPr>
        <w:t xml:space="preserve"> and </w:t>
      </w:r>
      <w:r w:rsidR="00FD46F0" w:rsidRPr="00217570">
        <w:rPr>
          <w:rFonts w:ascii="Arial" w:hAnsi="Arial" w:cs="Arial"/>
          <w:i/>
        </w:rPr>
        <w:t>lung cancer</w:t>
      </w:r>
      <w:r w:rsidR="0046655E">
        <w:rPr>
          <w:rFonts w:ascii="Arial" w:hAnsi="Arial" w:cs="Arial"/>
        </w:rPr>
        <w:t xml:space="preserve">, </w:t>
      </w:r>
      <w:r w:rsidR="00DF793E">
        <w:rPr>
          <w:rFonts w:ascii="Arial" w:hAnsi="Arial" w:cs="Arial"/>
        </w:rPr>
        <w:t xml:space="preserve">and concludes </w:t>
      </w:r>
      <w:r w:rsidR="0046655E">
        <w:rPr>
          <w:rFonts w:ascii="Arial" w:hAnsi="Arial" w:cs="Arial"/>
        </w:rPr>
        <w:t xml:space="preserve">that </w:t>
      </w:r>
      <w:proofErr w:type="spellStart"/>
      <w:r w:rsidR="0046655E">
        <w:rPr>
          <w:rFonts w:ascii="Arial" w:hAnsi="Arial" w:cs="Arial"/>
        </w:rPr>
        <w:t>rebiopsy</w:t>
      </w:r>
      <w:proofErr w:type="spellEnd"/>
      <w:r w:rsidR="0046655E">
        <w:rPr>
          <w:rFonts w:ascii="Arial" w:hAnsi="Arial" w:cs="Arial"/>
        </w:rPr>
        <w:t xml:space="preserve"> is feasible in NSCLC provided careful site selection and adequate evaluation of risks for complications are performed prior. </w:t>
      </w:r>
      <w:r w:rsidR="00DF793E">
        <w:rPr>
          <w:rFonts w:ascii="Arial" w:hAnsi="Arial" w:cs="Arial"/>
        </w:rPr>
        <w:t>Articles identified reported o</w:t>
      </w:r>
      <w:r w:rsidR="000C5137" w:rsidRPr="00217570">
        <w:rPr>
          <w:rFonts w:ascii="Arial" w:hAnsi="Arial" w:cs="Arial"/>
        </w:rPr>
        <w:t>ne serious complication among</w:t>
      </w:r>
      <w:r w:rsidR="004E76EC" w:rsidRPr="00217570">
        <w:rPr>
          <w:rFonts w:ascii="Arial" w:hAnsi="Arial" w:cs="Arial"/>
        </w:rPr>
        <w:t xml:space="preserve"> </w:t>
      </w:r>
      <w:r w:rsidR="000C5137" w:rsidRPr="00217570">
        <w:rPr>
          <w:rFonts w:ascii="Arial" w:hAnsi="Arial" w:cs="Arial"/>
        </w:rPr>
        <w:t xml:space="preserve">155 </w:t>
      </w:r>
      <w:proofErr w:type="spellStart"/>
      <w:r w:rsidR="000C5137" w:rsidRPr="00217570">
        <w:rPr>
          <w:rFonts w:ascii="Arial" w:hAnsi="Arial" w:cs="Arial"/>
        </w:rPr>
        <w:t>rebiopsies</w:t>
      </w:r>
      <w:proofErr w:type="spellEnd"/>
      <w:r w:rsidR="000C5137" w:rsidRPr="00217570">
        <w:rPr>
          <w:rFonts w:ascii="Arial" w:hAnsi="Arial" w:cs="Arial"/>
        </w:rPr>
        <w:t xml:space="preserve"> patients </w:t>
      </w:r>
      <w:r w:rsidR="000C5137" w:rsidRPr="00217570">
        <w:rPr>
          <w:rFonts w:ascii="Arial" w:hAnsi="Arial" w:cs="Arial"/>
        </w:rPr>
        <w:fldChar w:fldCharType="begin"/>
      </w:r>
      <w:r w:rsidR="000C5137" w:rsidRPr="00217570">
        <w:rPr>
          <w:rFonts w:ascii="Arial" w:hAnsi="Arial" w:cs="Arial"/>
        </w:rPr>
        <w:instrText xml:space="preserve"> ADDIN EN.CITE &lt;EndNote&gt;&lt;Cite&gt;&lt;Author&gt;Yu&lt;/Author&gt;&lt;Year&gt;2013&lt;/Year&gt;&lt;RecNum&gt;62&lt;/RecNum&gt;&lt;DisplayText&gt;[10]&lt;/DisplayText&gt;&lt;record&gt;&lt;rec-number&gt;62&lt;/rec-number&gt;&lt;foreign-keys&gt;&lt;key app="EN" db-id="rprtzr95srz0woefsws5fs50rfwvtsf5aw2f"&gt;62&lt;/key&gt;&lt;/foreign-keys&gt;&lt;ref-type name="Journal Article"&gt;17&lt;/ref-type&gt;&lt;contributors&gt;&lt;authors&gt;&lt;author&gt;Yu, HA&lt;/author&gt;&lt;author&gt;Arcila, ME&lt;/author&gt;&lt;author&gt;Rekhtman, N&lt;/author&gt;&lt;author&gt;Sima, CS&lt;/author&gt;&lt;author&gt;Zakowski MF&lt;/author&gt;&lt;author&gt;et al&lt;/author&gt;&lt;/authors&gt;&lt;/contributors&gt;&lt;titles&gt;&lt;title&gt;Analysis of Tumor Specimens at the Time of Acquired Resistance to EGFR-TKI Therapy in 155 Patients with EGFR-Mutant Lung Cancers&lt;/title&gt;&lt;secondary-title&gt;Clinical Cancer Research&lt;/secondary-title&gt;&lt;/titles&gt;&lt;periodical&gt;&lt;full-title&gt;Clinical Cancer Research&lt;/full-title&gt;&lt;/periodical&gt;&lt;pages&gt;2240-7&lt;/pages&gt;&lt;volume&gt;19&lt;/volume&gt;&lt;number&gt;8&lt;/number&gt;&lt;dates&gt;&lt;year&gt;2013&lt;/year&gt;&lt;/dates&gt;&lt;urls&gt;&lt;/urls&gt;&lt;/record&gt;&lt;/Cite&gt;&lt;/EndNote&gt;</w:instrText>
      </w:r>
      <w:r w:rsidR="000C5137" w:rsidRPr="00217570">
        <w:rPr>
          <w:rFonts w:ascii="Arial" w:hAnsi="Arial" w:cs="Arial"/>
        </w:rPr>
        <w:fldChar w:fldCharType="separate"/>
      </w:r>
      <w:r w:rsidR="000C5137" w:rsidRPr="00217570">
        <w:rPr>
          <w:rFonts w:ascii="Arial" w:hAnsi="Arial" w:cs="Arial"/>
        </w:rPr>
        <w:t>[</w:t>
      </w:r>
      <w:hyperlink w:anchor="_ENREF_10" w:tooltip="Yu, 2013 #62" w:history="1">
        <w:r w:rsidR="00F65C59" w:rsidRPr="00217570">
          <w:rPr>
            <w:rFonts w:ascii="Arial" w:hAnsi="Arial" w:cs="Arial"/>
          </w:rPr>
          <w:t>10</w:t>
        </w:r>
      </w:hyperlink>
      <w:r w:rsidR="000C5137" w:rsidRPr="00217570">
        <w:rPr>
          <w:rFonts w:ascii="Arial" w:hAnsi="Arial" w:cs="Arial"/>
        </w:rPr>
        <w:t>]</w:t>
      </w:r>
      <w:r w:rsidR="000C5137" w:rsidRPr="00217570">
        <w:rPr>
          <w:rFonts w:ascii="Arial" w:hAnsi="Arial" w:cs="Arial"/>
        </w:rPr>
        <w:fldChar w:fldCharType="end"/>
      </w:r>
      <w:r w:rsidR="000C5137" w:rsidRPr="00217570">
        <w:rPr>
          <w:rFonts w:ascii="Arial" w:hAnsi="Arial" w:cs="Arial"/>
        </w:rPr>
        <w:t xml:space="preserve"> and 13 minor complications in</w:t>
      </w:r>
      <w:r w:rsidR="00DF793E" w:rsidRPr="00217570">
        <w:rPr>
          <w:rFonts w:ascii="Arial" w:hAnsi="Arial" w:cs="Arial"/>
        </w:rPr>
        <w:t xml:space="preserve"> </w:t>
      </w:r>
      <w:r w:rsidR="000C5137" w:rsidRPr="00217570">
        <w:rPr>
          <w:rFonts w:ascii="Arial" w:hAnsi="Arial" w:cs="Arial"/>
        </w:rPr>
        <w:t xml:space="preserve">94 patients </w:t>
      </w:r>
      <w:r w:rsidR="000C5137" w:rsidRPr="00217570">
        <w:rPr>
          <w:rFonts w:ascii="Arial" w:hAnsi="Arial" w:cs="Arial"/>
        </w:rPr>
        <w:fldChar w:fldCharType="begin"/>
      </w:r>
      <w:r w:rsidR="00F65C59">
        <w:rPr>
          <w:rFonts w:ascii="Arial" w:hAnsi="Arial" w:cs="Arial"/>
        </w:rPr>
        <w:instrText xml:space="preserve"> ADDIN EN.CITE &lt;EndNote&gt;&lt;Cite&gt;&lt;Author&gt;Yoon&lt;/Author&gt;&lt;Year&gt;2012&lt;/Year&gt;&lt;RecNum&gt;97&lt;/RecNum&gt;&lt;DisplayText&gt;[44]&lt;/DisplayText&gt;&lt;record&gt;&lt;rec-number&gt;97&lt;/rec-number&gt;&lt;foreign-keys&gt;&lt;key app="EN" db-id="rprtzr95srz0woefsws5fs50rfwvtsf5aw2f"&gt;97&lt;/key&gt;&lt;/foreign-keys&gt;&lt;ref-type name="Journal Article"&gt;17&lt;/ref-type&gt;&lt;contributors&gt;&lt;authors&gt;&lt;author&gt;Yoon, H-J&lt;/author&gt;&lt;author&gt;Lee, H-Y&lt;/author&gt;&lt;author&gt;Kyung, S-L&lt;/author&gt;&lt;author&gt;Choi, Y-L&lt;/author&gt;&lt;author&gt;et al&lt;/author&gt;&lt;/authors&gt;&lt;/contributors&gt;&lt;titles&gt;&lt;title&gt;Repeat Biopsy for Mutational Analysis of Non-Small Cell Lung Cancers Resistant to Previous Chemotherapy: Adequacy and Complications&lt;/title&gt;&lt;secondary-title&gt;Radiology&lt;/secondary-title&gt;&lt;/titles&gt;&lt;periodical&gt;&lt;full-title&gt;Radiology&lt;/full-title&gt;&lt;/periodical&gt;&lt;pages&gt;939-948&lt;/pages&gt;&lt;volume&gt;265&lt;/volume&gt;&lt;number&gt;3&lt;/number&gt;&lt;dates&gt;&lt;year&gt;2012&lt;/year&gt;&lt;/dates&gt;&lt;urls&gt;&lt;/urls&gt;&lt;/record&gt;&lt;/Cite&gt;&lt;/EndNote&gt;</w:instrText>
      </w:r>
      <w:r w:rsidR="000C5137" w:rsidRPr="00217570">
        <w:rPr>
          <w:rFonts w:ascii="Arial" w:hAnsi="Arial" w:cs="Arial"/>
        </w:rPr>
        <w:fldChar w:fldCharType="separate"/>
      </w:r>
      <w:r w:rsidR="00F65C59">
        <w:rPr>
          <w:rFonts w:ascii="Arial" w:hAnsi="Arial" w:cs="Arial"/>
          <w:noProof/>
        </w:rPr>
        <w:t>[</w:t>
      </w:r>
      <w:hyperlink w:anchor="_ENREF_44" w:tooltip="Yoon, 2012 #97" w:history="1">
        <w:r w:rsidR="00F65C59">
          <w:rPr>
            <w:rFonts w:ascii="Arial" w:hAnsi="Arial" w:cs="Arial"/>
            <w:noProof/>
          </w:rPr>
          <w:t>44</w:t>
        </w:r>
      </w:hyperlink>
      <w:r w:rsidR="00F65C59">
        <w:rPr>
          <w:rFonts w:ascii="Arial" w:hAnsi="Arial" w:cs="Arial"/>
          <w:noProof/>
        </w:rPr>
        <w:t>]</w:t>
      </w:r>
      <w:r w:rsidR="000C5137" w:rsidRPr="00217570">
        <w:rPr>
          <w:rFonts w:ascii="Arial" w:hAnsi="Arial" w:cs="Arial"/>
        </w:rPr>
        <w:fldChar w:fldCharType="end"/>
      </w:r>
      <w:r w:rsidR="000C5137" w:rsidRPr="00217570">
        <w:rPr>
          <w:rFonts w:ascii="Arial" w:hAnsi="Arial" w:cs="Arial"/>
        </w:rPr>
        <w:t>.</w:t>
      </w:r>
      <w:r w:rsidR="00DF793E" w:rsidRPr="00217570">
        <w:rPr>
          <w:rFonts w:ascii="Arial" w:hAnsi="Arial" w:cs="Arial"/>
        </w:rPr>
        <w:t xml:space="preserve"> In addition</w:t>
      </w:r>
      <w:r w:rsidR="000C5137" w:rsidRPr="00217570">
        <w:rPr>
          <w:rFonts w:ascii="Arial" w:hAnsi="Arial" w:cs="Arial"/>
        </w:rPr>
        <w:t>, no complications in 47 biopsied patients were</w:t>
      </w:r>
      <w:r w:rsidR="00DF793E" w:rsidRPr="00217570">
        <w:rPr>
          <w:rFonts w:ascii="Arial" w:hAnsi="Arial" w:cs="Arial"/>
        </w:rPr>
        <w:t xml:space="preserve"> </w:t>
      </w:r>
      <w:r w:rsidR="000C5137" w:rsidRPr="00217570">
        <w:rPr>
          <w:rFonts w:ascii="Arial" w:hAnsi="Arial" w:cs="Arial"/>
        </w:rPr>
        <w:t xml:space="preserve">reported by </w:t>
      </w:r>
      <w:proofErr w:type="spellStart"/>
      <w:r w:rsidR="000C5137" w:rsidRPr="00217570">
        <w:rPr>
          <w:rFonts w:ascii="Arial" w:hAnsi="Arial" w:cs="Arial"/>
        </w:rPr>
        <w:t>Bepler</w:t>
      </w:r>
      <w:proofErr w:type="spellEnd"/>
      <w:r w:rsidR="000C5137" w:rsidRPr="00217570">
        <w:rPr>
          <w:rFonts w:ascii="Arial" w:hAnsi="Arial" w:cs="Arial"/>
        </w:rPr>
        <w:t xml:space="preserve"> et al. in their repeated biopsy article </w:t>
      </w:r>
      <w:r w:rsidR="004E76EC" w:rsidRPr="00217570">
        <w:rPr>
          <w:rFonts w:ascii="Arial" w:hAnsi="Arial" w:cs="Arial"/>
        </w:rPr>
        <w:fldChar w:fldCharType="begin"/>
      </w:r>
      <w:r w:rsidR="00F65C59">
        <w:rPr>
          <w:rFonts w:ascii="Arial" w:hAnsi="Arial" w:cs="Arial"/>
        </w:rPr>
        <w:instrText xml:space="preserve"> ADDIN EN.CITE &lt;EndNote&gt;&lt;Cite&gt;&lt;Author&gt;Bepler&lt;/Author&gt;&lt;Year&gt;2013&lt;/Year&gt;&lt;RecNum&gt;110&lt;/RecNum&gt;&lt;DisplayText&gt;[45]&lt;/DisplayText&gt;&lt;record&gt;&lt;rec-number&gt;110&lt;/rec-number&gt;&lt;foreign-keys&gt;&lt;key app="EN" db-id="rprtzr95srz0woefsws5fs50rfwvtsf5aw2f"&gt;110&lt;/key&gt;&lt;/foreign-keys&gt;&lt;ref-type name="Journal Article"&gt;17&lt;/ref-type&gt;&lt;contributors&gt;&lt;authors&gt;&lt;author&gt;Bepler, G&lt;/author&gt;&lt;author&gt;Williams, C&lt;/author&gt;&lt;author&gt;Schell, MJ&lt;/author&gt;&lt;author&gt;Chen, Wei&lt;/author&gt;&lt;author&gt;et al&lt;/author&gt;&lt;/authors&gt;&lt;/contributors&gt;&lt;titles&gt;&lt;title&gt;Randomized International Phase III Trial of ERCC1 and RRM1 Expression–Based Chemotherapy Versus Gemcitabine/Carboplatin in Advanced Non–Small-Cell Lung Cancer&lt;/title&gt;&lt;secondary-title&gt;Journal of Clinical Oncology&lt;/secondary-title&gt;&lt;/titles&gt;&lt;periodical&gt;&lt;full-title&gt;Journal of Clinical Oncology&lt;/full-title&gt;&lt;/periodical&gt;&lt;pages&gt;2404-2412&lt;/pages&gt;&lt;volume&gt;31&lt;/volume&gt;&lt;number&gt;19&lt;/number&gt;&lt;dates&gt;&lt;year&gt;2013&lt;/year&gt;&lt;/dates&gt;&lt;urls&gt;&lt;/urls&gt;&lt;electronic-resource-num&gt;DOI: 10.1200/JCO.2012.46.9783&lt;/electronic-resource-num&gt;&lt;/record&gt;&lt;/Cite&gt;&lt;/EndNote&gt;</w:instrText>
      </w:r>
      <w:r w:rsidR="004E76EC" w:rsidRPr="00217570">
        <w:rPr>
          <w:rFonts w:ascii="Arial" w:hAnsi="Arial" w:cs="Arial"/>
        </w:rPr>
        <w:fldChar w:fldCharType="separate"/>
      </w:r>
      <w:r w:rsidR="00F65C59">
        <w:rPr>
          <w:rFonts w:ascii="Arial" w:hAnsi="Arial" w:cs="Arial"/>
          <w:noProof/>
        </w:rPr>
        <w:t>[</w:t>
      </w:r>
      <w:hyperlink w:anchor="_ENREF_45" w:tooltip="Bepler, 2013 #110" w:history="1">
        <w:r w:rsidR="00F65C59">
          <w:rPr>
            <w:rFonts w:ascii="Arial" w:hAnsi="Arial" w:cs="Arial"/>
            <w:noProof/>
          </w:rPr>
          <w:t>45</w:t>
        </w:r>
      </w:hyperlink>
      <w:r w:rsidR="00F65C59">
        <w:rPr>
          <w:rFonts w:ascii="Arial" w:hAnsi="Arial" w:cs="Arial"/>
          <w:noProof/>
        </w:rPr>
        <w:t>]</w:t>
      </w:r>
      <w:r w:rsidR="004E76EC" w:rsidRPr="00217570">
        <w:rPr>
          <w:rFonts w:ascii="Arial" w:hAnsi="Arial" w:cs="Arial"/>
        </w:rPr>
        <w:fldChar w:fldCharType="end"/>
      </w:r>
      <w:r w:rsidR="000C5137" w:rsidRPr="00217570">
        <w:rPr>
          <w:rFonts w:ascii="Arial" w:hAnsi="Arial" w:cs="Arial"/>
        </w:rPr>
        <w:t>.</w:t>
      </w:r>
    </w:p>
    <w:p w14:paraId="461A7F00" w14:textId="77777777" w:rsidR="00DF793E" w:rsidRPr="00217570" w:rsidRDefault="00DF793E" w:rsidP="00217570">
      <w:pPr>
        <w:autoSpaceDE w:val="0"/>
        <w:autoSpaceDN w:val="0"/>
        <w:adjustRightInd w:val="0"/>
        <w:spacing w:line="360" w:lineRule="auto"/>
        <w:jc w:val="both"/>
        <w:rPr>
          <w:rFonts w:ascii="Arial" w:hAnsi="Arial" w:cs="Arial"/>
        </w:rPr>
      </w:pPr>
      <w:r>
        <w:rPr>
          <w:rFonts w:ascii="Arial" w:hAnsi="Arial" w:cs="Arial"/>
        </w:rPr>
        <w:t xml:space="preserve">Potential problems associated with </w:t>
      </w:r>
      <w:proofErr w:type="spellStart"/>
      <w:r>
        <w:rPr>
          <w:rFonts w:ascii="Arial" w:hAnsi="Arial" w:cs="Arial"/>
        </w:rPr>
        <w:t>rebiopsy</w:t>
      </w:r>
      <w:proofErr w:type="spellEnd"/>
      <w:r>
        <w:rPr>
          <w:rFonts w:ascii="Arial" w:hAnsi="Arial" w:cs="Arial"/>
        </w:rPr>
        <w:t xml:space="preserve"> reported during clinical studies may be exacerbated by the need for large</w:t>
      </w:r>
      <w:r w:rsidR="00CA7FFA">
        <w:rPr>
          <w:rFonts w:ascii="Arial" w:hAnsi="Arial" w:cs="Arial"/>
        </w:rPr>
        <w:t>r</w:t>
      </w:r>
      <w:r>
        <w:rPr>
          <w:rFonts w:ascii="Arial" w:hAnsi="Arial" w:cs="Arial"/>
        </w:rPr>
        <w:t xml:space="preserve"> solid tissue samples to satisfy </w:t>
      </w:r>
      <w:r w:rsidR="00CA7FFA">
        <w:rPr>
          <w:rFonts w:ascii="Arial" w:hAnsi="Arial" w:cs="Arial"/>
        </w:rPr>
        <w:t>protocol inclusion requirements for slide numbers.</w:t>
      </w:r>
      <w:r w:rsidR="00C13F13">
        <w:rPr>
          <w:rFonts w:ascii="Arial" w:hAnsi="Arial" w:cs="Arial"/>
        </w:rPr>
        <w:t xml:space="preserve"> Further information on local clinical practice outside of clinical trials and potential additional costs incurred with </w:t>
      </w:r>
      <w:proofErr w:type="spellStart"/>
      <w:r w:rsidR="00C13F13">
        <w:rPr>
          <w:rFonts w:ascii="Arial" w:hAnsi="Arial" w:cs="Arial"/>
        </w:rPr>
        <w:t>rebiopsy</w:t>
      </w:r>
      <w:proofErr w:type="spellEnd"/>
      <w:r w:rsidR="00C13F13">
        <w:rPr>
          <w:rFonts w:ascii="Arial" w:hAnsi="Arial" w:cs="Arial"/>
        </w:rPr>
        <w:t xml:space="preserve"> in this population will be sought and included in the co-dependent submission.</w:t>
      </w:r>
    </w:p>
    <w:p w14:paraId="793137BE" w14:textId="77777777" w:rsidR="009C66EE" w:rsidRPr="00AA0C2E" w:rsidRDefault="009C66EE" w:rsidP="00925A5F">
      <w:pPr>
        <w:shd w:val="clear" w:color="auto" w:fill="FFFFFF"/>
        <w:spacing w:before="120" w:after="120" w:line="360" w:lineRule="auto"/>
        <w:jc w:val="both"/>
        <w:rPr>
          <w:rFonts w:ascii="Arial" w:hAnsi="Arial" w:cs="Arial"/>
          <w:u w:val="single"/>
        </w:rPr>
      </w:pPr>
      <w:r w:rsidRPr="00AA0C2E">
        <w:rPr>
          <w:rFonts w:ascii="Arial" w:hAnsi="Arial" w:cs="Arial"/>
          <w:u w:val="single"/>
        </w:rPr>
        <w:t>From EGFR mutation testing:</w:t>
      </w:r>
    </w:p>
    <w:p w14:paraId="7034699F" w14:textId="77777777" w:rsidR="009C66EE" w:rsidRPr="00AA0C2E" w:rsidRDefault="004D571E" w:rsidP="00925A5F">
      <w:pPr>
        <w:shd w:val="clear" w:color="auto" w:fill="FFFFFF"/>
        <w:spacing w:before="120" w:after="120" w:line="360" w:lineRule="auto"/>
        <w:jc w:val="both"/>
        <w:rPr>
          <w:rFonts w:ascii="Arial" w:hAnsi="Arial" w:cs="Arial"/>
        </w:rPr>
      </w:pPr>
      <w:r w:rsidRPr="00AA0C2E">
        <w:rPr>
          <w:rFonts w:ascii="Arial" w:hAnsi="Arial" w:cs="Arial"/>
        </w:rPr>
        <w:t>There is a potential r</w:t>
      </w:r>
      <w:r w:rsidR="009C66EE" w:rsidRPr="00AA0C2E">
        <w:rPr>
          <w:rFonts w:ascii="Arial" w:hAnsi="Arial" w:cs="Arial"/>
        </w:rPr>
        <w:t xml:space="preserve">isk of </w:t>
      </w:r>
      <w:r w:rsidRPr="00AA0C2E">
        <w:rPr>
          <w:rFonts w:ascii="Arial" w:hAnsi="Arial" w:cs="Arial"/>
        </w:rPr>
        <w:t xml:space="preserve">a </w:t>
      </w:r>
      <w:r w:rsidR="009C66EE" w:rsidRPr="00AA0C2E">
        <w:rPr>
          <w:rFonts w:ascii="Arial" w:hAnsi="Arial" w:cs="Arial"/>
        </w:rPr>
        <w:t xml:space="preserve">false positive </w:t>
      </w:r>
      <w:r w:rsidRPr="00AA0C2E">
        <w:rPr>
          <w:rFonts w:ascii="Arial" w:hAnsi="Arial" w:cs="Arial"/>
        </w:rPr>
        <w:t>or a</w:t>
      </w:r>
      <w:r w:rsidR="009C66EE" w:rsidRPr="00AA0C2E">
        <w:rPr>
          <w:rFonts w:ascii="Arial" w:hAnsi="Arial" w:cs="Arial"/>
        </w:rPr>
        <w:t xml:space="preserve"> false negative</w:t>
      </w:r>
      <w:r w:rsidRPr="00AA0C2E">
        <w:rPr>
          <w:rFonts w:ascii="Arial" w:hAnsi="Arial" w:cs="Arial"/>
        </w:rPr>
        <w:t xml:space="preserve"> result. This will be explored in the submission based on the </w:t>
      </w:r>
      <w:proofErr w:type="spellStart"/>
      <w:r w:rsidR="009C66EE" w:rsidRPr="00AA0C2E">
        <w:rPr>
          <w:rFonts w:ascii="Arial" w:hAnsi="Arial" w:cs="Arial"/>
        </w:rPr>
        <w:t>cobas</w:t>
      </w:r>
      <w:proofErr w:type="spellEnd"/>
      <w:r w:rsidR="009C66EE" w:rsidRPr="00AA0C2E">
        <w:rPr>
          <w:rFonts w:ascii="Arial" w:hAnsi="Arial" w:cs="Arial"/>
        </w:rPr>
        <w:t xml:space="preserve"> test</w:t>
      </w:r>
      <w:r w:rsidRPr="00AA0C2E">
        <w:rPr>
          <w:rFonts w:ascii="Arial" w:hAnsi="Arial" w:cs="Arial"/>
        </w:rPr>
        <w:t xml:space="preserve"> specifications as the evidentiary standard.</w:t>
      </w:r>
    </w:p>
    <w:p w14:paraId="25C4E915" w14:textId="77777777" w:rsidR="009C66EE" w:rsidRPr="00AA0C2E" w:rsidRDefault="009C66EE" w:rsidP="00925A5F">
      <w:pPr>
        <w:shd w:val="clear" w:color="auto" w:fill="FFFFFF"/>
        <w:spacing w:before="120" w:after="120" w:line="360" w:lineRule="auto"/>
        <w:jc w:val="both"/>
        <w:rPr>
          <w:rFonts w:ascii="Arial" w:hAnsi="Arial" w:cs="Arial"/>
        </w:rPr>
      </w:pPr>
    </w:p>
    <w:p w14:paraId="0E2E88E6" w14:textId="2E35301B" w:rsidR="000A589A" w:rsidRPr="00AA0C2E" w:rsidRDefault="000A589A" w:rsidP="004D70FE">
      <w:pPr>
        <w:shd w:val="clear" w:color="auto" w:fill="FFFFFF"/>
        <w:spacing w:before="120" w:after="120" w:line="360" w:lineRule="auto"/>
        <w:jc w:val="both"/>
        <w:rPr>
          <w:rFonts w:ascii="Arial" w:hAnsi="Arial" w:cs="Arial"/>
          <w:u w:val="single"/>
        </w:rPr>
      </w:pPr>
      <w:r w:rsidRPr="00AA0C2E">
        <w:rPr>
          <w:rFonts w:ascii="Arial" w:hAnsi="Arial" w:cs="Arial"/>
          <w:u w:val="single"/>
        </w:rPr>
        <w:t>From</w:t>
      </w:r>
      <w:r w:rsidR="00925A5F" w:rsidRPr="00AA0C2E">
        <w:rPr>
          <w:rFonts w:ascii="Arial" w:hAnsi="Arial" w:cs="Arial"/>
          <w:u w:val="single"/>
        </w:rPr>
        <w:t xml:space="preserve"> </w:t>
      </w:r>
      <w:r w:rsidR="00312075">
        <w:rPr>
          <w:rFonts w:ascii="Arial" w:hAnsi="Arial" w:cs="Arial"/>
          <w:u w:val="single"/>
        </w:rPr>
        <w:t>AZD9291</w:t>
      </w:r>
      <w:r w:rsidR="00925A5F" w:rsidRPr="00AA0C2E">
        <w:rPr>
          <w:rFonts w:ascii="Arial" w:hAnsi="Arial" w:cs="Arial"/>
          <w:u w:val="single"/>
        </w:rPr>
        <w:t xml:space="preserve"> treatment:</w:t>
      </w:r>
    </w:p>
    <w:p w14:paraId="2A4690DC" w14:textId="49835353" w:rsidR="000A589A" w:rsidRPr="00AA0C2E" w:rsidRDefault="008B021A" w:rsidP="004D70FE">
      <w:pPr>
        <w:shd w:val="clear" w:color="auto" w:fill="FFFFFF"/>
        <w:spacing w:before="120" w:after="120" w:line="360" w:lineRule="auto"/>
        <w:jc w:val="both"/>
        <w:rPr>
          <w:rFonts w:ascii="Arial" w:hAnsi="Arial" w:cs="Arial"/>
        </w:rPr>
      </w:pPr>
      <w:r w:rsidRPr="00AA0C2E">
        <w:rPr>
          <w:rFonts w:ascii="Arial" w:hAnsi="Arial" w:cs="Arial"/>
        </w:rPr>
        <w:t xml:space="preserve">Based upon 90 </w:t>
      </w:r>
      <w:r w:rsidR="001A0091" w:rsidRPr="00AA0C2E">
        <w:rPr>
          <w:rFonts w:ascii="Arial" w:hAnsi="Arial" w:cs="Arial"/>
        </w:rPr>
        <w:t xml:space="preserve">NSCLC </w:t>
      </w:r>
      <w:r w:rsidRPr="00AA0C2E">
        <w:rPr>
          <w:rFonts w:ascii="Arial" w:hAnsi="Arial" w:cs="Arial"/>
        </w:rPr>
        <w:t xml:space="preserve">patients receiving the recommended 80mg daily dose of </w:t>
      </w:r>
      <w:r w:rsidR="00312075">
        <w:rPr>
          <w:rFonts w:ascii="Arial" w:hAnsi="Arial" w:cs="Arial"/>
        </w:rPr>
        <w:t>AZD9291</w:t>
      </w:r>
      <w:r w:rsidR="00956AF0" w:rsidRPr="00AA0C2E">
        <w:rPr>
          <w:rFonts w:ascii="Arial" w:hAnsi="Arial" w:cs="Arial"/>
        </w:rPr>
        <w:t xml:space="preserve"> in </w:t>
      </w:r>
      <w:r w:rsidR="00343609" w:rsidRPr="00AA0C2E">
        <w:rPr>
          <w:rFonts w:ascii="Arial" w:hAnsi="Arial" w:cs="Arial"/>
        </w:rPr>
        <w:t>a</w:t>
      </w:r>
      <w:r w:rsidR="00956AF0" w:rsidRPr="00AA0C2E">
        <w:rPr>
          <w:rFonts w:ascii="Arial" w:hAnsi="Arial" w:cs="Arial"/>
        </w:rPr>
        <w:t xml:space="preserve"> Phase I study</w:t>
      </w:r>
      <w:r w:rsidR="00925A5F" w:rsidRPr="00AA0C2E">
        <w:rPr>
          <w:rFonts w:ascii="Arial" w:hAnsi="Arial" w:cs="Arial"/>
        </w:rPr>
        <w:t xml:space="preserve"> </w:t>
      </w:r>
      <w:r w:rsidR="00925A5F" w:rsidRPr="00AA0C2E">
        <w:rPr>
          <w:rFonts w:ascii="Arial" w:hAnsi="Arial" w:cs="Arial"/>
        </w:rPr>
        <w:fldChar w:fldCharType="begin"/>
      </w:r>
      <w:r w:rsidR="009B3639">
        <w:rPr>
          <w:rFonts w:ascii="Arial" w:hAnsi="Arial" w:cs="Arial"/>
        </w:rPr>
        <w:instrText xml:space="preserve"> ADDIN EN.CITE &lt;EndNote&gt;&lt;Cite&gt;&lt;Author&gt;Janne&lt;/Author&gt;&lt;Year&gt;2015&lt;/Year&gt;&lt;RecNum&gt;100&lt;/RecNum&gt;&lt;DisplayText&gt;[23]&lt;/DisplayText&gt;&lt;record&gt;&lt;rec-number&gt;100&lt;/rec-number&gt;&lt;foreign-keys&gt;&lt;key app="EN" db-id="rprtzr95srz0woefsws5fs50rfwvtsf5aw2f"&gt;100&lt;/key&gt;&lt;/foreign-keys&gt;&lt;ref-type name="Journal Article"&gt;17&lt;/ref-type&gt;&lt;contributors&gt;&lt;authors&gt;&lt;author&gt;Janne, PA&lt;/author&gt;&lt;author&gt;Yang, C-H&lt;/author&gt;&lt;author&gt;Kim, D-W&lt;/author&gt;&lt;author&gt;Planchard, D&lt;/author&gt;&lt;author&gt;et al&lt;/author&gt;&lt;/authors&gt;&lt;/contributors&gt;&lt;titles&gt;&lt;title&gt;ADZ9291 in EGFR Inhibitor-Resistant Non-Small-Cell Lung Cancer&lt;/title&gt;&lt;secondary-title&gt;The New England Journal of Medicine&lt;/secondary-title&gt;&lt;/titles&gt;&lt;periodical&gt;&lt;full-title&gt;The New England Journal of Medicine&lt;/full-title&gt;&lt;/periodical&gt;&lt;pages&gt;1689-99&lt;/pages&gt;&lt;volume&gt;372&lt;/volume&gt;&lt;number&gt;18&lt;/number&gt;&lt;dates&gt;&lt;year&gt;2015&lt;/year&gt;&lt;/dates&gt;&lt;urls&gt;&lt;/urls&gt;&lt;/record&gt;&lt;/Cite&gt;&lt;/EndNote&gt;</w:instrText>
      </w:r>
      <w:r w:rsidR="00925A5F" w:rsidRPr="00AA0C2E">
        <w:rPr>
          <w:rFonts w:ascii="Arial" w:hAnsi="Arial" w:cs="Arial"/>
        </w:rPr>
        <w:fldChar w:fldCharType="separate"/>
      </w:r>
      <w:r w:rsidR="00B16A45" w:rsidRPr="00AA0C2E">
        <w:rPr>
          <w:rFonts w:ascii="Arial" w:hAnsi="Arial" w:cs="Arial"/>
          <w:noProof/>
        </w:rPr>
        <w:t>[</w:t>
      </w:r>
      <w:hyperlink w:anchor="_ENREF_23" w:tooltip="Janne, 2015 #100" w:history="1">
        <w:r w:rsidR="00F65C59" w:rsidRPr="00AA0C2E">
          <w:rPr>
            <w:rFonts w:ascii="Arial" w:hAnsi="Arial" w:cs="Arial"/>
            <w:noProof/>
          </w:rPr>
          <w:t>23</w:t>
        </w:r>
      </w:hyperlink>
      <w:r w:rsidR="00B16A45" w:rsidRPr="00AA0C2E">
        <w:rPr>
          <w:rFonts w:ascii="Arial" w:hAnsi="Arial" w:cs="Arial"/>
          <w:noProof/>
        </w:rPr>
        <w:t>]</w:t>
      </w:r>
      <w:r w:rsidR="00925A5F" w:rsidRPr="00AA0C2E">
        <w:rPr>
          <w:rFonts w:ascii="Arial" w:hAnsi="Arial" w:cs="Arial"/>
        </w:rPr>
        <w:fldChar w:fldCharType="end"/>
      </w:r>
      <w:r w:rsidR="00956AF0" w:rsidRPr="00AA0C2E">
        <w:rPr>
          <w:rFonts w:ascii="Arial" w:hAnsi="Arial" w:cs="Arial"/>
        </w:rPr>
        <w:t>, the most commonly reporte</w:t>
      </w:r>
      <w:r w:rsidR="001A0091" w:rsidRPr="00AA0C2E">
        <w:rPr>
          <w:rFonts w:ascii="Arial" w:hAnsi="Arial" w:cs="Arial"/>
        </w:rPr>
        <w:t>d adverse events were diarrhoea</w:t>
      </w:r>
      <w:r w:rsidR="00956AF0" w:rsidRPr="00AA0C2E">
        <w:rPr>
          <w:rFonts w:ascii="Arial" w:hAnsi="Arial" w:cs="Arial"/>
        </w:rPr>
        <w:t>; rashes and acne</w:t>
      </w:r>
      <w:r w:rsidR="001A0091" w:rsidRPr="00AA0C2E">
        <w:rPr>
          <w:rFonts w:ascii="Arial" w:hAnsi="Arial" w:cs="Arial"/>
        </w:rPr>
        <w:t>;</w:t>
      </w:r>
      <w:r w:rsidR="00956AF0" w:rsidRPr="00AA0C2E">
        <w:rPr>
          <w:rFonts w:ascii="Arial" w:hAnsi="Arial" w:cs="Arial"/>
        </w:rPr>
        <w:t xml:space="preserve"> </w:t>
      </w:r>
      <w:r w:rsidR="00063AA0" w:rsidRPr="00AA0C2E">
        <w:rPr>
          <w:rFonts w:ascii="Arial" w:hAnsi="Arial" w:cs="Arial"/>
        </w:rPr>
        <w:t xml:space="preserve">nausea; </w:t>
      </w:r>
      <w:r w:rsidR="00925A5F" w:rsidRPr="00AA0C2E">
        <w:rPr>
          <w:rFonts w:ascii="Arial" w:hAnsi="Arial" w:cs="Arial"/>
        </w:rPr>
        <w:t>d</w:t>
      </w:r>
      <w:r w:rsidR="00063AA0" w:rsidRPr="00AA0C2E">
        <w:rPr>
          <w:rFonts w:ascii="Arial" w:hAnsi="Arial" w:cs="Arial"/>
        </w:rPr>
        <w:t>ec</w:t>
      </w:r>
      <w:r w:rsidR="00925A5F" w:rsidRPr="00AA0C2E">
        <w:rPr>
          <w:rFonts w:ascii="Arial" w:hAnsi="Arial" w:cs="Arial"/>
        </w:rPr>
        <w:t>r</w:t>
      </w:r>
      <w:r w:rsidR="00063AA0" w:rsidRPr="00AA0C2E">
        <w:rPr>
          <w:rFonts w:ascii="Arial" w:hAnsi="Arial" w:cs="Arial"/>
        </w:rPr>
        <w:t>eased appetite</w:t>
      </w:r>
      <w:r w:rsidR="001A0091" w:rsidRPr="00AA0C2E">
        <w:rPr>
          <w:rFonts w:ascii="Arial" w:hAnsi="Arial" w:cs="Arial"/>
        </w:rPr>
        <w:t>;</w:t>
      </w:r>
      <w:r w:rsidR="00063AA0" w:rsidRPr="00AA0C2E">
        <w:rPr>
          <w:rFonts w:ascii="Arial" w:hAnsi="Arial" w:cs="Arial"/>
        </w:rPr>
        <w:t xml:space="preserve"> </w:t>
      </w:r>
      <w:r w:rsidR="00925A5F" w:rsidRPr="00AA0C2E">
        <w:rPr>
          <w:rFonts w:ascii="Arial" w:hAnsi="Arial" w:cs="Arial"/>
        </w:rPr>
        <w:t>c</w:t>
      </w:r>
      <w:r w:rsidR="001A0091" w:rsidRPr="00AA0C2E">
        <w:rPr>
          <w:rFonts w:ascii="Arial" w:hAnsi="Arial" w:cs="Arial"/>
        </w:rPr>
        <w:t>onstipation</w:t>
      </w:r>
      <w:r w:rsidR="00063AA0" w:rsidRPr="00AA0C2E">
        <w:rPr>
          <w:rFonts w:ascii="Arial" w:hAnsi="Arial" w:cs="Arial"/>
        </w:rPr>
        <w:t xml:space="preserve">; </w:t>
      </w:r>
      <w:r w:rsidR="00925A5F" w:rsidRPr="00AA0C2E">
        <w:rPr>
          <w:rFonts w:ascii="Arial" w:hAnsi="Arial" w:cs="Arial"/>
        </w:rPr>
        <w:t>p</w:t>
      </w:r>
      <w:r w:rsidR="00063AA0" w:rsidRPr="00AA0C2E">
        <w:rPr>
          <w:rFonts w:ascii="Arial" w:hAnsi="Arial" w:cs="Arial"/>
        </w:rPr>
        <w:t>ruritus</w:t>
      </w:r>
      <w:r w:rsidR="001A0091" w:rsidRPr="00AA0C2E">
        <w:rPr>
          <w:rFonts w:ascii="Arial" w:hAnsi="Arial" w:cs="Arial"/>
        </w:rPr>
        <w:t>.</w:t>
      </w:r>
    </w:p>
    <w:p w14:paraId="70300F53" w14:textId="77777777" w:rsidR="001E1392" w:rsidRDefault="001E1392">
      <w:pPr>
        <w:rPr>
          <w:rFonts w:ascii="Arial" w:hAnsi="Arial" w:cs="Arial"/>
          <w:u w:val="single"/>
        </w:rPr>
      </w:pPr>
      <w:r>
        <w:rPr>
          <w:rFonts w:ascii="Arial" w:hAnsi="Arial" w:cs="Arial"/>
          <w:u w:val="single"/>
        </w:rPr>
        <w:br w:type="page"/>
      </w:r>
    </w:p>
    <w:p w14:paraId="7EC8E753" w14:textId="77777777" w:rsidR="000C4286" w:rsidRPr="00AA0C2E" w:rsidRDefault="000C4286" w:rsidP="00470DE4">
      <w:pPr>
        <w:spacing w:before="120" w:after="120"/>
        <w:rPr>
          <w:rFonts w:ascii="Arial" w:hAnsi="Arial" w:cs="Arial"/>
          <w:u w:val="single"/>
        </w:rPr>
      </w:pPr>
      <w:r w:rsidRPr="00AA0C2E">
        <w:rPr>
          <w:rFonts w:ascii="Arial" w:hAnsi="Arial" w:cs="Arial"/>
          <w:u w:val="single"/>
        </w:rPr>
        <w:lastRenderedPageBreak/>
        <w:t>Specify the type of economic evaluation.</w:t>
      </w:r>
    </w:p>
    <w:p w14:paraId="7C5F44DF" w14:textId="4E2076FC" w:rsidR="00E21D12" w:rsidRDefault="00041FE7" w:rsidP="004D70FE">
      <w:pPr>
        <w:spacing w:before="120" w:after="120" w:line="360" w:lineRule="auto"/>
        <w:rPr>
          <w:rFonts w:ascii="Arial" w:hAnsi="Arial" w:cs="Arial"/>
        </w:rPr>
      </w:pPr>
      <w:r w:rsidRPr="00AA0C2E">
        <w:rPr>
          <w:rFonts w:ascii="Arial" w:hAnsi="Arial" w:cs="Arial"/>
        </w:rPr>
        <w:t>A c</w:t>
      </w:r>
      <w:r w:rsidR="001D3B81" w:rsidRPr="00AA0C2E">
        <w:rPr>
          <w:rFonts w:ascii="Arial" w:hAnsi="Arial" w:cs="Arial"/>
        </w:rPr>
        <w:t>ost-utility analysis</w:t>
      </w:r>
      <w:r w:rsidRPr="00AA0C2E">
        <w:rPr>
          <w:rFonts w:ascii="Arial" w:hAnsi="Arial" w:cs="Arial"/>
        </w:rPr>
        <w:t xml:space="preserve"> is proposed to be </w:t>
      </w:r>
      <w:r w:rsidR="001D3B81" w:rsidRPr="00AA0C2E">
        <w:rPr>
          <w:rFonts w:ascii="Arial" w:hAnsi="Arial" w:cs="Arial"/>
        </w:rPr>
        <w:t xml:space="preserve">based on </w:t>
      </w:r>
      <w:r w:rsidRPr="00AA0C2E">
        <w:rPr>
          <w:rFonts w:ascii="Arial" w:hAnsi="Arial" w:cs="Arial"/>
        </w:rPr>
        <w:t xml:space="preserve">the </w:t>
      </w:r>
      <w:r w:rsidR="001D3B81" w:rsidRPr="00AA0C2E">
        <w:rPr>
          <w:rFonts w:ascii="Arial" w:hAnsi="Arial" w:cs="Arial"/>
        </w:rPr>
        <w:t>superior efficacy, safety and quality of life</w:t>
      </w:r>
      <w:r w:rsidRPr="00AA0C2E">
        <w:rPr>
          <w:rFonts w:ascii="Arial" w:hAnsi="Arial" w:cs="Arial"/>
        </w:rPr>
        <w:t xml:space="preserve"> of </w:t>
      </w:r>
      <w:r w:rsidR="00312075">
        <w:rPr>
          <w:rFonts w:ascii="Arial" w:hAnsi="Arial" w:cs="Arial"/>
        </w:rPr>
        <w:t>AZD9291</w:t>
      </w:r>
      <w:r w:rsidRPr="00AA0C2E">
        <w:rPr>
          <w:rFonts w:ascii="Arial" w:hAnsi="Arial" w:cs="Arial"/>
        </w:rPr>
        <w:t xml:space="preserve"> versus platinum-based doublet chemotherapy</w:t>
      </w:r>
      <w:r w:rsidR="00613497" w:rsidRPr="00AA0C2E">
        <w:rPr>
          <w:rFonts w:ascii="Arial" w:hAnsi="Arial" w:cs="Arial"/>
        </w:rPr>
        <w:t xml:space="preserve"> or monotherapy</w:t>
      </w:r>
      <w:r w:rsidRPr="00AA0C2E">
        <w:rPr>
          <w:rFonts w:ascii="Arial" w:hAnsi="Arial" w:cs="Arial"/>
        </w:rPr>
        <w:t xml:space="preserve"> in </w:t>
      </w:r>
      <w:r w:rsidR="005D01F3" w:rsidRPr="00AA0C2E">
        <w:rPr>
          <w:rFonts w:ascii="Arial" w:hAnsi="Arial" w:cs="Arial"/>
        </w:rPr>
        <w:t xml:space="preserve">locally advanced </w:t>
      </w:r>
      <w:r w:rsidR="00613497" w:rsidRPr="00AA0C2E">
        <w:rPr>
          <w:rFonts w:ascii="Arial" w:hAnsi="Arial" w:cs="Arial"/>
        </w:rPr>
        <w:t xml:space="preserve">(Stage </w:t>
      </w:r>
      <w:proofErr w:type="spellStart"/>
      <w:r w:rsidR="00613497" w:rsidRPr="00AA0C2E">
        <w:rPr>
          <w:rFonts w:ascii="Arial" w:hAnsi="Arial" w:cs="Arial"/>
        </w:rPr>
        <w:t>IIIb</w:t>
      </w:r>
      <w:proofErr w:type="spellEnd"/>
      <w:r w:rsidR="00613497" w:rsidRPr="00AA0C2E">
        <w:rPr>
          <w:rFonts w:ascii="Arial" w:hAnsi="Arial" w:cs="Arial"/>
        </w:rPr>
        <w:t xml:space="preserve">) </w:t>
      </w:r>
      <w:r w:rsidR="005D01F3" w:rsidRPr="00AA0C2E">
        <w:rPr>
          <w:rFonts w:ascii="Arial" w:hAnsi="Arial" w:cs="Arial"/>
        </w:rPr>
        <w:t>or metastatic</w:t>
      </w:r>
      <w:r w:rsidR="00613497" w:rsidRPr="00AA0C2E">
        <w:rPr>
          <w:rFonts w:ascii="Arial" w:hAnsi="Arial" w:cs="Arial"/>
        </w:rPr>
        <w:t xml:space="preserve"> (Stage IV)</w:t>
      </w:r>
      <w:r w:rsidR="005D01F3" w:rsidRPr="00AA0C2E">
        <w:rPr>
          <w:rFonts w:ascii="Arial" w:hAnsi="Arial" w:cs="Arial"/>
        </w:rPr>
        <w:t xml:space="preserve"> </w:t>
      </w:r>
      <w:proofErr w:type="spellStart"/>
      <w:r w:rsidR="005D01F3" w:rsidRPr="00AA0C2E">
        <w:rPr>
          <w:rFonts w:ascii="Arial" w:hAnsi="Arial" w:cs="Arial"/>
        </w:rPr>
        <w:t>EGFRm</w:t>
      </w:r>
      <w:proofErr w:type="spellEnd"/>
      <w:r w:rsidR="005D01F3" w:rsidRPr="00AA0C2E">
        <w:rPr>
          <w:rFonts w:ascii="Arial" w:hAnsi="Arial" w:cs="Arial"/>
        </w:rPr>
        <w:t xml:space="preserve"> and T790M mutation positive NSCLC patients. </w:t>
      </w:r>
    </w:p>
    <w:p w14:paraId="18893F13" w14:textId="77777777" w:rsidR="000C4286" w:rsidRPr="00E85EA0" w:rsidRDefault="000C4286" w:rsidP="009C49F2">
      <w:pPr>
        <w:pStyle w:val="Heading2"/>
      </w:pPr>
      <w:r>
        <w:t>Fee for the proposed medical service</w:t>
      </w:r>
    </w:p>
    <w:p w14:paraId="64456962" w14:textId="77777777" w:rsidR="00CB06BF" w:rsidRDefault="00002F21" w:rsidP="00DC5151">
      <w:pPr>
        <w:spacing w:before="120" w:after="120" w:line="360" w:lineRule="auto"/>
        <w:rPr>
          <w:rFonts w:ascii="Arial" w:hAnsi="Arial" w:cs="Arial"/>
        </w:rPr>
      </w:pPr>
      <w:r w:rsidRPr="00AA0C2E">
        <w:rPr>
          <w:rFonts w:ascii="Arial" w:hAnsi="Arial"/>
        </w:rPr>
        <w:t>The current fee for MBS item 73337 (EGFR mutation test) is $397.35 per service</w:t>
      </w:r>
      <w:r w:rsidR="00AB760A" w:rsidRPr="00AA0C2E">
        <w:rPr>
          <w:rFonts w:ascii="Arial" w:hAnsi="Arial"/>
        </w:rPr>
        <w:t>. As the requested MBS item will be for the same service (EGFR mutation test) the fee is proposed to remain at $397.35 per service.</w:t>
      </w:r>
      <w:r w:rsidR="00AB760A" w:rsidRPr="00AA0C2E">
        <w:rPr>
          <w:rFonts w:ascii="Arial" w:hAnsi="Arial" w:cs="Arial"/>
        </w:rPr>
        <w:t xml:space="preserve"> The cost of a biopsy to obtain a tumour tissue sample will be as per the relevant MBS item code fees (e.g. 41892 Bronchoscopy, $235.05; 30710 EBUS procedure, $536.30).</w:t>
      </w:r>
      <w:r w:rsidRPr="00AA0C2E">
        <w:rPr>
          <w:rFonts w:ascii="Arial" w:hAnsi="Arial"/>
        </w:rPr>
        <w:t xml:space="preserve"> </w:t>
      </w:r>
      <w:r w:rsidRPr="00AA0C2E">
        <w:rPr>
          <w:rFonts w:ascii="Arial" w:hAnsi="Arial"/>
        </w:rPr>
        <w:fldChar w:fldCharType="begin"/>
      </w:r>
      <w:r w:rsidR="00F65C59">
        <w:rPr>
          <w:rFonts w:ascii="Arial" w:hAnsi="Arial"/>
        </w:rPr>
        <w:instrText xml:space="preserve"> ADDIN EN.CITE &lt;EndNote&gt;&lt;Cite&gt;&lt;Author&gt;Medical Benefits Scheme&lt;/Author&gt;&lt;RecNum&gt;9&lt;/RecNum&gt;&lt;DisplayText&gt;[46]&lt;/DisplayText&gt;&lt;record&gt;&lt;rec-number&gt;9&lt;/rec-number&gt;&lt;foreign-keys&gt;&lt;key app="EN" db-id="rprtzr95srz0woefsws5fs50rfwvtsf5aw2f"&gt;9&lt;/key&gt;&lt;/foreign-keys&gt;&lt;ref-type name="Web Page"&gt;12&lt;/ref-type&gt;&lt;contributors&gt;&lt;authors&gt;&lt;author&gt;Medical Benefits Scheme,&lt;/author&gt;&lt;/authors&gt;&lt;/contributors&gt;&lt;titles&gt;&lt;title&gt;MBS On-line&lt;/title&gt;&lt;/titles&gt;&lt;number&gt;08-06-2015&lt;/number&gt;&lt;dates&gt;&lt;/dates&gt;&lt;urls&gt;&lt;related-urls&gt;&lt;url&gt;http://www.mbsonline.gov.au/internet/mbsonline/publishing.nsf/Content/Home &lt;/url&gt;&lt;/related-urls&gt;&lt;/urls&gt;&lt;/record&gt;&lt;/Cite&gt;&lt;/EndNote&gt;</w:instrText>
      </w:r>
      <w:r w:rsidRPr="00AA0C2E">
        <w:rPr>
          <w:rFonts w:ascii="Arial" w:hAnsi="Arial"/>
        </w:rPr>
        <w:fldChar w:fldCharType="separate"/>
      </w:r>
      <w:r w:rsidR="00F65C59">
        <w:rPr>
          <w:rFonts w:ascii="Arial" w:hAnsi="Arial"/>
          <w:noProof/>
        </w:rPr>
        <w:t>[</w:t>
      </w:r>
      <w:hyperlink w:anchor="_ENREF_46" w:tooltip="Medical Benefits Scheme,  #9" w:history="1">
        <w:r w:rsidR="00F65C59">
          <w:rPr>
            <w:rFonts w:ascii="Arial" w:hAnsi="Arial"/>
            <w:noProof/>
          </w:rPr>
          <w:t>46</w:t>
        </w:r>
      </w:hyperlink>
      <w:r w:rsidR="00F65C59">
        <w:rPr>
          <w:rFonts w:ascii="Arial" w:hAnsi="Arial"/>
          <w:noProof/>
        </w:rPr>
        <w:t>]</w:t>
      </w:r>
      <w:r w:rsidRPr="00AA0C2E">
        <w:rPr>
          <w:rFonts w:ascii="Arial" w:hAnsi="Arial"/>
        </w:rPr>
        <w:fldChar w:fldCharType="end"/>
      </w:r>
      <w:r w:rsidRPr="00AA0C2E">
        <w:rPr>
          <w:rFonts w:ascii="Arial" w:hAnsi="Arial"/>
        </w:rPr>
        <w:t>.</w:t>
      </w:r>
      <w:r w:rsidR="009C66EE" w:rsidRPr="00AA0C2E">
        <w:rPr>
          <w:rFonts w:ascii="Arial" w:hAnsi="Arial"/>
        </w:rPr>
        <w:t xml:space="preserve"> </w:t>
      </w:r>
      <w:r w:rsidR="00CB06BF">
        <w:rPr>
          <w:rFonts w:ascii="Arial" w:hAnsi="Arial" w:cs="Arial"/>
        </w:rPr>
        <w:br w:type="page"/>
      </w:r>
    </w:p>
    <w:p w14:paraId="55E8B841" w14:textId="77777777" w:rsidR="00E64C47" w:rsidRPr="00A90026" w:rsidRDefault="000C4286" w:rsidP="00A90026">
      <w:pPr>
        <w:pStyle w:val="Heading2"/>
      </w:pPr>
      <w:r w:rsidRPr="00424D97">
        <w:lastRenderedPageBreak/>
        <w:t xml:space="preserve">Clinical </w:t>
      </w:r>
      <w:r>
        <w:t>M</w:t>
      </w:r>
      <w:r w:rsidRPr="00424D97">
        <w:t>anagement Algorithm</w:t>
      </w:r>
      <w:r>
        <w:t xml:space="preserve"> - c</w:t>
      </w:r>
      <w:r w:rsidRPr="00D37964">
        <w:t xml:space="preserve">linical </w:t>
      </w:r>
      <w:r>
        <w:t xml:space="preserve">place for the proposed intervention </w:t>
      </w:r>
    </w:p>
    <w:p w14:paraId="33266C90" w14:textId="2E570BE0" w:rsidR="00463EBB" w:rsidRDefault="00F71D30" w:rsidP="00710C32">
      <w:pPr>
        <w:spacing w:before="120" w:after="120" w:line="360" w:lineRule="auto"/>
        <w:rPr>
          <w:rFonts w:ascii="Arial" w:hAnsi="Arial" w:cs="Arial"/>
        </w:rPr>
      </w:pPr>
      <w:r w:rsidRPr="00AA0C2E">
        <w:rPr>
          <w:rFonts w:ascii="Arial" w:hAnsi="Arial" w:cs="Arial"/>
          <w:u w:val="single"/>
        </w:rPr>
        <w:t xml:space="preserve">Current </w:t>
      </w:r>
      <w:r w:rsidR="00853BF3" w:rsidRPr="00AA0C2E">
        <w:rPr>
          <w:rFonts w:ascii="Arial" w:hAnsi="Arial" w:cs="Arial"/>
          <w:u w:val="single"/>
        </w:rPr>
        <w:t>Treatment</w:t>
      </w:r>
      <w:r w:rsidRPr="00AA0C2E">
        <w:rPr>
          <w:rFonts w:ascii="Arial" w:hAnsi="Arial" w:cs="Arial"/>
          <w:u w:val="single"/>
        </w:rPr>
        <w:t xml:space="preserve"> Algorithm</w:t>
      </w:r>
      <w:r w:rsidR="002F50F4">
        <w:rPr>
          <w:rFonts w:ascii="Arial" w:hAnsi="Arial" w:cs="Arial"/>
        </w:rPr>
        <w:t xml:space="preserve"> </w:t>
      </w:r>
    </w:p>
    <w:p w14:paraId="03E115CD" w14:textId="77777777" w:rsidR="00463EBB" w:rsidRDefault="00463EBB" w:rsidP="00710C32">
      <w:pPr>
        <w:spacing w:before="120" w:after="120" w:line="360" w:lineRule="auto"/>
        <w:rPr>
          <w:rFonts w:ascii="Arial" w:hAnsi="Arial" w:cs="Arial"/>
        </w:rPr>
      </w:pPr>
    </w:p>
    <w:p w14:paraId="4B7563FD" w14:textId="1E182DF5" w:rsidR="00463EBB" w:rsidRDefault="00463EBB" w:rsidP="00463EBB">
      <w:pPr>
        <w:pStyle w:val="Caption"/>
      </w:pPr>
      <w:r>
        <w:t xml:space="preserve">Figure </w:t>
      </w:r>
      <w:r>
        <w:fldChar w:fldCharType="begin"/>
      </w:r>
      <w:r>
        <w:instrText xml:space="preserve"> SEQ Figure \* ARABIC </w:instrText>
      </w:r>
      <w:r>
        <w:fldChar w:fldCharType="separate"/>
      </w:r>
      <w:r w:rsidR="002F50F4">
        <w:rPr>
          <w:noProof/>
        </w:rPr>
        <w:t>2</w:t>
      </w:r>
      <w:r>
        <w:fldChar w:fldCharType="end"/>
      </w:r>
      <w:r>
        <w:t xml:space="preserve"> - Flowchart of current </w:t>
      </w:r>
      <w:r w:rsidR="002F50F4">
        <w:t xml:space="preserve">clinical </w:t>
      </w:r>
      <w:r>
        <w:t>algorithm</w:t>
      </w:r>
    </w:p>
    <w:p w14:paraId="38AF1BB9" w14:textId="77777777" w:rsidR="00463EBB" w:rsidRDefault="00463EBB" w:rsidP="00463EBB">
      <w:pPr>
        <w:keepNext/>
        <w:spacing w:before="120" w:after="120" w:line="360" w:lineRule="auto"/>
      </w:pPr>
      <w:r>
        <w:rPr>
          <w:noProof/>
          <w:lang w:eastAsia="en-AU"/>
        </w:rPr>
        <w:drawing>
          <wp:inline distT="0" distB="0" distL="0" distR="0" wp14:anchorId="6E81CCD9" wp14:editId="049C8684">
            <wp:extent cx="4004310" cy="3500272"/>
            <wp:effectExtent l="0" t="0" r="0" b="5080"/>
            <wp:docPr id="7" name="Picture 7" title="Figure 2:  Flowchart of Current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7546" t="23474" r="63589" b="17840"/>
                    <a:stretch/>
                  </pic:blipFill>
                  <pic:spPr bwMode="auto">
                    <a:xfrm>
                      <a:off x="0" y="0"/>
                      <a:ext cx="4021870" cy="3515622"/>
                    </a:xfrm>
                    <a:prstGeom prst="rect">
                      <a:avLst/>
                    </a:prstGeom>
                    <a:ln>
                      <a:noFill/>
                    </a:ln>
                    <a:extLst>
                      <a:ext uri="{53640926-AAD7-44D8-BBD7-CCE9431645EC}">
                        <a14:shadowObscured xmlns:a14="http://schemas.microsoft.com/office/drawing/2010/main"/>
                      </a:ext>
                    </a:extLst>
                  </pic:spPr>
                </pic:pic>
              </a:graphicData>
            </a:graphic>
          </wp:inline>
        </w:drawing>
      </w:r>
    </w:p>
    <w:p w14:paraId="5BF185C8" w14:textId="0B9BC517" w:rsidR="00E64C47" w:rsidRPr="00AA0C2E" w:rsidRDefault="00E64C47" w:rsidP="004D70FE">
      <w:pPr>
        <w:spacing w:before="120" w:after="120" w:line="360" w:lineRule="auto"/>
        <w:rPr>
          <w:rFonts w:ascii="Arial" w:hAnsi="Arial" w:cs="Arial"/>
        </w:rPr>
      </w:pPr>
    </w:p>
    <w:p w14:paraId="5BA62046" w14:textId="77777777" w:rsidR="00A01367" w:rsidRPr="00AA0C2E" w:rsidRDefault="00A01367" w:rsidP="001B37D3">
      <w:pPr>
        <w:spacing w:before="120" w:after="120" w:line="360" w:lineRule="auto"/>
        <w:jc w:val="both"/>
        <w:rPr>
          <w:rFonts w:ascii="Arial" w:hAnsi="Arial" w:cs="Arial"/>
        </w:rPr>
      </w:pPr>
      <w:r w:rsidRPr="00AA0C2E">
        <w:rPr>
          <w:rFonts w:ascii="Arial" w:hAnsi="Arial" w:cs="Arial"/>
        </w:rPr>
        <w:t xml:space="preserve">The current approach to management in Australian clinical practice of locally advanced or metastatic NSCLC of non-squamous or not otherwise specified histology and known EGFR mutation positive </w:t>
      </w:r>
      <w:proofErr w:type="gramStart"/>
      <w:r w:rsidRPr="00AA0C2E">
        <w:rPr>
          <w:rFonts w:ascii="Arial" w:hAnsi="Arial" w:cs="Arial"/>
        </w:rPr>
        <w:t>status,</w:t>
      </w:r>
      <w:proofErr w:type="gramEnd"/>
      <w:r w:rsidRPr="00AA0C2E">
        <w:rPr>
          <w:rFonts w:ascii="Arial" w:hAnsi="Arial" w:cs="Arial"/>
        </w:rPr>
        <w:t xml:space="preserve"> is to treat with one of the available and indicated EGFR TKIs (</w:t>
      </w:r>
      <w:proofErr w:type="spellStart"/>
      <w:r w:rsidRPr="00AA0C2E">
        <w:rPr>
          <w:rFonts w:ascii="Arial" w:hAnsi="Arial" w:cs="Arial"/>
        </w:rPr>
        <w:t>gefitinib</w:t>
      </w:r>
      <w:proofErr w:type="spellEnd"/>
      <w:r w:rsidRPr="00AA0C2E">
        <w:rPr>
          <w:rFonts w:ascii="Arial" w:hAnsi="Arial" w:cs="Arial"/>
        </w:rPr>
        <w:t xml:space="preserve">, </w:t>
      </w:r>
      <w:proofErr w:type="spellStart"/>
      <w:r w:rsidRPr="00AA0C2E">
        <w:rPr>
          <w:rFonts w:ascii="Arial" w:hAnsi="Arial" w:cs="Arial"/>
        </w:rPr>
        <w:t>erlotinib</w:t>
      </w:r>
      <w:proofErr w:type="spellEnd"/>
      <w:r w:rsidRPr="00AA0C2E">
        <w:rPr>
          <w:rFonts w:ascii="Arial" w:hAnsi="Arial" w:cs="Arial"/>
        </w:rPr>
        <w:t xml:space="preserve">, </w:t>
      </w:r>
      <w:proofErr w:type="spellStart"/>
      <w:r w:rsidRPr="00AA0C2E">
        <w:rPr>
          <w:rFonts w:ascii="Arial" w:hAnsi="Arial" w:cs="Arial"/>
        </w:rPr>
        <w:t>afatinib</w:t>
      </w:r>
      <w:proofErr w:type="spellEnd"/>
      <w:r w:rsidRPr="00AA0C2E">
        <w:rPr>
          <w:rFonts w:ascii="Arial" w:hAnsi="Arial" w:cs="Arial"/>
        </w:rPr>
        <w:t>)</w:t>
      </w:r>
      <w:r w:rsidR="00EF442F" w:rsidRPr="00AA0C2E">
        <w:rPr>
          <w:rFonts w:ascii="Arial" w:hAnsi="Arial" w:cs="Arial"/>
        </w:rPr>
        <w:t xml:space="preserve">. </w:t>
      </w:r>
      <w:proofErr w:type="spellStart"/>
      <w:r w:rsidR="00EF442F" w:rsidRPr="00AA0C2E">
        <w:rPr>
          <w:rFonts w:ascii="Arial" w:hAnsi="Arial" w:cs="Arial"/>
        </w:rPr>
        <w:t>Gefitinib</w:t>
      </w:r>
      <w:proofErr w:type="spellEnd"/>
      <w:r w:rsidR="00EF442F" w:rsidRPr="00AA0C2E">
        <w:rPr>
          <w:rFonts w:ascii="Arial" w:hAnsi="Arial" w:cs="Arial"/>
        </w:rPr>
        <w:t xml:space="preserve"> and </w:t>
      </w:r>
      <w:proofErr w:type="spellStart"/>
      <w:r w:rsidR="00EF442F" w:rsidRPr="00AA0C2E">
        <w:rPr>
          <w:rFonts w:ascii="Arial" w:hAnsi="Arial" w:cs="Arial"/>
        </w:rPr>
        <w:t>erlotinib</w:t>
      </w:r>
      <w:proofErr w:type="spellEnd"/>
      <w:r w:rsidR="00EF442F" w:rsidRPr="00AA0C2E">
        <w:rPr>
          <w:rFonts w:ascii="Arial" w:hAnsi="Arial" w:cs="Arial"/>
        </w:rPr>
        <w:t xml:space="preserve"> are PBS reimbursed for one line of therapy. Hence</w:t>
      </w:r>
      <w:r w:rsidR="00B2689C" w:rsidRPr="00AA0C2E">
        <w:rPr>
          <w:rFonts w:ascii="Arial" w:hAnsi="Arial" w:cs="Arial"/>
        </w:rPr>
        <w:t>,</w:t>
      </w:r>
      <w:r w:rsidR="00EF442F" w:rsidRPr="00AA0C2E">
        <w:rPr>
          <w:rFonts w:ascii="Arial" w:hAnsi="Arial" w:cs="Arial"/>
        </w:rPr>
        <w:t xml:space="preserve"> </w:t>
      </w:r>
      <w:r w:rsidR="00B2689C" w:rsidRPr="00AA0C2E">
        <w:rPr>
          <w:rFonts w:ascii="Arial" w:hAnsi="Arial" w:cs="Arial"/>
        </w:rPr>
        <w:t>at</w:t>
      </w:r>
      <w:r w:rsidR="00EF442F" w:rsidRPr="00AA0C2E">
        <w:rPr>
          <w:rFonts w:ascii="Arial" w:hAnsi="Arial" w:cs="Arial"/>
        </w:rPr>
        <w:t xml:space="preserve"> progress</w:t>
      </w:r>
      <w:r w:rsidR="00B2689C" w:rsidRPr="00AA0C2E">
        <w:rPr>
          <w:rFonts w:ascii="Arial" w:hAnsi="Arial" w:cs="Arial"/>
        </w:rPr>
        <w:t xml:space="preserve">ion, the TKI is ceased and further active treatment initiated dependent upon patients Performance Status </w:t>
      </w:r>
      <w:r w:rsidR="00536711" w:rsidRPr="00AA0C2E">
        <w:rPr>
          <w:rFonts w:ascii="Arial" w:hAnsi="Arial" w:cs="Arial"/>
        </w:rPr>
        <w:t xml:space="preserve">(PS) </w:t>
      </w:r>
      <w:r w:rsidR="00B2689C" w:rsidRPr="00AA0C2E">
        <w:rPr>
          <w:rFonts w:ascii="Arial" w:hAnsi="Arial" w:cs="Arial"/>
        </w:rPr>
        <w:t>and preferences.</w:t>
      </w:r>
    </w:p>
    <w:p w14:paraId="0F30F65F" w14:textId="77777777" w:rsidR="00B2689C" w:rsidRPr="00AA0C2E" w:rsidRDefault="00BD11CF" w:rsidP="001B37D3">
      <w:pPr>
        <w:spacing w:before="120" w:after="120" w:line="360" w:lineRule="auto"/>
        <w:jc w:val="both"/>
        <w:rPr>
          <w:rFonts w:ascii="Arial" w:hAnsi="Arial" w:cs="Arial"/>
        </w:rPr>
      </w:pPr>
      <w:r w:rsidRPr="00AA0C2E">
        <w:rPr>
          <w:rFonts w:ascii="Arial" w:hAnsi="Arial" w:cs="Arial"/>
        </w:rPr>
        <w:t>A number of c</w:t>
      </w:r>
      <w:r w:rsidR="00444992" w:rsidRPr="00AA0C2E">
        <w:rPr>
          <w:rFonts w:ascii="Arial" w:hAnsi="Arial" w:cs="Arial"/>
        </w:rPr>
        <w:t>linical practice guidelines</w:t>
      </w:r>
      <w:r w:rsidRPr="00AA0C2E">
        <w:rPr>
          <w:rFonts w:ascii="Arial" w:hAnsi="Arial" w:cs="Arial"/>
        </w:rPr>
        <w:t>, including Australian ones</w:t>
      </w:r>
      <w:r w:rsidR="00444992" w:rsidRPr="00AA0C2E">
        <w:rPr>
          <w:rFonts w:ascii="Arial" w:hAnsi="Arial" w:cs="Arial"/>
        </w:rPr>
        <w:t xml:space="preserve"> </w:t>
      </w:r>
      <w:r w:rsidR="00444992" w:rsidRPr="00AA0C2E">
        <w:rPr>
          <w:rFonts w:ascii="Arial" w:hAnsi="Arial" w:cs="Arial"/>
        </w:rPr>
        <w:fldChar w:fldCharType="begin">
          <w:fldData xml:space="preserve">PEVuZE5vdGU+PENpdGU+PEF1dGhvcj5QYXZsYWtpczwvQXV0aG9yPjxSZWNOdW0+MTE8L1JlY051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</w:fldData>
        </w:fldChar>
      </w:r>
      <w:r w:rsidR="00F65C59">
        <w:rPr>
          <w:rFonts w:ascii="Arial" w:hAnsi="Arial" w:cs="Arial"/>
        </w:rPr>
        <w:instrText xml:space="preserve"> ADDIN EN.CITE </w:instrText>
      </w:r>
      <w:r w:rsidR="00F65C59">
        <w:rPr>
          <w:rFonts w:ascii="Arial" w:hAnsi="Arial" w:cs="Arial"/>
        </w:rPr>
        <w:fldChar w:fldCharType="begin">
          <w:fldData xml:space="preserve">PEVuZE5vdGU+PENpdGU+PEF1dGhvcj5QYXZsYWtpczwvQXV0aG9yPjxSZWNOdW0+MTE8L1JlY051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</w:fldData>
        </w:fldChar>
      </w:r>
      <w:r w:rsidR="00F65C59">
        <w:rPr>
          <w:rFonts w:ascii="Arial" w:hAnsi="Arial" w:cs="Arial"/>
        </w:rPr>
        <w:instrText xml:space="preserve"> ADDIN EN.CITE.DATA </w:instrText>
      </w:r>
      <w:r w:rsidR="00F65C59">
        <w:rPr>
          <w:rFonts w:ascii="Arial" w:hAnsi="Arial" w:cs="Arial"/>
        </w:rPr>
      </w:r>
      <w:r w:rsidR="00F65C59">
        <w:rPr>
          <w:rFonts w:ascii="Arial" w:hAnsi="Arial" w:cs="Arial"/>
        </w:rPr>
        <w:fldChar w:fldCharType="end"/>
      </w:r>
      <w:r w:rsidR="00444992" w:rsidRPr="00AA0C2E">
        <w:rPr>
          <w:rFonts w:ascii="Arial" w:hAnsi="Arial" w:cs="Arial"/>
        </w:rPr>
      </w:r>
      <w:r w:rsidR="00444992" w:rsidRPr="00AA0C2E">
        <w:rPr>
          <w:rFonts w:ascii="Arial" w:hAnsi="Arial" w:cs="Arial"/>
        </w:rPr>
        <w:fldChar w:fldCharType="separate"/>
      </w:r>
      <w:r w:rsidR="00F65C59">
        <w:rPr>
          <w:rFonts w:ascii="Arial" w:hAnsi="Arial" w:cs="Arial"/>
          <w:noProof/>
        </w:rPr>
        <w:t>[</w:t>
      </w:r>
      <w:hyperlink w:anchor="_ENREF_1" w:tooltip="Pavlakis,  #11" w:history="1">
        <w:r w:rsidR="00F65C59">
          <w:rPr>
            <w:rFonts w:ascii="Arial" w:hAnsi="Arial" w:cs="Arial"/>
            <w:noProof/>
          </w:rPr>
          <w:t>1</w:t>
        </w:r>
      </w:hyperlink>
      <w:r w:rsidR="00F65C59">
        <w:rPr>
          <w:rFonts w:ascii="Arial" w:hAnsi="Arial" w:cs="Arial"/>
          <w:noProof/>
        </w:rPr>
        <w:t xml:space="preserve">, </w:t>
      </w:r>
      <w:hyperlink w:anchor="_ENREF_47" w:tooltip="Peters, 2012 #61" w:history="1">
        <w:r w:rsidR="00F65C59">
          <w:rPr>
            <w:rFonts w:ascii="Arial" w:hAnsi="Arial" w:cs="Arial"/>
            <w:noProof/>
          </w:rPr>
          <w:t>47</w:t>
        </w:r>
      </w:hyperlink>
      <w:r w:rsidR="00F65C59">
        <w:rPr>
          <w:rFonts w:ascii="Arial" w:hAnsi="Arial" w:cs="Arial"/>
          <w:noProof/>
        </w:rPr>
        <w:t xml:space="preserve">, </w:t>
      </w:r>
      <w:hyperlink w:anchor="_ENREF_48" w:tooltip="VL, 2011 #81" w:history="1">
        <w:r w:rsidR="00F65C59">
          <w:rPr>
            <w:rFonts w:ascii="Arial" w:hAnsi="Arial" w:cs="Arial"/>
            <w:noProof/>
          </w:rPr>
          <w:t>48</w:t>
        </w:r>
      </w:hyperlink>
      <w:r w:rsidR="00F65C59">
        <w:rPr>
          <w:rFonts w:ascii="Arial" w:hAnsi="Arial" w:cs="Arial"/>
          <w:noProof/>
        </w:rPr>
        <w:t>]</w:t>
      </w:r>
      <w:r w:rsidR="00444992" w:rsidRPr="00AA0C2E">
        <w:rPr>
          <w:rFonts w:ascii="Arial" w:hAnsi="Arial" w:cs="Arial"/>
        </w:rPr>
        <w:fldChar w:fldCharType="end"/>
      </w:r>
      <w:r w:rsidR="00444992" w:rsidRPr="00AA0C2E">
        <w:rPr>
          <w:rFonts w:ascii="Arial" w:hAnsi="Arial" w:cs="Arial"/>
        </w:rPr>
        <w:t xml:space="preserve"> contain no specific recommendation regarding treatment following progression on a TKI in </w:t>
      </w:r>
      <w:proofErr w:type="spellStart"/>
      <w:r w:rsidR="00444992" w:rsidRPr="00AA0C2E">
        <w:rPr>
          <w:rFonts w:ascii="Arial" w:hAnsi="Arial" w:cs="Arial"/>
        </w:rPr>
        <w:t>EGFRm</w:t>
      </w:r>
      <w:proofErr w:type="spellEnd"/>
      <w:r w:rsidR="00444992" w:rsidRPr="00AA0C2E">
        <w:rPr>
          <w:rFonts w:ascii="Arial" w:hAnsi="Arial" w:cs="Arial"/>
        </w:rPr>
        <w:t xml:space="preserve"> patients.</w:t>
      </w:r>
      <w:r w:rsidR="00536711" w:rsidRPr="00AA0C2E">
        <w:rPr>
          <w:rFonts w:ascii="Arial" w:hAnsi="Arial" w:cs="Arial"/>
        </w:rPr>
        <w:t xml:space="preserve"> NCCN Guidelines </w:t>
      </w:r>
      <w:r w:rsidR="00536711" w:rsidRPr="00AA0C2E">
        <w:rPr>
          <w:rFonts w:ascii="Arial" w:hAnsi="Arial" w:cs="Arial"/>
        </w:rPr>
        <w:fldChar w:fldCharType="begin"/>
      </w:r>
      <w:r w:rsidR="009B3639">
        <w:rPr>
          <w:rFonts w:ascii="Arial" w:hAnsi="Arial" w:cs="Arial"/>
        </w:rPr>
        <w:instrText xml:space="preserve"> ADDIN EN.CITE &lt;EndNote&gt;&lt;Cite&gt;&lt;Author&gt;National Comprehensive Cancer Network (NCCN)&lt;/Author&gt;&lt;Year&gt;2015&lt;/Year&gt;&lt;RecNum&gt;80&lt;/RecNum&gt;&lt;DisplayText&gt;[17]&lt;/DisplayText&gt;&lt;record&gt;&lt;rec-number&gt;80&lt;/rec-number&gt;&lt;foreign-keys&gt;&lt;key app="EN" db-id="rprtzr95srz0woefsws5fs50rfwvtsf5aw2f"&gt;80&lt;/key&gt;&lt;/foreign-keys&gt;&lt;ref-type name="Report"&gt;27&lt;/ref-type&gt;&lt;contributors&gt;&lt;authors&gt;&lt;author&gt;National Comprehensive Cancer Network (NCCN),&lt;/author&gt;&lt;/authors&gt;&lt;/contributors&gt;&lt;titles&gt;&lt;title&gt;Non-Small Cell Lung Cancer&lt;/title&gt;&lt;secondary-title&gt;NCCN Clinical Practice Guidelines in Oncology&lt;/secondary-title&gt;&lt;/titles&gt;&lt;volume&gt;Version 7.2015&lt;/volume&gt;&lt;dates&gt;&lt;year&gt;2015&lt;/year&gt;&lt;/dates&gt;&lt;urls&gt;&lt;/urls&gt;&lt;/record&gt;&lt;/Cite&gt;&lt;/EndNote&gt;</w:instrText>
      </w:r>
      <w:r w:rsidR="00536711" w:rsidRPr="00AA0C2E">
        <w:rPr>
          <w:rFonts w:ascii="Arial" w:hAnsi="Arial" w:cs="Arial"/>
        </w:rPr>
        <w:fldChar w:fldCharType="separate"/>
      </w:r>
      <w:r w:rsidR="00B16A45" w:rsidRPr="00AA0C2E">
        <w:rPr>
          <w:rFonts w:ascii="Arial" w:hAnsi="Arial" w:cs="Arial"/>
          <w:noProof/>
        </w:rPr>
        <w:t>[</w:t>
      </w:r>
      <w:hyperlink w:anchor="_ENREF_17" w:tooltip="National Comprehensive Cancer Network (NCCN), 2015 #80" w:history="1">
        <w:r w:rsidR="00F65C59" w:rsidRPr="00AA0C2E">
          <w:rPr>
            <w:rFonts w:ascii="Arial" w:hAnsi="Arial" w:cs="Arial"/>
            <w:noProof/>
          </w:rPr>
          <w:t>17</w:t>
        </w:r>
      </w:hyperlink>
      <w:r w:rsidR="00B16A45" w:rsidRPr="00AA0C2E">
        <w:rPr>
          <w:rFonts w:ascii="Arial" w:hAnsi="Arial" w:cs="Arial"/>
          <w:noProof/>
        </w:rPr>
        <w:t>]</w:t>
      </w:r>
      <w:r w:rsidR="00536711" w:rsidRPr="00AA0C2E">
        <w:rPr>
          <w:rFonts w:ascii="Arial" w:hAnsi="Arial" w:cs="Arial"/>
        </w:rPr>
        <w:fldChar w:fldCharType="end"/>
      </w:r>
      <w:r w:rsidR="00536711" w:rsidRPr="00AA0C2E">
        <w:rPr>
          <w:rFonts w:ascii="Arial" w:hAnsi="Arial" w:cs="Arial"/>
        </w:rPr>
        <w:t xml:space="preserve"> suggest </w:t>
      </w:r>
      <w:r w:rsidR="001D3D4A" w:rsidRPr="00AA0C2E">
        <w:rPr>
          <w:rFonts w:ascii="Arial" w:hAnsi="Arial" w:cs="Arial"/>
        </w:rPr>
        <w:t xml:space="preserve">in the event of symptomatic, systemic progression with multiple lesions in </w:t>
      </w:r>
      <w:proofErr w:type="spellStart"/>
      <w:r w:rsidR="001D3D4A" w:rsidRPr="00AA0C2E">
        <w:rPr>
          <w:rFonts w:ascii="Arial" w:hAnsi="Arial" w:cs="Arial"/>
        </w:rPr>
        <w:t>EGFRm</w:t>
      </w:r>
      <w:proofErr w:type="spellEnd"/>
      <w:r w:rsidR="001D3D4A" w:rsidRPr="00AA0C2E">
        <w:rPr>
          <w:rFonts w:ascii="Arial" w:hAnsi="Arial" w:cs="Arial"/>
        </w:rPr>
        <w:t xml:space="preserve"> NSCLC, doublet chemotherapy (±</w:t>
      </w:r>
      <w:proofErr w:type="spellStart"/>
      <w:r w:rsidR="001D3D4A" w:rsidRPr="00AA0C2E">
        <w:rPr>
          <w:rFonts w:ascii="Arial" w:hAnsi="Arial" w:cs="Arial"/>
        </w:rPr>
        <w:t>bevacizumab</w:t>
      </w:r>
      <w:proofErr w:type="spellEnd"/>
      <w:r w:rsidR="001D3D4A" w:rsidRPr="00AA0C2E">
        <w:rPr>
          <w:rFonts w:ascii="Arial" w:hAnsi="Arial" w:cs="Arial"/>
        </w:rPr>
        <w:t>) for patients with a PS 0-1.</w:t>
      </w:r>
    </w:p>
    <w:p w14:paraId="6468654A" w14:textId="77777777" w:rsidR="005C0D16" w:rsidRPr="00AA0C2E" w:rsidRDefault="00581226" w:rsidP="001B37D3">
      <w:pPr>
        <w:spacing w:line="360" w:lineRule="auto"/>
        <w:jc w:val="both"/>
        <w:rPr>
          <w:rFonts w:ascii="Arial" w:hAnsi="Arial" w:cs="Arial"/>
        </w:rPr>
      </w:pPr>
      <w:r w:rsidRPr="00AA0C2E">
        <w:rPr>
          <w:rFonts w:ascii="Arial" w:hAnsi="Arial" w:cs="Arial"/>
        </w:rPr>
        <w:t xml:space="preserve">In 2014, the </w:t>
      </w:r>
      <w:r w:rsidR="005C0D16" w:rsidRPr="00AA0C2E">
        <w:rPr>
          <w:rFonts w:ascii="Arial" w:hAnsi="Arial" w:cs="Arial"/>
        </w:rPr>
        <w:t xml:space="preserve">Italian Association of Thoracic Oncology </w:t>
      </w:r>
      <w:r w:rsidRPr="00AA0C2E">
        <w:rPr>
          <w:rFonts w:ascii="Arial" w:hAnsi="Arial" w:cs="Arial"/>
        </w:rPr>
        <w:t xml:space="preserve">held an </w:t>
      </w:r>
      <w:r w:rsidR="005C0D16" w:rsidRPr="00AA0C2E">
        <w:rPr>
          <w:rFonts w:ascii="Arial" w:hAnsi="Arial" w:cs="Arial"/>
        </w:rPr>
        <w:t>International Expert Panel Meeting</w:t>
      </w:r>
      <w:r w:rsidRPr="00AA0C2E">
        <w:rPr>
          <w:rFonts w:ascii="Arial" w:hAnsi="Arial" w:cs="Arial"/>
        </w:rPr>
        <w:t xml:space="preserve"> on the r</w:t>
      </w:r>
      <w:r w:rsidR="005C0D16" w:rsidRPr="00AA0C2E">
        <w:rPr>
          <w:rFonts w:ascii="Arial" w:hAnsi="Arial" w:cs="Arial"/>
        </w:rPr>
        <w:t xml:space="preserve">ole for </w:t>
      </w:r>
      <w:r w:rsidRPr="00AA0C2E">
        <w:rPr>
          <w:rFonts w:ascii="Arial" w:hAnsi="Arial" w:cs="Arial"/>
        </w:rPr>
        <w:t>c</w:t>
      </w:r>
      <w:r w:rsidR="005C0D16" w:rsidRPr="00AA0C2E">
        <w:rPr>
          <w:rFonts w:ascii="Arial" w:hAnsi="Arial" w:cs="Arial"/>
        </w:rPr>
        <w:t xml:space="preserve">hemotherapy in EGFR </w:t>
      </w:r>
      <w:r w:rsidRPr="00AA0C2E">
        <w:rPr>
          <w:rFonts w:ascii="Arial" w:hAnsi="Arial" w:cs="Arial"/>
        </w:rPr>
        <w:t>mutation positive</w:t>
      </w:r>
      <w:r w:rsidR="005C0D16" w:rsidRPr="00AA0C2E">
        <w:rPr>
          <w:rFonts w:ascii="Arial" w:hAnsi="Arial" w:cs="Arial"/>
        </w:rPr>
        <w:t xml:space="preserve"> </w:t>
      </w:r>
      <w:r w:rsidRPr="00AA0C2E">
        <w:rPr>
          <w:rFonts w:ascii="Arial" w:hAnsi="Arial" w:cs="Arial"/>
        </w:rPr>
        <w:t>a</w:t>
      </w:r>
      <w:r w:rsidR="005C0D16" w:rsidRPr="00AA0C2E">
        <w:rPr>
          <w:rFonts w:ascii="Arial" w:hAnsi="Arial" w:cs="Arial"/>
        </w:rPr>
        <w:t>dvanced NSCLC</w:t>
      </w:r>
      <w:r w:rsidRPr="00AA0C2E">
        <w:rPr>
          <w:rFonts w:ascii="Arial" w:hAnsi="Arial" w:cs="Arial"/>
        </w:rPr>
        <w:t xml:space="preserve"> </w:t>
      </w:r>
      <w:r w:rsidRPr="00AA0C2E">
        <w:rPr>
          <w:rFonts w:ascii="Arial" w:hAnsi="Arial" w:cs="Arial"/>
        </w:rPr>
        <w:fldChar w:fldCharType="begin"/>
      </w:r>
      <w:r w:rsidR="009B3639">
        <w:rPr>
          <w:rFonts w:ascii="Arial" w:hAnsi="Arial" w:cs="Arial"/>
        </w:rPr>
        <w:instrText xml:space="preserve"> ADDIN EN.CITE &lt;EndNote&gt;&lt;Cite&gt;&lt;Author&gt;Gridelli&lt;/Author&gt;&lt;Year&gt;2014&lt;/Year&gt;&lt;RecNum&gt;83&lt;/RecNum&gt;&lt;DisplayText&gt;[16]&lt;/DisplayText&gt;&lt;record&gt;&lt;rec-number&gt;83&lt;/rec-number&gt;&lt;foreign-keys&gt;&lt;key app="EN" db-id="rprtzr95srz0woefsws5fs50rfwvtsf5aw2f"&gt;83&lt;/key&gt;&lt;/foreign-keys&gt;&lt;ref-type name="Journal Article"&gt;17&lt;/ref-type&gt;&lt;contributors&gt;&lt;authors&gt;&lt;author&gt;Gridelli, C&lt;/author&gt;&lt;author&gt;de Marinis, F&lt;/author&gt;&lt;author&gt;Cappuzzo, F&lt;/author&gt;&lt;author&gt;Di Maio, M&lt;/author&gt;&lt;author&gt;et al&lt;/author&gt;&lt;/authors&gt;&lt;/contributors&gt;&lt;titles&gt;&lt;title&gt;Treatment of Advanced Non-Small-Cell Lung Cancer With Epidermal Growth Factor Receptor (EGFR) Mutation or ALK Gene Rearrangement: Results of an International Expert Panel Meeting of the Italian Association of Thoracic Oncology&lt;/title&gt;&lt;secondary-title&gt;Clinical Lung Cancer&lt;/secondary-title&gt;&lt;/titles&gt;&lt;periodical&gt;&lt;full-title&gt;Clinical Lung Cancer&lt;/full-title&gt;&lt;/periodical&gt;&lt;pages&gt;173-81&lt;/pages&gt;&lt;volume&gt;15&lt;/volume&gt;&lt;number&gt;3&lt;/number&gt;&lt;dates&gt;&lt;year&gt;2014&lt;/year&gt;&lt;/dates&gt;&lt;urls&gt;&lt;/urls&gt;&lt;electronic-resource-num&gt;10.1016/j.cllc.2013.12.002&lt;/electronic-resource-num&gt;&lt;/record&gt;&lt;/Cite&gt;&lt;/EndNote&gt;</w:instrText>
      </w:r>
      <w:r w:rsidRPr="00AA0C2E">
        <w:rPr>
          <w:rFonts w:ascii="Arial" w:hAnsi="Arial" w:cs="Arial"/>
        </w:rPr>
        <w:fldChar w:fldCharType="separate"/>
      </w:r>
      <w:r w:rsidR="00B16A45" w:rsidRPr="00AA0C2E">
        <w:rPr>
          <w:rFonts w:ascii="Arial" w:hAnsi="Arial" w:cs="Arial"/>
          <w:noProof/>
        </w:rPr>
        <w:t>[</w:t>
      </w:r>
      <w:hyperlink w:anchor="_ENREF_16" w:tooltip="Gridelli, 2014 #83" w:history="1">
        <w:r w:rsidR="00F65C59" w:rsidRPr="00AA0C2E">
          <w:rPr>
            <w:rFonts w:ascii="Arial" w:hAnsi="Arial" w:cs="Arial"/>
            <w:noProof/>
          </w:rPr>
          <w:t>16</w:t>
        </w:r>
      </w:hyperlink>
      <w:r w:rsidR="00B16A45" w:rsidRPr="00AA0C2E">
        <w:rPr>
          <w:rFonts w:ascii="Arial" w:hAnsi="Arial" w:cs="Arial"/>
          <w:noProof/>
        </w:rPr>
        <w:t>]</w:t>
      </w:r>
      <w:r w:rsidRPr="00AA0C2E">
        <w:rPr>
          <w:rFonts w:ascii="Arial" w:hAnsi="Arial" w:cs="Arial"/>
        </w:rPr>
        <w:fldChar w:fldCharType="end"/>
      </w:r>
      <w:r w:rsidRPr="00AA0C2E">
        <w:rPr>
          <w:rFonts w:ascii="Arial" w:hAnsi="Arial" w:cs="Arial"/>
        </w:rPr>
        <w:t xml:space="preserve"> which recommended:</w:t>
      </w:r>
    </w:p>
    <w:p w14:paraId="1402AC5D" w14:textId="77777777" w:rsidR="00581226" w:rsidRPr="00AA0C2E" w:rsidRDefault="005C0D16" w:rsidP="001B37D3">
      <w:pPr>
        <w:spacing w:line="360" w:lineRule="auto"/>
        <w:jc w:val="both"/>
        <w:rPr>
          <w:rFonts w:ascii="Arial" w:hAnsi="Arial" w:cs="Arial"/>
          <w:i/>
        </w:rPr>
      </w:pPr>
      <w:r w:rsidRPr="00AA0C2E">
        <w:rPr>
          <w:rFonts w:ascii="Arial" w:hAnsi="Arial" w:cs="Arial"/>
          <w:i/>
        </w:rPr>
        <w:lastRenderedPageBreak/>
        <w:t>‘</w:t>
      </w:r>
      <w:proofErr w:type="spellStart"/>
      <w:r w:rsidRPr="00AA0C2E">
        <w:rPr>
          <w:rFonts w:ascii="Arial" w:hAnsi="Arial" w:cs="Arial"/>
          <w:i/>
        </w:rPr>
        <w:t>Panelists</w:t>
      </w:r>
      <w:proofErr w:type="spellEnd"/>
      <w:r w:rsidRPr="00AA0C2E">
        <w:rPr>
          <w:rFonts w:ascii="Arial" w:hAnsi="Arial" w:cs="Arial"/>
          <w:i/>
        </w:rPr>
        <w:t xml:space="preserve"> agreed that in patients with EGFR mutation+ advanced NSCLC, chemotherapy should be used after EGFR TKI failure. </w:t>
      </w:r>
      <w:r w:rsidR="00581226" w:rsidRPr="00AA0C2E">
        <w:rPr>
          <w:rFonts w:ascii="Arial" w:hAnsi="Arial" w:cs="Arial"/>
          <w:i/>
        </w:rPr>
        <w:t>..</w:t>
      </w:r>
      <w:r w:rsidRPr="00AA0C2E">
        <w:rPr>
          <w:rFonts w:ascii="Arial" w:hAnsi="Arial" w:cs="Arial"/>
          <w:i/>
        </w:rPr>
        <w:t xml:space="preserve">. </w:t>
      </w:r>
    </w:p>
    <w:p w14:paraId="459B3584" w14:textId="77777777" w:rsidR="005C0D16" w:rsidRPr="00AA0C2E" w:rsidRDefault="005C0D16" w:rsidP="001B37D3">
      <w:pPr>
        <w:spacing w:line="360" w:lineRule="auto"/>
        <w:jc w:val="both"/>
        <w:rPr>
          <w:rFonts w:ascii="Arial" w:hAnsi="Arial" w:cs="Arial"/>
          <w:i/>
        </w:rPr>
      </w:pPr>
      <w:r w:rsidRPr="00AA0C2E">
        <w:rPr>
          <w:rFonts w:ascii="Arial" w:hAnsi="Arial" w:cs="Arial"/>
          <w:i/>
        </w:rPr>
        <w:t xml:space="preserve">There is no evidence to recommend a preferred chemotherapy regimen in EGFR mutation+ patients. </w:t>
      </w:r>
      <w:proofErr w:type="spellStart"/>
      <w:r w:rsidRPr="00AA0C2E">
        <w:rPr>
          <w:rFonts w:ascii="Arial" w:hAnsi="Arial" w:cs="Arial"/>
          <w:i/>
        </w:rPr>
        <w:t>Panelists</w:t>
      </w:r>
      <w:proofErr w:type="spellEnd"/>
      <w:r w:rsidRPr="00AA0C2E">
        <w:rPr>
          <w:rFonts w:ascii="Arial" w:hAnsi="Arial" w:cs="Arial"/>
          <w:i/>
        </w:rPr>
        <w:t xml:space="preserve"> agreed that platinum-based regimens should always be considered after EGFR TKI failure in eligible EGFR mutation+ patients.’</w:t>
      </w:r>
    </w:p>
    <w:p w14:paraId="6E60D899" w14:textId="77777777" w:rsidR="00390AEB" w:rsidRPr="00AA0C2E" w:rsidRDefault="00F348CD" w:rsidP="001B37D3">
      <w:pPr>
        <w:spacing w:line="360" w:lineRule="auto"/>
        <w:jc w:val="both"/>
        <w:rPr>
          <w:rFonts w:ascii="Arial" w:hAnsi="Arial" w:cs="Arial"/>
        </w:rPr>
      </w:pPr>
      <w:r w:rsidRPr="00AA0C2E">
        <w:rPr>
          <w:rFonts w:ascii="Arial" w:hAnsi="Arial" w:cs="Arial"/>
        </w:rPr>
        <w:t>Currently available reimbursed therapy options for this patient population in Australia are platinum-ba</w:t>
      </w:r>
      <w:r w:rsidR="00A90026">
        <w:rPr>
          <w:rFonts w:ascii="Arial" w:hAnsi="Arial" w:cs="Arial"/>
        </w:rPr>
        <w:t xml:space="preserve">sed doublet chemotherapies or </w:t>
      </w:r>
      <w:proofErr w:type="gramStart"/>
      <w:r w:rsidR="00A90026">
        <w:rPr>
          <w:rFonts w:ascii="Arial" w:hAnsi="Arial" w:cs="Arial"/>
        </w:rPr>
        <w:t xml:space="preserve">a </w:t>
      </w:r>
      <w:r w:rsidRPr="00AA0C2E">
        <w:rPr>
          <w:rFonts w:ascii="Arial" w:hAnsi="Arial" w:cs="Arial"/>
        </w:rPr>
        <w:t>single</w:t>
      </w:r>
      <w:proofErr w:type="gramEnd"/>
      <w:r w:rsidRPr="00AA0C2E">
        <w:rPr>
          <w:rFonts w:ascii="Arial" w:hAnsi="Arial" w:cs="Arial"/>
        </w:rPr>
        <w:t xml:space="preserve"> agent chemotherapy, such as </w:t>
      </w:r>
      <w:proofErr w:type="spellStart"/>
      <w:r w:rsidRPr="00AA0C2E">
        <w:rPr>
          <w:rFonts w:ascii="Arial" w:hAnsi="Arial" w:cs="Arial"/>
        </w:rPr>
        <w:t>pemetrexed</w:t>
      </w:r>
      <w:proofErr w:type="spellEnd"/>
      <w:r w:rsidRPr="00AA0C2E">
        <w:rPr>
          <w:rFonts w:ascii="Arial" w:hAnsi="Arial" w:cs="Arial"/>
        </w:rPr>
        <w:t xml:space="preserve"> or </w:t>
      </w:r>
      <w:proofErr w:type="spellStart"/>
      <w:r w:rsidRPr="00AA0C2E">
        <w:rPr>
          <w:rFonts w:ascii="Arial" w:hAnsi="Arial" w:cs="Arial"/>
        </w:rPr>
        <w:t>docetaxel</w:t>
      </w:r>
      <w:proofErr w:type="spellEnd"/>
      <w:r w:rsidRPr="00AA0C2E">
        <w:rPr>
          <w:rFonts w:ascii="Arial" w:hAnsi="Arial" w:cs="Arial"/>
        </w:rPr>
        <w:t xml:space="preserve">. Data will be collected and presented in the submission to provide further details </w:t>
      </w:r>
      <w:r w:rsidR="00420B54" w:rsidRPr="00AA0C2E">
        <w:rPr>
          <w:rFonts w:ascii="Arial" w:hAnsi="Arial" w:cs="Arial"/>
        </w:rPr>
        <w:t xml:space="preserve">regarding </w:t>
      </w:r>
      <w:r w:rsidR="001F596B" w:rsidRPr="00AA0C2E">
        <w:rPr>
          <w:rFonts w:ascii="Arial" w:hAnsi="Arial" w:cs="Arial"/>
        </w:rPr>
        <w:t>local</w:t>
      </w:r>
      <w:r w:rsidRPr="00AA0C2E">
        <w:rPr>
          <w:rFonts w:ascii="Arial" w:hAnsi="Arial" w:cs="Arial"/>
        </w:rPr>
        <w:t xml:space="preserve"> clinical practices.</w:t>
      </w:r>
    </w:p>
    <w:p w14:paraId="56A78D06" w14:textId="3C8C7921" w:rsidR="00A01454" w:rsidRPr="000339E1" w:rsidRDefault="00565A34" w:rsidP="000339E1">
      <w:pPr>
        <w:rPr>
          <w:rFonts w:ascii="Arial Narrow" w:eastAsia="Times New Roman" w:hAnsi="Arial Narrow" w:cs="Tahoma"/>
          <w:b/>
          <w:sz w:val="20"/>
          <w:szCs w:val="20"/>
          <w:lang w:val="en-GB" w:eastAsia="ja-JP"/>
        </w:rPr>
      </w:pPr>
      <w:r>
        <w:rPr>
          <w:rFonts w:ascii="Arial" w:hAnsi="Arial" w:cs="Arial"/>
        </w:rPr>
        <w:t>C</w:t>
      </w:r>
      <w:r w:rsidR="00A01454" w:rsidRPr="00F348CD">
        <w:rPr>
          <w:rFonts w:ascii="Arial" w:hAnsi="Arial" w:cs="Arial"/>
        </w:rPr>
        <w:t xml:space="preserve">urrent clinical practice </w:t>
      </w:r>
      <w:r w:rsidR="004B7D9D" w:rsidRPr="00833F7E">
        <w:rPr>
          <w:rFonts w:ascii="Arial" w:hAnsi="Arial" w:cs="Arial"/>
        </w:rPr>
        <w:t>is no routine EGFR mutation testing in this population</w:t>
      </w:r>
      <w:r>
        <w:rPr>
          <w:rFonts w:ascii="Arial" w:hAnsi="Arial" w:cs="Arial"/>
        </w:rPr>
        <w:t>. T</w:t>
      </w:r>
      <w:r w:rsidR="00A01454" w:rsidRPr="00F348CD">
        <w:rPr>
          <w:rFonts w:ascii="Arial" w:hAnsi="Arial" w:cs="Arial"/>
        </w:rPr>
        <w:t>he T790M mutation status of all patients is unknown</w:t>
      </w:r>
      <w:r>
        <w:rPr>
          <w:rFonts w:ascii="Arial" w:hAnsi="Arial" w:cs="Arial"/>
        </w:rPr>
        <w:t xml:space="preserve"> and</w:t>
      </w:r>
      <w:r w:rsidR="004B7D9D" w:rsidRPr="00833F7E">
        <w:rPr>
          <w:rFonts w:ascii="Arial" w:hAnsi="Arial" w:cs="Arial"/>
        </w:rPr>
        <w:t xml:space="preserve"> </w:t>
      </w:r>
      <w:r>
        <w:rPr>
          <w:rFonts w:ascii="Arial" w:hAnsi="Arial" w:cs="Arial"/>
        </w:rPr>
        <w:t>t</w:t>
      </w:r>
      <w:r w:rsidR="004B7D9D" w:rsidRPr="00833F7E">
        <w:rPr>
          <w:rFonts w:ascii="Arial" w:hAnsi="Arial" w:cs="Arial"/>
        </w:rPr>
        <w:t>reatment</w:t>
      </w:r>
      <w:r w:rsidR="00F348CD" w:rsidRPr="00833F7E">
        <w:rPr>
          <w:rFonts w:ascii="Arial" w:hAnsi="Arial" w:cs="Arial"/>
        </w:rPr>
        <w:t xml:space="preserve"> decisions </w:t>
      </w:r>
      <w:r>
        <w:rPr>
          <w:rFonts w:ascii="Arial" w:hAnsi="Arial" w:cs="Arial"/>
        </w:rPr>
        <w:t xml:space="preserve">are </w:t>
      </w:r>
      <w:r w:rsidR="00F348CD" w:rsidRPr="00833F7E">
        <w:rPr>
          <w:rFonts w:ascii="Arial" w:hAnsi="Arial" w:cs="Arial"/>
        </w:rPr>
        <w:t>made</w:t>
      </w:r>
      <w:r w:rsidR="004B7D9D" w:rsidRPr="00833F7E">
        <w:rPr>
          <w:rFonts w:ascii="Arial" w:hAnsi="Arial" w:cs="Arial"/>
        </w:rPr>
        <w:t xml:space="preserve"> on this basis.</w:t>
      </w:r>
    </w:p>
    <w:p w14:paraId="74DA1411" w14:textId="77777777" w:rsidR="00A01454" w:rsidRDefault="00A01454" w:rsidP="00486B85">
      <w:pPr>
        <w:spacing w:before="120" w:after="120"/>
        <w:rPr>
          <w:rFonts w:ascii="Arial" w:hAnsi="Arial" w:cs="Arial"/>
        </w:rPr>
      </w:pPr>
    </w:p>
    <w:p w14:paraId="1B513798" w14:textId="77777777" w:rsidR="000339E1" w:rsidRDefault="000339E1">
      <w:pPr>
        <w:rPr>
          <w:rFonts w:ascii="Arial" w:hAnsi="Arial" w:cs="Arial"/>
          <w:u w:val="single"/>
        </w:rPr>
      </w:pPr>
      <w:r>
        <w:rPr>
          <w:rFonts w:ascii="Arial" w:hAnsi="Arial" w:cs="Arial"/>
          <w:u w:val="single"/>
        </w:rPr>
        <w:br w:type="page"/>
      </w:r>
    </w:p>
    <w:p w14:paraId="610D6DCB" w14:textId="740FC04D" w:rsidR="002F50F4" w:rsidRPr="00C7079D" w:rsidRDefault="001B37D3" w:rsidP="002F50F4">
      <w:pPr>
        <w:spacing w:before="120" w:after="120" w:line="360" w:lineRule="auto"/>
        <w:jc w:val="both"/>
        <w:rPr>
          <w:rFonts w:ascii="Arial" w:hAnsi="Arial" w:cs="Arial"/>
        </w:rPr>
      </w:pPr>
      <w:r w:rsidRPr="00C7079D">
        <w:rPr>
          <w:rFonts w:ascii="Arial" w:hAnsi="Arial" w:cs="Arial"/>
          <w:u w:val="single"/>
        </w:rPr>
        <w:lastRenderedPageBreak/>
        <w:t>Proposed Treatment Algorithm</w:t>
      </w:r>
      <w:r w:rsidR="002F50F4">
        <w:rPr>
          <w:rFonts w:ascii="Arial" w:hAnsi="Arial" w:cs="Arial"/>
        </w:rPr>
        <w:t xml:space="preserve"> </w:t>
      </w:r>
    </w:p>
    <w:p w14:paraId="7D288781" w14:textId="457A71B1" w:rsidR="002F50F4" w:rsidRDefault="002F50F4" w:rsidP="002F50F4">
      <w:pPr>
        <w:pStyle w:val="Caption"/>
        <w:jc w:val="both"/>
      </w:pPr>
      <w:r>
        <w:t xml:space="preserve">Figure </w:t>
      </w:r>
      <w:r>
        <w:fldChar w:fldCharType="begin"/>
      </w:r>
      <w:r>
        <w:instrText xml:space="preserve"> SEQ Figure \* ARABIC </w:instrText>
      </w:r>
      <w:r>
        <w:fldChar w:fldCharType="separate"/>
      </w:r>
      <w:r>
        <w:rPr>
          <w:noProof/>
        </w:rPr>
        <w:t>3</w:t>
      </w:r>
      <w:r>
        <w:fldChar w:fldCharType="end"/>
      </w:r>
      <w:r>
        <w:t xml:space="preserve"> - Flowchart of Proposed Treatment Algorithm</w:t>
      </w:r>
    </w:p>
    <w:p w14:paraId="6D40B7CD" w14:textId="41C2DCF2" w:rsidR="001B37D3" w:rsidRPr="00C7079D" w:rsidRDefault="002F50F4" w:rsidP="001B37D3">
      <w:pPr>
        <w:spacing w:before="120" w:after="120" w:line="360" w:lineRule="auto"/>
        <w:jc w:val="both"/>
        <w:rPr>
          <w:rFonts w:ascii="Arial" w:hAnsi="Arial" w:cs="Arial"/>
        </w:rPr>
      </w:pPr>
      <w:r>
        <w:rPr>
          <w:noProof/>
          <w:lang w:eastAsia="en-AU"/>
        </w:rPr>
        <w:drawing>
          <wp:inline distT="0" distB="0" distL="0" distR="0" wp14:anchorId="6BA316B7" wp14:editId="63C1A9FE">
            <wp:extent cx="4848225" cy="3698325"/>
            <wp:effectExtent l="0" t="0" r="0" b="0"/>
            <wp:docPr id="8" name="Picture 8" title="Figure 3 - Flowchart of Proposed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65311" t="22889" r="8896" b="7276"/>
                    <a:stretch/>
                  </pic:blipFill>
                  <pic:spPr bwMode="auto">
                    <a:xfrm>
                      <a:off x="0" y="0"/>
                      <a:ext cx="4870769" cy="3715522"/>
                    </a:xfrm>
                    <a:prstGeom prst="rect">
                      <a:avLst/>
                    </a:prstGeom>
                    <a:ln>
                      <a:noFill/>
                    </a:ln>
                    <a:extLst>
                      <a:ext uri="{53640926-AAD7-44D8-BBD7-CCE9431645EC}">
                        <a14:shadowObscured xmlns:a14="http://schemas.microsoft.com/office/drawing/2010/main"/>
                      </a:ext>
                    </a:extLst>
                  </pic:spPr>
                </pic:pic>
              </a:graphicData>
            </a:graphic>
          </wp:inline>
        </w:drawing>
      </w:r>
    </w:p>
    <w:p w14:paraId="132C62F9" w14:textId="77777777" w:rsidR="002F50F4" w:rsidRDefault="002F50F4" w:rsidP="009C49F2">
      <w:pPr>
        <w:spacing w:before="120" w:after="120" w:line="360" w:lineRule="auto"/>
        <w:jc w:val="both"/>
        <w:rPr>
          <w:rFonts w:ascii="Arial" w:hAnsi="Arial" w:cs="Arial"/>
        </w:rPr>
      </w:pPr>
    </w:p>
    <w:p w14:paraId="28DDAF65" w14:textId="77777777" w:rsidR="002F50F4" w:rsidRDefault="002F50F4" w:rsidP="009C49F2">
      <w:pPr>
        <w:spacing w:before="120" w:after="120" w:line="360" w:lineRule="auto"/>
        <w:jc w:val="both"/>
        <w:rPr>
          <w:rFonts w:ascii="Arial" w:hAnsi="Arial" w:cs="Arial"/>
        </w:rPr>
      </w:pPr>
    </w:p>
    <w:p w14:paraId="40D78893" w14:textId="77777777" w:rsidR="002F50F4" w:rsidRPr="00C7079D" w:rsidRDefault="002F50F4" w:rsidP="002F50F4">
      <w:pPr>
        <w:spacing w:before="120" w:after="120" w:line="360" w:lineRule="auto"/>
        <w:rPr>
          <w:rFonts w:ascii="Arial" w:hAnsi="Arial" w:cs="Arial"/>
          <w:sz w:val="20"/>
        </w:rPr>
      </w:pPr>
      <w:r w:rsidRPr="00C7079D">
        <w:rPr>
          <w:rFonts w:ascii="Arial" w:hAnsi="Arial" w:cs="Arial"/>
          <w:sz w:val="20"/>
        </w:rPr>
        <w:t xml:space="preserve">Note: </w:t>
      </w:r>
      <w:r w:rsidRPr="00C7079D">
        <w:rPr>
          <w:rFonts w:ascii="Arial" w:hAnsi="Arial" w:cs="Arial"/>
          <w:bCs/>
          <w:sz w:val="20"/>
        </w:rPr>
        <w:t xml:space="preserve">if sampling issue, resample or treat as unknown status; </w:t>
      </w:r>
      <w:r w:rsidRPr="00C7079D">
        <w:rPr>
          <w:rFonts w:ascii="Arial" w:hAnsi="Arial" w:cs="Arial"/>
          <w:sz w:val="20"/>
        </w:rPr>
        <w:t>if testing issue, retest or resample or treat as unknown status. The algorithm includes all possible options in the event of a sampling or testing issue. The proportions for each pathway will be provided in the submission.</w:t>
      </w:r>
    </w:p>
    <w:p w14:paraId="66D81567" w14:textId="5A3BE18E" w:rsidR="001B37D3" w:rsidRDefault="001B37D3" w:rsidP="009C49F2">
      <w:pPr>
        <w:spacing w:before="120" w:after="120" w:line="360" w:lineRule="auto"/>
        <w:jc w:val="both"/>
        <w:rPr>
          <w:rFonts w:ascii="Arial" w:hAnsi="Arial" w:cs="Arial"/>
        </w:rPr>
      </w:pPr>
      <w:r w:rsidRPr="00C7079D">
        <w:rPr>
          <w:rFonts w:ascii="Arial" w:hAnsi="Arial" w:cs="Arial"/>
        </w:rPr>
        <w:t xml:space="preserve">The availability of </w:t>
      </w:r>
      <w:r w:rsidR="00312075">
        <w:rPr>
          <w:rFonts w:ascii="Arial" w:hAnsi="Arial" w:cs="Arial"/>
        </w:rPr>
        <w:t>AZD9291</w:t>
      </w:r>
      <w:r w:rsidRPr="00C7079D">
        <w:rPr>
          <w:rFonts w:ascii="Arial" w:hAnsi="Arial" w:cs="Arial"/>
        </w:rPr>
        <w:t xml:space="preserve"> will alter patient management. At progression, patients whose performance status is 0-1 may elect, in discussion with their clinician, to undergo another biopsy to collect tumour tissue. Already having experienced the benefits from TKI therapy due to their </w:t>
      </w:r>
      <w:proofErr w:type="spellStart"/>
      <w:r w:rsidRPr="00C7079D">
        <w:rPr>
          <w:rFonts w:ascii="Arial" w:hAnsi="Arial" w:cs="Arial"/>
        </w:rPr>
        <w:t>EGFRm</w:t>
      </w:r>
      <w:proofErr w:type="spellEnd"/>
      <w:r w:rsidRPr="00C7079D">
        <w:rPr>
          <w:rFonts w:ascii="Arial" w:hAnsi="Arial" w:cs="Arial"/>
        </w:rPr>
        <w:t xml:space="preserve"> status, patients are likely to understand the necessity for the procedure. EGFR mutation testing will determine T790M status. Those patients who are T790M mutation positive will be eligible to commence treatment with </w:t>
      </w:r>
      <w:r w:rsidR="00312075">
        <w:rPr>
          <w:rFonts w:ascii="Arial" w:hAnsi="Arial" w:cs="Arial"/>
        </w:rPr>
        <w:t>AZD9291</w:t>
      </w:r>
      <w:r w:rsidRPr="00C7079D">
        <w:rPr>
          <w:rFonts w:ascii="Arial" w:hAnsi="Arial" w:cs="Arial"/>
        </w:rPr>
        <w:t>. Those who elect not to undergo biopsy, or T790M status is negative or unknown, will receive current standard of care.</w:t>
      </w:r>
      <w:r w:rsidR="009C49F2">
        <w:rPr>
          <w:rFonts w:ascii="Arial" w:hAnsi="Arial" w:cs="Arial"/>
        </w:rPr>
        <w:t xml:space="preserve"> </w:t>
      </w:r>
    </w:p>
    <w:p w14:paraId="5B29572F" w14:textId="77777777" w:rsidR="000C4286" w:rsidRPr="00DF021C" w:rsidRDefault="000C4286" w:rsidP="009C49F2">
      <w:pPr>
        <w:pStyle w:val="Heading2"/>
      </w:pPr>
      <w:r w:rsidRPr="00627C5F">
        <w:t>Regulatory Information</w:t>
      </w:r>
    </w:p>
    <w:p w14:paraId="5C0286E1" w14:textId="029A02D6" w:rsidR="00900904" w:rsidRPr="00C7079D" w:rsidRDefault="00900904" w:rsidP="00324542">
      <w:pPr>
        <w:tabs>
          <w:tab w:val="left" w:pos="555"/>
          <w:tab w:val="left" w:pos="2655"/>
        </w:tabs>
        <w:spacing w:before="120" w:after="120" w:line="360" w:lineRule="auto"/>
        <w:jc w:val="both"/>
        <w:rPr>
          <w:rFonts w:ascii="Arial" w:hAnsi="Arial" w:cs="Arial"/>
        </w:rPr>
      </w:pPr>
      <w:r w:rsidRPr="00C7079D">
        <w:rPr>
          <w:rFonts w:ascii="Arial" w:hAnsi="Arial" w:cs="Arial"/>
        </w:rPr>
        <w:t xml:space="preserve">The proposed medical service involves the use of an in-vitro diagnostic (IVD) test to detect EGFR mutations in patients with NSCLC, in order to determine eligibility for </w:t>
      </w:r>
      <w:r w:rsidR="00312075">
        <w:rPr>
          <w:rFonts w:ascii="Arial" w:hAnsi="Arial" w:cs="Arial"/>
        </w:rPr>
        <w:t>AZD9291</w:t>
      </w:r>
      <w:r w:rsidR="00C949E9">
        <w:rPr>
          <w:rFonts w:ascii="Arial" w:hAnsi="Arial" w:cs="Arial"/>
        </w:rPr>
        <w:t xml:space="preserve"> </w:t>
      </w:r>
      <w:r w:rsidRPr="00C7079D">
        <w:rPr>
          <w:rFonts w:ascii="Arial" w:hAnsi="Arial" w:cs="Arial"/>
        </w:rPr>
        <w:t xml:space="preserve">treatment. As this is a human genetic test intended to identify patients who may benefit from treatment with </w:t>
      </w:r>
      <w:r w:rsidR="00312075">
        <w:rPr>
          <w:rFonts w:ascii="Arial" w:hAnsi="Arial" w:cs="Arial"/>
        </w:rPr>
        <w:t>AZD9291</w:t>
      </w:r>
      <w:r w:rsidRPr="00C7079D">
        <w:rPr>
          <w:rFonts w:ascii="Arial" w:hAnsi="Arial" w:cs="Arial"/>
        </w:rPr>
        <w:t xml:space="preserve">, per current EGFR mutation testing it is classified as ‘Medical </w:t>
      </w:r>
      <w:r w:rsidRPr="00C7079D">
        <w:rPr>
          <w:rFonts w:ascii="Arial" w:hAnsi="Arial" w:cs="Arial"/>
        </w:rPr>
        <w:lastRenderedPageBreak/>
        <w:t xml:space="preserve">Device Included – IVD Class 3 </w:t>
      </w:r>
      <w:r w:rsidRPr="00C7079D">
        <w:rPr>
          <w:rFonts w:ascii="Arial" w:hAnsi="Arial" w:cs="Arial"/>
        </w:rPr>
        <w:fldChar w:fldCharType="begin"/>
      </w:r>
      <w:r w:rsidR="00F65C59">
        <w:rPr>
          <w:rFonts w:ascii="Arial" w:hAnsi="Arial" w:cs="Arial"/>
        </w:rPr>
        <w:instrText xml:space="preserve"> ADDIN EN.CITE &lt;EndNote&gt;&lt;Cite&gt;&lt;Year&gt;2009&lt;/Year&gt;&lt;RecNum&gt;9&lt;/RecNum&gt;&lt;DisplayText&gt;[49]&lt;/DisplayText&gt;&lt;record&gt;&lt;rec-number&gt;9&lt;/rec-number&gt;&lt;foreign-keys&gt;&lt;key app="EN" db-id="t0xrfd02l00dz4eefasxad2opz52d2ta0x5z"&gt;9&lt;/key&gt;&lt;/foreign-keys&gt;&lt;ref-type name="Report"&gt;27&lt;/ref-type&gt;&lt;contributors&gt;&lt;/contributors&gt;&lt;titles&gt;&lt;title&gt;Overview of the new regulatory framework for in vitro diagnostic medical devices (IVDs)&lt;/title&gt;&lt;/titles&gt;&lt;dates&gt;&lt;year&gt;2009&lt;/year&gt;&lt;/dates&gt;&lt;publisher&gt;Therapeutic Goods Administration&lt;/publisher&gt;&lt;urls&gt;&lt;related-urls&gt;&lt;url&gt;http://www.tga.gov.au/industry/ivd-framework-overview.htm#ct &lt;/url&gt;&lt;/related-urls&gt;&lt;/urls&gt;&lt;/record&gt;&lt;/Cite&gt;&lt;/EndNote&gt;</w:instrText>
      </w:r>
      <w:r w:rsidRPr="00C7079D">
        <w:rPr>
          <w:rFonts w:ascii="Arial" w:hAnsi="Arial" w:cs="Arial"/>
        </w:rPr>
        <w:fldChar w:fldCharType="separate"/>
      </w:r>
      <w:r w:rsidR="00F65C59">
        <w:rPr>
          <w:rFonts w:ascii="Arial" w:hAnsi="Arial" w:cs="Arial"/>
          <w:noProof/>
        </w:rPr>
        <w:t>[</w:t>
      </w:r>
      <w:hyperlink w:anchor="_ENREF_49" w:tooltip=", 2009 #9" w:history="1">
        <w:r w:rsidR="00F65C59">
          <w:rPr>
            <w:rFonts w:ascii="Arial" w:hAnsi="Arial" w:cs="Arial"/>
            <w:noProof/>
          </w:rPr>
          <w:t>49</w:t>
        </w:r>
      </w:hyperlink>
      <w:r w:rsidR="00F65C59">
        <w:rPr>
          <w:rFonts w:ascii="Arial" w:hAnsi="Arial" w:cs="Arial"/>
          <w:noProof/>
        </w:rPr>
        <w:t>]</w:t>
      </w:r>
      <w:r w:rsidRPr="00C7079D">
        <w:rPr>
          <w:rFonts w:ascii="Arial" w:hAnsi="Arial" w:cs="Arial"/>
        </w:rPr>
        <w:fldChar w:fldCharType="end"/>
      </w:r>
      <w:r w:rsidRPr="00C7079D">
        <w:rPr>
          <w:rFonts w:ascii="Arial" w:hAnsi="Arial" w:cs="Arial"/>
        </w:rPr>
        <w:t>.</w:t>
      </w:r>
      <w:r w:rsidR="00336BCD" w:rsidRPr="00C7079D">
        <w:rPr>
          <w:rFonts w:ascii="Arial" w:hAnsi="Arial" w:cs="Arial"/>
        </w:rPr>
        <w:t xml:space="preserve"> </w:t>
      </w:r>
      <w:r w:rsidR="00696A37" w:rsidRPr="00C7079D">
        <w:rPr>
          <w:rFonts w:ascii="Arial" w:hAnsi="Arial" w:cs="Arial"/>
        </w:rPr>
        <w:t xml:space="preserve">The </w:t>
      </w:r>
      <w:proofErr w:type="spellStart"/>
      <w:r w:rsidR="00696A37" w:rsidRPr="00C7079D">
        <w:rPr>
          <w:rFonts w:ascii="Arial" w:hAnsi="Arial" w:cs="Arial"/>
        </w:rPr>
        <w:t>cobas</w:t>
      </w:r>
      <w:proofErr w:type="spellEnd"/>
      <w:r w:rsidR="00696A37" w:rsidRPr="00C7079D">
        <w:rPr>
          <w:rFonts w:ascii="Arial" w:hAnsi="Arial" w:cs="Arial"/>
          <w:vertAlign w:val="superscript"/>
        </w:rPr>
        <w:t>®</w:t>
      </w:r>
      <w:r w:rsidR="00696A37" w:rsidRPr="00C7079D">
        <w:rPr>
          <w:rFonts w:ascii="Arial" w:hAnsi="Arial" w:cs="Arial"/>
        </w:rPr>
        <w:t xml:space="preserve"> EGFR Mutation Test </w:t>
      </w:r>
      <w:r w:rsidR="007C1306" w:rsidRPr="00C7079D">
        <w:rPr>
          <w:rFonts w:ascii="Arial" w:hAnsi="Arial" w:cs="Arial"/>
        </w:rPr>
        <w:t xml:space="preserve">is listed on the </w:t>
      </w:r>
      <w:r w:rsidRPr="00C7079D">
        <w:rPr>
          <w:rFonts w:ascii="Arial" w:hAnsi="Arial" w:cs="Arial"/>
        </w:rPr>
        <w:t xml:space="preserve">ARTG </w:t>
      </w:r>
      <w:r w:rsidR="007C1306" w:rsidRPr="00C7079D">
        <w:rPr>
          <w:rFonts w:ascii="Arial" w:hAnsi="Arial" w:cs="Arial"/>
        </w:rPr>
        <w:t>(</w:t>
      </w:r>
      <w:r w:rsidRPr="00C7079D">
        <w:rPr>
          <w:rFonts w:ascii="Arial" w:hAnsi="Arial" w:cs="Arial"/>
        </w:rPr>
        <w:t>number: 194319</w:t>
      </w:r>
      <w:r w:rsidR="007C1306" w:rsidRPr="00C7079D">
        <w:rPr>
          <w:rFonts w:ascii="Arial" w:hAnsi="Arial" w:cs="Arial"/>
        </w:rPr>
        <w:t>)</w:t>
      </w:r>
      <w:r w:rsidRPr="00C7079D">
        <w:rPr>
          <w:rFonts w:ascii="Arial" w:hAnsi="Arial" w:cs="Arial"/>
        </w:rPr>
        <w:t>, effective date 03-02-2012.</w:t>
      </w:r>
    </w:p>
    <w:p w14:paraId="67FD59A6" w14:textId="1720D3DE" w:rsidR="001E1392" w:rsidRDefault="00312075" w:rsidP="00324542">
      <w:pPr>
        <w:spacing w:line="360" w:lineRule="auto"/>
        <w:jc w:val="both"/>
        <w:rPr>
          <w:rFonts w:ascii="Arial" w:hAnsi="Arial" w:cs="Arial"/>
        </w:rPr>
      </w:pPr>
      <w:r>
        <w:rPr>
          <w:rFonts w:ascii="Arial" w:hAnsi="Arial" w:cs="Arial"/>
        </w:rPr>
        <w:t>AZD9291</w:t>
      </w:r>
      <w:r w:rsidR="008D5689" w:rsidRPr="00C7079D">
        <w:rPr>
          <w:rFonts w:ascii="Arial" w:hAnsi="Arial" w:cs="Arial"/>
        </w:rPr>
        <w:t xml:space="preserve"> is currently not registered for marketing in any jurisdiction. </w:t>
      </w:r>
      <w:r>
        <w:rPr>
          <w:rFonts w:ascii="Arial" w:hAnsi="Arial" w:cs="Arial"/>
        </w:rPr>
        <w:t>AZD9291</w:t>
      </w:r>
      <w:r w:rsidR="002D4218" w:rsidRPr="00C7079D">
        <w:rPr>
          <w:rFonts w:ascii="Arial" w:hAnsi="Arial" w:cs="Arial"/>
        </w:rPr>
        <w:t xml:space="preserve"> has been  granted </w:t>
      </w:r>
      <w:r w:rsidR="00696A37" w:rsidRPr="00C7079D">
        <w:rPr>
          <w:rFonts w:ascii="Arial" w:hAnsi="Arial" w:cs="Arial"/>
        </w:rPr>
        <w:t>Breakthrough Therapy designation</w:t>
      </w:r>
      <w:r w:rsidR="002D4218" w:rsidRPr="00C7079D">
        <w:rPr>
          <w:rFonts w:ascii="Arial" w:hAnsi="Arial" w:cs="Arial"/>
        </w:rPr>
        <w:t xml:space="preserve">, Orphan Drug and Fast Track status </w:t>
      </w:r>
      <w:r w:rsidR="00696A37" w:rsidRPr="00C7079D">
        <w:rPr>
          <w:rFonts w:ascii="Arial" w:hAnsi="Arial" w:cs="Arial"/>
        </w:rPr>
        <w:t xml:space="preserve"> by the US FDA</w:t>
      </w:r>
      <w:r w:rsidR="003264E2" w:rsidRPr="00C7079D">
        <w:rPr>
          <w:rFonts w:ascii="Arial" w:hAnsi="Arial" w:cs="Arial"/>
        </w:rPr>
        <w:t xml:space="preserve"> </w:t>
      </w:r>
      <w:r w:rsidR="00696A37" w:rsidRPr="00C7079D">
        <w:rPr>
          <w:rFonts w:ascii="Arial" w:hAnsi="Arial" w:cs="Arial"/>
        </w:rPr>
        <w:t xml:space="preserve"> </w:t>
      </w:r>
      <w:r w:rsidR="00C27F7C" w:rsidRPr="00C7079D">
        <w:rPr>
          <w:rFonts w:ascii="Arial" w:hAnsi="Arial" w:cs="Arial"/>
        </w:rPr>
        <w:fldChar w:fldCharType="begin"/>
      </w:r>
      <w:r w:rsidR="00F65C59">
        <w:rPr>
          <w:rFonts w:ascii="Arial" w:hAnsi="Arial" w:cs="Arial"/>
        </w:rPr>
        <w:instrText xml:space="preserve"> ADDIN EN.CITE &lt;EndNote&gt;&lt;Cite&gt;&lt;Author&gt;Food and Drug Administration&lt;/Author&gt;&lt;Year&gt;2014&lt;/Year&gt;&lt;RecNum&gt;91&lt;/RecNum&gt;&lt;DisplayText&gt;[50]&lt;/DisplayText&gt;&lt;record&gt;&lt;rec-number&gt;91&lt;/rec-number&gt;&lt;foreign-keys&gt;&lt;key app="EN" db-id="rprtzr95srz0woefsws5fs50rfwvtsf5aw2f"&gt;91&lt;/key&gt;&lt;/foreign-keys&gt;&lt;ref-type name="Government Document"&gt;46&lt;/ref-type&gt;&lt;contributors&gt;&lt;authors&gt;&lt;author&gt;Food and Drug Administration, &lt;/author&gt;&lt;/authors&gt;&lt;secondary-authors&gt;&lt;author&gt;Department of Health and Human Services, &lt;/author&gt;&lt;/secondary-authors&gt;&lt;/contributors&gt;&lt;titles&gt;&lt;title&gt;Grant - Breakthrough Therapy Designation &lt;/title&gt;&lt;/titles&gt;&lt;volume&gt;Reference ID: 3490318 &lt;/volume&gt;&lt;dates&gt;&lt;year&gt;2014&lt;/year&gt;&lt;/dates&gt;&lt;pub-location&gt;Silver Spring MD&lt;/pub-location&gt;&lt;urls&gt;&lt;/urls&gt;&lt;/record&gt;&lt;/Cite&gt;&lt;/EndNote&gt;</w:instrText>
      </w:r>
      <w:r w:rsidR="00C27F7C" w:rsidRPr="00C7079D">
        <w:rPr>
          <w:rFonts w:ascii="Arial" w:hAnsi="Arial" w:cs="Arial"/>
        </w:rPr>
        <w:fldChar w:fldCharType="separate"/>
      </w:r>
      <w:r w:rsidR="00F65C59">
        <w:rPr>
          <w:rFonts w:ascii="Arial" w:hAnsi="Arial" w:cs="Arial"/>
          <w:noProof/>
        </w:rPr>
        <w:t>[</w:t>
      </w:r>
      <w:hyperlink w:anchor="_ENREF_50" w:tooltip="Food and Drug Administration, 2014 #91" w:history="1">
        <w:r w:rsidR="00F65C59">
          <w:rPr>
            <w:rFonts w:ascii="Arial" w:hAnsi="Arial" w:cs="Arial"/>
            <w:noProof/>
          </w:rPr>
          <w:t>50</w:t>
        </w:r>
      </w:hyperlink>
      <w:r w:rsidR="00F65C59">
        <w:rPr>
          <w:rFonts w:ascii="Arial" w:hAnsi="Arial" w:cs="Arial"/>
          <w:noProof/>
        </w:rPr>
        <w:t>]</w:t>
      </w:r>
      <w:r w:rsidR="00C27F7C" w:rsidRPr="00C7079D">
        <w:rPr>
          <w:rFonts w:ascii="Arial" w:hAnsi="Arial" w:cs="Arial"/>
        </w:rPr>
        <w:fldChar w:fldCharType="end"/>
      </w:r>
      <w:r w:rsidR="006F18CB" w:rsidRPr="00C7079D">
        <w:rPr>
          <w:rFonts w:ascii="Arial" w:hAnsi="Arial" w:cs="Arial"/>
        </w:rPr>
        <w:t xml:space="preserve">. </w:t>
      </w:r>
    </w:p>
    <w:p w14:paraId="7D65356E" w14:textId="77777777" w:rsidR="007C1306" w:rsidRPr="00C7079D" w:rsidRDefault="001E1392" w:rsidP="001E1392">
      <w:pPr>
        <w:rPr>
          <w:rFonts w:ascii="Arial" w:hAnsi="Arial" w:cs="Arial"/>
        </w:rPr>
      </w:pPr>
      <w:r>
        <w:rPr>
          <w:rFonts w:ascii="Arial" w:hAnsi="Arial" w:cs="Arial"/>
        </w:rPr>
        <w:br w:type="page"/>
      </w:r>
    </w:p>
    <w:p w14:paraId="2EBFAE07" w14:textId="77777777" w:rsidR="000C4286" w:rsidRPr="00DF021C" w:rsidRDefault="000C4286" w:rsidP="009C49F2">
      <w:pPr>
        <w:pStyle w:val="Heading2"/>
      </w:pPr>
      <w:r w:rsidRPr="004750DD">
        <w:lastRenderedPageBreak/>
        <w:t>Decision analytic</w:t>
      </w:r>
    </w:p>
    <w:p w14:paraId="0A842022" w14:textId="77777777" w:rsidR="00A90026" w:rsidRDefault="00A90026" w:rsidP="00FE2381">
      <w:pPr>
        <w:pStyle w:val="Caption"/>
      </w:pPr>
      <w:bookmarkStart w:id="3" w:name="_Ref410904070"/>
    </w:p>
    <w:p w14:paraId="09D166D0" w14:textId="77777777" w:rsidR="00FE2381" w:rsidRDefault="00FE2381" w:rsidP="00FE2381">
      <w:pPr>
        <w:pStyle w:val="Caption"/>
      </w:pPr>
      <w:r>
        <w:t xml:space="preserve">Table </w:t>
      </w:r>
      <w:r w:rsidR="000C5C28">
        <w:fldChar w:fldCharType="begin"/>
      </w:r>
      <w:r w:rsidR="000C5C28">
        <w:instrText xml:space="preserve"> SEQ Table \* ARABIC </w:instrText>
      </w:r>
      <w:r w:rsidR="000C5C28">
        <w:fldChar w:fldCharType="separate"/>
      </w:r>
      <w:r w:rsidR="00710C32">
        <w:rPr>
          <w:noProof/>
        </w:rPr>
        <w:t>2</w:t>
      </w:r>
      <w:r w:rsidR="000C5C28">
        <w:rPr>
          <w:noProof/>
        </w:rPr>
        <w:fldChar w:fldCharType="end"/>
      </w:r>
      <w:bookmarkEnd w:id="3"/>
      <w:r>
        <w:t xml:space="preserve"> - Su</w:t>
      </w:r>
      <w:r w:rsidRPr="00E0796A">
        <w:t>mmary of PICO to define research question</w:t>
      </w:r>
    </w:p>
    <w:tbl>
      <w:tblPr>
        <w:tblStyle w:val="TableGrid"/>
        <w:tblW w:w="5000" w:type="pct"/>
        <w:tblLook w:val="04A0" w:firstRow="1" w:lastRow="0" w:firstColumn="1" w:lastColumn="0" w:noHBand="0" w:noVBand="1"/>
        <w:tblCaption w:val="Table 3 - Summary of PICO to define research question"/>
      </w:tblPr>
      <w:tblGrid>
        <w:gridCol w:w="2799"/>
        <w:gridCol w:w="6489"/>
      </w:tblGrid>
      <w:tr w:rsidR="00FE2381" w:rsidRPr="00747B00" w14:paraId="1644F929" w14:textId="77777777" w:rsidTr="00011F80">
        <w:trPr>
          <w:tblHeader/>
        </w:trPr>
        <w:tc>
          <w:tcPr>
            <w:tcW w:w="1507" w:type="pct"/>
          </w:tcPr>
          <w:p w14:paraId="4161DE5A" w14:textId="77777777" w:rsidR="00FE2381" w:rsidRPr="00747B00" w:rsidRDefault="00FE2381" w:rsidP="00D9524E">
            <w:pPr>
              <w:spacing w:before="40"/>
              <w:jc w:val="center"/>
              <w:rPr>
                <w:rFonts w:ascii="Times New Roman" w:hAnsi="Times New Roman" w:cs="Times New Roman"/>
                <w:b/>
              </w:rPr>
            </w:pPr>
            <w:r>
              <w:rPr>
                <w:rFonts w:ascii="Times New Roman" w:hAnsi="Times New Roman" w:cs="Times New Roman"/>
                <w:b/>
              </w:rPr>
              <w:t>PICO</w:t>
            </w:r>
          </w:p>
        </w:tc>
        <w:tc>
          <w:tcPr>
            <w:tcW w:w="3493" w:type="pct"/>
          </w:tcPr>
          <w:p w14:paraId="629C03A7" w14:textId="77777777" w:rsidR="00FE2381" w:rsidRPr="00747B00" w:rsidRDefault="00FE2381" w:rsidP="00D9524E">
            <w:pPr>
              <w:spacing w:before="40"/>
              <w:jc w:val="center"/>
              <w:rPr>
                <w:rFonts w:ascii="Times New Roman" w:hAnsi="Times New Roman" w:cs="Times New Roman"/>
                <w:b/>
              </w:rPr>
            </w:pPr>
            <w:r>
              <w:rPr>
                <w:rFonts w:ascii="Times New Roman" w:hAnsi="Times New Roman" w:cs="Times New Roman"/>
                <w:b/>
              </w:rPr>
              <w:t>Comments</w:t>
            </w:r>
          </w:p>
        </w:tc>
      </w:tr>
      <w:tr w:rsidR="00FE2381" w:rsidRPr="0086698B" w14:paraId="079885AE" w14:textId="77777777" w:rsidTr="00011F80">
        <w:tc>
          <w:tcPr>
            <w:tcW w:w="1507" w:type="pct"/>
          </w:tcPr>
          <w:p w14:paraId="6F17450D" w14:textId="77777777" w:rsidR="00FE2381" w:rsidRPr="00C62866" w:rsidRDefault="00FE2381" w:rsidP="00D9524E">
            <w:pPr>
              <w:spacing w:before="40"/>
              <w:rPr>
                <w:rFonts w:ascii="Times New Roman" w:hAnsi="Times New Roman" w:cs="Times New Roman"/>
              </w:rPr>
            </w:pPr>
            <w:r w:rsidRPr="00C62866">
              <w:rPr>
                <w:rFonts w:ascii="Times New Roman" w:hAnsi="Times New Roman" w:cs="Times New Roman"/>
              </w:rPr>
              <w:t>Patients</w:t>
            </w:r>
            <w:r w:rsidR="00FF21C6">
              <w:rPr>
                <w:rFonts w:ascii="Times New Roman" w:hAnsi="Times New Roman" w:cs="Times New Roman"/>
              </w:rPr>
              <w:t xml:space="preserve"> to test</w:t>
            </w:r>
          </w:p>
        </w:tc>
        <w:tc>
          <w:tcPr>
            <w:tcW w:w="3493" w:type="pct"/>
          </w:tcPr>
          <w:p w14:paraId="6AC0F589" w14:textId="77777777" w:rsidR="00FF21C6" w:rsidRPr="00324542" w:rsidRDefault="00FE2381" w:rsidP="00C91055">
            <w:pPr>
              <w:spacing w:before="40" w:line="276" w:lineRule="auto"/>
              <w:rPr>
                <w:rFonts w:ascii="Arial" w:hAnsi="Arial" w:cs="Arial"/>
                <w:color w:val="1F497D" w:themeColor="text2"/>
                <w:sz w:val="20"/>
              </w:rPr>
            </w:pPr>
            <w:r w:rsidRPr="00324542">
              <w:rPr>
                <w:rFonts w:ascii="Arial" w:hAnsi="Arial" w:cs="Arial"/>
                <w:color w:val="1F497D" w:themeColor="text2"/>
                <w:sz w:val="20"/>
              </w:rPr>
              <w:t>Patients with locally advanced</w:t>
            </w:r>
            <w:r w:rsidR="00253D0A">
              <w:rPr>
                <w:rFonts w:ascii="Arial" w:hAnsi="Arial" w:cs="Arial"/>
                <w:color w:val="1F497D" w:themeColor="text2"/>
                <w:sz w:val="20"/>
              </w:rPr>
              <w:t xml:space="preserve"> (Stage </w:t>
            </w:r>
            <w:proofErr w:type="spellStart"/>
            <w:r w:rsidR="00253D0A">
              <w:rPr>
                <w:rFonts w:ascii="Arial" w:hAnsi="Arial" w:cs="Arial"/>
                <w:color w:val="1F497D" w:themeColor="text2"/>
                <w:sz w:val="20"/>
              </w:rPr>
              <w:t>IIIb</w:t>
            </w:r>
            <w:proofErr w:type="spellEnd"/>
            <w:r w:rsidR="00253D0A">
              <w:rPr>
                <w:rFonts w:ascii="Arial" w:hAnsi="Arial" w:cs="Arial"/>
                <w:color w:val="1F497D" w:themeColor="text2"/>
                <w:sz w:val="20"/>
              </w:rPr>
              <w:t>)</w:t>
            </w:r>
            <w:r w:rsidRPr="00324542">
              <w:rPr>
                <w:rFonts w:ascii="Arial" w:hAnsi="Arial" w:cs="Arial"/>
                <w:color w:val="1F497D" w:themeColor="text2"/>
                <w:sz w:val="20"/>
              </w:rPr>
              <w:t xml:space="preserve"> or metastatic</w:t>
            </w:r>
            <w:r w:rsidR="00253D0A">
              <w:rPr>
                <w:rFonts w:ascii="Arial" w:hAnsi="Arial" w:cs="Arial"/>
                <w:color w:val="1F497D" w:themeColor="text2"/>
                <w:sz w:val="20"/>
              </w:rPr>
              <w:t xml:space="preserve"> (Stage IV), non-squamous or NOS</w:t>
            </w:r>
            <w:r w:rsidRPr="00324542">
              <w:rPr>
                <w:rFonts w:ascii="Arial" w:hAnsi="Arial" w:cs="Arial"/>
                <w:color w:val="1F497D" w:themeColor="text2"/>
                <w:sz w:val="20"/>
              </w:rPr>
              <w:t xml:space="preserve"> </w:t>
            </w:r>
            <w:proofErr w:type="spellStart"/>
            <w:r w:rsidR="00336BCD" w:rsidRPr="00324542">
              <w:rPr>
                <w:rFonts w:ascii="Arial" w:hAnsi="Arial" w:cs="Arial"/>
                <w:color w:val="1F497D" w:themeColor="text2"/>
                <w:sz w:val="20"/>
              </w:rPr>
              <w:t>EGFRm</w:t>
            </w:r>
            <w:proofErr w:type="spellEnd"/>
            <w:r w:rsidR="00336BCD" w:rsidRPr="00324542">
              <w:rPr>
                <w:rFonts w:ascii="Arial" w:hAnsi="Arial" w:cs="Arial"/>
                <w:color w:val="1F497D" w:themeColor="text2"/>
                <w:sz w:val="20"/>
              </w:rPr>
              <w:t xml:space="preserve"> </w:t>
            </w:r>
            <w:r w:rsidRPr="00324542">
              <w:rPr>
                <w:rFonts w:ascii="Arial" w:hAnsi="Arial" w:cs="Arial"/>
                <w:color w:val="1F497D" w:themeColor="text2"/>
                <w:sz w:val="20"/>
              </w:rPr>
              <w:t xml:space="preserve">NSCLC </w:t>
            </w:r>
            <w:r w:rsidR="00C91055">
              <w:rPr>
                <w:rFonts w:ascii="Arial" w:hAnsi="Arial" w:cs="Arial"/>
                <w:color w:val="1F497D" w:themeColor="text2"/>
                <w:sz w:val="20"/>
              </w:rPr>
              <w:t>previously</w:t>
            </w:r>
            <w:r w:rsidR="00A13630">
              <w:rPr>
                <w:rFonts w:ascii="Arial" w:hAnsi="Arial" w:cs="Arial"/>
                <w:color w:val="1F497D" w:themeColor="text2"/>
                <w:sz w:val="20"/>
              </w:rPr>
              <w:t xml:space="preserve"> treat</w:t>
            </w:r>
            <w:r w:rsidR="00C91055">
              <w:rPr>
                <w:rFonts w:ascii="Arial" w:hAnsi="Arial" w:cs="Arial"/>
                <w:color w:val="1F497D" w:themeColor="text2"/>
                <w:sz w:val="20"/>
              </w:rPr>
              <w:t>ed</w:t>
            </w:r>
            <w:r w:rsidR="00A13630">
              <w:rPr>
                <w:rFonts w:ascii="Arial" w:hAnsi="Arial" w:cs="Arial"/>
                <w:color w:val="1F497D" w:themeColor="text2"/>
                <w:sz w:val="20"/>
              </w:rPr>
              <w:t xml:space="preserve"> with an EGFR TKI (</w:t>
            </w:r>
            <w:proofErr w:type="spellStart"/>
            <w:r w:rsidR="00A13630">
              <w:rPr>
                <w:rFonts w:ascii="Arial" w:hAnsi="Arial" w:cs="Arial"/>
                <w:color w:val="1F497D" w:themeColor="text2"/>
                <w:sz w:val="20"/>
              </w:rPr>
              <w:t>gefitinib</w:t>
            </w:r>
            <w:proofErr w:type="spellEnd"/>
            <w:r w:rsidR="00A13630">
              <w:rPr>
                <w:rFonts w:ascii="Arial" w:hAnsi="Arial" w:cs="Arial"/>
                <w:color w:val="1F497D" w:themeColor="text2"/>
                <w:sz w:val="20"/>
              </w:rPr>
              <w:t xml:space="preserve">, </w:t>
            </w:r>
            <w:proofErr w:type="spellStart"/>
            <w:r w:rsidR="00A13630">
              <w:rPr>
                <w:rFonts w:ascii="Arial" w:hAnsi="Arial" w:cs="Arial"/>
                <w:color w:val="1F497D" w:themeColor="text2"/>
                <w:sz w:val="20"/>
              </w:rPr>
              <w:t>erlotinib</w:t>
            </w:r>
            <w:proofErr w:type="spellEnd"/>
            <w:r w:rsidR="00A13630">
              <w:rPr>
                <w:rFonts w:ascii="Arial" w:hAnsi="Arial" w:cs="Arial"/>
                <w:color w:val="1F497D" w:themeColor="text2"/>
                <w:sz w:val="20"/>
              </w:rPr>
              <w:t xml:space="preserve">, </w:t>
            </w:r>
            <w:proofErr w:type="spellStart"/>
            <w:r w:rsidR="00A13630">
              <w:rPr>
                <w:rFonts w:ascii="Arial" w:hAnsi="Arial" w:cs="Arial"/>
                <w:color w:val="1F497D" w:themeColor="text2"/>
                <w:sz w:val="20"/>
              </w:rPr>
              <w:t>afatinib</w:t>
            </w:r>
            <w:proofErr w:type="spellEnd"/>
            <w:r w:rsidR="00A13630">
              <w:rPr>
                <w:rFonts w:ascii="Arial" w:hAnsi="Arial" w:cs="Arial"/>
                <w:color w:val="1F497D" w:themeColor="text2"/>
                <w:sz w:val="20"/>
              </w:rPr>
              <w:t xml:space="preserve">), PS 0-1, and </w:t>
            </w:r>
            <w:r w:rsidR="00C91055" w:rsidRPr="00324542">
              <w:rPr>
                <w:rFonts w:ascii="Arial" w:hAnsi="Arial" w:cs="Arial"/>
                <w:color w:val="1F497D" w:themeColor="text2"/>
                <w:sz w:val="20"/>
              </w:rPr>
              <w:t>who</w:t>
            </w:r>
            <w:r w:rsidR="00C91055">
              <w:rPr>
                <w:rFonts w:ascii="Arial" w:hAnsi="Arial" w:cs="Arial"/>
                <w:color w:val="1F497D" w:themeColor="text2"/>
                <w:sz w:val="20"/>
              </w:rPr>
              <w:t xml:space="preserve"> has progressive</w:t>
            </w:r>
            <w:r w:rsidR="00C91055" w:rsidRPr="00324542">
              <w:rPr>
                <w:rFonts w:ascii="Arial" w:hAnsi="Arial" w:cs="Arial"/>
                <w:color w:val="1F497D" w:themeColor="text2"/>
                <w:sz w:val="20"/>
              </w:rPr>
              <w:t xml:space="preserve"> </w:t>
            </w:r>
            <w:r w:rsidRPr="00324542">
              <w:rPr>
                <w:rFonts w:ascii="Arial" w:hAnsi="Arial" w:cs="Arial"/>
                <w:color w:val="1F497D" w:themeColor="text2"/>
                <w:sz w:val="20"/>
              </w:rPr>
              <w:t>disease</w:t>
            </w:r>
            <w:r w:rsidR="00C91055">
              <w:rPr>
                <w:rFonts w:ascii="Arial" w:hAnsi="Arial" w:cs="Arial"/>
                <w:color w:val="1F497D" w:themeColor="text2"/>
                <w:sz w:val="20"/>
              </w:rPr>
              <w:t>.</w:t>
            </w:r>
          </w:p>
        </w:tc>
      </w:tr>
      <w:tr w:rsidR="00FE2381" w:rsidRPr="0086698B" w14:paraId="5F223F64" w14:textId="77777777" w:rsidTr="00011F80">
        <w:tc>
          <w:tcPr>
            <w:tcW w:w="1507" w:type="pct"/>
          </w:tcPr>
          <w:p w14:paraId="014D0FD3" w14:textId="77777777" w:rsidR="00FE2381" w:rsidRPr="00C62866" w:rsidRDefault="00FE2381" w:rsidP="00D9524E">
            <w:pPr>
              <w:spacing w:before="40"/>
              <w:rPr>
                <w:rFonts w:ascii="Times New Roman" w:hAnsi="Times New Roman" w:cs="Times New Roman"/>
              </w:rPr>
            </w:pPr>
            <w:r w:rsidRPr="00C62866">
              <w:rPr>
                <w:rFonts w:ascii="Times New Roman" w:hAnsi="Times New Roman" w:cs="Times New Roman"/>
              </w:rPr>
              <w:t>Intervention</w:t>
            </w:r>
          </w:p>
        </w:tc>
        <w:tc>
          <w:tcPr>
            <w:tcW w:w="3493" w:type="pct"/>
          </w:tcPr>
          <w:p w14:paraId="48BA1501" w14:textId="77777777" w:rsidR="00340261" w:rsidRDefault="0036678D" w:rsidP="00324542">
            <w:pPr>
              <w:spacing w:before="40" w:line="276" w:lineRule="auto"/>
              <w:rPr>
                <w:rFonts w:ascii="Arial" w:hAnsi="Arial" w:cs="Arial"/>
                <w:color w:val="1F497D" w:themeColor="text2"/>
                <w:sz w:val="20"/>
              </w:rPr>
            </w:pPr>
            <w:r w:rsidRPr="006E4490">
              <w:rPr>
                <w:rFonts w:ascii="Arial" w:hAnsi="Arial" w:cs="Arial"/>
                <w:color w:val="1F497D" w:themeColor="text2"/>
                <w:sz w:val="20"/>
              </w:rPr>
              <w:t>Biop</w:t>
            </w:r>
            <w:r w:rsidR="00253D0A" w:rsidRPr="006E4490">
              <w:rPr>
                <w:rFonts w:ascii="Arial" w:hAnsi="Arial" w:cs="Arial"/>
                <w:color w:val="1F497D" w:themeColor="text2"/>
                <w:sz w:val="20"/>
              </w:rPr>
              <w:t>s</w:t>
            </w:r>
            <w:r w:rsidRPr="006E4490">
              <w:rPr>
                <w:rFonts w:ascii="Arial" w:hAnsi="Arial" w:cs="Arial"/>
                <w:color w:val="1F497D" w:themeColor="text2"/>
                <w:sz w:val="20"/>
              </w:rPr>
              <w:t>y</w:t>
            </w:r>
            <w:r w:rsidR="00C65BD5" w:rsidRPr="006E4490">
              <w:rPr>
                <w:rFonts w:ascii="Arial" w:hAnsi="Arial" w:cs="Arial"/>
                <w:color w:val="1F497D" w:themeColor="text2"/>
                <w:sz w:val="20"/>
              </w:rPr>
              <w:t xml:space="preserve"> </w:t>
            </w:r>
            <w:r w:rsidR="00AD1414" w:rsidRPr="006E4490">
              <w:rPr>
                <w:rFonts w:ascii="Arial" w:hAnsi="Arial" w:cs="Arial"/>
                <w:color w:val="1F497D" w:themeColor="text2"/>
                <w:sz w:val="20"/>
              </w:rPr>
              <w:t xml:space="preserve">to obtain tumour DNA </w:t>
            </w:r>
          </w:p>
          <w:p w14:paraId="2747A78B" w14:textId="25C49B5C" w:rsidR="0036678D" w:rsidRPr="006E4490" w:rsidRDefault="0036678D" w:rsidP="00324542">
            <w:pPr>
              <w:spacing w:before="40" w:line="276" w:lineRule="auto"/>
              <w:rPr>
                <w:rFonts w:ascii="Arial" w:hAnsi="Arial" w:cs="Arial"/>
                <w:color w:val="1F497D" w:themeColor="text2"/>
                <w:sz w:val="20"/>
              </w:rPr>
            </w:pPr>
            <w:r w:rsidRPr="006E4490">
              <w:rPr>
                <w:rFonts w:ascii="Arial" w:hAnsi="Arial" w:cs="Arial"/>
                <w:color w:val="1F497D" w:themeColor="text2"/>
                <w:sz w:val="20"/>
              </w:rPr>
              <w:t>EGFR mutation test</w:t>
            </w:r>
            <w:r w:rsidR="00FF21C6" w:rsidRPr="006E4490">
              <w:rPr>
                <w:rFonts w:ascii="Arial" w:hAnsi="Arial" w:cs="Arial"/>
                <w:color w:val="1F497D" w:themeColor="text2"/>
                <w:sz w:val="20"/>
              </w:rPr>
              <w:t xml:space="preserve"> to determine T790M status</w:t>
            </w:r>
          </w:p>
          <w:p w14:paraId="02F3583F" w14:textId="616CA09F" w:rsidR="00FE2381" w:rsidRPr="006E4490" w:rsidRDefault="00FF21C6" w:rsidP="00324542">
            <w:pPr>
              <w:spacing w:before="40" w:line="276" w:lineRule="auto"/>
              <w:rPr>
                <w:rFonts w:ascii="Arial" w:hAnsi="Arial" w:cs="Arial"/>
                <w:color w:val="1F497D" w:themeColor="text2"/>
                <w:sz w:val="20"/>
              </w:rPr>
            </w:pPr>
            <w:r w:rsidRPr="006E4490">
              <w:rPr>
                <w:rFonts w:ascii="Arial" w:hAnsi="Arial" w:cs="Arial"/>
                <w:color w:val="1F497D" w:themeColor="text2"/>
                <w:sz w:val="20"/>
              </w:rPr>
              <w:t xml:space="preserve">If T790M positive, receive </w:t>
            </w:r>
            <w:r w:rsidR="00312075">
              <w:rPr>
                <w:rFonts w:ascii="Arial" w:hAnsi="Arial" w:cs="Arial"/>
                <w:color w:val="1F497D" w:themeColor="text2"/>
                <w:sz w:val="20"/>
              </w:rPr>
              <w:t>AZD9291</w:t>
            </w:r>
            <w:r w:rsidR="0036678D" w:rsidRPr="006E4490">
              <w:rPr>
                <w:rFonts w:ascii="Arial" w:hAnsi="Arial" w:cs="Arial"/>
                <w:color w:val="1F497D" w:themeColor="text2"/>
                <w:sz w:val="20"/>
              </w:rPr>
              <w:t xml:space="preserve"> </w:t>
            </w:r>
            <w:r w:rsidR="00FE2381" w:rsidRPr="006E4490">
              <w:rPr>
                <w:rFonts w:ascii="Arial" w:hAnsi="Arial" w:cs="Arial"/>
                <w:color w:val="1F497D" w:themeColor="text2"/>
                <w:sz w:val="20"/>
              </w:rPr>
              <w:t>80mg tablet once daily oral</w:t>
            </w:r>
          </w:p>
          <w:p w14:paraId="4C8D2DC8" w14:textId="77777777" w:rsidR="00FF21C6" w:rsidRPr="006E4490" w:rsidRDefault="00FF21C6" w:rsidP="00324542">
            <w:pPr>
              <w:spacing w:before="40" w:line="276" w:lineRule="auto"/>
              <w:rPr>
                <w:rFonts w:ascii="Arial" w:hAnsi="Arial" w:cs="Arial"/>
                <w:color w:val="1F497D" w:themeColor="text2"/>
                <w:sz w:val="20"/>
              </w:rPr>
            </w:pPr>
            <w:r w:rsidRPr="006E4490">
              <w:rPr>
                <w:rFonts w:ascii="Arial" w:hAnsi="Arial" w:cs="Arial"/>
                <w:color w:val="1F497D" w:themeColor="text2"/>
                <w:sz w:val="20"/>
              </w:rPr>
              <w:t>If T790M negative or status unknown, receive platinum-based doublet chemotherapy</w:t>
            </w:r>
            <w:r w:rsidR="00A13630" w:rsidRPr="006E4490">
              <w:rPr>
                <w:rFonts w:ascii="Arial" w:hAnsi="Arial" w:cs="Arial"/>
                <w:color w:val="1F497D" w:themeColor="text2"/>
                <w:sz w:val="20"/>
              </w:rPr>
              <w:t xml:space="preserve"> or mono-chemotherapy</w:t>
            </w:r>
          </w:p>
        </w:tc>
      </w:tr>
      <w:tr w:rsidR="00FE2381" w:rsidRPr="0086698B" w14:paraId="5CE1BBD6" w14:textId="77777777" w:rsidTr="00011F80">
        <w:tc>
          <w:tcPr>
            <w:tcW w:w="1507" w:type="pct"/>
          </w:tcPr>
          <w:p w14:paraId="3FE6BD70" w14:textId="77777777" w:rsidR="00FE2381" w:rsidRPr="00C62866" w:rsidRDefault="00FE2381" w:rsidP="00D9524E">
            <w:pPr>
              <w:spacing w:before="40"/>
              <w:rPr>
                <w:rFonts w:ascii="Times New Roman" w:hAnsi="Times New Roman" w:cs="Times New Roman"/>
              </w:rPr>
            </w:pPr>
            <w:r w:rsidRPr="00C62866">
              <w:rPr>
                <w:rFonts w:ascii="Times New Roman" w:hAnsi="Times New Roman" w:cs="Times New Roman"/>
              </w:rPr>
              <w:t>Comparator</w:t>
            </w:r>
          </w:p>
        </w:tc>
        <w:tc>
          <w:tcPr>
            <w:tcW w:w="3493" w:type="pct"/>
          </w:tcPr>
          <w:p w14:paraId="11FE50ED" w14:textId="77777777" w:rsidR="00FF21C6" w:rsidRPr="006E4490" w:rsidRDefault="00FF21C6" w:rsidP="00324542">
            <w:pPr>
              <w:spacing w:before="40" w:line="276" w:lineRule="auto"/>
              <w:rPr>
                <w:rFonts w:ascii="Arial" w:hAnsi="Arial" w:cs="Arial"/>
                <w:color w:val="1F497D" w:themeColor="text2"/>
                <w:sz w:val="20"/>
              </w:rPr>
            </w:pPr>
            <w:r w:rsidRPr="006E4490">
              <w:rPr>
                <w:rFonts w:ascii="Arial" w:hAnsi="Arial" w:cs="Arial"/>
                <w:color w:val="1F497D" w:themeColor="text2"/>
                <w:sz w:val="20"/>
              </w:rPr>
              <w:t>No biopsy</w:t>
            </w:r>
          </w:p>
          <w:p w14:paraId="64734267" w14:textId="77777777" w:rsidR="00FF21C6" w:rsidRPr="006E4490" w:rsidRDefault="00FF21C6" w:rsidP="00324542">
            <w:pPr>
              <w:spacing w:before="40" w:line="276" w:lineRule="auto"/>
              <w:rPr>
                <w:rFonts w:ascii="Arial" w:hAnsi="Arial" w:cs="Arial"/>
                <w:color w:val="1F497D" w:themeColor="text2"/>
                <w:sz w:val="20"/>
              </w:rPr>
            </w:pPr>
            <w:r w:rsidRPr="006E4490">
              <w:rPr>
                <w:rFonts w:ascii="Arial" w:hAnsi="Arial" w:cs="Arial"/>
                <w:color w:val="1F497D" w:themeColor="text2"/>
                <w:sz w:val="20"/>
              </w:rPr>
              <w:t>No EGFR mutation test</w:t>
            </w:r>
          </w:p>
          <w:p w14:paraId="34C74D00" w14:textId="77777777" w:rsidR="00FE2381" w:rsidRPr="006E4490" w:rsidRDefault="00FE2381" w:rsidP="00324542">
            <w:pPr>
              <w:spacing w:before="40" w:line="276" w:lineRule="auto"/>
              <w:rPr>
                <w:rFonts w:ascii="Arial" w:hAnsi="Arial" w:cs="Arial"/>
                <w:color w:val="1F497D" w:themeColor="text2"/>
                <w:sz w:val="20"/>
              </w:rPr>
            </w:pPr>
            <w:r w:rsidRPr="006E4490">
              <w:rPr>
                <w:rFonts w:ascii="Arial" w:hAnsi="Arial" w:cs="Arial"/>
                <w:color w:val="1F497D" w:themeColor="text2"/>
                <w:sz w:val="20"/>
              </w:rPr>
              <w:t>Platinum-based doublet chemotherapy</w:t>
            </w:r>
            <w:r w:rsidR="00380695" w:rsidRPr="006E4490">
              <w:rPr>
                <w:rFonts w:ascii="Arial" w:hAnsi="Arial" w:cs="Arial"/>
                <w:color w:val="1F497D" w:themeColor="text2"/>
                <w:sz w:val="20"/>
              </w:rPr>
              <w:t xml:space="preserve"> or mono-chemotherapy</w:t>
            </w:r>
          </w:p>
        </w:tc>
      </w:tr>
      <w:tr w:rsidR="00FE2381" w:rsidRPr="0086698B" w14:paraId="33C7086F" w14:textId="77777777" w:rsidTr="00011F80">
        <w:tc>
          <w:tcPr>
            <w:tcW w:w="1507" w:type="pct"/>
          </w:tcPr>
          <w:p w14:paraId="5AEFDB7B" w14:textId="77777777" w:rsidR="00FE2381" w:rsidRPr="00C62866" w:rsidRDefault="00FE2381" w:rsidP="00D9524E">
            <w:pPr>
              <w:spacing w:before="40"/>
              <w:rPr>
                <w:rFonts w:ascii="Times New Roman" w:hAnsi="Times New Roman" w:cs="Times New Roman"/>
              </w:rPr>
            </w:pPr>
            <w:r w:rsidRPr="00C62866">
              <w:rPr>
                <w:rFonts w:ascii="Times New Roman" w:hAnsi="Times New Roman" w:cs="Times New Roman"/>
              </w:rPr>
              <w:t>Outcomes</w:t>
            </w:r>
            <w:r w:rsidR="002D3CCA">
              <w:rPr>
                <w:rFonts w:ascii="Times New Roman" w:hAnsi="Times New Roman" w:cs="Times New Roman"/>
              </w:rPr>
              <w:t>#</w:t>
            </w:r>
          </w:p>
        </w:tc>
        <w:tc>
          <w:tcPr>
            <w:tcW w:w="3493" w:type="pct"/>
          </w:tcPr>
          <w:p w14:paraId="3EC3D640" w14:textId="02F39B49" w:rsidR="00CB06BF" w:rsidRDefault="00CB06BF" w:rsidP="00324542">
            <w:pPr>
              <w:spacing w:before="40" w:line="276" w:lineRule="auto"/>
              <w:rPr>
                <w:rFonts w:ascii="Arial" w:hAnsi="Arial" w:cs="Arial"/>
                <w:color w:val="1F497D" w:themeColor="text2"/>
                <w:sz w:val="20"/>
              </w:rPr>
            </w:pPr>
            <w:r>
              <w:rPr>
                <w:rFonts w:ascii="Arial" w:hAnsi="Arial" w:cs="Arial"/>
                <w:color w:val="1F497D" w:themeColor="text2"/>
                <w:sz w:val="20"/>
              </w:rPr>
              <w:t xml:space="preserve">Diagnostic accuracy of </w:t>
            </w:r>
            <w:r w:rsidR="008E4438">
              <w:rPr>
                <w:rFonts w:ascii="Arial" w:hAnsi="Arial" w:cs="Arial"/>
                <w:color w:val="1F497D" w:themeColor="text2"/>
                <w:sz w:val="20"/>
              </w:rPr>
              <w:t xml:space="preserve">T790M </w:t>
            </w:r>
            <w:r w:rsidRPr="00380695">
              <w:rPr>
                <w:rFonts w:ascii="Arial" w:hAnsi="Arial" w:cs="Arial"/>
                <w:color w:val="1F497D" w:themeColor="text2"/>
                <w:sz w:val="20"/>
              </w:rPr>
              <w:t>testing</w:t>
            </w:r>
            <w:r w:rsidR="0066309F" w:rsidRPr="00380695">
              <w:rPr>
                <w:rFonts w:ascii="Arial" w:hAnsi="Arial" w:cs="Arial"/>
                <w:color w:val="1F497D" w:themeColor="text2"/>
                <w:sz w:val="20"/>
              </w:rPr>
              <w:t xml:space="preserve"> (sensitivity, specificity, negative predictive value, positive predictive value</w:t>
            </w:r>
            <w:r w:rsidR="00731055" w:rsidRPr="00380695">
              <w:rPr>
                <w:rFonts w:ascii="Arial" w:hAnsi="Arial" w:cs="Arial"/>
                <w:color w:val="1F497D" w:themeColor="text2"/>
                <w:sz w:val="20"/>
              </w:rPr>
              <w:t>, likelihood ratios</w:t>
            </w:r>
            <w:r w:rsidR="008E4438">
              <w:rPr>
                <w:rFonts w:ascii="Arial" w:hAnsi="Arial" w:cs="Arial"/>
                <w:color w:val="1F497D" w:themeColor="text2"/>
                <w:sz w:val="20"/>
              </w:rPr>
              <w:t>)</w:t>
            </w:r>
            <w:r w:rsidR="006F7705">
              <w:rPr>
                <w:rFonts w:ascii="Arial" w:hAnsi="Arial" w:cs="Arial"/>
                <w:color w:val="1F497D" w:themeColor="text2"/>
                <w:sz w:val="20"/>
              </w:rPr>
              <w:t xml:space="preserve"> dependent upon available data</w:t>
            </w:r>
            <w:r w:rsidR="008E4438">
              <w:rPr>
                <w:rFonts w:ascii="Arial" w:hAnsi="Arial" w:cs="Arial"/>
                <w:color w:val="1F497D" w:themeColor="text2"/>
                <w:sz w:val="20"/>
              </w:rPr>
              <w:t>;</w:t>
            </w:r>
          </w:p>
          <w:p w14:paraId="79FF238C" w14:textId="5698EB34" w:rsidR="00CB06BF" w:rsidRDefault="00CB06BF" w:rsidP="00324542">
            <w:pPr>
              <w:spacing w:before="40" w:line="276" w:lineRule="auto"/>
              <w:rPr>
                <w:rFonts w:ascii="Arial" w:hAnsi="Arial" w:cs="Arial"/>
                <w:color w:val="1F497D" w:themeColor="text2"/>
                <w:sz w:val="20"/>
              </w:rPr>
            </w:pPr>
            <w:r>
              <w:rPr>
                <w:rFonts w:ascii="Arial" w:hAnsi="Arial" w:cs="Arial"/>
                <w:color w:val="1F497D" w:themeColor="text2"/>
                <w:sz w:val="20"/>
              </w:rPr>
              <w:t>Comparison of test performance</w:t>
            </w:r>
            <w:r w:rsidR="006F7705">
              <w:rPr>
                <w:rFonts w:ascii="Arial" w:hAnsi="Arial" w:cs="Arial"/>
                <w:color w:val="1F497D" w:themeColor="text2"/>
                <w:sz w:val="20"/>
              </w:rPr>
              <w:t xml:space="preserve"> between </w:t>
            </w:r>
            <w:r w:rsidR="00703222">
              <w:rPr>
                <w:rFonts w:ascii="Arial" w:hAnsi="Arial" w:cs="Arial"/>
                <w:color w:val="1F497D" w:themeColor="text2"/>
                <w:sz w:val="20"/>
              </w:rPr>
              <w:t xml:space="preserve">T790M testing </w:t>
            </w:r>
            <w:r w:rsidR="006F7705">
              <w:rPr>
                <w:rFonts w:ascii="Arial" w:hAnsi="Arial" w:cs="Arial"/>
                <w:color w:val="1F497D" w:themeColor="text2"/>
                <w:sz w:val="20"/>
              </w:rPr>
              <w:t>methodologies</w:t>
            </w:r>
            <w:r w:rsidR="00703222">
              <w:rPr>
                <w:rFonts w:ascii="Arial" w:hAnsi="Arial" w:cs="Arial"/>
                <w:color w:val="1F497D" w:themeColor="text2"/>
                <w:sz w:val="20"/>
              </w:rPr>
              <w:t xml:space="preserve"> against the evidentiary standard</w:t>
            </w:r>
            <w:r w:rsidR="006F7705">
              <w:rPr>
                <w:rFonts w:ascii="Arial" w:hAnsi="Arial" w:cs="Arial"/>
                <w:color w:val="1F497D" w:themeColor="text2"/>
                <w:sz w:val="20"/>
              </w:rPr>
              <w:t xml:space="preserve"> </w:t>
            </w:r>
          </w:p>
          <w:p w14:paraId="4C03AAF1" w14:textId="77777777" w:rsidR="00FE2381" w:rsidRDefault="00FE2381" w:rsidP="00324542">
            <w:pPr>
              <w:spacing w:before="40" w:line="276" w:lineRule="auto"/>
              <w:rPr>
                <w:rFonts w:ascii="Arial" w:hAnsi="Arial" w:cs="Arial"/>
                <w:color w:val="1F497D" w:themeColor="text2"/>
                <w:sz w:val="20"/>
              </w:rPr>
            </w:pPr>
            <w:r w:rsidRPr="00324542">
              <w:rPr>
                <w:rFonts w:ascii="Arial" w:hAnsi="Arial" w:cs="Arial"/>
                <w:color w:val="1F497D" w:themeColor="text2"/>
                <w:sz w:val="20"/>
              </w:rPr>
              <w:t>Objective Response Rate (ORR)</w:t>
            </w:r>
          </w:p>
          <w:p w14:paraId="696B6CA2" w14:textId="77777777" w:rsidR="00C949E9" w:rsidRDefault="00324542" w:rsidP="00324542">
            <w:pPr>
              <w:spacing w:before="40" w:line="276" w:lineRule="auto"/>
              <w:rPr>
                <w:rFonts w:ascii="Arial" w:hAnsi="Arial" w:cs="Arial"/>
                <w:color w:val="1F497D" w:themeColor="text2"/>
                <w:sz w:val="20"/>
              </w:rPr>
            </w:pPr>
            <w:r w:rsidRPr="00324542">
              <w:rPr>
                <w:rFonts w:ascii="Arial" w:hAnsi="Arial" w:cs="Arial"/>
                <w:color w:val="1F497D" w:themeColor="text2"/>
                <w:sz w:val="20"/>
              </w:rPr>
              <w:t>Disease Control Rate (DCR)</w:t>
            </w:r>
          </w:p>
          <w:p w14:paraId="43C1CDC5" w14:textId="59337917" w:rsidR="0070134F" w:rsidRPr="00324542" w:rsidRDefault="0070134F" w:rsidP="00324542">
            <w:pPr>
              <w:spacing w:before="40" w:line="276" w:lineRule="auto"/>
              <w:rPr>
                <w:rFonts w:ascii="Arial" w:hAnsi="Arial" w:cs="Arial"/>
                <w:color w:val="1F497D" w:themeColor="text2"/>
                <w:sz w:val="20"/>
              </w:rPr>
            </w:pPr>
            <w:r>
              <w:rPr>
                <w:rFonts w:ascii="Arial" w:hAnsi="Arial" w:cs="Arial"/>
                <w:color w:val="1F497D" w:themeColor="text2"/>
                <w:sz w:val="20"/>
              </w:rPr>
              <w:t>Tumour shrinkage</w:t>
            </w:r>
          </w:p>
          <w:p w14:paraId="7CFFDFD2" w14:textId="77777777" w:rsidR="0070134F" w:rsidRDefault="00FE2381" w:rsidP="00324542">
            <w:pPr>
              <w:spacing w:before="40" w:line="276" w:lineRule="auto"/>
              <w:rPr>
                <w:rFonts w:ascii="Arial" w:hAnsi="Arial" w:cs="Arial"/>
                <w:color w:val="1F497D" w:themeColor="text2"/>
                <w:sz w:val="20"/>
              </w:rPr>
            </w:pPr>
            <w:r w:rsidRPr="00324542">
              <w:rPr>
                <w:rFonts w:ascii="Arial" w:hAnsi="Arial" w:cs="Arial"/>
                <w:color w:val="1F497D" w:themeColor="text2"/>
                <w:sz w:val="20"/>
              </w:rPr>
              <w:t>Duration of Response (</w:t>
            </w:r>
            <w:proofErr w:type="spellStart"/>
            <w:r w:rsidRPr="00324542">
              <w:rPr>
                <w:rFonts w:ascii="Arial" w:hAnsi="Arial" w:cs="Arial"/>
                <w:color w:val="1F497D" w:themeColor="text2"/>
                <w:sz w:val="20"/>
              </w:rPr>
              <w:t>DoR</w:t>
            </w:r>
            <w:proofErr w:type="spellEnd"/>
            <w:r w:rsidRPr="00324542">
              <w:rPr>
                <w:rFonts w:ascii="Arial" w:hAnsi="Arial" w:cs="Arial"/>
                <w:color w:val="1F497D" w:themeColor="text2"/>
                <w:sz w:val="20"/>
              </w:rPr>
              <w:t>)</w:t>
            </w:r>
          </w:p>
          <w:p w14:paraId="7F3A72A5" w14:textId="77777777" w:rsidR="005E168B" w:rsidRPr="00324542" w:rsidRDefault="005E168B" w:rsidP="005E168B">
            <w:pPr>
              <w:spacing w:before="40" w:line="276" w:lineRule="auto"/>
              <w:rPr>
                <w:rFonts w:ascii="Arial" w:hAnsi="Arial" w:cs="Arial"/>
                <w:color w:val="1F497D" w:themeColor="text2"/>
                <w:sz w:val="20"/>
              </w:rPr>
            </w:pPr>
            <w:r w:rsidRPr="00324542">
              <w:rPr>
                <w:rFonts w:ascii="Arial" w:hAnsi="Arial" w:cs="Arial"/>
                <w:color w:val="1F497D" w:themeColor="text2"/>
                <w:sz w:val="20"/>
              </w:rPr>
              <w:t>Progression Free Survival (PFS; investigator assessments and central review)</w:t>
            </w:r>
          </w:p>
          <w:p w14:paraId="004D31C9" w14:textId="77777777" w:rsidR="00FF21C6" w:rsidRDefault="00CB06BF" w:rsidP="00324542">
            <w:pPr>
              <w:spacing w:before="40" w:line="276" w:lineRule="auto"/>
              <w:rPr>
                <w:rFonts w:ascii="Arial" w:hAnsi="Arial" w:cs="Arial"/>
                <w:color w:val="1F497D" w:themeColor="text2"/>
                <w:sz w:val="20"/>
              </w:rPr>
            </w:pPr>
            <w:r>
              <w:rPr>
                <w:rFonts w:ascii="Arial" w:hAnsi="Arial" w:cs="Arial"/>
                <w:color w:val="1F497D" w:themeColor="text2"/>
                <w:sz w:val="20"/>
              </w:rPr>
              <w:t>Overall Survival (OS)</w:t>
            </w:r>
          </w:p>
          <w:p w14:paraId="2C7B99A7" w14:textId="77777777" w:rsidR="005E168B" w:rsidRPr="002D0F4B" w:rsidRDefault="005E168B" w:rsidP="002D0F4B">
            <w:pPr>
              <w:spacing w:before="40" w:line="276" w:lineRule="auto"/>
              <w:rPr>
                <w:rFonts w:ascii="Arial" w:hAnsi="Arial" w:cs="Arial"/>
                <w:color w:val="1F497D" w:themeColor="text2"/>
                <w:sz w:val="20"/>
                <w:szCs w:val="20"/>
              </w:rPr>
            </w:pPr>
            <w:r w:rsidRPr="002D0F4B">
              <w:rPr>
                <w:rFonts w:ascii="Arial" w:hAnsi="Arial" w:cs="Arial"/>
                <w:color w:val="1F497D" w:themeColor="text2"/>
                <w:sz w:val="20"/>
                <w:szCs w:val="20"/>
              </w:rPr>
              <w:t>Quality of Life (</w:t>
            </w:r>
            <w:proofErr w:type="spellStart"/>
            <w:r w:rsidRPr="002D0F4B">
              <w:rPr>
                <w:rFonts w:ascii="Arial" w:hAnsi="Arial" w:cs="Arial"/>
                <w:color w:val="1F497D" w:themeColor="text2"/>
                <w:sz w:val="20"/>
                <w:szCs w:val="20"/>
              </w:rPr>
              <w:t>QoL</w:t>
            </w:r>
            <w:proofErr w:type="spellEnd"/>
            <w:r w:rsidRPr="002D0F4B">
              <w:rPr>
                <w:rFonts w:ascii="Arial" w:hAnsi="Arial" w:cs="Arial"/>
                <w:color w:val="1F497D" w:themeColor="text2"/>
                <w:sz w:val="20"/>
                <w:szCs w:val="20"/>
              </w:rPr>
              <w:t>)</w:t>
            </w:r>
            <w:r w:rsidR="005D2097">
              <w:rPr>
                <w:rFonts w:ascii="Arial" w:hAnsi="Arial" w:cs="Arial"/>
                <w:color w:val="1F497D" w:themeColor="text2"/>
                <w:sz w:val="20"/>
                <w:szCs w:val="20"/>
              </w:rPr>
              <w:t xml:space="preserve"> (EORTC QLQ-C30; </w:t>
            </w:r>
            <w:r w:rsidR="00D8160A">
              <w:rPr>
                <w:rFonts w:ascii="Arial" w:hAnsi="Arial" w:cs="Arial"/>
                <w:color w:val="1F497D" w:themeColor="text2"/>
                <w:sz w:val="20"/>
                <w:szCs w:val="20"/>
              </w:rPr>
              <w:t xml:space="preserve">EQ-5D-5L, </w:t>
            </w:r>
            <w:r w:rsidR="005D2097">
              <w:rPr>
                <w:rFonts w:ascii="Arial" w:hAnsi="Arial" w:cs="Arial"/>
                <w:color w:val="1F497D" w:themeColor="text2"/>
                <w:sz w:val="20"/>
                <w:szCs w:val="20"/>
              </w:rPr>
              <w:t xml:space="preserve">EORTC QLQ LC13) </w:t>
            </w:r>
          </w:p>
          <w:p w14:paraId="1CC266E6" w14:textId="77777777" w:rsidR="00CB06BF" w:rsidRDefault="005E168B">
            <w:pPr>
              <w:spacing w:before="120" w:after="120" w:line="276" w:lineRule="auto"/>
              <w:jc w:val="both"/>
              <w:rPr>
                <w:rFonts w:ascii="Arial" w:hAnsi="Arial" w:cs="Arial"/>
                <w:color w:val="1F497D" w:themeColor="text2"/>
                <w:sz w:val="20"/>
                <w:szCs w:val="20"/>
              </w:rPr>
            </w:pPr>
            <w:r w:rsidRPr="00380695">
              <w:rPr>
                <w:rFonts w:ascii="Arial" w:hAnsi="Arial" w:cs="Arial"/>
                <w:color w:val="1F497D" w:themeColor="text2"/>
                <w:sz w:val="20"/>
                <w:szCs w:val="20"/>
              </w:rPr>
              <w:t>Safety  and tolerability</w:t>
            </w:r>
            <w:r w:rsidR="0066309F" w:rsidRPr="00380695">
              <w:rPr>
                <w:rFonts w:ascii="Arial" w:hAnsi="Arial" w:cs="Arial"/>
                <w:color w:val="1F497D" w:themeColor="text2"/>
                <w:sz w:val="20"/>
                <w:szCs w:val="20"/>
              </w:rPr>
              <w:t xml:space="preserve"> </w:t>
            </w:r>
            <w:r w:rsidR="0070134F">
              <w:rPr>
                <w:rFonts w:ascii="Arial" w:hAnsi="Arial" w:cs="Arial"/>
                <w:color w:val="1F497D" w:themeColor="text2"/>
                <w:sz w:val="20"/>
                <w:szCs w:val="20"/>
              </w:rPr>
              <w:t xml:space="preserve">(adverse events graded by CTCAE v4; </w:t>
            </w:r>
            <w:r w:rsidR="005D2097">
              <w:rPr>
                <w:rFonts w:ascii="Arial" w:hAnsi="Arial" w:cs="Arial"/>
                <w:color w:val="1F497D" w:themeColor="text2"/>
                <w:sz w:val="20"/>
                <w:szCs w:val="20"/>
              </w:rPr>
              <w:t xml:space="preserve">clinical chemistry, haematology, urinalysis; vital signs, physical examination, weight; digital ECG including </w:t>
            </w:r>
            <w:proofErr w:type="spellStart"/>
            <w:r w:rsidR="005D2097">
              <w:rPr>
                <w:rFonts w:ascii="Arial" w:hAnsi="Arial" w:cs="Arial"/>
                <w:color w:val="1F497D" w:themeColor="text2"/>
                <w:sz w:val="20"/>
                <w:szCs w:val="20"/>
              </w:rPr>
              <w:t>QTc</w:t>
            </w:r>
            <w:proofErr w:type="spellEnd"/>
            <w:r w:rsidR="005D2097">
              <w:rPr>
                <w:rFonts w:ascii="Arial" w:hAnsi="Arial" w:cs="Arial"/>
                <w:color w:val="1F497D" w:themeColor="text2"/>
                <w:sz w:val="20"/>
                <w:szCs w:val="20"/>
              </w:rPr>
              <w:t xml:space="preserve"> interval; WHO performance status; echocardiogram</w:t>
            </w:r>
            <w:r w:rsidR="00AB3B5B">
              <w:rPr>
                <w:rFonts w:ascii="Arial" w:hAnsi="Arial" w:cs="Arial"/>
                <w:color w:val="1F497D" w:themeColor="text2"/>
                <w:sz w:val="20"/>
                <w:szCs w:val="20"/>
              </w:rPr>
              <w:t>)</w:t>
            </w:r>
          </w:p>
          <w:p w14:paraId="68F25580" w14:textId="5223B668" w:rsidR="00544397" w:rsidRPr="00327620" w:rsidRDefault="008E4438" w:rsidP="00E83036">
            <w:pPr>
              <w:spacing w:before="120" w:after="120" w:line="276" w:lineRule="auto"/>
              <w:jc w:val="both"/>
              <w:rPr>
                <w:rFonts w:ascii="Arial" w:hAnsi="Arial" w:cs="Arial"/>
                <w:color w:val="1F497D" w:themeColor="text2"/>
                <w:sz w:val="20"/>
                <w:szCs w:val="20"/>
              </w:rPr>
            </w:pPr>
            <w:r>
              <w:rPr>
                <w:rFonts w:ascii="Arial" w:hAnsi="Arial" w:cs="Arial"/>
                <w:color w:val="1F497D" w:themeColor="text2"/>
                <w:sz w:val="20"/>
                <w:szCs w:val="20"/>
              </w:rPr>
              <w:t>Cost and cost-effectiveness</w:t>
            </w:r>
          </w:p>
        </w:tc>
      </w:tr>
    </w:tbl>
    <w:p w14:paraId="759B6A9B" w14:textId="77777777" w:rsidR="005D51D7" w:rsidRPr="00BE55A8" w:rsidRDefault="002D3CCA" w:rsidP="00BE55A8">
      <w:pPr>
        <w:spacing w:after="40" w:line="240" w:lineRule="auto"/>
        <w:rPr>
          <w:rFonts w:ascii="Arial" w:hAnsi="Arial" w:cs="Arial"/>
          <w:color w:val="1F497D" w:themeColor="text2"/>
          <w:sz w:val="20"/>
          <w:szCs w:val="20"/>
          <w:highlight w:val="yellow"/>
        </w:rPr>
      </w:pPr>
      <w:r w:rsidRPr="002D3CCA">
        <w:rPr>
          <w:rFonts w:ascii="Arial" w:hAnsi="Arial" w:cs="Arial"/>
          <w:sz w:val="20"/>
          <w:szCs w:val="20"/>
        </w:rPr>
        <w:t>#</w:t>
      </w:r>
      <w:r>
        <w:rPr>
          <w:rFonts w:ascii="Arial" w:hAnsi="Arial" w:cs="Arial"/>
          <w:color w:val="1F497D" w:themeColor="text2"/>
          <w:sz w:val="20"/>
          <w:szCs w:val="20"/>
        </w:rPr>
        <w:t xml:space="preserve"> </w:t>
      </w:r>
      <w:r w:rsidR="005D51D7" w:rsidRPr="00BE55A8">
        <w:rPr>
          <w:rFonts w:ascii="Arial" w:hAnsi="Arial" w:cs="Arial"/>
          <w:color w:val="1F497D" w:themeColor="text2"/>
          <w:sz w:val="20"/>
          <w:szCs w:val="20"/>
        </w:rPr>
        <w:t>Definitions of Complete Response (CR), Partial Response (PR), Stable Disease (SD) and Progressive Disease (PD)</w:t>
      </w:r>
      <w:r w:rsidR="0070134F">
        <w:rPr>
          <w:rFonts w:ascii="Arial" w:hAnsi="Arial" w:cs="Arial"/>
          <w:color w:val="1F497D" w:themeColor="text2"/>
          <w:sz w:val="20"/>
          <w:szCs w:val="20"/>
        </w:rPr>
        <w:t>, tumour shrinkage</w:t>
      </w:r>
      <w:r w:rsidR="005D51D7" w:rsidRPr="00BE55A8">
        <w:rPr>
          <w:rFonts w:ascii="Arial" w:hAnsi="Arial" w:cs="Arial"/>
          <w:color w:val="1F497D" w:themeColor="text2"/>
          <w:sz w:val="20"/>
          <w:szCs w:val="20"/>
        </w:rPr>
        <w:t xml:space="preserve"> </w:t>
      </w:r>
      <w:r w:rsidR="00BE55A8" w:rsidRPr="00BE55A8">
        <w:rPr>
          <w:rFonts w:ascii="Arial" w:hAnsi="Arial" w:cs="Arial"/>
          <w:color w:val="1F497D" w:themeColor="text2"/>
          <w:sz w:val="20"/>
          <w:szCs w:val="20"/>
        </w:rPr>
        <w:t xml:space="preserve">using RECIST version 1.1 </w:t>
      </w:r>
      <w:r w:rsidR="00BE55A8" w:rsidRPr="00BE55A8">
        <w:rPr>
          <w:rFonts w:ascii="Arial" w:hAnsi="Arial" w:cs="Arial"/>
          <w:color w:val="1F497D" w:themeColor="text2"/>
          <w:sz w:val="20"/>
          <w:szCs w:val="20"/>
        </w:rPr>
        <w:fldChar w:fldCharType="begin"/>
      </w:r>
      <w:r w:rsidR="00F65C59">
        <w:rPr>
          <w:rFonts w:ascii="Arial" w:hAnsi="Arial" w:cs="Arial"/>
          <w:color w:val="1F497D" w:themeColor="text2"/>
          <w:sz w:val="20"/>
          <w:szCs w:val="20"/>
        </w:rPr>
        <w:instrText xml:space="preserve"> ADDIN EN.CITE &lt;EndNote&gt;&lt;Cite&gt;&lt;Author&gt;Eisenhauer&lt;/Author&gt;&lt;Year&gt;2009&lt;/Year&gt;&lt;RecNum&gt;98&lt;/RecNum&gt;&lt;DisplayText&gt;[51]&lt;/DisplayText&gt;&lt;record&gt;&lt;rec-number&gt;98&lt;/rec-number&gt;&lt;foreign-keys&gt;&lt;key app="EN" db-id="rprtzr95srz0woefsws5fs50rfwvtsf5aw2f"&gt;98&lt;/key&gt;&lt;/foreign-keys&gt;&lt;ref-type name="Journal Article"&gt;17&lt;/ref-type&gt;&lt;contributors&gt;&lt;authors&gt;&lt;author&gt;Eisenhauer, EA&lt;/author&gt;&lt;author&gt;Therasse, P &lt;/author&gt;&lt;author&gt;Bogaerts, J&lt;/author&gt;&lt;author&gt;Schwartz, LH&lt;/author&gt;&lt;author&gt;et al &lt;/author&gt;&lt;/authors&gt;&lt;/contributors&gt;&lt;titles&gt;&lt;title&gt;New response evaluation criteria in solid tumours: Revised RECIST guideline (version 1.1)&lt;/title&gt;&lt;secondary-title&gt;European Journal of Cancer&lt;/secondary-title&gt;&lt;/titles&gt;&lt;periodical&gt;&lt;full-title&gt;European Journal of Cancer&lt;/full-title&gt;&lt;/periodical&gt;&lt;pages&gt;228-247&lt;/pages&gt;&lt;volume&gt;45&lt;/volume&gt;&lt;dates&gt;&lt;year&gt;2009&lt;/year&gt;&lt;/dates&gt;&lt;urls&gt;&lt;/urls&gt;&lt;/record&gt;&lt;/Cite&gt;&lt;/EndNote&gt;</w:instrText>
      </w:r>
      <w:r w:rsidR="00BE55A8" w:rsidRPr="00BE55A8">
        <w:rPr>
          <w:rFonts w:ascii="Arial" w:hAnsi="Arial" w:cs="Arial"/>
          <w:color w:val="1F497D" w:themeColor="text2"/>
          <w:sz w:val="20"/>
          <w:szCs w:val="20"/>
        </w:rPr>
        <w:fldChar w:fldCharType="separate"/>
      </w:r>
      <w:r w:rsidR="00F65C59">
        <w:rPr>
          <w:rFonts w:ascii="Arial" w:hAnsi="Arial" w:cs="Arial"/>
          <w:noProof/>
          <w:color w:val="1F497D" w:themeColor="text2"/>
          <w:sz w:val="20"/>
          <w:szCs w:val="20"/>
        </w:rPr>
        <w:t>[</w:t>
      </w:r>
      <w:hyperlink w:anchor="_ENREF_51" w:tooltip="Eisenhauer, 2009 #98" w:history="1">
        <w:r w:rsidR="00F65C59">
          <w:rPr>
            <w:rFonts w:ascii="Arial" w:hAnsi="Arial" w:cs="Arial"/>
            <w:noProof/>
            <w:color w:val="1F497D" w:themeColor="text2"/>
            <w:sz w:val="20"/>
            <w:szCs w:val="20"/>
          </w:rPr>
          <w:t>51</w:t>
        </w:r>
      </w:hyperlink>
      <w:r w:rsidR="00F65C59">
        <w:rPr>
          <w:rFonts w:ascii="Arial" w:hAnsi="Arial" w:cs="Arial"/>
          <w:noProof/>
          <w:color w:val="1F497D" w:themeColor="text2"/>
          <w:sz w:val="20"/>
          <w:szCs w:val="20"/>
        </w:rPr>
        <w:t>]</w:t>
      </w:r>
      <w:r w:rsidR="00BE55A8" w:rsidRPr="00BE55A8">
        <w:rPr>
          <w:rFonts w:ascii="Arial" w:hAnsi="Arial" w:cs="Arial"/>
          <w:color w:val="1F497D" w:themeColor="text2"/>
          <w:sz w:val="20"/>
          <w:szCs w:val="20"/>
        </w:rPr>
        <w:fldChar w:fldCharType="end"/>
      </w:r>
      <w:r w:rsidR="00BE55A8" w:rsidRPr="00BE55A8">
        <w:rPr>
          <w:rFonts w:ascii="Arial" w:hAnsi="Arial" w:cs="Arial"/>
          <w:color w:val="1F497D" w:themeColor="text2"/>
          <w:sz w:val="20"/>
          <w:szCs w:val="20"/>
        </w:rPr>
        <w:t>.</w:t>
      </w:r>
    </w:p>
    <w:p w14:paraId="6655A5CE" w14:textId="77777777" w:rsidR="00FE2381" w:rsidRPr="00BE55A8" w:rsidRDefault="005D51D7" w:rsidP="00BE55A8">
      <w:pPr>
        <w:spacing w:after="40" w:line="240" w:lineRule="auto"/>
        <w:rPr>
          <w:rFonts w:ascii="Arial" w:hAnsi="Arial" w:cs="Arial"/>
          <w:color w:val="1F497D" w:themeColor="text2"/>
          <w:sz w:val="20"/>
          <w:szCs w:val="20"/>
        </w:rPr>
      </w:pPr>
      <w:r w:rsidRPr="00BE55A8">
        <w:rPr>
          <w:rFonts w:ascii="Arial" w:hAnsi="Arial" w:cs="Arial"/>
          <w:color w:val="1F497D" w:themeColor="text2"/>
          <w:sz w:val="20"/>
          <w:szCs w:val="20"/>
        </w:rPr>
        <w:t xml:space="preserve">Objective Response Rate (ORR) is defined as the number of subjects with measurable disease with at least one visit response of CR or PR that is confirmed at least 4 weeks later.  </w:t>
      </w:r>
    </w:p>
    <w:p w14:paraId="7EC6C672" w14:textId="77777777" w:rsidR="005D51D7" w:rsidRPr="00BE55A8" w:rsidRDefault="005D51D7" w:rsidP="00BE55A8">
      <w:pPr>
        <w:spacing w:after="40" w:line="240" w:lineRule="auto"/>
        <w:rPr>
          <w:rFonts w:ascii="Arial" w:hAnsi="Arial" w:cs="Arial"/>
          <w:color w:val="1F497D" w:themeColor="text2"/>
          <w:sz w:val="20"/>
          <w:szCs w:val="20"/>
        </w:rPr>
      </w:pPr>
      <w:r w:rsidRPr="00BE55A8">
        <w:rPr>
          <w:rFonts w:ascii="Arial" w:hAnsi="Arial" w:cs="Arial"/>
          <w:color w:val="1F497D" w:themeColor="text2"/>
          <w:sz w:val="20"/>
          <w:szCs w:val="20"/>
        </w:rPr>
        <w:t xml:space="preserve">Duration of response </w:t>
      </w:r>
      <w:r w:rsidR="00BE55A8" w:rsidRPr="00BE55A8">
        <w:rPr>
          <w:rFonts w:ascii="Arial" w:hAnsi="Arial" w:cs="Arial"/>
          <w:color w:val="1F497D" w:themeColor="text2"/>
          <w:sz w:val="20"/>
          <w:szCs w:val="20"/>
        </w:rPr>
        <w:t>(</w:t>
      </w:r>
      <w:proofErr w:type="spellStart"/>
      <w:r w:rsidR="00BE55A8" w:rsidRPr="00BE55A8">
        <w:rPr>
          <w:rFonts w:ascii="Arial" w:hAnsi="Arial" w:cs="Arial"/>
          <w:color w:val="1F497D" w:themeColor="text2"/>
          <w:sz w:val="20"/>
          <w:szCs w:val="20"/>
        </w:rPr>
        <w:t>DoR</w:t>
      </w:r>
      <w:proofErr w:type="spellEnd"/>
      <w:r w:rsidR="00BE55A8" w:rsidRPr="00BE55A8">
        <w:rPr>
          <w:rFonts w:ascii="Arial" w:hAnsi="Arial" w:cs="Arial"/>
          <w:color w:val="1F497D" w:themeColor="text2"/>
          <w:sz w:val="20"/>
          <w:szCs w:val="20"/>
        </w:rPr>
        <w:t xml:space="preserve">) </w:t>
      </w:r>
      <w:r w:rsidRPr="00BE55A8">
        <w:rPr>
          <w:rFonts w:ascii="Arial" w:hAnsi="Arial" w:cs="Arial"/>
          <w:color w:val="1F497D" w:themeColor="text2"/>
          <w:sz w:val="20"/>
          <w:szCs w:val="20"/>
        </w:rPr>
        <w:t>defined as the time from the date of first documented response until date of documented progression or death</w:t>
      </w:r>
      <w:r w:rsidR="002D3CCA">
        <w:rPr>
          <w:rFonts w:ascii="Arial" w:hAnsi="Arial" w:cs="Arial"/>
          <w:color w:val="1F497D" w:themeColor="text2"/>
          <w:sz w:val="20"/>
          <w:szCs w:val="20"/>
        </w:rPr>
        <w:t>.</w:t>
      </w:r>
      <w:r w:rsidRPr="00BE55A8">
        <w:rPr>
          <w:rFonts w:ascii="Arial" w:hAnsi="Arial" w:cs="Arial"/>
          <w:color w:val="1F497D" w:themeColor="text2"/>
          <w:sz w:val="20"/>
          <w:szCs w:val="20"/>
        </w:rPr>
        <w:t xml:space="preserve"> </w:t>
      </w:r>
    </w:p>
    <w:p w14:paraId="2AB7F1DC" w14:textId="77777777" w:rsidR="005D51D7" w:rsidRPr="005D2097" w:rsidRDefault="005D51D7" w:rsidP="00BE55A8">
      <w:pPr>
        <w:spacing w:after="40" w:line="240" w:lineRule="auto"/>
        <w:rPr>
          <w:rFonts w:ascii="Arial" w:hAnsi="Arial" w:cs="Arial"/>
          <w:color w:val="1F497D" w:themeColor="text2"/>
          <w:sz w:val="20"/>
          <w:szCs w:val="20"/>
        </w:rPr>
      </w:pPr>
      <w:r w:rsidRPr="00BE55A8">
        <w:rPr>
          <w:rFonts w:ascii="Arial" w:hAnsi="Arial" w:cs="Arial"/>
          <w:color w:val="1F497D" w:themeColor="text2"/>
          <w:sz w:val="20"/>
          <w:szCs w:val="20"/>
        </w:rPr>
        <w:t>Disease control rate</w:t>
      </w:r>
      <w:r w:rsidR="00BE55A8" w:rsidRPr="00BE55A8">
        <w:rPr>
          <w:rFonts w:ascii="Arial" w:hAnsi="Arial" w:cs="Arial"/>
          <w:color w:val="1F497D" w:themeColor="text2"/>
          <w:sz w:val="20"/>
          <w:szCs w:val="20"/>
        </w:rPr>
        <w:t xml:space="preserve"> (DCR)</w:t>
      </w:r>
      <w:r w:rsidRPr="00BE55A8">
        <w:rPr>
          <w:rFonts w:ascii="Arial" w:hAnsi="Arial" w:cs="Arial"/>
          <w:color w:val="1F497D" w:themeColor="text2"/>
          <w:sz w:val="20"/>
          <w:szCs w:val="20"/>
        </w:rPr>
        <w:t xml:space="preserve"> is defined as the percentage of subjects who have a best overall response </w:t>
      </w:r>
      <w:r w:rsidRPr="005D2097">
        <w:rPr>
          <w:rFonts w:ascii="Arial" w:hAnsi="Arial" w:cs="Arial"/>
          <w:color w:val="1F497D" w:themeColor="text2"/>
          <w:sz w:val="20"/>
          <w:szCs w:val="20"/>
        </w:rPr>
        <w:t>of CR or PR or SD.</w:t>
      </w:r>
    </w:p>
    <w:p w14:paraId="6DC654DE" w14:textId="77777777" w:rsidR="005D2097" w:rsidRPr="001E1392" w:rsidRDefault="005D2097" w:rsidP="00833F7E">
      <w:pPr>
        <w:autoSpaceDE w:val="0"/>
        <w:autoSpaceDN w:val="0"/>
        <w:adjustRightInd w:val="0"/>
        <w:spacing w:after="0" w:line="240" w:lineRule="auto"/>
        <w:rPr>
          <w:rFonts w:ascii="Arial" w:hAnsi="Arial" w:cs="Arial"/>
          <w:color w:val="1F497D" w:themeColor="text2"/>
          <w:sz w:val="20"/>
          <w:szCs w:val="20"/>
        </w:rPr>
      </w:pPr>
      <w:r w:rsidRPr="001E1392">
        <w:rPr>
          <w:rFonts w:ascii="Arial" w:hAnsi="Arial" w:cs="Arial"/>
          <w:color w:val="1F497D" w:themeColor="text2"/>
          <w:sz w:val="20"/>
          <w:szCs w:val="20"/>
        </w:rPr>
        <w:t>European Organization for Research and Treatment of Cancer Quality of Life Questionnaire – Core 30 items (EORTC QLQ-C30)</w:t>
      </w:r>
    </w:p>
    <w:p w14:paraId="6CB2C195" w14:textId="77777777" w:rsidR="00D8160A" w:rsidRPr="001E1392" w:rsidRDefault="006A6254" w:rsidP="00833F7E">
      <w:pPr>
        <w:autoSpaceDE w:val="0"/>
        <w:autoSpaceDN w:val="0"/>
        <w:adjustRightInd w:val="0"/>
        <w:spacing w:after="0" w:line="240" w:lineRule="auto"/>
        <w:rPr>
          <w:rFonts w:ascii="Arial" w:hAnsi="Arial" w:cs="Arial"/>
          <w:color w:val="1F497D" w:themeColor="text2"/>
          <w:sz w:val="20"/>
          <w:szCs w:val="20"/>
        </w:rPr>
      </w:pPr>
      <w:proofErr w:type="spellStart"/>
      <w:r w:rsidRPr="001E1392">
        <w:rPr>
          <w:rFonts w:ascii="Arial" w:hAnsi="Arial" w:cs="Arial"/>
          <w:color w:val="1F497D" w:themeColor="text2"/>
          <w:sz w:val="20"/>
          <w:szCs w:val="20"/>
        </w:rPr>
        <w:t>EuroQol</w:t>
      </w:r>
      <w:proofErr w:type="spellEnd"/>
      <w:r w:rsidRPr="001E1392">
        <w:rPr>
          <w:rFonts w:ascii="Arial" w:hAnsi="Arial" w:cs="Arial"/>
          <w:color w:val="1F497D" w:themeColor="text2"/>
          <w:sz w:val="20"/>
          <w:szCs w:val="20"/>
        </w:rPr>
        <w:t xml:space="preserve"> (</w:t>
      </w:r>
      <w:r w:rsidR="00D8160A" w:rsidRPr="001E1392">
        <w:rPr>
          <w:rFonts w:ascii="Arial" w:hAnsi="Arial" w:cs="Arial"/>
          <w:color w:val="1F497D" w:themeColor="text2"/>
          <w:sz w:val="20"/>
          <w:szCs w:val="20"/>
        </w:rPr>
        <w:t>EQ-5D-5L</w:t>
      </w:r>
      <w:r w:rsidRPr="001E1392">
        <w:rPr>
          <w:rFonts w:ascii="Arial" w:hAnsi="Arial" w:cs="Arial"/>
          <w:color w:val="1F497D" w:themeColor="text2"/>
          <w:sz w:val="20"/>
          <w:szCs w:val="20"/>
        </w:rPr>
        <w:t>)</w:t>
      </w:r>
      <w:r w:rsidR="00004C91" w:rsidRPr="001E1392">
        <w:rPr>
          <w:rFonts w:ascii="Arial" w:hAnsi="Arial" w:cs="Arial"/>
          <w:color w:val="1F497D" w:themeColor="text2"/>
          <w:sz w:val="20"/>
          <w:szCs w:val="20"/>
        </w:rPr>
        <w:t xml:space="preserve"> </w:t>
      </w:r>
      <w:r w:rsidR="00004C91" w:rsidRPr="001E1392">
        <w:rPr>
          <w:rFonts w:ascii="Arial" w:hAnsi="Arial" w:cs="Arial"/>
          <w:color w:val="1F497D" w:themeColor="text2"/>
          <w:sz w:val="20"/>
          <w:szCs w:val="20"/>
        </w:rPr>
        <w:fldChar w:fldCharType="begin"/>
      </w:r>
      <w:r w:rsidR="00F65C59">
        <w:rPr>
          <w:rFonts w:ascii="Arial" w:hAnsi="Arial" w:cs="Arial"/>
          <w:color w:val="1F497D" w:themeColor="text2"/>
          <w:sz w:val="20"/>
          <w:szCs w:val="20"/>
        </w:rPr>
        <w:instrText xml:space="preserve"> ADDIN EN.CITE &lt;EndNote&gt;&lt;Cite&gt;&lt;RecNum&gt;102&lt;/RecNum&gt;&lt;DisplayText&gt;[52]&lt;/DisplayText&gt;&lt;record&gt;&lt;rec-number&gt;102&lt;/rec-number&gt;&lt;foreign-keys&gt;&lt;key app="EN" db-id="rprtzr95srz0woefsws5fs50rfwvtsf5aw2f"&gt;102&lt;/key&gt;&lt;/foreign-keys&gt;&lt;ref-type name="Web Page"&gt;12&lt;/ref-type&gt;&lt;contributors&gt;&lt;authors&gt;&lt;author&gt;EuroQoL&lt;/author&gt;&lt;/authors&gt;&lt;/contributors&gt;&lt;titles&gt;&lt;title&gt;EQ-5D-5L&lt;/title&gt;&lt;/titles&gt;&lt;volume&gt;2015&lt;/volume&gt;&lt;number&gt;10-06-2015&lt;/number&gt;&lt;dates&gt;&lt;/dates&gt;&lt;urls&gt;&lt;related-urls&gt;&lt;url&gt;http://www.euroqol.org/ &lt;/url&gt;&lt;/related-urls&gt;&lt;/urls&gt;&lt;/record&gt;&lt;/Cite&gt;&lt;/EndNote&gt;</w:instrText>
      </w:r>
      <w:r w:rsidR="00004C91" w:rsidRPr="001E1392">
        <w:rPr>
          <w:rFonts w:ascii="Arial" w:hAnsi="Arial" w:cs="Arial"/>
          <w:color w:val="1F497D" w:themeColor="text2"/>
          <w:sz w:val="20"/>
          <w:szCs w:val="20"/>
        </w:rPr>
        <w:fldChar w:fldCharType="separate"/>
      </w:r>
      <w:r w:rsidR="00F65C59">
        <w:rPr>
          <w:rFonts w:ascii="Arial" w:hAnsi="Arial" w:cs="Arial"/>
          <w:noProof/>
          <w:color w:val="1F497D" w:themeColor="text2"/>
          <w:sz w:val="20"/>
          <w:szCs w:val="20"/>
        </w:rPr>
        <w:t>[</w:t>
      </w:r>
      <w:hyperlink w:anchor="_ENREF_52" w:tooltip="EuroQoL,  #102" w:history="1">
        <w:r w:rsidR="00F65C59">
          <w:rPr>
            <w:rFonts w:ascii="Arial" w:hAnsi="Arial" w:cs="Arial"/>
            <w:noProof/>
            <w:color w:val="1F497D" w:themeColor="text2"/>
            <w:sz w:val="20"/>
            <w:szCs w:val="20"/>
          </w:rPr>
          <w:t>52</w:t>
        </w:r>
      </w:hyperlink>
      <w:r w:rsidR="00F65C59">
        <w:rPr>
          <w:rFonts w:ascii="Arial" w:hAnsi="Arial" w:cs="Arial"/>
          <w:noProof/>
          <w:color w:val="1F497D" w:themeColor="text2"/>
          <w:sz w:val="20"/>
          <w:szCs w:val="20"/>
        </w:rPr>
        <w:t>]</w:t>
      </w:r>
      <w:r w:rsidR="00004C91" w:rsidRPr="001E1392">
        <w:rPr>
          <w:rFonts w:ascii="Arial" w:hAnsi="Arial" w:cs="Arial"/>
          <w:color w:val="1F497D" w:themeColor="text2"/>
          <w:sz w:val="20"/>
          <w:szCs w:val="20"/>
        </w:rPr>
        <w:fldChar w:fldCharType="end"/>
      </w:r>
    </w:p>
    <w:p w14:paraId="20B95190" w14:textId="77777777" w:rsidR="005D2097" w:rsidRPr="001E1392" w:rsidRDefault="005D2097" w:rsidP="00833F7E">
      <w:pPr>
        <w:autoSpaceDE w:val="0"/>
        <w:autoSpaceDN w:val="0"/>
        <w:adjustRightInd w:val="0"/>
        <w:spacing w:after="0" w:line="240" w:lineRule="auto"/>
        <w:rPr>
          <w:rFonts w:ascii="Arial" w:hAnsi="Arial" w:cs="Arial"/>
          <w:color w:val="1F497D" w:themeColor="text2"/>
          <w:sz w:val="20"/>
          <w:szCs w:val="20"/>
        </w:rPr>
      </w:pPr>
      <w:r w:rsidRPr="001E1392">
        <w:rPr>
          <w:rFonts w:ascii="Arial" w:hAnsi="Arial" w:cs="Arial"/>
          <w:color w:val="1F497D" w:themeColor="text2"/>
          <w:sz w:val="20"/>
          <w:szCs w:val="20"/>
        </w:rPr>
        <w:t>European Organization for Research and Treatment of Cancer Quality of Life Questionnaire – Lung Cancer 13 items (EORTC QLQ LC13)</w:t>
      </w:r>
    </w:p>
    <w:p w14:paraId="007AD277" w14:textId="77777777" w:rsidR="005D51D7" w:rsidRPr="001E1392" w:rsidRDefault="0070134F" w:rsidP="00BE55A8">
      <w:pPr>
        <w:spacing w:after="40" w:line="240" w:lineRule="auto"/>
        <w:rPr>
          <w:rFonts w:ascii="Arial" w:hAnsi="Arial" w:cs="Arial"/>
          <w:color w:val="1F497D" w:themeColor="text2"/>
          <w:sz w:val="20"/>
          <w:szCs w:val="20"/>
        </w:rPr>
      </w:pPr>
      <w:r w:rsidRPr="001E1392">
        <w:rPr>
          <w:rFonts w:ascii="Arial" w:hAnsi="Arial" w:cs="Arial"/>
          <w:color w:val="1F497D" w:themeColor="text2"/>
          <w:sz w:val="20"/>
          <w:szCs w:val="20"/>
        </w:rPr>
        <w:t xml:space="preserve">Common Terminology Criteria for Adverse Event (CTCAE) </w:t>
      </w:r>
    </w:p>
    <w:p w14:paraId="02E8C7D8" w14:textId="77777777" w:rsidR="005D51D7" w:rsidRPr="001E1392" w:rsidRDefault="005D2097" w:rsidP="00FE2381">
      <w:pPr>
        <w:rPr>
          <w:rFonts w:ascii="Arial" w:hAnsi="Arial" w:cs="Arial"/>
          <w:color w:val="1F497D" w:themeColor="text2"/>
          <w:sz w:val="20"/>
          <w:szCs w:val="20"/>
        </w:rPr>
      </w:pPr>
      <w:r w:rsidRPr="001E1392">
        <w:rPr>
          <w:rFonts w:ascii="Arial" w:hAnsi="Arial" w:cs="Arial"/>
          <w:color w:val="1F497D" w:themeColor="text2"/>
          <w:sz w:val="20"/>
          <w:szCs w:val="20"/>
        </w:rPr>
        <w:t>Electrocardiogram (ECG)</w:t>
      </w:r>
    </w:p>
    <w:p w14:paraId="37476E2E" w14:textId="77777777" w:rsidR="00FE2381" w:rsidRDefault="00FE2381" w:rsidP="00FE2381">
      <w:pPr>
        <w:pStyle w:val="Caption"/>
      </w:pPr>
      <w:r>
        <w:lastRenderedPageBreak/>
        <w:t xml:space="preserve">Table </w:t>
      </w:r>
      <w:r w:rsidR="000C5C28">
        <w:fldChar w:fldCharType="begin"/>
      </w:r>
      <w:r w:rsidR="000C5C28">
        <w:instrText xml:space="preserve"> SEQ Table \* ARABIC </w:instrText>
      </w:r>
      <w:r w:rsidR="000C5C28">
        <w:fldChar w:fldCharType="separate"/>
      </w:r>
      <w:r w:rsidR="00710C32">
        <w:rPr>
          <w:noProof/>
        </w:rPr>
        <w:t>3</w:t>
      </w:r>
      <w:r w:rsidR="000C5C28">
        <w:rPr>
          <w:noProof/>
        </w:rPr>
        <w:fldChar w:fldCharType="end"/>
      </w:r>
      <w:r>
        <w:t xml:space="preserve"> - </w:t>
      </w:r>
      <w:r w:rsidRPr="006A20D9">
        <w:t>For investigative services</w:t>
      </w:r>
    </w:p>
    <w:tbl>
      <w:tblPr>
        <w:tblStyle w:val="TableGrid"/>
        <w:tblW w:w="5000" w:type="pct"/>
        <w:tblLook w:val="04A0" w:firstRow="1" w:lastRow="0" w:firstColumn="1" w:lastColumn="0" w:noHBand="0" w:noVBand="1"/>
        <w:tblCaption w:val="Table 4 - For investigative services"/>
      </w:tblPr>
      <w:tblGrid>
        <w:gridCol w:w="3518"/>
        <w:gridCol w:w="5770"/>
      </w:tblGrid>
      <w:tr w:rsidR="00FE2381" w:rsidRPr="0086698B" w14:paraId="66B25CC6" w14:textId="77777777" w:rsidTr="00D9524E">
        <w:trPr>
          <w:cantSplit/>
          <w:tblHeader/>
        </w:trPr>
        <w:tc>
          <w:tcPr>
            <w:tcW w:w="1894" w:type="pct"/>
          </w:tcPr>
          <w:p w14:paraId="4A5AAF57" w14:textId="77777777" w:rsidR="00FE2381" w:rsidRDefault="00FE2381" w:rsidP="00D9524E">
            <w:pPr>
              <w:spacing w:before="40"/>
              <w:rPr>
                <w:rFonts w:ascii="Times New Roman" w:hAnsi="Times New Roman" w:cs="Times New Roman"/>
              </w:rPr>
            </w:pPr>
            <w:r w:rsidRPr="009B7FC3">
              <w:rPr>
                <w:rFonts w:ascii="Times New Roman" w:hAnsi="Times New Roman" w:cs="Times New Roman"/>
              </w:rPr>
              <w:t>Prior tests</w:t>
            </w:r>
          </w:p>
          <w:p w14:paraId="140578EC" w14:textId="77777777" w:rsidR="00FE2381" w:rsidRPr="009B7FC3" w:rsidRDefault="00FE2381" w:rsidP="00D9524E">
            <w:pPr>
              <w:spacing w:before="40"/>
              <w:rPr>
                <w:rFonts w:ascii="Times New Roman" w:hAnsi="Times New Roman" w:cs="Times New Roman"/>
              </w:rPr>
            </w:pPr>
          </w:p>
        </w:tc>
        <w:tc>
          <w:tcPr>
            <w:tcW w:w="3106" w:type="pct"/>
          </w:tcPr>
          <w:p w14:paraId="30FCA0D2" w14:textId="77777777" w:rsidR="00FE2381" w:rsidRPr="00DC5151" w:rsidRDefault="00FE2381" w:rsidP="00324542">
            <w:pPr>
              <w:spacing w:before="40" w:line="276" w:lineRule="auto"/>
              <w:rPr>
                <w:rFonts w:ascii="Arial" w:hAnsi="Arial" w:cs="Arial"/>
                <w:color w:val="1F497D" w:themeColor="text2"/>
                <w:sz w:val="20"/>
              </w:rPr>
            </w:pPr>
            <w:r w:rsidRPr="00DC5151">
              <w:rPr>
                <w:rFonts w:ascii="Arial" w:hAnsi="Arial" w:cs="Arial"/>
                <w:color w:val="1F497D" w:themeColor="text2"/>
                <w:sz w:val="20"/>
              </w:rPr>
              <w:t>EGFR mutation test</w:t>
            </w:r>
            <w:r w:rsidR="00336BCD" w:rsidRPr="00DC5151">
              <w:rPr>
                <w:rFonts w:ascii="Arial" w:hAnsi="Arial" w:cs="Arial"/>
                <w:color w:val="1F497D" w:themeColor="text2"/>
                <w:sz w:val="20"/>
              </w:rPr>
              <w:t xml:space="preserve"> at time of diagnostic biopsy</w:t>
            </w:r>
            <w:r w:rsidR="007C1306" w:rsidRPr="00DC5151">
              <w:rPr>
                <w:rFonts w:ascii="Arial" w:hAnsi="Arial" w:cs="Arial"/>
                <w:color w:val="1F497D" w:themeColor="text2"/>
                <w:sz w:val="20"/>
              </w:rPr>
              <w:t>, irrespective of disease stage</w:t>
            </w:r>
          </w:p>
        </w:tc>
      </w:tr>
      <w:tr w:rsidR="00FE2381" w:rsidRPr="0086698B" w14:paraId="4F7EFE7A" w14:textId="77777777" w:rsidTr="00D9524E">
        <w:trPr>
          <w:cantSplit/>
          <w:tblHeader/>
        </w:trPr>
        <w:tc>
          <w:tcPr>
            <w:tcW w:w="1894" w:type="pct"/>
          </w:tcPr>
          <w:p w14:paraId="639DF284" w14:textId="77777777" w:rsidR="00FE2381" w:rsidRPr="009B7FC3" w:rsidRDefault="00FE2381" w:rsidP="00D9524E">
            <w:pPr>
              <w:spacing w:before="40"/>
              <w:rPr>
                <w:rFonts w:ascii="Times New Roman" w:hAnsi="Times New Roman" w:cs="Times New Roman"/>
              </w:rPr>
            </w:pPr>
            <w:r w:rsidRPr="009B7FC3">
              <w:rPr>
                <w:rFonts w:ascii="Times New Roman" w:hAnsi="Times New Roman" w:cs="Times New Roman"/>
              </w:rPr>
              <w:t>Reference standard</w:t>
            </w:r>
          </w:p>
        </w:tc>
        <w:tc>
          <w:tcPr>
            <w:tcW w:w="3106" w:type="pct"/>
          </w:tcPr>
          <w:p w14:paraId="3D6DA2F2" w14:textId="77777777" w:rsidR="008D5689" w:rsidRPr="00DC5151" w:rsidRDefault="008D5689" w:rsidP="00324542">
            <w:pPr>
              <w:spacing w:before="40" w:line="276" w:lineRule="auto"/>
              <w:rPr>
                <w:rFonts w:ascii="Arial" w:hAnsi="Arial" w:cs="Arial"/>
                <w:color w:val="1F497D" w:themeColor="text2"/>
                <w:sz w:val="20"/>
              </w:rPr>
            </w:pPr>
            <w:r w:rsidRPr="00DC5151">
              <w:rPr>
                <w:rFonts w:ascii="Arial" w:hAnsi="Arial" w:cs="Arial"/>
                <w:color w:val="1F497D" w:themeColor="text2"/>
                <w:sz w:val="20"/>
              </w:rPr>
              <w:t>There is no</w:t>
            </w:r>
            <w:r w:rsidR="00A13630">
              <w:rPr>
                <w:rFonts w:ascii="Arial" w:hAnsi="Arial" w:cs="Arial"/>
                <w:color w:val="1F497D" w:themeColor="text2"/>
                <w:sz w:val="20"/>
              </w:rPr>
              <w:t xml:space="preserve"> established</w:t>
            </w:r>
            <w:r w:rsidRPr="00DC5151">
              <w:rPr>
                <w:rFonts w:ascii="Arial" w:hAnsi="Arial" w:cs="Arial"/>
                <w:color w:val="1F497D" w:themeColor="text2"/>
                <w:sz w:val="20"/>
              </w:rPr>
              <w:t xml:space="preserve"> reference standard.</w:t>
            </w:r>
          </w:p>
          <w:p w14:paraId="3210F475" w14:textId="4383FFC3" w:rsidR="00FE2381" w:rsidRPr="00DC5151" w:rsidRDefault="008D5689">
            <w:pPr>
              <w:spacing w:before="40" w:line="276" w:lineRule="auto"/>
              <w:rPr>
                <w:rFonts w:ascii="Arial" w:hAnsi="Arial" w:cs="Arial"/>
                <w:color w:val="1F497D" w:themeColor="text2"/>
                <w:sz w:val="20"/>
              </w:rPr>
            </w:pPr>
            <w:r w:rsidRPr="00DC5151">
              <w:rPr>
                <w:rFonts w:ascii="Arial" w:hAnsi="Arial" w:cs="Arial"/>
                <w:color w:val="1F497D" w:themeColor="text2"/>
                <w:sz w:val="20"/>
              </w:rPr>
              <w:t xml:space="preserve">The evidentiary standard used in the </w:t>
            </w:r>
            <w:r w:rsidR="00312075">
              <w:rPr>
                <w:rFonts w:ascii="Arial" w:hAnsi="Arial" w:cs="Arial"/>
                <w:color w:val="1F497D" w:themeColor="text2"/>
                <w:sz w:val="20"/>
              </w:rPr>
              <w:t>AZD9291</w:t>
            </w:r>
            <w:r w:rsidR="00336BCD" w:rsidRPr="00DC5151">
              <w:rPr>
                <w:rFonts w:ascii="Arial" w:hAnsi="Arial" w:cs="Arial"/>
                <w:color w:val="1F497D" w:themeColor="text2"/>
                <w:sz w:val="20"/>
              </w:rPr>
              <w:t xml:space="preserve"> </w:t>
            </w:r>
            <w:r w:rsidRPr="00DC5151">
              <w:rPr>
                <w:rFonts w:ascii="Arial" w:hAnsi="Arial" w:cs="Arial"/>
                <w:color w:val="1F497D" w:themeColor="text2"/>
                <w:sz w:val="20"/>
              </w:rPr>
              <w:t xml:space="preserve">clinical development program is </w:t>
            </w:r>
            <w:proofErr w:type="spellStart"/>
            <w:r w:rsidR="00336BCD" w:rsidRPr="00DC5151">
              <w:rPr>
                <w:rFonts w:ascii="Arial" w:hAnsi="Arial" w:cs="Arial"/>
                <w:color w:val="1F497D" w:themeColor="text2"/>
                <w:sz w:val="20"/>
              </w:rPr>
              <w:t>c</w:t>
            </w:r>
            <w:r w:rsidR="00FE2381" w:rsidRPr="00DC5151">
              <w:rPr>
                <w:rFonts w:ascii="Arial" w:hAnsi="Arial" w:cs="Arial"/>
                <w:color w:val="1F497D" w:themeColor="text2"/>
                <w:sz w:val="20"/>
              </w:rPr>
              <w:t>obas</w:t>
            </w:r>
            <w:proofErr w:type="spellEnd"/>
            <w:r w:rsidR="00336BCD" w:rsidRPr="00DC5151">
              <w:rPr>
                <w:rFonts w:ascii="Arial" w:hAnsi="Arial" w:cs="Arial"/>
                <w:color w:val="1F497D" w:themeColor="text2"/>
                <w:sz w:val="20"/>
                <w:vertAlign w:val="superscript"/>
              </w:rPr>
              <w:t>®</w:t>
            </w:r>
            <w:r w:rsidR="00FE2381" w:rsidRPr="00DC5151">
              <w:rPr>
                <w:rFonts w:ascii="Arial" w:hAnsi="Arial" w:cs="Arial"/>
                <w:color w:val="1F497D" w:themeColor="text2"/>
                <w:sz w:val="20"/>
              </w:rPr>
              <w:t xml:space="preserve"> </w:t>
            </w:r>
            <w:r w:rsidR="00336BCD" w:rsidRPr="00DC5151">
              <w:rPr>
                <w:rFonts w:ascii="Arial" w:hAnsi="Arial" w:cs="Arial"/>
                <w:color w:val="1F497D" w:themeColor="text2"/>
                <w:sz w:val="20"/>
              </w:rPr>
              <w:t xml:space="preserve">EGFR Mutation Test (Roche Molecular Diagnostics) </w:t>
            </w:r>
          </w:p>
        </w:tc>
      </w:tr>
    </w:tbl>
    <w:p w14:paraId="55F55D38" w14:textId="77777777" w:rsidR="00DC5151" w:rsidRDefault="00DC5151" w:rsidP="00FE2381">
      <w:pPr>
        <w:rPr>
          <w:sz w:val="24"/>
          <w:szCs w:val="24"/>
        </w:rPr>
      </w:pPr>
    </w:p>
    <w:p w14:paraId="41061173" w14:textId="77777777" w:rsidR="00FE2381" w:rsidRDefault="00DC5151" w:rsidP="00FE2381">
      <w:pPr>
        <w:rPr>
          <w:sz w:val="24"/>
          <w:szCs w:val="24"/>
        </w:rPr>
      </w:pPr>
      <w:r>
        <w:rPr>
          <w:sz w:val="24"/>
          <w:szCs w:val="24"/>
        </w:rPr>
        <w:br w:type="page"/>
      </w:r>
    </w:p>
    <w:p w14:paraId="20D83608" w14:textId="77777777" w:rsidR="000C4286" w:rsidRPr="00DF021C" w:rsidRDefault="000C4286" w:rsidP="009C49F2">
      <w:pPr>
        <w:pStyle w:val="Heading2"/>
      </w:pPr>
      <w:r>
        <w:lastRenderedPageBreak/>
        <w:t>Healthcare resources</w:t>
      </w:r>
    </w:p>
    <w:p w14:paraId="219D8ECD" w14:textId="77777777" w:rsidR="00DC5151" w:rsidRPr="00C7079D" w:rsidRDefault="00FB4575" w:rsidP="00324542">
      <w:pPr>
        <w:spacing w:line="360" w:lineRule="auto"/>
        <w:rPr>
          <w:rFonts w:ascii="Arial" w:hAnsi="Arial" w:cs="Arial"/>
        </w:rPr>
      </w:pPr>
      <w:r w:rsidRPr="00C7079D">
        <w:rPr>
          <w:rFonts w:ascii="Arial" w:hAnsi="Arial" w:cs="Arial"/>
        </w:rPr>
        <w:t xml:space="preserve">Table 2 </w:t>
      </w:r>
      <w:r w:rsidR="00B2689C" w:rsidRPr="00C7079D">
        <w:rPr>
          <w:rFonts w:ascii="Arial" w:hAnsi="Arial" w:cs="Arial"/>
        </w:rPr>
        <w:t xml:space="preserve">(List of resources to be considered in the economic analysis) </w:t>
      </w:r>
      <w:r w:rsidRPr="00C7079D">
        <w:rPr>
          <w:rFonts w:ascii="Arial" w:hAnsi="Arial" w:cs="Arial"/>
        </w:rPr>
        <w:t xml:space="preserve">has been completed with category descriptions </w:t>
      </w:r>
      <w:r w:rsidR="007C1306" w:rsidRPr="00C7079D">
        <w:rPr>
          <w:rFonts w:ascii="Arial" w:hAnsi="Arial" w:cs="Arial"/>
        </w:rPr>
        <w:t>for the comparator and proposed intervention of</w:t>
      </w:r>
      <w:r w:rsidRPr="00C7079D">
        <w:rPr>
          <w:rFonts w:ascii="Arial" w:hAnsi="Arial" w:cs="Arial"/>
        </w:rPr>
        <w:t xml:space="preserve"> the </w:t>
      </w:r>
      <w:r w:rsidR="007C1306" w:rsidRPr="00C7079D">
        <w:rPr>
          <w:rFonts w:ascii="Arial" w:hAnsi="Arial" w:cs="Arial"/>
        </w:rPr>
        <w:t>likely resource utilisation that will be relevant to the economic evaluation. Further details will be included in the co-dependent submission.</w:t>
      </w:r>
      <w:r w:rsidR="0095593F" w:rsidRPr="00C7079D">
        <w:rPr>
          <w:rFonts w:ascii="Arial" w:hAnsi="Arial" w:cs="Arial"/>
        </w:rPr>
        <w:t xml:space="preserve"> </w:t>
      </w:r>
      <w:r w:rsidR="009B12E0" w:rsidRPr="00C7079D">
        <w:rPr>
          <w:rFonts w:ascii="Arial" w:hAnsi="Arial" w:cs="Arial"/>
        </w:rPr>
        <w:t xml:space="preserve">The model is in development and </w:t>
      </w:r>
      <w:r w:rsidR="00B2689C" w:rsidRPr="00C7079D">
        <w:rPr>
          <w:rFonts w:ascii="Arial" w:hAnsi="Arial" w:cs="Arial"/>
        </w:rPr>
        <w:t xml:space="preserve">Table 3 </w:t>
      </w:r>
      <w:r w:rsidR="009B12E0" w:rsidRPr="00C7079D">
        <w:rPr>
          <w:rFonts w:ascii="Arial" w:hAnsi="Arial" w:cs="Arial"/>
        </w:rPr>
        <w:t>is unable to be completed (and not included) at this time</w:t>
      </w:r>
      <w:r w:rsidR="00B2689C" w:rsidRPr="00C7079D">
        <w:rPr>
          <w:rFonts w:ascii="Arial" w:hAnsi="Arial" w:cs="Arial"/>
        </w:rPr>
        <w:t>.</w:t>
      </w:r>
    </w:p>
    <w:p w14:paraId="347C034C" w14:textId="77777777" w:rsidR="008C21F3" w:rsidRDefault="008C21F3" w:rsidP="00324542">
      <w:pPr>
        <w:spacing w:line="360" w:lineRule="auto"/>
      </w:pPr>
    </w:p>
    <w:p w14:paraId="149756A0" w14:textId="77777777" w:rsidR="000C4286" w:rsidRPr="00DF021C" w:rsidRDefault="000C4286" w:rsidP="009C49F2">
      <w:pPr>
        <w:pStyle w:val="Heading2"/>
      </w:pPr>
      <w:r w:rsidRPr="00190DDC">
        <w:t>Questions for public funding</w:t>
      </w:r>
    </w:p>
    <w:p w14:paraId="0CE2EDB4" w14:textId="77777777" w:rsidR="000C4286" w:rsidRPr="00C7079D" w:rsidRDefault="000C4286" w:rsidP="00190DDC">
      <w:pPr>
        <w:spacing w:before="120" w:after="120"/>
        <w:rPr>
          <w:rFonts w:ascii="Arial" w:hAnsi="Arial" w:cs="Arial"/>
          <w:color w:val="0070C0"/>
        </w:rPr>
      </w:pPr>
      <w:r w:rsidRPr="00C7079D">
        <w:rPr>
          <w:rFonts w:ascii="Arial" w:hAnsi="Arial" w:cs="Arial"/>
          <w:color w:val="0070C0"/>
        </w:rPr>
        <w:t>Please list questions relating to the safety, effectiveness and cost-effectiveness of the service / intervention relevant to this application, for example:</w:t>
      </w:r>
    </w:p>
    <w:p w14:paraId="78C5C0FE" w14:textId="77777777" w:rsidR="000C4286" w:rsidRPr="00C7079D" w:rsidRDefault="000C4286" w:rsidP="00BC1F1C">
      <w:pPr>
        <w:pStyle w:val="ListParagraph"/>
        <w:numPr>
          <w:ilvl w:val="0"/>
          <w:numId w:val="2"/>
        </w:numPr>
        <w:spacing w:before="120" w:after="120"/>
        <w:rPr>
          <w:rFonts w:ascii="Arial" w:hAnsi="Arial" w:cs="Arial"/>
          <w:color w:val="0070C0"/>
        </w:rPr>
      </w:pPr>
      <w:r w:rsidRPr="00C7079D">
        <w:rPr>
          <w:rFonts w:ascii="Arial" w:hAnsi="Arial" w:cs="Arial"/>
          <w:color w:val="0070C0"/>
        </w:rPr>
        <w:t>Which health / medical professionals provide the service</w:t>
      </w:r>
    </w:p>
    <w:p w14:paraId="5589CFBA" w14:textId="77777777" w:rsidR="000C4286" w:rsidRPr="00C7079D" w:rsidRDefault="000C4286" w:rsidP="00BC1F1C">
      <w:pPr>
        <w:pStyle w:val="ListParagraph"/>
        <w:numPr>
          <w:ilvl w:val="0"/>
          <w:numId w:val="2"/>
        </w:numPr>
        <w:spacing w:before="120" w:after="120"/>
        <w:rPr>
          <w:rFonts w:ascii="Arial" w:hAnsi="Arial" w:cs="Arial"/>
          <w:color w:val="0070C0"/>
        </w:rPr>
      </w:pPr>
      <w:r w:rsidRPr="00C7079D">
        <w:rPr>
          <w:rFonts w:ascii="Arial" w:hAnsi="Arial" w:cs="Arial"/>
          <w:color w:val="0070C0"/>
        </w:rPr>
        <w:t>Are there training and qualification requirements</w:t>
      </w:r>
    </w:p>
    <w:p w14:paraId="22F2EB5D" w14:textId="77777777" w:rsidR="00EF442F" w:rsidRPr="00C7079D" w:rsidRDefault="000C4286" w:rsidP="00EF442F">
      <w:pPr>
        <w:pStyle w:val="ListParagraph"/>
        <w:numPr>
          <w:ilvl w:val="0"/>
          <w:numId w:val="2"/>
        </w:numPr>
        <w:spacing w:before="120" w:after="120"/>
        <w:rPr>
          <w:rFonts w:ascii="Arial" w:hAnsi="Arial" w:cs="Arial"/>
          <w:color w:val="0070C0"/>
        </w:rPr>
      </w:pPr>
      <w:r w:rsidRPr="00C7079D">
        <w:rPr>
          <w:rFonts w:ascii="Arial" w:hAnsi="Arial" w:cs="Arial"/>
          <w:color w:val="0070C0"/>
        </w:rPr>
        <w:t>Are there accreditation requirements</w:t>
      </w:r>
    </w:p>
    <w:p w14:paraId="5C3C0BA0" w14:textId="77777777" w:rsidR="00EF442F" w:rsidRDefault="00EF442F" w:rsidP="00EF442F">
      <w:pPr>
        <w:pStyle w:val="ListParagraph"/>
        <w:spacing w:before="120" w:after="120"/>
        <w:rPr>
          <w:rFonts w:ascii="Arial" w:hAnsi="Arial" w:cs="Arial"/>
        </w:rPr>
      </w:pPr>
    </w:p>
    <w:p w14:paraId="0696E5DA" w14:textId="77777777" w:rsidR="00D90D0C" w:rsidRPr="00A330C6" w:rsidRDefault="00D90D0C" w:rsidP="008B5AB2">
      <w:pPr>
        <w:rPr>
          <w:rFonts w:ascii="Arial" w:hAnsi="Arial" w:cs="Arial"/>
          <w:color w:val="244061" w:themeColor="accent1" w:themeShade="80"/>
          <w:sz w:val="20"/>
        </w:rPr>
      </w:pPr>
    </w:p>
    <w:p w14:paraId="65FC7ECF" w14:textId="77777777" w:rsidR="008B3ED7" w:rsidRPr="002F2DB3" w:rsidRDefault="008B3ED7" w:rsidP="002F2DB3">
      <w:pPr>
        <w:pStyle w:val="ListParagraph"/>
        <w:numPr>
          <w:ilvl w:val="0"/>
          <w:numId w:val="12"/>
        </w:numPr>
        <w:rPr>
          <w:rFonts w:ascii="Arial" w:hAnsi="Arial" w:cs="Arial"/>
          <w:sz w:val="24"/>
          <w:szCs w:val="24"/>
        </w:rPr>
        <w:sectPr w:rsidR="008B3ED7" w:rsidRPr="002F2DB3" w:rsidSect="00C4517A">
          <w:headerReference w:type="even" r:id="rId26"/>
          <w:headerReference w:type="default" r:id="rId27"/>
          <w:footerReference w:type="default" r:id="rId28"/>
          <w:headerReference w:type="first" r:id="rId29"/>
          <w:pgSz w:w="11906" w:h="16838"/>
          <w:pgMar w:top="1418" w:right="1274" w:bottom="1276" w:left="1560" w:header="708" w:footer="708" w:gutter="0"/>
          <w:cols w:space="708"/>
          <w:docGrid w:linePitch="360"/>
        </w:sectPr>
      </w:pPr>
    </w:p>
    <w:p w14:paraId="2299C842" w14:textId="77777777" w:rsidR="004750DD" w:rsidRDefault="004750DD" w:rsidP="004750DD">
      <w:pPr>
        <w:pStyle w:val="Caption"/>
        <w:rPr>
          <w:rFonts w:ascii="Times New Roman" w:hAnsi="Times New Roman" w:cs="Times New Roman"/>
          <w:sz w:val="24"/>
          <w:szCs w:val="24"/>
        </w:rPr>
      </w:pPr>
      <w:r w:rsidRPr="004548DB">
        <w:rPr>
          <w:rFonts w:ascii="Times New Roman" w:hAnsi="Times New Roman" w:cs="Times New Roman"/>
          <w:sz w:val="24"/>
          <w:szCs w:val="24"/>
        </w:rPr>
        <w:lastRenderedPageBreak/>
        <w:t xml:space="preserve">Table </w:t>
      </w:r>
      <w:r w:rsidR="00493186">
        <w:rPr>
          <w:rFonts w:ascii="Times New Roman" w:hAnsi="Times New Roman" w:cs="Times New Roman"/>
          <w:sz w:val="24"/>
          <w:szCs w:val="24"/>
        </w:rPr>
        <w:t>2</w:t>
      </w:r>
      <w:r w:rsidRPr="004548DB">
        <w:rPr>
          <w:rFonts w:ascii="Times New Roman" w:hAnsi="Times New Roman" w:cs="Times New Roman"/>
          <w:sz w:val="24"/>
          <w:szCs w:val="24"/>
        </w:rPr>
        <w:t>:</w:t>
      </w:r>
      <w:r w:rsidRPr="004548DB">
        <w:rPr>
          <w:rFonts w:ascii="Times New Roman" w:hAnsi="Times New Roman" w:cs="Times New Roman"/>
          <w:sz w:val="24"/>
          <w:szCs w:val="24"/>
        </w:rPr>
        <w:tab/>
        <w:t>List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Table 2: List of resources to be considered in the economic analysis"/>
      </w:tblPr>
      <w:tblGrid>
        <w:gridCol w:w="2498"/>
        <w:gridCol w:w="1310"/>
        <w:gridCol w:w="1296"/>
        <w:gridCol w:w="1296"/>
        <w:gridCol w:w="1293"/>
        <w:gridCol w:w="1058"/>
        <w:gridCol w:w="1058"/>
        <w:gridCol w:w="1200"/>
        <w:gridCol w:w="1058"/>
        <w:gridCol w:w="1058"/>
        <w:gridCol w:w="1055"/>
      </w:tblGrid>
      <w:tr w:rsidR="004750DD" w:rsidRPr="00E95225" w14:paraId="00DF15FC" w14:textId="77777777" w:rsidTr="00FF21C6">
        <w:trPr>
          <w:tblHeader/>
        </w:trPr>
        <w:tc>
          <w:tcPr>
            <w:tcW w:w="881" w:type="pct"/>
            <w:vMerge w:val="restart"/>
            <w:shd w:val="clear" w:color="auto" w:fill="auto"/>
          </w:tcPr>
          <w:p w14:paraId="00A44587" w14:textId="77777777" w:rsidR="004750DD" w:rsidRPr="00E95225" w:rsidRDefault="004750DD" w:rsidP="004750DD">
            <w:pPr>
              <w:keepNext/>
              <w:spacing w:after="0" w:line="240" w:lineRule="auto"/>
              <w:rPr>
                <w:rFonts w:ascii="Times New Roman" w:hAnsi="Times New Roman" w:cs="Times New Roman"/>
                <w:b/>
              </w:rPr>
            </w:pPr>
          </w:p>
        </w:tc>
        <w:tc>
          <w:tcPr>
            <w:tcW w:w="462" w:type="pct"/>
            <w:vMerge w:val="restart"/>
            <w:shd w:val="clear" w:color="auto" w:fill="E5B8B7" w:themeFill="accent2" w:themeFillTint="66"/>
            <w:vAlign w:val="center"/>
          </w:tcPr>
          <w:p w14:paraId="390BEC56" w14:textId="77777777"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Provider of resource</w:t>
            </w:r>
          </w:p>
        </w:tc>
        <w:tc>
          <w:tcPr>
            <w:tcW w:w="457" w:type="pct"/>
            <w:vMerge w:val="restart"/>
            <w:shd w:val="clear" w:color="auto" w:fill="E5B8B7" w:themeFill="accent2" w:themeFillTint="66"/>
            <w:vAlign w:val="center"/>
          </w:tcPr>
          <w:p w14:paraId="19768419" w14:textId="77777777"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Setting in which resource is provided</w:t>
            </w:r>
          </w:p>
        </w:tc>
        <w:tc>
          <w:tcPr>
            <w:tcW w:w="457" w:type="pct"/>
            <w:vMerge w:val="restart"/>
            <w:shd w:val="clear" w:color="auto" w:fill="D6E3BC" w:themeFill="accent3" w:themeFillTint="66"/>
            <w:vAlign w:val="center"/>
          </w:tcPr>
          <w:p w14:paraId="72B684C0" w14:textId="77777777"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Proportion of patients receiving resource</w:t>
            </w:r>
          </w:p>
        </w:tc>
        <w:tc>
          <w:tcPr>
            <w:tcW w:w="456" w:type="pct"/>
            <w:vMerge w:val="restart"/>
            <w:shd w:val="clear" w:color="auto" w:fill="D6E3BC" w:themeFill="accent3" w:themeFillTint="66"/>
            <w:vAlign w:val="center"/>
          </w:tcPr>
          <w:p w14:paraId="5F0FB980" w14:textId="77777777"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Number of units of resource per relevant time horizon per patient receiving resource</w:t>
            </w:r>
          </w:p>
        </w:tc>
        <w:tc>
          <w:tcPr>
            <w:tcW w:w="2287" w:type="pct"/>
            <w:gridSpan w:val="6"/>
            <w:shd w:val="clear" w:color="auto" w:fill="FBD4B4" w:themeFill="accent6" w:themeFillTint="66"/>
          </w:tcPr>
          <w:p w14:paraId="794C5829" w14:textId="77777777" w:rsidR="004750DD" w:rsidRPr="00E95225" w:rsidRDefault="004750DD" w:rsidP="004750DD">
            <w:pPr>
              <w:keepNext/>
              <w:spacing w:before="120" w:after="120" w:line="240" w:lineRule="auto"/>
              <w:jc w:val="center"/>
              <w:rPr>
                <w:rFonts w:ascii="Times New Roman" w:hAnsi="Times New Roman" w:cs="Times New Roman"/>
                <w:b/>
              </w:rPr>
            </w:pPr>
            <w:r w:rsidRPr="00E95225">
              <w:rPr>
                <w:rFonts w:ascii="Times New Roman" w:hAnsi="Times New Roman" w:cs="Times New Roman"/>
                <w:b/>
              </w:rPr>
              <w:t>Disaggregated unit cost</w:t>
            </w:r>
          </w:p>
        </w:tc>
      </w:tr>
      <w:tr w:rsidR="004750DD" w:rsidRPr="00E95225" w14:paraId="12C56BCD" w14:textId="77777777" w:rsidTr="00FF21C6">
        <w:trPr>
          <w:tblHeader/>
        </w:trPr>
        <w:tc>
          <w:tcPr>
            <w:tcW w:w="881" w:type="pct"/>
            <w:vMerge/>
            <w:shd w:val="clear" w:color="auto" w:fill="auto"/>
          </w:tcPr>
          <w:p w14:paraId="095B060B" w14:textId="77777777" w:rsidR="004750DD" w:rsidRPr="00E95225" w:rsidRDefault="004750DD" w:rsidP="004750DD">
            <w:pPr>
              <w:keepNext/>
              <w:spacing w:after="0" w:line="240" w:lineRule="auto"/>
              <w:rPr>
                <w:rFonts w:ascii="Times New Roman" w:hAnsi="Times New Roman" w:cs="Times New Roman"/>
              </w:rPr>
            </w:pPr>
          </w:p>
        </w:tc>
        <w:tc>
          <w:tcPr>
            <w:tcW w:w="462" w:type="pct"/>
            <w:vMerge/>
            <w:shd w:val="clear" w:color="auto" w:fill="E5B8B7" w:themeFill="accent2" w:themeFillTint="66"/>
          </w:tcPr>
          <w:p w14:paraId="04038EE5" w14:textId="77777777" w:rsidR="004750DD" w:rsidRPr="00E95225" w:rsidRDefault="004750DD" w:rsidP="004750DD">
            <w:pPr>
              <w:keepNext/>
              <w:spacing w:after="0" w:line="240" w:lineRule="auto"/>
              <w:jc w:val="center"/>
              <w:rPr>
                <w:rFonts w:ascii="Times New Roman" w:hAnsi="Times New Roman" w:cs="Times New Roman"/>
              </w:rPr>
            </w:pPr>
          </w:p>
        </w:tc>
        <w:tc>
          <w:tcPr>
            <w:tcW w:w="457" w:type="pct"/>
            <w:vMerge/>
            <w:shd w:val="clear" w:color="auto" w:fill="E5B8B7" w:themeFill="accent2" w:themeFillTint="66"/>
          </w:tcPr>
          <w:p w14:paraId="178D9D54" w14:textId="77777777" w:rsidR="004750DD" w:rsidRPr="00E95225" w:rsidRDefault="004750DD" w:rsidP="004750DD">
            <w:pPr>
              <w:keepNext/>
              <w:spacing w:after="0" w:line="240" w:lineRule="auto"/>
              <w:jc w:val="center"/>
              <w:rPr>
                <w:rFonts w:ascii="Times New Roman" w:hAnsi="Times New Roman" w:cs="Times New Roman"/>
              </w:rPr>
            </w:pPr>
          </w:p>
        </w:tc>
        <w:tc>
          <w:tcPr>
            <w:tcW w:w="457" w:type="pct"/>
            <w:vMerge/>
            <w:shd w:val="clear" w:color="auto" w:fill="D6E3BC" w:themeFill="accent3" w:themeFillTint="66"/>
          </w:tcPr>
          <w:p w14:paraId="2ED96F34" w14:textId="77777777" w:rsidR="004750DD" w:rsidRPr="00E95225" w:rsidRDefault="004750DD" w:rsidP="004750DD">
            <w:pPr>
              <w:keepNext/>
              <w:spacing w:after="0" w:line="240" w:lineRule="auto"/>
              <w:jc w:val="center"/>
              <w:rPr>
                <w:rFonts w:ascii="Times New Roman" w:hAnsi="Times New Roman" w:cs="Times New Roman"/>
              </w:rPr>
            </w:pPr>
          </w:p>
        </w:tc>
        <w:tc>
          <w:tcPr>
            <w:tcW w:w="456" w:type="pct"/>
            <w:vMerge/>
            <w:shd w:val="clear" w:color="auto" w:fill="D6E3BC" w:themeFill="accent3" w:themeFillTint="66"/>
          </w:tcPr>
          <w:p w14:paraId="668BEB41" w14:textId="77777777" w:rsidR="004750DD" w:rsidRPr="00E95225" w:rsidRDefault="004750DD" w:rsidP="004750DD">
            <w:pPr>
              <w:keepNext/>
              <w:spacing w:after="0" w:line="240" w:lineRule="auto"/>
              <w:jc w:val="center"/>
              <w:rPr>
                <w:rFonts w:ascii="Times New Roman" w:hAnsi="Times New Roman" w:cs="Times New Roman"/>
              </w:rPr>
            </w:pPr>
          </w:p>
        </w:tc>
        <w:tc>
          <w:tcPr>
            <w:tcW w:w="373" w:type="pct"/>
            <w:shd w:val="clear" w:color="auto" w:fill="FBD4B4" w:themeFill="accent6" w:themeFillTint="66"/>
            <w:vAlign w:val="center"/>
          </w:tcPr>
          <w:p w14:paraId="20CCF824" w14:textId="77777777"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MBS</w:t>
            </w:r>
          </w:p>
        </w:tc>
        <w:tc>
          <w:tcPr>
            <w:tcW w:w="373" w:type="pct"/>
            <w:shd w:val="clear" w:color="auto" w:fill="FBD4B4" w:themeFill="accent6" w:themeFillTint="66"/>
            <w:vAlign w:val="center"/>
          </w:tcPr>
          <w:p w14:paraId="72583EDD" w14:textId="77777777"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Safety nets*</w:t>
            </w:r>
          </w:p>
        </w:tc>
        <w:tc>
          <w:tcPr>
            <w:tcW w:w="423" w:type="pct"/>
            <w:shd w:val="clear" w:color="auto" w:fill="FBD4B4" w:themeFill="accent6" w:themeFillTint="66"/>
            <w:vAlign w:val="center"/>
          </w:tcPr>
          <w:p w14:paraId="3E70908F" w14:textId="77777777"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Other gov</w:t>
            </w:r>
            <w:r>
              <w:rPr>
                <w:rFonts w:ascii="Times New Roman" w:hAnsi="Times New Roman" w:cs="Times New Roman"/>
                <w:b/>
              </w:rPr>
              <w:t>ernmen</w:t>
            </w:r>
            <w:r w:rsidRPr="00E95225">
              <w:rPr>
                <w:rFonts w:ascii="Times New Roman" w:hAnsi="Times New Roman" w:cs="Times New Roman"/>
                <w:b/>
              </w:rPr>
              <w:t>t budget</w:t>
            </w:r>
          </w:p>
        </w:tc>
        <w:tc>
          <w:tcPr>
            <w:tcW w:w="373" w:type="pct"/>
            <w:shd w:val="clear" w:color="auto" w:fill="FBD4B4" w:themeFill="accent6" w:themeFillTint="66"/>
            <w:vAlign w:val="center"/>
          </w:tcPr>
          <w:p w14:paraId="7F66838E" w14:textId="77777777"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Private health insurer</w:t>
            </w:r>
          </w:p>
        </w:tc>
        <w:tc>
          <w:tcPr>
            <w:tcW w:w="373" w:type="pct"/>
            <w:shd w:val="clear" w:color="auto" w:fill="FBD4B4" w:themeFill="accent6" w:themeFillTint="66"/>
            <w:vAlign w:val="center"/>
          </w:tcPr>
          <w:p w14:paraId="1AD1D4FA" w14:textId="77777777"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Patient</w:t>
            </w:r>
          </w:p>
        </w:tc>
        <w:tc>
          <w:tcPr>
            <w:tcW w:w="372" w:type="pct"/>
            <w:shd w:val="clear" w:color="auto" w:fill="FBD4B4" w:themeFill="accent6" w:themeFillTint="66"/>
            <w:vAlign w:val="center"/>
          </w:tcPr>
          <w:p w14:paraId="7EE42DFE" w14:textId="77777777"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Total cost</w:t>
            </w:r>
          </w:p>
        </w:tc>
      </w:tr>
      <w:tr w:rsidR="004750DD" w:rsidRPr="00E95225" w14:paraId="40460204" w14:textId="77777777" w:rsidTr="004750DD">
        <w:tc>
          <w:tcPr>
            <w:tcW w:w="5000" w:type="pct"/>
            <w:gridSpan w:val="11"/>
            <w:shd w:val="clear" w:color="auto" w:fill="auto"/>
            <w:vAlign w:val="center"/>
          </w:tcPr>
          <w:p w14:paraId="3AC55B22" w14:textId="77777777" w:rsidR="004750DD" w:rsidRPr="004548DB" w:rsidRDefault="004750DD" w:rsidP="004750DD">
            <w:pPr>
              <w:spacing w:before="120" w:after="120" w:line="240" w:lineRule="auto"/>
              <w:rPr>
                <w:rFonts w:ascii="Times New Roman" w:hAnsi="Times New Roman" w:cs="Times New Roman"/>
                <w:b/>
              </w:rPr>
            </w:pPr>
            <w:r w:rsidRPr="004548DB">
              <w:rPr>
                <w:rFonts w:ascii="Times New Roman" w:hAnsi="Times New Roman" w:cs="Times New Roman"/>
                <w:b/>
              </w:rPr>
              <w:t xml:space="preserve">Resources provided to identify eligible population </w:t>
            </w:r>
          </w:p>
        </w:tc>
      </w:tr>
      <w:tr w:rsidR="0095593F" w:rsidRPr="00E95225" w14:paraId="25E2CF4B" w14:textId="77777777" w:rsidTr="00FF21C6">
        <w:tc>
          <w:tcPr>
            <w:tcW w:w="881" w:type="pct"/>
            <w:shd w:val="clear" w:color="auto" w:fill="auto"/>
          </w:tcPr>
          <w:p w14:paraId="58C8250D" w14:textId="77777777" w:rsidR="0095593F" w:rsidRDefault="0095593F" w:rsidP="0095593F">
            <w:pPr>
              <w:spacing w:before="120" w:after="120" w:line="240" w:lineRule="auto"/>
              <w:rPr>
                <w:rFonts w:ascii="Times New Roman" w:hAnsi="Times New Roman" w:cs="Times New Roman"/>
              </w:rPr>
            </w:pPr>
            <w:r>
              <w:rPr>
                <w:rFonts w:ascii="Times New Roman" w:hAnsi="Times New Roman" w:cs="Times New Roman"/>
              </w:rPr>
              <w:t>Specialist consultation</w:t>
            </w:r>
          </w:p>
        </w:tc>
        <w:tc>
          <w:tcPr>
            <w:tcW w:w="462" w:type="pct"/>
            <w:shd w:val="clear" w:color="auto" w:fill="E5B8B7" w:themeFill="accent2" w:themeFillTint="66"/>
          </w:tcPr>
          <w:p w14:paraId="11423626" w14:textId="77777777" w:rsidR="0095593F" w:rsidRDefault="0095593F" w:rsidP="0095593F">
            <w:pPr>
              <w:spacing w:before="120" w:after="120" w:line="240" w:lineRule="auto"/>
              <w:jc w:val="center"/>
              <w:rPr>
                <w:rFonts w:ascii="Times New Roman" w:hAnsi="Times New Roman" w:cs="Times New Roman"/>
              </w:rPr>
            </w:pPr>
            <w:r>
              <w:rPr>
                <w:rFonts w:ascii="Times New Roman" w:hAnsi="Times New Roman" w:cs="Times New Roman"/>
              </w:rPr>
              <w:t>Medical Oncologist</w:t>
            </w:r>
          </w:p>
        </w:tc>
        <w:tc>
          <w:tcPr>
            <w:tcW w:w="457" w:type="pct"/>
            <w:shd w:val="clear" w:color="auto" w:fill="E5B8B7" w:themeFill="accent2" w:themeFillTint="66"/>
          </w:tcPr>
          <w:p w14:paraId="3423FBCA"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637F3FC2"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23BDEB57"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47FA37BB"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6538D394"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5019BC04"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64ECAD6"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17C81E01"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7333D0EB"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3A0005CA" w14:textId="77777777" w:rsidTr="00FF21C6">
        <w:tc>
          <w:tcPr>
            <w:tcW w:w="881" w:type="pct"/>
            <w:shd w:val="clear" w:color="auto" w:fill="auto"/>
          </w:tcPr>
          <w:p w14:paraId="093736E8" w14:textId="77777777" w:rsidR="0095593F" w:rsidRPr="004548DB" w:rsidRDefault="0095593F" w:rsidP="0095593F">
            <w:pPr>
              <w:spacing w:before="120" w:after="120" w:line="240" w:lineRule="auto"/>
              <w:rPr>
                <w:rFonts w:ascii="Times New Roman" w:hAnsi="Times New Roman" w:cs="Times New Roman"/>
              </w:rPr>
            </w:pPr>
            <w:r>
              <w:rPr>
                <w:rFonts w:ascii="Times New Roman" w:hAnsi="Times New Roman" w:cs="Times New Roman"/>
              </w:rPr>
              <w:t>Biopsy</w:t>
            </w:r>
          </w:p>
        </w:tc>
        <w:tc>
          <w:tcPr>
            <w:tcW w:w="462" w:type="pct"/>
            <w:shd w:val="clear" w:color="auto" w:fill="E5B8B7" w:themeFill="accent2" w:themeFillTint="66"/>
          </w:tcPr>
          <w:p w14:paraId="264220C6" w14:textId="77777777" w:rsidR="0095593F" w:rsidRPr="004548DB" w:rsidRDefault="0095593F" w:rsidP="0095593F">
            <w:pPr>
              <w:spacing w:before="120" w:after="120" w:line="240" w:lineRule="auto"/>
              <w:jc w:val="center"/>
              <w:rPr>
                <w:rFonts w:ascii="Times New Roman" w:hAnsi="Times New Roman" w:cs="Times New Roman"/>
              </w:rPr>
            </w:pPr>
            <w:r>
              <w:rPr>
                <w:rFonts w:ascii="Times New Roman" w:hAnsi="Times New Roman" w:cs="Times New Roman"/>
              </w:rPr>
              <w:t>Respiratory Physician or Interventional Radiologist</w:t>
            </w:r>
          </w:p>
        </w:tc>
        <w:tc>
          <w:tcPr>
            <w:tcW w:w="457" w:type="pct"/>
            <w:shd w:val="clear" w:color="auto" w:fill="E5B8B7" w:themeFill="accent2" w:themeFillTint="66"/>
          </w:tcPr>
          <w:p w14:paraId="51F01223"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01F4AA20"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222F4633"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AA4CB54"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6F1913DA"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301B9732"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2D841C87"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404725D5"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04833E77"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0D0C2A83" w14:textId="77777777" w:rsidTr="00FF21C6">
        <w:tc>
          <w:tcPr>
            <w:tcW w:w="881" w:type="pct"/>
            <w:shd w:val="clear" w:color="auto" w:fill="auto"/>
          </w:tcPr>
          <w:p w14:paraId="2DEAF6D1" w14:textId="77777777" w:rsidR="0095593F" w:rsidRDefault="0095593F" w:rsidP="0095593F">
            <w:pPr>
              <w:spacing w:before="120" w:after="120" w:line="240" w:lineRule="auto"/>
              <w:rPr>
                <w:rFonts w:ascii="Times New Roman" w:hAnsi="Times New Roman" w:cs="Times New Roman"/>
              </w:rPr>
            </w:pPr>
            <w:r>
              <w:rPr>
                <w:rFonts w:ascii="Times New Roman" w:hAnsi="Times New Roman" w:cs="Times New Roman"/>
              </w:rPr>
              <w:t>Resources to monitor and manage any side effects associated with biopsy</w:t>
            </w:r>
          </w:p>
        </w:tc>
        <w:tc>
          <w:tcPr>
            <w:tcW w:w="462" w:type="pct"/>
            <w:shd w:val="clear" w:color="auto" w:fill="E5B8B7" w:themeFill="accent2" w:themeFillTint="66"/>
          </w:tcPr>
          <w:p w14:paraId="2A0B8100" w14:textId="77777777" w:rsidR="0095593F" w:rsidRDefault="0095593F" w:rsidP="0095593F">
            <w:pPr>
              <w:spacing w:before="120" w:after="120" w:line="240" w:lineRule="auto"/>
              <w:jc w:val="center"/>
              <w:rPr>
                <w:rFonts w:ascii="Times New Roman" w:hAnsi="Times New Roman" w:cs="Times New Roman"/>
              </w:rPr>
            </w:pPr>
          </w:p>
        </w:tc>
        <w:tc>
          <w:tcPr>
            <w:tcW w:w="457" w:type="pct"/>
            <w:shd w:val="clear" w:color="auto" w:fill="E5B8B7" w:themeFill="accent2" w:themeFillTint="66"/>
          </w:tcPr>
          <w:p w14:paraId="1660A502" w14:textId="77777777" w:rsidR="0095593F"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14A7068F" w14:textId="77777777" w:rsidR="0095593F"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66B364B4" w14:textId="77777777" w:rsidR="0095593F"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B2B358B" w14:textId="77777777" w:rsidR="0095593F"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13B1DB68"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293AEA51" w14:textId="77777777" w:rsidR="0095593F"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543BEE7B"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1A38C259"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0E8485C2"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07779F8A" w14:textId="77777777" w:rsidTr="00FF21C6">
        <w:tc>
          <w:tcPr>
            <w:tcW w:w="881" w:type="pct"/>
            <w:shd w:val="clear" w:color="auto" w:fill="auto"/>
          </w:tcPr>
          <w:p w14:paraId="26C79E8F" w14:textId="77777777" w:rsidR="0095593F" w:rsidRDefault="0095593F" w:rsidP="0095593F">
            <w:pPr>
              <w:spacing w:before="120" w:after="120" w:line="240" w:lineRule="auto"/>
              <w:rPr>
                <w:rFonts w:ascii="Times New Roman" w:hAnsi="Times New Roman" w:cs="Times New Roman"/>
              </w:rPr>
            </w:pPr>
            <w:r>
              <w:rPr>
                <w:rFonts w:ascii="Times New Roman" w:hAnsi="Times New Roman" w:cs="Times New Roman"/>
              </w:rPr>
              <w:t>Preparation of tissue sample</w:t>
            </w:r>
          </w:p>
        </w:tc>
        <w:tc>
          <w:tcPr>
            <w:tcW w:w="462" w:type="pct"/>
            <w:shd w:val="clear" w:color="auto" w:fill="E5B8B7" w:themeFill="accent2" w:themeFillTint="66"/>
          </w:tcPr>
          <w:p w14:paraId="531AABEA" w14:textId="77777777" w:rsidR="0095593F" w:rsidRDefault="0095593F" w:rsidP="0095593F">
            <w:pPr>
              <w:spacing w:before="120" w:after="120" w:line="240" w:lineRule="auto"/>
              <w:jc w:val="center"/>
              <w:rPr>
                <w:rFonts w:ascii="Times New Roman" w:hAnsi="Times New Roman" w:cs="Times New Roman"/>
              </w:rPr>
            </w:pPr>
            <w:r>
              <w:rPr>
                <w:rFonts w:ascii="Times New Roman" w:hAnsi="Times New Roman" w:cs="Times New Roman"/>
              </w:rPr>
              <w:t>Pathologist</w:t>
            </w:r>
          </w:p>
        </w:tc>
        <w:tc>
          <w:tcPr>
            <w:tcW w:w="457" w:type="pct"/>
            <w:shd w:val="clear" w:color="auto" w:fill="E5B8B7" w:themeFill="accent2" w:themeFillTint="66"/>
          </w:tcPr>
          <w:p w14:paraId="4142134A" w14:textId="77777777" w:rsidR="0095593F"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1EEACB36" w14:textId="77777777" w:rsidR="0095593F"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30829B7A" w14:textId="77777777" w:rsidR="0095593F"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1D936E64" w14:textId="77777777" w:rsidR="0095593F"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3BFEA85A"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338D5D1D" w14:textId="77777777" w:rsidR="0095593F"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5139E1E6"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349C0F85"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620C286C"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6D188883" w14:textId="77777777" w:rsidTr="00FF21C6">
        <w:tc>
          <w:tcPr>
            <w:tcW w:w="881" w:type="pct"/>
            <w:shd w:val="clear" w:color="auto" w:fill="auto"/>
          </w:tcPr>
          <w:p w14:paraId="13301E9E" w14:textId="77777777" w:rsidR="0095593F" w:rsidRPr="004548DB" w:rsidRDefault="0095593F" w:rsidP="0095593F">
            <w:pPr>
              <w:spacing w:before="120" w:after="120" w:line="240" w:lineRule="auto"/>
              <w:rPr>
                <w:rFonts w:ascii="Times New Roman" w:hAnsi="Times New Roman" w:cs="Times New Roman"/>
              </w:rPr>
            </w:pPr>
            <w:r>
              <w:rPr>
                <w:rFonts w:ascii="Times New Roman" w:hAnsi="Times New Roman" w:cs="Times New Roman"/>
              </w:rPr>
              <w:t>EGFR mutation test for T790M status</w:t>
            </w:r>
          </w:p>
        </w:tc>
        <w:tc>
          <w:tcPr>
            <w:tcW w:w="462" w:type="pct"/>
            <w:shd w:val="clear" w:color="auto" w:fill="E5B8B7" w:themeFill="accent2" w:themeFillTint="66"/>
          </w:tcPr>
          <w:p w14:paraId="381350B1" w14:textId="77777777" w:rsidR="0095593F" w:rsidRPr="004548DB" w:rsidRDefault="0095593F" w:rsidP="0095593F">
            <w:pPr>
              <w:spacing w:before="120" w:after="120" w:line="240" w:lineRule="auto"/>
              <w:jc w:val="center"/>
              <w:rPr>
                <w:rFonts w:ascii="Times New Roman" w:hAnsi="Times New Roman" w:cs="Times New Roman"/>
              </w:rPr>
            </w:pPr>
            <w:r>
              <w:rPr>
                <w:rFonts w:ascii="Times New Roman" w:hAnsi="Times New Roman" w:cs="Times New Roman"/>
              </w:rPr>
              <w:t>Molecular Pathologist</w:t>
            </w:r>
          </w:p>
        </w:tc>
        <w:tc>
          <w:tcPr>
            <w:tcW w:w="457" w:type="pct"/>
            <w:shd w:val="clear" w:color="auto" w:fill="E5B8B7" w:themeFill="accent2" w:themeFillTint="66"/>
          </w:tcPr>
          <w:p w14:paraId="580B601B"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4772C26D"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1899A88A"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59E380E9"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7D54F21"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1D49485B"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1F699AB6"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3160EED1"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6EB69254"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0B42FABD" w14:textId="77777777" w:rsidTr="004750DD">
        <w:tc>
          <w:tcPr>
            <w:tcW w:w="5000" w:type="pct"/>
            <w:gridSpan w:val="11"/>
            <w:shd w:val="clear" w:color="auto" w:fill="auto"/>
            <w:vAlign w:val="center"/>
          </w:tcPr>
          <w:p w14:paraId="613A0E49" w14:textId="39F7AC77" w:rsidR="0095593F" w:rsidRPr="004548DB" w:rsidRDefault="0095593F">
            <w:pPr>
              <w:spacing w:before="120" w:after="120" w:line="240" w:lineRule="auto"/>
              <w:rPr>
                <w:rFonts w:ascii="Times New Roman" w:hAnsi="Times New Roman" w:cs="Times New Roman"/>
                <w:b/>
              </w:rPr>
            </w:pPr>
            <w:r>
              <w:rPr>
                <w:rFonts w:ascii="Times New Roman" w:hAnsi="Times New Roman" w:cs="Times New Roman"/>
                <w:b/>
              </w:rPr>
              <w:t xml:space="preserve">If </w:t>
            </w:r>
            <w:proofErr w:type="spellStart"/>
            <w:r>
              <w:rPr>
                <w:rFonts w:ascii="Times New Roman" w:hAnsi="Times New Roman" w:cs="Times New Roman"/>
                <w:b/>
              </w:rPr>
              <w:t>EGFRm</w:t>
            </w:r>
            <w:proofErr w:type="spellEnd"/>
            <w:r>
              <w:rPr>
                <w:rFonts w:ascii="Times New Roman" w:hAnsi="Times New Roman" w:cs="Times New Roman"/>
                <w:b/>
              </w:rPr>
              <w:t xml:space="preserve">/T790M positive, patient is eligible for treatment with </w:t>
            </w:r>
            <w:r w:rsidR="00312075">
              <w:rPr>
                <w:rFonts w:ascii="Times New Roman" w:hAnsi="Times New Roman" w:cs="Times New Roman"/>
                <w:b/>
              </w:rPr>
              <w:t>AZD9291</w:t>
            </w:r>
          </w:p>
        </w:tc>
      </w:tr>
      <w:tr w:rsidR="0095593F" w:rsidRPr="00E95225" w14:paraId="068C6FAE" w14:textId="77777777" w:rsidTr="00FF21C6">
        <w:tc>
          <w:tcPr>
            <w:tcW w:w="881" w:type="pct"/>
            <w:shd w:val="clear" w:color="auto" w:fill="auto"/>
          </w:tcPr>
          <w:p w14:paraId="2399CD93" w14:textId="77777777" w:rsidR="0095593F" w:rsidRPr="004548DB" w:rsidRDefault="0095593F" w:rsidP="0095593F">
            <w:pPr>
              <w:spacing w:before="120" w:after="120" w:line="240" w:lineRule="auto"/>
              <w:rPr>
                <w:rFonts w:ascii="Times New Roman" w:hAnsi="Times New Roman" w:cs="Times New Roman"/>
              </w:rPr>
            </w:pPr>
            <w:r>
              <w:rPr>
                <w:rFonts w:ascii="Times New Roman" w:hAnsi="Times New Roman" w:cs="Times New Roman"/>
              </w:rPr>
              <w:t>Specialist consultation</w:t>
            </w:r>
          </w:p>
        </w:tc>
        <w:tc>
          <w:tcPr>
            <w:tcW w:w="462" w:type="pct"/>
            <w:shd w:val="clear" w:color="auto" w:fill="E5B8B7" w:themeFill="accent2" w:themeFillTint="66"/>
          </w:tcPr>
          <w:p w14:paraId="5E703A9F" w14:textId="77777777" w:rsidR="0095593F" w:rsidRPr="004548DB" w:rsidRDefault="0095593F" w:rsidP="0095593F">
            <w:pPr>
              <w:spacing w:before="120" w:after="120" w:line="240" w:lineRule="auto"/>
              <w:jc w:val="center"/>
              <w:rPr>
                <w:rFonts w:ascii="Times New Roman" w:hAnsi="Times New Roman" w:cs="Times New Roman"/>
              </w:rPr>
            </w:pPr>
            <w:r>
              <w:rPr>
                <w:rFonts w:ascii="Times New Roman" w:hAnsi="Times New Roman" w:cs="Times New Roman"/>
              </w:rPr>
              <w:t>Medical Oncologist</w:t>
            </w:r>
          </w:p>
        </w:tc>
        <w:tc>
          <w:tcPr>
            <w:tcW w:w="457" w:type="pct"/>
            <w:shd w:val="clear" w:color="auto" w:fill="E5B8B7" w:themeFill="accent2" w:themeFillTint="66"/>
          </w:tcPr>
          <w:p w14:paraId="1285C4C6"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30DA9FB2"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4E2D393E"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37F9E79A"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936BDE4"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141F771F"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1629A8F2"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574306BB"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41662454"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71D320A1" w14:textId="77777777" w:rsidTr="00FF21C6">
        <w:tc>
          <w:tcPr>
            <w:tcW w:w="881" w:type="pct"/>
            <w:shd w:val="clear" w:color="auto" w:fill="auto"/>
          </w:tcPr>
          <w:p w14:paraId="54A50C6C" w14:textId="6DA015CA" w:rsidR="0095593F" w:rsidRPr="004548DB" w:rsidRDefault="0095593F">
            <w:pPr>
              <w:spacing w:before="120" w:after="120" w:line="240" w:lineRule="auto"/>
              <w:rPr>
                <w:rFonts w:ascii="Times New Roman" w:hAnsi="Times New Roman" w:cs="Times New Roman"/>
              </w:rPr>
            </w:pPr>
            <w:r>
              <w:rPr>
                <w:rFonts w:ascii="Times New Roman" w:hAnsi="Times New Roman" w:cs="Times New Roman"/>
              </w:rPr>
              <w:lastRenderedPageBreak/>
              <w:t xml:space="preserve">Cost of </w:t>
            </w:r>
            <w:r w:rsidR="00312075">
              <w:rPr>
                <w:rFonts w:ascii="Times New Roman" w:hAnsi="Times New Roman" w:cs="Times New Roman"/>
              </w:rPr>
              <w:t>AZD9291</w:t>
            </w:r>
          </w:p>
        </w:tc>
        <w:tc>
          <w:tcPr>
            <w:tcW w:w="462" w:type="pct"/>
            <w:shd w:val="clear" w:color="auto" w:fill="E5B8B7" w:themeFill="accent2" w:themeFillTint="66"/>
          </w:tcPr>
          <w:p w14:paraId="5ADA7D80" w14:textId="77777777" w:rsidR="0095593F" w:rsidRPr="004548DB" w:rsidRDefault="0095593F" w:rsidP="0095593F">
            <w:pPr>
              <w:spacing w:before="120" w:after="120" w:line="240" w:lineRule="auto"/>
              <w:jc w:val="center"/>
              <w:rPr>
                <w:rFonts w:ascii="Times New Roman" w:hAnsi="Times New Roman" w:cs="Times New Roman"/>
              </w:rPr>
            </w:pPr>
          </w:p>
        </w:tc>
        <w:tc>
          <w:tcPr>
            <w:tcW w:w="457" w:type="pct"/>
            <w:shd w:val="clear" w:color="auto" w:fill="E5B8B7" w:themeFill="accent2" w:themeFillTint="66"/>
          </w:tcPr>
          <w:p w14:paraId="0B0D716B"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1DC4C827"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213F2F13"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FFDBA81"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13E8AF19"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60920974"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5D8189E5"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4D93FF77"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41BC59F0"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797B2DDF" w14:textId="77777777" w:rsidTr="00FF21C6">
        <w:tc>
          <w:tcPr>
            <w:tcW w:w="881" w:type="pct"/>
            <w:shd w:val="clear" w:color="auto" w:fill="auto"/>
          </w:tcPr>
          <w:p w14:paraId="4B97B587" w14:textId="3170C7F1" w:rsidR="0095593F" w:rsidRDefault="0095593F">
            <w:pPr>
              <w:spacing w:before="120" w:after="120" w:line="240" w:lineRule="auto"/>
              <w:rPr>
                <w:rFonts w:ascii="Times New Roman" w:hAnsi="Times New Roman" w:cs="Times New Roman"/>
              </w:rPr>
            </w:pPr>
            <w:r>
              <w:rPr>
                <w:rFonts w:ascii="Times New Roman" w:hAnsi="Times New Roman" w:cs="Times New Roman"/>
              </w:rPr>
              <w:t xml:space="preserve">Resources associated with management of side effects associated with </w:t>
            </w:r>
            <w:r w:rsidR="00312075">
              <w:rPr>
                <w:rFonts w:ascii="Times New Roman" w:hAnsi="Times New Roman" w:cs="Times New Roman"/>
              </w:rPr>
              <w:t>AZD9291</w:t>
            </w:r>
          </w:p>
        </w:tc>
        <w:tc>
          <w:tcPr>
            <w:tcW w:w="462" w:type="pct"/>
            <w:shd w:val="clear" w:color="auto" w:fill="E5B8B7" w:themeFill="accent2" w:themeFillTint="66"/>
          </w:tcPr>
          <w:p w14:paraId="161BCB65" w14:textId="77777777" w:rsidR="0095593F" w:rsidRPr="004548DB" w:rsidRDefault="0095593F" w:rsidP="0095593F">
            <w:pPr>
              <w:spacing w:before="120" w:after="120" w:line="240" w:lineRule="auto"/>
              <w:jc w:val="center"/>
              <w:rPr>
                <w:rFonts w:ascii="Times New Roman" w:hAnsi="Times New Roman" w:cs="Times New Roman"/>
              </w:rPr>
            </w:pPr>
          </w:p>
        </w:tc>
        <w:tc>
          <w:tcPr>
            <w:tcW w:w="457" w:type="pct"/>
            <w:shd w:val="clear" w:color="auto" w:fill="E5B8B7" w:themeFill="accent2" w:themeFillTint="66"/>
          </w:tcPr>
          <w:p w14:paraId="4356A2E1"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6DB36CA0"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175B1CA1"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1D66128C"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6FE25854"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596375B1"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57A6E5C9"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38CA2BBC"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3EFC8B5C"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436D079B" w14:textId="77777777" w:rsidTr="004750DD">
        <w:tc>
          <w:tcPr>
            <w:tcW w:w="5000" w:type="pct"/>
            <w:gridSpan w:val="11"/>
            <w:shd w:val="clear" w:color="auto" w:fill="auto"/>
            <w:vAlign w:val="center"/>
          </w:tcPr>
          <w:p w14:paraId="059BC1F8" w14:textId="77777777" w:rsidR="0095593F" w:rsidRPr="004548DB" w:rsidRDefault="0095593F" w:rsidP="0095593F">
            <w:pPr>
              <w:spacing w:before="120" w:after="120" w:line="240" w:lineRule="auto"/>
              <w:rPr>
                <w:rFonts w:ascii="Times New Roman" w:hAnsi="Times New Roman" w:cs="Times New Roman"/>
                <w:b/>
              </w:rPr>
            </w:pPr>
            <w:r>
              <w:rPr>
                <w:rFonts w:ascii="Times New Roman" w:hAnsi="Times New Roman" w:cs="Times New Roman"/>
                <w:b/>
              </w:rPr>
              <w:t xml:space="preserve">If </w:t>
            </w:r>
            <w:proofErr w:type="spellStart"/>
            <w:r>
              <w:rPr>
                <w:rFonts w:ascii="Times New Roman" w:hAnsi="Times New Roman" w:cs="Times New Roman"/>
                <w:b/>
              </w:rPr>
              <w:t>EGFRm</w:t>
            </w:r>
            <w:proofErr w:type="spellEnd"/>
            <w:r>
              <w:rPr>
                <w:rFonts w:ascii="Times New Roman" w:hAnsi="Times New Roman" w:cs="Times New Roman"/>
                <w:b/>
              </w:rPr>
              <w:t>/T790M negative or status unknown, patient receives platinum-based doublet chemotherapy</w:t>
            </w:r>
          </w:p>
        </w:tc>
      </w:tr>
      <w:tr w:rsidR="0095593F" w:rsidRPr="00E95225" w14:paraId="489C0A14" w14:textId="77777777" w:rsidTr="00FF21C6">
        <w:tc>
          <w:tcPr>
            <w:tcW w:w="881" w:type="pct"/>
            <w:shd w:val="clear" w:color="auto" w:fill="auto"/>
          </w:tcPr>
          <w:p w14:paraId="48C9AE35" w14:textId="77777777" w:rsidR="0095593F" w:rsidRPr="004548DB" w:rsidRDefault="0095593F" w:rsidP="0095593F">
            <w:pPr>
              <w:spacing w:before="120" w:after="120" w:line="240" w:lineRule="auto"/>
              <w:rPr>
                <w:rFonts w:ascii="Times New Roman" w:hAnsi="Times New Roman" w:cs="Times New Roman"/>
              </w:rPr>
            </w:pPr>
            <w:r>
              <w:rPr>
                <w:rFonts w:ascii="Times New Roman" w:hAnsi="Times New Roman" w:cs="Times New Roman"/>
              </w:rPr>
              <w:t>Specialist consultation</w:t>
            </w:r>
          </w:p>
        </w:tc>
        <w:tc>
          <w:tcPr>
            <w:tcW w:w="462" w:type="pct"/>
            <w:shd w:val="clear" w:color="auto" w:fill="E5B8B7" w:themeFill="accent2" w:themeFillTint="66"/>
          </w:tcPr>
          <w:p w14:paraId="7C2D0C7B" w14:textId="77777777" w:rsidR="0095593F" w:rsidRPr="004548DB" w:rsidRDefault="0095593F" w:rsidP="0095593F">
            <w:pPr>
              <w:spacing w:before="120" w:after="120" w:line="240" w:lineRule="auto"/>
              <w:jc w:val="center"/>
              <w:rPr>
                <w:rFonts w:ascii="Times New Roman" w:hAnsi="Times New Roman" w:cs="Times New Roman"/>
              </w:rPr>
            </w:pPr>
            <w:r>
              <w:rPr>
                <w:rFonts w:ascii="Times New Roman" w:hAnsi="Times New Roman" w:cs="Times New Roman"/>
              </w:rPr>
              <w:t>Medical Oncologist</w:t>
            </w:r>
          </w:p>
        </w:tc>
        <w:tc>
          <w:tcPr>
            <w:tcW w:w="457" w:type="pct"/>
            <w:shd w:val="clear" w:color="auto" w:fill="E5B8B7" w:themeFill="accent2" w:themeFillTint="66"/>
          </w:tcPr>
          <w:p w14:paraId="6744B3BB"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51B0003F"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68065FA1"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578F8F29"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3973F269"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302769CE"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7312DE7F"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35EEA619"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1F66DF95"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4B25C7D0" w14:textId="77777777" w:rsidTr="00FF21C6">
        <w:tc>
          <w:tcPr>
            <w:tcW w:w="881" w:type="pct"/>
            <w:shd w:val="clear" w:color="auto" w:fill="auto"/>
          </w:tcPr>
          <w:p w14:paraId="253B8EE3" w14:textId="77777777" w:rsidR="0095593F" w:rsidRPr="004548DB" w:rsidRDefault="0095593F" w:rsidP="0095593F">
            <w:pPr>
              <w:spacing w:before="120" w:after="120" w:line="240" w:lineRule="auto"/>
              <w:rPr>
                <w:rFonts w:ascii="Times New Roman" w:hAnsi="Times New Roman" w:cs="Times New Roman"/>
              </w:rPr>
            </w:pPr>
            <w:r>
              <w:rPr>
                <w:rFonts w:ascii="Times New Roman" w:hAnsi="Times New Roman" w:cs="Times New Roman"/>
              </w:rPr>
              <w:t>Cost of chemotherapy</w:t>
            </w:r>
          </w:p>
        </w:tc>
        <w:tc>
          <w:tcPr>
            <w:tcW w:w="462" w:type="pct"/>
            <w:shd w:val="clear" w:color="auto" w:fill="E5B8B7" w:themeFill="accent2" w:themeFillTint="66"/>
          </w:tcPr>
          <w:p w14:paraId="78E56A56" w14:textId="77777777" w:rsidR="0095593F" w:rsidRPr="004548DB" w:rsidRDefault="0095593F" w:rsidP="0095593F">
            <w:pPr>
              <w:spacing w:before="120" w:after="120" w:line="240" w:lineRule="auto"/>
              <w:jc w:val="center"/>
              <w:rPr>
                <w:rFonts w:ascii="Times New Roman" w:hAnsi="Times New Roman" w:cs="Times New Roman"/>
              </w:rPr>
            </w:pPr>
          </w:p>
        </w:tc>
        <w:tc>
          <w:tcPr>
            <w:tcW w:w="457" w:type="pct"/>
            <w:shd w:val="clear" w:color="auto" w:fill="E5B8B7" w:themeFill="accent2" w:themeFillTint="66"/>
          </w:tcPr>
          <w:p w14:paraId="142D5736"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2A7770BC"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432CA607"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22EA2A32"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C6176DD"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1219C6B1"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1E835F1"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446A1686"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34EEE075"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65F57B09" w14:textId="77777777" w:rsidTr="00FF21C6">
        <w:tc>
          <w:tcPr>
            <w:tcW w:w="881" w:type="pct"/>
            <w:shd w:val="clear" w:color="auto" w:fill="auto"/>
          </w:tcPr>
          <w:p w14:paraId="036F5234" w14:textId="77777777" w:rsidR="0095593F" w:rsidRPr="004548DB" w:rsidRDefault="0095593F" w:rsidP="0095593F">
            <w:pPr>
              <w:spacing w:before="120" w:after="120" w:line="240" w:lineRule="auto"/>
              <w:rPr>
                <w:rFonts w:ascii="Times New Roman" w:hAnsi="Times New Roman" w:cs="Times New Roman"/>
              </w:rPr>
            </w:pPr>
            <w:r>
              <w:rPr>
                <w:rFonts w:ascii="Times New Roman" w:hAnsi="Times New Roman" w:cs="Times New Roman"/>
              </w:rPr>
              <w:t>Drug Administration</w:t>
            </w:r>
            <w:r w:rsidRPr="004548DB">
              <w:rPr>
                <w:rFonts w:ascii="Times New Roman" w:hAnsi="Times New Roman" w:cs="Times New Roman"/>
              </w:rPr>
              <w:t xml:space="preserve"> </w:t>
            </w:r>
            <w:r>
              <w:rPr>
                <w:rFonts w:ascii="Times New Roman" w:hAnsi="Times New Roman" w:cs="Times New Roman"/>
              </w:rPr>
              <w:t>in various clinical settings</w:t>
            </w:r>
          </w:p>
        </w:tc>
        <w:tc>
          <w:tcPr>
            <w:tcW w:w="462" w:type="pct"/>
            <w:shd w:val="clear" w:color="auto" w:fill="E5B8B7" w:themeFill="accent2" w:themeFillTint="66"/>
          </w:tcPr>
          <w:p w14:paraId="60B14DFC" w14:textId="77777777" w:rsidR="0095593F" w:rsidRDefault="0095593F" w:rsidP="0095593F">
            <w:pPr>
              <w:spacing w:before="120" w:after="120" w:line="240" w:lineRule="auto"/>
              <w:jc w:val="center"/>
              <w:rPr>
                <w:rFonts w:ascii="Times New Roman" w:hAnsi="Times New Roman" w:cs="Times New Roman"/>
              </w:rPr>
            </w:pPr>
            <w:r>
              <w:rPr>
                <w:rFonts w:ascii="Times New Roman" w:hAnsi="Times New Roman" w:cs="Times New Roman"/>
              </w:rPr>
              <w:t>Day patient</w:t>
            </w:r>
          </w:p>
          <w:p w14:paraId="0D09A620" w14:textId="77777777" w:rsidR="0095593F" w:rsidRPr="004548DB" w:rsidRDefault="0095593F" w:rsidP="0095593F">
            <w:pPr>
              <w:spacing w:before="120" w:after="120" w:line="240" w:lineRule="auto"/>
              <w:jc w:val="center"/>
              <w:rPr>
                <w:rFonts w:ascii="Times New Roman" w:hAnsi="Times New Roman" w:cs="Times New Roman"/>
              </w:rPr>
            </w:pPr>
            <w:r>
              <w:rPr>
                <w:rFonts w:ascii="Times New Roman" w:hAnsi="Times New Roman" w:cs="Times New Roman"/>
              </w:rPr>
              <w:t xml:space="preserve">Outpatient </w:t>
            </w:r>
          </w:p>
        </w:tc>
        <w:tc>
          <w:tcPr>
            <w:tcW w:w="457" w:type="pct"/>
            <w:shd w:val="clear" w:color="auto" w:fill="E5B8B7" w:themeFill="accent2" w:themeFillTint="66"/>
          </w:tcPr>
          <w:p w14:paraId="4636CA7A" w14:textId="77777777" w:rsidR="0095593F" w:rsidRDefault="0095593F" w:rsidP="0095593F">
            <w:pPr>
              <w:spacing w:after="0" w:line="240" w:lineRule="auto"/>
              <w:jc w:val="center"/>
              <w:rPr>
                <w:rFonts w:ascii="Times New Roman" w:hAnsi="Times New Roman" w:cs="Times New Roman"/>
              </w:rPr>
            </w:pPr>
          </w:p>
          <w:p w14:paraId="3F0294A5" w14:textId="77777777" w:rsidR="0095593F" w:rsidRDefault="0095593F" w:rsidP="0095593F">
            <w:pPr>
              <w:spacing w:after="0" w:line="240" w:lineRule="auto"/>
              <w:jc w:val="center"/>
              <w:rPr>
                <w:rFonts w:ascii="Times New Roman" w:hAnsi="Times New Roman" w:cs="Times New Roman"/>
              </w:rPr>
            </w:pPr>
            <w:r>
              <w:rPr>
                <w:rFonts w:ascii="Times New Roman" w:hAnsi="Times New Roman" w:cs="Times New Roman"/>
              </w:rPr>
              <w:t>Public</w:t>
            </w:r>
          </w:p>
          <w:p w14:paraId="610D4E1D" w14:textId="77777777" w:rsidR="0095593F" w:rsidRPr="00E95225" w:rsidRDefault="0095593F" w:rsidP="0095593F">
            <w:pPr>
              <w:spacing w:after="0" w:line="240" w:lineRule="auto"/>
              <w:jc w:val="center"/>
              <w:rPr>
                <w:rFonts w:ascii="Times New Roman" w:hAnsi="Times New Roman" w:cs="Times New Roman"/>
              </w:rPr>
            </w:pPr>
            <w:r>
              <w:rPr>
                <w:rFonts w:ascii="Times New Roman" w:hAnsi="Times New Roman" w:cs="Times New Roman"/>
              </w:rPr>
              <w:t>Private</w:t>
            </w:r>
          </w:p>
        </w:tc>
        <w:tc>
          <w:tcPr>
            <w:tcW w:w="457" w:type="pct"/>
            <w:shd w:val="clear" w:color="auto" w:fill="D6E3BC" w:themeFill="accent3" w:themeFillTint="66"/>
          </w:tcPr>
          <w:p w14:paraId="567A9603"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37D9C503"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3867C85A"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07DEA62"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7995623A"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72E646DA"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7390146"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30F29972"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330D694F" w14:textId="77777777" w:rsidTr="00FF21C6">
        <w:tc>
          <w:tcPr>
            <w:tcW w:w="881" w:type="pct"/>
            <w:shd w:val="clear" w:color="auto" w:fill="auto"/>
          </w:tcPr>
          <w:p w14:paraId="157DF332" w14:textId="77777777" w:rsidR="0095593F" w:rsidRPr="004548DB" w:rsidRDefault="0095593F" w:rsidP="0095593F">
            <w:pPr>
              <w:spacing w:before="120" w:after="120" w:line="240" w:lineRule="auto"/>
              <w:rPr>
                <w:rFonts w:ascii="Times New Roman" w:hAnsi="Times New Roman" w:cs="Times New Roman"/>
              </w:rPr>
            </w:pPr>
            <w:r>
              <w:rPr>
                <w:rFonts w:ascii="Times New Roman" w:hAnsi="Times New Roman" w:cs="Times New Roman"/>
              </w:rPr>
              <w:t xml:space="preserve">Pre-treatments and </w:t>
            </w:r>
            <w:r w:rsidRPr="004548DB">
              <w:rPr>
                <w:rFonts w:ascii="Times New Roman" w:hAnsi="Times New Roman" w:cs="Times New Roman"/>
              </w:rPr>
              <w:t>co-administered interventions</w:t>
            </w:r>
          </w:p>
        </w:tc>
        <w:tc>
          <w:tcPr>
            <w:tcW w:w="462" w:type="pct"/>
            <w:shd w:val="clear" w:color="auto" w:fill="E5B8B7" w:themeFill="accent2" w:themeFillTint="66"/>
          </w:tcPr>
          <w:p w14:paraId="1BE7805C" w14:textId="77777777" w:rsidR="0095593F" w:rsidRPr="004548DB" w:rsidRDefault="0095593F" w:rsidP="0095593F">
            <w:pPr>
              <w:spacing w:before="120" w:after="120" w:line="240" w:lineRule="auto"/>
              <w:jc w:val="center"/>
              <w:rPr>
                <w:rFonts w:ascii="Times New Roman" w:hAnsi="Times New Roman" w:cs="Times New Roman"/>
              </w:rPr>
            </w:pPr>
          </w:p>
        </w:tc>
        <w:tc>
          <w:tcPr>
            <w:tcW w:w="457" w:type="pct"/>
            <w:shd w:val="clear" w:color="auto" w:fill="E5B8B7" w:themeFill="accent2" w:themeFillTint="66"/>
          </w:tcPr>
          <w:p w14:paraId="1B340FEF"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3753F461"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2AD2FBB1"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7B0E6F97"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73DC0031"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5A00603E"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5B7921E2"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5115C280"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4AD39BD0"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1AA6AB2A" w14:textId="77777777" w:rsidTr="00FF21C6">
        <w:tc>
          <w:tcPr>
            <w:tcW w:w="881" w:type="pct"/>
            <w:shd w:val="clear" w:color="auto" w:fill="auto"/>
          </w:tcPr>
          <w:p w14:paraId="248DC103" w14:textId="77777777" w:rsidR="0095593F" w:rsidRPr="004548DB" w:rsidRDefault="0095593F" w:rsidP="0095593F">
            <w:pPr>
              <w:spacing w:before="120" w:after="120" w:line="240" w:lineRule="auto"/>
              <w:rPr>
                <w:rFonts w:ascii="Times New Roman" w:hAnsi="Times New Roman" w:cs="Times New Roman"/>
              </w:rPr>
            </w:pPr>
            <w:r>
              <w:rPr>
                <w:rFonts w:ascii="Times New Roman" w:hAnsi="Times New Roman" w:cs="Times New Roman"/>
              </w:rPr>
              <w:t>M</w:t>
            </w:r>
            <w:r w:rsidRPr="004548DB">
              <w:rPr>
                <w:rFonts w:ascii="Times New Roman" w:hAnsi="Times New Roman" w:cs="Times New Roman"/>
              </w:rPr>
              <w:t>onitor</w:t>
            </w:r>
            <w:r>
              <w:rPr>
                <w:rFonts w:ascii="Times New Roman" w:hAnsi="Times New Roman" w:cs="Times New Roman"/>
              </w:rPr>
              <w:t xml:space="preserve">ing and </w:t>
            </w:r>
            <w:r w:rsidRPr="004548DB">
              <w:rPr>
                <w:rFonts w:ascii="Times New Roman" w:hAnsi="Times New Roman" w:cs="Times New Roman"/>
              </w:rPr>
              <w:t>follow-up</w:t>
            </w:r>
          </w:p>
        </w:tc>
        <w:tc>
          <w:tcPr>
            <w:tcW w:w="462" w:type="pct"/>
            <w:shd w:val="clear" w:color="auto" w:fill="E5B8B7" w:themeFill="accent2" w:themeFillTint="66"/>
          </w:tcPr>
          <w:p w14:paraId="6D32443D" w14:textId="77777777" w:rsidR="0095593F" w:rsidRPr="004548DB" w:rsidRDefault="0095593F" w:rsidP="0095593F">
            <w:pPr>
              <w:spacing w:before="120" w:after="120" w:line="240" w:lineRule="auto"/>
              <w:jc w:val="center"/>
              <w:rPr>
                <w:rFonts w:ascii="Times New Roman" w:hAnsi="Times New Roman" w:cs="Times New Roman"/>
              </w:rPr>
            </w:pPr>
          </w:p>
        </w:tc>
        <w:tc>
          <w:tcPr>
            <w:tcW w:w="457" w:type="pct"/>
            <w:shd w:val="clear" w:color="auto" w:fill="E5B8B7" w:themeFill="accent2" w:themeFillTint="66"/>
          </w:tcPr>
          <w:p w14:paraId="3C70C22F"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4CD65FD0"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57268720"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7C1ACB49"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2AF5A89B"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2D520A2B"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3F5CCE84"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666B6EF3"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428C47AE" w14:textId="77777777" w:rsidR="0095593F" w:rsidRPr="00E95225" w:rsidRDefault="0095593F" w:rsidP="0095593F">
            <w:pPr>
              <w:spacing w:after="0" w:line="240" w:lineRule="auto"/>
              <w:jc w:val="center"/>
              <w:rPr>
                <w:rFonts w:ascii="Times New Roman" w:hAnsi="Times New Roman" w:cs="Times New Roman"/>
              </w:rPr>
            </w:pPr>
          </w:p>
        </w:tc>
      </w:tr>
      <w:tr w:rsidR="0095593F" w:rsidRPr="00E95225" w14:paraId="503192E9" w14:textId="77777777" w:rsidTr="00FF21C6">
        <w:tc>
          <w:tcPr>
            <w:tcW w:w="881" w:type="pct"/>
            <w:shd w:val="clear" w:color="auto" w:fill="auto"/>
          </w:tcPr>
          <w:p w14:paraId="070132A4" w14:textId="77777777" w:rsidR="0095593F" w:rsidRPr="004548DB" w:rsidRDefault="0095593F" w:rsidP="0095593F">
            <w:pPr>
              <w:spacing w:before="120" w:after="120" w:line="240" w:lineRule="auto"/>
              <w:rPr>
                <w:rFonts w:ascii="Times New Roman" w:hAnsi="Times New Roman" w:cs="Times New Roman"/>
              </w:rPr>
            </w:pPr>
            <w:r>
              <w:rPr>
                <w:rFonts w:ascii="Times New Roman" w:hAnsi="Times New Roman" w:cs="Times New Roman"/>
              </w:rPr>
              <w:t>Resources to manage side effects of chemotherapy</w:t>
            </w:r>
          </w:p>
        </w:tc>
        <w:tc>
          <w:tcPr>
            <w:tcW w:w="462" w:type="pct"/>
            <w:shd w:val="clear" w:color="auto" w:fill="E5B8B7" w:themeFill="accent2" w:themeFillTint="66"/>
          </w:tcPr>
          <w:p w14:paraId="540082E3" w14:textId="77777777" w:rsidR="0095593F" w:rsidRPr="004548DB" w:rsidRDefault="0095593F" w:rsidP="0095593F">
            <w:pPr>
              <w:spacing w:before="120" w:after="120" w:line="240" w:lineRule="auto"/>
              <w:jc w:val="center"/>
              <w:rPr>
                <w:rFonts w:ascii="Times New Roman" w:hAnsi="Times New Roman" w:cs="Times New Roman"/>
              </w:rPr>
            </w:pPr>
          </w:p>
        </w:tc>
        <w:tc>
          <w:tcPr>
            <w:tcW w:w="457" w:type="pct"/>
            <w:shd w:val="clear" w:color="auto" w:fill="E5B8B7" w:themeFill="accent2" w:themeFillTint="66"/>
          </w:tcPr>
          <w:p w14:paraId="32AA18FB" w14:textId="77777777" w:rsidR="0095593F" w:rsidRPr="00E95225" w:rsidRDefault="0095593F" w:rsidP="0095593F">
            <w:pPr>
              <w:spacing w:after="0" w:line="240" w:lineRule="auto"/>
              <w:jc w:val="center"/>
              <w:rPr>
                <w:rFonts w:ascii="Times New Roman" w:hAnsi="Times New Roman" w:cs="Times New Roman"/>
              </w:rPr>
            </w:pPr>
          </w:p>
        </w:tc>
        <w:tc>
          <w:tcPr>
            <w:tcW w:w="457" w:type="pct"/>
            <w:shd w:val="clear" w:color="auto" w:fill="D6E3BC" w:themeFill="accent3" w:themeFillTint="66"/>
          </w:tcPr>
          <w:p w14:paraId="428D18D8" w14:textId="77777777" w:rsidR="0095593F" w:rsidRPr="00E95225" w:rsidRDefault="0095593F" w:rsidP="0095593F">
            <w:pPr>
              <w:spacing w:after="0" w:line="240" w:lineRule="auto"/>
              <w:jc w:val="center"/>
              <w:rPr>
                <w:rFonts w:ascii="Times New Roman" w:hAnsi="Times New Roman" w:cs="Times New Roman"/>
              </w:rPr>
            </w:pPr>
          </w:p>
        </w:tc>
        <w:tc>
          <w:tcPr>
            <w:tcW w:w="456" w:type="pct"/>
            <w:shd w:val="clear" w:color="auto" w:fill="D6E3BC" w:themeFill="accent3" w:themeFillTint="66"/>
          </w:tcPr>
          <w:p w14:paraId="39FEF122"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047576F4"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29611AB3" w14:textId="77777777" w:rsidR="0095593F" w:rsidRPr="00E95225" w:rsidRDefault="0095593F" w:rsidP="0095593F">
            <w:pPr>
              <w:spacing w:after="0" w:line="240" w:lineRule="auto"/>
              <w:jc w:val="center"/>
              <w:rPr>
                <w:rFonts w:ascii="Times New Roman" w:hAnsi="Times New Roman" w:cs="Times New Roman"/>
              </w:rPr>
            </w:pPr>
          </w:p>
        </w:tc>
        <w:tc>
          <w:tcPr>
            <w:tcW w:w="423" w:type="pct"/>
            <w:shd w:val="clear" w:color="auto" w:fill="FBD4B4" w:themeFill="accent6" w:themeFillTint="66"/>
          </w:tcPr>
          <w:p w14:paraId="0D4A1761"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6E6F8940" w14:textId="77777777" w:rsidR="0095593F" w:rsidRPr="00E95225" w:rsidRDefault="0095593F" w:rsidP="0095593F">
            <w:pPr>
              <w:spacing w:after="0" w:line="240" w:lineRule="auto"/>
              <w:jc w:val="center"/>
              <w:rPr>
                <w:rFonts w:ascii="Times New Roman" w:hAnsi="Times New Roman" w:cs="Times New Roman"/>
              </w:rPr>
            </w:pPr>
          </w:p>
        </w:tc>
        <w:tc>
          <w:tcPr>
            <w:tcW w:w="373" w:type="pct"/>
            <w:shd w:val="clear" w:color="auto" w:fill="FBD4B4" w:themeFill="accent6" w:themeFillTint="66"/>
          </w:tcPr>
          <w:p w14:paraId="47F1521D" w14:textId="77777777" w:rsidR="0095593F" w:rsidRPr="00E95225" w:rsidRDefault="0095593F" w:rsidP="0095593F">
            <w:pPr>
              <w:spacing w:after="0" w:line="240" w:lineRule="auto"/>
              <w:jc w:val="center"/>
              <w:rPr>
                <w:rFonts w:ascii="Times New Roman" w:hAnsi="Times New Roman" w:cs="Times New Roman"/>
              </w:rPr>
            </w:pPr>
          </w:p>
        </w:tc>
        <w:tc>
          <w:tcPr>
            <w:tcW w:w="372" w:type="pct"/>
            <w:shd w:val="clear" w:color="auto" w:fill="FBD4B4" w:themeFill="accent6" w:themeFillTint="66"/>
          </w:tcPr>
          <w:p w14:paraId="0FE7F1BD" w14:textId="77777777" w:rsidR="0095593F" w:rsidRPr="00E95225" w:rsidRDefault="0095593F" w:rsidP="0095593F">
            <w:pPr>
              <w:spacing w:after="0" w:line="240" w:lineRule="auto"/>
              <w:jc w:val="center"/>
              <w:rPr>
                <w:rFonts w:ascii="Times New Roman" w:hAnsi="Times New Roman" w:cs="Times New Roman"/>
              </w:rPr>
            </w:pPr>
          </w:p>
        </w:tc>
      </w:tr>
    </w:tbl>
    <w:p w14:paraId="18DDD7C7" w14:textId="77777777" w:rsidR="00C04293" w:rsidRDefault="00C04293" w:rsidP="008B5AB2">
      <w:pPr>
        <w:rPr>
          <w:sz w:val="24"/>
          <w:szCs w:val="24"/>
        </w:rPr>
      </w:pPr>
      <w:r w:rsidRPr="00D0600F">
        <w:rPr>
          <w:rFonts w:ascii="Arial Narrow" w:hAnsi="Arial Narrow" w:cs="Arial"/>
          <w:sz w:val="18"/>
          <w:szCs w:val="18"/>
        </w:rPr>
        <w:t>* Include costs relating to both the standard and extended safety net.</w:t>
      </w:r>
    </w:p>
    <w:p w14:paraId="11ABACAF" w14:textId="77777777" w:rsidR="00625409" w:rsidRDefault="00625409" w:rsidP="008B5AB2">
      <w:pPr>
        <w:rPr>
          <w:sz w:val="24"/>
          <w:szCs w:val="24"/>
        </w:rPr>
      </w:pPr>
    </w:p>
    <w:p w14:paraId="27BE08BD" w14:textId="4128EA61" w:rsidR="00B20558" w:rsidRDefault="00B20558" w:rsidP="00217570">
      <w:pPr>
        <w:tabs>
          <w:tab w:val="left" w:pos="4950"/>
        </w:tabs>
        <w:rPr>
          <w:sz w:val="24"/>
          <w:szCs w:val="24"/>
        </w:rPr>
        <w:sectPr w:rsidR="00B20558" w:rsidSect="00702C60">
          <w:headerReference w:type="even" r:id="rId30"/>
          <w:headerReference w:type="default" r:id="rId31"/>
          <w:footerReference w:type="default" r:id="rId32"/>
          <w:headerReference w:type="first" r:id="rId33"/>
          <w:pgSz w:w="16838" w:h="11906" w:orient="landscape"/>
          <w:pgMar w:top="1418" w:right="1274" w:bottom="1440" w:left="1440" w:header="708" w:footer="708" w:gutter="0"/>
          <w:cols w:space="708"/>
          <w:docGrid w:linePitch="360"/>
        </w:sectPr>
      </w:pPr>
    </w:p>
    <w:p w14:paraId="4061F208" w14:textId="77777777" w:rsidR="00F65C59" w:rsidRPr="00F65C59" w:rsidRDefault="00AB4607" w:rsidP="00F65C59">
      <w:pPr>
        <w:spacing w:after="0"/>
        <w:jc w:val="center"/>
        <w:rPr>
          <w:rFonts w:ascii="Calibri" w:hAnsi="Calibri"/>
          <w:noProof/>
        </w:rPr>
      </w:pPr>
      <w:r>
        <w:lastRenderedPageBreak/>
        <w:fldChar w:fldCharType="begin"/>
      </w:r>
      <w:r w:rsidR="00625409">
        <w:instrText xml:space="preserve"> ADDIN EN.REFLIST </w:instrText>
      </w:r>
      <w:r>
        <w:fldChar w:fldCharType="separate"/>
      </w:r>
      <w:r w:rsidR="00F65C59" w:rsidRPr="00F65C59">
        <w:rPr>
          <w:rFonts w:ascii="Calibri" w:hAnsi="Calibri"/>
          <w:noProof/>
        </w:rPr>
        <w:t>References</w:t>
      </w:r>
    </w:p>
    <w:p w14:paraId="088EFFAA" w14:textId="77777777" w:rsidR="00F65C59" w:rsidRPr="00F65C59" w:rsidRDefault="00F65C59" w:rsidP="00F65C59">
      <w:pPr>
        <w:spacing w:after="0"/>
        <w:jc w:val="center"/>
        <w:rPr>
          <w:rFonts w:ascii="Calibri" w:hAnsi="Calibri"/>
          <w:noProof/>
        </w:rPr>
      </w:pPr>
    </w:p>
    <w:p w14:paraId="70F2DFAB" w14:textId="3C8D48C8" w:rsidR="00F65C59" w:rsidRDefault="00F65C59" w:rsidP="00F65C59">
      <w:pPr>
        <w:spacing w:after="0" w:line="240" w:lineRule="auto"/>
        <w:ind w:left="720" w:hanging="720"/>
        <w:rPr>
          <w:rFonts w:ascii="Calibri" w:hAnsi="Calibri"/>
          <w:noProof/>
        </w:rPr>
      </w:pPr>
      <w:bookmarkStart w:id="4" w:name="_ENREF_1"/>
      <w:r>
        <w:rPr>
          <w:rFonts w:ascii="Calibri" w:hAnsi="Calibri"/>
          <w:noProof/>
        </w:rPr>
        <w:t>1.</w:t>
      </w:r>
      <w:r>
        <w:rPr>
          <w:rFonts w:ascii="Calibri" w:hAnsi="Calibri"/>
          <w:noProof/>
        </w:rPr>
        <w:tab/>
        <w:t xml:space="preserve">Pavlakis, N., et al. </w:t>
      </w:r>
      <w:r w:rsidRPr="00F65C59">
        <w:rPr>
          <w:rFonts w:ascii="Calibri" w:hAnsi="Calibri"/>
          <w:i/>
          <w:noProof/>
        </w:rPr>
        <w:t xml:space="preserve">Clinical practice guidelines for the treatment of lung cancer. </w:t>
      </w:r>
      <w:r>
        <w:rPr>
          <w:rFonts w:ascii="Calibri" w:hAnsi="Calibri"/>
          <w:noProof/>
        </w:rPr>
        <w:t xml:space="preserve">. Available from: </w:t>
      </w:r>
      <w:hyperlink r:id="rId34" w:history="1">
        <w:r w:rsidR="008D07C5">
          <w:rPr>
            <w:rStyle w:val="Hyperlink"/>
            <w:rFonts w:ascii="Calibri" w:hAnsi="Calibri"/>
            <w:noProof/>
          </w:rPr>
          <w:t>Clinical practice guidelines for the treatment of lung cancer</w:t>
        </w:r>
      </w:hyperlink>
      <w:r>
        <w:rPr>
          <w:rFonts w:ascii="Calibri" w:hAnsi="Calibri"/>
          <w:noProof/>
        </w:rPr>
        <w:t>.</w:t>
      </w:r>
      <w:bookmarkEnd w:id="4"/>
    </w:p>
    <w:p w14:paraId="307B84D4" w14:textId="4EB32F0F" w:rsidR="00F65C59" w:rsidRDefault="00F65C59" w:rsidP="00F65C59">
      <w:pPr>
        <w:spacing w:after="0" w:line="240" w:lineRule="auto"/>
        <w:ind w:left="720" w:hanging="720"/>
        <w:rPr>
          <w:rFonts w:ascii="Calibri" w:hAnsi="Calibri"/>
          <w:noProof/>
        </w:rPr>
      </w:pPr>
      <w:bookmarkStart w:id="5" w:name="_ENREF_2"/>
      <w:r>
        <w:rPr>
          <w:rFonts w:ascii="Calibri" w:hAnsi="Calibri"/>
          <w:noProof/>
        </w:rPr>
        <w:t>2.</w:t>
      </w:r>
      <w:r>
        <w:rPr>
          <w:rFonts w:ascii="Calibri" w:hAnsi="Calibri"/>
          <w:noProof/>
        </w:rPr>
        <w:tab/>
      </w:r>
      <w:r w:rsidR="008660C5">
        <w:rPr>
          <w:rFonts w:ascii="Calibri" w:hAnsi="Calibri"/>
          <w:noProof/>
        </w:rPr>
        <w:t xml:space="preserve">Mok, </w:t>
      </w:r>
      <w:r>
        <w:rPr>
          <w:rFonts w:ascii="Calibri" w:hAnsi="Calibri"/>
          <w:noProof/>
        </w:rPr>
        <w:t xml:space="preserve">TSK, et al., </w:t>
      </w:r>
      <w:r w:rsidRPr="00F65C59">
        <w:rPr>
          <w:rFonts w:ascii="Calibri" w:hAnsi="Calibri"/>
          <w:i/>
          <w:noProof/>
        </w:rPr>
        <w:t>Gefitinib or Carboplatin–Paclitaxel in Pulmonary Adenocarcinoma.</w:t>
      </w:r>
      <w:r>
        <w:rPr>
          <w:rFonts w:ascii="Calibri" w:hAnsi="Calibri"/>
          <w:noProof/>
        </w:rPr>
        <w:t xml:space="preserve"> New England Journal of Medicine, 2009. </w:t>
      </w:r>
      <w:r w:rsidRPr="00F65C59">
        <w:rPr>
          <w:rFonts w:ascii="Calibri" w:hAnsi="Calibri"/>
          <w:b/>
          <w:noProof/>
        </w:rPr>
        <w:t>361</w:t>
      </w:r>
      <w:r>
        <w:rPr>
          <w:rFonts w:ascii="Calibri" w:hAnsi="Calibri"/>
          <w:noProof/>
        </w:rPr>
        <w:t>: p. 947-57.</w:t>
      </w:r>
      <w:bookmarkEnd w:id="5"/>
    </w:p>
    <w:p w14:paraId="0DA38D77" w14:textId="77777777" w:rsidR="00F65C59" w:rsidRDefault="00F65C59" w:rsidP="00F65C59">
      <w:pPr>
        <w:spacing w:after="0" w:line="240" w:lineRule="auto"/>
        <w:ind w:left="720" w:hanging="720"/>
        <w:rPr>
          <w:rFonts w:ascii="Calibri" w:hAnsi="Calibri"/>
          <w:noProof/>
        </w:rPr>
      </w:pPr>
      <w:bookmarkStart w:id="6" w:name="_ENREF_3"/>
      <w:r>
        <w:rPr>
          <w:rFonts w:ascii="Calibri" w:hAnsi="Calibri"/>
          <w:noProof/>
        </w:rPr>
        <w:t>3.</w:t>
      </w:r>
      <w:r>
        <w:rPr>
          <w:rFonts w:ascii="Calibri" w:hAnsi="Calibri"/>
          <w:noProof/>
        </w:rPr>
        <w:tab/>
        <w:t xml:space="preserve">Douillard, J.-Y., et al., </w:t>
      </w:r>
      <w:r w:rsidRPr="00F65C59">
        <w:rPr>
          <w:rFonts w:ascii="Calibri" w:hAnsi="Calibri"/>
          <w:i/>
          <w:noProof/>
        </w:rPr>
        <w:t>First-line gefitinib in Caucasian EGFR mutation-positive NSCLC patients: a phase-IV, open-label, single-arm study.</w:t>
      </w:r>
      <w:r>
        <w:rPr>
          <w:rFonts w:ascii="Calibri" w:hAnsi="Calibri"/>
          <w:noProof/>
        </w:rPr>
        <w:t xml:space="preserve"> British Journal of Cancer, 2014. </w:t>
      </w:r>
      <w:r w:rsidRPr="00F65C59">
        <w:rPr>
          <w:rFonts w:ascii="Calibri" w:hAnsi="Calibri"/>
          <w:b/>
          <w:noProof/>
        </w:rPr>
        <w:t>110</w:t>
      </w:r>
      <w:r>
        <w:rPr>
          <w:rFonts w:ascii="Calibri" w:hAnsi="Calibri"/>
          <w:noProof/>
        </w:rPr>
        <w:t>: p. 55-62.</w:t>
      </w:r>
      <w:bookmarkEnd w:id="6"/>
    </w:p>
    <w:p w14:paraId="5676B68A" w14:textId="77777777" w:rsidR="00F65C59" w:rsidRDefault="00F65C59" w:rsidP="00F65C59">
      <w:pPr>
        <w:spacing w:after="0" w:line="240" w:lineRule="auto"/>
        <w:ind w:left="720" w:hanging="720"/>
        <w:rPr>
          <w:rFonts w:ascii="Calibri" w:hAnsi="Calibri"/>
          <w:noProof/>
        </w:rPr>
      </w:pPr>
      <w:bookmarkStart w:id="7" w:name="_ENREF_4"/>
      <w:r>
        <w:rPr>
          <w:rFonts w:ascii="Calibri" w:hAnsi="Calibri"/>
          <w:noProof/>
        </w:rPr>
        <w:t>4.</w:t>
      </w:r>
      <w:r>
        <w:rPr>
          <w:rFonts w:ascii="Calibri" w:hAnsi="Calibri"/>
          <w:noProof/>
        </w:rPr>
        <w:tab/>
        <w:t xml:space="preserve">Rosell, R., et al., </w:t>
      </w:r>
      <w:r w:rsidRPr="00F65C59">
        <w:rPr>
          <w:rFonts w:ascii="Calibri" w:hAnsi="Calibri"/>
          <w:i/>
          <w:noProof/>
        </w:rPr>
        <w:t>Erlotinib versus standard chemotherapy as fi rst-line treatment for European patients with advanced EGFR mutation-positive non-small-cell lung cancer (EURTAC): a multicentre, open-label, randomised phase 3 trial.</w:t>
      </w:r>
      <w:r>
        <w:rPr>
          <w:rFonts w:ascii="Calibri" w:hAnsi="Calibri"/>
          <w:noProof/>
        </w:rPr>
        <w:t xml:space="preserve"> Lancet Oncology, 2012. </w:t>
      </w:r>
      <w:r w:rsidRPr="00F65C59">
        <w:rPr>
          <w:rFonts w:ascii="Calibri" w:hAnsi="Calibri"/>
          <w:b/>
          <w:noProof/>
        </w:rPr>
        <w:t>13</w:t>
      </w:r>
      <w:r>
        <w:rPr>
          <w:rFonts w:ascii="Calibri" w:hAnsi="Calibri"/>
          <w:noProof/>
        </w:rPr>
        <w:t>: p. 239-46.</w:t>
      </w:r>
      <w:bookmarkEnd w:id="7"/>
    </w:p>
    <w:p w14:paraId="2345C1B3" w14:textId="77777777" w:rsidR="00F65C59" w:rsidRDefault="00F65C59" w:rsidP="00F65C59">
      <w:pPr>
        <w:spacing w:after="0" w:line="240" w:lineRule="auto"/>
        <w:ind w:left="720" w:hanging="720"/>
        <w:rPr>
          <w:rFonts w:ascii="Calibri" w:hAnsi="Calibri"/>
          <w:noProof/>
        </w:rPr>
      </w:pPr>
      <w:bookmarkStart w:id="8" w:name="_ENREF_5"/>
      <w:r>
        <w:rPr>
          <w:rFonts w:ascii="Calibri" w:hAnsi="Calibri"/>
          <w:noProof/>
        </w:rPr>
        <w:t>5.</w:t>
      </w:r>
      <w:r>
        <w:rPr>
          <w:rFonts w:ascii="Calibri" w:hAnsi="Calibri"/>
          <w:noProof/>
        </w:rPr>
        <w:tab/>
        <w:t xml:space="preserve">Yang, J.C.-H., et al., </w:t>
      </w:r>
      <w:r w:rsidRPr="00F65C59">
        <w:rPr>
          <w:rFonts w:ascii="Calibri" w:hAnsi="Calibri"/>
          <w:i/>
          <w:noProof/>
        </w:rPr>
        <w:t>Afatinib versus cisplatin-based chemotherapy for EGFR mutation-positive lung adenocarcinoma (LUX-Lung 3 and LUX-Lung 6): analysis of overall survival data from two randomised, phase 3 trials.</w:t>
      </w:r>
      <w:r>
        <w:rPr>
          <w:rFonts w:ascii="Calibri" w:hAnsi="Calibri"/>
          <w:noProof/>
        </w:rPr>
        <w:t xml:space="preserve"> Lancet Oncology, 2015. </w:t>
      </w:r>
      <w:r w:rsidRPr="00F65C59">
        <w:rPr>
          <w:rFonts w:ascii="Calibri" w:hAnsi="Calibri"/>
          <w:b/>
          <w:noProof/>
        </w:rPr>
        <w:t>16</w:t>
      </w:r>
      <w:r>
        <w:rPr>
          <w:rFonts w:ascii="Calibri" w:hAnsi="Calibri"/>
          <w:noProof/>
        </w:rPr>
        <w:t>: p. 141-51.</w:t>
      </w:r>
      <w:bookmarkEnd w:id="8"/>
    </w:p>
    <w:p w14:paraId="4624A347" w14:textId="77777777" w:rsidR="00F65C59" w:rsidRDefault="00F65C59" w:rsidP="00F65C59">
      <w:pPr>
        <w:spacing w:after="0" w:line="240" w:lineRule="auto"/>
        <w:ind w:left="720" w:hanging="720"/>
        <w:rPr>
          <w:rFonts w:ascii="Calibri" w:hAnsi="Calibri"/>
          <w:noProof/>
        </w:rPr>
      </w:pPr>
      <w:bookmarkStart w:id="9" w:name="_ENREF_6"/>
      <w:r>
        <w:rPr>
          <w:rFonts w:ascii="Calibri" w:hAnsi="Calibri"/>
          <w:noProof/>
        </w:rPr>
        <w:t>6.</w:t>
      </w:r>
      <w:r>
        <w:rPr>
          <w:rFonts w:ascii="Calibri" w:hAnsi="Calibri"/>
          <w:noProof/>
        </w:rPr>
        <w:tab/>
        <w:t xml:space="preserve">Jackman D, P.W., Riely GJ, Engelman JA, Kris MG, Janne PA, et al. , </w:t>
      </w:r>
      <w:r w:rsidRPr="00F65C59">
        <w:rPr>
          <w:rFonts w:ascii="Calibri" w:hAnsi="Calibri"/>
          <w:i/>
          <w:noProof/>
        </w:rPr>
        <w:t>Clinical definition of acquired resistance to epidermal growth factor receptor tyrosine kinase inhibitors in non-small-cell lung cancer.</w:t>
      </w:r>
      <w:r>
        <w:rPr>
          <w:rFonts w:ascii="Calibri" w:hAnsi="Calibri"/>
          <w:noProof/>
        </w:rPr>
        <w:t xml:space="preserve"> Journal of Clinical Oncology, 2010. </w:t>
      </w:r>
      <w:r w:rsidRPr="00F65C59">
        <w:rPr>
          <w:rFonts w:ascii="Calibri" w:hAnsi="Calibri"/>
          <w:b/>
          <w:noProof/>
        </w:rPr>
        <w:t>28</w:t>
      </w:r>
      <w:r>
        <w:rPr>
          <w:rFonts w:ascii="Calibri" w:hAnsi="Calibri"/>
          <w:noProof/>
        </w:rPr>
        <w:t>(2): p. 357-60.</w:t>
      </w:r>
      <w:bookmarkEnd w:id="9"/>
    </w:p>
    <w:p w14:paraId="0698BDED" w14:textId="77777777" w:rsidR="00F65C59" w:rsidRDefault="00F65C59" w:rsidP="00F65C59">
      <w:pPr>
        <w:spacing w:after="0" w:line="240" w:lineRule="auto"/>
        <w:ind w:left="720" w:hanging="720"/>
        <w:rPr>
          <w:rFonts w:ascii="Calibri" w:hAnsi="Calibri"/>
          <w:noProof/>
        </w:rPr>
      </w:pPr>
      <w:bookmarkStart w:id="10" w:name="_ENREF_7"/>
      <w:r>
        <w:rPr>
          <w:rFonts w:ascii="Calibri" w:hAnsi="Calibri"/>
          <w:noProof/>
        </w:rPr>
        <w:t>7.</w:t>
      </w:r>
      <w:r>
        <w:rPr>
          <w:rFonts w:ascii="Calibri" w:hAnsi="Calibri"/>
          <w:noProof/>
        </w:rPr>
        <w:tab/>
        <w:t xml:space="preserve">Sequist, L., et al., </w:t>
      </w:r>
      <w:r w:rsidRPr="00F65C59">
        <w:rPr>
          <w:rFonts w:ascii="Calibri" w:hAnsi="Calibri"/>
          <w:i/>
          <w:noProof/>
        </w:rPr>
        <w:t>Genotypic and histological evolution of lung cancers acquiring resistance to EGFR inhibitors.</w:t>
      </w:r>
      <w:r>
        <w:rPr>
          <w:rFonts w:ascii="Calibri" w:hAnsi="Calibri"/>
          <w:noProof/>
        </w:rPr>
        <w:t xml:space="preserve"> Sci Transl Med, 2011. </w:t>
      </w:r>
      <w:r w:rsidRPr="00F65C59">
        <w:rPr>
          <w:rFonts w:ascii="Calibri" w:hAnsi="Calibri"/>
          <w:b/>
          <w:noProof/>
        </w:rPr>
        <w:t>3</w:t>
      </w:r>
      <w:r>
        <w:rPr>
          <w:rFonts w:ascii="Calibri" w:hAnsi="Calibri"/>
          <w:noProof/>
        </w:rPr>
        <w:t>: p. 75ra26.</w:t>
      </w:r>
      <w:bookmarkEnd w:id="10"/>
    </w:p>
    <w:p w14:paraId="2CBAEC7D" w14:textId="77777777" w:rsidR="00F65C59" w:rsidRDefault="00F65C59" w:rsidP="00F65C59">
      <w:pPr>
        <w:spacing w:after="0" w:line="240" w:lineRule="auto"/>
        <w:ind w:left="720" w:hanging="720"/>
        <w:rPr>
          <w:rFonts w:ascii="Calibri" w:hAnsi="Calibri"/>
          <w:noProof/>
        </w:rPr>
      </w:pPr>
      <w:bookmarkStart w:id="11" w:name="_ENREF_8"/>
      <w:r>
        <w:rPr>
          <w:rFonts w:ascii="Calibri" w:hAnsi="Calibri"/>
          <w:noProof/>
        </w:rPr>
        <w:t>8.</w:t>
      </w:r>
      <w:r>
        <w:rPr>
          <w:rFonts w:ascii="Calibri" w:hAnsi="Calibri"/>
          <w:noProof/>
        </w:rPr>
        <w:tab/>
        <w:t xml:space="preserve">Carter, C. and G. Giaccone, </w:t>
      </w:r>
      <w:r w:rsidRPr="00F65C59">
        <w:rPr>
          <w:rFonts w:ascii="Calibri" w:hAnsi="Calibri"/>
          <w:i/>
          <w:noProof/>
        </w:rPr>
        <w:t>Treatment of Non Small Cell Lung Cancer: Overcoming the resistance to EGFR inhibitors.</w:t>
      </w:r>
      <w:r>
        <w:rPr>
          <w:rFonts w:ascii="Calibri" w:hAnsi="Calibri"/>
          <w:noProof/>
        </w:rPr>
        <w:t xml:space="preserve"> Current Opinion Oncology, 2012. </w:t>
      </w:r>
      <w:r w:rsidRPr="00F65C59">
        <w:rPr>
          <w:rFonts w:ascii="Calibri" w:hAnsi="Calibri"/>
          <w:b/>
          <w:noProof/>
        </w:rPr>
        <w:t>24</w:t>
      </w:r>
      <w:r>
        <w:rPr>
          <w:rFonts w:ascii="Calibri" w:hAnsi="Calibri"/>
          <w:noProof/>
        </w:rPr>
        <w:t>(2): p. 123-129.</w:t>
      </w:r>
      <w:bookmarkEnd w:id="11"/>
    </w:p>
    <w:p w14:paraId="1A0F4484" w14:textId="77777777" w:rsidR="00F65C59" w:rsidRDefault="00F65C59" w:rsidP="00F65C59">
      <w:pPr>
        <w:spacing w:after="0" w:line="240" w:lineRule="auto"/>
        <w:ind w:left="720" w:hanging="720"/>
        <w:rPr>
          <w:rFonts w:ascii="Calibri" w:hAnsi="Calibri"/>
          <w:noProof/>
        </w:rPr>
      </w:pPr>
      <w:bookmarkStart w:id="12" w:name="_ENREF_9"/>
      <w:r>
        <w:rPr>
          <w:rFonts w:ascii="Calibri" w:hAnsi="Calibri"/>
          <w:noProof/>
        </w:rPr>
        <w:t>9.</w:t>
      </w:r>
      <w:r>
        <w:rPr>
          <w:rFonts w:ascii="Calibri" w:hAnsi="Calibri"/>
          <w:noProof/>
        </w:rPr>
        <w:tab/>
        <w:t xml:space="preserve">Chong CR and Janne PA, </w:t>
      </w:r>
      <w:r w:rsidRPr="00F65C59">
        <w:rPr>
          <w:rFonts w:ascii="Calibri" w:hAnsi="Calibri"/>
          <w:i/>
          <w:noProof/>
        </w:rPr>
        <w:t>The quest to overcome resistance to EGFR-targeted therapies in cancer.</w:t>
      </w:r>
      <w:r>
        <w:rPr>
          <w:rFonts w:ascii="Calibri" w:hAnsi="Calibri"/>
          <w:noProof/>
        </w:rPr>
        <w:t xml:space="preserve"> Nature Medicine, 2013. </w:t>
      </w:r>
      <w:r w:rsidRPr="00F65C59">
        <w:rPr>
          <w:rFonts w:ascii="Calibri" w:hAnsi="Calibri"/>
          <w:b/>
          <w:noProof/>
        </w:rPr>
        <w:t>19</w:t>
      </w:r>
      <w:r>
        <w:rPr>
          <w:rFonts w:ascii="Calibri" w:hAnsi="Calibri"/>
          <w:noProof/>
        </w:rPr>
        <w:t>(11): p. 1389-1400.</w:t>
      </w:r>
      <w:bookmarkEnd w:id="12"/>
    </w:p>
    <w:p w14:paraId="56C42BE8" w14:textId="77777777" w:rsidR="00F65C59" w:rsidRDefault="00F65C59" w:rsidP="00F65C59">
      <w:pPr>
        <w:spacing w:after="0" w:line="240" w:lineRule="auto"/>
        <w:ind w:left="720" w:hanging="720"/>
        <w:rPr>
          <w:rFonts w:ascii="Calibri" w:hAnsi="Calibri"/>
          <w:noProof/>
        </w:rPr>
      </w:pPr>
      <w:bookmarkStart w:id="13" w:name="_ENREF_10"/>
      <w:r>
        <w:rPr>
          <w:rFonts w:ascii="Calibri" w:hAnsi="Calibri"/>
          <w:noProof/>
        </w:rPr>
        <w:t>10.</w:t>
      </w:r>
      <w:r>
        <w:rPr>
          <w:rFonts w:ascii="Calibri" w:hAnsi="Calibri"/>
          <w:noProof/>
        </w:rPr>
        <w:tab/>
        <w:t xml:space="preserve">Yu, H., et al., </w:t>
      </w:r>
      <w:r w:rsidRPr="00F65C59">
        <w:rPr>
          <w:rFonts w:ascii="Calibri" w:hAnsi="Calibri"/>
          <w:i/>
          <w:noProof/>
        </w:rPr>
        <w:t>Analysis of Tumor Specimens at the Time of Acquired Resistance to EGFR-TKI Therapy in 155 Patients with EGFR-Mutant Lung Cancers.</w:t>
      </w:r>
      <w:r>
        <w:rPr>
          <w:rFonts w:ascii="Calibri" w:hAnsi="Calibri"/>
          <w:noProof/>
        </w:rPr>
        <w:t xml:space="preserve"> Clinical Cancer Research, 2013. </w:t>
      </w:r>
      <w:r w:rsidRPr="00F65C59">
        <w:rPr>
          <w:rFonts w:ascii="Calibri" w:hAnsi="Calibri"/>
          <w:b/>
          <w:noProof/>
        </w:rPr>
        <w:t>19</w:t>
      </w:r>
      <w:r>
        <w:rPr>
          <w:rFonts w:ascii="Calibri" w:hAnsi="Calibri"/>
          <w:noProof/>
        </w:rPr>
        <w:t>(8): p. 2240-7.</w:t>
      </w:r>
      <w:bookmarkEnd w:id="13"/>
    </w:p>
    <w:p w14:paraId="3ED546B6" w14:textId="4B21295E" w:rsidR="00F65C59" w:rsidRDefault="00F65C59" w:rsidP="00F65C59">
      <w:pPr>
        <w:spacing w:after="0" w:line="240" w:lineRule="auto"/>
        <w:ind w:left="720" w:hanging="720"/>
        <w:rPr>
          <w:rFonts w:ascii="Calibri" w:hAnsi="Calibri"/>
          <w:noProof/>
        </w:rPr>
      </w:pPr>
      <w:bookmarkStart w:id="14" w:name="_ENREF_11"/>
      <w:r>
        <w:rPr>
          <w:rFonts w:ascii="Calibri" w:hAnsi="Calibri"/>
          <w:noProof/>
        </w:rPr>
        <w:t>11.</w:t>
      </w:r>
      <w:r>
        <w:rPr>
          <w:rFonts w:ascii="Calibri" w:hAnsi="Calibri"/>
          <w:noProof/>
        </w:rPr>
        <w:tab/>
      </w:r>
      <w:r w:rsidR="008660C5">
        <w:rPr>
          <w:rFonts w:ascii="Calibri" w:hAnsi="Calibri"/>
          <w:noProof/>
        </w:rPr>
        <w:t xml:space="preserve">Ahn </w:t>
      </w:r>
      <w:r>
        <w:rPr>
          <w:rFonts w:ascii="Calibri" w:hAnsi="Calibri"/>
          <w:noProof/>
        </w:rPr>
        <w:t xml:space="preserve">ME, et al., </w:t>
      </w:r>
      <w:r w:rsidRPr="00F65C59">
        <w:rPr>
          <w:rFonts w:ascii="Calibri" w:hAnsi="Calibri"/>
          <w:i/>
          <w:noProof/>
        </w:rPr>
        <w:t>Rebiopsy of Lung Cancer Patients with Acquired Resistance to EGFR Inhibitors and Enhanced Detection of the T790M Mutation Using a Locked Nucleic Acid-Based Assay.</w:t>
      </w:r>
      <w:r>
        <w:rPr>
          <w:rFonts w:ascii="Calibri" w:hAnsi="Calibri"/>
          <w:noProof/>
        </w:rPr>
        <w:t xml:space="preserve"> Clinical Cancer Research, 2011. </w:t>
      </w:r>
      <w:r w:rsidRPr="00F65C59">
        <w:rPr>
          <w:rFonts w:ascii="Calibri" w:hAnsi="Calibri"/>
          <w:b/>
          <w:noProof/>
        </w:rPr>
        <w:t>17</w:t>
      </w:r>
      <w:r>
        <w:rPr>
          <w:rFonts w:ascii="Calibri" w:hAnsi="Calibri"/>
          <w:noProof/>
        </w:rPr>
        <w:t>(5): p. 1169-1180.</w:t>
      </w:r>
      <w:bookmarkEnd w:id="14"/>
    </w:p>
    <w:p w14:paraId="17068F62" w14:textId="77777777" w:rsidR="00F65C59" w:rsidRDefault="00F65C59" w:rsidP="00F65C59">
      <w:pPr>
        <w:spacing w:after="0" w:line="240" w:lineRule="auto"/>
        <w:ind w:left="720" w:hanging="720"/>
        <w:rPr>
          <w:rFonts w:ascii="Calibri" w:hAnsi="Calibri"/>
          <w:noProof/>
        </w:rPr>
      </w:pPr>
      <w:bookmarkStart w:id="15" w:name="_ENREF_12"/>
      <w:r>
        <w:rPr>
          <w:rFonts w:ascii="Calibri" w:hAnsi="Calibri"/>
          <w:noProof/>
        </w:rPr>
        <w:t>12.</w:t>
      </w:r>
      <w:r>
        <w:rPr>
          <w:rFonts w:ascii="Calibri" w:hAnsi="Calibri"/>
          <w:noProof/>
        </w:rPr>
        <w:tab/>
        <w:t xml:space="preserve">Kuiper, J., et al., </w:t>
      </w:r>
      <w:r w:rsidRPr="00F65C59">
        <w:rPr>
          <w:rFonts w:ascii="Calibri" w:hAnsi="Calibri"/>
          <w:i/>
          <w:noProof/>
        </w:rPr>
        <w:t>Incidence of T790M mutation in (sequential) rebiopsies in EGFR-mutated NSCLC-patients.</w:t>
      </w:r>
      <w:r>
        <w:rPr>
          <w:rFonts w:ascii="Calibri" w:hAnsi="Calibri"/>
          <w:noProof/>
        </w:rPr>
        <w:t xml:space="preserve"> Lung Cancer, 2014. </w:t>
      </w:r>
      <w:r w:rsidRPr="00F65C59">
        <w:rPr>
          <w:rFonts w:ascii="Calibri" w:hAnsi="Calibri"/>
          <w:b/>
          <w:noProof/>
        </w:rPr>
        <w:t>85</w:t>
      </w:r>
      <w:r>
        <w:rPr>
          <w:rFonts w:ascii="Calibri" w:hAnsi="Calibri"/>
          <w:noProof/>
        </w:rPr>
        <w:t>: p. 19-24.</w:t>
      </w:r>
      <w:bookmarkEnd w:id="15"/>
    </w:p>
    <w:p w14:paraId="71B75F37" w14:textId="77777777" w:rsidR="00F65C59" w:rsidRDefault="00F65C59" w:rsidP="00F65C59">
      <w:pPr>
        <w:spacing w:after="0" w:line="240" w:lineRule="auto"/>
        <w:ind w:left="720" w:hanging="720"/>
        <w:rPr>
          <w:rFonts w:ascii="Calibri" w:hAnsi="Calibri"/>
          <w:noProof/>
        </w:rPr>
      </w:pPr>
      <w:bookmarkStart w:id="16" w:name="_ENREF_13"/>
      <w:r>
        <w:rPr>
          <w:rFonts w:ascii="Calibri" w:hAnsi="Calibri"/>
          <w:noProof/>
        </w:rPr>
        <w:t>13.</w:t>
      </w:r>
      <w:r>
        <w:rPr>
          <w:rFonts w:ascii="Calibri" w:hAnsi="Calibri"/>
          <w:noProof/>
        </w:rPr>
        <w:tab/>
        <w:t xml:space="preserve">Sun, J.-M., et al., </w:t>
      </w:r>
      <w:r w:rsidRPr="00F65C59">
        <w:rPr>
          <w:rFonts w:ascii="Calibri" w:hAnsi="Calibri"/>
          <w:i/>
          <w:noProof/>
        </w:rPr>
        <w:t>Clinical implications of T790M mutation in patients with acquired resistance to EGFR tyrosine kinase inhibitors.</w:t>
      </w:r>
      <w:r>
        <w:rPr>
          <w:rFonts w:ascii="Calibri" w:hAnsi="Calibri"/>
          <w:noProof/>
        </w:rPr>
        <w:t xml:space="preserve"> Lung Cancer, 2013. </w:t>
      </w:r>
      <w:r w:rsidRPr="00F65C59">
        <w:rPr>
          <w:rFonts w:ascii="Calibri" w:hAnsi="Calibri"/>
          <w:b/>
          <w:noProof/>
        </w:rPr>
        <w:t>82</w:t>
      </w:r>
      <w:r>
        <w:rPr>
          <w:rFonts w:ascii="Calibri" w:hAnsi="Calibri"/>
          <w:noProof/>
        </w:rPr>
        <w:t>(2): p. 294-298.</w:t>
      </w:r>
      <w:bookmarkEnd w:id="16"/>
    </w:p>
    <w:p w14:paraId="22CCBF29" w14:textId="77777777" w:rsidR="00F65C59" w:rsidRDefault="00F65C59" w:rsidP="00F65C59">
      <w:pPr>
        <w:spacing w:after="0" w:line="240" w:lineRule="auto"/>
        <w:ind w:left="720" w:hanging="720"/>
        <w:rPr>
          <w:rFonts w:ascii="Calibri" w:hAnsi="Calibri"/>
          <w:noProof/>
        </w:rPr>
      </w:pPr>
      <w:bookmarkStart w:id="17" w:name="_ENREF_14"/>
      <w:r>
        <w:rPr>
          <w:rFonts w:ascii="Calibri" w:hAnsi="Calibri"/>
          <w:noProof/>
        </w:rPr>
        <w:t>14.</w:t>
      </w:r>
      <w:r>
        <w:rPr>
          <w:rFonts w:ascii="Calibri" w:hAnsi="Calibri"/>
          <w:noProof/>
        </w:rPr>
        <w:tab/>
        <w:t xml:space="preserve">Pao W, M.V., Politi KA, Riely GJ, Somwar R, Zakowski, et al., </w:t>
      </w:r>
      <w:r w:rsidRPr="00F65C59">
        <w:rPr>
          <w:rFonts w:ascii="Calibri" w:hAnsi="Calibri"/>
          <w:i/>
          <w:noProof/>
        </w:rPr>
        <w:t>Acquired resistance of lung adenocarcinomas to gefitinib or erlotinib is associated with a second mutation in the EGFR kinase domain.</w:t>
      </w:r>
      <w:r>
        <w:rPr>
          <w:rFonts w:ascii="Calibri" w:hAnsi="Calibri"/>
          <w:noProof/>
        </w:rPr>
        <w:t xml:space="preserve"> PLoS, 2005. </w:t>
      </w:r>
      <w:r w:rsidRPr="00F65C59">
        <w:rPr>
          <w:rFonts w:ascii="Calibri" w:hAnsi="Calibri"/>
          <w:b/>
          <w:noProof/>
        </w:rPr>
        <w:t>2</w:t>
      </w:r>
      <w:r>
        <w:rPr>
          <w:rFonts w:ascii="Calibri" w:hAnsi="Calibri"/>
          <w:noProof/>
        </w:rPr>
        <w:t>(e73).</w:t>
      </w:r>
      <w:bookmarkEnd w:id="17"/>
    </w:p>
    <w:p w14:paraId="23CE5D3D" w14:textId="523CC999" w:rsidR="00F65C59" w:rsidRDefault="00F65C59" w:rsidP="00F65C59">
      <w:pPr>
        <w:spacing w:after="0" w:line="240" w:lineRule="auto"/>
        <w:ind w:left="720" w:hanging="720"/>
        <w:rPr>
          <w:rFonts w:ascii="Calibri" w:hAnsi="Calibri"/>
          <w:noProof/>
        </w:rPr>
      </w:pPr>
      <w:bookmarkStart w:id="18" w:name="_ENREF_15"/>
      <w:r>
        <w:rPr>
          <w:rFonts w:ascii="Calibri" w:hAnsi="Calibri"/>
          <w:noProof/>
        </w:rPr>
        <w:t>15.</w:t>
      </w:r>
      <w:r>
        <w:rPr>
          <w:rFonts w:ascii="Calibri" w:hAnsi="Calibri"/>
          <w:noProof/>
        </w:rPr>
        <w:tab/>
      </w:r>
      <w:r w:rsidR="008660C5">
        <w:rPr>
          <w:rFonts w:ascii="Calibri" w:hAnsi="Calibri"/>
          <w:noProof/>
        </w:rPr>
        <w:t xml:space="preserve">Cheng </w:t>
      </w:r>
      <w:r>
        <w:rPr>
          <w:rFonts w:ascii="Calibri" w:hAnsi="Calibri"/>
          <w:noProof/>
        </w:rPr>
        <w:t xml:space="preserve">L, et al., </w:t>
      </w:r>
      <w:r w:rsidRPr="00F65C59">
        <w:rPr>
          <w:rFonts w:ascii="Calibri" w:hAnsi="Calibri"/>
          <w:i/>
          <w:noProof/>
        </w:rPr>
        <w:t>Molecular pathology of lung cancer: key to personalized medicine.</w:t>
      </w:r>
      <w:r>
        <w:rPr>
          <w:rFonts w:ascii="Calibri" w:hAnsi="Calibri"/>
          <w:noProof/>
        </w:rPr>
        <w:t xml:space="preserve"> Modern Pathology, 2012. </w:t>
      </w:r>
      <w:r w:rsidRPr="00F65C59">
        <w:rPr>
          <w:rFonts w:ascii="Calibri" w:hAnsi="Calibri"/>
          <w:b/>
          <w:noProof/>
        </w:rPr>
        <w:t>25</w:t>
      </w:r>
      <w:r>
        <w:rPr>
          <w:rFonts w:ascii="Calibri" w:hAnsi="Calibri"/>
          <w:noProof/>
        </w:rPr>
        <w:t>: p. 347-369.</w:t>
      </w:r>
      <w:bookmarkEnd w:id="18"/>
    </w:p>
    <w:p w14:paraId="3EDBC2BB" w14:textId="77777777" w:rsidR="00F65C59" w:rsidRDefault="00F65C59" w:rsidP="00F65C59">
      <w:pPr>
        <w:spacing w:after="0" w:line="240" w:lineRule="auto"/>
        <w:ind w:left="720" w:hanging="720"/>
        <w:rPr>
          <w:rFonts w:ascii="Calibri" w:hAnsi="Calibri"/>
          <w:noProof/>
        </w:rPr>
      </w:pPr>
      <w:bookmarkStart w:id="19" w:name="_ENREF_16"/>
      <w:r>
        <w:rPr>
          <w:rFonts w:ascii="Calibri" w:hAnsi="Calibri"/>
          <w:noProof/>
        </w:rPr>
        <w:t>16.</w:t>
      </w:r>
      <w:r>
        <w:rPr>
          <w:rFonts w:ascii="Calibri" w:hAnsi="Calibri"/>
          <w:noProof/>
        </w:rPr>
        <w:tab/>
        <w:t xml:space="preserve">Gridelli, C., et al., </w:t>
      </w:r>
      <w:r w:rsidRPr="00F65C59">
        <w:rPr>
          <w:rFonts w:ascii="Calibri" w:hAnsi="Calibri"/>
          <w:i/>
          <w:noProof/>
        </w:rPr>
        <w:t>Treatment of Advanced Non-Small-Cell Lung Cancer With Epidermal Growth Factor Receptor (EGFR) Mutation or ALK Gene Rearrangement: Results of an International Expert Panel Meeting of the Italian Association of Thoracic Oncology.</w:t>
      </w:r>
      <w:r>
        <w:rPr>
          <w:rFonts w:ascii="Calibri" w:hAnsi="Calibri"/>
          <w:noProof/>
        </w:rPr>
        <w:t xml:space="preserve"> Clinical Lung Cancer, 2014. </w:t>
      </w:r>
      <w:r w:rsidRPr="00F65C59">
        <w:rPr>
          <w:rFonts w:ascii="Calibri" w:hAnsi="Calibri"/>
          <w:b/>
          <w:noProof/>
        </w:rPr>
        <w:t>15</w:t>
      </w:r>
      <w:r>
        <w:rPr>
          <w:rFonts w:ascii="Calibri" w:hAnsi="Calibri"/>
          <w:noProof/>
        </w:rPr>
        <w:t>(3): p. 173-81.</w:t>
      </w:r>
      <w:bookmarkEnd w:id="19"/>
    </w:p>
    <w:p w14:paraId="0FCA440C" w14:textId="77777777" w:rsidR="00F65C59" w:rsidRDefault="00F65C59" w:rsidP="00F65C59">
      <w:pPr>
        <w:spacing w:after="0" w:line="240" w:lineRule="auto"/>
        <w:ind w:left="720" w:hanging="720"/>
        <w:rPr>
          <w:rFonts w:ascii="Calibri" w:hAnsi="Calibri"/>
          <w:noProof/>
        </w:rPr>
      </w:pPr>
      <w:bookmarkStart w:id="20" w:name="_ENREF_17"/>
      <w:r>
        <w:rPr>
          <w:rFonts w:ascii="Calibri" w:hAnsi="Calibri"/>
          <w:noProof/>
        </w:rPr>
        <w:t>17.</w:t>
      </w:r>
      <w:r>
        <w:rPr>
          <w:rFonts w:ascii="Calibri" w:hAnsi="Calibri"/>
          <w:noProof/>
        </w:rPr>
        <w:tab/>
        <w:t xml:space="preserve">National Comprehensive Cancer Network (NCCN), </w:t>
      </w:r>
      <w:r w:rsidRPr="00F65C59">
        <w:rPr>
          <w:rFonts w:ascii="Calibri" w:hAnsi="Calibri"/>
          <w:i/>
          <w:noProof/>
        </w:rPr>
        <w:t>Non-Small Cell Lung Cancer</w:t>
      </w:r>
      <w:r>
        <w:rPr>
          <w:rFonts w:ascii="Calibri" w:hAnsi="Calibri"/>
          <w:noProof/>
        </w:rPr>
        <w:t xml:space="preserve">, in </w:t>
      </w:r>
      <w:r w:rsidRPr="00F65C59">
        <w:rPr>
          <w:rFonts w:ascii="Calibri" w:hAnsi="Calibri"/>
          <w:i/>
          <w:noProof/>
        </w:rPr>
        <w:t>NCCN Clinical Practice Guidelines in Oncology</w:t>
      </w:r>
      <w:r>
        <w:rPr>
          <w:rFonts w:ascii="Calibri" w:hAnsi="Calibri"/>
          <w:noProof/>
        </w:rPr>
        <w:t>2015.</w:t>
      </w:r>
      <w:bookmarkEnd w:id="20"/>
    </w:p>
    <w:p w14:paraId="5DA1381B" w14:textId="010ED33E" w:rsidR="00F65C59" w:rsidRDefault="00F65C59" w:rsidP="00F65C59">
      <w:pPr>
        <w:spacing w:after="0" w:line="240" w:lineRule="auto"/>
        <w:ind w:left="720" w:hanging="720"/>
        <w:rPr>
          <w:rFonts w:ascii="Calibri" w:hAnsi="Calibri"/>
          <w:noProof/>
        </w:rPr>
      </w:pPr>
      <w:bookmarkStart w:id="21" w:name="_ENREF_18"/>
      <w:r>
        <w:rPr>
          <w:rFonts w:ascii="Calibri" w:hAnsi="Calibri"/>
          <w:noProof/>
        </w:rPr>
        <w:t>18.</w:t>
      </w:r>
      <w:r>
        <w:rPr>
          <w:rFonts w:ascii="Calibri" w:hAnsi="Calibri"/>
          <w:noProof/>
        </w:rPr>
        <w:tab/>
      </w:r>
      <w:r w:rsidR="008660C5">
        <w:rPr>
          <w:rFonts w:ascii="Calibri" w:hAnsi="Calibri"/>
          <w:noProof/>
        </w:rPr>
        <w:t xml:space="preserve">Wu </w:t>
      </w:r>
      <w:r>
        <w:rPr>
          <w:rFonts w:ascii="Calibri" w:hAnsi="Calibri"/>
          <w:noProof/>
        </w:rPr>
        <w:t xml:space="preserve">J-Y, et al., </w:t>
      </w:r>
      <w:r w:rsidRPr="00F65C59">
        <w:rPr>
          <w:rFonts w:ascii="Calibri" w:hAnsi="Calibri"/>
          <w:i/>
          <w:noProof/>
        </w:rPr>
        <w:t>Second-line treatments after first-line gefitinib therapy in advanced nonsmall cell lung cancer.</w:t>
      </w:r>
      <w:r>
        <w:rPr>
          <w:rFonts w:ascii="Calibri" w:hAnsi="Calibri"/>
          <w:noProof/>
        </w:rPr>
        <w:t xml:space="preserve"> International Journal of Cancer, 2010. </w:t>
      </w:r>
      <w:r w:rsidRPr="00F65C59">
        <w:rPr>
          <w:rFonts w:ascii="Calibri" w:hAnsi="Calibri"/>
          <w:b/>
          <w:noProof/>
        </w:rPr>
        <w:t>126</w:t>
      </w:r>
      <w:r>
        <w:rPr>
          <w:rFonts w:ascii="Calibri" w:hAnsi="Calibri"/>
          <w:noProof/>
        </w:rPr>
        <w:t>(1): p. 247-255.</w:t>
      </w:r>
      <w:bookmarkEnd w:id="21"/>
    </w:p>
    <w:p w14:paraId="0CF2430C" w14:textId="77777777" w:rsidR="00F65C59" w:rsidRDefault="00F65C59" w:rsidP="00F65C59">
      <w:pPr>
        <w:spacing w:after="0" w:line="240" w:lineRule="auto"/>
        <w:ind w:left="720" w:hanging="720"/>
        <w:rPr>
          <w:rFonts w:ascii="Calibri" w:hAnsi="Calibri"/>
          <w:noProof/>
        </w:rPr>
      </w:pPr>
      <w:bookmarkStart w:id="22" w:name="_ENREF_19"/>
      <w:r>
        <w:rPr>
          <w:rFonts w:ascii="Calibri" w:hAnsi="Calibri"/>
          <w:noProof/>
        </w:rPr>
        <w:t>19.</w:t>
      </w:r>
      <w:r>
        <w:rPr>
          <w:rFonts w:ascii="Calibri" w:hAnsi="Calibri"/>
          <w:noProof/>
        </w:rPr>
        <w:tab/>
        <w:t xml:space="preserve">Wu, J.-Y., et al., </w:t>
      </w:r>
      <w:r w:rsidRPr="00F65C59">
        <w:rPr>
          <w:rFonts w:ascii="Calibri" w:hAnsi="Calibri"/>
          <w:i/>
          <w:noProof/>
        </w:rPr>
        <w:t>Effectiveness of Tyrosine Kinase Inhibitors on "Uncommon" Epidermal Growth Factor Receptor Mutations of Unknown Clinical Significance in Non–Small Cell Lung Cancer.</w:t>
      </w:r>
      <w:r>
        <w:rPr>
          <w:rFonts w:ascii="Calibri" w:hAnsi="Calibri"/>
          <w:noProof/>
        </w:rPr>
        <w:t xml:space="preserve"> Clinical Cancer Research, 2011. </w:t>
      </w:r>
      <w:r w:rsidRPr="00F65C59">
        <w:rPr>
          <w:rFonts w:ascii="Calibri" w:hAnsi="Calibri"/>
          <w:b/>
          <w:noProof/>
        </w:rPr>
        <w:t>17</w:t>
      </w:r>
      <w:r>
        <w:rPr>
          <w:rFonts w:ascii="Calibri" w:hAnsi="Calibri"/>
          <w:noProof/>
        </w:rPr>
        <w:t>(11): p. 3812-21.</w:t>
      </w:r>
      <w:bookmarkEnd w:id="22"/>
    </w:p>
    <w:p w14:paraId="4502D1AA" w14:textId="77777777" w:rsidR="00F65C59" w:rsidRDefault="00F65C59" w:rsidP="00F65C59">
      <w:pPr>
        <w:spacing w:after="0" w:line="240" w:lineRule="auto"/>
        <w:ind w:left="720" w:hanging="720"/>
        <w:rPr>
          <w:rFonts w:ascii="Calibri" w:hAnsi="Calibri"/>
          <w:noProof/>
        </w:rPr>
      </w:pPr>
      <w:bookmarkStart w:id="23" w:name="_ENREF_20"/>
      <w:r>
        <w:rPr>
          <w:rFonts w:ascii="Calibri" w:hAnsi="Calibri"/>
          <w:noProof/>
        </w:rPr>
        <w:lastRenderedPageBreak/>
        <w:t>20.</w:t>
      </w:r>
      <w:r>
        <w:rPr>
          <w:rFonts w:ascii="Calibri" w:hAnsi="Calibri"/>
          <w:noProof/>
        </w:rPr>
        <w:tab/>
        <w:t xml:space="preserve">Yu, H., et al., </w:t>
      </w:r>
      <w:r w:rsidRPr="00F65C59">
        <w:rPr>
          <w:rFonts w:ascii="Calibri" w:hAnsi="Calibri"/>
          <w:i/>
          <w:noProof/>
        </w:rPr>
        <w:t>Poor response to erlotinib in patients with tumours containing baseline EGFR T790M mutations found by routine clinical molecular testing.</w:t>
      </w:r>
      <w:r>
        <w:rPr>
          <w:rFonts w:ascii="Calibri" w:hAnsi="Calibri"/>
          <w:noProof/>
        </w:rPr>
        <w:t xml:space="preserve"> Annals of Oncology, 2014. </w:t>
      </w:r>
      <w:r w:rsidRPr="00F65C59">
        <w:rPr>
          <w:rFonts w:ascii="Calibri" w:hAnsi="Calibri"/>
          <w:b/>
          <w:noProof/>
        </w:rPr>
        <w:t>25</w:t>
      </w:r>
      <w:r>
        <w:rPr>
          <w:rFonts w:ascii="Calibri" w:hAnsi="Calibri"/>
          <w:noProof/>
        </w:rPr>
        <w:t>: p. 423-428.</w:t>
      </w:r>
      <w:bookmarkEnd w:id="23"/>
    </w:p>
    <w:p w14:paraId="18324A57" w14:textId="30CAB124" w:rsidR="00F65C59" w:rsidRDefault="00F65C59" w:rsidP="00F65C59">
      <w:pPr>
        <w:spacing w:after="0" w:line="240" w:lineRule="auto"/>
        <w:ind w:left="720" w:hanging="720"/>
        <w:rPr>
          <w:rFonts w:ascii="Calibri" w:hAnsi="Calibri"/>
          <w:noProof/>
        </w:rPr>
      </w:pPr>
      <w:bookmarkStart w:id="24" w:name="_ENREF_21"/>
      <w:r>
        <w:rPr>
          <w:rFonts w:ascii="Calibri" w:hAnsi="Calibri"/>
          <w:noProof/>
        </w:rPr>
        <w:t>21.</w:t>
      </w:r>
      <w:r>
        <w:rPr>
          <w:rFonts w:ascii="Calibri" w:hAnsi="Calibri"/>
          <w:noProof/>
        </w:rPr>
        <w:tab/>
      </w:r>
      <w:r w:rsidR="008660C5">
        <w:rPr>
          <w:rFonts w:ascii="Calibri" w:hAnsi="Calibri"/>
          <w:noProof/>
        </w:rPr>
        <w:t xml:space="preserve">Cross </w:t>
      </w:r>
      <w:r>
        <w:rPr>
          <w:rFonts w:ascii="Calibri" w:hAnsi="Calibri"/>
          <w:noProof/>
        </w:rPr>
        <w:t xml:space="preserve">D, et al., </w:t>
      </w:r>
      <w:r w:rsidRPr="00F65C59">
        <w:rPr>
          <w:rFonts w:ascii="Calibri" w:hAnsi="Calibri"/>
          <w:i/>
          <w:noProof/>
        </w:rPr>
        <w:t>AZD9291, an Irreversible EGFR TKI, Overcomes T790M-Mediated Resistance to EGFR Inhibitors in Lung Cancer.</w:t>
      </w:r>
      <w:r>
        <w:rPr>
          <w:rFonts w:ascii="Calibri" w:hAnsi="Calibri"/>
          <w:noProof/>
        </w:rPr>
        <w:t xml:space="preserve"> Cancer Discovery, 2014. </w:t>
      </w:r>
      <w:r w:rsidRPr="00F65C59">
        <w:rPr>
          <w:rFonts w:ascii="Calibri" w:hAnsi="Calibri"/>
          <w:b/>
          <w:noProof/>
        </w:rPr>
        <w:t>4</w:t>
      </w:r>
      <w:r>
        <w:rPr>
          <w:rFonts w:ascii="Calibri" w:hAnsi="Calibri"/>
          <w:noProof/>
        </w:rPr>
        <w:t>(9): p. 1046-61.</w:t>
      </w:r>
      <w:bookmarkEnd w:id="24"/>
    </w:p>
    <w:p w14:paraId="5C5AAE71" w14:textId="77777777" w:rsidR="00F65C59" w:rsidRDefault="00F65C59" w:rsidP="00F65C59">
      <w:pPr>
        <w:spacing w:after="0" w:line="240" w:lineRule="auto"/>
        <w:ind w:left="720" w:hanging="720"/>
        <w:rPr>
          <w:rFonts w:ascii="Calibri" w:hAnsi="Calibri"/>
          <w:noProof/>
        </w:rPr>
      </w:pPr>
      <w:bookmarkStart w:id="25" w:name="_ENREF_22"/>
      <w:r>
        <w:rPr>
          <w:rFonts w:ascii="Calibri" w:hAnsi="Calibri"/>
          <w:noProof/>
        </w:rPr>
        <w:t>22.</w:t>
      </w:r>
      <w:r>
        <w:rPr>
          <w:rFonts w:ascii="Calibri" w:hAnsi="Calibri"/>
          <w:noProof/>
        </w:rPr>
        <w:tab/>
        <w:t xml:space="preserve">Yang, J., et al., </w:t>
      </w:r>
      <w:r w:rsidRPr="00F65C59">
        <w:rPr>
          <w:rFonts w:ascii="Calibri" w:hAnsi="Calibri"/>
          <w:i/>
          <w:noProof/>
        </w:rPr>
        <w:t>449PD Updated safety and efficacy from a Phase I study of AZD9291 in patient with EGFR-TKI-resistant Non-Small Cell Lung Cancer (NSCLC).</w:t>
      </w:r>
      <w:r>
        <w:rPr>
          <w:rFonts w:ascii="Calibri" w:hAnsi="Calibri"/>
          <w:noProof/>
        </w:rPr>
        <w:t xml:space="preserve"> Annals of Oncology, 2014. </w:t>
      </w:r>
      <w:r w:rsidRPr="00F65C59">
        <w:rPr>
          <w:rFonts w:ascii="Calibri" w:hAnsi="Calibri"/>
          <w:b/>
          <w:noProof/>
        </w:rPr>
        <w:t>25</w:t>
      </w:r>
      <w:r>
        <w:rPr>
          <w:rFonts w:ascii="Calibri" w:hAnsi="Calibri"/>
          <w:noProof/>
        </w:rPr>
        <w:t>(suppl 4): p. iv149.</w:t>
      </w:r>
      <w:bookmarkEnd w:id="25"/>
    </w:p>
    <w:p w14:paraId="1DE2FFCB" w14:textId="77777777" w:rsidR="00F65C59" w:rsidRDefault="00F65C59" w:rsidP="00F65C59">
      <w:pPr>
        <w:spacing w:after="0" w:line="240" w:lineRule="auto"/>
        <w:ind w:left="720" w:hanging="720"/>
        <w:rPr>
          <w:rFonts w:ascii="Calibri" w:hAnsi="Calibri"/>
          <w:noProof/>
        </w:rPr>
      </w:pPr>
      <w:bookmarkStart w:id="26" w:name="_ENREF_23"/>
      <w:r>
        <w:rPr>
          <w:rFonts w:ascii="Calibri" w:hAnsi="Calibri"/>
          <w:noProof/>
        </w:rPr>
        <w:t>23.</w:t>
      </w:r>
      <w:r>
        <w:rPr>
          <w:rFonts w:ascii="Calibri" w:hAnsi="Calibri"/>
          <w:noProof/>
        </w:rPr>
        <w:tab/>
        <w:t xml:space="preserve">Janne, P., et al., </w:t>
      </w:r>
      <w:r w:rsidRPr="00F65C59">
        <w:rPr>
          <w:rFonts w:ascii="Calibri" w:hAnsi="Calibri"/>
          <w:i/>
          <w:noProof/>
        </w:rPr>
        <w:t>ADZ9291 in EGFR Inhibitor-Resistant Non-Small-Cell Lung Cancer.</w:t>
      </w:r>
      <w:r>
        <w:rPr>
          <w:rFonts w:ascii="Calibri" w:hAnsi="Calibri"/>
          <w:noProof/>
        </w:rPr>
        <w:t xml:space="preserve"> The New England Journal of Medicine, 2015. </w:t>
      </w:r>
      <w:r w:rsidRPr="00F65C59">
        <w:rPr>
          <w:rFonts w:ascii="Calibri" w:hAnsi="Calibri"/>
          <w:b/>
          <w:noProof/>
        </w:rPr>
        <w:t>372</w:t>
      </w:r>
      <w:r>
        <w:rPr>
          <w:rFonts w:ascii="Calibri" w:hAnsi="Calibri"/>
          <w:noProof/>
        </w:rPr>
        <w:t>(18): p. 1689-99.</w:t>
      </w:r>
      <w:bookmarkEnd w:id="26"/>
    </w:p>
    <w:p w14:paraId="287BC0F3" w14:textId="77777777" w:rsidR="00F65C59" w:rsidRDefault="00F65C59" w:rsidP="00F65C59">
      <w:pPr>
        <w:spacing w:after="0" w:line="240" w:lineRule="auto"/>
        <w:ind w:left="720" w:hanging="720"/>
        <w:rPr>
          <w:rFonts w:ascii="Calibri" w:hAnsi="Calibri"/>
          <w:noProof/>
        </w:rPr>
      </w:pPr>
      <w:bookmarkStart w:id="27" w:name="_ENREF_24"/>
      <w:r>
        <w:rPr>
          <w:rFonts w:ascii="Calibri" w:hAnsi="Calibri"/>
          <w:noProof/>
        </w:rPr>
        <w:t>24.</w:t>
      </w:r>
      <w:r>
        <w:rPr>
          <w:rFonts w:ascii="Calibri" w:hAnsi="Calibri"/>
          <w:noProof/>
        </w:rPr>
        <w:tab/>
        <w:t xml:space="preserve">Mitsudomi, T., et al., </w:t>
      </w:r>
      <w:r w:rsidRPr="00F65C59">
        <w:rPr>
          <w:rFonts w:ascii="Calibri" w:hAnsi="Calibri"/>
          <w:i/>
          <w:noProof/>
        </w:rPr>
        <w:t>AZD9291 in pre-treated T790M positive advanced NSCLC: AURA2 Phase II study.</w:t>
      </w:r>
      <w:r>
        <w:rPr>
          <w:rFonts w:ascii="Calibri" w:hAnsi="Calibri"/>
          <w:noProof/>
        </w:rPr>
        <w:t xml:space="preserve"> Journal of Thoracic Oncology, 2015. </w:t>
      </w:r>
      <w:r w:rsidRPr="00F65C59">
        <w:rPr>
          <w:rFonts w:ascii="Calibri" w:hAnsi="Calibri"/>
          <w:b/>
          <w:noProof/>
        </w:rPr>
        <w:t>10</w:t>
      </w:r>
      <w:r>
        <w:rPr>
          <w:rFonts w:ascii="Calibri" w:hAnsi="Calibri"/>
          <w:noProof/>
        </w:rPr>
        <w:t>(9, Suppl.2): p. S319, abstract Mini 16.08.</w:t>
      </w:r>
      <w:bookmarkEnd w:id="27"/>
    </w:p>
    <w:p w14:paraId="2EA5F894" w14:textId="77777777" w:rsidR="00F65C59" w:rsidRDefault="00F65C59" w:rsidP="00F65C59">
      <w:pPr>
        <w:spacing w:after="0" w:line="240" w:lineRule="auto"/>
        <w:ind w:left="720" w:hanging="720"/>
        <w:rPr>
          <w:rFonts w:ascii="Calibri" w:hAnsi="Calibri"/>
          <w:noProof/>
        </w:rPr>
      </w:pPr>
      <w:bookmarkStart w:id="28" w:name="_ENREF_25"/>
      <w:r>
        <w:rPr>
          <w:rFonts w:ascii="Calibri" w:hAnsi="Calibri"/>
          <w:noProof/>
        </w:rPr>
        <w:t>25.</w:t>
      </w:r>
      <w:r>
        <w:rPr>
          <w:rFonts w:ascii="Calibri" w:hAnsi="Calibri"/>
          <w:noProof/>
        </w:rPr>
        <w:tab/>
        <w:t xml:space="preserve">Yang, J.-H., et al., </w:t>
      </w:r>
      <w:r w:rsidRPr="00F65C59">
        <w:rPr>
          <w:rFonts w:ascii="Calibri" w:hAnsi="Calibri"/>
          <w:i/>
          <w:noProof/>
        </w:rPr>
        <w:t>AZD9291 in pre-treated T790M positive advanced NSCLC: AURA study Phase II extension cohort.</w:t>
      </w:r>
      <w:r>
        <w:rPr>
          <w:rFonts w:ascii="Calibri" w:hAnsi="Calibri"/>
          <w:noProof/>
        </w:rPr>
        <w:t xml:space="preserve"> Journal of Thoracic Oncology, 2015. </w:t>
      </w:r>
      <w:r w:rsidRPr="00F65C59">
        <w:rPr>
          <w:rFonts w:ascii="Calibri" w:hAnsi="Calibri"/>
          <w:b/>
          <w:noProof/>
        </w:rPr>
        <w:t>10</w:t>
      </w:r>
      <w:r>
        <w:rPr>
          <w:rFonts w:ascii="Calibri" w:hAnsi="Calibri"/>
          <w:noProof/>
        </w:rPr>
        <w:t>(9, Suppl 2): p. S319, abstract Mini 16.06.</w:t>
      </w:r>
      <w:bookmarkEnd w:id="28"/>
    </w:p>
    <w:p w14:paraId="303E187D" w14:textId="77777777" w:rsidR="00F65C59" w:rsidRDefault="00F65C59" w:rsidP="00F65C59">
      <w:pPr>
        <w:spacing w:after="0" w:line="240" w:lineRule="auto"/>
        <w:ind w:left="720" w:hanging="720"/>
        <w:rPr>
          <w:rFonts w:ascii="Calibri" w:hAnsi="Calibri"/>
          <w:noProof/>
        </w:rPr>
      </w:pPr>
      <w:bookmarkStart w:id="29" w:name="_ENREF_26"/>
      <w:r>
        <w:rPr>
          <w:rFonts w:ascii="Calibri" w:hAnsi="Calibri"/>
          <w:noProof/>
        </w:rPr>
        <w:t>26.</w:t>
      </w:r>
      <w:r>
        <w:rPr>
          <w:rFonts w:ascii="Calibri" w:hAnsi="Calibri"/>
          <w:noProof/>
        </w:rPr>
        <w:tab/>
        <w:t xml:space="preserve">Australian Institute of Health and Welfare, </w:t>
      </w:r>
      <w:r w:rsidRPr="00F65C59">
        <w:rPr>
          <w:rFonts w:ascii="Calibri" w:hAnsi="Calibri"/>
          <w:i/>
          <w:noProof/>
        </w:rPr>
        <w:t>Cancer Incidence Projections. Australia, 2011 to 2020</w:t>
      </w:r>
      <w:r>
        <w:rPr>
          <w:rFonts w:ascii="Calibri" w:hAnsi="Calibri"/>
          <w:noProof/>
        </w:rPr>
        <w:t xml:space="preserve">, in </w:t>
      </w:r>
      <w:r w:rsidRPr="00F65C59">
        <w:rPr>
          <w:rFonts w:ascii="Calibri" w:hAnsi="Calibri"/>
          <w:i/>
          <w:noProof/>
        </w:rPr>
        <w:t>Cancer Series</w:t>
      </w:r>
      <w:r>
        <w:rPr>
          <w:rFonts w:ascii="Calibri" w:hAnsi="Calibri"/>
          <w:noProof/>
        </w:rPr>
        <w:t>2012, Australian Institute of Health and Welfare: Canberra, Australia.</w:t>
      </w:r>
      <w:bookmarkEnd w:id="29"/>
    </w:p>
    <w:p w14:paraId="593E3B44" w14:textId="77777777" w:rsidR="00F65C59" w:rsidRDefault="00F65C59" w:rsidP="00F65C59">
      <w:pPr>
        <w:spacing w:after="0" w:line="240" w:lineRule="auto"/>
        <w:ind w:left="720" w:hanging="720"/>
        <w:rPr>
          <w:rFonts w:ascii="Calibri" w:hAnsi="Calibri"/>
          <w:noProof/>
        </w:rPr>
      </w:pPr>
      <w:bookmarkStart w:id="30" w:name="_ENREF_27"/>
      <w:r>
        <w:rPr>
          <w:rFonts w:ascii="Calibri" w:hAnsi="Calibri"/>
          <w:noProof/>
        </w:rPr>
        <w:t>27.</w:t>
      </w:r>
      <w:r>
        <w:rPr>
          <w:rFonts w:ascii="Calibri" w:hAnsi="Calibri"/>
          <w:noProof/>
        </w:rPr>
        <w:tab/>
        <w:t xml:space="preserve">Australian Institute of Health and Welfare, </w:t>
      </w:r>
      <w:r w:rsidRPr="00F65C59">
        <w:rPr>
          <w:rFonts w:ascii="Calibri" w:hAnsi="Calibri"/>
          <w:i/>
          <w:noProof/>
        </w:rPr>
        <w:t>Cancer in Australia: an overview 2014</w:t>
      </w:r>
      <w:r>
        <w:rPr>
          <w:rFonts w:ascii="Calibri" w:hAnsi="Calibri"/>
          <w:noProof/>
        </w:rPr>
        <w:t xml:space="preserve">, in </w:t>
      </w:r>
      <w:r w:rsidRPr="00F65C59">
        <w:rPr>
          <w:rFonts w:ascii="Calibri" w:hAnsi="Calibri"/>
          <w:i/>
          <w:noProof/>
        </w:rPr>
        <w:t>Cancer Series</w:t>
      </w:r>
      <w:r>
        <w:rPr>
          <w:rFonts w:ascii="Calibri" w:hAnsi="Calibri"/>
          <w:noProof/>
        </w:rPr>
        <w:t>2014, Australian Institute of Health and Welfare: Canberra.</w:t>
      </w:r>
      <w:bookmarkEnd w:id="30"/>
    </w:p>
    <w:p w14:paraId="437480F6" w14:textId="77777777" w:rsidR="00F65C59" w:rsidRDefault="00F65C59" w:rsidP="00F65C59">
      <w:pPr>
        <w:spacing w:after="0" w:line="240" w:lineRule="auto"/>
        <w:ind w:left="720" w:hanging="720"/>
        <w:rPr>
          <w:rFonts w:ascii="Calibri" w:hAnsi="Calibri"/>
          <w:noProof/>
        </w:rPr>
      </w:pPr>
      <w:bookmarkStart w:id="31" w:name="_ENREF_28"/>
      <w:r>
        <w:rPr>
          <w:rFonts w:ascii="Calibri" w:hAnsi="Calibri"/>
          <w:noProof/>
        </w:rPr>
        <w:t>28.</w:t>
      </w:r>
      <w:r>
        <w:rPr>
          <w:rFonts w:ascii="Calibri" w:hAnsi="Calibri"/>
          <w:noProof/>
        </w:rPr>
        <w:tab/>
        <w:t xml:space="preserve">Australian Institute of Health and Welfare, </w:t>
      </w:r>
      <w:r w:rsidRPr="00F65C59">
        <w:rPr>
          <w:rFonts w:ascii="Calibri" w:hAnsi="Calibri"/>
          <w:i/>
          <w:noProof/>
        </w:rPr>
        <w:t>Lung cancer in Australia: An overview</w:t>
      </w:r>
      <w:r>
        <w:rPr>
          <w:rFonts w:ascii="Calibri" w:hAnsi="Calibri"/>
          <w:noProof/>
        </w:rPr>
        <w:t xml:space="preserve">, in </w:t>
      </w:r>
      <w:r w:rsidRPr="00F65C59">
        <w:rPr>
          <w:rFonts w:ascii="Calibri" w:hAnsi="Calibri"/>
          <w:i/>
          <w:noProof/>
        </w:rPr>
        <w:t>AIHW Cancer Series</w:t>
      </w:r>
      <w:r>
        <w:rPr>
          <w:rFonts w:ascii="Calibri" w:hAnsi="Calibri"/>
          <w:noProof/>
        </w:rPr>
        <w:t>2011, Australian Institute of Health and Welfare &amp; Cancer Australia: Canberra.</w:t>
      </w:r>
      <w:bookmarkEnd w:id="31"/>
    </w:p>
    <w:p w14:paraId="67842E5D" w14:textId="77777777" w:rsidR="00F65C59" w:rsidRDefault="00F65C59" w:rsidP="00F65C59">
      <w:pPr>
        <w:spacing w:after="0" w:line="240" w:lineRule="auto"/>
        <w:ind w:left="720" w:hanging="720"/>
        <w:rPr>
          <w:rFonts w:ascii="Calibri" w:hAnsi="Calibri"/>
          <w:noProof/>
        </w:rPr>
      </w:pPr>
      <w:bookmarkStart w:id="32" w:name="_ENREF_29"/>
      <w:r>
        <w:rPr>
          <w:rFonts w:ascii="Calibri" w:hAnsi="Calibri"/>
          <w:noProof/>
        </w:rPr>
        <w:t>29.</w:t>
      </w:r>
      <w:r>
        <w:rPr>
          <w:rFonts w:ascii="Calibri" w:hAnsi="Calibri"/>
          <w:noProof/>
        </w:rPr>
        <w:tab/>
        <w:t xml:space="preserve">Ipsos Healthcare, </w:t>
      </w:r>
      <w:r w:rsidRPr="00F65C59">
        <w:rPr>
          <w:rFonts w:ascii="Calibri" w:hAnsi="Calibri"/>
          <w:i/>
          <w:noProof/>
        </w:rPr>
        <w:t>Ipsos Oncology Monitor - NSCLC</w:t>
      </w:r>
      <w:r>
        <w:rPr>
          <w:rFonts w:ascii="Calibri" w:hAnsi="Calibri"/>
          <w:noProof/>
        </w:rPr>
        <w:t>, 2014: Australia.</w:t>
      </w:r>
      <w:bookmarkEnd w:id="32"/>
    </w:p>
    <w:p w14:paraId="54F38D2F" w14:textId="486D0205" w:rsidR="00F65C59" w:rsidRDefault="00F65C59" w:rsidP="00F65C59">
      <w:pPr>
        <w:spacing w:after="0" w:line="240" w:lineRule="auto"/>
        <w:ind w:left="720" w:hanging="720"/>
        <w:rPr>
          <w:rFonts w:ascii="Calibri" w:hAnsi="Calibri"/>
          <w:noProof/>
        </w:rPr>
      </w:pPr>
      <w:bookmarkStart w:id="33" w:name="_ENREF_30"/>
      <w:r>
        <w:rPr>
          <w:rFonts w:ascii="Calibri" w:hAnsi="Calibri"/>
          <w:noProof/>
        </w:rPr>
        <w:t>30.</w:t>
      </w:r>
      <w:r>
        <w:rPr>
          <w:rFonts w:ascii="Calibri" w:hAnsi="Calibri"/>
          <w:noProof/>
        </w:rPr>
        <w:tab/>
        <w:t xml:space="preserve">Australian Government Department of Health. </w:t>
      </w:r>
      <w:r w:rsidRPr="00F65C59">
        <w:rPr>
          <w:rFonts w:ascii="Calibri" w:hAnsi="Calibri"/>
          <w:i/>
          <w:noProof/>
        </w:rPr>
        <w:t>Medicare Benefits Schedule EGFR mutation test listing</w:t>
      </w:r>
      <w:r>
        <w:rPr>
          <w:rFonts w:ascii="Calibri" w:hAnsi="Calibri"/>
          <w:noProof/>
        </w:rPr>
        <w:t xml:space="preserve">. 2015  16 April 2015]; Available from: </w:t>
      </w:r>
      <w:hyperlink r:id="rId35" w:history="1">
        <w:r w:rsidR="00CB1699">
          <w:rPr>
            <w:rStyle w:val="Hyperlink"/>
            <w:rFonts w:ascii="Calibri" w:hAnsi="Calibri"/>
            <w:noProof/>
          </w:rPr>
          <w:t>Australian Government Department of Health. Medicare Benefits Schedule EGFR mutation test listing.</w:t>
        </w:r>
      </w:hyperlink>
      <w:r>
        <w:rPr>
          <w:rFonts w:ascii="Calibri" w:hAnsi="Calibri"/>
          <w:noProof/>
        </w:rPr>
        <w:t xml:space="preserve"> </w:t>
      </w:r>
      <w:bookmarkEnd w:id="33"/>
    </w:p>
    <w:p w14:paraId="1E7C3764" w14:textId="5946F39F" w:rsidR="00F65C59" w:rsidRDefault="00F65C59" w:rsidP="00F65C59">
      <w:pPr>
        <w:spacing w:after="0" w:line="240" w:lineRule="auto"/>
        <w:ind w:left="720" w:hanging="720"/>
        <w:rPr>
          <w:rFonts w:ascii="Calibri" w:hAnsi="Calibri"/>
          <w:noProof/>
        </w:rPr>
      </w:pPr>
      <w:bookmarkStart w:id="34" w:name="_ENREF_31"/>
      <w:r>
        <w:rPr>
          <w:rFonts w:ascii="Calibri" w:hAnsi="Calibri"/>
          <w:noProof/>
        </w:rPr>
        <w:t>31.</w:t>
      </w:r>
      <w:r>
        <w:rPr>
          <w:rFonts w:ascii="Calibri" w:hAnsi="Calibri"/>
          <w:noProof/>
        </w:rPr>
        <w:tab/>
        <w:t xml:space="preserve">Australian Government Department of Health. </w:t>
      </w:r>
      <w:r w:rsidRPr="00F65C59">
        <w:rPr>
          <w:rFonts w:ascii="Calibri" w:hAnsi="Calibri"/>
          <w:i/>
          <w:noProof/>
        </w:rPr>
        <w:t>Pharmaceutical Benefits Scheme Gefitinib listing</w:t>
      </w:r>
      <w:r>
        <w:rPr>
          <w:rFonts w:ascii="Calibri" w:hAnsi="Calibri"/>
          <w:noProof/>
        </w:rPr>
        <w:t xml:space="preserve">. 2015  16 April 2015]; Available from: </w:t>
      </w:r>
      <w:hyperlink r:id="rId36" w:history="1">
        <w:r w:rsidR="00CB1699">
          <w:rPr>
            <w:rStyle w:val="Hyperlink"/>
            <w:rFonts w:ascii="Calibri" w:hAnsi="Calibri"/>
            <w:noProof/>
          </w:rPr>
          <w:t>Australian Government Department of Health. Pharmaceutical Benefits Scheme Gefitinib listing</w:t>
        </w:r>
      </w:hyperlink>
      <w:r>
        <w:rPr>
          <w:rFonts w:ascii="Calibri" w:hAnsi="Calibri"/>
          <w:noProof/>
        </w:rPr>
        <w:t xml:space="preserve"> </w:t>
      </w:r>
      <w:bookmarkEnd w:id="34"/>
    </w:p>
    <w:p w14:paraId="1E65BFB6" w14:textId="4FE7F31D" w:rsidR="00F65C59" w:rsidRDefault="00F65C59" w:rsidP="00F65C59">
      <w:pPr>
        <w:spacing w:after="0" w:line="240" w:lineRule="auto"/>
        <w:ind w:left="720" w:hanging="720"/>
        <w:rPr>
          <w:rFonts w:ascii="Calibri" w:hAnsi="Calibri"/>
          <w:noProof/>
        </w:rPr>
      </w:pPr>
      <w:bookmarkStart w:id="35" w:name="_ENREF_32"/>
      <w:r>
        <w:rPr>
          <w:rFonts w:ascii="Calibri" w:hAnsi="Calibri"/>
          <w:noProof/>
        </w:rPr>
        <w:t>32.</w:t>
      </w:r>
      <w:r>
        <w:rPr>
          <w:rFonts w:ascii="Calibri" w:hAnsi="Calibri"/>
          <w:noProof/>
        </w:rPr>
        <w:tab/>
        <w:t xml:space="preserve">Australian Government Department of Health. </w:t>
      </w:r>
      <w:r w:rsidRPr="00F65C59">
        <w:rPr>
          <w:rFonts w:ascii="Calibri" w:hAnsi="Calibri"/>
          <w:i/>
          <w:noProof/>
        </w:rPr>
        <w:t>Pharmaceutical Benefits Scheme Erlotinib listings</w:t>
      </w:r>
      <w:r>
        <w:rPr>
          <w:rFonts w:ascii="Calibri" w:hAnsi="Calibri"/>
          <w:noProof/>
        </w:rPr>
        <w:t xml:space="preserve">. 2015  16 April 2015]; Available from: </w:t>
      </w:r>
      <w:hyperlink r:id="rId37" w:history="1">
        <w:r w:rsidR="006E43D5">
          <w:rPr>
            <w:rStyle w:val="Hyperlink"/>
            <w:rFonts w:ascii="Calibri" w:hAnsi="Calibri"/>
            <w:noProof/>
          </w:rPr>
          <w:t>Australian Government Department of Health. Pharmaceutical Benefits Scheme Erlotinib listings</w:t>
        </w:r>
      </w:hyperlink>
      <w:r>
        <w:rPr>
          <w:rFonts w:ascii="Calibri" w:hAnsi="Calibri"/>
          <w:noProof/>
        </w:rPr>
        <w:t xml:space="preserve"> </w:t>
      </w:r>
      <w:bookmarkEnd w:id="35"/>
    </w:p>
    <w:p w14:paraId="40786E6D" w14:textId="77777777" w:rsidR="00F65C59" w:rsidRDefault="00F65C59" w:rsidP="00F65C59">
      <w:pPr>
        <w:spacing w:after="0" w:line="240" w:lineRule="auto"/>
        <w:ind w:left="720" w:hanging="720"/>
        <w:rPr>
          <w:rFonts w:ascii="Calibri" w:hAnsi="Calibri"/>
          <w:noProof/>
        </w:rPr>
      </w:pPr>
      <w:bookmarkStart w:id="36" w:name="_ENREF_33"/>
      <w:r>
        <w:rPr>
          <w:rFonts w:ascii="Calibri" w:hAnsi="Calibri"/>
          <w:noProof/>
        </w:rPr>
        <w:t>33.</w:t>
      </w:r>
      <w:r>
        <w:rPr>
          <w:rFonts w:ascii="Calibri" w:hAnsi="Calibri"/>
          <w:noProof/>
        </w:rPr>
        <w:tab/>
        <w:t xml:space="preserve">Pharmaceutical Benefits Advisory Committee, </w:t>
      </w:r>
      <w:r w:rsidRPr="00F65C59">
        <w:rPr>
          <w:rFonts w:ascii="Calibri" w:hAnsi="Calibri"/>
          <w:i/>
          <w:noProof/>
        </w:rPr>
        <w:t>Public Summary Document</w:t>
      </w:r>
      <w:r>
        <w:rPr>
          <w:rFonts w:ascii="Calibri" w:hAnsi="Calibri"/>
          <w:noProof/>
        </w:rPr>
        <w:t>, Australian Government Department of Health, Editor 2013, Australian Government Department of Health,: Canberra, Australia.</w:t>
      </w:r>
      <w:bookmarkEnd w:id="36"/>
    </w:p>
    <w:p w14:paraId="6731261C" w14:textId="77777777" w:rsidR="00F65C59" w:rsidRDefault="00F65C59" w:rsidP="00F65C59">
      <w:pPr>
        <w:spacing w:after="0" w:line="240" w:lineRule="auto"/>
        <w:ind w:left="720" w:hanging="720"/>
        <w:rPr>
          <w:rFonts w:ascii="Calibri" w:hAnsi="Calibri"/>
          <w:noProof/>
        </w:rPr>
      </w:pPr>
      <w:bookmarkStart w:id="37" w:name="_ENREF_34"/>
      <w:r>
        <w:rPr>
          <w:rFonts w:ascii="Calibri" w:hAnsi="Calibri"/>
          <w:noProof/>
        </w:rPr>
        <w:t>34.</w:t>
      </w:r>
      <w:r>
        <w:rPr>
          <w:rFonts w:ascii="Calibri" w:hAnsi="Calibri"/>
          <w:noProof/>
        </w:rPr>
        <w:tab/>
        <w:t xml:space="preserve">Kim, L. and M. Tsao, </w:t>
      </w:r>
      <w:r w:rsidRPr="00F65C59">
        <w:rPr>
          <w:rFonts w:ascii="Calibri" w:hAnsi="Calibri"/>
          <w:i/>
          <w:noProof/>
        </w:rPr>
        <w:t>Tumour tissue sampling for lung cancer management in the era of personalised therapy: what is good enough for molecular testing?</w:t>
      </w:r>
      <w:r>
        <w:rPr>
          <w:rFonts w:ascii="Calibri" w:hAnsi="Calibri"/>
          <w:noProof/>
        </w:rPr>
        <w:t xml:space="preserve"> European Respiratory Journal, 2014. </w:t>
      </w:r>
      <w:r w:rsidRPr="00F65C59">
        <w:rPr>
          <w:rFonts w:ascii="Calibri" w:hAnsi="Calibri"/>
          <w:b/>
          <w:noProof/>
        </w:rPr>
        <w:t>44</w:t>
      </w:r>
      <w:r>
        <w:rPr>
          <w:rFonts w:ascii="Calibri" w:hAnsi="Calibri"/>
          <w:noProof/>
        </w:rPr>
        <w:t>: p. 1011-1022.</w:t>
      </w:r>
      <w:bookmarkEnd w:id="37"/>
    </w:p>
    <w:p w14:paraId="638FEA32" w14:textId="77777777" w:rsidR="00F65C59" w:rsidRDefault="00F65C59" w:rsidP="00F65C59">
      <w:pPr>
        <w:spacing w:after="0" w:line="240" w:lineRule="auto"/>
        <w:ind w:left="720" w:hanging="720"/>
        <w:rPr>
          <w:rFonts w:ascii="Calibri" w:hAnsi="Calibri"/>
          <w:noProof/>
        </w:rPr>
      </w:pPr>
      <w:bookmarkStart w:id="38" w:name="_ENREF_35"/>
      <w:r>
        <w:rPr>
          <w:rFonts w:ascii="Calibri" w:hAnsi="Calibri"/>
          <w:noProof/>
        </w:rPr>
        <w:t>35.</w:t>
      </w:r>
      <w:r>
        <w:rPr>
          <w:rFonts w:ascii="Calibri" w:hAnsi="Calibri"/>
          <w:noProof/>
        </w:rPr>
        <w:tab/>
        <w:t xml:space="preserve">Lindeman, N., et al., </w:t>
      </w:r>
      <w:r w:rsidRPr="00F65C59">
        <w:rPr>
          <w:rFonts w:ascii="Calibri" w:hAnsi="Calibri"/>
          <w:i/>
          <w:noProof/>
        </w:rPr>
        <w:t>Molecular Testing Guideline for Selection of Lung Cancer Patients for EGFR and ALK Tyrosine Kinase Inhibitors Guideline from the College of American Pathologists, International Association for the  Study of Lung Cancer, and Association for Molecular Pathology.</w:t>
      </w:r>
      <w:r>
        <w:rPr>
          <w:rFonts w:ascii="Calibri" w:hAnsi="Calibri"/>
          <w:noProof/>
        </w:rPr>
        <w:t xml:space="preserve"> Journal of Thoracic Oncology, 2013. </w:t>
      </w:r>
      <w:r w:rsidRPr="00F65C59">
        <w:rPr>
          <w:rFonts w:ascii="Calibri" w:hAnsi="Calibri"/>
          <w:b/>
          <w:noProof/>
        </w:rPr>
        <w:t>8</w:t>
      </w:r>
      <w:r>
        <w:rPr>
          <w:rFonts w:ascii="Calibri" w:hAnsi="Calibri"/>
          <w:noProof/>
        </w:rPr>
        <w:t>(7): p. 823-859.</w:t>
      </w:r>
      <w:bookmarkEnd w:id="38"/>
    </w:p>
    <w:p w14:paraId="23185AD4" w14:textId="77777777" w:rsidR="00F65C59" w:rsidRDefault="00F65C59" w:rsidP="00F65C59">
      <w:pPr>
        <w:spacing w:after="0" w:line="240" w:lineRule="auto"/>
        <w:ind w:left="720" w:hanging="720"/>
        <w:rPr>
          <w:rFonts w:ascii="Calibri" w:hAnsi="Calibri"/>
          <w:noProof/>
        </w:rPr>
      </w:pPr>
      <w:bookmarkStart w:id="39" w:name="_ENREF_36"/>
      <w:r>
        <w:rPr>
          <w:rFonts w:ascii="Calibri" w:hAnsi="Calibri"/>
          <w:noProof/>
        </w:rPr>
        <w:t>36.</w:t>
      </w:r>
      <w:r>
        <w:rPr>
          <w:rFonts w:ascii="Calibri" w:hAnsi="Calibri"/>
          <w:noProof/>
        </w:rPr>
        <w:tab/>
        <w:t xml:space="preserve">Pirker, R., et al., </w:t>
      </w:r>
      <w:r w:rsidRPr="00F65C59">
        <w:rPr>
          <w:rFonts w:ascii="Calibri" w:hAnsi="Calibri"/>
          <w:i/>
          <w:noProof/>
        </w:rPr>
        <w:t>Consensus for EGFR mutation testing in non-small cell lung cancer: results from a European workshop.</w:t>
      </w:r>
      <w:r>
        <w:rPr>
          <w:rFonts w:ascii="Calibri" w:hAnsi="Calibri"/>
          <w:noProof/>
        </w:rPr>
        <w:t xml:space="preserve"> Journal of Thoracic Oncology, 2010. </w:t>
      </w:r>
      <w:r w:rsidRPr="00F65C59">
        <w:rPr>
          <w:rFonts w:ascii="Calibri" w:hAnsi="Calibri"/>
          <w:b/>
          <w:noProof/>
        </w:rPr>
        <w:t>5</w:t>
      </w:r>
      <w:r>
        <w:rPr>
          <w:rFonts w:ascii="Calibri" w:hAnsi="Calibri"/>
          <w:noProof/>
        </w:rPr>
        <w:t>(10): p. 1706-13.</w:t>
      </w:r>
      <w:bookmarkEnd w:id="39"/>
    </w:p>
    <w:p w14:paraId="7861489C" w14:textId="77777777" w:rsidR="00F65C59" w:rsidRDefault="00F65C59" w:rsidP="00F65C59">
      <w:pPr>
        <w:spacing w:after="0" w:line="240" w:lineRule="auto"/>
        <w:ind w:left="720" w:hanging="720"/>
        <w:rPr>
          <w:rFonts w:ascii="Calibri" w:hAnsi="Calibri"/>
          <w:noProof/>
        </w:rPr>
      </w:pPr>
      <w:bookmarkStart w:id="40" w:name="_ENREF_37"/>
      <w:r>
        <w:rPr>
          <w:rFonts w:ascii="Calibri" w:hAnsi="Calibri"/>
          <w:noProof/>
        </w:rPr>
        <w:t>37.</w:t>
      </w:r>
      <w:r>
        <w:rPr>
          <w:rFonts w:ascii="Calibri" w:hAnsi="Calibri"/>
          <w:noProof/>
        </w:rPr>
        <w:tab/>
        <w:t xml:space="preserve">Leighl, N., et al., </w:t>
      </w:r>
      <w:r w:rsidRPr="00F65C59">
        <w:rPr>
          <w:rFonts w:ascii="Calibri" w:hAnsi="Calibri"/>
          <w:i/>
          <w:noProof/>
        </w:rPr>
        <w:t>Molecular Testing for Selection of Patients With Lung Cancer for Epidermal Growth Factor Receptor and Anaplastic Lymphoma Kinase Tyrosine Kinase Inhibitors: American Society of Clinical Oncology Endorsement of the College of American Pathologists/International Association for the Study of Lung Cancer/Association for Molecular Pathology Guideline.</w:t>
      </w:r>
      <w:r>
        <w:rPr>
          <w:rFonts w:ascii="Calibri" w:hAnsi="Calibri"/>
          <w:noProof/>
        </w:rPr>
        <w:t xml:space="preserve"> Journal of Clinical Oncology, 2014. </w:t>
      </w:r>
      <w:r w:rsidRPr="00F65C59">
        <w:rPr>
          <w:rFonts w:ascii="Calibri" w:hAnsi="Calibri"/>
          <w:b/>
          <w:noProof/>
        </w:rPr>
        <w:t>32</w:t>
      </w:r>
      <w:r>
        <w:rPr>
          <w:rFonts w:ascii="Calibri" w:hAnsi="Calibri"/>
          <w:noProof/>
        </w:rPr>
        <w:t>(32): p. 3673-3679.</w:t>
      </w:r>
      <w:bookmarkEnd w:id="40"/>
    </w:p>
    <w:p w14:paraId="472B8175" w14:textId="77777777" w:rsidR="00F65C59" w:rsidRDefault="00F65C59" w:rsidP="00F65C59">
      <w:pPr>
        <w:spacing w:after="0" w:line="240" w:lineRule="auto"/>
        <w:ind w:left="720" w:hanging="720"/>
        <w:rPr>
          <w:rFonts w:ascii="Calibri" w:hAnsi="Calibri"/>
          <w:noProof/>
        </w:rPr>
      </w:pPr>
      <w:bookmarkStart w:id="41" w:name="_ENREF_38"/>
      <w:r>
        <w:rPr>
          <w:rFonts w:ascii="Calibri" w:hAnsi="Calibri"/>
          <w:noProof/>
        </w:rPr>
        <w:t>38.</w:t>
      </w:r>
      <w:r>
        <w:rPr>
          <w:rFonts w:ascii="Calibri" w:hAnsi="Calibri"/>
          <w:noProof/>
        </w:rPr>
        <w:tab/>
        <w:t xml:space="preserve">Medical Services Advisory Committee, </w:t>
      </w:r>
      <w:r w:rsidRPr="00F65C59">
        <w:rPr>
          <w:rFonts w:ascii="Calibri" w:hAnsi="Calibri"/>
          <w:i/>
          <w:noProof/>
        </w:rPr>
        <w:t>Public Summary Document.  Application No. 1161 – Gefitinib first line testing for mutations of epidermal growth factor receptor (EGFR) in patients with metastatic non-small cell lung cancer (NSCLC).</w:t>
      </w:r>
      <w:r>
        <w:rPr>
          <w:rFonts w:ascii="Calibri" w:hAnsi="Calibri"/>
          <w:noProof/>
        </w:rPr>
        <w:t xml:space="preserve"> 2013.</w:t>
      </w:r>
      <w:bookmarkEnd w:id="41"/>
    </w:p>
    <w:p w14:paraId="6B1237D9" w14:textId="77777777" w:rsidR="00F65C59" w:rsidRDefault="00F65C59" w:rsidP="00F65C59">
      <w:pPr>
        <w:spacing w:after="0" w:line="240" w:lineRule="auto"/>
        <w:ind w:left="720" w:hanging="720"/>
        <w:rPr>
          <w:rFonts w:ascii="Calibri" w:hAnsi="Calibri"/>
          <w:noProof/>
        </w:rPr>
      </w:pPr>
      <w:bookmarkStart w:id="42" w:name="_ENREF_39"/>
      <w:r>
        <w:rPr>
          <w:rFonts w:ascii="Calibri" w:hAnsi="Calibri"/>
          <w:noProof/>
        </w:rPr>
        <w:lastRenderedPageBreak/>
        <w:t>39.</w:t>
      </w:r>
      <w:r>
        <w:rPr>
          <w:rFonts w:ascii="Calibri" w:hAnsi="Calibri"/>
          <w:noProof/>
        </w:rPr>
        <w:tab/>
        <w:t xml:space="preserve">O'Donnell, P., et al., </w:t>
      </w:r>
      <w:r w:rsidRPr="00F65C59">
        <w:rPr>
          <w:rFonts w:ascii="Calibri" w:hAnsi="Calibri"/>
          <w:i/>
          <w:noProof/>
        </w:rPr>
        <w:t>Analytic performance studies and clinical reproducibility of a real-time PCR assay for the detection of epidermal growth factor receptor gene mutations in formalin-fixed paraffin-embedded tissue specimens of non-small cell lung cancer.</w:t>
      </w:r>
      <w:r>
        <w:rPr>
          <w:rFonts w:ascii="Calibri" w:hAnsi="Calibri"/>
          <w:noProof/>
        </w:rPr>
        <w:t xml:space="preserve"> BioMed Central (BMC) Cancer, 2013. </w:t>
      </w:r>
      <w:r w:rsidRPr="00F65C59">
        <w:rPr>
          <w:rFonts w:ascii="Calibri" w:hAnsi="Calibri"/>
          <w:b/>
          <w:noProof/>
        </w:rPr>
        <w:t>13</w:t>
      </w:r>
      <w:r>
        <w:rPr>
          <w:rFonts w:ascii="Calibri" w:hAnsi="Calibri"/>
          <w:noProof/>
        </w:rPr>
        <w:t>: p. 210.</w:t>
      </w:r>
      <w:bookmarkEnd w:id="42"/>
    </w:p>
    <w:p w14:paraId="34F57193" w14:textId="77777777" w:rsidR="00F65C59" w:rsidRDefault="00F65C59" w:rsidP="00F65C59">
      <w:pPr>
        <w:spacing w:after="0" w:line="240" w:lineRule="auto"/>
        <w:ind w:left="720" w:hanging="720"/>
        <w:rPr>
          <w:rFonts w:ascii="Calibri" w:hAnsi="Calibri"/>
          <w:noProof/>
        </w:rPr>
      </w:pPr>
      <w:bookmarkStart w:id="43" w:name="_ENREF_40"/>
      <w:r>
        <w:rPr>
          <w:rFonts w:ascii="Calibri" w:hAnsi="Calibri"/>
          <w:noProof/>
        </w:rPr>
        <w:t>40.</w:t>
      </w:r>
      <w:r>
        <w:rPr>
          <w:rFonts w:ascii="Calibri" w:hAnsi="Calibri"/>
          <w:noProof/>
        </w:rPr>
        <w:tab/>
        <w:t xml:space="preserve">Therapeutic Goods Administration, </w:t>
      </w:r>
      <w:r w:rsidRPr="00F65C59">
        <w:rPr>
          <w:rFonts w:ascii="Calibri" w:hAnsi="Calibri"/>
          <w:i/>
          <w:noProof/>
        </w:rPr>
        <w:t>Public Summary for ARTG Entry 194319 Roche Diagnostics Australia</w:t>
      </w:r>
      <w:r>
        <w:rPr>
          <w:rFonts w:ascii="Calibri" w:hAnsi="Calibri"/>
          <w:noProof/>
        </w:rPr>
        <w:t>, Australian Government Department of Health, Editor 2014: Canberra, Australia.</w:t>
      </w:r>
      <w:bookmarkEnd w:id="43"/>
    </w:p>
    <w:p w14:paraId="4712E40D" w14:textId="77777777" w:rsidR="00F65C59" w:rsidRDefault="00F65C59" w:rsidP="00F65C59">
      <w:pPr>
        <w:spacing w:after="0" w:line="240" w:lineRule="auto"/>
        <w:ind w:left="720" w:hanging="720"/>
        <w:rPr>
          <w:rFonts w:ascii="Calibri" w:hAnsi="Calibri"/>
          <w:noProof/>
        </w:rPr>
      </w:pPr>
      <w:bookmarkStart w:id="44" w:name="_ENREF_41"/>
      <w:r>
        <w:rPr>
          <w:rFonts w:ascii="Calibri" w:hAnsi="Calibri"/>
          <w:noProof/>
        </w:rPr>
        <w:t>41.</w:t>
      </w:r>
      <w:r>
        <w:rPr>
          <w:rFonts w:ascii="Calibri" w:hAnsi="Calibri"/>
          <w:noProof/>
        </w:rPr>
        <w:tab/>
        <w:t xml:space="preserve">Murtaza, M., et al., </w:t>
      </w:r>
      <w:r w:rsidRPr="00F65C59">
        <w:rPr>
          <w:rFonts w:ascii="Calibri" w:hAnsi="Calibri"/>
          <w:i/>
          <w:noProof/>
        </w:rPr>
        <w:t>Non-invasive analysis of acquired resistance to cancer therapy by sequencing of plasma DNA.</w:t>
      </w:r>
      <w:r>
        <w:rPr>
          <w:rFonts w:ascii="Calibri" w:hAnsi="Calibri"/>
          <w:noProof/>
        </w:rPr>
        <w:t xml:space="preserve"> Nature  2013. </w:t>
      </w:r>
      <w:r w:rsidRPr="00F65C59">
        <w:rPr>
          <w:rFonts w:ascii="Calibri" w:hAnsi="Calibri"/>
          <w:b/>
          <w:noProof/>
        </w:rPr>
        <w:t>497</w:t>
      </w:r>
      <w:r>
        <w:rPr>
          <w:rFonts w:ascii="Calibri" w:hAnsi="Calibri"/>
          <w:noProof/>
        </w:rPr>
        <w:t>(2 May 2013): p. 108-112.</w:t>
      </w:r>
      <w:bookmarkEnd w:id="44"/>
    </w:p>
    <w:p w14:paraId="3AC3A3C9" w14:textId="77777777" w:rsidR="00F65C59" w:rsidRDefault="00F65C59" w:rsidP="00F65C59">
      <w:pPr>
        <w:spacing w:after="0" w:line="240" w:lineRule="auto"/>
        <w:ind w:left="720" w:hanging="720"/>
        <w:rPr>
          <w:rFonts w:ascii="Calibri" w:hAnsi="Calibri"/>
          <w:noProof/>
        </w:rPr>
      </w:pPr>
      <w:bookmarkStart w:id="45" w:name="_ENREF_42"/>
      <w:r>
        <w:rPr>
          <w:rFonts w:ascii="Calibri" w:hAnsi="Calibri"/>
          <w:noProof/>
        </w:rPr>
        <w:t>42.</w:t>
      </w:r>
      <w:r>
        <w:rPr>
          <w:rFonts w:ascii="Calibri" w:hAnsi="Calibri"/>
          <w:noProof/>
        </w:rPr>
        <w:tab/>
        <w:t xml:space="preserve">Protocol Advisory Sub-Committee, </w:t>
      </w:r>
      <w:r w:rsidRPr="00F65C59">
        <w:rPr>
          <w:rFonts w:ascii="Calibri" w:hAnsi="Calibri"/>
          <w:i/>
          <w:noProof/>
        </w:rPr>
        <w:t>MSAC Application 1161: Final Decision Analytic Protocol (DAP) to guide the assessment of testing for mutations in the epidermal growth factor receptor (EGFR) gene in patients with locally advanced or metastatic non small cell lung cancer (NSCLC) to determine eligibility for subsidised gefitinib</w:t>
      </w:r>
      <w:r>
        <w:rPr>
          <w:rFonts w:ascii="Calibri" w:hAnsi="Calibri"/>
          <w:noProof/>
        </w:rPr>
        <w:t>, Australian Government Department of Health, Editor 2011.</w:t>
      </w:r>
      <w:bookmarkEnd w:id="45"/>
    </w:p>
    <w:p w14:paraId="7E6F206B" w14:textId="77777777" w:rsidR="00F65C59" w:rsidRDefault="00F65C59" w:rsidP="00F65C59">
      <w:pPr>
        <w:spacing w:after="0" w:line="240" w:lineRule="auto"/>
        <w:ind w:left="720" w:hanging="720"/>
        <w:rPr>
          <w:rFonts w:ascii="Calibri" w:hAnsi="Calibri"/>
          <w:noProof/>
        </w:rPr>
      </w:pPr>
      <w:bookmarkStart w:id="46" w:name="_ENREF_43"/>
      <w:r>
        <w:rPr>
          <w:rFonts w:ascii="Calibri" w:hAnsi="Calibri"/>
          <w:noProof/>
        </w:rPr>
        <w:t>43.</w:t>
      </w:r>
      <w:r>
        <w:rPr>
          <w:rFonts w:ascii="Calibri" w:hAnsi="Calibri"/>
          <w:noProof/>
        </w:rPr>
        <w:tab/>
        <w:t xml:space="preserve">Jekunen, A., </w:t>
      </w:r>
      <w:r w:rsidRPr="00F65C59">
        <w:rPr>
          <w:rFonts w:ascii="Calibri" w:hAnsi="Calibri"/>
          <w:i/>
          <w:noProof/>
        </w:rPr>
        <w:t>Role of Rebiopsy in Relapsed Non-Small Cell Lung Cancer for Directing Oncology Treatments.</w:t>
      </w:r>
      <w:r>
        <w:rPr>
          <w:rFonts w:ascii="Calibri" w:hAnsi="Calibri"/>
          <w:noProof/>
        </w:rPr>
        <w:t xml:space="preserve"> Journal Of Oncology, 2015. </w:t>
      </w:r>
      <w:r w:rsidRPr="00F65C59">
        <w:rPr>
          <w:rFonts w:ascii="Calibri" w:hAnsi="Calibri"/>
          <w:b/>
          <w:noProof/>
        </w:rPr>
        <w:t>2015</w:t>
      </w:r>
      <w:r>
        <w:rPr>
          <w:rFonts w:ascii="Calibri" w:hAnsi="Calibri"/>
          <w:noProof/>
        </w:rPr>
        <w:t>(Article ID 809835).</w:t>
      </w:r>
      <w:bookmarkEnd w:id="46"/>
    </w:p>
    <w:p w14:paraId="083BB73D" w14:textId="77777777" w:rsidR="00F65C59" w:rsidRDefault="00F65C59" w:rsidP="00F65C59">
      <w:pPr>
        <w:spacing w:after="0" w:line="240" w:lineRule="auto"/>
        <w:ind w:left="720" w:hanging="720"/>
        <w:rPr>
          <w:rFonts w:ascii="Calibri" w:hAnsi="Calibri"/>
          <w:noProof/>
        </w:rPr>
      </w:pPr>
      <w:bookmarkStart w:id="47" w:name="_ENREF_44"/>
      <w:r>
        <w:rPr>
          <w:rFonts w:ascii="Calibri" w:hAnsi="Calibri"/>
          <w:noProof/>
        </w:rPr>
        <w:t>44.</w:t>
      </w:r>
      <w:r>
        <w:rPr>
          <w:rFonts w:ascii="Calibri" w:hAnsi="Calibri"/>
          <w:noProof/>
        </w:rPr>
        <w:tab/>
        <w:t xml:space="preserve">Yoon, H.-J., et al., </w:t>
      </w:r>
      <w:r w:rsidRPr="00F65C59">
        <w:rPr>
          <w:rFonts w:ascii="Calibri" w:hAnsi="Calibri"/>
          <w:i/>
          <w:noProof/>
        </w:rPr>
        <w:t>Repeat Biopsy for Mutational Analysis of Non-Small Cell Lung Cancers Resistant to Previous Chemotherapy: Adequacy and Complications.</w:t>
      </w:r>
      <w:r>
        <w:rPr>
          <w:rFonts w:ascii="Calibri" w:hAnsi="Calibri"/>
          <w:noProof/>
        </w:rPr>
        <w:t xml:space="preserve"> Radiology, 2012. </w:t>
      </w:r>
      <w:r w:rsidRPr="00F65C59">
        <w:rPr>
          <w:rFonts w:ascii="Calibri" w:hAnsi="Calibri"/>
          <w:b/>
          <w:noProof/>
        </w:rPr>
        <w:t>265</w:t>
      </w:r>
      <w:r>
        <w:rPr>
          <w:rFonts w:ascii="Calibri" w:hAnsi="Calibri"/>
          <w:noProof/>
        </w:rPr>
        <w:t>(3): p. 939-948.</w:t>
      </w:r>
      <w:bookmarkEnd w:id="47"/>
    </w:p>
    <w:p w14:paraId="75F15721" w14:textId="77777777" w:rsidR="00F65C59" w:rsidRDefault="00F65C59" w:rsidP="00F65C59">
      <w:pPr>
        <w:spacing w:after="0" w:line="240" w:lineRule="auto"/>
        <w:ind w:left="720" w:hanging="720"/>
        <w:rPr>
          <w:rFonts w:ascii="Calibri" w:hAnsi="Calibri"/>
          <w:noProof/>
        </w:rPr>
      </w:pPr>
      <w:bookmarkStart w:id="48" w:name="_ENREF_45"/>
      <w:r>
        <w:rPr>
          <w:rFonts w:ascii="Calibri" w:hAnsi="Calibri"/>
          <w:noProof/>
        </w:rPr>
        <w:t>45.</w:t>
      </w:r>
      <w:r>
        <w:rPr>
          <w:rFonts w:ascii="Calibri" w:hAnsi="Calibri"/>
          <w:noProof/>
        </w:rPr>
        <w:tab/>
        <w:t xml:space="preserve">Bepler, G., et al., </w:t>
      </w:r>
      <w:r w:rsidRPr="00F65C59">
        <w:rPr>
          <w:rFonts w:ascii="Calibri" w:hAnsi="Calibri"/>
          <w:i/>
          <w:noProof/>
        </w:rPr>
        <w:t>Randomized International Phase III Trial of ERCC1 and RRM1 Expression–Based Chemotherapy Versus Gemcitabine/Carboplatin in Advanced Non–Small-Cell Lung Cancer.</w:t>
      </w:r>
      <w:r>
        <w:rPr>
          <w:rFonts w:ascii="Calibri" w:hAnsi="Calibri"/>
          <w:noProof/>
        </w:rPr>
        <w:t xml:space="preserve"> Journal of Clinical Oncology, 2013. </w:t>
      </w:r>
      <w:r w:rsidRPr="00F65C59">
        <w:rPr>
          <w:rFonts w:ascii="Calibri" w:hAnsi="Calibri"/>
          <w:b/>
          <w:noProof/>
        </w:rPr>
        <w:t>31</w:t>
      </w:r>
      <w:r>
        <w:rPr>
          <w:rFonts w:ascii="Calibri" w:hAnsi="Calibri"/>
          <w:noProof/>
        </w:rPr>
        <w:t>(19): p. 2404-2412.</w:t>
      </w:r>
      <w:bookmarkEnd w:id="48"/>
    </w:p>
    <w:p w14:paraId="46A88121" w14:textId="1E908BC5" w:rsidR="00F65C59" w:rsidRDefault="00F65C59" w:rsidP="00F65C59">
      <w:pPr>
        <w:spacing w:after="0" w:line="240" w:lineRule="auto"/>
        <w:ind w:left="720" w:hanging="720"/>
        <w:rPr>
          <w:rFonts w:ascii="Calibri" w:hAnsi="Calibri"/>
          <w:noProof/>
        </w:rPr>
      </w:pPr>
      <w:bookmarkStart w:id="49" w:name="_ENREF_46"/>
      <w:r>
        <w:rPr>
          <w:rFonts w:ascii="Calibri" w:hAnsi="Calibri"/>
          <w:noProof/>
        </w:rPr>
        <w:t>46.</w:t>
      </w:r>
      <w:r>
        <w:rPr>
          <w:rFonts w:ascii="Calibri" w:hAnsi="Calibri"/>
          <w:noProof/>
        </w:rPr>
        <w:tab/>
        <w:t xml:space="preserve">Medical Benefits Scheme. </w:t>
      </w:r>
      <w:r w:rsidRPr="00F65C59">
        <w:rPr>
          <w:rFonts w:ascii="Calibri" w:hAnsi="Calibri"/>
          <w:i/>
          <w:noProof/>
        </w:rPr>
        <w:t>MBS On-line</w:t>
      </w:r>
      <w:r>
        <w:rPr>
          <w:rFonts w:ascii="Calibri" w:hAnsi="Calibri"/>
          <w:noProof/>
        </w:rPr>
        <w:t xml:space="preserve">.  08-06-2015]; Available from: </w:t>
      </w:r>
      <w:hyperlink r:id="rId38" w:history="1">
        <w:r w:rsidR="006E43D5">
          <w:rPr>
            <w:rStyle w:val="Hyperlink"/>
            <w:rFonts w:ascii="Calibri" w:hAnsi="Calibri"/>
            <w:noProof/>
          </w:rPr>
          <w:t>Medical Benefits Scheme. MBS On-line</w:t>
        </w:r>
      </w:hyperlink>
      <w:r>
        <w:rPr>
          <w:rFonts w:ascii="Calibri" w:hAnsi="Calibri"/>
          <w:noProof/>
        </w:rPr>
        <w:t xml:space="preserve"> </w:t>
      </w:r>
      <w:bookmarkEnd w:id="49"/>
    </w:p>
    <w:p w14:paraId="496E9772" w14:textId="77777777" w:rsidR="00F65C59" w:rsidRDefault="00F65C59" w:rsidP="00F65C59">
      <w:pPr>
        <w:spacing w:after="0" w:line="240" w:lineRule="auto"/>
        <w:ind w:left="720" w:hanging="720"/>
        <w:rPr>
          <w:rFonts w:ascii="Calibri" w:hAnsi="Calibri"/>
          <w:noProof/>
        </w:rPr>
      </w:pPr>
      <w:bookmarkStart w:id="50" w:name="_ENREF_47"/>
      <w:r>
        <w:rPr>
          <w:rFonts w:ascii="Calibri" w:hAnsi="Calibri"/>
          <w:noProof/>
        </w:rPr>
        <w:t>47.</w:t>
      </w:r>
      <w:r>
        <w:rPr>
          <w:rFonts w:ascii="Calibri" w:hAnsi="Calibri"/>
          <w:noProof/>
        </w:rPr>
        <w:tab/>
        <w:t xml:space="preserve">Peters, S., et al., </w:t>
      </w:r>
      <w:r w:rsidRPr="00F65C59">
        <w:rPr>
          <w:rFonts w:ascii="Calibri" w:hAnsi="Calibri"/>
          <w:i/>
          <w:noProof/>
        </w:rPr>
        <w:t>Metastatic non-small-cell lung cancer (NSCLC): ESMO Clinical Practice Guidelines for diagnosis, treatment and follow-up.</w:t>
      </w:r>
      <w:r>
        <w:rPr>
          <w:rFonts w:ascii="Calibri" w:hAnsi="Calibri"/>
          <w:noProof/>
        </w:rPr>
        <w:t xml:space="preserve"> Annals of Oncology, 2012. </w:t>
      </w:r>
      <w:r w:rsidRPr="00F65C59">
        <w:rPr>
          <w:rFonts w:ascii="Calibri" w:hAnsi="Calibri"/>
          <w:b/>
          <w:noProof/>
        </w:rPr>
        <w:t>23</w:t>
      </w:r>
      <w:r>
        <w:rPr>
          <w:rFonts w:ascii="Calibri" w:hAnsi="Calibri"/>
          <w:noProof/>
        </w:rPr>
        <w:t>(suppl 7): p. vii56-vii64.</w:t>
      </w:r>
      <w:bookmarkEnd w:id="50"/>
    </w:p>
    <w:p w14:paraId="32B4BCB1" w14:textId="6AFA6DB8" w:rsidR="00F65C59" w:rsidRDefault="00F65C59" w:rsidP="00F65C59">
      <w:pPr>
        <w:spacing w:after="0" w:line="240" w:lineRule="auto"/>
        <w:ind w:left="720" w:hanging="720"/>
        <w:rPr>
          <w:rFonts w:ascii="Calibri" w:hAnsi="Calibri"/>
          <w:noProof/>
        </w:rPr>
      </w:pPr>
      <w:bookmarkStart w:id="51" w:name="_ENREF_48"/>
      <w:r>
        <w:rPr>
          <w:rFonts w:ascii="Calibri" w:hAnsi="Calibri"/>
          <w:noProof/>
        </w:rPr>
        <w:t>48.</w:t>
      </w:r>
      <w:r>
        <w:rPr>
          <w:rFonts w:ascii="Calibri" w:hAnsi="Calibri"/>
          <w:noProof/>
        </w:rPr>
        <w:tab/>
      </w:r>
      <w:r w:rsidR="00226FD8">
        <w:rPr>
          <w:rFonts w:ascii="Calibri" w:hAnsi="Calibri"/>
          <w:noProof/>
        </w:rPr>
        <w:t xml:space="preserve">Keedy </w:t>
      </w:r>
      <w:r>
        <w:rPr>
          <w:rFonts w:ascii="Calibri" w:hAnsi="Calibri"/>
          <w:noProof/>
        </w:rPr>
        <w:t xml:space="preserve">VL, et al., </w:t>
      </w:r>
      <w:r w:rsidRPr="00F65C59">
        <w:rPr>
          <w:rFonts w:ascii="Calibri" w:hAnsi="Calibri"/>
          <w:i/>
          <w:noProof/>
        </w:rPr>
        <w:t>American Society of Clinical Oncology Provisional Clinical Opinion: Epidermal Growth Factor Receptor (EGFR) Mutation Testing for Patients With Advanced Non–Small-Cell Lung Cancer Considering First-Line EGFR Tyrosine Kinase Inhibitor Therapy.</w:t>
      </w:r>
      <w:r>
        <w:rPr>
          <w:rFonts w:ascii="Calibri" w:hAnsi="Calibri"/>
          <w:noProof/>
        </w:rPr>
        <w:t xml:space="preserve"> Journal of Clinical Oncology, 2011. </w:t>
      </w:r>
      <w:r w:rsidRPr="00F65C59">
        <w:rPr>
          <w:rFonts w:ascii="Calibri" w:hAnsi="Calibri"/>
          <w:b/>
          <w:noProof/>
        </w:rPr>
        <w:t>29</w:t>
      </w:r>
      <w:r>
        <w:rPr>
          <w:rFonts w:ascii="Calibri" w:hAnsi="Calibri"/>
          <w:noProof/>
        </w:rPr>
        <w:t>: p. 2121-2127.</w:t>
      </w:r>
      <w:bookmarkEnd w:id="51"/>
    </w:p>
    <w:p w14:paraId="5AB7A8B1" w14:textId="77777777" w:rsidR="00F65C59" w:rsidRDefault="00F65C59" w:rsidP="00F65C59">
      <w:pPr>
        <w:spacing w:after="0" w:line="240" w:lineRule="auto"/>
        <w:ind w:left="720" w:hanging="720"/>
        <w:rPr>
          <w:rFonts w:ascii="Calibri" w:hAnsi="Calibri"/>
          <w:noProof/>
        </w:rPr>
      </w:pPr>
      <w:bookmarkStart w:id="52" w:name="_ENREF_49"/>
      <w:r>
        <w:rPr>
          <w:rFonts w:ascii="Calibri" w:hAnsi="Calibri"/>
          <w:noProof/>
        </w:rPr>
        <w:t>49.</w:t>
      </w:r>
      <w:r>
        <w:rPr>
          <w:rFonts w:ascii="Calibri" w:hAnsi="Calibri"/>
          <w:noProof/>
        </w:rPr>
        <w:tab/>
      </w:r>
      <w:r w:rsidRPr="00F65C59">
        <w:rPr>
          <w:rFonts w:ascii="Calibri" w:hAnsi="Calibri"/>
          <w:i/>
          <w:noProof/>
        </w:rPr>
        <w:t>Overview of the new regulatory framework for in vitro diagnostic medical devices (IVDs)</w:t>
      </w:r>
      <w:r>
        <w:rPr>
          <w:rFonts w:ascii="Calibri" w:hAnsi="Calibri"/>
          <w:noProof/>
        </w:rPr>
        <w:t>, 2009, Therapeutic Goods Administration.</w:t>
      </w:r>
      <w:bookmarkEnd w:id="52"/>
    </w:p>
    <w:p w14:paraId="52CF78B3" w14:textId="77777777" w:rsidR="00F65C59" w:rsidRDefault="00F65C59" w:rsidP="00F65C59">
      <w:pPr>
        <w:spacing w:after="0" w:line="240" w:lineRule="auto"/>
        <w:ind w:left="720" w:hanging="720"/>
        <w:rPr>
          <w:rFonts w:ascii="Calibri" w:hAnsi="Calibri"/>
          <w:noProof/>
        </w:rPr>
      </w:pPr>
      <w:bookmarkStart w:id="53" w:name="_ENREF_50"/>
      <w:r>
        <w:rPr>
          <w:rFonts w:ascii="Calibri" w:hAnsi="Calibri"/>
          <w:noProof/>
        </w:rPr>
        <w:t>50.</w:t>
      </w:r>
      <w:r>
        <w:rPr>
          <w:rFonts w:ascii="Calibri" w:hAnsi="Calibri"/>
          <w:noProof/>
        </w:rPr>
        <w:tab/>
        <w:t xml:space="preserve">Food and Drug Administration, </w:t>
      </w:r>
      <w:r w:rsidRPr="00F65C59">
        <w:rPr>
          <w:rFonts w:ascii="Calibri" w:hAnsi="Calibri"/>
          <w:i/>
          <w:noProof/>
        </w:rPr>
        <w:t xml:space="preserve">Grant - Breakthrough Therapy Designation </w:t>
      </w:r>
      <w:r>
        <w:rPr>
          <w:rFonts w:ascii="Calibri" w:hAnsi="Calibri"/>
          <w:noProof/>
        </w:rPr>
        <w:t>Department of Health and Human Services, Editor 2014: Silver Spring MD.</w:t>
      </w:r>
      <w:bookmarkEnd w:id="53"/>
    </w:p>
    <w:p w14:paraId="7C56422A" w14:textId="77777777" w:rsidR="00F65C59" w:rsidRDefault="00F65C59" w:rsidP="00F65C59">
      <w:pPr>
        <w:spacing w:after="0" w:line="240" w:lineRule="auto"/>
        <w:ind w:left="720" w:hanging="720"/>
        <w:rPr>
          <w:rFonts w:ascii="Calibri" w:hAnsi="Calibri"/>
          <w:noProof/>
        </w:rPr>
      </w:pPr>
      <w:bookmarkStart w:id="54" w:name="_ENREF_51"/>
      <w:r>
        <w:rPr>
          <w:rFonts w:ascii="Calibri" w:hAnsi="Calibri"/>
          <w:noProof/>
        </w:rPr>
        <w:t>51.</w:t>
      </w:r>
      <w:r>
        <w:rPr>
          <w:rFonts w:ascii="Calibri" w:hAnsi="Calibri"/>
          <w:noProof/>
        </w:rPr>
        <w:tab/>
        <w:t xml:space="preserve">Eisenhauer, E., et al., </w:t>
      </w:r>
      <w:r w:rsidRPr="00F65C59">
        <w:rPr>
          <w:rFonts w:ascii="Calibri" w:hAnsi="Calibri"/>
          <w:i/>
          <w:noProof/>
        </w:rPr>
        <w:t>New response evaluation criteria in solid tumours: Revised RECIST guideline (version 1.1).</w:t>
      </w:r>
      <w:r>
        <w:rPr>
          <w:rFonts w:ascii="Calibri" w:hAnsi="Calibri"/>
          <w:noProof/>
        </w:rPr>
        <w:t xml:space="preserve"> European Journal of Cancer, 2009. </w:t>
      </w:r>
      <w:r w:rsidRPr="00F65C59">
        <w:rPr>
          <w:rFonts w:ascii="Calibri" w:hAnsi="Calibri"/>
          <w:b/>
          <w:noProof/>
        </w:rPr>
        <w:t>45</w:t>
      </w:r>
      <w:r>
        <w:rPr>
          <w:rFonts w:ascii="Calibri" w:hAnsi="Calibri"/>
          <w:noProof/>
        </w:rPr>
        <w:t>: p. 228-247.</w:t>
      </w:r>
      <w:bookmarkEnd w:id="54"/>
    </w:p>
    <w:p w14:paraId="14354EFB" w14:textId="172AF87F" w:rsidR="00F65C59" w:rsidRDefault="00F65C59" w:rsidP="00F65C59">
      <w:pPr>
        <w:spacing w:after="0" w:line="240" w:lineRule="auto"/>
        <w:ind w:left="720" w:hanging="720"/>
        <w:rPr>
          <w:rFonts w:ascii="Calibri" w:hAnsi="Calibri"/>
          <w:noProof/>
        </w:rPr>
      </w:pPr>
      <w:bookmarkStart w:id="55" w:name="_ENREF_52"/>
      <w:r>
        <w:rPr>
          <w:rFonts w:ascii="Calibri" w:hAnsi="Calibri"/>
          <w:noProof/>
        </w:rPr>
        <w:t>52.</w:t>
      </w:r>
      <w:r>
        <w:rPr>
          <w:rFonts w:ascii="Calibri" w:hAnsi="Calibri"/>
          <w:noProof/>
        </w:rPr>
        <w:tab/>
        <w:t xml:space="preserve">EuroQoL. </w:t>
      </w:r>
      <w:r w:rsidRPr="00F65C59">
        <w:rPr>
          <w:rFonts w:ascii="Calibri" w:hAnsi="Calibri"/>
          <w:i/>
          <w:noProof/>
        </w:rPr>
        <w:t>EQ-5D-5L</w:t>
      </w:r>
      <w:r>
        <w:rPr>
          <w:rFonts w:ascii="Calibri" w:hAnsi="Calibri"/>
          <w:noProof/>
        </w:rPr>
        <w:t xml:space="preserve">.  [cited 2015 10-06-2015]; Available from: </w:t>
      </w:r>
      <w:hyperlink r:id="rId39" w:history="1">
        <w:r w:rsidR="00D042E0">
          <w:rPr>
            <w:rStyle w:val="Hyperlink"/>
            <w:rFonts w:ascii="Calibri" w:hAnsi="Calibri"/>
            <w:noProof/>
          </w:rPr>
          <w:t>EuroQoL. EQ-5D-5L.  [cited 2015 10-06-2015]</w:t>
        </w:r>
      </w:hyperlink>
      <w:r>
        <w:rPr>
          <w:rFonts w:ascii="Calibri" w:hAnsi="Calibri"/>
          <w:noProof/>
        </w:rPr>
        <w:t xml:space="preserve"> </w:t>
      </w:r>
      <w:bookmarkEnd w:id="55"/>
    </w:p>
    <w:p w14:paraId="5C23A143" w14:textId="77777777" w:rsidR="00F65C59" w:rsidRDefault="00F65C59" w:rsidP="00F65C59">
      <w:pPr>
        <w:spacing w:after="0" w:line="240" w:lineRule="auto"/>
        <w:rPr>
          <w:rFonts w:ascii="Calibri" w:hAnsi="Calibri"/>
          <w:noProof/>
        </w:rPr>
      </w:pPr>
    </w:p>
    <w:p w14:paraId="5DEE7C60" w14:textId="77777777" w:rsidR="00747819" w:rsidRDefault="00AB4607" w:rsidP="00C12316">
      <w:pPr>
        <w:spacing w:after="0" w:line="240" w:lineRule="auto"/>
        <w:ind w:left="720" w:hanging="720"/>
        <w:rPr>
          <w:sz w:val="24"/>
          <w:szCs w:val="24"/>
        </w:rPr>
      </w:pPr>
      <w:r>
        <w:rPr>
          <w:sz w:val="24"/>
          <w:szCs w:val="24"/>
        </w:rPr>
        <w:fldChar w:fldCharType="end"/>
      </w:r>
    </w:p>
    <w:p w14:paraId="32625DCF" w14:textId="77777777" w:rsidR="00C04293" w:rsidRPr="00747819" w:rsidRDefault="00747819" w:rsidP="00217570">
      <w:pPr>
        <w:tabs>
          <w:tab w:val="left" w:pos="5090"/>
        </w:tabs>
        <w:rPr>
          <w:sz w:val="24"/>
          <w:szCs w:val="24"/>
        </w:rPr>
      </w:pPr>
      <w:r>
        <w:rPr>
          <w:sz w:val="24"/>
          <w:szCs w:val="24"/>
        </w:rPr>
        <w:tab/>
      </w:r>
    </w:p>
    <w:sectPr w:rsidR="00C04293" w:rsidRPr="00747819" w:rsidSect="008545F9">
      <w:headerReference w:type="even" r:id="rId40"/>
      <w:headerReference w:type="default" r:id="rId41"/>
      <w:footerReference w:type="default" r:id="rId42"/>
      <w:headerReference w:type="first" r:id="rId43"/>
      <w:pgSz w:w="11906" w:h="16838"/>
      <w:pgMar w:top="1440" w:right="1440" w:bottom="1440"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B8989F" w15:done="0"/>
  <w15:commentEx w15:paraId="1AC3ECA6" w15:done="0"/>
  <w15:commentEx w15:paraId="695A4A75" w15:done="0"/>
  <w15:commentEx w15:paraId="47E76683" w15:done="0"/>
  <w15:commentEx w15:paraId="13547AAC" w15:done="0"/>
  <w15:commentEx w15:paraId="2AF2CC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7E1FA" w14:textId="77777777" w:rsidR="0068421E" w:rsidRDefault="0068421E" w:rsidP="008B5AB2">
      <w:pPr>
        <w:spacing w:after="0" w:line="240" w:lineRule="auto"/>
      </w:pPr>
      <w:r>
        <w:separator/>
      </w:r>
    </w:p>
  </w:endnote>
  <w:endnote w:type="continuationSeparator" w:id="0">
    <w:p w14:paraId="4965E455" w14:textId="77777777" w:rsidR="0068421E" w:rsidRDefault="0068421E" w:rsidP="008B5AB2">
      <w:pPr>
        <w:spacing w:after="0" w:line="240" w:lineRule="auto"/>
      </w:pPr>
      <w:r>
        <w:continuationSeparator/>
      </w:r>
    </w:p>
  </w:endnote>
  <w:endnote w:type="continuationNotice" w:id="1">
    <w:p w14:paraId="33D2C020" w14:textId="77777777" w:rsidR="0068421E" w:rsidRDefault="00684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
    <w:altName w:val="MS Mincho"/>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80D05" w14:textId="77777777" w:rsidR="008D07C5" w:rsidRDefault="008D0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0EA8E" w14:textId="77777777" w:rsidR="008D07C5" w:rsidRPr="00704E55" w:rsidRDefault="008D07C5" w:rsidP="00704E55">
    <w:pPr>
      <w:pStyle w:val="Footer"/>
    </w:pPr>
    <w:r>
      <w:tab/>
      <w:t xml:space="preserve">MSAC website: </w:t>
    </w:r>
    <w:hyperlink r:id="rId1" w:tooltip="Link to the Department of Health Medical Services Advisory Committee web site." w:history="1">
      <w:r w:rsidRPr="003C77DC">
        <w:rPr>
          <w:rStyle w:val="Hyperlink"/>
        </w:rPr>
        <w:t>www.msac.gov.au</w:t>
      </w:r>
    </w:hyperlink>
    <w:r>
      <w:rPr>
        <w:rStyle w:val="Hyperlink"/>
        <w:u w:val="non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E1B88" w14:textId="77777777" w:rsidR="008D07C5" w:rsidRDefault="008D07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E50B1" w14:textId="245027AA" w:rsidR="008D07C5" w:rsidRPr="00704E55" w:rsidRDefault="008D07C5" w:rsidP="0066623C">
    <w:pPr>
      <w:pStyle w:val="Footer"/>
      <w:pBdr>
        <w:top w:val="single" w:sz="4" w:space="1" w:color="auto"/>
      </w:pBdr>
    </w:pPr>
    <w:r>
      <w:t>Application 1407: EGFR T790M testing for AZD9291 for locally advanced or metastatic NSCLC</w:t>
    </w:r>
    <w:r>
      <w:rPr>
        <w:rStyle w:val="Hyperlink"/>
        <w:u w:val="none"/>
      </w:rPr>
      <w:tab/>
    </w:r>
    <w:r w:rsidRPr="00704E55">
      <w:rPr>
        <w:rStyle w:val="Hyperlink"/>
        <w:color w:val="auto"/>
        <w:u w:val="none"/>
      </w:rPr>
      <w:fldChar w:fldCharType="begin"/>
    </w:r>
    <w:r w:rsidRPr="00704E55">
      <w:rPr>
        <w:rStyle w:val="Hyperlink"/>
        <w:color w:val="auto"/>
        <w:u w:val="none"/>
      </w:rPr>
      <w:instrText xml:space="preserve"> PAGE   \* MERGEFORMAT </w:instrText>
    </w:r>
    <w:r w:rsidRPr="00704E55">
      <w:rPr>
        <w:rStyle w:val="Hyperlink"/>
        <w:color w:val="auto"/>
        <w:u w:val="none"/>
      </w:rPr>
      <w:fldChar w:fldCharType="separate"/>
    </w:r>
    <w:r w:rsidR="00D713A4">
      <w:rPr>
        <w:rStyle w:val="Hyperlink"/>
        <w:noProof/>
        <w:color w:val="auto"/>
        <w:u w:val="none"/>
      </w:rPr>
      <w:t>21</w:t>
    </w:r>
    <w:r w:rsidRPr="00704E55">
      <w:rPr>
        <w:rStyle w:val="Hyperlink"/>
        <w:noProof/>
        <w:color w:val="auto"/>
        <w:u w:val="none"/>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C0325" w14:textId="320E718F" w:rsidR="008D07C5" w:rsidRPr="00704E55" w:rsidRDefault="008D07C5" w:rsidP="006F7A61">
    <w:pPr>
      <w:pStyle w:val="Footer"/>
      <w:pBdr>
        <w:top w:val="single" w:sz="4" w:space="1" w:color="auto"/>
      </w:pBdr>
      <w:tabs>
        <w:tab w:val="clear" w:pos="9026"/>
        <w:tab w:val="right" w:pos="13892"/>
      </w:tabs>
    </w:pPr>
    <w:r>
      <w:t>Application 1407: EGFR T790M testing for AZD9291 for locally advanced or metastatic NSCLC</w:t>
    </w:r>
    <w:r>
      <w:rPr>
        <w:rStyle w:val="Hyperlink"/>
        <w:u w:val="none"/>
      </w:rPr>
      <w:tab/>
    </w:r>
    <w:r w:rsidRPr="00704E55">
      <w:rPr>
        <w:rStyle w:val="Hyperlink"/>
        <w:color w:val="auto"/>
        <w:u w:val="none"/>
      </w:rPr>
      <w:fldChar w:fldCharType="begin"/>
    </w:r>
    <w:r w:rsidRPr="00704E55">
      <w:rPr>
        <w:rStyle w:val="Hyperlink"/>
        <w:color w:val="auto"/>
        <w:u w:val="none"/>
      </w:rPr>
      <w:instrText xml:space="preserve"> PAGE   \* MERGEFORMAT </w:instrText>
    </w:r>
    <w:r w:rsidRPr="00704E55">
      <w:rPr>
        <w:rStyle w:val="Hyperlink"/>
        <w:color w:val="auto"/>
        <w:u w:val="none"/>
      </w:rPr>
      <w:fldChar w:fldCharType="separate"/>
    </w:r>
    <w:r w:rsidR="00D713A4">
      <w:rPr>
        <w:rStyle w:val="Hyperlink"/>
        <w:noProof/>
        <w:color w:val="auto"/>
        <w:u w:val="none"/>
      </w:rPr>
      <w:t>23</w:t>
    </w:r>
    <w:r w:rsidRPr="00704E55">
      <w:rPr>
        <w:rStyle w:val="Hyperlink"/>
        <w:noProof/>
        <w:color w:val="auto"/>
        <w:u w:val="none"/>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E82DF" w14:textId="6F275BC1" w:rsidR="008D07C5" w:rsidRPr="00704E55" w:rsidRDefault="008D07C5" w:rsidP="0066623C">
    <w:pPr>
      <w:pStyle w:val="Footer"/>
      <w:pBdr>
        <w:top w:val="single" w:sz="4" w:space="1" w:color="auto"/>
      </w:pBdr>
    </w:pPr>
    <w:r>
      <w:t>Application 1407: EGFR T790M testing for AZD9291 for locally advanced or metastatic NSCLC</w:t>
    </w:r>
    <w:r>
      <w:tab/>
    </w:r>
    <w:r w:rsidRPr="00704E55">
      <w:rPr>
        <w:rStyle w:val="Hyperlink"/>
        <w:color w:val="auto"/>
        <w:u w:val="none"/>
      </w:rPr>
      <w:fldChar w:fldCharType="begin"/>
    </w:r>
    <w:r w:rsidRPr="00704E55">
      <w:rPr>
        <w:rStyle w:val="Hyperlink"/>
        <w:color w:val="auto"/>
        <w:u w:val="none"/>
      </w:rPr>
      <w:instrText xml:space="preserve"> PAGE   \* MERGEFORMAT </w:instrText>
    </w:r>
    <w:r w:rsidRPr="00704E55">
      <w:rPr>
        <w:rStyle w:val="Hyperlink"/>
        <w:color w:val="auto"/>
        <w:u w:val="none"/>
      </w:rPr>
      <w:fldChar w:fldCharType="separate"/>
    </w:r>
    <w:r w:rsidR="00D713A4">
      <w:rPr>
        <w:rStyle w:val="Hyperlink"/>
        <w:noProof/>
        <w:color w:val="auto"/>
        <w:u w:val="none"/>
      </w:rPr>
      <w:t>26</w:t>
    </w:r>
    <w:r w:rsidRPr="00704E55">
      <w:rPr>
        <w:rStyle w:val="Hyperlink"/>
        <w:noProof/>
        <w:color w:val="auto"/>
        <w:u w: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328DC" w14:textId="77777777" w:rsidR="0068421E" w:rsidRDefault="0068421E" w:rsidP="008B5AB2">
      <w:pPr>
        <w:spacing w:after="0" w:line="240" w:lineRule="auto"/>
      </w:pPr>
      <w:r>
        <w:separator/>
      </w:r>
    </w:p>
  </w:footnote>
  <w:footnote w:type="continuationSeparator" w:id="0">
    <w:p w14:paraId="37A0247C" w14:textId="77777777" w:rsidR="0068421E" w:rsidRDefault="0068421E" w:rsidP="008B5AB2">
      <w:pPr>
        <w:spacing w:after="0" w:line="240" w:lineRule="auto"/>
      </w:pPr>
      <w:r>
        <w:continuationSeparator/>
      </w:r>
    </w:p>
  </w:footnote>
  <w:footnote w:type="continuationNotice" w:id="1">
    <w:p w14:paraId="6094CEC9" w14:textId="77777777" w:rsidR="0068421E" w:rsidRDefault="0068421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63E5A" w14:textId="792331FD" w:rsidR="008D07C5" w:rsidRDefault="00D713A4">
    <w:pPr>
      <w:pStyle w:val="Header"/>
    </w:pPr>
    <w:r>
      <w:rPr>
        <w:noProof/>
      </w:rPr>
      <w:pict w14:anchorId="5E6F9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393.45pt;height:236.0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661BA" w14:textId="169D7A9D" w:rsidR="008D07C5" w:rsidRDefault="00D713A4">
    <w:pPr>
      <w:pStyle w:val="Header"/>
    </w:pPr>
    <w:r>
      <w:rPr>
        <w:noProof/>
      </w:rPr>
      <w:pict w14:anchorId="19B38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393.45pt;height:236.05pt;rotation:315;z-index:-25163673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E20A3" w14:textId="64BA8300" w:rsidR="008D07C5" w:rsidRDefault="00D713A4" w:rsidP="005C67C3">
    <w:pPr>
      <w:pStyle w:val="Header"/>
      <w:jc w:val="center"/>
    </w:pPr>
    <w:r>
      <w:rPr>
        <w:noProof/>
      </w:rPr>
      <w:pict w14:anchorId="362C8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0;text-align:left;margin-left:0;margin-top:0;width:393.45pt;height:236.05pt;rotation:315;z-index:-25163468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26C8E" w14:textId="017C7A7F" w:rsidR="008D07C5" w:rsidRDefault="00D713A4">
    <w:pPr>
      <w:pStyle w:val="Header"/>
    </w:pPr>
    <w:r>
      <w:rPr>
        <w:noProof/>
      </w:rPr>
      <w:pict w14:anchorId="428B9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393.45pt;height:236.05pt;rotation:315;z-index:-25163878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2F492" w14:textId="71C85C15" w:rsidR="008D07C5" w:rsidRPr="006F1189" w:rsidRDefault="00D713A4" w:rsidP="005C67C3">
    <w:pPr>
      <w:pStyle w:val="Header"/>
      <w:jc w:val="center"/>
      <w:rPr>
        <w:color w:val="808080" w:themeColor="background1" w:themeShade="80"/>
      </w:rPr>
    </w:pPr>
    <w:r>
      <w:rPr>
        <w:noProof/>
      </w:rPr>
      <w:pict w14:anchorId="0C249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393.45pt;height:236.0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sidR="008D07C5">
      <w:rPr>
        <w:color w:val="808080" w:themeColor="background1" w:themeShade="80"/>
      </w:rPr>
      <w:t>AstraZeneca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B07A8" w14:textId="1724A426" w:rsidR="008D07C5" w:rsidRDefault="00D713A4">
    <w:pPr>
      <w:pStyle w:val="Header"/>
    </w:pPr>
    <w:r>
      <w:rPr>
        <w:noProof/>
      </w:rPr>
      <w:pict w14:anchorId="660CE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61" type="#_x0000_t136" style="position:absolute;margin-left:0;margin-top:0;width:393.45pt;height:236.0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CD3D9" w14:textId="0EE05049" w:rsidR="008D07C5" w:rsidRDefault="00D713A4">
    <w:pPr>
      <w:pStyle w:val="Header"/>
    </w:pPr>
    <w:r>
      <w:rPr>
        <w:noProof/>
      </w:rPr>
      <w:pict w14:anchorId="134D1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393.45pt;height:236.05pt;rotation:315;z-index:-25164902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A2ADB" w14:textId="2BBCA73C" w:rsidR="008D07C5" w:rsidRDefault="00D713A4">
    <w:pPr>
      <w:pStyle w:val="Header"/>
    </w:pPr>
    <w:r>
      <w:rPr>
        <w:noProof/>
      </w:rPr>
      <w:pict w14:anchorId="44F2A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393.45pt;height:236.05pt;rotation:315;z-index:-25164697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7782C" w14:textId="08F79D09" w:rsidR="008D07C5" w:rsidRDefault="00D713A4">
    <w:pPr>
      <w:pStyle w:val="Header"/>
    </w:pPr>
    <w:r>
      <w:rPr>
        <w:noProof/>
      </w:rPr>
      <w:pict w14:anchorId="46320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393.45pt;height:236.05pt;rotation:315;z-index:-25165107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B15F9" w14:textId="52EC07DE" w:rsidR="008D07C5" w:rsidRDefault="00D713A4">
    <w:pPr>
      <w:pStyle w:val="Header"/>
    </w:pPr>
    <w:r>
      <w:rPr>
        <w:noProof/>
      </w:rPr>
      <w:pict w14:anchorId="01FC9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393.45pt;height:236.05pt;rotation:315;z-index:-25164288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FEC0F" w14:textId="641439C0" w:rsidR="008D07C5" w:rsidRDefault="00D713A4">
    <w:pPr>
      <w:pStyle w:val="Header"/>
    </w:pPr>
    <w:r>
      <w:rPr>
        <w:noProof/>
      </w:rPr>
      <w:pict w14:anchorId="427D8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393.45pt;height:236.05pt;rotation:315;z-index:-25164083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54245" w14:textId="7AED47C0" w:rsidR="008D07C5" w:rsidRDefault="00D713A4">
    <w:pPr>
      <w:pStyle w:val="Header"/>
    </w:pPr>
    <w:r>
      <w:rPr>
        <w:noProof/>
      </w:rPr>
      <w:pict w14:anchorId="548B3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393.45pt;height:236.05pt;rotation:315;z-index:-25164492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B3B"/>
    <w:multiLevelType w:val="hybridMultilevel"/>
    <w:tmpl w:val="F2FC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001F9E"/>
    <w:multiLevelType w:val="multilevel"/>
    <w:tmpl w:val="3ABEF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043FD"/>
    <w:multiLevelType w:val="hybridMultilevel"/>
    <w:tmpl w:val="E5161004"/>
    <w:lvl w:ilvl="0" w:tplc="0C09000F">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4D7795"/>
    <w:multiLevelType w:val="multilevel"/>
    <w:tmpl w:val="CA5CC5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7674C18"/>
    <w:multiLevelType w:val="hybridMultilevel"/>
    <w:tmpl w:val="47A037CA"/>
    <w:lvl w:ilvl="0" w:tplc="4B044B32">
      <w:numFmt w:val="bullet"/>
      <w:lvlText w:val="-"/>
      <w:lvlJc w:val="left"/>
      <w:pPr>
        <w:ind w:left="360" w:hanging="360"/>
      </w:pPr>
      <w:rPr>
        <w:rFonts w:ascii="Arial" w:eastAsiaTheme="maj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F2144C3"/>
    <w:multiLevelType w:val="hybridMultilevel"/>
    <w:tmpl w:val="D11EFEF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F94087A"/>
    <w:multiLevelType w:val="hybridMultilevel"/>
    <w:tmpl w:val="21C60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914057"/>
    <w:multiLevelType w:val="multilevel"/>
    <w:tmpl w:val="00A4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EC7117"/>
    <w:multiLevelType w:val="hybridMultilevel"/>
    <w:tmpl w:val="31F61A1C"/>
    <w:lvl w:ilvl="0" w:tplc="0409000F">
      <w:start w:val="1"/>
      <w:numFmt w:val="bullet"/>
      <w:pStyle w:val="A-ListBullet"/>
      <w:lvlText w:val=""/>
      <w:lvlJc w:val="left"/>
      <w:pPr>
        <w:tabs>
          <w:tab w:val="num" w:pos="998"/>
        </w:tabs>
        <w:ind w:left="998" w:hanging="998"/>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11">
    <w:nsid w:val="71010A81"/>
    <w:multiLevelType w:val="hybridMultilevel"/>
    <w:tmpl w:val="B7363A76"/>
    <w:lvl w:ilvl="0" w:tplc="3B9643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45C49FF"/>
    <w:multiLevelType w:val="hybridMultilevel"/>
    <w:tmpl w:val="FAC87F76"/>
    <w:lvl w:ilvl="0" w:tplc="5C6E4FA6">
      <w:start w:val="1"/>
      <w:numFmt w:val="bullet"/>
      <w:lvlText w:val="•"/>
      <w:lvlJc w:val="left"/>
      <w:pPr>
        <w:tabs>
          <w:tab w:val="num" w:pos="720"/>
        </w:tabs>
        <w:ind w:left="720" w:hanging="360"/>
      </w:pPr>
      <w:rPr>
        <w:rFonts w:ascii="Arial" w:hAnsi="Arial" w:hint="default"/>
      </w:rPr>
    </w:lvl>
    <w:lvl w:ilvl="1" w:tplc="03DE9416" w:tentative="1">
      <w:start w:val="1"/>
      <w:numFmt w:val="bullet"/>
      <w:lvlText w:val="•"/>
      <w:lvlJc w:val="left"/>
      <w:pPr>
        <w:tabs>
          <w:tab w:val="num" w:pos="1440"/>
        </w:tabs>
        <w:ind w:left="1440" w:hanging="360"/>
      </w:pPr>
      <w:rPr>
        <w:rFonts w:ascii="Arial" w:hAnsi="Arial" w:hint="default"/>
      </w:rPr>
    </w:lvl>
    <w:lvl w:ilvl="2" w:tplc="7AD23852" w:tentative="1">
      <w:start w:val="1"/>
      <w:numFmt w:val="bullet"/>
      <w:lvlText w:val="•"/>
      <w:lvlJc w:val="left"/>
      <w:pPr>
        <w:tabs>
          <w:tab w:val="num" w:pos="2160"/>
        </w:tabs>
        <w:ind w:left="2160" w:hanging="360"/>
      </w:pPr>
      <w:rPr>
        <w:rFonts w:ascii="Arial" w:hAnsi="Arial" w:hint="default"/>
      </w:rPr>
    </w:lvl>
    <w:lvl w:ilvl="3" w:tplc="341C9062" w:tentative="1">
      <w:start w:val="1"/>
      <w:numFmt w:val="bullet"/>
      <w:lvlText w:val="•"/>
      <w:lvlJc w:val="left"/>
      <w:pPr>
        <w:tabs>
          <w:tab w:val="num" w:pos="2880"/>
        </w:tabs>
        <w:ind w:left="2880" w:hanging="360"/>
      </w:pPr>
      <w:rPr>
        <w:rFonts w:ascii="Arial" w:hAnsi="Arial" w:hint="default"/>
      </w:rPr>
    </w:lvl>
    <w:lvl w:ilvl="4" w:tplc="739C8398" w:tentative="1">
      <w:start w:val="1"/>
      <w:numFmt w:val="bullet"/>
      <w:lvlText w:val="•"/>
      <w:lvlJc w:val="left"/>
      <w:pPr>
        <w:tabs>
          <w:tab w:val="num" w:pos="3600"/>
        </w:tabs>
        <w:ind w:left="3600" w:hanging="360"/>
      </w:pPr>
      <w:rPr>
        <w:rFonts w:ascii="Arial" w:hAnsi="Arial" w:hint="default"/>
      </w:rPr>
    </w:lvl>
    <w:lvl w:ilvl="5" w:tplc="E8B6313C" w:tentative="1">
      <w:start w:val="1"/>
      <w:numFmt w:val="bullet"/>
      <w:lvlText w:val="•"/>
      <w:lvlJc w:val="left"/>
      <w:pPr>
        <w:tabs>
          <w:tab w:val="num" w:pos="4320"/>
        </w:tabs>
        <w:ind w:left="4320" w:hanging="360"/>
      </w:pPr>
      <w:rPr>
        <w:rFonts w:ascii="Arial" w:hAnsi="Arial" w:hint="default"/>
      </w:rPr>
    </w:lvl>
    <w:lvl w:ilvl="6" w:tplc="40E284EC" w:tentative="1">
      <w:start w:val="1"/>
      <w:numFmt w:val="bullet"/>
      <w:lvlText w:val="•"/>
      <w:lvlJc w:val="left"/>
      <w:pPr>
        <w:tabs>
          <w:tab w:val="num" w:pos="5040"/>
        </w:tabs>
        <w:ind w:left="5040" w:hanging="360"/>
      </w:pPr>
      <w:rPr>
        <w:rFonts w:ascii="Arial" w:hAnsi="Arial" w:hint="default"/>
      </w:rPr>
    </w:lvl>
    <w:lvl w:ilvl="7" w:tplc="DD62A246" w:tentative="1">
      <w:start w:val="1"/>
      <w:numFmt w:val="bullet"/>
      <w:lvlText w:val="•"/>
      <w:lvlJc w:val="left"/>
      <w:pPr>
        <w:tabs>
          <w:tab w:val="num" w:pos="5760"/>
        </w:tabs>
        <w:ind w:left="5760" w:hanging="360"/>
      </w:pPr>
      <w:rPr>
        <w:rFonts w:ascii="Arial" w:hAnsi="Arial" w:hint="default"/>
      </w:rPr>
    </w:lvl>
    <w:lvl w:ilvl="8" w:tplc="0960E20E" w:tentative="1">
      <w:start w:val="1"/>
      <w:numFmt w:val="bullet"/>
      <w:lvlText w:val="•"/>
      <w:lvlJc w:val="left"/>
      <w:pPr>
        <w:tabs>
          <w:tab w:val="num" w:pos="6480"/>
        </w:tabs>
        <w:ind w:left="6480" w:hanging="360"/>
      </w:pPr>
      <w:rPr>
        <w:rFonts w:ascii="Arial" w:hAnsi="Arial" w:hint="default"/>
      </w:rPr>
    </w:lvl>
  </w:abstractNum>
  <w:abstractNum w:abstractNumId="13">
    <w:nsid w:val="7C0946F6"/>
    <w:multiLevelType w:val="hybridMultilevel"/>
    <w:tmpl w:val="953A5CA0"/>
    <w:lvl w:ilvl="0" w:tplc="E85CB12A">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C2451F1"/>
    <w:multiLevelType w:val="hybridMultilevel"/>
    <w:tmpl w:val="648CB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9"/>
  </w:num>
  <w:num w:numId="6">
    <w:abstractNumId w:val="8"/>
  </w:num>
  <w:num w:numId="7">
    <w:abstractNumId w:val="2"/>
  </w:num>
  <w:num w:numId="8">
    <w:abstractNumId w:val="4"/>
  </w:num>
  <w:num w:numId="9">
    <w:abstractNumId w:val="14"/>
  </w:num>
  <w:num w:numId="10">
    <w:abstractNumId w:val="0"/>
  </w:num>
  <w:num w:numId="11">
    <w:abstractNumId w:val="12"/>
  </w:num>
  <w:num w:numId="12">
    <w:abstractNumId w:val="13"/>
  </w:num>
  <w:num w:numId="13">
    <w:abstractNumId w:val="6"/>
  </w:num>
  <w:num w:numId="14">
    <w:abstractNumId w:val="7"/>
  </w:num>
  <w:num w:numId="15">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dbitter, Sharon">
    <w15:presenceInfo w15:providerId="AD" w15:userId="S-1-5-21-602162358-1682526488-725345543-148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prtzr95srz0woefsws5fs50rfwvtsf5aw2f&quot;&gt;AZD9291 EndNote Library&lt;record-ids&gt;&lt;item&gt;1&lt;/item&gt;&lt;item&gt;4&lt;/item&gt;&lt;item&gt;5&lt;/item&gt;&lt;item&gt;6&lt;/item&gt;&lt;item&gt;9&lt;/item&gt;&lt;item&gt;11&lt;/item&gt;&lt;item&gt;12&lt;/item&gt;&lt;item&gt;13&lt;/item&gt;&lt;item&gt;18&lt;/item&gt;&lt;item&gt;29&lt;/item&gt;&lt;item&gt;44&lt;/item&gt;&lt;item&gt;49&lt;/item&gt;&lt;item&gt;50&lt;/item&gt;&lt;item&gt;58&lt;/item&gt;&lt;item&gt;60&lt;/item&gt;&lt;item&gt;61&lt;/item&gt;&lt;item&gt;62&lt;/item&gt;&lt;item&gt;64&lt;/item&gt;&lt;item&gt;65&lt;/item&gt;&lt;item&gt;66&lt;/item&gt;&lt;item&gt;67&lt;/item&gt;&lt;item&gt;68&lt;/item&gt;&lt;item&gt;69&lt;/item&gt;&lt;item&gt;70&lt;/item&gt;&lt;item&gt;73&lt;/item&gt;&lt;item&gt;74&lt;/item&gt;&lt;item&gt;75&lt;/item&gt;&lt;item&gt;76&lt;/item&gt;&lt;item&gt;77&lt;/item&gt;&lt;item&gt;78&lt;/item&gt;&lt;item&gt;80&lt;/item&gt;&lt;item&gt;81&lt;/item&gt;&lt;item&gt;83&lt;/item&gt;&lt;item&gt;85&lt;/item&gt;&lt;item&gt;86&lt;/item&gt;&lt;item&gt;87&lt;/item&gt;&lt;item&gt;89&lt;/item&gt;&lt;item&gt;90&lt;/item&gt;&lt;item&gt;91&lt;/item&gt;&lt;item&gt;95&lt;/item&gt;&lt;item&gt;96&lt;/item&gt;&lt;item&gt;97&lt;/item&gt;&lt;item&gt;98&lt;/item&gt;&lt;item&gt;100&lt;/item&gt;&lt;item&gt;101&lt;/item&gt;&lt;item&gt;102&lt;/item&gt;&lt;item&gt;108&lt;/item&gt;&lt;item&gt;109&lt;/item&gt;&lt;item&gt;110&lt;/item&gt;&lt;item&gt;111&lt;/item&gt;&lt;item&gt;112&lt;/item&gt;&lt;/record-ids&gt;&lt;/item&gt;&lt;/Libraries&gt;"/>
  </w:docVars>
  <w:rsids>
    <w:rsidRoot w:val="008B5AB2"/>
    <w:rsid w:val="00000869"/>
    <w:rsid w:val="00002F21"/>
    <w:rsid w:val="00004C91"/>
    <w:rsid w:val="00005C01"/>
    <w:rsid w:val="00010DBC"/>
    <w:rsid w:val="00011F80"/>
    <w:rsid w:val="0001608A"/>
    <w:rsid w:val="00020847"/>
    <w:rsid w:val="00026574"/>
    <w:rsid w:val="00027173"/>
    <w:rsid w:val="000339E1"/>
    <w:rsid w:val="00034209"/>
    <w:rsid w:val="00034ED1"/>
    <w:rsid w:val="00037044"/>
    <w:rsid w:val="00037824"/>
    <w:rsid w:val="00041FE7"/>
    <w:rsid w:val="000431F5"/>
    <w:rsid w:val="00047510"/>
    <w:rsid w:val="00047AB3"/>
    <w:rsid w:val="00052B9C"/>
    <w:rsid w:val="000619A3"/>
    <w:rsid w:val="00063AA0"/>
    <w:rsid w:val="00070A6A"/>
    <w:rsid w:val="00081569"/>
    <w:rsid w:val="00083829"/>
    <w:rsid w:val="000922BF"/>
    <w:rsid w:val="00092B43"/>
    <w:rsid w:val="000A589A"/>
    <w:rsid w:val="000C22EA"/>
    <w:rsid w:val="000C4286"/>
    <w:rsid w:val="000C5137"/>
    <w:rsid w:val="000C5B89"/>
    <w:rsid w:val="000C5C28"/>
    <w:rsid w:val="000C5EB3"/>
    <w:rsid w:val="000C74E7"/>
    <w:rsid w:val="000D0DBC"/>
    <w:rsid w:val="000D297A"/>
    <w:rsid w:val="000D5304"/>
    <w:rsid w:val="000E2273"/>
    <w:rsid w:val="000F0F15"/>
    <w:rsid w:val="0011001E"/>
    <w:rsid w:val="001115E5"/>
    <w:rsid w:val="00112659"/>
    <w:rsid w:val="001200C4"/>
    <w:rsid w:val="00124C04"/>
    <w:rsid w:val="001258AD"/>
    <w:rsid w:val="00127BB4"/>
    <w:rsid w:val="00136EAD"/>
    <w:rsid w:val="00137877"/>
    <w:rsid w:val="001414EF"/>
    <w:rsid w:val="00143173"/>
    <w:rsid w:val="00143977"/>
    <w:rsid w:val="001441F9"/>
    <w:rsid w:val="00152FA3"/>
    <w:rsid w:val="00165243"/>
    <w:rsid w:val="00165ECC"/>
    <w:rsid w:val="00183434"/>
    <w:rsid w:val="001853D5"/>
    <w:rsid w:val="00187796"/>
    <w:rsid w:val="00190DDC"/>
    <w:rsid w:val="001A0091"/>
    <w:rsid w:val="001A6F28"/>
    <w:rsid w:val="001B37CD"/>
    <w:rsid w:val="001B37D3"/>
    <w:rsid w:val="001B5908"/>
    <w:rsid w:val="001C03D7"/>
    <w:rsid w:val="001C20D8"/>
    <w:rsid w:val="001D04CB"/>
    <w:rsid w:val="001D11E9"/>
    <w:rsid w:val="001D3648"/>
    <w:rsid w:val="001D3B81"/>
    <w:rsid w:val="001D3D4A"/>
    <w:rsid w:val="001D4873"/>
    <w:rsid w:val="001D65A5"/>
    <w:rsid w:val="001D7B80"/>
    <w:rsid w:val="001E1392"/>
    <w:rsid w:val="001F596B"/>
    <w:rsid w:val="002049FB"/>
    <w:rsid w:val="00217570"/>
    <w:rsid w:val="00217729"/>
    <w:rsid w:val="00226FD8"/>
    <w:rsid w:val="0023153F"/>
    <w:rsid w:val="00232FC3"/>
    <w:rsid w:val="0023389C"/>
    <w:rsid w:val="0023647B"/>
    <w:rsid w:val="002373F2"/>
    <w:rsid w:val="00244B04"/>
    <w:rsid w:val="00253751"/>
    <w:rsid w:val="00253D0A"/>
    <w:rsid w:val="002615CB"/>
    <w:rsid w:val="002619A4"/>
    <w:rsid w:val="00270BC7"/>
    <w:rsid w:val="002724E2"/>
    <w:rsid w:val="00274D71"/>
    <w:rsid w:val="00283BD0"/>
    <w:rsid w:val="0029409F"/>
    <w:rsid w:val="002B46F5"/>
    <w:rsid w:val="002B6ED4"/>
    <w:rsid w:val="002C10A8"/>
    <w:rsid w:val="002D0F4B"/>
    <w:rsid w:val="002D1204"/>
    <w:rsid w:val="002D3CCA"/>
    <w:rsid w:val="002D4218"/>
    <w:rsid w:val="002D4BD7"/>
    <w:rsid w:val="002E0410"/>
    <w:rsid w:val="002E24B7"/>
    <w:rsid w:val="002E3D8D"/>
    <w:rsid w:val="002E480F"/>
    <w:rsid w:val="002E5531"/>
    <w:rsid w:val="002E558D"/>
    <w:rsid w:val="002E734F"/>
    <w:rsid w:val="002F2DB3"/>
    <w:rsid w:val="002F48D5"/>
    <w:rsid w:val="002F50F4"/>
    <w:rsid w:val="002F5C83"/>
    <w:rsid w:val="003001A4"/>
    <w:rsid w:val="00306289"/>
    <w:rsid w:val="00307DB5"/>
    <w:rsid w:val="00312075"/>
    <w:rsid w:val="0031217D"/>
    <w:rsid w:val="00321344"/>
    <w:rsid w:val="00323BF4"/>
    <w:rsid w:val="00324542"/>
    <w:rsid w:val="00325BDC"/>
    <w:rsid w:val="003264E2"/>
    <w:rsid w:val="00327620"/>
    <w:rsid w:val="00336BCD"/>
    <w:rsid w:val="00340261"/>
    <w:rsid w:val="00343609"/>
    <w:rsid w:val="00350C8D"/>
    <w:rsid w:val="00352A5E"/>
    <w:rsid w:val="00357A7F"/>
    <w:rsid w:val="00363565"/>
    <w:rsid w:val="00363E8B"/>
    <w:rsid w:val="00366282"/>
    <w:rsid w:val="003662E6"/>
    <w:rsid w:val="0036678D"/>
    <w:rsid w:val="00380695"/>
    <w:rsid w:val="003808E9"/>
    <w:rsid w:val="0038182C"/>
    <w:rsid w:val="00381C67"/>
    <w:rsid w:val="00384FB9"/>
    <w:rsid w:val="00390357"/>
    <w:rsid w:val="00390AEB"/>
    <w:rsid w:val="00394140"/>
    <w:rsid w:val="00396236"/>
    <w:rsid w:val="003A21D0"/>
    <w:rsid w:val="003A373B"/>
    <w:rsid w:val="003A5D81"/>
    <w:rsid w:val="003B7AB3"/>
    <w:rsid w:val="003C44CD"/>
    <w:rsid w:val="003D0329"/>
    <w:rsid w:val="003D1207"/>
    <w:rsid w:val="003D508A"/>
    <w:rsid w:val="003D5802"/>
    <w:rsid w:val="003E1F3E"/>
    <w:rsid w:val="003E394F"/>
    <w:rsid w:val="003F002C"/>
    <w:rsid w:val="003F273B"/>
    <w:rsid w:val="00402C7E"/>
    <w:rsid w:val="00412444"/>
    <w:rsid w:val="00420B54"/>
    <w:rsid w:val="00424C83"/>
    <w:rsid w:val="00424D97"/>
    <w:rsid w:val="00424ED1"/>
    <w:rsid w:val="00426DDE"/>
    <w:rsid w:val="00440074"/>
    <w:rsid w:val="00444992"/>
    <w:rsid w:val="004453C3"/>
    <w:rsid w:val="00446D01"/>
    <w:rsid w:val="00455FF1"/>
    <w:rsid w:val="00460FA9"/>
    <w:rsid w:val="00463EBB"/>
    <w:rsid w:val="0046655E"/>
    <w:rsid w:val="00467B7C"/>
    <w:rsid w:val="00470DE4"/>
    <w:rsid w:val="004750DD"/>
    <w:rsid w:val="00483F1B"/>
    <w:rsid w:val="00486242"/>
    <w:rsid w:val="00486B85"/>
    <w:rsid w:val="00487045"/>
    <w:rsid w:val="00490F25"/>
    <w:rsid w:val="00493186"/>
    <w:rsid w:val="0049638B"/>
    <w:rsid w:val="004A6A6B"/>
    <w:rsid w:val="004A7363"/>
    <w:rsid w:val="004B7D9D"/>
    <w:rsid w:val="004C2CF8"/>
    <w:rsid w:val="004C5045"/>
    <w:rsid w:val="004C537C"/>
    <w:rsid w:val="004C5EFF"/>
    <w:rsid w:val="004C6794"/>
    <w:rsid w:val="004D5510"/>
    <w:rsid w:val="004D571E"/>
    <w:rsid w:val="004D70FE"/>
    <w:rsid w:val="004E0E06"/>
    <w:rsid w:val="004E1476"/>
    <w:rsid w:val="004E76EC"/>
    <w:rsid w:val="004F4E72"/>
    <w:rsid w:val="00502D61"/>
    <w:rsid w:val="0051072E"/>
    <w:rsid w:val="00513923"/>
    <w:rsid w:val="00514979"/>
    <w:rsid w:val="00527660"/>
    <w:rsid w:val="00536711"/>
    <w:rsid w:val="00544397"/>
    <w:rsid w:val="00544C11"/>
    <w:rsid w:val="0054531D"/>
    <w:rsid w:val="00554AB0"/>
    <w:rsid w:val="005606BF"/>
    <w:rsid w:val="00560739"/>
    <w:rsid w:val="00561649"/>
    <w:rsid w:val="0056298A"/>
    <w:rsid w:val="00564F33"/>
    <w:rsid w:val="00565A34"/>
    <w:rsid w:val="00573107"/>
    <w:rsid w:val="00581226"/>
    <w:rsid w:val="00584B1F"/>
    <w:rsid w:val="005A734E"/>
    <w:rsid w:val="005B4F5F"/>
    <w:rsid w:val="005B6920"/>
    <w:rsid w:val="005C0D16"/>
    <w:rsid w:val="005C67C3"/>
    <w:rsid w:val="005C6FFE"/>
    <w:rsid w:val="005D01F3"/>
    <w:rsid w:val="005D2097"/>
    <w:rsid w:val="005D2467"/>
    <w:rsid w:val="005D51D7"/>
    <w:rsid w:val="005D5667"/>
    <w:rsid w:val="005D774D"/>
    <w:rsid w:val="005E168B"/>
    <w:rsid w:val="005F0AAC"/>
    <w:rsid w:val="005F1EEC"/>
    <w:rsid w:val="005F3FE0"/>
    <w:rsid w:val="005F5088"/>
    <w:rsid w:val="00603C91"/>
    <w:rsid w:val="00604EC0"/>
    <w:rsid w:val="0060526C"/>
    <w:rsid w:val="006068DF"/>
    <w:rsid w:val="00606E61"/>
    <w:rsid w:val="006117CA"/>
    <w:rsid w:val="00612958"/>
    <w:rsid w:val="00613497"/>
    <w:rsid w:val="00617D15"/>
    <w:rsid w:val="00625409"/>
    <w:rsid w:val="00627C5F"/>
    <w:rsid w:val="006315AA"/>
    <w:rsid w:val="006353DC"/>
    <w:rsid w:val="00637685"/>
    <w:rsid w:val="00650664"/>
    <w:rsid w:val="0065185F"/>
    <w:rsid w:val="006539A0"/>
    <w:rsid w:val="006604C2"/>
    <w:rsid w:val="00661663"/>
    <w:rsid w:val="00661DAC"/>
    <w:rsid w:val="0066309F"/>
    <w:rsid w:val="0066623C"/>
    <w:rsid w:val="006709A5"/>
    <w:rsid w:val="006822E9"/>
    <w:rsid w:val="0068421E"/>
    <w:rsid w:val="00685C6E"/>
    <w:rsid w:val="00687390"/>
    <w:rsid w:val="00691ED8"/>
    <w:rsid w:val="006953A1"/>
    <w:rsid w:val="00695848"/>
    <w:rsid w:val="00696A37"/>
    <w:rsid w:val="006A178A"/>
    <w:rsid w:val="006A6254"/>
    <w:rsid w:val="006B22EC"/>
    <w:rsid w:val="006B3947"/>
    <w:rsid w:val="006C08B1"/>
    <w:rsid w:val="006D2FAF"/>
    <w:rsid w:val="006D3F66"/>
    <w:rsid w:val="006D52F1"/>
    <w:rsid w:val="006D770D"/>
    <w:rsid w:val="006E43D5"/>
    <w:rsid w:val="006E4490"/>
    <w:rsid w:val="006F1189"/>
    <w:rsid w:val="006F18CB"/>
    <w:rsid w:val="006F3F6C"/>
    <w:rsid w:val="006F7705"/>
    <w:rsid w:val="006F7A61"/>
    <w:rsid w:val="0070134F"/>
    <w:rsid w:val="0070267B"/>
    <w:rsid w:val="00702C60"/>
    <w:rsid w:val="00703222"/>
    <w:rsid w:val="00704E55"/>
    <w:rsid w:val="007102B0"/>
    <w:rsid w:val="00710C32"/>
    <w:rsid w:val="00711863"/>
    <w:rsid w:val="00711CC9"/>
    <w:rsid w:val="00720578"/>
    <w:rsid w:val="0072075C"/>
    <w:rsid w:val="007220C7"/>
    <w:rsid w:val="00730471"/>
    <w:rsid w:val="00731055"/>
    <w:rsid w:val="00731AF3"/>
    <w:rsid w:val="00731E4C"/>
    <w:rsid w:val="00732196"/>
    <w:rsid w:val="00732394"/>
    <w:rsid w:val="00733D45"/>
    <w:rsid w:val="00734138"/>
    <w:rsid w:val="00734A1D"/>
    <w:rsid w:val="00737148"/>
    <w:rsid w:val="00741715"/>
    <w:rsid w:val="0074308B"/>
    <w:rsid w:val="00743AF0"/>
    <w:rsid w:val="0074695E"/>
    <w:rsid w:val="00747819"/>
    <w:rsid w:val="00747B00"/>
    <w:rsid w:val="00747CDD"/>
    <w:rsid w:val="00751BEE"/>
    <w:rsid w:val="0076180F"/>
    <w:rsid w:val="00761B85"/>
    <w:rsid w:val="00764C85"/>
    <w:rsid w:val="00766FEA"/>
    <w:rsid w:val="00767DC5"/>
    <w:rsid w:val="00775B7E"/>
    <w:rsid w:val="00776DDE"/>
    <w:rsid w:val="00777026"/>
    <w:rsid w:val="00777AF6"/>
    <w:rsid w:val="007827EF"/>
    <w:rsid w:val="00784526"/>
    <w:rsid w:val="007849C5"/>
    <w:rsid w:val="007905C8"/>
    <w:rsid w:val="00790A46"/>
    <w:rsid w:val="00793764"/>
    <w:rsid w:val="007969EE"/>
    <w:rsid w:val="00797465"/>
    <w:rsid w:val="007A0FF1"/>
    <w:rsid w:val="007A4D04"/>
    <w:rsid w:val="007C1306"/>
    <w:rsid w:val="007C5B32"/>
    <w:rsid w:val="007D00A7"/>
    <w:rsid w:val="007D115A"/>
    <w:rsid w:val="007D7E59"/>
    <w:rsid w:val="007E33BC"/>
    <w:rsid w:val="007E4FEA"/>
    <w:rsid w:val="007F5B2B"/>
    <w:rsid w:val="007F72F7"/>
    <w:rsid w:val="00802C6B"/>
    <w:rsid w:val="00806DD2"/>
    <w:rsid w:val="00810C91"/>
    <w:rsid w:val="008246E5"/>
    <w:rsid w:val="00833F7E"/>
    <w:rsid w:val="00846260"/>
    <w:rsid w:val="00853BF3"/>
    <w:rsid w:val="008545F9"/>
    <w:rsid w:val="008660C5"/>
    <w:rsid w:val="008763F2"/>
    <w:rsid w:val="00881390"/>
    <w:rsid w:val="00881F9B"/>
    <w:rsid w:val="00886167"/>
    <w:rsid w:val="008901E3"/>
    <w:rsid w:val="0089601B"/>
    <w:rsid w:val="008A0F08"/>
    <w:rsid w:val="008A1274"/>
    <w:rsid w:val="008B003C"/>
    <w:rsid w:val="008B021A"/>
    <w:rsid w:val="008B2295"/>
    <w:rsid w:val="008B2903"/>
    <w:rsid w:val="008B3145"/>
    <w:rsid w:val="008B3ED7"/>
    <w:rsid w:val="008B4102"/>
    <w:rsid w:val="008B5AB2"/>
    <w:rsid w:val="008B5D9B"/>
    <w:rsid w:val="008C21F3"/>
    <w:rsid w:val="008C224B"/>
    <w:rsid w:val="008D07C5"/>
    <w:rsid w:val="008D4E41"/>
    <w:rsid w:val="008D5689"/>
    <w:rsid w:val="008D5F13"/>
    <w:rsid w:val="008D72D0"/>
    <w:rsid w:val="008E40B9"/>
    <w:rsid w:val="008E4438"/>
    <w:rsid w:val="008F5B75"/>
    <w:rsid w:val="00900663"/>
    <w:rsid w:val="00900904"/>
    <w:rsid w:val="00902778"/>
    <w:rsid w:val="00906DE1"/>
    <w:rsid w:val="009106BE"/>
    <w:rsid w:val="00914766"/>
    <w:rsid w:val="00925A5F"/>
    <w:rsid w:val="00934CA0"/>
    <w:rsid w:val="00952418"/>
    <w:rsid w:val="0095593F"/>
    <w:rsid w:val="009567CC"/>
    <w:rsid w:val="00956AF0"/>
    <w:rsid w:val="00960934"/>
    <w:rsid w:val="00962653"/>
    <w:rsid w:val="00975B6B"/>
    <w:rsid w:val="0098097D"/>
    <w:rsid w:val="00983DA4"/>
    <w:rsid w:val="00990A84"/>
    <w:rsid w:val="00992255"/>
    <w:rsid w:val="00992473"/>
    <w:rsid w:val="009970D8"/>
    <w:rsid w:val="009A1319"/>
    <w:rsid w:val="009A336C"/>
    <w:rsid w:val="009A6A4E"/>
    <w:rsid w:val="009B0F59"/>
    <w:rsid w:val="009B12E0"/>
    <w:rsid w:val="009B3639"/>
    <w:rsid w:val="009B7FC3"/>
    <w:rsid w:val="009C05DD"/>
    <w:rsid w:val="009C111B"/>
    <w:rsid w:val="009C49F2"/>
    <w:rsid w:val="009C66EE"/>
    <w:rsid w:val="009D53ED"/>
    <w:rsid w:val="009D69AD"/>
    <w:rsid w:val="009E5366"/>
    <w:rsid w:val="009E56E6"/>
    <w:rsid w:val="009E581B"/>
    <w:rsid w:val="009F1E31"/>
    <w:rsid w:val="009F1EDE"/>
    <w:rsid w:val="009F23DD"/>
    <w:rsid w:val="009F409A"/>
    <w:rsid w:val="009F4C52"/>
    <w:rsid w:val="009F6E28"/>
    <w:rsid w:val="00A01367"/>
    <w:rsid w:val="00A01454"/>
    <w:rsid w:val="00A0422F"/>
    <w:rsid w:val="00A113FB"/>
    <w:rsid w:val="00A12D9A"/>
    <w:rsid w:val="00A13630"/>
    <w:rsid w:val="00A145F2"/>
    <w:rsid w:val="00A27717"/>
    <w:rsid w:val="00A330C6"/>
    <w:rsid w:val="00A34561"/>
    <w:rsid w:val="00A36E3A"/>
    <w:rsid w:val="00A41286"/>
    <w:rsid w:val="00A42DF7"/>
    <w:rsid w:val="00A451AC"/>
    <w:rsid w:val="00A466AE"/>
    <w:rsid w:val="00A47C9A"/>
    <w:rsid w:val="00A51451"/>
    <w:rsid w:val="00A5285B"/>
    <w:rsid w:val="00A54D86"/>
    <w:rsid w:val="00A5634A"/>
    <w:rsid w:val="00A56428"/>
    <w:rsid w:val="00A637EC"/>
    <w:rsid w:val="00A64ED9"/>
    <w:rsid w:val="00A65A83"/>
    <w:rsid w:val="00A6633C"/>
    <w:rsid w:val="00A679BB"/>
    <w:rsid w:val="00A76F89"/>
    <w:rsid w:val="00A804EA"/>
    <w:rsid w:val="00A81DC3"/>
    <w:rsid w:val="00A86FD1"/>
    <w:rsid w:val="00A87298"/>
    <w:rsid w:val="00A90026"/>
    <w:rsid w:val="00A90411"/>
    <w:rsid w:val="00A94974"/>
    <w:rsid w:val="00A95454"/>
    <w:rsid w:val="00A97EA2"/>
    <w:rsid w:val="00AA0C2E"/>
    <w:rsid w:val="00AA5948"/>
    <w:rsid w:val="00AA6D3D"/>
    <w:rsid w:val="00AB3B5B"/>
    <w:rsid w:val="00AB4607"/>
    <w:rsid w:val="00AB760A"/>
    <w:rsid w:val="00AC107F"/>
    <w:rsid w:val="00AC2EFB"/>
    <w:rsid w:val="00AD1414"/>
    <w:rsid w:val="00AD241B"/>
    <w:rsid w:val="00AD286A"/>
    <w:rsid w:val="00AD3A29"/>
    <w:rsid w:val="00AD786A"/>
    <w:rsid w:val="00B02903"/>
    <w:rsid w:val="00B103B2"/>
    <w:rsid w:val="00B1482D"/>
    <w:rsid w:val="00B153E3"/>
    <w:rsid w:val="00B16A45"/>
    <w:rsid w:val="00B20558"/>
    <w:rsid w:val="00B26266"/>
    <w:rsid w:val="00B2689C"/>
    <w:rsid w:val="00B26BB3"/>
    <w:rsid w:val="00B32826"/>
    <w:rsid w:val="00B45BC3"/>
    <w:rsid w:val="00B47515"/>
    <w:rsid w:val="00B5791E"/>
    <w:rsid w:val="00B640D3"/>
    <w:rsid w:val="00B6748A"/>
    <w:rsid w:val="00B70137"/>
    <w:rsid w:val="00B736FB"/>
    <w:rsid w:val="00B84FEF"/>
    <w:rsid w:val="00B91483"/>
    <w:rsid w:val="00B920B4"/>
    <w:rsid w:val="00BA0126"/>
    <w:rsid w:val="00BA769C"/>
    <w:rsid w:val="00BB0925"/>
    <w:rsid w:val="00BB3802"/>
    <w:rsid w:val="00BB4233"/>
    <w:rsid w:val="00BB693B"/>
    <w:rsid w:val="00BC05CB"/>
    <w:rsid w:val="00BC1F1C"/>
    <w:rsid w:val="00BC2CC2"/>
    <w:rsid w:val="00BC6058"/>
    <w:rsid w:val="00BD11CF"/>
    <w:rsid w:val="00BD1635"/>
    <w:rsid w:val="00BD18E7"/>
    <w:rsid w:val="00BD5C66"/>
    <w:rsid w:val="00BD5D87"/>
    <w:rsid w:val="00BE55A8"/>
    <w:rsid w:val="00BE56A6"/>
    <w:rsid w:val="00BE7162"/>
    <w:rsid w:val="00BF0A58"/>
    <w:rsid w:val="00BF71B2"/>
    <w:rsid w:val="00BF7E7F"/>
    <w:rsid w:val="00C0277C"/>
    <w:rsid w:val="00C03B54"/>
    <w:rsid w:val="00C04293"/>
    <w:rsid w:val="00C06CCA"/>
    <w:rsid w:val="00C07198"/>
    <w:rsid w:val="00C07FD6"/>
    <w:rsid w:val="00C1107B"/>
    <w:rsid w:val="00C12316"/>
    <w:rsid w:val="00C126A7"/>
    <w:rsid w:val="00C13F13"/>
    <w:rsid w:val="00C203AE"/>
    <w:rsid w:val="00C20D98"/>
    <w:rsid w:val="00C2325C"/>
    <w:rsid w:val="00C26FF5"/>
    <w:rsid w:val="00C27AAA"/>
    <w:rsid w:val="00C27F7C"/>
    <w:rsid w:val="00C40E49"/>
    <w:rsid w:val="00C423A0"/>
    <w:rsid w:val="00C43518"/>
    <w:rsid w:val="00C4424D"/>
    <w:rsid w:val="00C4517A"/>
    <w:rsid w:val="00C45A65"/>
    <w:rsid w:val="00C62866"/>
    <w:rsid w:val="00C65BD5"/>
    <w:rsid w:val="00C704A3"/>
    <w:rsid w:val="00C7079D"/>
    <w:rsid w:val="00C72BA4"/>
    <w:rsid w:val="00C73AEA"/>
    <w:rsid w:val="00C74E8E"/>
    <w:rsid w:val="00C80E7B"/>
    <w:rsid w:val="00C826F3"/>
    <w:rsid w:val="00C84AA2"/>
    <w:rsid w:val="00C91055"/>
    <w:rsid w:val="00C949E9"/>
    <w:rsid w:val="00CA0330"/>
    <w:rsid w:val="00CA7DCD"/>
    <w:rsid w:val="00CA7FFA"/>
    <w:rsid w:val="00CB06BF"/>
    <w:rsid w:val="00CB1699"/>
    <w:rsid w:val="00CB32BA"/>
    <w:rsid w:val="00CB4A91"/>
    <w:rsid w:val="00CC1B51"/>
    <w:rsid w:val="00CD0916"/>
    <w:rsid w:val="00CD3A3B"/>
    <w:rsid w:val="00CD614A"/>
    <w:rsid w:val="00CE0DA0"/>
    <w:rsid w:val="00CE66B5"/>
    <w:rsid w:val="00CF2A45"/>
    <w:rsid w:val="00CF5806"/>
    <w:rsid w:val="00D025B2"/>
    <w:rsid w:val="00D042E0"/>
    <w:rsid w:val="00D06E8D"/>
    <w:rsid w:val="00D1210B"/>
    <w:rsid w:val="00D122A2"/>
    <w:rsid w:val="00D14E1B"/>
    <w:rsid w:val="00D16287"/>
    <w:rsid w:val="00D22301"/>
    <w:rsid w:val="00D23ED3"/>
    <w:rsid w:val="00D250C3"/>
    <w:rsid w:val="00D26D88"/>
    <w:rsid w:val="00D32088"/>
    <w:rsid w:val="00D37964"/>
    <w:rsid w:val="00D4367A"/>
    <w:rsid w:val="00D45F5F"/>
    <w:rsid w:val="00D51214"/>
    <w:rsid w:val="00D60708"/>
    <w:rsid w:val="00D64003"/>
    <w:rsid w:val="00D70E82"/>
    <w:rsid w:val="00D71389"/>
    <w:rsid w:val="00D713A4"/>
    <w:rsid w:val="00D74C68"/>
    <w:rsid w:val="00D8002F"/>
    <w:rsid w:val="00D8160A"/>
    <w:rsid w:val="00D82D24"/>
    <w:rsid w:val="00D83694"/>
    <w:rsid w:val="00D83A04"/>
    <w:rsid w:val="00D85FDC"/>
    <w:rsid w:val="00D90D0C"/>
    <w:rsid w:val="00D9524E"/>
    <w:rsid w:val="00DA1873"/>
    <w:rsid w:val="00DA4F16"/>
    <w:rsid w:val="00DA50C1"/>
    <w:rsid w:val="00DA7FA5"/>
    <w:rsid w:val="00DB0057"/>
    <w:rsid w:val="00DB075B"/>
    <w:rsid w:val="00DC215F"/>
    <w:rsid w:val="00DC5151"/>
    <w:rsid w:val="00DC579D"/>
    <w:rsid w:val="00DD1536"/>
    <w:rsid w:val="00DD5955"/>
    <w:rsid w:val="00DE0003"/>
    <w:rsid w:val="00DE3ABB"/>
    <w:rsid w:val="00DE5583"/>
    <w:rsid w:val="00DE7E47"/>
    <w:rsid w:val="00DF021C"/>
    <w:rsid w:val="00DF6735"/>
    <w:rsid w:val="00DF67C7"/>
    <w:rsid w:val="00DF793E"/>
    <w:rsid w:val="00E00436"/>
    <w:rsid w:val="00E01907"/>
    <w:rsid w:val="00E02FF3"/>
    <w:rsid w:val="00E0678C"/>
    <w:rsid w:val="00E1619F"/>
    <w:rsid w:val="00E21D12"/>
    <w:rsid w:val="00E24B03"/>
    <w:rsid w:val="00E272F1"/>
    <w:rsid w:val="00E32B44"/>
    <w:rsid w:val="00E37795"/>
    <w:rsid w:val="00E45030"/>
    <w:rsid w:val="00E55CB2"/>
    <w:rsid w:val="00E633EA"/>
    <w:rsid w:val="00E64C47"/>
    <w:rsid w:val="00E72855"/>
    <w:rsid w:val="00E83036"/>
    <w:rsid w:val="00E83EBD"/>
    <w:rsid w:val="00E84FD7"/>
    <w:rsid w:val="00E85EA0"/>
    <w:rsid w:val="00E91CCB"/>
    <w:rsid w:val="00E9651C"/>
    <w:rsid w:val="00EA268C"/>
    <w:rsid w:val="00EA5299"/>
    <w:rsid w:val="00EA5CF0"/>
    <w:rsid w:val="00EA5D1D"/>
    <w:rsid w:val="00EB32DB"/>
    <w:rsid w:val="00EB32DC"/>
    <w:rsid w:val="00EB6799"/>
    <w:rsid w:val="00EB7866"/>
    <w:rsid w:val="00EC55C9"/>
    <w:rsid w:val="00EC73EF"/>
    <w:rsid w:val="00EC7841"/>
    <w:rsid w:val="00ED2D92"/>
    <w:rsid w:val="00ED61A6"/>
    <w:rsid w:val="00EE31AB"/>
    <w:rsid w:val="00EE653F"/>
    <w:rsid w:val="00EF05D9"/>
    <w:rsid w:val="00EF0638"/>
    <w:rsid w:val="00EF19D5"/>
    <w:rsid w:val="00EF32FA"/>
    <w:rsid w:val="00EF442F"/>
    <w:rsid w:val="00F029ED"/>
    <w:rsid w:val="00F0346B"/>
    <w:rsid w:val="00F05FB8"/>
    <w:rsid w:val="00F0684F"/>
    <w:rsid w:val="00F172C3"/>
    <w:rsid w:val="00F2601F"/>
    <w:rsid w:val="00F32CE6"/>
    <w:rsid w:val="00F33E50"/>
    <w:rsid w:val="00F348CD"/>
    <w:rsid w:val="00F351CA"/>
    <w:rsid w:val="00F426C1"/>
    <w:rsid w:val="00F60D25"/>
    <w:rsid w:val="00F65C59"/>
    <w:rsid w:val="00F66B2C"/>
    <w:rsid w:val="00F71D30"/>
    <w:rsid w:val="00F775FE"/>
    <w:rsid w:val="00F821DE"/>
    <w:rsid w:val="00F8342E"/>
    <w:rsid w:val="00F92432"/>
    <w:rsid w:val="00F92464"/>
    <w:rsid w:val="00F97E9F"/>
    <w:rsid w:val="00FA05FC"/>
    <w:rsid w:val="00FA1BB3"/>
    <w:rsid w:val="00FA1EC5"/>
    <w:rsid w:val="00FA6432"/>
    <w:rsid w:val="00FA69C4"/>
    <w:rsid w:val="00FA782B"/>
    <w:rsid w:val="00FB290E"/>
    <w:rsid w:val="00FB41AA"/>
    <w:rsid w:val="00FB4575"/>
    <w:rsid w:val="00FB79B5"/>
    <w:rsid w:val="00FC12E2"/>
    <w:rsid w:val="00FC1A9F"/>
    <w:rsid w:val="00FC6F71"/>
    <w:rsid w:val="00FD1E9F"/>
    <w:rsid w:val="00FD2C35"/>
    <w:rsid w:val="00FD46F0"/>
    <w:rsid w:val="00FD5858"/>
    <w:rsid w:val="00FE2381"/>
    <w:rsid w:val="00FF21C6"/>
    <w:rsid w:val="00FF26F1"/>
    <w:rsid w:val="00FF2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39A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64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2325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C232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table" w:styleId="LightGrid-Accent1">
    <w:name w:val="Light Grid Accent 1"/>
    <w:basedOn w:val="TableNormal"/>
    <w:uiPriority w:val="62"/>
    <w:rsid w:val="00F068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A34561"/>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efault">
    <w:name w:val="Default"/>
    <w:link w:val="DefaultChar"/>
    <w:rsid w:val="002940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istBullet">
    <w:name w:val="A-List Bullet"/>
    <w:rsid w:val="006117CA"/>
    <w:pPr>
      <w:numPr>
        <w:numId w:val="5"/>
      </w:numPr>
      <w:spacing w:after="240" w:line="280" w:lineRule="atLeast"/>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rsid w:val="002D1204"/>
    <w:rPr>
      <w:sz w:val="16"/>
      <w:szCs w:val="16"/>
    </w:rPr>
  </w:style>
  <w:style w:type="paragraph" w:styleId="CommentText">
    <w:name w:val="annotation text"/>
    <w:basedOn w:val="Normal"/>
    <w:link w:val="CommentTextChar"/>
    <w:uiPriority w:val="99"/>
    <w:unhideWhenUsed/>
    <w:rsid w:val="002D1204"/>
    <w:pPr>
      <w:spacing w:line="240" w:lineRule="auto"/>
    </w:pPr>
    <w:rPr>
      <w:sz w:val="20"/>
      <w:szCs w:val="20"/>
    </w:rPr>
  </w:style>
  <w:style w:type="character" w:customStyle="1" w:styleId="CommentTextChar">
    <w:name w:val="Comment Text Char"/>
    <w:basedOn w:val="DefaultParagraphFont"/>
    <w:link w:val="CommentText"/>
    <w:uiPriority w:val="99"/>
    <w:rsid w:val="002D1204"/>
    <w:rPr>
      <w:sz w:val="20"/>
      <w:szCs w:val="20"/>
    </w:rPr>
  </w:style>
  <w:style w:type="paragraph" w:styleId="CommentSubject">
    <w:name w:val="annotation subject"/>
    <w:basedOn w:val="CommentText"/>
    <w:next w:val="CommentText"/>
    <w:link w:val="CommentSubjectChar"/>
    <w:uiPriority w:val="99"/>
    <w:semiHidden/>
    <w:unhideWhenUsed/>
    <w:rsid w:val="002D1204"/>
    <w:rPr>
      <w:b/>
      <w:bCs/>
    </w:rPr>
  </w:style>
  <w:style w:type="character" w:customStyle="1" w:styleId="CommentSubjectChar">
    <w:name w:val="Comment Subject Char"/>
    <w:basedOn w:val="CommentTextChar"/>
    <w:link w:val="CommentSubject"/>
    <w:uiPriority w:val="99"/>
    <w:semiHidden/>
    <w:rsid w:val="002D1204"/>
    <w:rPr>
      <w:b/>
      <w:bCs/>
      <w:sz w:val="20"/>
      <w:szCs w:val="20"/>
    </w:rPr>
  </w:style>
  <w:style w:type="character" w:customStyle="1" w:styleId="Heading3Char">
    <w:name w:val="Heading 3 Char"/>
    <w:basedOn w:val="DefaultParagraphFont"/>
    <w:link w:val="Heading3"/>
    <w:uiPriority w:val="9"/>
    <w:rsid w:val="00C2325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C2325C"/>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A56428"/>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A56428"/>
  </w:style>
  <w:style w:type="character" w:styleId="Emphasis">
    <w:name w:val="Emphasis"/>
    <w:basedOn w:val="DefaultParagraphFont"/>
    <w:uiPriority w:val="20"/>
    <w:qFormat/>
    <w:rsid w:val="008B3ED7"/>
    <w:rPr>
      <w:i/>
      <w:iCs/>
    </w:rPr>
  </w:style>
  <w:style w:type="paragraph" w:customStyle="1" w:styleId="flag-toggle-content">
    <w:name w:val="flag-toggle-content"/>
    <w:basedOn w:val="Normal"/>
    <w:rsid w:val="008B3E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57A7F"/>
    <w:rPr>
      <w:color w:val="800080" w:themeColor="followedHyperlink"/>
      <w:u w:val="single"/>
    </w:rPr>
  </w:style>
  <w:style w:type="paragraph" w:customStyle="1" w:styleId="FigurePara">
    <w:name w:val="FigurePara"/>
    <w:basedOn w:val="Normal"/>
    <w:link w:val="FigureParaChar"/>
    <w:rsid w:val="005C0D16"/>
    <w:pPr>
      <w:keepNext/>
      <w:spacing w:after="0" w:line="360" w:lineRule="auto"/>
      <w:jc w:val="both"/>
    </w:pPr>
    <w:rPr>
      <w:rFonts w:ascii="Times New Roman" w:eastAsia="Times New Roman" w:hAnsi="Times New Roman" w:cs="Times New Roman"/>
      <w:szCs w:val="23"/>
    </w:rPr>
  </w:style>
  <w:style w:type="character" w:customStyle="1" w:styleId="FigureParaChar">
    <w:name w:val="FigurePara Char"/>
    <w:basedOn w:val="DefaultParagraphFont"/>
    <w:link w:val="FigurePara"/>
    <w:rsid w:val="005C0D16"/>
    <w:rPr>
      <w:rFonts w:ascii="Times New Roman" w:eastAsia="Times New Roman" w:hAnsi="Times New Roman" w:cs="Times New Roman"/>
      <w:szCs w:val="23"/>
    </w:rPr>
  </w:style>
  <w:style w:type="character" w:customStyle="1" w:styleId="ListParagraphChar">
    <w:name w:val="List Paragraph Char"/>
    <w:basedOn w:val="DefaultParagraphFont"/>
    <w:link w:val="ListParagraph"/>
    <w:uiPriority w:val="34"/>
    <w:locked/>
    <w:rsid w:val="005B4F5F"/>
  </w:style>
  <w:style w:type="paragraph" w:styleId="Revision">
    <w:name w:val="Revision"/>
    <w:hidden/>
    <w:uiPriority w:val="99"/>
    <w:semiHidden/>
    <w:rsid w:val="00306289"/>
    <w:pPr>
      <w:spacing w:after="0" w:line="240" w:lineRule="auto"/>
    </w:pPr>
  </w:style>
  <w:style w:type="paragraph" w:customStyle="1" w:styleId="EndNoteBibliographyTitle">
    <w:name w:val="EndNote Bibliography Title"/>
    <w:basedOn w:val="Normal"/>
    <w:link w:val="EndNoteBibliographyTitleChar"/>
    <w:rsid w:val="00D1210B"/>
    <w:pPr>
      <w:spacing w:after="0"/>
      <w:jc w:val="center"/>
    </w:pPr>
    <w:rPr>
      <w:rFonts w:ascii="Calibri" w:hAnsi="Calibri"/>
      <w:noProof/>
      <w:lang w:val="en-US"/>
    </w:rPr>
  </w:style>
  <w:style w:type="character" w:customStyle="1" w:styleId="DefaultChar">
    <w:name w:val="Default Char"/>
    <w:basedOn w:val="DefaultParagraphFont"/>
    <w:link w:val="Default"/>
    <w:rsid w:val="00D1210B"/>
    <w:rPr>
      <w:rFonts w:ascii="Times New Roman" w:hAnsi="Times New Roman" w:cs="Times New Roman"/>
      <w:color w:val="000000"/>
      <w:sz w:val="24"/>
      <w:szCs w:val="24"/>
    </w:rPr>
  </w:style>
  <w:style w:type="character" w:customStyle="1" w:styleId="EndNoteBibliographyTitleChar">
    <w:name w:val="EndNote Bibliography Title Char"/>
    <w:basedOn w:val="DefaultChar"/>
    <w:link w:val="EndNoteBibliographyTitle"/>
    <w:rsid w:val="00D1210B"/>
    <w:rPr>
      <w:rFonts w:ascii="Calibri" w:hAnsi="Calibri" w:cs="Times New Roman"/>
      <w:noProof/>
      <w:color w:val="000000"/>
      <w:sz w:val="24"/>
      <w:szCs w:val="24"/>
      <w:lang w:val="en-US"/>
    </w:rPr>
  </w:style>
  <w:style w:type="paragraph" w:customStyle="1" w:styleId="EndNoteBibliography">
    <w:name w:val="EndNote Bibliography"/>
    <w:basedOn w:val="Normal"/>
    <w:link w:val="EndNoteBibliographyChar"/>
    <w:rsid w:val="00D1210B"/>
    <w:pPr>
      <w:spacing w:line="240" w:lineRule="auto"/>
    </w:pPr>
    <w:rPr>
      <w:rFonts w:ascii="Calibri" w:hAnsi="Calibri"/>
      <w:noProof/>
      <w:lang w:val="en-US"/>
    </w:rPr>
  </w:style>
  <w:style w:type="character" w:customStyle="1" w:styleId="EndNoteBibliographyChar">
    <w:name w:val="EndNote Bibliography Char"/>
    <w:basedOn w:val="DefaultChar"/>
    <w:link w:val="EndNoteBibliography"/>
    <w:rsid w:val="00D1210B"/>
    <w:rPr>
      <w:rFonts w:ascii="Calibri" w:hAnsi="Calibri" w:cs="Times New Roman"/>
      <w:noProof/>
      <w:color w:val="000000"/>
      <w:sz w:val="24"/>
      <w:szCs w:val="24"/>
      <w:lang w:val="en-US"/>
    </w:rPr>
  </w:style>
  <w:style w:type="paragraph" w:styleId="NoSpacing">
    <w:name w:val="No Spacing"/>
    <w:uiPriority w:val="1"/>
    <w:qFormat/>
    <w:rsid w:val="00BE56A6"/>
    <w:pPr>
      <w:spacing w:after="0" w:line="240" w:lineRule="auto"/>
    </w:pPr>
    <w:rPr>
      <w:rFonts w:ascii="Calibri" w:eastAsia="Times New Roman" w:hAnsi="Calibri" w:cs="Tahom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64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2325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C232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table" w:styleId="LightGrid-Accent1">
    <w:name w:val="Light Grid Accent 1"/>
    <w:basedOn w:val="TableNormal"/>
    <w:uiPriority w:val="62"/>
    <w:rsid w:val="00F068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A34561"/>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efault">
    <w:name w:val="Default"/>
    <w:link w:val="DefaultChar"/>
    <w:rsid w:val="002940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istBullet">
    <w:name w:val="A-List Bullet"/>
    <w:rsid w:val="006117CA"/>
    <w:pPr>
      <w:numPr>
        <w:numId w:val="5"/>
      </w:numPr>
      <w:spacing w:after="240" w:line="280" w:lineRule="atLeast"/>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rsid w:val="002D1204"/>
    <w:rPr>
      <w:sz w:val="16"/>
      <w:szCs w:val="16"/>
    </w:rPr>
  </w:style>
  <w:style w:type="paragraph" w:styleId="CommentText">
    <w:name w:val="annotation text"/>
    <w:basedOn w:val="Normal"/>
    <w:link w:val="CommentTextChar"/>
    <w:uiPriority w:val="99"/>
    <w:unhideWhenUsed/>
    <w:rsid w:val="002D1204"/>
    <w:pPr>
      <w:spacing w:line="240" w:lineRule="auto"/>
    </w:pPr>
    <w:rPr>
      <w:sz w:val="20"/>
      <w:szCs w:val="20"/>
    </w:rPr>
  </w:style>
  <w:style w:type="character" w:customStyle="1" w:styleId="CommentTextChar">
    <w:name w:val="Comment Text Char"/>
    <w:basedOn w:val="DefaultParagraphFont"/>
    <w:link w:val="CommentText"/>
    <w:uiPriority w:val="99"/>
    <w:rsid w:val="002D1204"/>
    <w:rPr>
      <w:sz w:val="20"/>
      <w:szCs w:val="20"/>
    </w:rPr>
  </w:style>
  <w:style w:type="paragraph" w:styleId="CommentSubject">
    <w:name w:val="annotation subject"/>
    <w:basedOn w:val="CommentText"/>
    <w:next w:val="CommentText"/>
    <w:link w:val="CommentSubjectChar"/>
    <w:uiPriority w:val="99"/>
    <w:semiHidden/>
    <w:unhideWhenUsed/>
    <w:rsid w:val="002D1204"/>
    <w:rPr>
      <w:b/>
      <w:bCs/>
    </w:rPr>
  </w:style>
  <w:style w:type="character" w:customStyle="1" w:styleId="CommentSubjectChar">
    <w:name w:val="Comment Subject Char"/>
    <w:basedOn w:val="CommentTextChar"/>
    <w:link w:val="CommentSubject"/>
    <w:uiPriority w:val="99"/>
    <w:semiHidden/>
    <w:rsid w:val="002D1204"/>
    <w:rPr>
      <w:b/>
      <w:bCs/>
      <w:sz w:val="20"/>
      <w:szCs w:val="20"/>
    </w:rPr>
  </w:style>
  <w:style w:type="character" w:customStyle="1" w:styleId="Heading3Char">
    <w:name w:val="Heading 3 Char"/>
    <w:basedOn w:val="DefaultParagraphFont"/>
    <w:link w:val="Heading3"/>
    <w:uiPriority w:val="9"/>
    <w:rsid w:val="00C2325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C2325C"/>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A56428"/>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A56428"/>
  </w:style>
  <w:style w:type="character" w:styleId="Emphasis">
    <w:name w:val="Emphasis"/>
    <w:basedOn w:val="DefaultParagraphFont"/>
    <w:uiPriority w:val="20"/>
    <w:qFormat/>
    <w:rsid w:val="008B3ED7"/>
    <w:rPr>
      <w:i/>
      <w:iCs/>
    </w:rPr>
  </w:style>
  <w:style w:type="paragraph" w:customStyle="1" w:styleId="flag-toggle-content">
    <w:name w:val="flag-toggle-content"/>
    <w:basedOn w:val="Normal"/>
    <w:rsid w:val="008B3E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57A7F"/>
    <w:rPr>
      <w:color w:val="800080" w:themeColor="followedHyperlink"/>
      <w:u w:val="single"/>
    </w:rPr>
  </w:style>
  <w:style w:type="paragraph" w:customStyle="1" w:styleId="FigurePara">
    <w:name w:val="FigurePara"/>
    <w:basedOn w:val="Normal"/>
    <w:link w:val="FigureParaChar"/>
    <w:rsid w:val="005C0D16"/>
    <w:pPr>
      <w:keepNext/>
      <w:spacing w:after="0" w:line="360" w:lineRule="auto"/>
      <w:jc w:val="both"/>
    </w:pPr>
    <w:rPr>
      <w:rFonts w:ascii="Times New Roman" w:eastAsia="Times New Roman" w:hAnsi="Times New Roman" w:cs="Times New Roman"/>
      <w:szCs w:val="23"/>
    </w:rPr>
  </w:style>
  <w:style w:type="character" w:customStyle="1" w:styleId="FigureParaChar">
    <w:name w:val="FigurePara Char"/>
    <w:basedOn w:val="DefaultParagraphFont"/>
    <w:link w:val="FigurePara"/>
    <w:rsid w:val="005C0D16"/>
    <w:rPr>
      <w:rFonts w:ascii="Times New Roman" w:eastAsia="Times New Roman" w:hAnsi="Times New Roman" w:cs="Times New Roman"/>
      <w:szCs w:val="23"/>
    </w:rPr>
  </w:style>
  <w:style w:type="character" w:customStyle="1" w:styleId="ListParagraphChar">
    <w:name w:val="List Paragraph Char"/>
    <w:basedOn w:val="DefaultParagraphFont"/>
    <w:link w:val="ListParagraph"/>
    <w:uiPriority w:val="34"/>
    <w:locked/>
    <w:rsid w:val="005B4F5F"/>
  </w:style>
  <w:style w:type="paragraph" w:styleId="Revision">
    <w:name w:val="Revision"/>
    <w:hidden/>
    <w:uiPriority w:val="99"/>
    <w:semiHidden/>
    <w:rsid w:val="00306289"/>
    <w:pPr>
      <w:spacing w:after="0" w:line="240" w:lineRule="auto"/>
    </w:pPr>
  </w:style>
  <w:style w:type="paragraph" w:customStyle="1" w:styleId="EndNoteBibliographyTitle">
    <w:name w:val="EndNote Bibliography Title"/>
    <w:basedOn w:val="Normal"/>
    <w:link w:val="EndNoteBibliographyTitleChar"/>
    <w:rsid w:val="00D1210B"/>
    <w:pPr>
      <w:spacing w:after="0"/>
      <w:jc w:val="center"/>
    </w:pPr>
    <w:rPr>
      <w:rFonts w:ascii="Calibri" w:hAnsi="Calibri"/>
      <w:noProof/>
      <w:lang w:val="en-US"/>
    </w:rPr>
  </w:style>
  <w:style w:type="character" w:customStyle="1" w:styleId="DefaultChar">
    <w:name w:val="Default Char"/>
    <w:basedOn w:val="DefaultParagraphFont"/>
    <w:link w:val="Default"/>
    <w:rsid w:val="00D1210B"/>
    <w:rPr>
      <w:rFonts w:ascii="Times New Roman" w:hAnsi="Times New Roman" w:cs="Times New Roman"/>
      <w:color w:val="000000"/>
      <w:sz w:val="24"/>
      <w:szCs w:val="24"/>
    </w:rPr>
  </w:style>
  <w:style w:type="character" w:customStyle="1" w:styleId="EndNoteBibliographyTitleChar">
    <w:name w:val="EndNote Bibliography Title Char"/>
    <w:basedOn w:val="DefaultChar"/>
    <w:link w:val="EndNoteBibliographyTitle"/>
    <w:rsid w:val="00D1210B"/>
    <w:rPr>
      <w:rFonts w:ascii="Calibri" w:hAnsi="Calibri" w:cs="Times New Roman"/>
      <w:noProof/>
      <w:color w:val="000000"/>
      <w:sz w:val="24"/>
      <w:szCs w:val="24"/>
      <w:lang w:val="en-US"/>
    </w:rPr>
  </w:style>
  <w:style w:type="paragraph" w:customStyle="1" w:styleId="EndNoteBibliography">
    <w:name w:val="EndNote Bibliography"/>
    <w:basedOn w:val="Normal"/>
    <w:link w:val="EndNoteBibliographyChar"/>
    <w:rsid w:val="00D1210B"/>
    <w:pPr>
      <w:spacing w:line="240" w:lineRule="auto"/>
    </w:pPr>
    <w:rPr>
      <w:rFonts w:ascii="Calibri" w:hAnsi="Calibri"/>
      <w:noProof/>
      <w:lang w:val="en-US"/>
    </w:rPr>
  </w:style>
  <w:style w:type="character" w:customStyle="1" w:styleId="EndNoteBibliographyChar">
    <w:name w:val="EndNote Bibliography Char"/>
    <w:basedOn w:val="DefaultChar"/>
    <w:link w:val="EndNoteBibliography"/>
    <w:rsid w:val="00D1210B"/>
    <w:rPr>
      <w:rFonts w:ascii="Calibri" w:hAnsi="Calibri" w:cs="Times New Roman"/>
      <w:noProof/>
      <w:color w:val="000000"/>
      <w:sz w:val="24"/>
      <w:szCs w:val="24"/>
      <w:lang w:val="en-US"/>
    </w:rPr>
  </w:style>
  <w:style w:type="paragraph" w:styleId="NoSpacing">
    <w:name w:val="No Spacing"/>
    <w:uiPriority w:val="1"/>
    <w:qFormat/>
    <w:rsid w:val="00BE56A6"/>
    <w:pPr>
      <w:spacing w:after="0" w:line="240" w:lineRule="auto"/>
    </w:pPr>
    <w:rPr>
      <w:rFonts w:ascii="Calibri" w:eastAsia="Times New Roman" w:hAnsi="Calibri" w:cs="Tahom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054">
      <w:bodyDiv w:val="1"/>
      <w:marLeft w:val="0"/>
      <w:marRight w:val="0"/>
      <w:marTop w:val="0"/>
      <w:marBottom w:val="0"/>
      <w:divBdr>
        <w:top w:val="none" w:sz="0" w:space="0" w:color="auto"/>
        <w:left w:val="none" w:sz="0" w:space="0" w:color="auto"/>
        <w:bottom w:val="none" w:sz="0" w:space="0" w:color="auto"/>
        <w:right w:val="none" w:sz="0" w:space="0" w:color="auto"/>
      </w:divBdr>
      <w:divsChild>
        <w:div w:id="147284414">
          <w:marLeft w:val="0"/>
          <w:marRight w:val="0"/>
          <w:marTop w:val="0"/>
          <w:marBottom w:val="0"/>
          <w:divBdr>
            <w:top w:val="none" w:sz="0" w:space="0" w:color="auto"/>
            <w:left w:val="none" w:sz="0" w:space="0" w:color="auto"/>
            <w:bottom w:val="none" w:sz="0" w:space="4" w:color="auto"/>
            <w:right w:val="none" w:sz="0" w:space="0" w:color="auto"/>
          </w:divBdr>
        </w:div>
        <w:div w:id="919409915">
          <w:marLeft w:val="0"/>
          <w:marRight w:val="0"/>
          <w:marTop w:val="0"/>
          <w:marBottom w:val="0"/>
          <w:divBdr>
            <w:top w:val="none" w:sz="0" w:space="0" w:color="auto"/>
            <w:left w:val="none" w:sz="0" w:space="0" w:color="auto"/>
            <w:bottom w:val="none" w:sz="0" w:space="0" w:color="auto"/>
            <w:right w:val="none" w:sz="0" w:space="0" w:color="auto"/>
          </w:divBdr>
          <w:divsChild>
            <w:div w:id="1497570287">
              <w:marLeft w:val="0"/>
              <w:marRight w:val="0"/>
              <w:marTop w:val="0"/>
              <w:marBottom w:val="0"/>
              <w:divBdr>
                <w:top w:val="none" w:sz="0" w:space="8" w:color="auto"/>
                <w:left w:val="none" w:sz="0" w:space="0" w:color="auto"/>
                <w:bottom w:val="none" w:sz="0" w:space="0" w:color="auto"/>
                <w:right w:val="none" w:sz="0" w:space="0" w:color="auto"/>
              </w:divBdr>
            </w:div>
          </w:divsChild>
        </w:div>
      </w:divsChild>
    </w:div>
    <w:div w:id="170535657">
      <w:bodyDiv w:val="1"/>
      <w:marLeft w:val="0"/>
      <w:marRight w:val="0"/>
      <w:marTop w:val="0"/>
      <w:marBottom w:val="0"/>
      <w:divBdr>
        <w:top w:val="none" w:sz="0" w:space="0" w:color="auto"/>
        <w:left w:val="none" w:sz="0" w:space="0" w:color="auto"/>
        <w:bottom w:val="none" w:sz="0" w:space="0" w:color="auto"/>
        <w:right w:val="none" w:sz="0" w:space="0" w:color="auto"/>
      </w:divBdr>
      <w:divsChild>
        <w:div w:id="379398429">
          <w:marLeft w:val="547"/>
          <w:marRight w:val="0"/>
          <w:marTop w:val="0"/>
          <w:marBottom w:val="0"/>
          <w:divBdr>
            <w:top w:val="none" w:sz="0" w:space="0" w:color="auto"/>
            <w:left w:val="none" w:sz="0" w:space="0" w:color="auto"/>
            <w:bottom w:val="none" w:sz="0" w:space="0" w:color="auto"/>
            <w:right w:val="none" w:sz="0" w:space="0" w:color="auto"/>
          </w:divBdr>
        </w:div>
        <w:div w:id="534468397">
          <w:marLeft w:val="547"/>
          <w:marRight w:val="0"/>
          <w:marTop w:val="0"/>
          <w:marBottom w:val="0"/>
          <w:divBdr>
            <w:top w:val="none" w:sz="0" w:space="0" w:color="auto"/>
            <w:left w:val="none" w:sz="0" w:space="0" w:color="auto"/>
            <w:bottom w:val="none" w:sz="0" w:space="0" w:color="auto"/>
            <w:right w:val="none" w:sz="0" w:space="0" w:color="auto"/>
          </w:divBdr>
        </w:div>
      </w:divsChild>
    </w:div>
    <w:div w:id="295263563">
      <w:bodyDiv w:val="1"/>
      <w:marLeft w:val="0"/>
      <w:marRight w:val="0"/>
      <w:marTop w:val="0"/>
      <w:marBottom w:val="0"/>
      <w:divBdr>
        <w:top w:val="none" w:sz="0" w:space="0" w:color="auto"/>
        <w:left w:val="none" w:sz="0" w:space="0" w:color="auto"/>
        <w:bottom w:val="none" w:sz="0" w:space="0" w:color="auto"/>
        <w:right w:val="none" w:sz="0" w:space="0" w:color="auto"/>
      </w:divBdr>
    </w:div>
    <w:div w:id="354043095">
      <w:bodyDiv w:val="1"/>
      <w:marLeft w:val="0"/>
      <w:marRight w:val="0"/>
      <w:marTop w:val="0"/>
      <w:marBottom w:val="0"/>
      <w:divBdr>
        <w:top w:val="none" w:sz="0" w:space="0" w:color="auto"/>
        <w:left w:val="none" w:sz="0" w:space="0" w:color="auto"/>
        <w:bottom w:val="none" w:sz="0" w:space="0" w:color="auto"/>
        <w:right w:val="none" w:sz="0" w:space="0" w:color="auto"/>
      </w:divBdr>
    </w:div>
    <w:div w:id="481772033">
      <w:bodyDiv w:val="1"/>
      <w:marLeft w:val="0"/>
      <w:marRight w:val="0"/>
      <w:marTop w:val="0"/>
      <w:marBottom w:val="0"/>
      <w:divBdr>
        <w:top w:val="none" w:sz="0" w:space="0" w:color="auto"/>
        <w:left w:val="none" w:sz="0" w:space="0" w:color="auto"/>
        <w:bottom w:val="none" w:sz="0" w:space="0" w:color="auto"/>
        <w:right w:val="none" w:sz="0" w:space="0" w:color="auto"/>
      </w:divBdr>
    </w:div>
    <w:div w:id="503739361">
      <w:bodyDiv w:val="1"/>
      <w:marLeft w:val="0"/>
      <w:marRight w:val="0"/>
      <w:marTop w:val="0"/>
      <w:marBottom w:val="0"/>
      <w:divBdr>
        <w:top w:val="none" w:sz="0" w:space="0" w:color="auto"/>
        <w:left w:val="none" w:sz="0" w:space="0" w:color="auto"/>
        <w:bottom w:val="none" w:sz="0" w:space="0" w:color="auto"/>
        <w:right w:val="none" w:sz="0" w:space="0" w:color="auto"/>
      </w:divBdr>
    </w:div>
    <w:div w:id="550310917">
      <w:bodyDiv w:val="1"/>
      <w:marLeft w:val="0"/>
      <w:marRight w:val="0"/>
      <w:marTop w:val="0"/>
      <w:marBottom w:val="0"/>
      <w:divBdr>
        <w:top w:val="none" w:sz="0" w:space="0" w:color="auto"/>
        <w:left w:val="none" w:sz="0" w:space="0" w:color="auto"/>
        <w:bottom w:val="none" w:sz="0" w:space="0" w:color="auto"/>
        <w:right w:val="none" w:sz="0" w:space="0" w:color="auto"/>
      </w:divBdr>
    </w:div>
    <w:div w:id="779953714">
      <w:bodyDiv w:val="1"/>
      <w:marLeft w:val="0"/>
      <w:marRight w:val="0"/>
      <w:marTop w:val="0"/>
      <w:marBottom w:val="0"/>
      <w:divBdr>
        <w:top w:val="none" w:sz="0" w:space="0" w:color="auto"/>
        <w:left w:val="none" w:sz="0" w:space="0" w:color="auto"/>
        <w:bottom w:val="none" w:sz="0" w:space="0" w:color="auto"/>
        <w:right w:val="none" w:sz="0" w:space="0" w:color="auto"/>
      </w:divBdr>
    </w:div>
    <w:div w:id="832142388">
      <w:bodyDiv w:val="1"/>
      <w:marLeft w:val="0"/>
      <w:marRight w:val="0"/>
      <w:marTop w:val="0"/>
      <w:marBottom w:val="0"/>
      <w:divBdr>
        <w:top w:val="none" w:sz="0" w:space="0" w:color="auto"/>
        <w:left w:val="none" w:sz="0" w:space="0" w:color="auto"/>
        <w:bottom w:val="none" w:sz="0" w:space="0" w:color="auto"/>
        <w:right w:val="none" w:sz="0" w:space="0" w:color="auto"/>
      </w:divBdr>
    </w:div>
    <w:div w:id="846553091">
      <w:bodyDiv w:val="1"/>
      <w:marLeft w:val="0"/>
      <w:marRight w:val="0"/>
      <w:marTop w:val="0"/>
      <w:marBottom w:val="0"/>
      <w:divBdr>
        <w:top w:val="none" w:sz="0" w:space="0" w:color="auto"/>
        <w:left w:val="none" w:sz="0" w:space="0" w:color="auto"/>
        <w:bottom w:val="none" w:sz="0" w:space="0" w:color="auto"/>
        <w:right w:val="none" w:sz="0" w:space="0" w:color="auto"/>
      </w:divBdr>
      <w:divsChild>
        <w:div w:id="164054599">
          <w:marLeft w:val="0"/>
          <w:marRight w:val="0"/>
          <w:marTop w:val="0"/>
          <w:marBottom w:val="300"/>
          <w:divBdr>
            <w:top w:val="none" w:sz="0" w:space="0" w:color="auto"/>
            <w:left w:val="none" w:sz="0" w:space="0" w:color="auto"/>
            <w:bottom w:val="none" w:sz="0" w:space="0" w:color="auto"/>
            <w:right w:val="none" w:sz="0" w:space="0" w:color="auto"/>
          </w:divBdr>
          <w:divsChild>
            <w:div w:id="1807501394">
              <w:marLeft w:val="0"/>
              <w:marRight w:val="0"/>
              <w:marTop w:val="0"/>
              <w:marBottom w:val="0"/>
              <w:divBdr>
                <w:top w:val="none" w:sz="0" w:space="0" w:color="auto"/>
                <w:left w:val="none" w:sz="0" w:space="0" w:color="auto"/>
                <w:bottom w:val="none" w:sz="0" w:space="0" w:color="auto"/>
                <w:right w:val="none" w:sz="0" w:space="0" w:color="auto"/>
              </w:divBdr>
              <w:divsChild>
                <w:div w:id="550269299">
                  <w:marLeft w:val="0"/>
                  <w:marRight w:val="0"/>
                  <w:marTop w:val="0"/>
                  <w:marBottom w:val="0"/>
                  <w:divBdr>
                    <w:top w:val="none" w:sz="0" w:space="0" w:color="auto"/>
                    <w:left w:val="none" w:sz="0" w:space="0" w:color="auto"/>
                    <w:bottom w:val="none" w:sz="0" w:space="0" w:color="auto"/>
                    <w:right w:val="none" w:sz="0" w:space="0" w:color="auto"/>
                  </w:divBdr>
                  <w:divsChild>
                    <w:div w:id="18148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1901">
      <w:bodyDiv w:val="1"/>
      <w:marLeft w:val="0"/>
      <w:marRight w:val="0"/>
      <w:marTop w:val="0"/>
      <w:marBottom w:val="0"/>
      <w:divBdr>
        <w:top w:val="none" w:sz="0" w:space="0" w:color="auto"/>
        <w:left w:val="none" w:sz="0" w:space="0" w:color="auto"/>
        <w:bottom w:val="none" w:sz="0" w:space="0" w:color="auto"/>
        <w:right w:val="none" w:sz="0" w:space="0" w:color="auto"/>
      </w:divBdr>
    </w:div>
    <w:div w:id="926156566">
      <w:bodyDiv w:val="1"/>
      <w:marLeft w:val="0"/>
      <w:marRight w:val="0"/>
      <w:marTop w:val="0"/>
      <w:marBottom w:val="0"/>
      <w:divBdr>
        <w:top w:val="none" w:sz="0" w:space="0" w:color="auto"/>
        <w:left w:val="none" w:sz="0" w:space="0" w:color="auto"/>
        <w:bottom w:val="none" w:sz="0" w:space="0" w:color="auto"/>
        <w:right w:val="none" w:sz="0" w:space="0" w:color="auto"/>
      </w:divBdr>
    </w:div>
    <w:div w:id="966007767">
      <w:bodyDiv w:val="1"/>
      <w:marLeft w:val="0"/>
      <w:marRight w:val="0"/>
      <w:marTop w:val="0"/>
      <w:marBottom w:val="0"/>
      <w:divBdr>
        <w:top w:val="none" w:sz="0" w:space="0" w:color="auto"/>
        <w:left w:val="none" w:sz="0" w:space="0" w:color="auto"/>
        <w:bottom w:val="none" w:sz="0" w:space="0" w:color="auto"/>
        <w:right w:val="none" w:sz="0" w:space="0" w:color="auto"/>
      </w:divBdr>
    </w:div>
    <w:div w:id="984578724">
      <w:bodyDiv w:val="1"/>
      <w:marLeft w:val="0"/>
      <w:marRight w:val="0"/>
      <w:marTop w:val="0"/>
      <w:marBottom w:val="0"/>
      <w:divBdr>
        <w:top w:val="none" w:sz="0" w:space="0" w:color="auto"/>
        <w:left w:val="none" w:sz="0" w:space="0" w:color="auto"/>
        <w:bottom w:val="none" w:sz="0" w:space="0" w:color="auto"/>
        <w:right w:val="none" w:sz="0" w:space="0" w:color="auto"/>
      </w:divBdr>
    </w:div>
    <w:div w:id="997804652">
      <w:bodyDiv w:val="1"/>
      <w:marLeft w:val="0"/>
      <w:marRight w:val="0"/>
      <w:marTop w:val="0"/>
      <w:marBottom w:val="0"/>
      <w:divBdr>
        <w:top w:val="none" w:sz="0" w:space="0" w:color="auto"/>
        <w:left w:val="none" w:sz="0" w:space="0" w:color="auto"/>
        <w:bottom w:val="none" w:sz="0" w:space="0" w:color="auto"/>
        <w:right w:val="none" w:sz="0" w:space="0" w:color="auto"/>
      </w:divBdr>
      <w:divsChild>
        <w:div w:id="974143814">
          <w:marLeft w:val="0"/>
          <w:marRight w:val="0"/>
          <w:marTop w:val="0"/>
          <w:marBottom w:val="0"/>
          <w:divBdr>
            <w:top w:val="none" w:sz="0" w:space="0" w:color="auto"/>
            <w:left w:val="none" w:sz="0" w:space="0" w:color="auto"/>
            <w:bottom w:val="none" w:sz="0" w:space="0" w:color="auto"/>
            <w:right w:val="none" w:sz="0" w:space="0" w:color="auto"/>
          </w:divBdr>
          <w:divsChild>
            <w:div w:id="1832480680">
              <w:marLeft w:val="0"/>
              <w:marRight w:val="0"/>
              <w:marTop w:val="0"/>
              <w:marBottom w:val="0"/>
              <w:divBdr>
                <w:top w:val="none" w:sz="0" w:space="8" w:color="auto"/>
                <w:left w:val="none" w:sz="0" w:space="0" w:color="auto"/>
                <w:bottom w:val="none" w:sz="0" w:space="0" w:color="auto"/>
                <w:right w:val="none" w:sz="0" w:space="0" w:color="auto"/>
              </w:divBdr>
            </w:div>
          </w:divsChild>
        </w:div>
        <w:div w:id="1634286448">
          <w:marLeft w:val="0"/>
          <w:marRight w:val="0"/>
          <w:marTop w:val="0"/>
          <w:marBottom w:val="0"/>
          <w:divBdr>
            <w:top w:val="none" w:sz="0" w:space="0" w:color="auto"/>
            <w:left w:val="none" w:sz="0" w:space="0" w:color="auto"/>
            <w:bottom w:val="none" w:sz="0" w:space="4" w:color="auto"/>
            <w:right w:val="none" w:sz="0" w:space="0" w:color="auto"/>
          </w:divBdr>
        </w:div>
      </w:divsChild>
    </w:div>
    <w:div w:id="1121343899">
      <w:bodyDiv w:val="1"/>
      <w:marLeft w:val="0"/>
      <w:marRight w:val="0"/>
      <w:marTop w:val="0"/>
      <w:marBottom w:val="0"/>
      <w:divBdr>
        <w:top w:val="none" w:sz="0" w:space="0" w:color="auto"/>
        <w:left w:val="none" w:sz="0" w:space="0" w:color="auto"/>
        <w:bottom w:val="none" w:sz="0" w:space="0" w:color="auto"/>
        <w:right w:val="none" w:sz="0" w:space="0" w:color="auto"/>
      </w:divBdr>
      <w:divsChild>
        <w:div w:id="194386113">
          <w:marLeft w:val="547"/>
          <w:marRight w:val="0"/>
          <w:marTop w:val="0"/>
          <w:marBottom w:val="0"/>
          <w:divBdr>
            <w:top w:val="none" w:sz="0" w:space="0" w:color="auto"/>
            <w:left w:val="none" w:sz="0" w:space="0" w:color="auto"/>
            <w:bottom w:val="none" w:sz="0" w:space="0" w:color="auto"/>
            <w:right w:val="none" w:sz="0" w:space="0" w:color="auto"/>
          </w:divBdr>
        </w:div>
        <w:div w:id="336077914">
          <w:marLeft w:val="547"/>
          <w:marRight w:val="0"/>
          <w:marTop w:val="0"/>
          <w:marBottom w:val="0"/>
          <w:divBdr>
            <w:top w:val="none" w:sz="0" w:space="0" w:color="auto"/>
            <w:left w:val="none" w:sz="0" w:space="0" w:color="auto"/>
            <w:bottom w:val="none" w:sz="0" w:space="0" w:color="auto"/>
            <w:right w:val="none" w:sz="0" w:space="0" w:color="auto"/>
          </w:divBdr>
        </w:div>
      </w:divsChild>
    </w:div>
    <w:div w:id="1280989302">
      <w:bodyDiv w:val="1"/>
      <w:marLeft w:val="0"/>
      <w:marRight w:val="0"/>
      <w:marTop w:val="0"/>
      <w:marBottom w:val="0"/>
      <w:divBdr>
        <w:top w:val="none" w:sz="0" w:space="0" w:color="auto"/>
        <w:left w:val="none" w:sz="0" w:space="0" w:color="auto"/>
        <w:bottom w:val="none" w:sz="0" w:space="0" w:color="auto"/>
        <w:right w:val="none" w:sz="0" w:space="0" w:color="auto"/>
      </w:divBdr>
    </w:div>
    <w:div w:id="1422144164">
      <w:bodyDiv w:val="1"/>
      <w:marLeft w:val="0"/>
      <w:marRight w:val="0"/>
      <w:marTop w:val="0"/>
      <w:marBottom w:val="0"/>
      <w:divBdr>
        <w:top w:val="none" w:sz="0" w:space="0" w:color="auto"/>
        <w:left w:val="none" w:sz="0" w:space="0" w:color="auto"/>
        <w:bottom w:val="none" w:sz="0" w:space="0" w:color="auto"/>
        <w:right w:val="none" w:sz="0" w:space="0" w:color="auto"/>
      </w:divBdr>
    </w:div>
    <w:div w:id="1539589045">
      <w:bodyDiv w:val="1"/>
      <w:marLeft w:val="0"/>
      <w:marRight w:val="0"/>
      <w:marTop w:val="0"/>
      <w:marBottom w:val="0"/>
      <w:divBdr>
        <w:top w:val="none" w:sz="0" w:space="0" w:color="auto"/>
        <w:left w:val="none" w:sz="0" w:space="0" w:color="auto"/>
        <w:bottom w:val="none" w:sz="0" w:space="0" w:color="auto"/>
        <w:right w:val="none" w:sz="0" w:space="0" w:color="auto"/>
      </w:divBdr>
    </w:div>
    <w:div w:id="1662468550">
      <w:bodyDiv w:val="1"/>
      <w:marLeft w:val="0"/>
      <w:marRight w:val="0"/>
      <w:marTop w:val="0"/>
      <w:marBottom w:val="0"/>
      <w:divBdr>
        <w:top w:val="none" w:sz="0" w:space="0" w:color="auto"/>
        <w:left w:val="none" w:sz="0" w:space="0" w:color="auto"/>
        <w:bottom w:val="none" w:sz="0" w:space="0" w:color="auto"/>
        <w:right w:val="none" w:sz="0" w:space="0" w:color="auto"/>
      </w:divBdr>
    </w:div>
    <w:div w:id="1713264446">
      <w:bodyDiv w:val="1"/>
      <w:marLeft w:val="0"/>
      <w:marRight w:val="0"/>
      <w:marTop w:val="0"/>
      <w:marBottom w:val="0"/>
      <w:divBdr>
        <w:top w:val="none" w:sz="0" w:space="0" w:color="auto"/>
        <w:left w:val="none" w:sz="0" w:space="0" w:color="auto"/>
        <w:bottom w:val="none" w:sz="0" w:space="0" w:color="auto"/>
        <w:right w:val="none" w:sz="0" w:space="0" w:color="auto"/>
      </w:divBdr>
    </w:div>
    <w:div w:id="1752267267">
      <w:bodyDiv w:val="1"/>
      <w:marLeft w:val="0"/>
      <w:marRight w:val="0"/>
      <w:marTop w:val="0"/>
      <w:marBottom w:val="0"/>
      <w:divBdr>
        <w:top w:val="none" w:sz="0" w:space="0" w:color="auto"/>
        <w:left w:val="none" w:sz="0" w:space="0" w:color="auto"/>
        <w:bottom w:val="none" w:sz="0" w:space="0" w:color="auto"/>
        <w:right w:val="none" w:sz="0" w:space="0" w:color="auto"/>
      </w:divBdr>
      <w:divsChild>
        <w:div w:id="807823585">
          <w:marLeft w:val="547"/>
          <w:marRight w:val="0"/>
          <w:marTop w:val="0"/>
          <w:marBottom w:val="0"/>
          <w:divBdr>
            <w:top w:val="none" w:sz="0" w:space="0" w:color="auto"/>
            <w:left w:val="none" w:sz="0" w:space="0" w:color="auto"/>
            <w:bottom w:val="none" w:sz="0" w:space="0" w:color="auto"/>
            <w:right w:val="none" w:sz="0" w:space="0" w:color="auto"/>
          </w:divBdr>
        </w:div>
        <w:div w:id="1350793878">
          <w:marLeft w:val="547"/>
          <w:marRight w:val="0"/>
          <w:marTop w:val="0"/>
          <w:marBottom w:val="0"/>
          <w:divBdr>
            <w:top w:val="none" w:sz="0" w:space="0" w:color="auto"/>
            <w:left w:val="none" w:sz="0" w:space="0" w:color="auto"/>
            <w:bottom w:val="none" w:sz="0" w:space="0" w:color="auto"/>
            <w:right w:val="none" w:sz="0" w:space="0" w:color="auto"/>
          </w:divBdr>
        </w:div>
      </w:divsChild>
    </w:div>
    <w:div w:id="1779720569">
      <w:bodyDiv w:val="1"/>
      <w:marLeft w:val="0"/>
      <w:marRight w:val="0"/>
      <w:marTop w:val="0"/>
      <w:marBottom w:val="0"/>
      <w:divBdr>
        <w:top w:val="none" w:sz="0" w:space="0" w:color="auto"/>
        <w:left w:val="none" w:sz="0" w:space="0" w:color="auto"/>
        <w:bottom w:val="none" w:sz="0" w:space="0" w:color="auto"/>
        <w:right w:val="none" w:sz="0" w:space="0" w:color="auto"/>
      </w:divBdr>
    </w:div>
    <w:div w:id="1832481653">
      <w:bodyDiv w:val="1"/>
      <w:marLeft w:val="0"/>
      <w:marRight w:val="0"/>
      <w:marTop w:val="0"/>
      <w:marBottom w:val="0"/>
      <w:divBdr>
        <w:top w:val="none" w:sz="0" w:space="0" w:color="auto"/>
        <w:left w:val="none" w:sz="0" w:space="0" w:color="auto"/>
        <w:bottom w:val="none" w:sz="0" w:space="0" w:color="auto"/>
        <w:right w:val="none" w:sz="0" w:space="0" w:color="auto"/>
      </w:divBdr>
      <w:divsChild>
        <w:div w:id="849098542">
          <w:marLeft w:val="547"/>
          <w:marRight w:val="0"/>
          <w:marTop w:val="0"/>
          <w:marBottom w:val="0"/>
          <w:divBdr>
            <w:top w:val="none" w:sz="0" w:space="0" w:color="auto"/>
            <w:left w:val="none" w:sz="0" w:space="0" w:color="auto"/>
            <w:bottom w:val="none" w:sz="0" w:space="0" w:color="auto"/>
            <w:right w:val="none" w:sz="0" w:space="0" w:color="auto"/>
          </w:divBdr>
        </w:div>
      </w:divsChild>
    </w:div>
    <w:div w:id="1922251230">
      <w:bodyDiv w:val="1"/>
      <w:marLeft w:val="0"/>
      <w:marRight w:val="0"/>
      <w:marTop w:val="0"/>
      <w:marBottom w:val="0"/>
      <w:divBdr>
        <w:top w:val="none" w:sz="0" w:space="0" w:color="auto"/>
        <w:left w:val="none" w:sz="0" w:space="0" w:color="auto"/>
        <w:bottom w:val="none" w:sz="0" w:space="0" w:color="auto"/>
        <w:right w:val="none" w:sz="0" w:space="0" w:color="auto"/>
      </w:divBdr>
    </w:div>
    <w:div w:id="1981809441">
      <w:bodyDiv w:val="1"/>
      <w:marLeft w:val="0"/>
      <w:marRight w:val="0"/>
      <w:marTop w:val="0"/>
      <w:marBottom w:val="0"/>
      <w:divBdr>
        <w:top w:val="none" w:sz="0" w:space="0" w:color="auto"/>
        <w:left w:val="none" w:sz="0" w:space="0" w:color="auto"/>
        <w:bottom w:val="none" w:sz="0" w:space="0" w:color="auto"/>
        <w:right w:val="none" w:sz="0" w:space="0" w:color="auto"/>
      </w:divBdr>
    </w:div>
    <w:div w:id="1982155649">
      <w:bodyDiv w:val="1"/>
      <w:marLeft w:val="0"/>
      <w:marRight w:val="0"/>
      <w:marTop w:val="0"/>
      <w:marBottom w:val="0"/>
      <w:divBdr>
        <w:top w:val="none" w:sz="0" w:space="0" w:color="auto"/>
        <w:left w:val="none" w:sz="0" w:space="0" w:color="auto"/>
        <w:bottom w:val="none" w:sz="0" w:space="0" w:color="auto"/>
        <w:right w:val="none" w:sz="0" w:space="0" w:color="auto"/>
      </w:divBdr>
    </w:div>
    <w:div w:id="207496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eader" Target="header4.xml"/><Relationship Id="rId39" Type="http://schemas.openxmlformats.org/officeDocument/2006/relationships/hyperlink" Target="http://www.euroqol.org/" TargetMode="External"/><Relationship Id="rId51" Type="http://schemas.microsoft.com/office/2011/relationships/people" Target="people.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yperlink" Target="http://wiki.cancer.org.au/australia/Guidelines:Lung_cancer" TargetMode="External"/><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image" Target="media/image3.png"/><Relationship Id="rId33" Type="http://schemas.openxmlformats.org/officeDocument/2006/relationships/header" Target="header9.xml"/><Relationship Id="rId38" Type="http://schemas.openxmlformats.org/officeDocument/2006/relationships/hyperlink" Target="http://www.mbsonline.gov.au/internet/mbsonline/publishing.nsf/Content/Ho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header" Target="header6.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footer" Target="footer5.xml"/><Relationship Id="rId37" Type="http://schemas.openxmlformats.org/officeDocument/2006/relationships/hyperlink" Target="http://pbs.gov.au/medicine/item/10014C-10019H-10020J-10022L-10025P-10028T" TargetMode="Externa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nata.com.au/nata/" TargetMode="External"/><Relationship Id="rId28" Type="http://schemas.openxmlformats.org/officeDocument/2006/relationships/footer" Target="footer4.xml"/><Relationship Id="rId36" Type="http://schemas.openxmlformats.org/officeDocument/2006/relationships/hyperlink" Target="http://pbs.gov.au/medicine/item/8769M" TargetMode="External"/><Relationship Id="rId10" Type="http://schemas.openxmlformats.org/officeDocument/2006/relationships/hyperlink" Target="http://www.msac.gov.au/" TargetMode="External"/><Relationship Id="rId19" Type="http://schemas.openxmlformats.org/officeDocument/2006/relationships/diagramQuickStyle" Target="diagrams/quickStyle1.xml"/><Relationship Id="rId31" Type="http://schemas.openxmlformats.org/officeDocument/2006/relationships/header" Target="header8.xml"/><Relationship Id="rId44" Type="http://schemas.openxmlformats.org/officeDocument/2006/relationships/fontTable" Target="fontTable.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cloud.scorm.com/content/courses/9J2385NX8O/a2kF0000000zRAAIA2/1/scorm/module3/clinical-trial-programme.html"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yperlink" Target="http://www9.health.gov.au/mbs/search.cfm?q=73337&amp;Submit=&amp;sopt=I" TargetMode="External"/><Relationship Id="rId43"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2532CA-FA7C-470A-B7AB-13969D7D90DD}" type="doc">
      <dgm:prSet loTypeId="urn:microsoft.com/office/officeart/2005/8/layout/process2" loCatId="process" qsTypeId="urn:microsoft.com/office/officeart/2005/8/quickstyle/simple1" qsCatId="simple" csTypeId="urn:microsoft.com/office/officeart/2005/8/colors/accent1_2" csCatId="accent1" phldr="1"/>
      <dgm:spPr/>
    </dgm:pt>
    <dgm:pt modelId="{8D2DA8FC-B7DA-4486-A078-0DE3840D3F03}">
      <dgm:prSet phldrT="[Text]" custT="1"/>
      <dgm:spPr/>
      <dgm:t>
        <a:bodyPr/>
        <a:lstStyle/>
        <a:p>
          <a:r>
            <a:rPr lang="en-AU" sz="900"/>
            <a:t>Non-squamous / NOS EGFRm locally advanced or metastatic NSCLC to treatment with an EGFR TKI, n</a:t>
          </a:r>
          <a:r>
            <a:rPr lang="en-AU" sz="900">
              <a:latin typeface="Arial" panose="020B0604020202020204" pitchFamily="34" charset="0"/>
              <a:cs typeface="Arial" panose="020B0604020202020204" pitchFamily="34" charset="0"/>
            </a:rPr>
            <a:t>~</a:t>
          </a:r>
          <a:r>
            <a:rPr lang="en-AU" sz="900"/>
            <a:t>710 (2014)</a:t>
          </a:r>
        </a:p>
      </dgm:t>
    </dgm:pt>
    <dgm:pt modelId="{6CC5FE80-1556-4E90-89F4-004FF77ECD26}" type="parTrans" cxnId="{C1B49A51-DC16-4DDF-AE07-D3EF59AC21D2}">
      <dgm:prSet/>
      <dgm:spPr/>
      <dgm:t>
        <a:bodyPr/>
        <a:lstStyle/>
        <a:p>
          <a:endParaRPr lang="en-AU" sz="2800"/>
        </a:p>
      </dgm:t>
    </dgm:pt>
    <dgm:pt modelId="{055A47BF-F283-4D4B-8D12-88221B9BFB75}" type="sibTrans" cxnId="{C1B49A51-DC16-4DDF-AE07-D3EF59AC21D2}">
      <dgm:prSet custT="1"/>
      <dgm:spPr/>
      <dgm:t>
        <a:bodyPr/>
        <a:lstStyle/>
        <a:p>
          <a:endParaRPr lang="en-AU" sz="800"/>
        </a:p>
      </dgm:t>
    </dgm:pt>
    <dgm:pt modelId="{D78296D9-6E86-4EDA-BEAD-BCE868C3C1C3}">
      <dgm:prSet phldrT="[Text]" custT="1"/>
      <dgm:spPr/>
      <dgm:t>
        <a:bodyPr/>
        <a:lstStyle/>
        <a:p>
          <a:r>
            <a:rPr lang="en-AU" sz="900"/>
            <a:t>Progressive disease, 100%, </a:t>
          </a:r>
          <a:r>
            <a:rPr lang="en-AU" sz="900">
              <a:latin typeface="+mn-lt"/>
            </a:rPr>
            <a:t>n</a:t>
          </a:r>
          <a:r>
            <a:rPr lang="en-AU" sz="900">
              <a:latin typeface="+mn-lt"/>
              <a:cs typeface="Arial" panose="020B0604020202020204" pitchFamily="34" charset="0"/>
            </a:rPr>
            <a:t>~</a:t>
          </a:r>
          <a:r>
            <a:rPr lang="en-AU" sz="900">
              <a:latin typeface="+mn-lt"/>
            </a:rPr>
            <a:t>710 </a:t>
          </a:r>
        </a:p>
      </dgm:t>
    </dgm:pt>
    <dgm:pt modelId="{52C275C0-E62D-4843-9FCC-DB11601F7458}" type="parTrans" cxnId="{843174BE-FE04-487E-8291-D9571F770AF9}">
      <dgm:prSet/>
      <dgm:spPr/>
      <dgm:t>
        <a:bodyPr/>
        <a:lstStyle/>
        <a:p>
          <a:endParaRPr lang="en-AU" sz="2800"/>
        </a:p>
      </dgm:t>
    </dgm:pt>
    <dgm:pt modelId="{E900EA5D-B0B6-4086-A60B-0D27034B1D8C}" type="sibTrans" cxnId="{843174BE-FE04-487E-8291-D9571F770AF9}">
      <dgm:prSet custT="1"/>
      <dgm:spPr/>
      <dgm:t>
        <a:bodyPr/>
        <a:lstStyle/>
        <a:p>
          <a:endParaRPr lang="en-AU" sz="800"/>
        </a:p>
      </dgm:t>
    </dgm:pt>
    <dgm:pt modelId="{97DD5087-F66D-4DCC-86F5-1ECB1771CB5F}">
      <dgm:prSet phldrT="[Text]" custT="1"/>
      <dgm:spPr/>
      <dgm:t>
        <a:bodyPr/>
        <a:lstStyle/>
        <a:p>
          <a:pPr>
            <a:lnSpc>
              <a:spcPct val="100000"/>
            </a:lnSpc>
            <a:spcAft>
              <a:spcPts val="0"/>
            </a:spcAft>
          </a:pPr>
          <a:r>
            <a:rPr lang="en-AU" sz="900"/>
            <a:t>90% PS 0-1, </a:t>
          </a:r>
        </a:p>
        <a:p>
          <a:pPr>
            <a:lnSpc>
              <a:spcPct val="100000"/>
            </a:lnSpc>
            <a:spcAft>
              <a:spcPts val="0"/>
            </a:spcAft>
          </a:pPr>
          <a:r>
            <a:rPr lang="en-AU" sz="900">
              <a:solidFill>
                <a:schemeClr val="bg1"/>
              </a:solidFill>
            </a:rPr>
            <a:t>Of those 86% successful tissue sampling and EGFR mutation test^ </a:t>
          </a:r>
        </a:p>
        <a:p>
          <a:pPr>
            <a:lnSpc>
              <a:spcPct val="100000"/>
            </a:lnSpc>
            <a:spcAft>
              <a:spcPts val="0"/>
            </a:spcAft>
          </a:pPr>
          <a:r>
            <a:rPr lang="en-AU" sz="900"/>
            <a:t>n</a:t>
          </a:r>
          <a:r>
            <a:rPr lang="en-AU" sz="900">
              <a:latin typeface="Arial" panose="020B0604020202020204" pitchFamily="34" charset="0"/>
              <a:cs typeface="Arial" panose="020B0604020202020204" pitchFamily="34" charset="0"/>
            </a:rPr>
            <a:t>~550</a:t>
          </a:r>
          <a:r>
            <a:rPr lang="en-AU" sz="900"/>
            <a:t> </a:t>
          </a:r>
        </a:p>
      </dgm:t>
    </dgm:pt>
    <dgm:pt modelId="{629FBA76-6781-44EF-ABE1-2D4E1E8F6FB3}" type="parTrans" cxnId="{9546C859-7346-4F3B-A44A-7724C361783B}">
      <dgm:prSet/>
      <dgm:spPr/>
      <dgm:t>
        <a:bodyPr/>
        <a:lstStyle/>
        <a:p>
          <a:endParaRPr lang="en-AU" sz="2800"/>
        </a:p>
      </dgm:t>
    </dgm:pt>
    <dgm:pt modelId="{B84CA527-782F-4602-8324-5A35387F9E0D}" type="sibTrans" cxnId="{9546C859-7346-4F3B-A44A-7724C361783B}">
      <dgm:prSet custT="1"/>
      <dgm:spPr/>
      <dgm:t>
        <a:bodyPr/>
        <a:lstStyle/>
        <a:p>
          <a:endParaRPr lang="en-AU" sz="800"/>
        </a:p>
      </dgm:t>
    </dgm:pt>
    <dgm:pt modelId="{A217C193-7EB6-4A25-A5CB-B869E595A7BA}">
      <dgm:prSet phldrT="[Text]" custT="1"/>
      <dgm:spPr/>
      <dgm:t>
        <a:bodyPr/>
        <a:lstStyle/>
        <a:p>
          <a:r>
            <a:rPr lang="en-AU" sz="900"/>
            <a:t>T790M positive, 60%, </a:t>
          </a:r>
        </a:p>
        <a:p>
          <a:r>
            <a:rPr lang="en-AU" sz="900"/>
            <a:t>n</a:t>
          </a:r>
          <a:r>
            <a:rPr lang="en-AU" sz="900">
              <a:latin typeface="Arial" panose="020B0604020202020204" pitchFamily="34" charset="0"/>
              <a:cs typeface="Arial" panose="020B0604020202020204" pitchFamily="34" charset="0"/>
            </a:rPr>
            <a:t>~</a:t>
          </a:r>
          <a:r>
            <a:rPr lang="en-AU" sz="900">
              <a:latin typeface="+mn-lt"/>
              <a:cs typeface="Arial" panose="020B0604020202020204" pitchFamily="34" charset="0"/>
            </a:rPr>
            <a:t>330</a:t>
          </a:r>
          <a:endParaRPr lang="en-AU" sz="900"/>
        </a:p>
      </dgm:t>
    </dgm:pt>
    <dgm:pt modelId="{44EA7744-AB4F-4A7D-94A0-11F41BAA0FA0}" type="parTrans" cxnId="{7CFF9C97-6FF9-47DB-A1EC-13447854A243}">
      <dgm:prSet/>
      <dgm:spPr/>
      <dgm:t>
        <a:bodyPr/>
        <a:lstStyle/>
        <a:p>
          <a:endParaRPr lang="en-AU" sz="2800"/>
        </a:p>
      </dgm:t>
    </dgm:pt>
    <dgm:pt modelId="{12C2C27A-CF6F-4BA7-9552-F237BA2D8D66}" type="sibTrans" cxnId="{7CFF9C97-6FF9-47DB-A1EC-13447854A243}">
      <dgm:prSet/>
      <dgm:spPr/>
      <dgm:t>
        <a:bodyPr/>
        <a:lstStyle/>
        <a:p>
          <a:endParaRPr lang="en-AU" sz="2800"/>
        </a:p>
      </dgm:t>
    </dgm:pt>
    <dgm:pt modelId="{EB1A459C-0125-459E-8586-2A503D8C09B5}" type="pres">
      <dgm:prSet presAssocID="{3D2532CA-FA7C-470A-B7AB-13969D7D90DD}" presName="linearFlow" presStyleCnt="0">
        <dgm:presLayoutVars>
          <dgm:resizeHandles val="exact"/>
        </dgm:presLayoutVars>
      </dgm:prSet>
      <dgm:spPr/>
    </dgm:pt>
    <dgm:pt modelId="{005A4BC0-0A25-47E3-B687-5BB1C8BA0541}" type="pres">
      <dgm:prSet presAssocID="{8D2DA8FC-B7DA-4486-A078-0DE3840D3F03}" presName="node" presStyleLbl="node1" presStyleIdx="0" presStyleCnt="4">
        <dgm:presLayoutVars>
          <dgm:bulletEnabled val="1"/>
        </dgm:presLayoutVars>
      </dgm:prSet>
      <dgm:spPr/>
      <dgm:t>
        <a:bodyPr/>
        <a:lstStyle/>
        <a:p>
          <a:endParaRPr lang="en-AU"/>
        </a:p>
      </dgm:t>
    </dgm:pt>
    <dgm:pt modelId="{AD8101D4-033E-481E-91CB-52520FDDBF1C}" type="pres">
      <dgm:prSet presAssocID="{055A47BF-F283-4D4B-8D12-88221B9BFB75}" presName="sibTrans" presStyleLbl="sibTrans2D1" presStyleIdx="0" presStyleCnt="3"/>
      <dgm:spPr/>
      <dgm:t>
        <a:bodyPr/>
        <a:lstStyle/>
        <a:p>
          <a:endParaRPr lang="en-AU"/>
        </a:p>
      </dgm:t>
    </dgm:pt>
    <dgm:pt modelId="{752BEFB1-F8DD-4454-853D-A356B9148889}" type="pres">
      <dgm:prSet presAssocID="{055A47BF-F283-4D4B-8D12-88221B9BFB75}" presName="connectorText" presStyleLbl="sibTrans2D1" presStyleIdx="0" presStyleCnt="3"/>
      <dgm:spPr/>
      <dgm:t>
        <a:bodyPr/>
        <a:lstStyle/>
        <a:p>
          <a:endParaRPr lang="en-AU"/>
        </a:p>
      </dgm:t>
    </dgm:pt>
    <dgm:pt modelId="{E289CB17-C22A-438A-A9EA-BCF078B45CA7}" type="pres">
      <dgm:prSet presAssocID="{D78296D9-6E86-4EDA-BEAD-BCE868C3C1C3}" presName="node" presStyleLbl="node1" presStyleIdx="1" presStyleCnt="4">
        <dgm:presLayoutVars>
          <dgm:bulletEnabled val="1"/>
        </dgm:presLayoutVars>
      </dgm:prSet>
      <dgm:spPr/>
      <dgm:t>
        <a:bodyPr/>
        <a:lstStyle/>
        <a:p>
          <a:endParaRPr lang="en-AU"/>
        </a:p>
      </dgm:t>
    </dgm:pt>
    <dgm:pt modelId="{7CD238DF-E1CC-4528-BD43-77FCB341DA6A}" type="pres">
      <dgm:prSet presAssocID="{E900EA5D-B0B6-4086-A60B-0D27034B1D8C}" presName="sibTrans" presStyleLbl="sibTrans2D1" presStyleIdx="1" presStyleCnt="3"/>
      <dgm:spPr/>
      <dgm:t>
        <a:bodyPr/>
        <a:lstStyle/>
        <a:p>
          <a:endParaRPr lang="en-AU"/>
        </a:p>
      </dgm:t>
    </dgm:pt>
    <dgm:pt modelId="{3159E875-ED1C-46F8-A6B4-5497DABAA6EF}" type="pres">
      <dgm:prSet presAssocID="{E900EA5D-B0B6-4086-A60B-0D27034B1D8C}" presName="connectorText" presStyleLbl="sibTrans2D1" presStyleIdx="1" presStyleCnt="3"/>
      <dgm:spPr/>
      <dgm:t>
        <a:bodyPr/>
        <a:lstStyle/>
        <a:p>
          <a:endParaRPr lang="en-AU"/>
        </a:p>
      </dgm:t>
    </dgm:pt>
    <dgm:pt modelId="{26D2C0A5-3DFF-494B-91B8-76F6555B4D24}" type="pres">
      <dgm:prSet presAssocID="{97DD5087-F66D-4DCC-86F5-1ECB1771CB5F}" presName="node" presStyleLbl="node1" presStyleIdx="2" presStyleCnt="4">
        <dgm:presLayoutVars>
          <dgm:bulletEnabled val="1"/>
        </dgm:presLayoutVars>
      </dgm:prSet>
      <dgm:spPr/>
      <dgm:t>
        <a:bodyPr/>
        <a:lstStyle/>
        <a:p>
          <a:endParaRPr lang="en-AU"/>
        </a:p>
      </dgm:t>
    </dgm:pt>
    <dgm:pt modelId="{EA37A0EC-1601-497D-8880-E44DDB983681}" type="pres">
      <dgm:prSet presAssocID="{B84CA527-782F-4602-8324-5A35387F9E0D}" presName="sibTrans" presStyleLbl="sibTrans2D1" presStyleIdx="2" presStyleCnt="3"/>
      <dgm:spPr/>
      <dgm:t>
        <a:bodyPr/>
        <a:lstStyle/>
        <a:p>
          <a:endParaRPr lang="en-AU"/>
        </a:p>
      </dgm:t>
    </dgm:pt>
    <dgm:pt modelId="{2C4653B0-BADC-4B08-B6E7-98F0ED01442F}" type="pres">
      <dgm:prSet presAssocID="{B84CA527-782F-4602-8324-5A35387F9E0D}" presName="connectorText" presStyleLbl="sibTrans2D1" presStyleIdx="2" presStyleCnt="3"/>
      <dgm:spPr/>
      <dgm:t>
        <a:bodyPr/>
        <a:lstStyle/>
        <a:p>
          <a:endParaRPr lang="en-AU"/>
        </a:p>
      </dgm:t>
    </dgm:pt>
    <dgm:pt modelId="{CD891C66-CD59-4D31-86C4-030D71128FA8}" type="pres">
      <dgm:prSet presAssocID="{A217C193-7EB6-4A25-A5CB-B869E595A7BA}" presName="node" presStyleLbl="node1" presStyleIdx="3" presStyleCnt="4">
        <dgm:presLayoutVars>
          <dgm:bulletEnabled val="1"/>
        </dgm:presLayoutVars>
      </dgm:prSet>
      <dgm:spPr/>
      <dgm:t>
        <a:bodyPr/>
        <a:lstStyle/>
        <a:p>
          <a:endParaRPr lang="en-AU"/>
        </a:p>
      </dgm:t>
    </dgm:pt>
  </dgm:ptLst>
  <dgm:cxnLst>
    <dgm:cxn modelId="{475A3996-A7C2-4EDE-A9CA-EE91DA048330}" type="presOf" srcId="{B84CA527-782F-4602-8324-5A35387F9E0D}" destId="{2C4653B0-BADC-4B08-B6E7-98F0ED01442F}" srcOrd="1" destOrd="0" presId="urn:microsoft.com/office/officeart/2005/8/layout/process2"/>
    <dgm:cxn modelId="{840A40F1-7342-40E0-AA81-3F33217276EC}" type="presOf" srcId="{97DD5087-F66D-4DCC-86F5-1ECB1771CB5F}" destId="{26D2C0A5-3DFF-494B-91B8-76F6555B4D24}" srcOrd="0" destOrd="0" presId="urn:microsoft.com/office/officeart/2005/8/layout/process2"/>
    <dgm:cxn modelId="{843174BE-FE04-487E-8291-D9571F770AF9}" srcId="{3D2532CA-FA7C-470A-B7AB-13969D7D90DD}" destId="{D78296D9-6E86-4EDA-BEAD-BCE868C3C1C3}" srcOrd="1" destOrd="0" parTransId="{52C275C0-E62D-4843-9FCC-DB11601F7458}" sibTransId="{E900EA5D-B0B6-4086-A60B-0D27034B1D8C}"/>
    <dgm:cxn modelId="{31045016-32C6-465C-8B67-AB9A0A507964}" type="presOf" srcId="{3D2532CA-FA7C-470A-B7AB-13969D7D90DD}" destId="{EB1A459C-0125-459E-8586-2A503D8C09B5}" srcOrd="0" destOrd="0" presId="urn:microsoft.com/office/officeart/2005/8/layout/process2"/>
    <dgm:cxn modelId="{C61C7A54-1FF5-46AB-B85A-1C11631F53C8}" type="presOf" srcId="{A217C193-7EB6-4A25-A5CB-B869E595A7BA}" destId="{CD891C66-CD59-4D31-86C4-030D71128FA8}" srcOrd="0" destOrd="0" presId="urn:microsoft.com/office/officeart/2005/8/layout/process2"/>
    <dgm:cxn modelId="{1B3E39AE-0AC9-4105-B499-5BDDFDA31A09}" type="presOf" srcId="{055A47BF-F283-4D4B-8D12-88221B9BFB75}" destId="{AD8101D4-033E-481E-91CB-52520FDDBF1C}" srcOrd="0" destOrd="0" presId="urn:microsoft.com/office/officeart/2005/8/layout/process2"/>
    <dgm:cxn modelId="{F4221B52-D74A-4A46-81D5-4399435B5252}" type="presOf" srcId="{B84CA527-782F-4602-8324-5A35387F9E0D}" destId="{EA37A0EC-1601-497D-8880-E44DDB983681}" srcOrd="0" destOrd="0" presId="urn:microsoft.com/office/officeart/2005/8/layout/process2"/>
    <dgm:cxn modelId="{FCCF1050-2E74-449B-9B37-98A465079AFE}" type="presOf" srcId="{D78296D9-6E86-4EDA-BEAD-BCE868C3C1C3}" destId="{E289CB17-C22A-438A-A9EA-BCF078B45CA7}" srcOrd="0" destOrd="0" presId="urn:microsoft.com/office/officeart/2005/8/layout/process2"/>
    <dgm:cxn modelId="{C1B49A51-DC16-4DDF-AE07-D3EF59AC21D2}" srcId="{3D2532CA-FA7C-470A-B7AB-13969D7D90DD}" destId="{8D2DA8FC-B7DA-4486-A078-0DE3840D3F03}" srcOrd="0" destOrd="0" parTransId="{6CC5FE80-1556-4E90-89F4-004FF77ECD26}" sibTransId="{055A47BF-F283-4D4B-8D12-88221B9BFB75}"/>
    <dgm:cxn modelId="{9546C859-7346-4F3B-A44A-7724C361783B}" srcId="{3D2532CA-FA7C-470A-B7AB-13969D7D90DD}" destId="{97DD5087-F66D-4DCC-86F5-1ECB1771CB5F}" srcOrd="2" destOrd="0" parTransId="{629FBA76-6781-44EF-ABE1-2D4E1E8F6FB3}" sibTransId="{B84CA527-782F-4602-8324-5A35387F9E0D}"/>
    <dgm:cxn modelId="{B721A40B-AC13-40F7-B563-A0FF9F363852}" type="presOf" srcId="{E900EA5D-B0B6-4086-A60B-0D27034B1D8C}" destId="{3159E875-ED1C-46F8-A6B4-5497DABAA6EF}" srcOrd="1" destOrd="0" presId="urn:microsoft.com/office/officeart/2005/8/layout/process2"/>
    <dgm:cxn modelId="{96DBF1E9-FC0F-40FB-B731-763F6BCA0A12}" type="presOf" srcId="{E900EA5D-B0B6-4086-A60B-0D27034B1D8C}" destId="{7CD238DF-E1CC-4528-BD43-77FCB341DA6A}" srcOrd="0" destOrd="0" presId="urn:microsoft.com/office/officeart/2005/8/layout/process2"/>
    <dgm:cxn modelId="{B900224B-317B-42F6-8880-AE78374A31BD}" type="presOf" srcId="{055A47BF-F283-4D4B-8D12-88221B9BFB75}" destId="{752BEFB1-F8DD-4454-853D-A356B9148889}" srcOrd="1" destOrd="0" presId="urn:microsoft.com/office/officeart/2005/8/layout/process2"/>
    <dgm:cxn modelId="{59D79995-E053-4901-8AD2-29A44B68DD36}" type="presOf" srcId="{8D2DA8FC-B7DA-4486-A078-0DE3840D3F03}" destId="{005A4BC0-0A25-47E3-B687-5BB1C8BA0541}" srcOrd="0" destOrd="0" presId="urn:microsoft.com/office/officeart/2005/8/layout/process2"/>
    <dgm:cxn modelId="{7CFF9C97-6FF9-47DB-A1EC-13447854A243}" srcId="{3D2532CA-FA7C-470A-B7AB-13969D7D90DD}" destId="{A217C193-7EB6-4A25-A5CB-B869E595A7BA}" srcOrd="3" destOrd="0" parTransId="{44EA7744-AB4F-4A7D-94A0-11F41BAA0FA0}" sibTransId="{12C2C27A-CF6F-4BA7-9552-F237BA2D8D66}"/>
    <dgm:cxn modelId="{CB11D595-AE61-44A5-8D02-8D8375DCB226}" type="presParOf" srcId="{EB1A459C-0125-459E-8586-2A503D8C09B5}" destId="{005A4BC0-0A25-47E3-B687-5BB1C8BA0541}" srcOrd="0" destOrd="0" presId="urn:microsoft.com/office/officeart/2005/8/layout/process2"/>
    <dgm:cxn modelId="{068B2D43-AD32-40E2-B46F-568F910FA9A0}" type="presParOf" srcId="{EB1A459C-0125-459E-8586-2A503D8C09B5}" destId="{AD8101D4-033E-481E-91CB-52520FDDBF1C}" srcOrd="1" destOrd="0" presId="urn:microsoft.com/office/officeart/2005/8/layout/process2"/>
    <dgm:cxn modelId="{B8C932F8-743C-4D2C-AF71-32575E923A58}" type="presParOf" srcId="{AD8101D4-033E-481E-91CB-52520FDDBF1C}" destId="{752BEFB1-F8DD-4454-853D-A356B9148889}" srcOrd="0" destOrd="0" presId="urn:microsoft.com/office/officeart/2005/8/layout/process2"/>
    <dgm:cxn modelId="{B4D595F3-0339-4601-8D1F-774F2CB5AF94}" type="presParOf" srcId="{EB1A459C-0125-459E-8586-2A503D8C09B5}" destId="{E289CB17-C22A-438A-A9EA-BCF078B45CA7}" srcOrd="2" destOrd="0" presId="urn:microsoft.com/office/officeart/2005/8/layout/process2"/>
    <dgm:cxn modelId="{BDEA43EE-49FD-4AA2-81CA-244B316550BA}" type="presParOf" srcId="{EB1A459C-0125-459E-8586-2A503D8C09B5}" destId="{7CD238DF-E1CC-4528-BD43-77FCB341DA6A}" srcOrd="3" destOrd="0" presId="urn:microsoft.com/office/officeart/2005/8/layout/process2"/>
    <dgm:cxn modelId="{12784BA3-BBBA-4908-8932-309E480EB2E5}" type="presParOf" srcId="{7CD238DF-E1CC-4528-BD43-77FCB341DA6A}" destId="{3159E875-ED1C-46F8-A6B4-5497DABAA6EF}" srcOrd="0" destOrd="0" presId="urn:microsoft.com/office/officeart/2005/8/layout/process2"/>
    <dgm:cxn modelId="{9B906A36-A843-4028-BA40-56AAA40C6611}" type="presParOf" srcId="{EB1A459C-0125-459E-8586-2A503D8C09B5}" destId="{26D2C0A5-3DFF-494B-91B8-76F6555B4D24}" srcOrd="4" destOrd="0" presId="urn:microsoft.com/office/officeart/2005/8/layout/process2"/>
    <dgm:cxn modelId="{9B7964ED-AB70-41FD-AC89-3FBAA9AA425C}" type="presParOf" srcId="{EB1A459C-0125-459E-8586-2A503D8C09B5}" destId="{EA37A0EC-1601-497D-8880-E44DDB983681}" srcOrd="5" destOrd="0" presId="urn:microsoft.com/office/officeart/2005/8/layout/process2"/>
    <dgm:cxn modelId="{2DCC68CB-F489-4F91-B807-0F39D30A1FBA}" type="presParOf" srcId="{EA37A0EC-1601-497D-8880-E44DDB983681}" destId="{2C4653B0-BADC-4B08-B6E7-98F0ED01442F}" srcOrd="0" destOrd="0" presId="urn:microsoft.com/office/officeart/2005/8/layout/process2"/>
    <dgm:cxn modelId="{9B2B347B-25A3-441D-BF69-BBF7659CAF14}" type="presParOf" srcId="{EB1A459C-0125-459E-8586-2A503D8C09B5}" destId="{CD891C66-CD59-4D31-86C4-030D71128FA8}" srcOrd="6"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5A4BC0-0A25-47E3-B687-5BB1C8BA0541}">
      <dsp:nvSpPr>
        <dsp:cNvPr id="0" name=""/>
        <dsp:cNvSpPr/>
      </dsp:nvSpPr>
      <dsp:spPr>
        <a:xfrm>
          <a:off x="1967567" y="2265"/>
          <a:ext cx="1516975" cy="8427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Non-squamous / NOS EGFRm locally advanced or metastatic NSCLC to treatment with an EGFR TKI, n</a:t>
          </a:r>
          <a:r>
            <a:rPr lang="en-AU" sz="900" kern="1200">
              <a:latin typeface="Arial" panose="020B0604020202020204" pitchFamily="34" charset="0"/>
              <a:cs typeface="Arial" panose="020B0604020202020204" pitchFamily="34" charset="0"/>
            </a:rPr>
            <a:t>~</a:t>
          </a:r>
          <a:r>
            <a:rPr lang="en-AU" sz="900" kern="1200"/>
            <a:t>710 (2014)</a:t>
          </a:r>
        </a:p>
      </dsp:txBody>
      <dsp:txXfrm>
        <a:off x="1992251" y="26949"/>
        <a:ext cx="1467607" cy="793396"/>
      </dsp:txXfrm>
    </dsp:sp>
    <dsp:sp modelId="{AD8101D4-033E-481E-91CB-52520FDDBF1C}">
      <dsp:nvSpPr>
        <dsp:cNvPr id="0" name=""/>
        <dsp:cNvSpPr/>
      </dsp:nvSpPr>
      <dsp:spPr>
        <a:xfrm rot="5400000">
          <a:off x="2568036" y="866098"/>
          <a:ext cx="316036" cy="379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rot="-5400000">
        <a:off x="2612282" y="897702"/>
        <a:ext cx="227545" cy="221225"/>
      </dsp:txXfrm>
    </dsp:sp>
    <dsp:sp modelId="{E289CB17-C22A-438A-A9EA-BCF078B45CA7}">
      <dsp:nvSpPr>
        <dsp:cNvPr id="0" name=""/>
        <dsp:cNvSpPr/>
      </dsp:nvSpPr>
      <dsp:spPr>
        <a:xfrm>
          <a:off x="1967567" y="1266411"/>
          <a:ext cx="1516975" cy="8427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Progressive disease, 100%, </a:t>
          </a:r>
          <a:r>
            <a:rPr lang="en-AU" sz="900" kern="1200">
              <a:latin typeface="+mn-lt"/>
            </a:rPr>
            <a:t>n</a:t>
          </a:r>
          <a:r>
            <a:rPr lang="en-AU" sz="900" kern="1200">
              <a:latin typeface="+mn-lt"/>
              <a:cs typeface="Arial" panose="020B0604020202020204" pitchFamily="34" charset="0"/>
            </a:rPr>
            <a:t>~</a:t>
          </a:r>
          <a:r>
            <a:rPr lang="en-AU" sz="900" kern="1200">
              <a:latin typeface="+mn-lt"/>
            </a:rPr>
            <a:t>710 </a:t>
          </a:r>
        </a:p>
      </dsp:txBody>
      <dsp:txXfrm>
        <a:off x="1992251" y="1291095"/>
        <a:ext cx="1467607" cy="793396"/>
      </dsp:txXfrm>
    </dsp:sp>
    <dsp:sp modelId="{7CD238DF-E1CC-4528-BD43-77FCB341DA6A}">
      <dsp:nvSpPr>
        <dsp:cNvPr id="0" name=""/>
        <dsp:cNvSpPr/>
      </dsp:nvSpPr>
      <dsp:spPr>
        <a:xfrm rot="5400000">
          <a:off x="2568036" y="2130244"/>
          <a:ext cx="316036" cy="379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rot="-5400000">
        <a:off x="2612282" y="2161848"/>
        <a:ext cx="227545" cy="221225"/>
      </dsp:txXfrm>
    </dsp:sp>
    <dsp:sp modelId="{26D2C0A5-3DFF-494B-91B8-76F6555B4D24}">
      <dsp:nvSpPr>
        <dsp:cNvPr id="0" name=""/>
        <dsp:cNvSpPr/>
      </dsp:nvSpPr>
      <dsp:spPr>
        <a:xfrm>
          <a:off x="1967567" y="2530557"/>
          <a:ext cx="1516975" cy="8427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ts val="0"/>
            </a:spcAft>
          </a:pPr>
          <a:r>
            <a:rPr lang="en-AU" sz="900" kern="1200"/>
            <a:t>90% PS 0-1, </a:t>
          </a:r>
        </a:p>
        <a:p>
          <a:pPr lvl="0" algn="ctr" defTabSz="400050">
            <a:lnSpc>
              <a:spcPct val="100000"/>
            </a:lnSpc>
            <a:spcBef>
              <a:spcPct val="0"/>
            </a:spcBef>
            <a:spcAft>
              <a:spcPts val="0"/>
            </a:spcAft>
          </a:pPr>
          <a:r>
            <a:rPr lang="en-AU" sz="900" kern="1200">
              <a:solidFill>
                <a:schemeClr val="bg1"/>
              </a:solidFill>
            </a:rPr>
            <a:t>Of those 86% successful tissue sampling and EGFR mutation test^ </a:t>
          </a:r>
        </a:p>
        <a:p>
          <a:pPr lvl="0" algn="ctr" defTabSz="400050">
            <a:lnSpc>
              <a:spcPct val="100000"/>
            </a:lnSpc>
            <a:spcBef>
              <a:spcPct val="0"/>
            </a:spcBef>
            <a:spcAft>
              <a:spcPts val="0"/>
            </a:spcAft>
          </a:pPr>
          <a:r>
            <a:rPr lang="en-AU" sz="900" kern="1200"/>
            <a:t>n</a:t>
          </a:r>
          <a:r>
            <a:rPr lang="en-AU" sz="900" kern="1200">
              <a:latin typeface="Arial" panose="020B0604020202020204" pitchFamily="34" charset="0"/>
              <a:cs typeface="Arial" panose="020B0604020202020204" pitchFamily="34" charset="0"/>
            </a:rPr>
            <a:t>~550</a:t>
          </a:r>
          <a:r>
            <a:rPr lang="en-AU" sz="900" kern="1200"/>
            <a:t> </a:t>
          </a:r>
        </a:p>
      </dsp:txBody>
      <dsp:txXfrm>
        <a:off x="1992251" y="2555241"/>
        <a:ext cx="1467607" cy="793396"/>
      </dsp:txXfrm>
    </dsp:sp>
    <dsp:sp modelId="{EA37A0EC-1601-497D-8880-E44DDB983681}">
      <dsp:nvSpPr>
        <dsp:cNvPr id="0" name=""/>
        <dsp:cNvSpPr/>
      </dsp:nvSpPr>
      <dsp:spPr>
        <a:xfrm rot="5400000">
          <a:off x="2568036" y="3394390"/>
          <a:ext cx="316036" cy="379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rot="-5400000">
        <a:off x="2612282" y="3425994"/>
        <a:ext cx="227545" cy="221225"/>
      </dsp:txXfrm>
    </dsp:sp>
    <dsp:sp modelId="{CD891C66-CD59-4D31-86C4-030D71128FA8}">
      <dsp:nvSpPr>
        <dsp:cNvPr id="0" name=""/>
        <dsp:cNvSpPr/>
      </dsp:nvSpPr>
      <dsp:spPr>
        <a:xfrm>
          <a:off x="1967567" y="3794703"/>
          <a:ext cx="1516975" cy="8427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T790M positive, 60%, </a:t>
          </a:r>
        </a:p>
        <a:p>
          <a:pPr lvl="0" algn="ctr" defTabSz="400050">
            <a:lnSpc>
              <a:spcPct val="90000"/>
            </a:lnSpc>
            <a:spcBef>
              <a:spcPct val="0"/>
            </a:spcBef>
            <a:spcAft>
              <a:spcPct val="35000"/>
            </a:spcAft>
          </a:pPr>
          <a:r>
            <a:rPr lang="en-AU" sz="900" kern="1200"/>
            <a:t>n</a:t>
          </a:r>
          <a:r>
            <a:rPr lang="en-AU" sz="900" kern="1200">
              <a:latin typeface="Arial" panose="020B0604020202020204" pitchFamily="34" charset="0"/>
              <a:cs typeface="Arial" panose="020B0604020202020204" pitchFamily="34" charset="0"/>
            </a:rPr>
            <a:t>~</a:t>
          </a:r>
          <a:r>
            <a:rPr lang="en-AU" sz="900" kern="1200">
              <a:latin typeface="+mn-lt"/>
              <a:cs typeface="Arial" panose="020B0604020202020204" pitchFamily="34" charset="0"/>
            </a:rPr>
            <a:t>330</a:t>
          </a:r>
          <a:endParaRPr lang="en-AU" sz="900" kern="1200"/>
        </a:p>
      </dsp:txBody>
      <dsp:txXfrm>
        <a:off x="1992251" y="3819387"/>
        <a:ext cx="1467607" cy="7933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011DF-030E-4B67-8D91-638FFA33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12016</Words>
  <Characters>68492</Characters>
  <Application>Microsoft Office Word</Application>
  <DocSecurity>4</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Valeri Mikayla</cp:lastModifiedBy>
  <cp:revision>2</cp:revision>
  <cp:lastPrinted>2015-11-05T23:58:00Z</cp:lastPrinted>
  <dcterms:created xsi:type="dcterms:W3CDTF">2015-11-12T05:55:00Z</dcterms:created>
  <dcterms:modified xsi:type="dcterms:W3CDTF">2015-11-12T05:55:00Z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