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835B6" w14:textId="42A0BA70" w:rsidR="00E23A84" w:rsidRPr="00490FBB" w:rsidRDefault="00E23A84" w:rsidP="009D36CA">
      <w:pPr>
        <w:spacing w:before="120" w:after="120" w:line="312" w:lineRule="auto"/>
        <w:jc w:val="center"/>
      </w:pPr>
      <w:r w:rsidRPr="00490FBB">
        <w:rPr>
          <w:b/>
          <w:noProof/>
          <w:lang w:eastAsia="en-AU"/>
        </w:rPr>
        <w:drawing>
          <wp:inline distT="0" distB="0" distL="0" distR="0" wp14:anchorId="6965B5E5" wp14:editId="7E000EAE">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3B7EA753" w14:textId="6D61E6AF" w:rsidR="009D36CA" w:rsidRPr="00490FBB" w:rsidRDefault="009D36CA" w:rsidP="009D36CA">
      <w:pPr>
        <w:pStyle w:val="Heading1"/>
        <w:spacing w:before="1320"/>
      </w:pPr>
      <w:r>
        <w:t>Ratified</w:t>
      </w:r>
      <w:r>
        <w:br/>
      </w:r>
      <w:r w:rsidRPr="00490FBB">
        <w:t>PICO Confirmation</w:t>
      </w:r>
    </w:p>
    <w:p w14:paraId="44612AEF" w14:textId="77777777" w:rsidR="00E23A84" w:rsidRPr="00490FBB" w:rsidRDefault="00E23A84" w:rsidP="009D36CA">
      <w:pPr>
        <w:pStyle w:val="Heading10"/>
        <w:spacing w:before="1320"/>
        <w:jc w:val="center"/>
        <w:rPr>
          <w:sz w:val="48"/>
          <w:szCs w:val="48"/>
        </w:rPr>
      </w:pPr>
      <w:r w:rsidRPr="00490FBB">
        <w:rPr>
          <w:sz w:val="48"/>
          <w:szCs w:val="48"/>
        </w:rPr>
        <w:t xml:space="preserve">Application </w:t>
      </w:r>
      <w:r>
        <w:rPr>
          <w:sz w:val="48"/>
          <w:szCs w:val="48"/>
        </w:rPr>
        <w:t>1666</w:t>
      </w:r>
      <w:r w:rsidRPr="00490FBB">
        <w:rPr>
          <w:sz w:val="48"/>
          <w:szCs w:val="48"/>
        </w:rPr>
        <w:t>:</w:t>
      </w:r>
    </w:p>
    <w:p w14:paraId="5EB8E5EC" w14:textId="33E42705" w:rsidR="00E23A84" w:rsidRPr="00490FBB" w:rsidRDefault="00E23A84" w:rsidP="00AE7A87">
      <w:pPr>
        <w:pStyle w:val="Heading10"/>
        <w:jc w:val="center"/>
        <w:rPr>
          <w:sz w:val="48"/>
          <w:szCs w:val="48"/>
        </w:rPr>
      </w:pPr>
      <w:bookmarkStart w:id="0" w:name="_Hlk77843198"/>
      <w:r>
        <w:rPr>
          <w:color w:val="548DD4"/>
          <w:sz w:val="48"/>
          <w:szCs w:val="48"/>
        </w:rPr>
        <w:t xml:space="preserve">Exclusion of the left atrial appendage via </w:t>
      </w:r>
      <w:r w:rsidR="00414D22">
        <w:rPr>
          <w:color w:val="548DD4"/>
          <w:sz w:val="48"/>
          <w:szCs w:val="48"/>
        </w:rPr>
        <w:t>surgical</w:t>
      </w:r>
      <w:r>
        <w:rPr>
          <w:color w:val="548DD4"/>
          <w:sz w:val="48"/>
          <w:szCs w:val="48"/>
        </w:rPr>
        <w:t xml:space="preserve"> epicardia</w:t>
      </w:r>
      <w:r w:rsidR="008256EE">
        <w:rPr>
          <w:color w:val="548DD4"/>
          <w:sz w:val="48"/>
          <w:szCs w:val="48"/>
        </w:rPr>
        <w:t>l</w:t>
      </w:r>
      <w:r>
        <w:rPr>
          <w:color w:val="548DD4"/>
          <w:sz w:val="48"/>
          <w:szCs w:val="48"/>
        </w:rPr>
        <w:t xml:space="preserve"> clip </w:t>
      </w:r>
      <w:r w:rsidR="00414D22">
        <w:rPr>
          <w:color w:val="548DD4"/>
          <w:sz w:val="48"/>
          <w:szCs w:val="48"/>
        </w:rPr>
        <w:t xml:space="preserve">implantation </w:t>
      </w:r>
      <w:r>
        <w:rPr>
          <w:color w:val="548DD4"/>
          <w:sz w:val="48"/>
          <w:szCs w:val="48"/>
        </w:rPr>
        <w:t>concomitant to open cardiac surgery for patients with atrial fibrillation</w:t>
      </w:r>
    </w:p>
    <w:bookmarkEnd w:id="0"/>
    <w:p w14:paraId="18BA16D0" w14:textId="77777777" w:rsidR="00E23A84" w:rsidRPr="00490FBB" w:rsidRDefault="00E23A84" w:rsidP="00AE7A87">
      <w:pPr>
        <w:rPr>
          <w:u w:color="FF0000"/>
        </w:rPr>
      </w:pPr>
      <w:r w:rsidRPr="00490FBB">
        <w:rPr>
          <w:u w:color="FF0000"/>
        </w:rPr>
        <w:br w:type="page"/>
      </w:r>
    </w:p>
    <w:p w14:paraId="3609F025" w14:textId="1EF06CF4" w:rsidR="00E23A84" w:rsidRPr="009D36CA" w:rsidRDefault="00E23A84" w:rsidP="009D36CA">
      <w:pPr>
        <w:pStyle w:val="Heading2"/>
        <w:rPr>
          <w:rFonts w:asciiTheme="minorHAnsi" w:hAnsiTheme="minorHAnsi" w:cstheme="minorHAnsi"/>
          <w:sz w:val="22"/>
          <w:szCs w:val="22"/>
        </w:rPr>
      </w:pPr>
      <w:r w:rsidRPr="009D36CA">
        <w:rPr>
          <w:rFonts w:asciiTheme="minorHAnsi" w:hAnsiTheme="minorHAnsi" w:cstheme="minorHAnsi"/>
          <w:sz w:val="22"/>
          <w:szCs w:val="22"/>
        </w:rPr>
        <w:lastRenderedPageBreak/>
        <w:t>Summary of PICO criteria to define question(s) to be addressed in an Assessment Report to the Medical Services Advisory Committee (MSAC)</w:t>
      </w:r>
    </w:p>
    <w:p w14:paraId="364E9954" w14:textId="2130B39A" w:rsidR="00E23A84" w:rsidRDefault="00E23A84" w:rsidP="00C36AEE">
      <w:pPr>
        <w:pStyle w:val="Caption"/>
        <w:spacing w:before="240"/>
      </w:pPr>
      <w:bookmarkStart w:id="1" w:name="_Ref69732160"/>
      <w:bookmarkStart w:id="2" w:name="_Ref69732155"/>
      <w:r>
        <w:t>Table </w:t>
      </w:r>
      <w:r>
        <w:fldChar w:fldCharType="begin"/>
      </w:r>
      <w:r>
        <w:instrText xml:space="preserve"> SEQ Table \* ARABIC </w:instrText>
      </w:r>
      <w:r>
        <w:fldChar w:fldCharType="separate"/>
      </w:r>
      <w:r w:rsidR="008443A4">
        <w:rPr>
          <w:noProof/>
        </w:rPr>
        <w:t>1</w:t>
      </w:r>
      <w:r>
        <w:fldChar w:fldCharType="end"/>
      </w:r>
      <w:bookmarkEnd w:id="1"/>
      <w:r>
        <w:tab/>
        <w:t xml:space="preserve">PICO for </w:t>
      </w:r>
      <w:r w:rsidR="008256EE">
        <w:t xml:space="preserve">epicardial clip </w:t>
      </w:r>
      <w:r w:rsidR="00EF23B0">
        <w:t>implant</w:t>
      </w:r>
      <w:r w:rsidR="00BF79D2">
        <w:t>ation</w:t>
      </w:r>
      <w:r w:rsidR="00EF23B0">
        <w:t xml:space="preserve"> </w:t>
      </w:r>
      <w:r w:rsidR="00BF79D2">
        <w:t xml:space="preserve">to exclude the left atrial appendage </w:t>
      </w:r>
      <w:r>
        <w:t xml:space="preserve">in patients </w:t>
      </w:r>
      <w:r w:rsidR="008256EE">
        <w:t xml:space="preserve">with atrial fibrillation </w:t>
      </w:r>
      <w:r>
        <w:t>undergoing open cardiac surgery</w:t>
      </w:r>
      <w:bookmarkEnd w:id="2"/>
      <w:r w:rsidR="00AC4EF5">
        <w:t xml:space="preserve"> with a </w:t>
      </w:r>
      <w:r w:rsidR="00AC4EF5" w:rsidRPr="001F42F5">
        <w:t>CHA</w:t>
      </w:r>
      <w:r w:rsidR="00AC4EF5" w:rsidRPr="0085569D">
        <w:rPr>
          <w:vertAlign w:val="subscript"/>
        </w:rPr>
        <w:t>2</w:t>
      </w:r>
      <w:r w:rsidR="00AC4EF5" w:rsidRPr="001F42F5">
        <w:t>DS</w:t>
      </w:r>
      <w:r w:rsidR="00AC4EF5" w:rsidRPr="0085569D">
        <w:rPr>
          <w:vertAlign w:val="subscript"/>
        </w:rPr>
        <w:t>2</w:t>
      </w:r>
      <w:r w:rsidR="00AC4EF5" w:rsidRPr="001F42F5">
        <w:t>-VASc</w:t>
      </w:r>
      <w:r w:rsidR="00AC4EF5">
        <w:t>*</w:t>
      </w:r>
      <w:r w:rsidR="00AC4EF5" w:rsidRPr="001F42F5">
        <w:t xml:space="preserve"> score of ≥</w:t>
      </w:r>
      <w:r w:rsidR="00AC4EF5">
        <w:rPr>
          <w:u w:val="single"/>
        </w:rPr>
        <w:t xml:space="preserve"> </w:t>
      </w:r>
      <w:r w:rsidR="00AC4EF5" w:rsidRPr="001F42F5">
        <w:t>2</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922"/>
        <w:gridCol w:w="7639"/>
      </w:tblGrid>
      <w:tr w:rsidR="00E23A84" w:rsidRPr="00490FBB" w14:paraId="66C750F5" w14:textId="77777777" w:rsidTr="009D36CA">
        <w:trPr>
          <w:trHeight w:val="372"/>
          <w:tblHeader/>
        </w:trPr>
        <w:tc>
          <w:tcPr>
            <w:tcW w:w="1005" w:type="pct"/>
            <w:tcBorders>
              <w:top w:val="single" w:sz="8" w:space="0" w:color="auto"/>
              <w:bottom w:val="single" w:sz="8" w:space="0" w:color="auto"/>
            </w:tcBorders>
            <w:shd w:val="clear" w:color="auto" w:fill="D9D9D9"/>
            <w:vAlign w:val="center"/>
            <w:hideMark/>
          </w:tcPr>
          <w:p w14:paraId="005CF5D9" w14:textId="77777777" w:rsidR="00E23A84" w:rsidRPr="00490FBB" w:rsidRDefault="00E23A84" w:rsidP="00AE7A87">
            <w:pPr>
              <w:spacing w:before="20" w:after="20" w:line="240" w:lineRule="auto"/>
              <w:rPr>
                <w:b/>
              </w:rPr>
            </w:pPr>
            <w:bookmarkStart w:id="3" w:name="Title_Table1" w:colFirst="0" w:colLast="0"/>
            <w:r w:rsidRPr="00490FBB">
              <w:rPr>
                <w:b/>
              </w:rPr>
              <w:t>Component</w:t>
            </w:r>
          </w:p>
        </w:tc>
        <w:tc>
          <w:tcPr>
            <w:tcW w:w="3995" w:type="pct"/>
            <w:tcBorders>
              <w:top w:val="single" w:sz="8" w:space="0" w:color="auto"/>
              <w:bottom w:val="single" w:sz="8" w:space="0" w:color="auto"/>
            </w:tcBorders>
            <w:shd w:val="clear" w:color="auto" w:fill="D9D9D9"/>
            <w:vAlign w:val="center"/>
            <w:hideMark/>
          </w:tcPr>
          <w:p w14:paraId="09504081" w14:textId="77777777" w:rsidR="00E23A84" w:rsidRPr="00490FBB" w:rsidRDefault="00E23A84" w:rsidP="00AE7A87">
            <w:pPr>
              <w:spacing w:before="20" w:after="20" w:line="240" w:lineRule="auto"/>
              <w:rPr>
                <w:b/>
              </w:rPr>
            </w:pPr>
            <w:r w:rsidRPr="00490FBB">
              <w:rPr>
                <w:b/>
              </w:rPr>
              <w:t>Description</w:t>
            </w:r>
          </w:p>
        </w:tc>
      </w:tr>
      <w:bookmarkEnd w:id="3"/>
      <w:tr w:rsidR="00E23A84" w:rsidRPr="00490FBB" w14:paraId="5E982E6F" w14:textId="77777777" w:rsidTr="009D36CA">
        <w:tc>
          <w:tcPr>
            <w:tcW w:w="1005" w:type="pct"/>
            <w:tcBorders>
              <w:top w:val="single" w:sz="8" w:space="0" w:color="auto"/>
            </w:tcBorders>
            <w:hideMark/>
          </w:tcPr>
          <w:p w14:paraId="0779A2C9" w14:textId="77777777" w:rsidR="00E23A84" w:rsidRPr="00490FBB" w:rsidRDefault="00E23A84" w:rsidP="00AE7A87">
            <w:pPr>
              <w:spacing w:before="120" w:after="120" w:line="240" w:lineRule="auto"/>
              <w:rPr>
                <w:rFonts w:cs="Arial"/>
              </w:rPr>
            </w:pPr>
            <w:r>
              <w:rPr>
                <w:rFonts w:cs="Arial"/>
              </w:rPr>
              <w:t>Population</w:t>
            </w:r>
          </w:p>
        </w:tc>
        <w:tc>
          <w:tcPr>
            <w:tcW w:w="3995" w:type="pct"/>
            <w:tcBorders>
              <w:top w:val="single" w:sz="8" w:space="0" w:color="auto"/>
            </w:tcBorders>
            <w:hideMark/>
          </w:tcPr>
          <w:p w14:paraId="6066B0C4" w14:textId="2963E577" w:rsidR="00E23A84" w:rsidRPr="00D52956" w:rsidRDefault="008216E3" w:rsidP="008256EE">
            <w:pPr>
              <w:spacing w:before="120" w:after="120" w:line="240" w:lineRule="auto"/>
            </w:pPr>
            <w:r w:rsidRPr="00DC669B">
              <w:t xml:space="preserve">Patients with </w:t>
            </w:r>
            <w:r>
              <w:t>a documented history of atrial fibrillation (</w:t>
            </w:r>
            <w:r w:rsidRPr="00DC669B">
              <w:t>AF</w:t>
            </w:r>
            <w:r>
              <w:t>)</w:t>
            </w:r>
            <w:r w:rsidRPr="00DC669B">
              <w:t xml:space="preserve"> undergoing open cardiac surgery</w:t>
            </w:r>
            <w:r>
              <w:t xml:space="preserve">, at risk of stroke based on a </w:t>
            </w:r>
            <w:r w:rsidRPr="001F42F5">
              <w:t>CHA</w:t>
            </w:r>
            <w:r w:rsidRPr="0085569D">
              <w:rPr>
                <w:vertAlign w:val="subscript"/>
              </w:rPr>
              <w:t>2</w:t>
            </w:r>
            <w:r w:rsidRPr="001F42F5">
              <w:t>DS</w:t>
            </w:r>
            <w:r w:rsidRPr="0085569D">
              <w:rPr>
                <w:vertAlign w:val="subscript"/>
              </w:rPr>
              <w:t>2</w:t>
            </w:r>
            <w:r w:rsidRPr="001F42F5">
              <w:t>-VASc</w:t>
            </w:r>
            <w:r>
              <w:t>*</w:t>
            </w:r>
            <w:r w:rsidRPr="001F42F5">
              <w:t xml:space="preserve"> score of ≥</w:t>
            </w:r>
            <w:r w:rsidR="00AD3F86">
              <w:rPr>
                <w:u w:val="single"/>
              </w:rPr>
              <w:t xml:space="preserve"> </w:t>
            </w:r>
            <w:r w:rsidRPr="001F42F5">
              <w:t>2</w:t>
            </w:r>
            <w:r>
              <w:t>.</w:t>
            </w:r>
          </w:p>
        </w:tc>
      </w:tr>
      <w:tr w:rsidR="00E23A84" w:rsidRPr="00490FBB" w14:paraId="54BE2F6A" w14:textId="77777777" w:rsidTr="009D36CA">
        <w:tc>
          <w:tcPr>
            <w:tcW w:w="1005" w:type="pct"/>
            <w:hideMark/>
          </w:tcPr>
          <w:p w14:paraId="0F3A535C" w14:textId="77777777" w:rsidR="00E23A84" w:rsidRPr="00490FBB" w:rsidRDefault="00E23A84" w:rsidP="00AE7A87">
            <w:pPr>
              <w:spacing w:before="120" w:after="120" w:line="240" w:lineRule="auto"/>
              <w:rPr>
                <w:rFonts w:cs="Arial"/>
              </w:rPr>
            </w:pPr>
            <w:r w:rsidRPr="00490FBB">
              <w:rPr>
                <w:rFonts w:cs="Arial"/>
              </w:rPr>
              <w:t>Intervention</w:t>
            </w:r>
          </w:p>
        </w:tc>
        <w:tc>
          <w:tcPr>
            <w:tcW w:w="3995" w:type="pct"/>
            <w:hideMark/>
          </w:tcPr>
          <w:p w14:paraId="4B9CADA3" w14:textId="0115D93C" w:rsidR="00E23A84" w:rsidRPr="00D52956" w:rsidRDefault="00E23A84" w:rsidP="008256EE">
            <w:pPr>
              <w:spacing w:before="120" w:after="120" w:line="240" w:lineRule="auto"/>
            </w:pPr>
            <w:r>
              <w:t>L</w:t>
            </w:r>
            <w:r w:rsidRPr="00DC669B">
              <w:t xml:space="preserve">eft atrial appendage </w:t>
            </w:r>
            <w:r w:rsidR="00D6591D">
              <w:t xml:space="preserve">(LAA) </w:t>
            </w:r>
            <w:r>
              <w:t>exclusion using an epicardial clip</w:t>
            </w:r>
            <w:r w:rsidRPr="00DC669B">
              <w:t xml:space="preserve"> device implanted during concomitant open cardiac surgery</w:t>
            </w:r>
          </w:p>
        </w:tc>
      </w:tr>
      <w:tr w:rsidR="00E23A84" w:rsidRPr="00490FBB" w14:paraId="42517DC9" w14:textId="77777777" w:rsidTr="009D36CA">
        <w:tc>
          <w:tcPr>
            <w:tcW w:w="1005" w:type="pct"/>
            <w:hideMark/>
          </w:tcPr>
          <w:p w14:paraId="1F2DD040" w14:textId="1EBCAB56" w:rsidR="00E23A84" w:rsidRPr="00490FBB" w:rsidRDefault="00E23A84" w:rsidP="00AE7A87">
            <w:pPr>
              <w:spacing w:before="120" w:after="120" w:line="240" w:lineRule="auto"/>
              <w:rPr>
                <w:rFonts w:cs="Arial"/>
              </w:rPr>
            </w:pPr>
            <w:r w:rsidRPr="00490FBB">
              <w:rPr>
                <w:rFonts w:cs="Arial"/>
              </w:rPr>
              <w:t>Comparator</w:t>
            </w:r>
            <w:r>
              <w:rPr>
                <w:rFonts w:cs="Arial"/>
              </w:rPr>
              <w:t>s</w:t>
            </w:r>
          </w:p>
        </w:tc>
        <w:tc>
          <w:tcPr>
            <w:tcW w:w="3995" w:type="pct"/>
            <w:hideMark/>
          </w:tcPr>
          <w:p w14:paraId="4743990B" w14:textId="77777777" w:rsidR="008216E3" w:rsidRDefault="008216E3" w:rsidP="008216E3">
            <w:pPr>
              <w:spacing w:before="120" w:after="80" w:line="240" w:lineRule="auto"/>
            </w:pPr>
            <w:r>
              <w:t>LAA exclusion during concomitant open cardiac surgery using either:</w:t>
            </w:r>
          </w:p>
          <w:p w14:paraId="075317E9" w14:textId="77777777" w:rsidR="008216E3" w:rsidRDefault="008216E3" w:rsidP="009D36CA">
            <w:pPr>
              <w:pStyle w:val="ListParagraph"/>
              <w:numPr>
                <w:ilvl w:val="0"/>
                <w:numId w:val="13"/>
              </w:numPr>
              <w:spacing w:after="120" w:line="240" w:lineRule="auto"/>
              <w:ind w:left="714" w:hanging="357"/>
            </w:pPr>
            <w:r>
              <w:t>Staple occlusion</w:t>
            </w:r>
          </w:p>
          <w:p w14:paraId="19C9021D" w14:textId="7866D56D" w:rsidR="008216E3" w:rsidRDefault="008216E3" w:rsidP="008216E3">
            <w:pPr>
              <w:pStyle w:val="ListParagraph"/>
              <w:numPr>
                <w:ilvl w:val="0"/>
                <w:numId w:val="13"/>
              </w:numPr>
              <w:spacing w:before="120" w:after="120" w:line="240" w:lineRule="auto"/>
              <w:ind w:left="714" w:hanging="357"/>
            </w:pPr>
            <w:r>
              <w:t>S</w:t>
            </w:r>
            <w:r w:rsidRPr="00DC669B">
              <w:t>uture ligation</w:t>
            </w:r>
          </w:p>
          <w:p w14:paraId="4F62DC6A" w14:textId="77777777" w:rsidR="008216E3" w:rsidRDefault="008216E3" w:rsidP="008216E3">
            <w:pPr>
              <w:pStyle w:val="ListParagraph"/>
              <w:numPr>
                <w:ilvl w:val="1"/>
                <w:numId w:val="13"/>
              </w:numPr>
              <w:spacing w:before="120" w:after="120" w:line="240" w:lineRule="auto"/>
            </w:pPr>
            <w:r w:rsidRPr="00952663">
              <w:t>amputation of the LAA and closure (cut and sew)</w:t>
            </w:r>
          </w:p>
          <w:p w14:paraId="75FE92C5" w14:textId="1EAEAC18" w:rsidR="00952663" w:rsidRPr="00D6591D" w:rsidRDefault="008216E3" w:rsidP="008216E3">
            <w:pPr>
              <w:pStyle w:val="ListParagraph"/>
              <w:numPr>
                <w:ilvl w:val="1"/>
                <w:numId w:val="13"/>
              </w:numPr>
              <w:spacing w:before="120" w:after="120" w:line="240" w:lineRule="auto"/>
            </w:pPr>
            <w:r w:rsidRPr="00952663">
              <w:t>double layer linear closure from within the atrium</w:t>
            </w:r>
          </w:p>
        </w:tc>
      </w:tr>
      <w:tr w:rsidR="00E23A84" w:rsidRPr="00490FBB" w14:paraId="44FFA141" w14:textId="77777777" w:rsidTr="009D36CA">
        <w:tc>
          <w:tcPr>
            <w:tcW w:w="1005" w:type="pct"/>
            <w:hideMark/>
          </w:tcPr>
          <w:p w14:paraId="4B53695A" w14:textId="77777777" w:rsidR="00E23A84" w:rsidRPr="00490FBB" w:rsidRDefault="00E23A84" w:rsidP="00AE7A87">
            <w:pPr>
              <w:spacing w:before="120" w:after="120" w:line="240" w:lineRule="auto"/>
              <w:rPr>
                <w:rFonts w:cs="Arial"/>
              </w:rPr>
            </w:pPr>
            <w:r w:rsidRPr="00490FBB">
              <w:rPr>
                <w:rFonts w:cs="Arial"/>
              </w:rPr>
              <w:t>Outcomes</w:t>
            </w:r>
          </w:p>
        </w:tc>
        <w:tc>
          <w:tcPr>
            <w:tcW w:w="3995" w:type="pct"/>
            <w:hideMark/>
          </w:tcPr>
          <w:p w14:paraId="59FD79A9" w14:textId="77777777" w:rsidR="00E23A84" w:rsidRPr="00A53D80" w:rsidRDefault="00E23A84" w:rsidP="00C36AEE">
            <w:pPr>
              <w:spacing w:before="120" w:after="80" w:line="240" w:lineRule="auto"/>
              <w:rPr>
                <w:b/>
                <w:bCs/>
              </w:rPr>
            </w:pPr>
            <w:r w:rsidRPr="00A53D80">
              <w:rPr>
                <w:b/>
                <w:bCs/>
              </w:rPr>
              <w:t>Effectiveness</w:t>
            </w:r>
          </w:p>
          <w:p w14:paraId="6C312BAC" w14:textId="77777777" w:rsidR="00E23A84" w:rsidRPr="00A53D80" w:rsidRDefault="00E23A84" w:rsidP="009D36CA">
            <w:pPr>
              <w:spacing w:before="80" w:after="0" w:line="240" w:lineRule="auto"/>
              <w:rPr>
                <w:u w:val="single"/>
              </w:rPr>
            </w:pPr>
            <w:r w:rsidRPr="00A53D80">
              <w:rPr>
                <w:u w:val="single"/>
              </w:rPr>
              <w:t>Primary</w:t>
            </w:r>
          </w:p>
          <w:p w14:paraId="3565592D" w14:textId="77777777" w:rsidR="00E23A84" w:rsidRPr="00B262CF" w:rsidRDefault="00E23A84" w:rsidP="009D36CA">
            <w:pPr>
              <w:pStyle w:val="ListParagraph"/>
              <w:numPr>
                <w:ilvl w:val="0"/>
                <w:numId w:val="12"/>
              </w:numPr>
              <w:spacing w:after="120" w:line="240" w:lineRule="auto"/>
              <w:ind w:hanging="357"/>
            </w:pPr>
            <w:r w:rsidRPr="00B262CF">
              <w:t>Major stroke</w:t>
            </w:r>
          </w:p>
          <w:p w14:paraId="0C1AD836" w14:textId="77777777" w:rsidR="00E23A84" w:rsidRPr="00B262CF" w:rsidRDefault="00E23A84" w:rsidP="008256EE">
            <w:pPr>
              <w:pStyle w:val="ListParagraph"/>
              <w:numPr>
                <w:ilvl w:val="1"/>
                <w:numId w:val="12"/>
              </w:numPr>
              <w:spacing w:before="120" w:after="120" w:line="240" w:lineRule="auto"/>
              <w:ind w:hanging="357"/>
            </w:pPr>
            <w:r w:rsidRPr="00B262CF">
              <w:t>Ischemic</w:t>
            </w:r>
            <w:r>
              <w:t xml:space="preserve"> stroke</w:t>
            </w:r>
          </w:p>
          <w:p w14:paraId="7CE54051" w14:textId="77777777" w:rsidR="00E23A84" w:rsidRPr="00B262CF" w:rsidRDefault="00E23A84" w:rsidP="008256EE">
            <w:pPr>
              <w:pStyle w:val="ListParagraph"/>
              <w:numPr>
                <w:ilvl w:val="1"/>
                <w:numId w:val="12"/>
              </w:numPr>
              <w:spacing w:before="120" w:after="120" w:line="240" w:lineRule="auto"/>
              <w:ind w:hanging="357"/>
            </w:pPr>
            <w:r w:rsidRPr="00B262CF">
              <w:t>Haemorrhagic stroke</w:t>
            </w:r>
          </w:p>
          <w:p w14:paraId="01E1662E" w14:textId="77777777" w:rsidR="00E23A84" w:rsidRPr="00B262CF" w:rsidRDefault="00E23A84" w:rsidP="008256EE">
            <w:pPr>
              <w:pStyle w:val="ListParagraph"/>
              <w:numPr>
                <w:ilvl w:val="0"/>
                <w:numId w:val="12"/>
              </w:numPr>
              <w:spacing w:before="120" w:after="120" w:line="240" w:lineRule="auto"/>
              <w:ind w:hanging="357"/>
            </w:pPr>
            <w:r w:rsidRPr="00B262CF">
              <w:t>Systemic embolism</w:t>
            </w:r>
          </w:p>
          <w:p w14:paraId="3F19A4D7" w14:textId="7B7B2C96" w:rsidR="00E23A84" w:rsidRPr="00B262CF" w:rsidRDefault="00D6373B" w:rsidP="008256EE">
            <w:pPr>
              <w:pStyle w:val="ListParagraph"/>
              <w:numPr>
                <w:ilvl w:val="0"/>
                <w:numId w:val="12"/>
              </w:numPr>
              <w:spacing w:before="120" w:after="120" w:line="240" w:lineRule="auto"/>
              <w:ind w:hanging="357"/>
            </w:pPr>
            <w:r>
              <w:t>Cardiovascular and a</w:t>
            </w:r>
            <w:r w:rsidR="00E23A84" w:rsidRPr="00B262CF">
              <w:t>ll</w:t>
            </w:r>
            <w:r w:rsidR="00D6591D">
              <w:t>-</w:t>
            </w:r>
            <w:r w:rsidR="00E23A84" w:rsidRPr="00B262CF">
              <w:t>cause mortality</w:t>
            </w:r>
          </w:p>
          <w:p w14:paraId="55D59370" w14:textId="06E00A22" w:rsidR="00E23A84" w:rsidRDefault="00E23A84" w:rsidP="008256EE">
            <w:pPr>
              <w:pStyle w:val="ListParagraph"/>
              <w:numPr>
                <w:ilvl w:val="0"/>
                <w:numId w:val="12"/>
              </w:numPr>
              <w:spacing w:before="120" w:after="120" w:line="240" w:lineRule="auto"/>
              <w:ind w:hanging="357"/>
            </w:pPr>
            <w:r>
              <w:t>LAA exclusion confirmed by trans</w:t>
            </w:r>
            <w:r w:rsidR="00031C3A">
              <w:t>o</w:t>
            </w:r>
            <w:r>
              <w:t>esophageal echocardiography (T</w:t>
            </w:r>
            <w:r w:rsidR="00031C3A">
              <w:t>O</w:t>
            </w:r>
            <w:r>
              <w:t>E)</w:t>
            </w:r>
          </w:p>
          <w:p w14:paraId="7D861D87" w14:textId="77777777" w:rsidR="00E23A84" w:rsidRPr="00A53D80" w:rsidRDefault="00E23A84" w:rsidP="009D36CA">
            <w:pPr>
              <w:spacing w:before="120" w:after="0" w:line="240" w:lineRule="auto"/>
              <w:rPr>
                <w:u w:val="single"/>
              </w:rPr>
            </w:pPr>
            <w:r w:rsidRPr="00A53D80">
              <w:rPr>
                <w:u w:val="single"/>
              </w:rPr>
              <w:t>Secondary</w:t>
            </w:r>
          </w:p>
          <w:p w14:paraId="1D27CF30" w14:textId="5BF15EB1" w:rsidR="00E23A84" w:rsidRPr="00B262CF" w:rsidRDefault="00E23A84" w:rsidP="009D36CA">
            <w:pPr>
              <w:pStyle w:val="ListParagraph"/>
              <w:numPr>
                <w:ilvl w:val="0"/>
                <w:numId w:val="13"/>
              </w:numPr>
              <w:spacing w:after="120" w:line="240" w:lineRule="auto"/>
              <w:ind w:left="714" w:hanging="357"/>
            </w:pPr>
            <w:r w:rsidRPr="00B262CF">
              <w:t>Health</w:t>
            </w:r>
            <w:r w:rsidR="00D6591D">
              <w:t>-</w:t>
            </w:r>
            <w:r w:rsidRPr="00B262CF">
              <w:t>related quality of life and disability</w:t>
            </w:r>
          </w:p>
          <w:p w14:paraId="1B4423C1" w14:textId="3B032A20" w:rsidR="00E23A84" w:rsidRPr="00B262CF" w:rsidRDefault="00E23A84" w:rsidP="008256EE">
            <w:pPr>
              <w:pStyle w:val="ListParagraph"/>
              <w:numPr>
                <w:ilvl w:val="0"/>
                <w:numId w:val="13"/>
              </w:numPr>
              <w:spacing w:before="120" w:after="120" w:line="240" w:lineRule="auto"/>
              <w:ind w:left="714" w:hanging="357"/>
            </w:pPr>
            <w:r w:rsidRPr="00B262CF">
              <w:t>Operative time, ease of use/learning curve</w:t>
            </w:r>
          </w:p>
          <w:p w14:paraId="201C6940" w14:textId="77777777" w:rsidR="00E23A84" w:rsidRPr="00A53D80" w:rsidRDefault="00E23A84" w:rsidP="00C36AEE">
            <w:pPr>
              <w:spacing w:before="120" w:after="80" w:line="240" w:lineRule="auto"/>
              <w:rPr>
                <w:b/>
                <w:bCs/>
              </w:rPr>
            </w:pPr>
            <w:r w:rsidRPr="00A53D80">
              <w:rPr>
                <w:b/>
                <w:bCs/>
              </w:rPr>
              <w:t>Safety</w:t>
            </w:r>
          </w:p>
          <w:p w14:paraId="05171799" w14:textId="16A980F5" w:rsidR="008216E3" w:rsidRDefault="008216E3" w:rsidP="009D36CA">
            <w:pPr>
              <w:pStyle w:val="ListParagraph"/>
              <w:numPr>
                <w:ilvl w:val="0"/>
                <w:numId w:val="14"/>
              </w:numPr>
              <w:spacing w:after="120" w:line="240" w:lineRule="auto"/>
              <w:ind w:hanging="357"/>
            </w:pPr>
            <w:r>
              <w:t>Major bleeding events</w:t>
            </w:r>
            <w:r w:rsidR="00866C3B">
              <w:t xml:space="preserve">: </w:t>
            </w:r>
            <w:r w:rsidRPr="00CD3429">
              <w:t>short-term</w:t>
            </w:r>
            <w:r w:rsidR="00866C3B">
              <w:t xml:space="preserve"> (post-operative &lt;30 days) e.g. </w:t>
            </w:r>
            <w:r w:rsidRPr="00CD3429">
              <w:t>procedural and post-procedural</w:t>
            </w:r>
            <w:r w:rsidR="00866C3B">
              <w:t xml:space="preserve"> events; and long term</w:t>
            </w:r>
          </w:p>
          <w:p w14:paraId="61F0E9C6" w14:textId="0487689B" w:rsidR="008216E3" w:rsidRDefault="00A33B5D" w:rsidP="008216E3">
            <w:pPr>
              <w:pStyle w:val="ListParagraph"/>
              <w:numPr>
                <w:ilvl w:val="0"/>
                <w:numId w:val="14"/>
              </w:numPr>
              <w:spacing w:before="120" w:after="120" w:line="240" w:lineRule="auto"/>
              <w:ind w:hanging="357"/>
            </w:pPr>
            <w:r>
              <w:t>R</w:t>
            </w:r>
            <w:r w:rsidR="008216E3">
              <w:t>e-admission rate</w:t>
            </w:r>
            <w:r w:rsidR="00866C3B">
              <w:t xml:space="preserve">: </w:t>
            </w:r>
            <w:r>
              <w:t>short-term</w:t>
            </w:r>
            <w:r w:rsidR="00866C3B">
              <w:t xml:space="preserve"> (</w:t>
            </w:r>
            <w:r>
              <w:t>post-operative</w:t>
            </w:r>
            <w:r w:rsidR="00866C3B">
              <w:t xml:space="preserve"> &lt;30 days); and long term</w:t>
            </w:r>
          </w:p>
          <w:p w14:paraId="72453CAC" w14:textId="172F714F" w:rsidR="008216E3" w:rsidRDefault="008216E3" w:rsidP="008216E3">
            <w:pPr>
              <w:pStyle w:val="ListParagraph"/>
              <w:numPr>
                <w:ilvl w:val="0"/>
                <w:numId w:val="14"/>
              </w:numPr>
              <w:spacing w:before="120" w:after="120" w:line="240" w:lineRule="auto"/>
              <w:ind w:hanging="357"/>
            </w:pPr>
            <w:r>
              <w:t>Reintervention rate</w:t>
            </w:r>
            <w:r w:rsidR="00866C3B">
              <w:t xml:space="preserve">: </w:t>
            </w:r>
            <w:r w:rsidRPr="00CD3429">
              <w:t>short-term</w:t>
            </w:r>
            <w:r w:rsidR="00866C3B">
              <w:t xml:space="preserve"> (</w:t>
            </w:r>
            <w:r w:rsidRPr="00CD3429">
              <w:t>post-operative</w:t>
            </w:r>
            <w:r w:rsidR="00866C3B">
              <w:t xml:space="preserve"> &lt;30 days</w:t>
            </w:r>
            <w:r w:rsidRPr="00CD3429">
              <w:t>)</w:t>
            </w:r>
            <w:r w:rsidR="00866C3B">
              <w:t>; and long term</w:t>
            </w:r>
          </w:p>
          <w:p w14:paraId="7724FB98" w14:textId="12C57022" w:rsidR="00E23A84" w:rsidRDefault="00E23A84" w:rsidP="008256EE">
            <w:pPr>
              <w:pStyle w:val="ListParagraph"/>
              <w:numPr>
                <w:ilvl w:val="1"/>
                <w:numId w:val="14"/>
              </w:numPr>
              <w:spacing w:before="120" w:after="120" w:line="240" w:lineRule="auto"/>
              <w:ind w:hanging="357"/>
            </w:pPr>
            <w:r w:rsidRPr="00B262CF">
              <w:t xml:space="preserve">Failure of </w:t>
            </w:r>
            <w:r w:rsidR="00D6373B">
              <w:t>exclusion/occlusion</w:t>
            </w:r>
            <w:r w:rsidRPr="00B262CF">
              <w:t xml:space="preserve"> requiring reintervention</w:t>
            </w:r>
          </w:p>
          <w:p w14:paraId="60D4EA48" w14:textId="68DE22CB" w:rsidR="00E23A84" w:rsidRPr="00B262CF" w:rsidRDefault="00E23A84" w:rsidP="008256EE">
            <w:pPr>
              <w:pStyle w:val="ListParagraph"/>
              <w:numPr>
                <w:ilvl w:val="0"/>
                <w:numId w:val="14"/>
              </w:numPr>
              <w:spacing w:before="120" w:after="120" w:line="240" w:lineRule="auto"/>
              <w:ind w:hanging="357"/>
            </w:pPr>
            <w:r w:rsidRPr="00B262CF">
              <w:t>Intraoperative complications</w:t>
            </w:r>
          </w:p>
          <w:p w14:paraId="54EF7253" w14:textId="2FB3E3D1" w:rsidR="00E23A84" w:rsidRPr="00D6591D" w:rsidRDefault="00E23A84" w:rsidP="008256EE">
            <w:pPr>
              <w:pStyle w:val="ListParagraph"/>
              <w:numPr>
                <w:ilvl w:val="0"/>
                <w:numId w:val="14"/>
              </w:numPr>
              <w:spacing w:before="120" w:after="120" w:line="240" w:lineRule="auto"/>
              <w:ind w:hanging="357"/>
            </w:pPr>
            <w:r w:rsidRPr="00B262CF">
              <w:t>Postoperative complications</w:t>
            </w:r>
            <w:r w:rsidR="00866C3B">
              <w:t>: short-term (&lt;30 days); and long term</w:t>
            </w:r>
          </w:p>
          <w:p w14:paraId="4119A442" w14:textId="77777777" w:rsidR="00422F01" w:rsidRDefault="00422F01" w:rsidP="00C36AEE">
            <w:pPr>
              <w:spacing w:before="120" w:after="80" w:line="240" w:lineRule="auto"/>
              <w:rPr>
                <w:b/>
                <w:bCs/>
              </w:rPr>
            </w:pPr>
            <w:bookmarkStart w:id="4" w:name="_Hlk76456844"/>
            <w:r>
              <w:rPr>
                <w:b/>
                <w:bCs/>
              </w:rPr>
              <w:t>Healthcare resources</w:t>
            </w:r>
          </w:p>
          <w:p w14:paraId="351CC009" w14:textId="1900588B" w:rsidR="00422F01" w:rsidRPr="00422F01" w:rsidRDefault="00422F01" w:rsidP="009D36CA">
            <w:pPr>
              <w:pStyle w:val="ListParagraph"/>
              <w:numPr>
                <w:ilvl w:val="0"/>
                <w:numId w:val="18"/>
              </w:numPr>
              <w:spacing w:after="120" w:line="240" w:lineRule="auto"/>
              <w:ind w:left="714" w:hanging="357"/>
              <w:rPr>
                <w:b/>
                <w:bCs/>
              </w:rPr>
            </w:pPr>
            <w:r>
              <w:t>Cost to deliver the intervention</w:t>
            </w:r>
            <w:r w:rsidR="00D6591D">
              <w:t>,</w:t>
            </w:r>
            <w:r>
              <w:t xml:space="preserve"> including follow-up</w:t>
            </w:r>
          </w:p>
          <w:p w14:paraId="05E7D1BB" w14:textId="77777777" w:rsidR="00422F01" w:rsidRDefault="00422F01" w:rsidP="00C36AEE">
            <w:pPr>
              <w:spacing w:before="120" w:after="80" w:line="240" w:lineRule="auto"/>
              <w:rPr>
                <w:b/>
                <w:bCs/>
              </w:rPr>
            </w:pPr>
            <w:r>
              <w:rPr>
                <w:b/>
                <w:bCs/>
              </w:rPr>
              <w:t>Total Government Healthcare costs</w:t>
            </w:r>
          </w:p>
          <w:p w14:paraId="0A5C2E6E" w14:textId="77777777" w:rsidR="00422F01" w:rsidRPr="00422F01" w:rsidRDefault="00422F01" w:rsidP="009D36CA">
            <w:pPr>
              <w:pStyle w:val="ListParagraph"/>
              <w:numPr>
                <w:ilvl w:val="0"/>
                <w:numId w:val="18"/>
              </w:numPr>
              <w:spacing w:after="120" w:line="240" w:lineRule="auto"/>
              <w:ind w:left="714" w:hanging="357"/>
              <w:rPr>
                <w:b/>
                <w:bCs/>
              </w:rPr>
            </w:pPr>
            <w:r>
              <w:t>Total cost to the Medicare Benefits Schedule (MBS)</w:t>
            </w:r>
          </w:p>
          <w:p w14:paraId="632CB3EE" w14:textId="5D893A27" w:rsidR="00422F01" w:rsidRPr="00422F01" w:rsidRDefault="00422F01" w:rsidP="008256EE">
            <w:pPr>
              <w:pStyle w:val="ListParagraph"/>
              <w:numPr>
                <w:ilvl w:val="0"/>
                <w:numId w:val="18"/>
              </w:numPr>
              <w:spacing w:before="120" w:after="120" w:line="240" w:lineRule="auto"/>
              <w:ind w:left="714" w:hanging="357"/>
            </w:pPr>
            <w:r w:rsidRPr="00422F01">
              <w:t xml:space="preserve">Total cost to </w:t>
            </w:r>
            <w:r w:rsidR="00414D22">
              <w:t>other healthcare budgets</w:t>
            </w:r>
            <w:r>
              <w:t xml:space="preserve"> including device costs</w:t>
            </w:r>
            <w:bookmarkEnd w:id="4"/>
          </w:p>
        </w:tc>
      </w:tr>
      <w:tr w:rsidR="00E23A84" w:rsidRPr="00490FBB" w14:paraId="06CDE785" w14:textId="77777777" w:rsidTr="009D36CA">
        <w:tc>
          <w:tcPr>
            <w:tcW w:w="1005" w:type="pct"/>
          </w:tcPr>
          <w:p w14:paraId="1DDA14C1" w14:textId="77777777" w:rsidR="00E23A84" w:rsidRPr="00490FBB" w:rsidRDefault="00E23A84" w:rsidP="00AE7A87">
            <w:pPr>
              <w:spacing w:before="120" w:after="120" w:line="240" w:lineRule="auto"/>
              <w:rPr>
                <w:rFonts w:cs="Arial"/>
              </w:rPr>
            </w:pPr>
            <w:r w:rsidRPr="00490FBB">
              <w:rPr>
                <w:rFonts w:cs="Arial"/>
              </w:rPr>
              <w:t>Assessment questions</w:t>
            </w:r>
          </w:p>
        </w:tc>
        <w:tc>
          <w:tcPr>
            <w:tcW w:w="3995" w:type="pct"/>
          </w:tcPr>
          <w:p w14:paraId="525AF74B" w14:textId="121AA0C5" w:rsidR="00E23A84" w:rsidRPr="00FD4C65" w:rsidRDefault="00E23A84" w:rsidP="00AE7A87">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w:t>
            </w:r>
            <w:r w:rsidR="00F13F1B" w:rsidRPr="00490FBB">
              <w:rPr>
                <w:color w:val="000000" w:themeColor="text1"/>
              </w:rPr>
              <w:t>effectiveness,</w:t>
            </w:r>
            <w:r w:rsidRPr="00490FBB">
              <w:rPr>
                <w:color w:val="000000" w:themeColor="text1"/>
              </w:rPr>
              <w:t xml:space="preserve"> and cost-effectiveness of </w:t>
            </w:r>
            <w:r>
              <w:rPr>
                <w:color w:val="000000" w:themeColor="text1"/>
              </w:rPr>
              <w:t>epicardial clip devices</w:t>
            </w:r>
            <w:r w:rsidRPr="00490FBB">
              <w:rPr>
                <w:color w:val="000000" w:themeColor="text1"/>
              </w:rPr>
              <w:t xml:space="preserve"> versus </w:t>
            </w:r>
            <w:r>
              <w:rPr>
                <w:color w:val="000000" w:themeColor="text1"/>
              </w:rPr>
              <w:t>sutures/staples</w:t>
            </w:r>
            <w:r w:rsidRPr="00490FBB">
              <w:rPr>
                <w:color w:val="000000" w:themeColor="text1"/>
              </w:rPr>
              <w:t xml:space="preserve"> in </w:t>
            </w:r>
            <w:r>
              <w:rPr>
                <w:color w:val="000000" w:themeColor="text1"/>
              </w:rPr>
              <w:t>patients undergoing open cardiac surgery with a documented history of atrial fibrillation</w:t>
            </w:r>
            <w:r w:rsidR="005162F7">
              <w:rPr>
                <w:color w:val="000000" w:themeColor="text1"/>
              </w:rPr>
              <w:t xml:space="preserve"> and at risk of stroke</w:t>
            </w:r>
            <w:r w:rsidR="00AC4EF5">
              <w:rPr>
                <w:color w:val="000000" w:themeColor="text1"/>
              </w:rPr>
              <w:t xml:space="preserve"> (</w:t>
            </w:r>
            <w:r w:rsidR="00AC4EF5" w:rsidRPr="001F42F5">
              <w:t>CHA</w:t>
            </w:r>
            <w:r w:rsidR="00AC4EF5" w:rsidRPr="0085569D">
              <w:rPr>
                <w:vertAlign w:val="subscript"/>
              </w:rPr>
              <w:t>2</w:t>
            </w:r>
            <w:r w:rsidR="00AC4EF5" w:rsidRPr="001F42F5">
              <w:t>DS</w:t>
            </w:r>
            <w:r w:rsidR="00AC4EF5" w:rsidRPr="0085569D">
              <w:rPr>
                <w:vertAlign w:val="subscript"/>
              </w:rPr>
              <w:t>2</w:t>
            </w:r>
            <w:r w:rsidR="00AC4EF5" w:rsidRPr="001F42F5">
              <w:t>-VASc</w:t>
            </w:r>
            <w:r w:rsidR="00AC4EF5">
              <w:t>*</w:t>
            </w:r>
            <w:r w:rsidR="00AC4EF5" w:rsidRPr="001F42F5">
              <w:t xml:space="preserve"> score of ≥</w:t>
            </w:r>
            <w:r w:rsidR="00AC4EF5">
              <w:rPr>
                <w:u w:val="single"/>
              </w:rPr>
              <w:t xml:space="preserve"> </w:t>
            </w:r>
            <w:r w:rsidR="00AC4EF5" w:rsidRPr="001F42F5">
              <w:t>2</w:t>
            </w:r>
            <w:r w:rsidR="00DB00A1">
              <w:t>)</w:t>
            </w:r>
            <w:r>
              <w:rPr>
                <w:color w:val="000000" w:themeColor="text1"/>
              </w:rPr>
              <w:t>?</w:t>
            </w:r>
          </w:p>
        </w:tc>
      </w:tr>
    </w:tbl>
    <w:p w14:paraId="66A1EBB9" w14:textId="77777777" w:rsidR="008216E3" w:rsidRPr="00490FBB" w:rsidRDefault="008216E3" w:rsidP="008216E3">
      <w:pPr>
        <w:pStyle w:val="Tablenotes"/>
      </w:pPr>
      <w:r>
        <w:t>*</w:t>
      </w:r>
      <w:r>
        <w:rPr>
          <w:shd w:val="clear" w:color="auto" w:fill="FFFFFF"/>
        </w:rPr>
        <w:t>C</w:t>
      </w:r>
      <w:r w:rsidRPr="0004445B">
        <w:rPr>
          <w:shd w:val="clear" w:color="auto" w:fill="FFFFFF"/>
        </w:rPr>
        <w:t>ongestive heart failure, hypertension, age ≥ 75 years, diabetes mellitus, stroke or transient ischemic attack (TIA), vascular disease, age 65 to 74 years, sex category</w:t>
      </w:r>
      <w:r w:rsidRPr="0004445B">
        <w:t xml:space="preserve"> </w:t>
      </w:r>
    </w:p>
    <w:p w14:paraId="009D0AE2" w14:textId="435D2108" w:rsidR="00E23A84" w:rsidRDefault="00E23A84" w:rsidP="00AE7A87">
      <w:pPr>
        <w:pStyle w:val="Heading2"/>
      </w:pPr>
      <w:r>
        <w:lastRenderedPageBreak/>
        <w:t>Purpose of application</w:t>
      </w:r>
    </w:p>
    <w:p w14:paraId="23B72006" w14:textId="77777777" w:rsidR="00E23A84" w:rsidRDefault="00E23A84" w:rsidP="00AE7A87">
      <w:pPr>
        <w:spacing w:after="240"/>
        <w:rPr>
          <w:iCs/>
        </w:rPr>
      </w:pPr>
      <w:r w:rsidRPr="009A3778">
        <w:rPr>
          <w:iCs/>
        </w:rPr>
        <w:t xml:space="preserve">An application requesting </w:t>
      </w:r>
      <w:r>
        <w:rPr>
          <w:iCs/>
        </w:rPr>
        <w:t>listing</w:t>
      </w:r>
      <w:r w:rsidRPr="009A3778">
        <w:rPr>
          <w:iCs/>
        </w:rPr>
        <w:t xml:space="preserve"> of </w:t>
      </w:r>
      <w:r>
        <w:rPr>
          <w:iCs/>
        </w:rPr>
        <w:t xml:space="preserve">the AtriClip device on the Prostheses List (PL) with a benefit of $2,450 </w:t>
      </w:r>
      <w:r w:rsidRPr="009A3778">
        <w:rPr>
          <w:iCs/>
        </w:rPr>
        <w:t xml:space="preserve">for </w:t>
      </w:r>
      <w:r>
        <w:rPr>
          <w:iCs/>
        </w:rPr>
        <w:t>patients undergoing open cardiac surgery with a documented history of atrial fibrillation (AF)</w:t>
      </w:r>
      <w:r w:rsidRPr="009A3778">
        <w:rPr>
          <w:iCs/>
        </w:rPr>
        <w:t xml:space="preserve"> was received from </w:t>
      </w:r>
      <w:r>
        <w:rPr>
          <w:iCs/>
        </w:rPr>
        <w:t>AtriCure</w:t>
      </w:r>
      <w:r w:rsidRPr="009A3778">
        <w:rPr>
          <w:iCs/>
        </w:rPr>
        <w:t xml:space="preserve"> by the Department of Health.</w:t>
      </w:r>
      <w:r w:rsidRPr="00760E32">
        <w:rPr>
          <w:iCs/>
        </w:rPr>
        <w:t xml:space="preserve"> </w:t>
      </w:r>
    </w:p>
    <w:p w14:paraId="43544831" w14:textId="10BFE775" w:rsidR="00E23A84" w:rsidRPr="009A3778" w:rsidRDefault="00E23A84" w:rsidP="00AE7A87">
      <w:pPr>
        <w:spacing w:after="240"/>
        <w:rPr>
          <w:iCs/>
        </w:rPr>
      </w:pPr>
      <w:r>
        <w:rPr>
          <w:iCs/>
        </w:rPr>
        <w:t>T</w:t>
      </w:r>
      <w:r w:rsidRPr="00760E32">
        <w:rPr>
          <w:iCs/>
        </w:rPr>
        <w:t>he Atri</w:t>
      </w:r>
      <w:r w:rsidR="00F13F1B">
        <w:rPr>
          <w:iCs/>
        </w:rPr>
        <w:t>C</w:t>
      </w:r>
      <w:r w:rsidRPr="00760E32">
        <w:rPr>
          <w:iCs/>
        </w:rPr>
        <w:t>lip device for the exclusion of the left atrial appendage (LAA) was</w:t>
      </w:r>
      <w:r>
        <w:rPr>
          <w:iCs/>
        </w:rPr>
        <w:t xml:space="preserve"> first</w:t>
      </w:r>
      <w:r w:rsidRPr="00760E32">
        <w:rPr>
          <w:iCs/>
        </w:rPr>
        <w:t xml:space="preserve"> listed on the PL</w:t>
      </w:r>
      <w:r>
        <w:rPr>
          <w:iCs/>
        </w:rPr>
        <w:t xml:space="preserve"> i</w:t>
      </w:r>
      <w:r w:rsidRPr="00760E32">
        <w:rPr>
          <w:iCs/>
        </w:rPr>
        <w:t>n March</w:t>
      </w:r>
      <w:r w:rsidR="00C92406">
        <w:rPr>
          <w:iCs/>
        </w:rPr>
        <w:t> </w:t>
      </w:r>
      <w:r w:rsidRPr="00760E32">
        <w:rPr>
          <w:iCs/>
        </w:rPr>
        <w:t xml:space="preserve">2021. It was grouped </w:t>
      </w:r>
      <w:r w:rsidR="005162F7">
        <w:rPr>
          <w:iCs/>
        </w:rPr>
        <w:t>within</w:t>
      </w:r>
      <w:r w:rsidR="005162F7" w:rsidRPr="00760E32">
        <w:rPr>
          <w:iCs/>
        </w:rPr>
        <w:t xml:space="preserve"> </w:t>
      </w:r>
      <w:r w:rsidRPr="00760E32">
        <w:rPr>
          <w:iCs/>
        </w:rPr>
        <w:t xml:space="preserve">09.08.02 – Surgical Closure Devices (Atrial Appendage) </w:t>
      </w:r>
      <w:r w:rsidR="005162F7">
        <w:rPr>
          <w:iCs/>
        </w:rPr>
        <w:t>at</w:t>
      </w:r>
      <w:r w:rsidR="005162F7" w:rsidRPr="00760E32">
        <w:rPr>
          <w:iCs/>
        </w:rPr>
        <w:t xml:space="preserve"> </w:t>
      </w:r>
      <w:r w:rsidRPr="00760E32">
        <w:rPr>
          <w:iCs/>
        </w:rPr>
        <w:t>a benefit of $1,</w:t>
      </w:r>
      <w:r w:rsidR="00B24970">
        <w:rPr>
          <w:iCs/>
        </w:rPr>
        <w:t>0</w:t>
      </w:r>
      <w:r w:rsidRPr="00760E32">
        <w:rPr>
          <w:iCs/>
        </w:rPr>
        <w:t>97.</w:t>
      </w:r>
      <w:r>
        <w:rPr>
          <w:iCs/>
        </w:rPr>
        <w:t xml:space="preserve"> </w:t>
      </w:r>
      <w:r w:rsidR="005162F7">
        <w:rPr>
          <w:iCs/>
        </w:rPr>
        <w:t>The Department advised that a</w:t>
      </w:r>
      <w:r w:rsidR="00BF79D2">
        <w:rPr>
          <w:iCs/>
        </w:rPr>
        <w:t xml:space="preserve"> </w:t>
      </w:r>
      <w:r w:rsidR="005162F7">
        <w:rPr>
          <w:iCs/>
        </w:rPr>
        <w:t>n</w:t>
      </w:r>
      <w:r w:rsidR="00BF79D2">
        <w:rPr>
          <w:iCs/>
        </w:rPr>
        <w:t>ew</w:t>
      </w:r>
      <w:r w:rsidR="005162F7">
        <w:rPr>
          <w:iCs/>
        </w:rPr>
        <w:t xml:space="preserve"> MBS</w:t>
      </w:r>
      <w:r>
        <w:rPr>
          <w:iCs/>
        </w:rPr>
        <w:t xml:space="preserve"> item </w:t>
      </w:r>
      <w:r w:rsidR="00A473C0">
        <w:rPr>
          <w:iCs/>
        </w:rPr>
        <w:t xml:space="preserve">for the implantation of the device concomitant to open cardiac surgery </w:t>
      </w:r>
      <w:r>
        <w:rPr>
          <w:iCs/>
        </w:rPr>
        <w:t>is not required as the short time to implant the device (5-7 minutes) does not substantially impact the total duration of surgery.</w:t>
      </w:r>
    </w:p>
    <w:p w14:paraId="1362661E" w14:textId="3BB620AE" w:rsidR="00E23A84" w:rsidRDefault="00E23A84" w:rsidP="00AE7A87">
      <w:pPr>
        <w:spacing w:after="240"/>
        <w:rPr>
          <w:iCs/>
        </w:rPr>
      </w:pPr>
      <w:r w:rsidRPr="00760E32">
        <w:rPr>
          <w:iCs/>
        </w:rPr>
        <w:t>A related assessment</w:t>
      </w:r>
      <w:r w:rsidR="005162F7">
        <w:rPr>
          <w:iCs/>
        </w:rPr>
        <w:t xml:space="preserve"> – MSAC </w:t>
      </w:r>
      <w:r w:rsidRPr="00760E32">
        <w:rPr>
          <w:iCs/>
        </w:rPr>
        <w:t xml:space="preserve">Application </w:t>
      </w:r>
      <w:r w:rsidRPr="007F7273">
        <w:rPr>
          <w:i/>
        </w:rPr>
        <w:t>1615</w:t>
      </w:r>
      <w:r w:rsidRPr="00760E32">
        <w:rPr>
          <w:iCs/>
        </w:rPr>
        <w:t xml:space="preserve"> </w:t>
      </w:r>
      <w:r w:rsidR="00A473C0">
        <w:rPr>
          <w:iCs/>
        </w:rPr>
        <w:t xml:space="preserve">- </w:t>
      </w:r>
      <w:r w:rsidRPr="00C7232D">
        <w:rPr>
          <w:i/>
        </w:rPr>
        <w:t>Transcatheter occlusion of the left atrial appendage for patients with non-valvular atrial fibrillation</w:t>
      </w:r>
      <w:r w:rsidR="005162F7">
        <w:rPr>
          <w:iCs/>
        </w:rPr>
        <w:t xml:space="preserve"> – </w:t>
      </w:r>
      <w:r w:rsidRPr="00760E32">
        <w:rPr>
          <w:iCs/>
        </w:rPr>
        <w:t>was assessed by MSAC at their meeting on 31 March – 1 April 2021</w:t>
      </w:r>
      <w:r>
        <w:rPr>
          <w:iCs/>
        </w:rPr>
        <w:t xml:space="preserve"> (MSAC Application 1615, 2021)</w:t>
      </w:r>
      <w:r w:rsidRPr="00760E32">
        <w:rPr>
          <w:iCs/>
        </w:rPr>
        <w:t>. Application 16</w:t>
      </w:r>
      <w:r w:rsidR="005162F7">
        <w:rPr>
          <w:iCs/>
        </w:rPr>
        <w:t>15</w:t>
      </w:r>
      <w:r w:rsidRPr="00760E32">
        <w:rPr>
          <w:iCs/>
        </w:rPr>
        <w:t xml:space="preserve"> </w:t>
      </w:r>
      <w:r w:rsidR="00FC3D00">
        <w:rPr>
          <w:iCs/>
        </w:rPr>
        <w:t>related to</w:t>
      </w:r>
      <w:r w:rsidRPr="00760E32">
        <w:rPr>
          <w:iCs/>
        </w:rPr>
        <w:t xml:space="preserve"> percutaneous (i.e. stand-alone) </w:t>
      </w:r>
      <w:r w:rsidR="00C7232D">
        <w:rPr>
          <w:iCs/>
        </w:rPr>
        <w:t>oc</w:t>
      </w:r>
      <w:r w:rsidR="00FC3D00">
        <w:rPr>
          <w:iCs/>
        </w:rPr>
        <w:t>clusion</w:t>
      </w:r>
      <w:r w:rsidR="00FC3D00" w:rsidRPr="00760E32">
        <w:rPr>
          <w:iCs/>
        </w:rPr>
        <w:t xml:space="preserve"> </w:t>
      </w:r>
      <w:r w:rsidRPr="00760E32">
        <w:rPr>
          <w:iCs/>
        </w:rPr>
        <w:t>of the LAA</w:t>
      </w:r>
      <w:r w:rsidR="00FC3D00">
        <w:rPr>
          <w:iCs/>
        </w:rPr>
        <w:t xml:space="preserve"> rather than</w:t>
      </w:r>
      <w:r w:rsidRPr="00760E32">
        <w:rPr>
          <w:iCs/>
        </w:rPr>
        <w:t xml:space="preserve"> LAA </w:t>
      </w:r>
      <w:r w:rsidR="00FC3D00">
        <w:rPr>
          <w:iCs/>
        </w:rPr>
        <w:t xml:space="preserve">exclusion </w:t>
      </w:r>
      <w:r w:rsidRPr="00760E32">
        <w:rPr>
          <w:iCs/>
        </w:rPr>
        <w:t>concomitant to open cardiac surgery.</w:t>
      </w:r>
    </w:p>
    <w:p w14:paraId="143011AC" w14:textId="4102444F" w:rsidR="00576A37" w:rsidRDefault="00E23A84" w:rsidP="00C36AEE">
      <w:r w:rsidRPr="00FB1C08">
        <w:t xml:space="preserve">The </w:t>
      </w:r>
      <w:r>
        <w:t>use of an epicardial clip</w:t>
      </w:r>
      <w:r w:rsidRPr="00FB1C08">
        <w:t xml:space="preserve"> aims to replace other </w:t>
      </w:r>
      <w:r w:rsidR="00BF79D2">
        <w:t xml:space="preserve">open </w:t>
      </w:r>
      <w:r w:rsidRPr="00FB1C08">
        <w:t xml:space="preserve">surgical LAA </w:t>
      </w:r>
      <w:r>
        <w:t>ex</w:t>
      </w:r>
      <w:r w:rsidRPr="00FB1C08">
        <w:t xml:space="preserve">clusion methods, </w:t>
      </w:r>
      <w:r w:rsidR="006F2B0C">
        <w:t>namely</w:t>
      </w:r>
      <w:r w:rsidRPr="00FB1C08">
        <w:t xml:space="preserve"> stapling and suture</w:t>
      </w:r>
      <w:r w:rsidR="006F2B0C">
        <w:t xml:space="preserve"> ligation</w:t>
      </w:r>
      <w:r w:rsidRPr="00FB1C08">
        <w:t xml:space="preserve">, and is claimed to have superior </w:t>
      </w:r>
      <w:r w:rsidR="006F2B0C">
        <w:t xml:space="preserve">effectiveness </w:t>
      </w:r>
      <w:r>
        <w:t xml:space="preserve">and superior safety compared </w:t>
      </w:r>
      <w:r w:rsidR="00FC3D00">
        <w:t xml:space="preserve">with </w:t>
      </w:r>
      <w:r>
        <w:t>the comparator</w:t>
      </w:r>
      <w:r w:rsidR="00FC3D00">
        <w:t>s</w:t>
      </w:r>
      <w:r>
        <w:t>.</w:t>
      </w:r>
    </w:p>
    <w:p w14:paraId="7861717F" w14:textId="77777777" w:rsidR="00E23A84" w:rsidRPr="00FD4C65" w:rsidRDefault="00E23A84" w:rsidP="00AE7A87">
      <w:pPr>
        <w:pStyle w:val="Heading2"/>
      </w:pPr>
      <w:r w:rsidRPr="00FD4C65">
        <w:t xml:space="preserve">PICO criteria </w:t>
      </w:r>
    </w:p>
    <w:p w14:paraId="4D4C109E" w14:textId="77777777" w:rsidR="00E23A84" w:rsidRDefault="00E23A84" w:rsidP="00AE7A87">
      <w:pPr>
        <w:pStyle w:val="Heading3"/>
      </w:pPr>
      <w:r w:rsidRPr="00713728">
        <w:t>Population</w:t>
      </w:r>
    </w:p>
    <w:p w14:paraId="6D5C2597" w14:textId="71E5D3ED" w:rsidR="00357600" w:rsidRDefault="00357600" w:rsidP="000D6739">
      <w:pPr>
        <w:spacing w:before="200"/>
      </w:pPr>
      <w:r>
        <w:t xml:space="preserve">The proposed population is patients with a documented history of AF, who are undergoing open cardiac surgery for the treatment of coronary artery disease, structural heart disease or, most commonly, valvular disease and are at risk of stroke based on a </w:t>
      </w:r>
      <w:r w:rsidRPr="001F42F5">
        <w:t>CHA</w:t>
      </w:r>
      <w:r w:rsidRPr="00AD3F86">
        <w:rPr>
          <w:vertAlign w:val="subscript"/>
        </w:rPr>
        <w:t>2</w:t>
      </w:r>
      <w:r w:rsidRPr="001F42F5">
        <w:t>DS</w:t>
      </w:r>
      <w:r w:rsidRPr="00AD3F86">
        <w:rPr>
          <w:vertAlign w:val="subscript"/>
        </w:rPr>
        <w:t>2</w:t>
      </w:r>
      <w:r w:rsidRPr="001F42F5">
        <w:t>-VASc score of ≥</w:t>
      </w:r>
      <w:r w:rsidR="00AD3F86">
        <w:rPr>
          <w:u w:val="single"/>
        </w:rPr>
        <w:t xml:space="preserve"> </w:t>
      </w:r>
      <w:r w:rsidRPr="001F42F5">
        <w:t>2</w:t>
      </w:r>
      <w:r>
        <w:t>.</w:t>
      </w:r>
    </w:p>
    <w:p w14:paraId="2DE77A12" w14:textId="4CDF3D6F" w:rsidR="00E23A84" w:rsidRDefault="00A473C0" w:rsidP="00AE7A87">
      <w:r>
        <w:t>Patients</w:t>
      </w:r>
      <w:r w:rsidR="00E23A84">
        <w:t xml:space="preserve"> would not undergo any additional investigations other than the standard of care work up </w:t>
      </w:r>
      <w:r w:rsidR="000963E8">
        <w:t xml:space="preserve">prior to </w:t>
      </w:r>
      <w:r w:rsidR="00E23A84">
        <w:t>open cardiac surgery</w:t>
      </w:r>
      <w:r w:rsidR="00915D63">
        <w:t>.</w:t>
      </w:r>
      <w:r w:rsidR="00E23A84">
        <w:t xml:space="preserve"> LAA exclusion would be performed by the cardiac surgeon during the open cardiac surgery. Traditionally, stroke risk in AF is assessed using CHA</w:t>
      </w:r>
      <w:r w:rsidR="00E23A84" w:rsidRPr="00B36B99">
        <w:rPr>
          <w:vertAlign w:val="subscript"/>
        </w:rPr>
        <w:t>2</w:t>
      </w:r>
      <w:r w:rsidR="00E23A84">
        <w:t>DS</w:t>
      </w:r>
      <w:r w:rsidR="00E23A84" w:rsidRPr="00B36B99">
        <w:rPr>
          <w:vertAlign w:val="subscript"/>
        </w:rPr>
        <w:t>2</w:t>
      </w:r>
      <w:r w:rsidR="00E23A84">
        <w:t xml:space="preserve">-VASc scores to determine eligibility for oral anticoagulation (OAC) therapy (National Heart Foundation of Australia and the Cardiac Society of Australia and New Zealand </w:t>
      </w:r>
      <w:r w:rsidR="000963E8">
        <w:t>[</w:t>
      </w:r>
      <w:r w:rsidR="00E23A84">
        <w:t>NHFA/CSANZ</w:t>
      </w:r>
      <w:r w:rsidR="000963E8">
        <w:t>]</w:t>
      </w:r>
      <w:r w:rsidR="00E23A84">
        <w:t xml:space="preserve"> 2018). The population </w:t>
      </w:r>
      <w:r w:rsidR="00567BF8">
        <w:t xml:space="preserve">who are suitable </w:t>
      </w:r>
      <w:r w:rsidR="00E23A84">
        <w:t xml:space="preserve">for the </w:t>
      </w:r>
      <w:r w:rsidR="003E326B">
        <w:t>epicardial clip</w:t>
      </w:r>
      <w:r w:rsidR="00E23A84">
        <w:t xml:space="preserve"> require a documented history of AF and an indication for open cardiac surgery, with </w:t>
      </w:r>
      <w:r w:rsidR="00357600">
        <w:t>a CHA</w:t>
      </w:r>
      <w:r w:rsidR="00357600" w:rsidRPr="00B36B99">
        <w:rPr>
          <w:vertAlign w:val="subscript"/>
        </w:rPr>
        <w:t>2</w:t>
      </w:r>
      <w:r w:rsidR="00357600">
        <w:t>DS</w:t>
      </w:r>
      <w:r w:rsidR="00357600" w:rsidRPr="00B36B99">
        <w:rPr>
          <w:vertAlign w:val="subscript"/>
        </w:rPr>
        <w:t>2</w:t>
      </w:r>
      <w:r w:rsidR="00357600">
        <w:t xml:space="preserve">-VASc score of </w:t>
      </w:r>
      <w:r w:rsidR="00357600">
        <w:rPr>
          <w:rFonts w:cs="Calibri"/>
        </w:rPr>
        <w:t>≥</w:t>
      </w:r>
      <w:r w:rsidR="00AD3F86" w:rsidRPr="00F31D1A">
        <w:rPr>
          <w:rFonts w:cs="Calibri"/>
        </w:rPr>
        <w:t xml:space="preserve"> </w:t>
      </w:r>
      <w:r w:rsidR="00357600">
        <w:t>2.</w:t>
      </w:r>
    </w:p>
    <w:p w14:paraId="1CFB9623" w14:textId="14B5ED1F" w:rsidR="008A483B" w:rsidRPr="008A483B" w:rsidRDefault="008A483B" w:rsidP="008A483B">
      <w:pPr>
        <w:rPr>
          <w:i/>
          <w:iCs/>
        </w:rPr>
      </w:pPr>
      <w:r w:rsidRPr="008A483B">
        <w:rPr>
          <w:i/>
          <w:iCs/>
        </w:rPr>
        <w:t>PASC noted that in the pivotal LAAOS III trial (Whitlock et al 2021), patient inclusion criteria included ‘a documented history of AF’ and risk of stroke determined by a CHA</w:t>
      </w:r>
      <w:r w:rsidRPr="00A1084B">
        <w:rPr>
          <w:i/>
          <w:iCs/>
          <w:vertAlign w:val="subscript"/>
        </w:rPr>
        <w:t>2</w:t>
      </w:r>
      <w:r w:rsidRPr="008A483B">
        <w:rPr>
          <w:i/>
          <w:iCs/>
        </w:rPr>
        <w:t>DS</w:t>
      </w:r>
      <w:r w:rsidRPr="00A1084B">
        <w:rPr>
          <w:i/>
          <w:iCs/>
          <w:vertAlign w:val="subscript"/>
        </w:rPr>
        <w:t>2</w:t>
      </w:r>
      <w:r w:rsidRPr="008A483B">
        <w:rPr>
          <w:i/>
          <w:iCs/>
        </w:rPr>
        <w:t>-VASc score of ≥2.</w:t>
      </w:r>
    </w:p>
    <w:p w14:paraId="7ABB7D4D" w14:textId="225677BC" w:rsidR="008A483B" w:rsidRPr="008A483B" w:rsidRDefault="008A483B" w:rsidP="008A483B">
      <w:pPr>
        <w:rPr>
          <w:i/>
          <w:iCs/>
        </w:rPr>
      </w:pPr>
      <w:r w:rsidRPr="008A483B">
        <w:rPr>
          <w:i/>
          <w:iCs/>
        </w:rPr>
        <w:t>PASC advised that the appropriate treatment population was patients with a documented history of AF who are at risk of stroke as demonstrated with a CHA</w:t>
      </w:r>
      <w:r w:rsidRPr="00A1084B">
        <w:rPr>
          <w:i/>
          <w:iCs/>
          <w:vertAlign w:val="subscript"/>
        </w:rPr>
        <w:t>2</w:t>
      </w:r>
      <w:r w:rsidRPr="008A483B">
        <w:rPr>
          <w:i/>
          <w:iCs/>
        </w:rPr>
        <w:t>DS</w:t>
      </w:r>
      <w:r w:rsidRPr="00A1084B">
        <w:rPr>
          <w:i/>
          <w:iCs/>
          <w:vertAlign w:val="subscript"/>
        </w:rPr>
        <w:t>2</w:t>
      </w:r>
      <w:r w:rsidRPr="008A483B">
        <w:rPr>
          <w:i/>
          <w:iCs/>
        </w:rPr>
        <w:t>-VASc score of ≥2, consistent with the LAAOS III trial.</w:t>
      </w:r>
    </w:p>
    <w:p w14:paraId="04CF1119" w14:textId="3E6B3965" w:rsidR="00576A37" w:rsidRPr="004C6D6B" w:rsidRDefault="008A483B" w:rsidP="00AE7A87">
      <w:pPr>
        <w:rPr>
          <w:i/>
          <w:iCs/>
        </w:rPr>
      </w:pPr>
      <w:r w:rsidRPr="008A483B">
        <w:rPr>
          <w:i/>
          <w:iCs/>
        </w:rPr>
        <w:t xml:space="preserve">PASC noted the advice from the applicant’s clinical expert that 30-50% of patients go into perioperative AF in the first six weeks post-surgery and, if these patients do not respond to antiarrhythmic drugs, they require cardioversion performed under a general anaesthetic with transoesophageal echocardiography (TOE). </w:t>
      </w:r>
      <w:r w:rsidR="00415E79" w:rsidRPr="009D36CA">
        <w:rPr>
          <w:i/>
          <w:iCs/>
        </w:rPr>
        <w:t>The clinical expert noted that use of an epicardial clip would obviate the need for TOE or cardioversion under general anaesthesia.</w:t>
      </w:r>
      <w:r w:rsidRPr="008A483B">
        <w:rPr>
          <w:i/>
          <w:iCs/>
        </w:rPr>
        <w:t xml:space="preserve"> The clinical expert considered that despite the limited clinical </w:t>
      </w:r>
      <w:r w:rsidRPr="008A483B">
        <w:rPr>
          <w:i/>
          <w:iCs/>
        </w:rPr>
        <w:lastRenderedPageBreak/>
        <w:t>evidence, some surgeons may use the epicardial clip routinely, thus expanding the population beyond those specified.</w:t>
      </w:r>
      <w:r w:rsidR="006B194A">
        <w:rPr>
          <w:i/>
          <w:iCs/>
        </w:rPr>
        <w:t xml:space="preserve"> </w:t>
      </w:r>
      <w:r w:rsidRPr="008A483B">
        <w:rPr>
          <w:i/>
          <w:iCs/>
        </w:rPr>
        <w:t>PASC considered that that an extension of the population would be difficult to justify</w:t>
      </w:r>
      <w:r w:rsidR="00576A37" w:rsidRPr="006A7B54">
        <w:rPr>
          <w:i/>
          <w:iCs/>
          <w:szCs w:val="20"/>
        </w:rPr>
        <w:t>.</w:t>
      </w:r>
    </w:p>
    <w:p w14:paraId="2442E1AD" w14:textId="77777777" w:rsidR="00E23A84" w:rsidRPr="00F935D0" w:rsidRDefault="00E23A84" w:rsidP="003E326B">
      <w:pPr>
        <w:pStyle w:val="Heading4"/>
      </w:pPr>
      <w:r>
        <w:t>Background</w:t>
      </w:r>
    </w:p>
    <w:p w14:paraId="34D87B39" w14:textId="77777777" w:rsidR="00E23A84" w:rsidRPr="00F935D0" w:rsidRDefault="00E23A84" w:rsidP="003E326B">
      <w:pPr>
        <w:pStyle w:val="Heading5"/>
      </w:pPr>
      <w:r w:rsidRPr="00F935D0">
        <w:t>Stroke</w:t>
      </w:r>
    </w:p>
    <w:p w14:paraId="6FFBF738" w14:textId="02AFC861" w:rsidR="00E23A84" w:rsidRDefault="00E23A84" w:rsidP="00AE7A87">
      <w:r>
        <w:t>Stroke occurs when a blood vessel supplying blood to the brain suddenly becomes blocked (</w:t>
      </w:r>
      <w:r w:rsidR="00CB0A74">
        <w:t xml:space="preserve">arterial </w:t>
      </w:r>
      <w:r w:rsidR="00CE67FB">
        <w:t xml:space="preserve">embolic </w:t>
      </w:r>
      <w:r>
        <w:t>ischaemic stroke)</w:t>
      </w:r>
      <w:r w:rsidR="00CB0A74">
        <w:t xml:space="preserve">, </w:t>
      </w:r>
      <w:r w:rsidR="00CE67FB">
        <w:t xml:space="preserve">uncommonly </w:t>
      </w:r>
      <w:r w:rsidR="00CB0A74">
        <w:t>the v</w:t>
      </w:r>
      <w:r w:rsidR="00CE67FB">
        <w:t>enous drainage becomes blocked (venous thrombotic stroke)</w:t>
      </w:r>
      <w:r>
        <w:t xml:space="preserve"> and</w:t>
      </w:r>
      <w:r w:rsidR="00BF79D2">
        <w:t>/or</w:t>
      </w:r>
      <w:r>
        <w:t xml:space="preserve"> begins to bleed (haemorrhagic stroke). </w:t>
      </w:r>
      <w:r w:rsidR="00CE67FB">
        <w:t xml:space="preserve">All </w:t>
      </w:r>
      <w:r>
        <w:t>may result in part of the brain dying, leading to sudden impairment that can affect several functions. Stroke often causes paralysis of parts of the body normally controlled by the area of the brain affected by the thromboembolism. Speech problems and other symptoms, such as difficulties with swallowing, vision and thinking, can also be caused by stroke.</w:t>
      </w:r>
    </w:p>
    <w:p w14:paraId="1F2E4DD3" w14:textId="28F133F5" w:rsidR="00CE67FB" w:rsidRDefault="00CE67FB" w:rsidP="00AE7A87">
      <w:r>
        <w:t>Relevant for this application is the occurrence of arterial embolic stroke with the origin of the embolus being the left atrial appendage.</w:t>
      </w:r>
    </w:p>
    <w:p w14:paraId="3048246B" w14:textId="77777777" w:rsidR="00E23A84" w:rsidRDefault="00E23A84" w:rsidP="00AE7A87">
      <w:r>
        <w:t>In 2018, an estimated 387,000 people—214,000 males and 173,000 females—had a stroke at some time in their lives, based on self-reported data from the Australian Bureau of Statistics 2018 Survey of Disability, Ageing and Carers. Stroke was also recorded as the underlying cause of 8,400 deaths, accounting for 5.3% of all deaths in Australia in 2018 (AIHW 2020).</w:t>
      </w:r>
    </w:p>
    <w:p w14:paraId="5AA9E720" w14:textId="77777777" w:rsidR="00E23A84" w:rsidRDefault="00E23A84" w:rsidP="003E326B">
      <w:pPr>
        <w:pStyle w:val="Heading5"/>
      </w:pPr>
      <w:r>
        <w:t>Atrial fibrillation</w:t>
      </w:r>
    </w:p>
    <w:p w14:paraId="431490B0" w14:textId="3E1C60E5" w:rsidR="00E23A84" w:rsidRDefault="00E23A84" w:rsidP="00AE7A87">
      <w:r>
        <w:t>AF is a common cardiac arrythmia and is a strong independent predictor of stroke incidence. The diagnosis of AF requires rhythm documentation with an electrocardiogram (ECG) tracing showing AF (</w:t>
      </w:r>
      <w:proofErr w:type="spellStart"/>
      <w:r>
        <w:t>Hindricks</w:t>
      </w:r>
      <w:proofErr w:type="spellEnd"/>
      <w:r>
        <w:t>, 2020). AF is characterised by structural alteration of the myocardium, disrupting the electrical conduction system of the heart and cardiac muscle contractility. Irregularities in contraction patterns cause turbulent flow, resulting in the accumulation of blood and a higher risk of thromboembolism formation (NHFA/CSANZ 2018).</w:t>
      </w:r>
    </w:p>
    <w:p w14:paraId="06FF9685" w14:textId="0B979665" w:rsidR="00E23A84" w:rsidRDefault="00E23A84" w:rsidP="00AE7A87">
      <w:r>
        <w:t>AF is traditionally categorised into four main clinical pattern types (</w:t>
      </w:r>
      <w:r>
        <w:fldChar w:fldCharType="begin"/>
      </w:r>
      <w:r>
        <w:instrText xml:space="preserve"> REF _Ref76029071 \h </w:instrText>
      </w:r>
      <w:r>
        <w:fldChar w:fldCharType="separate"/>
      </w:r>
      <w:r w:rsidR="008443A4">
        <w:t xml:space="preserve">Table </w:t>
      </w:r>
      <w:r w:rsidR="008443A4">
        <w:rPr>
          <w:noProof/>
        </w:rPr>
        <w:t>2</w:t>
      </w:r>
      <w:r>
        <w:fldChar w:fldCharType="end"/>
      </w:r>
      <w:r>
        <w:t xml:space="preserve">). </w:t>
      </w:r>
      <w:r w:rsidR="00F13F1B">
        <w:t>It</w:t>
      </w:r>
      <w:r>
        <w:t xml:space="preserve"> is also frequently characterised as either valvular or non-va</w:t>
      </w:r>
      <w:r w:rsidR="00F13F1B">
        <w:t>l</w:t>
      </w:r>
      <w:r>
        <w:t>vular</w:t>
      </w:r>
      <w:r w:rsidR="00915D63">
        <w:t>,</w:t>
      </w:r>
      <w:r>
        <w:t xml:space="preserve"> although recent European Guidelines recommend abandoning this terminology (</w:t>
      </w:r>
      <w:proofErr w:type="spellStart"/>
      <w:r>
        <w:t>Hindricks</w:t>
      </w:r>
      <w:proofErr w:type="spellEnd"/>
      <w:r>
        <w:t>, 2020).</w:t>
      </w:r>
    </w:p>
    <w:p w14:paraId="163E12FB" w14:textId="6A42D720" w:rsidR="00E23A84" w:rsidRDefault="00E23A84" w:rsidP="00AE7A87">
      <w:pPr>
        <w:pStyle w:val="Caption"/>
      </w:pPr>
      <w:bookmarkStart w:id="5" w:name="_Ref76029071"/>
      <w:r>
        <w:t xml:space="preserve">Table </w:t>
      </w:r>
      <w:r>
        <w:fldChar w:fldCharType="begin"/>
      </w:r>
      <w:r>
        <w:instrText xml:space="preserve"> SEQ Table \* ARABIC </w:instrText>
      </w:r>
      <w:r>
        <w:fldChar w:fldCharType="separate"/>
      </w:r>
      <w:r w:rsidR="008443A4">
        <w:rPr>
          <w:noProof/>
        </w:rPr>
        <w:t>2</w:t>
      </w:r>
      <w:r>
        <w:fldChar w:fldCharType="end"/>
      </w:r>
      <w:bookmarkEnd w:id="5"/>
      <w:r>
        <w:tab/>
        <w:t>Clinical patterns of AF</w:t>
      </w:r>
    </w:p>
    <w:tbl>
      <w:tblPr>
        <w:tblStyle w:val="TableGrid"/>
        <w:tblW w:w="0" w:type="auto"/>
        <w:tblInd w:w="0" w:type="dxa"/>
        <w:tblLook w:val="04A0" w:firstRow="1" w:lastRow="0" w:firstColumn="1" w:lastColumn="0" w:noHBand="0" w:noVBand="1"/>
      </w:tblPr>
      <w:tblGrid>
        <w:gridCol w:w="2122"/>
        <w:gridCol w:w="7449"/>
      </w:tblGrid>
      <w:tr w:rsidR="00E23A84" w14:paraId="5291DFE4" w14:textId="77777777" w:rsidTr="003E326B">
        <w:tc>
          <w:tcPr>
            <w:tcW w:w="2122" w:type="dxa"/>
            <w:tcBorders>
              <w:bottom w:val="dotted" w:sz="4" w:space="0" w:color="auto"/>
              <w:right w:val="nil"/>
            </w:tcBorders>
          </w:tcPr>
          <w:p w14:paraId="666AF688" w14:textId="77777777" w:rsidR="00E23A84" w:rsidRDefault="00E23A84" w:rsidP="00AE7A87">
            <w:pPr>
              <w:pStyle w:val="TableText0"/>
            </w:pPr>
            <w:r>
              <w:t>Paroxysmal AF</w:t>
            </w:r>
          </w:p>
        </w:tc>
        <w:tc>
          <w:tcPr>
            <w:tcW w:w="7449" w:type="dxa"/>
            <w:tcBorders>
              <w:left w:val="nil"/>
              <w:bottom w:val="dotted" w:sz="4" w:space="0" w:color="auto"/>
            </w:tcBorders>
          </w:tcPr>
          <w:p w14:paraId="3080A6F5" w14:textId="2C66A800" w:rsidR="00E23A84" w:rsidRDefault="00E23A84" w:rsidP="00AE7A87">
            <w:pPr>
              <w:pStyle w:val="TableText0"/>
            </w:pPr>
            <w:r>
              <w:t>Episodes that terminate spontaneously or are cardioverted within 7 days; may recur with variable frequency</w:t>
            </w:r>
          </w:p>
        </w:tc>
      </w:tr>
      <w:tr w:rsidR="00E23A84" w14:paraId="6353B8A8" w14:textId="77777777" w:rsidTr="003E326B">
        <w:tc>
          <w:tcPr>
            <w:tcW w:w="2122" w:type="dxa"/>
            <w:tcBorders>
              <w:top w:val="dotted" w:sz="4" w:space="0" w:color="auto"/>
              <w:bottom w:val="dotted" w:sz="4" w:space="0" w:color="auto"/>
              <w:right w:val="nil"/>
            </w:tcBorders>
            <w:shd w:val="clear" w:color="auto" w:fill="D9D9D9" w:themeFill="background1" w:themeFillShade="D9"/>
          </w:tcPr>
          <w:p w14:paraId="41471455" w14:textId="77777777" w:rsidR="00E23A84" w:rsidRDefault="00E23A84" w:rsidP="00AE7A87">
            <w:pPr>
              <w:pStyle w:val="TableText0"/>
            </w:pPr>
            <w:r>
              <w:t>Persistent AF</w:t>
            </w:r>
          </w:p>
        </w:tc>
        <w:tc>
          <w:tcPr>
            <w:tcW w:w="7449" w:type="dxa"/>
            <w:tcBorders>
              <w:top w:val="dotted" w:sz="4" w:space="0" w:color="auto"/>
              <w:left w:val="nil"/>
              <w:bottom w:val="dotted" w:sz="4" w:space="0" w:color="auto"/>
            </w:tcBorders>
            <w:shd w:val="clear" w:color="auto" w:fill="D9D9D9" w:themeFill="background1" w:themeFillShade="D9"/>
          </w:tcPr>
          <w:p w14:paraId="5EE3C6EF" w14:textId="7947D6BF" w:rsidR="00E23A84" w:rsidRDefault="00E23A84" w:rsidP="00AE7A87">
            <w:pPr>
              <w:pStyle w:val="TableText0"/>
            </w:pPr>
            <w:r>
              <w:t>Episodes of continuous AF that last &gt;7 days and do not self-terminate, including episodes that are cardioverted after 7 days or more</w:t>
            </w:r>
          </w:p>
        </w:tc>
      </w:tr>
      <w:tr w:rsidR="00E23A84" w14:paraId="627BCD80" w14:textId="77777777" w:rsidTr="003E326B">
        <w:tc>
          <w:tcPr>
            <w:tcW w:w="2122" w:type="dxa"/>
            <w:tcBorders>
              <w:top w:val="dotted" w:sz="4" w:space="0" w:color="auto"/>
              <w:bottom w:val="dotted" w:sz="4" w:space="0" w:color="auto"/>
              <w:right w:val="nil"/>
            </w:tcBorders>
          </w:tcPr>
          <w:p w14:paraId="1DDFEC36" w14:textId="77777777" w:rsidR="00E23A84" w:rsidRDefault="00E23A84" w:rsidP="00AE7A87">
            <w:pPr>
              <w:pStyle w:val="TableText0"/>
            </w:pPr>
            <w:r>
              <w:t>Long-standing persistent AF</w:t>
            </w:r>
          </w:p>
        </w:tc>
        <w:tc>
          <w:tcPr>
            <w:tcW w:w="7449" w:type="dxa"/>
            <w:tcBorders>
              <w:top w:val="dotted" w:sz="4" w:space="0" w:color="auto"/>
              <w:left w:val="nil"/>
              <w:bottom w:val="dotted" w:sz="4" w:space="0" w:color="auto"/>
            </w:tcBorders>
          </w:tcPr>
          <w:p w14:paraId="32758BAA" w14:textId="77777777" w:rsidR="00E23A84" w:rsidRDefault="00E23A84" w:rsidP="00AE7A87">
            <w:pPr>
              <w:pStyle w:val="TableText0"/>
            </w:pPr>
            <w:r>
              <w:t>Continuous AF lasting for ≥1 year when it is decided to adopt a rhythm control strategy</w:t>
            </w:r>
          </w:p>
        </w:tc>
      </w:tr>
      <w:tr w:rsidR="00E23A84" w14:paraId="5EF592CC" w14:textId="77777777" w:rsidTr="003E326B">
        <w:tc>
          <w:tcPr>
            <w:tcW w:w="2122" w:type="dxa"/>
            <w:tcBorders>
              <w:top w:val="dotted" w:sz="4" w:space="0" w:color="auto"/>
              <w:right w:val="nil"/>
            </w:tcBorders>
          </w:tcPr>
          <w:p w14:paraId="4287920C" w14:textId="77777777" w:rsidR="00E23A84" w:rsidRDefault="00E23A84" w:rsidP="00AE7A87">
            <w:pPr>
              <w:pStyle w:val="TableText0"/>
            </w:pPr>
            <w:r>
              <w:t xml:space="preserve">Permanent AF </w:t>
            </w:r>
          </w:p>
        </w:tc>
        <w:tc>
          <w:tcPr>
            <w:tcW w:w="7449" w:type="dxa"/>
            <w:tcBorders>
              <w:top w:val="dotted" w:sz="4" w:space="0" w:color="auto"/>
              <w:left w:val="nil"/>
            </w:tcBorders>
          </w:tcPr>
          <w:p w14:paraId="65FABB70" w14:textId="5865AF2A" w:rsidR="00E23A84" w:rsidRDefault="00E23A84" w:rsidP="00AE7A87">
            <w:pPr>
              <w:pStyle w:val="TableText0"/>
            </w:pPr>
            <w:r>
              <w:t>Applies when a decision has been made jointly by the physician and patient to accept the presence of AF and stop further attempts to restore or maintain sinus rhythm. This represents clinical acceptance rather than an inherent pathophysiological attribute of AF and, should a rhythm-control strategy be adopted, the arrhythmia should be re-classified as ‘long-standing persistent AF’</w:t>
            </w:r>
            <w:r w:rsidR="00915D63">
              <w:t>.</w:t>
            </w:r>
          </w:p>
        </w:tc>
      </w:tr>
    </w:tbl>
    <w:p w14:paraId="0E0D9785" w14:textId="77777777" w:rsidR="00E23A84" w:rsidRDefault="00E23A84" w:rsidP="000D6739">
      <w:pPr>
        <w:pStyle w:val="Tablenotes"/>
        <w:spacing w:after="240"/>
      </w:pPr>
      <w:r>
        <w:t>Source: Table derived from NHFA/CSANZ 2018, p.1220.</w:t>
      </w:r>
    </w:p>
    <w:p w14:paraId="0900DEB0" w14:textId="1A466D30" w:rsidR="00E23A84" w:rsidRDefault="00E23A84" w:rsidP="00AE7A87">
      <w:r>
        <w:t>The symptoms of AF include palpitations, dizziness, chest pain and shortness of breath, often noticed as an inability to tolerate exercise. Approximately 10–30% of people with AF have no symptoms (Department of Health and Ageing (</w:t>
      </w:r>
      <w:proofErr w:type="spellStart"/>
      <w:r>
        <w:t>DoHA</w:t>
      </w:r>
      <w:proofErr w:type="spellEnd"/>
      <w:r w:rsidR="00A43571">
        <w:t>),</w:t>
      </w:r>
      <w:r>
        <w:t xml:space="preserve"> 2012).</w:t>
      </w:r>
    </w:p>
    <w:p w14:paraId="016BBC31" w14:textId="77777777" w:rsidR="00E23A84" w:rsidRDefault="00E23A84" w:rsidP="00AE7A87">
      <w:r>
        <w:lastRenderedPageBreak/>
        <w:t>The AIHW reports that AF affects approximately 2% of the general population. Increasing age is a major risk factor along with other modifiable comorbidities including diabetes, hypertension, coronary artery disease, chronic kidney disease and obesity (</w:t>
      </w:r>
      <w:proofErr w:type="spellStart"/>
      <w:r>
        <w:t>Hindricks</w:t>
      </w:r>
      <w:proofErr w:type="spellEnd"/>
      <w:r>
        <w:t>, 2020). The risk of developing a thromboembolism leading to stroke is greatly increased in patients with AF. In 2017-18, 15.5% of acute hospitalisations with the principal diagnosis of stroke had AF listed as an additional diagnosis (AIHW 2020).</w:t>
      </w:r>
    </w:p>
    <w:p w14:paraId="538FB10E" w14:textId="77777777" w:rsidR="00E23A84" w:rsidRPr="007450C0" w:rsidRDefault="00E23A84" w:rsidP="00A43571">
      <w:pPr>
        <w:spacing w:after="120"/>
      </w:pPr>
      <w:r w:rsidRPr="007450C0">
        <w:t>AF management focusses on:</w:t>
      </w:r>
    </w:p>
    <w:p w14:paraId="4A884DAD" w14:textId="079DC49E" w:rsidR="00E23A84" w:rsidRPr="007450C0" w:rsidRDefault="00E23A84" w:rsidP="00AE7A87">
      <w:pPr>
        <w:pStyle w:val="ListParagraph"/>
        <w:numPr>
          <w:ilvl w:val="0"/>
          <w:numId w:val="16"/>
        </w:numPr>
      </w:pPr>
      <w:r w:rsidRPr="007450C0">
        <w:t>stroke risk reduction with the use of oral anticoagulants</w:t>
      </w:r>
    </w:p>
    <w:p w14:paraId="6A18B113" w14:textId="4A8C95D9" w:rsidR="00E23A84" w:rsidRPr="007450C0" w:rsidRDefault="00E23A84" w:rsidP="00AE7A87">
      <w:pPr>
        <w:pStyle w:val="ListParagraph"/>
        <w:numPr>
          <w:ilvl w:val="0"/>
          <w:numId w:val="16"/>
        </w:numPr>
      </w:pPr>
      <w:r w:rsidRPr="007450C0">
        <w:t>management of symptoms with the use of pharmacological agents or, as a second-line option, catheter ablation, and</w:t>
      </w:r>
    </w:p>
    <w:p w14:paraId="504E0DD4" w14:textId="0E5D855E" w:rsidR="00E23A84" w:rsidRPr="007450C0" w:rsidRDefault="00E23A84" w:rsidP="00AE7A87">
      <w:pPr>
        <w:pStyle w:val="ListParagraph"/>
        <w:numPr>
          <w:ilvl w:val="0"/>
          <w:numId w:val="16"/>
        </w:numPr>
      </w:pPr>
      <w:r w:rsidRPr="007450C0">
        <w:t>reduction of cardiovascular and other risk factors (</w:t>
      </w:r>
      <w:proofErr w:type="spellStart"/>
      <w:r w:rsidRPr="007450C0">
        <w:t>Hindricks</w:t>
      </w:r>
      <w:proofErr w:type="spellEnd"/>
      <w:r w:rsidRPr="007450C0">
        <w:t>, 2020; NH</w:t>
      </w:r>
      <w:r w:rsidR="00F13F1B">
        <w:t>F</w:t>
      </w:r>
      <w:r w:rsidRPr="007450C0">
        <w:t>A/CSANZ 2018).</w:t>
      </w:r>
    </w:p>
    <w:p w14:paraId="5D755561" w14:textId="3F34713D" w:rsidR="00E23A84" w:rsidRDefault="00E23A84" w:rsidP="00AE7A87">
      <w:r w:rsidRPr="007450C0">
        <w:t xml:space="preserve">Surgical ablation of AF concomitant to open cardiac surgery (i.e., </w:t>
      </w:r>
      <w:r>
        <w:t>coronary artery bypass grafting (</w:t>
      </w:r>
      <w:r w:rsidRPr="007450C0">
        <w:t>CABG</w:t>
      </w:r>
      <w:r>
        <w:t>)</w:t>
      </w:r>
      <w:r w:rsidRPr="007450C0">
        <w:t xml:space="preserve"> or valve repair/replacement) is a common procedure performed on patients with persistent AF. The NHFA/CSANZ 2018 Guidelines recommend that patients with an increased risk of stroke should continue OAC therapy indefinitely, despite success of ablation procedures (NHFA/CSANZ 2018).</w:t>
      </w:r>
    </w:p>
    <w:p w14:paraId="7959627F" w14:textId="77777777" w:rsidR="00E23A84" w:rsidRDefault="00E23A84" w:rsidP="00A43571">
      <w:pPr>
        <w:pStyle w:val="Heading5"/>
        <w:rPr>
          <w:i/>
          <w:iCs/>
        </w:rPr>
      </w:pPr>
      <w:r>
        <w:t>The left atrial appendage</w:t>
      </w:r>
    </w:p>
    <w:p w14:paraId="7524906E" w14:textId="34D23154" w:rsidR="00E23A84" w:rsidRDefault="00E23A84" w:rsidP="00AE7A87">
      <w:r w:rsidRPr="00632FB8">
        <w:t xml:space="preserve">Patients with AF have an increase in the risk of </w:t>
      </w:r>
      <w:r w:rsidR="00CE67FB">
        <w:t xml:space="preserve">arterial </w:t>
      </w:r>
      <w:r w:rsidRPr="00632FB8">
        <w:t xml:space="preserve">ischaemic stroke, with the </w:t>
      </w:r>
      <w:r w:rsidR="00087A48">
        <w:t>LAA</w:t>
      </w:r>
      <w:r w:rsidRPr="00632FB8">
        <w:t xml:space="preserve"> being the</w:t>
      </w:r>
      <w:r>
        <w:t xml:space="preserve"> primary</w:t>
      </w:r>
      <w:r w:rsidRPr="00632FB8">
        <w:t xml:space="preserve"> anatomical source of the embolism</w:t>
      </w:r>
      <w:r w:rsidRPr="00906737">
        <w:t>. The LAA is a pocket-like extension of the left atrium and actively contracts to maintain blood flow in the left atrium.</w:t>
      </w:r>
    </w:p>
    <w:p w14:paraId="16C5B430" w14:textId="0D75F15D" w:rsidR="00E23A84" w:rsidRDefault="00E23A84" w:rsidP="00AE7A87">
      <w:r w:rsidRPr="00632FB8">
        <w:t xml:space="preserve">Endothelial dysfunction, abnormal blood stasis and hypercoagulability dysregulate the pattern of blood flow in the LAA, promoting the formation of a </w:t>
      </w:r>
      <w:r w:rsidR="00CE67FB">
        <w:t xml:space="preserve">mural </w:t>
      </w:r>
      <w:r w:rsidRPr="00632FB8">
        <w:t>thrombus (</w:t>
      </w:r>
      <w:proofErr w:type="spellStart"/>
      <w:r w:rsidRPr="00632FB8">
        <w:t>Bukowska</w:t>
      </w:r>
      <w:proofErr w:type="spellEnd"/>
      <w:r w:rsidRPr="00632FB8">
        <w:t xml:space="preserve"> et al</w:t>
      </w:r>
      <w:r w:rsidR="00087A48">
        <w:t xml:space="preserve">. </w:t>
      </w:r>
      <w:r w:rsidRPr="00632FB8">
        <w:t xml:space="preserve">2018). </w:t>
      </w:r>
      <w:r w:rsidR="00CE67FB">
        <w:t>If this thrombus embolises</w:t>
      </w:r>
      <w:r w:rsidRPr="00632FB8">
        <w:t xml:space="preserve"> in the systemic circulation </w:t>
      </w:r>
      <w:r w:rsidR="00CE67FB">
        <w:t>up</w:t>
      </w:r>
      <w:r w:rsidRPr="00632FB8">
        <w:t>stream of the cerebral vasculature, it may migrate through the arterial system to the cerebral circulation and cause ischaemic stroke via occlusion of a cerebral artery</w:t>
      </w:r>
      <w:r w:rsidR="00CE67FB">
        <w:t>, or alternatively may enter the systemic arterial system and occlude other organs</w:t>
      </w:r>
      <w:r>
        <w:t>.</w:t>
      </w:r>
    </w:p>
    <w:p w14:paraId="399E6264" w14:textId="74661B79" w:rsidR="00E23A84" w:rsidRDefault="00E23A84" w:rsidP="00AE7A87">
      <w:r w:rsidRPr="00827A5E">
        <w:t xml:space="preserve">The aim of LAA </w:t>
      </w:r>
      <w:r>
        <w:t>exclusion</w:t>
      </w:r>
      <w:r w:rsidRPr="00827A5E">
        <w:t xml:space="preserve"> surgeries in patients with AF and high risk of stroke is to prevent the formation of </w:t>
      </w:r>
      <w:r w:rsidR="00087A48">
        <w:t>a</w:t>
      </w:r>
      <w:r w:rsidR="00CE67FB">
        <w:t xml:space="preserve"> mural</w:t>
      </w:r>
      <w:r w:rsidR="00087A48">
        <w:t xml:space="preserve"> </w:t>
      </w:r>
      <w:r w:rsidRPr="00827A5E">
        <w:t xml:space="preserve">thrombus. Effective </w:t>
      </w:r>
      <w:r>
        <w:t>exc</w:t>
      </w:r>
      <w:r w:rsidRPr="00827A5E">
        <w:t xml:space="preserve">lusion of the LAA from the systemic circulation is dependent on maintaining a smooth endocardial surface during surgery. Unsuccessful </w:t>
      </w:r>
      <w:r>
        <w:t>ex</w:t>
      </w:r>
      <w:r w:rsidRPr="00827A5E">
        <w:t>clusion can lead to residual gap formation facilitating blood flow between the LAA and left atrium, increas</w:t>
      </w:r>
      <w:r>
        <w:t>ing</w:t>
      </w:r>
      <w:r w:rsidRPr="00827A5E">
        <w:t xml:space="preserve"> risk for bleeding complications at the site of ligation (</w:t>
      </w:r>
      <w:proofErr w:type="spellStart"/>
      <w:r w:rsidRPr="00827A5E">
        <w:t>Caliskan</w:t>
      </w:r>
      <w:proofErr w:type="spellEnd"/>
      <w:r w:rsidRPr="00827A5E">
        <w:t xml:space="preserve"> et al</w:t>
      </w:r>
      <w:r w:rsidR="00087A48">
        <w:t xml:space="preserve">. </w:t>
      </w:r>
      <w:r w:rsidRPr="00827A5E">
        <w:t>2018).</w:t>
      </w:r>
    </w:p>
    <w:p w14:paraId="0C315EB6" w14:textId="700691E3" w:rsidR="00E23A84" w:rsidRDefault="00E23A84" w:rsidP="00AE7A87">
      <w:r w:rsidRPr="00631C72">
        <w:t xml:space="preserve">In addition, the LAA can be electrically isolated from the left atrium in an effort to introduce rhythm control management to target AF, therefore surgical exclusion may also improve symptom management </w:t>
      </w:r>
      <w:r w:rsidR="00A43571">
        <w:t xml:space="preserve">due to electrical isolation of the LAA via exclusion surgery </w:t>
      </w:r>
      <w:r w:rsidRPr="00631C72">
        <w:t>(Nishimura et al. 2019).</w:t>
      </w:r>
    </w:p>
    <w:p w14:paraId="5D0B316D" w14:textId="77777777" w:rsidR="00E23A84" w:rsidRDefault="00E23A84" w:rsidP="00AE7A87">
      <w:pPr>
        <w:pStyle w:val="Heading7"/>
      </w:pPr>
      <w:r>
        <w:t>Patient eligibility and estimated population</w:t>
      </w:r>
    </w:p>
    <w:p w14:paraId="1173FD1D" w14:textId="5C9C5596" w:rsidR="00E23A84" w:rsidRDefault="00E23A84" w:rsidP="00AE7A87">
      <w:r>
        <w:t xml:space="preserve">Patients undergoing open cardiac surgery, primarily for CABG procedures or valvular repair/replacement, with </w:t>
      </w:r>
      <w:r w:rsidR="0085569D">
        <w:t>a documented history of AF</w:t>
      </w:r>
      <w:r>
        <w:t xml:space="preserve"> </w:t>
      </w:r>
      <w:r w:rsidR="00357600">
        <w:t>and a stroke risk based on a CHA</w:t>
      </w:r>
      <w:r w:rsidR="00357600" w:rsidRPr="0085569D">
        <w:rPr>
          <w:vertAlign w:val="subscript"/>
        </w:rPr>
        <w:t>2</w:t>
      </w:r>
      <w:r w:rsidR="00357600">
        <w:t>DS</w:t>
      </w:r>
      <w:r w:rsidR="00357600" w:rsidRPr="0085569D">
        <w:rPr>
          <w:vertAlign w:val="subscript"/>
        </w:rPr>
        <w:t>2</w:t>
      </w:r>
      <w:r w:rsidR="00357600">
        <w:t>-VASc score ≥</w:t>
      </w:r>
      <w:r w:rsidR="00AD3F86" w:rsidRPr="00D33740">
        <w:t xml:space="preserve"> </w:t>
      </w:r>
      <w:r w:rsidR="00357600">
        <w:t xml:space="preserve">2 </w:t>
      </w:r>
      <w:r>
        <w:t xml:space="preserve">would be eligible for </w:t>
      </w:r>
      <w:r w:rsidR="00582C3D">
        <w:t xml:space="preserve">an </w:t>
      </w:r>
      <w:r>
        <w:t xml:space="preserve">epicardial clip placement. Once a patient has been scheduled for open </w:t>
      </w:r>
      <w:r w:rsidR="00921064">
        <w:t xml:space="preserve">cardiac </w:t>
      </w:r>
      <w:r>
        <w:t xml:space="preserve">surgery, </w:t>
      </w:r>
      <w:r w:rsidR="00DA68E5">
        <w:t xml:space="preserve">they are assessed for </w:t>
      </w:r>
      <w:r>
        <w:t xml:space="preserve">history of AF and risk of stroke. </w:t>
      </w:r>
      <w:r w:rsidR="00A81614">
        <w:t xml:space="preserve">The applicant advised post PASC that contraindications </w:t>
      </w:r>
      <w:r>
        <w:t xml:space="preserve">of size and orientation of the LAA and presence of </w:t>
      </w:r>
      <w:r w:rsidR="00921064">
        <w:t xml:space="preserve">a </w:t>
      </w:r>
      <w:r>
        <w:t xml:space="preserve">clot are </w:t>
      </w:r>
      <w:r w:rsidR="00A81614">
        <w:t>determined intra-operatively through measuring the LAA directly, and no additional pre-operative work-up</w:t>
      </w:r>
      <w:r w:rsidR="00A81614" w:rsidRPr="00A81614">
        <w:t xml:space="preserve"> </w:t>
      </w:r>
      <w:r w:rsidR="00A81614">
        <w:t>is required, such as TOE or CT scan.</w:t>
      </w:r>
    </w:p>
    <w:p w14:paraId="29C20532" w14:textId="24EFDDA4" w:rsidR="00E23A84" w:rsidRDefault="00E23A84" w:rsidP="00AE7A87">
      <w:r>
        <w:t>The use of an epicardial clip does not entail additional pre-surgical investigations as a</w:t>
      </w:r>
      <w:r w:rsidRPr="009F7462">
        <w:t xml:space="preserve"> patient referred to a cardiac surgeon for </w:t>
      </w:r>
      <w:r w:rsidR="00921064">
        <w:t xml:space="preserve">open </w:t>
      </w:r>
      <w:r w:rsidRPr="009F7462">
        <w:t xml:space="preserve">cardiac surgery will have an extensive </w:t>
      </w:r>
      <w:r w:rsidR="00DA68E5">
        <w:t xml:space="preserve">history of </w:t>
      </w:r>
      <w:r w:rsidRPr="009F7462">
        <w:t>cardiac investigations</w:t>
      </w:r>
      <w:r w:rsidR="00582C3D">
        <w:t>,</w:t>
      </w:r>
      <w:r w:rsidRPr="009F7462">
        <w:t xml:space="preserve"> which will </w:t>
      </w:r>
      <w:r w:rsidRPr="009F7462">
        <w:lastRenderedPageBreak/>
        <w:t xml:space="preserve">include at least </w:t>
      </w:r>
      <w:r>
        <w:t xml:space="preserve">an </w:t>
      </w:r>
      <w:r w:rsidRPr="009F7462">
        <w:t xml:space="preserve">ECG. The referring physician, almost always a cardiologist, documents the history of </w:t>
      </w:r>
      <w:r w:rsidR="00087A48">
        <w:t>AF</w:t>
      </w:r>
      <w:r w:rsidRPr="009F7462">
        <w:t xml:space="preserve"> as part of standard cardiac work up.</w:t>
      </w:r>
    </w:p>
    <w:p w14:paraId="7C304416" w14:textId="11E1F7E6" w:rsidR="004E0D96" w:rsidRDefault="00E23A84" w:rsidP="00AE7A87">
      <w:r>
        <w:t>Over the period 2010-2020</w:t>
      </w:r>
      <w:r w:rsidR="00087A48">
        <w:t>,</w:t>
      </w:r>
      <w:r>
        <w:t xml:space="preserve"> there were approximately 9,000 CABG and valvular procedures claimed per year on the MBS (</w:t>
      </w:r>
      <w:r>
        <w:fldChar w:fldCharType="begin"/>
      </w:r>
      <w:r>
        <w:instrText xml:space="preserve"> REF _Ref76030377 \h </w:instrText>
      </w:r>
      <w:r>
        <w:fldChar w:fldCharType="separate"/>
      </w:r>
      <w:r w:rsidR="008443A4">
        <w:t xml:space="preserve">Figure </w:t>
      </w:r>
      <w:r w:rsidR="008443A4">
        <w:rPr>
          <w:noProof/>
        </w:rPr>
        <w:t>1</w:t>
      </w:r>
      <w:r>
        <w:fldChar w:fldCharType="end"/>
      </w:r>
      <w:r>
        <w:t xml:space="preserve">). The </w:t>
      </w:r>
      <w:r w:rsidR="00171F9A">
        <w:t>a</w:t>
      </w:r>
      <w:r>
        <w:t>pplicant has estimated that approximately 70-75% of these are performed using an open surgical technique. The Application</w:t>
      </w:r>
      <w:r w:rsidRPr="0073339C">
        <w:t xml:space="preserve"> estimate</w:t>
      </w:r>
      <w:r>
        <w:t>s</w:t>
      </w:r>
      <w:r w:rsidRPr="0073339C">
        <w:t xml:space="preserve"> that ~60% of patients undergoing mitral valve surgery</w:t>
      </w:r>
      <w:r>
        <w:t xml:space="preserve"> (</w:t>
      </w:r>
      <w:proofErr w:type="spellStart"/>
      <w:r>
        <w:t>Jessurun</w:t>
      </w:r>
      <w:proofErr w:type="spellEnd"/>
      <w:r>
        <w:t xml:space="preserve"> et al. 2000; Arora et al. 2019) </w:t>
      </w:r>
      <w:r w:rsidRPr="0073339C">
        <w:t xml:space="preserve">and ~5% of patients undergoing CABG </w:t>
      </w:r>
      <w:r>
        <w:t xml:space="preserve">(Saxena et al. 2015) </w:t>
      </w:r>
      <w:r w:rsidR="004E0D96">
        <w:t xml:space="preserve">have pre-operative </w:t>
      </w:r>
      <w:r w:rsidRPr="0073339C">
        <w:t>AF</w:t>
      </w:r>
      <w:r>
        <w:t>. Based on these estimates</w:t>
      </w:r>
      <w:r w:rsidR="00D12FF2">
        <w:t>,</w:t>
      </w:r>
      <w:r>
        <w:t xml:space="preserve"> approximately 1,800 patients undergoing mitral valve surgery and 540 patients undergoing CABG would be eligible</w:t>
      </w:r>
      <w:r w:rsidR="007F7273">
        <w:t xml:space="preserve"> to undergo placement of an epicardial clip</w:t>
      </w:r>
      <w:r>
        <w:t xml:space="preserve"> per year</w:t>
      </w:r>
      <w:r w:rsidR="00D64C05">
        <w:t>. The uptake is likely to be smaller and is dependent on clinical assessment of stroke risk and choice of LAA exclusion method</w:t>
      </w:r>
      <w:r>
        <w:t>.</w:t>
      </w:r>
      <w:r w:rsidR="00582C3D">
        <w:t xml:space="preserve"> </w:t>
      </w:r>
      <w:r w:rsidR="004E0D96">
        <w:t>The applicant estimates 50% uptake.</w:t>
      </w:r>
    </w:p>
    <w:p w14:paraId="38A77B9D" w14:textId="1CADE980" w:rsidR="00E23A84" w:rsidRDefault="00AC418E" w:rsidP="00AE7A87">
      <w:r>
        <w:t xml:space="preserve">In a large analysis of US hospital </w:t>
      </w:r>
      <w:r w:rsidR="008D37D0">
        <w:t>data, 7</w:t>
      </w:r>
      <w:r>
        <w:t>% of patients who underwent isolated CABG and had a history of AF also underwent LAA exclusion, however the use of LAA exclusion increased steadily over the study period (2010-14) (Mahmood et al, 2020).</w:t>
      </w:r>
    </w:p>
    <w:p w14:paraId="0C3E0876" w14:textId="56DEFC69" w:rsidR="00E23A84" w:rsidRDefault="00100DFB" w:rsidP="00AE7A87">
      <w:pPr>
        <w:spacing w:after="0"/>
      </w:pPr>
      <w:r>
        <w:rPr>
          <w:noProof/>
          <w:lang w:eastAsia="en-AU"/>
        </w:rPr>
        <w:drawing>
          <wp:inline distT="0" distB="0" distL="0" distR="0" wp14:anchorId="1BC496DC" wp14:editId="4B2DF942">
            <wp:extent cx="5353050" cy="2926080"/>
            <wp:effectExtent l="0" t="0" r="0" b="7620"/>
            <wp:docPr id="9" name="Picture 9" descr="Number of services per year from 2010 to 2020 for MBS items used for CABG and valvular repair or re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umber of services per year from 2010 to 2020 for MBS items used for CABG and valvular repair or replac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2926080"/>
                    </a:xfrm>
                    <a:prstGeom prst="rect">
                      <a:avLst/>
                    </a:prstGeom>
                    <a:noFill/>
                  </pic:spPr>
                </pic:pic>
              </a:graphicData>
            </a:graphic>
          </wp:inline>
        </w:drawing>
      </w:r>
    </w:p>
    <w:p w14:paraId="42D742DA" w14:textId="2EB830E7" w:rsidR="00E23A84" w:rsidRDefault="00E23A84" w:rsidP="00AE7A87">
      <w:pPr>
        <w:pStyle w:val="Caption"/>
        <w:spacing w:before="0" w:after="0"/>
        <w:ind w:left="0" w:firstLine="0"/>
      </w:pPr>
      <w:bookmarkStart w:id="6" w:name="_Ref76030377"/>
      <w:r>
        <w:t xml:space="preserve">Figure </w:t>
      </w:r>
      <w:r>
        <w:fldChar w:fldCharType="begin"/>
      </w:r>
      <w:r>
        <w:instrText xml:space="preserve"> SEQ Figure \* ARABIC </w:instrText>
      </w:r>
      <w:r>
        <w:fldChar w:fldCharType="separate"/>
      </w:r>
      <w:r w:rsidR="008443A4">
        <w:rPr>
          <w:noProof/>
        </w:rPr>
        <w:t>1</w:t>
      </w:r>
      <w:r>
        <w:fldChar w:fldCharType="end"/>
      </w:r>
      <w:bookmarkEnd w:id="6"/>
      <w:r>
        <w:tab/>
        <w:t xml:space="preserve">Number of services per year for MBS Items for CABG (38497, 38498, 38500, 38501, 38503, 38504) and valvular repair/replacement (38488, 38489,38490) </w:t>
      </w:r>
    </w:p>
    <w:p w14:paraId="572C7092" w14:textId="77777777" w:rsidR="00E23A84" w:rsidRPr="00040AFB" w:rsidRDefault="00E23A84" w:rsidP="00A43571">
      <w:pPr>
        <w:pStyle w:val="Tablenotes"/>
        <w:spacing w:after="240"/>
        <w:rPr>
          <w:lang w:val="en-GB" w:eastAsia="ja-JP"/>
        </w:rPr>
      </w:pPr>
      <w:r>
        <w:rPr>
          <w:lang w:val="en-GB" w:eastAsia="ja-JP"/>
        </w:rPr>
        <w:t>Source: Information derived from MBS Item Statistics Reports (</w:t>
      </w:r>
      <w:r w:rsidRPr="008311BA">
        <w:rPr>
          <w:lang w:val="en-GB" w:eastAsia="ja-JP"/>
        </w:rPr>
        <w:t>http://medicarestatistics.humanservices.gov.au/statistics/mbs_item.jsp</w:t>
      </w:r>
      <w:r>
        <w:rPr>
          <w:lang w:val="en-GB" w:eastAsia="ja-JP"/>
        </w:rPr>
        <w:t>)</w:t>
      </w:r>
    </w:p>
    <w:p w14:paraId="5EE786E6" w14:textId="19000E15" w:rsidR="00E23A84" w:rsidRPr="007B005D" w:rsidRDefault="00E23A84" w:rsidP="00AE7A87">
      <w:pPr>
        <w:spacing w:after="120"/>
      </w:pPr>
      <w:r w:rsidRPr="00B94DD8">
        <w:t>Accordi</w:t>
      </w:r>
      <w:r>
        <w:t>ng to the NHFA/CSANZ 2018 guidelines, LAA occlusion concomitant to open cardiac surgery may be considered for stroke prevention in patients with AF, however</w:t>
      </w:r>
      <w:r>
        <w:rPr>
          <w:i/>
          <w:iCs/>
        </w:rPr>
        <w:t xml:space="preserve"> </w:t>
      </w:r>
      <w:r>
        <w:t xml:space="preserve">the differences in safety and efficacy between various methods (i.e., stapling, epicardial clips) are unknown and </w:t>
      </w:r>
      <w:r w:rsidRPr="002723D9">
        <w:t>“surgeons should perform the LAA occlusion technique with which they have most experience”</w:t>
      </w:r>
      <w:r>
        <w:rPr>
          <w:i/>
          <w:iCs/>
        </w:rPr>
        <w:t>.</w:t>
      </w:r>
      <w:r>
        <w:t xml:space="preserve"> Additionally, it is recommended that OAC therapy is continued post-closure </w:t>
      </w:r>
      <w:r w:rsidRPr="002723D9">
        <w:t>“unless complete occlusion is confirmed, generally by transoesophageal echo (TOE)”</w:t>
      </w:r>
      <w:r>
        <w:t xml:space="preserve"> (NHFA/CSANZ 2018).</w:t>
      </w:r>
    </w:p>
    <w:p w14:paraId="732F1B0A" w14:textId="322396A6" w:rsidR="00E23A84" w:rsidRPr="00632FB8" w:rsidRDefault="00E23A84" w:rsidP="00AE7A87">
      <w:r>
        <w:t>The more recent European Society of Cardiology guidelines (2020) recommend that surgical occlusion or exclusion of the LAA may be considered for stroke prevention in patients with AF undergoing cardiac surgery (Level of evidence IIB</w:t>
      </w:r>
      <w:r w:rsidR="00D12FF2">
        <w:t>;</w:t>
      </w:r>
      <w:r>
        <w:t xml:space="preserve"> Strength of recommendation C). Neither guideline was developed before </w:t>
      </w:r>
      <w:r>
        <w:lastRenderedPageBreak/>
        <w:t>publication of the large LAAOS III RCT</w:t>
      </w:r>
      <w:r w:rsidR="007C61A6">
        <w:t>,</w:t>
      </w:r>
      <w:r>
        <w:t xml:space="preserve"> </w:t>
      </w:r>
      <w:r w:rsidR="007C61A6">
        <w:t xml:space="preserve">which reported a significantly lower incidence of ischaemic stroke or systemic embolism after </w:t>
      </w:r>
      <w:r>
        <w:t>surgical occlusion</w:t>
      </w:r>
      <w:r w:rsidR="00631B59">
        <w:rPr>
          <w:rStyle w:val="FootnoteReference"/>
        </w:rPr>
        <w:footnoteReference w:id="1"/>
      </w:r>
      <w:r>
        <w:t xml:space="preserve"> </w:t>
      </w:r>
      <w:r w:rsidR="007C61A6">
        <w:t xml:space="preserve">compared </w:t>
      </w:r>
      <w:r>
        <w:t>with no occlusion (Whitlock, 2021).</w:t>
      </w:r>
    </w:p>
    <w:p w14:paraId="3354AFCD" w14:textId="339A3D4E" w:rsidR="008C5119" w:rsidRPr="006B0378" w:rsidRDefault="00E23A84" w:rsidP="006B0378">
      <w:pPr>
        <w:pStyle w:val="Heading3"/>
      </w:pPr>
      <w:r w:rsidRPr="008F1532">
        <w:t>Intervention</w:t>
      </w:r>
    </w:p>
    <w:p w14:paraId="712245E7" w14:textId="796424BA" w:rsidR="00E23A84" w:rsidRPr="00C71AE6" w:rsidRDefault="00E23A84" w:rsidP="000D6739">
      <w:pPr>
        <w:spacing w:before="120"/>
      </w:pPr>
      <w:r>
        <w:t xml:space="preserve">The intervention is the exclusion of the LAA during open </w:t>
      </w:r>
      <w:r w:rsidR="008C54E3">
        <w:t xml:space="preserve">cardiac </w:t>
      </w:r>
      <w:r>
        <w:t>surgery using an epicardial clip. Only one epicardial clip, AtriClip, is currently available on the Australian market.</w:t>
      </w:r>
    </w:p>
    <w:p w14:paraId="4AE09B57" w14:textId="77777777" w:rsidR="00E23A84" w:rsidRDefault="00E23A84" w:rsidP="00A43571">
      <w:pPr>
        <w:pStyle w:val="Heading4"/>
      </w:pPr>
      <w:r>
        <w:t>AtriClip device</w:t>
      </w:r>
    </w:p>
    <w:p w14:paraId="25B42C27" w14:textId="58C1C698" w:rsidR="00E23A84" w:rsidRDefault="00E23A84" w:rsidP="00AE7A87">
      <w:r>
        <w:t>The AtriClip FLEX device is a self-closing, sterile, implantable clip that is made of two parallel rigid titanium tubes with elastic nitinol springs and covered with a knit-braided polyester sheath (</w:t>
      </w:r>
      <w:r>
        <w:fldChar w:fldCharType="begin"/>
      </w:r>
      <w:r>
        <w:instrText xml:space="preserve"> REF _Ref76030565 \h </w:instrText>
      </w:r>
      <w:r>
        <w:fldChar w:fldCharType="separate"/>
      </w:r>
      <w:r w:rsidR="008443A4">
        <w:t xml:space="preserve">Figure </w:t>
      </w:r>
      <w:r w:rsidR="008443A4">
        <w:rPr>
          <w:noProof/>
        </w:rPr>
        <w:t>2</w:t>
      </w:r>
      <w:r>
        <w:fldChar w:fldCharType="end"/>
      </w:r>
      <w:r>
        <w:t xml:space="preserve">). </w:t>
      </w:r>
      <w:r w:rsidR="008803D2" w:rsidRPr="008803D2">
        <w:t xml:space="preserve">The AtriClip kit includes a single use, disposable applier and a permanently implanted clip that is indicated for use during open </w:t>
      </w:r>
      <w:r w:rsidR="008C54E3">
        <w:t xml:space="preserve">cardiac </w:t>
      </w:r>
      <w:r w:rsidR="008803D2" w:rsidRPr="008803D2">
        <w:t>surgery.</w:t>
      </w:r>
    </w:p>
    <w:p w14:paraId="64A21B08" w14:textId="5496FD1B" w:rsidR="00E23A84" w:rsidRDefault="00E23A84" w:rsidP="009B68EC">
      <w:pPr>
        <w:spacing w:after="0"/>
      </w:pPr>
      <w:r>
        <w:rPr>
          <w:noProof/>
          <w:lang w:eastAsia="en-AU"/>
        </w:rPr>
        <w:drawing>
          <wp:inline distT="0" distB="0" distL="0" distR="0" wp14:anchorId="256C8855" wp14:editId="30658EEF">
            <wp:extent cx="3468236" cy="1724744"/>
            <wp:effectExtent l="0" t="0" r="0" b="2540"/>
            <wp:docPr id="8" name="Picture 8" descr="Figure 2  Image of AtriClip FLEX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Image of AtriClip FLEX device"/>
                    <pic:cNvPicPr/>
                  </pic:nvPicPr>
                  <pic:blipFill>
                    <a:blip r:embed="rId10">
                      <a:extLst>
                        <a:ext uri="{28A0092B-C50C-407E-A947-70E740481C1C}">
                          <a14:useLocalDpi xmlns:a14="http://schemas.microsoft.com/office/drawing/2010/main" val="0"/>
                        </a:ext>
                      </a:extLst>
                    </a:blip>
                    <a:stretch>
                      <a:fillRect/>
                    </a:stretch>
                  </pic:blipFill>
                  <pic:spPr>
                    <a:xfrm>
                      <a:off x="0" y="0"/>
                      <a:ext cx="3468236" cy="1724744"/>
                    </a:xfrm>
                    <a:prstGeom prst="rect">
                      <a:avLst/>
                    </a:prstGeom>
                  </pic:spPr>
                </pic:pic>
              </a:graphicData>
            </a:graphic>
          </wp:inline>
        </w:drawing>
      </w:r>
    </w:p>
    <w:p w14:paraId="39F3EE8E" w14:textId="0219D9B3" w:rsidR="00E23A84" w:rsidRDefault="00E23A84" w:rsidP="00AE7A87">
      <w:pPr>
        <w:pStyle w:val="Caption"/>
        <w:spacing w:before="40" w:after="40"/>
      </w:pPr>
      <w:bookmarkStart w:id="7" w:name="_Ref76030565"/>
      <w:r>
        <w:t xml:space="preserve">Figure </w:t>
      </w:r>
      <w:r>
        <w:fldChar w:fldCharType="begin"/>
      </w:r>
      <w:r>
        <w:instrText xml:space="preserve"> SEQ Figure \* ARABIC </w:instrText>
      </w:r>
      <w:r>
        <w:fldChar w:fldCharType="separate"/>
      </w:r>
      <w:r w:rsidR="008443A4">
        <w:rPr>
          <w:noProof/>
        </w:rPr>
        <w:t>2</w:t>
      </w:r>
      <w:r>
        <w:fldChar w:fldCharType="end"/>
      </w:r>
      <w:bookmarkEnd w:id="7"/>
      <w:r>
        <w:tab/>
        <w:t xml:space="preserve"> Image of AtriClip FLEX device</w:t>
      </w:r>
    </w:p>
    <w:p w14:paraId="5E137F99" w14:textId="71939A21" w:rsidR="00E23A84" w:rsidRDefault="00E23A84" w:rsidP="008803D2">
      <w:pPr>
        <w:pStyle w:val="Tablenotes"/>
        <w:spacing w:after="240"/>
        <w:jc w:val="left"/>
      </w:pPr>
      <w:r>
        <w:t xml:space="preserve">Source: </w:t>
      </w:r>
      <w:proofErr w:type="spellStart"/>
      <w:r>
        <w:t>AtriCure’s</w:t>
      </w:r>
      <w:proofErr w:type="spellEnd"/>
      <w:r>
        <w:t xml:space="preserve"> </w:t>
      </w:r>
      <w:proofErr w:type="spellStart"/>
      <w:r>
        <w:t>AtriClip</w:t>
      </w:r>
      <w:proofErr w:type="spellEnd"/>
      <w:r>
        <w:t xml:space="preserve"> FLEX product brochure: </w:t>
      </w:r>
      <w:hyperlink r:id="rId11" w:history="1">
        <w:r w:rsidRPr="00495FEE">
          <w:rPr>
            <w:rStyle w:val="Hyperlink"/>
            <w:rFonts w:ascii="Arial Narrow" w:eastAsia="Calibri" w:hAnsi="Arial Narrow" w:cs="Arial"/>
          </w:rPr>
          <w:t>https://www.atricure.com/sites/default/files/brochure/PM-US-0110A-1020-G_AtriClip_FLEX_Brochure.pdf</w:t>
        </w:r>
      </w:hyperlink>
      <w:r>
        <w:t xml:space="preserve"> </w:t>
      </w:r>
    </w:p>
    <w:p w14:paraId="2D12EB66" w14:textId="2116A111" w:rsidR="00E23A84" w:rsidRDefault="00E23A84" w:rsidP="008803D2">
      <w:pPr>
        <w:spacing w:after="240"/>
      </w:pPr>
      <w:r>
        <w:t xml:space="preserve">The AtriClip device comes in several models that are indicated for use either concomitant to open </w:t>
      </w:r>
      <w:r w:rsidR="00921064">
        <w:t xml:space="preserve">cardiac </w:t>
      </w:r>
      <w:r>
        <w:t xml:space="preserve">surgery or as stand-alone minimally invasive surgery (excluded from this assessment). The AtriClip FLEX model is currently marketed in Australia and </w:t>
      </w:r>
      <w:r w:rsidR="006F2B0C">
        <w:t xml:space="preserve">has been </w:t>
      </w:r>
      <w:r>
        <w:t>listed on the PL</w:t>
      </w:r>
      <w:r w:rsidR="006F2B0C">
        <w:t xml:space="preserve"> since March 2021 (Billing Code ZZ066)</w:t>
      </w:r>
      <w:r>
        <w:t xml:space="preserve">. The </w:t>
      </w:r>
      <w:r w:rsidR="00171F9A">
        <w:t>a</w:t>
      </w:r>
      <w:r>
        <w:t xml:space="preserve">pplicant </w:t>
      </w:r>
      <w:r w:rsidR="00467382">
        <w:t xml:space="preserve">has </w:t>
      </w:r>
      <w:r>
        <w:t>advise</w:t>
      </w:r>
      <w:r w:rsidR="00467382">
        <w:t>d</w:t>
      </w:r>
      <w:r>
        <w:t xml:space="preserve"> that earlier models of the AtriClip are being discontinued. </w:t>
      </w:r>
      <w:r>
        <w:fldChar w:fldCharType="begin"/>
      </w:r>
      <w:r>
        <w:instrText xml:space="preserve"> REF _Ref76031046 \h </w:instrText>
      </w:r>
      <w:r>
        <w:fldChar w:fldCharType="separate"/>
      </w:r>
      <w:r w:rsidR="008443A4">
        <w:t xml:space="preserve">Table </w:t>
      </w:r>
      <w:r w:rsidR="008443A4">
        <w:rPr>
          <w:noProof/>
        </w:rPr>
        <w:t>3</w:t>
      </w:r>
      <w:r>
        <w:fldChar w:fldCharType="end"/>
      </w:r>
      <w:r>
        <w:t xml:space="preserve"> details the various AtriClip models</w:t>
      </w:r>
      <w:r w:rsidR="00010B08">
        <w:t xml:space="preserve"> </w:t>
      </w:r>
      <w:r>
        <w:t xml:space="preserve">and </w:t>
      </w:r>
      <w:r w:rsidR="002358A7">
        <w:t xml:space="preserve">their </w:t>
      </w:r>
      <w:r>
        <w:t>regulatory status in Australia.</w:t>
      </w:r>
      <w:r w:rsidR="002358A7">
        <w:t xml:space="preserve"> Only AtriClip FLEX is currently listed on the PL.</w:t>
      </w:r>
    </w:p>
    <w:p w14:paraId="53B33805" w14:textId="7C2DBD66" w:rsidR="00E23A84" w:rsidRDefault="00E23A84" w:rsidP="009812DC">
      <w:r w:rsidRPr="00780931">
        <w:t xml:space="preserve">No other devices are currently </w:t>
      </w:r>
      <w:r w:rsidR="006F2B0C">
        <w:t>included</w:t>
      </w:r>
      <w:r w:rsidR="006F2B0C" w:rsidRPr="00780931">
        <w:t xml:space="preserve"> </w:t>
      </w:r>
      <w:r w:rsidRPr="00780931">
        <w:t xml:space="preserve">on the ARTG for the closure of the LAA during open cardiac surgery. </w:t>
      </w:r>
      <w:r>
        <w:t xml:space="preserve">The </w:t>
      </w:r>
      <w:proofErr w:type="spellStart"/>
      <w:r>
        <w:t>TigerPaw</w:t>
      </w:r>
      <w:proofErr w:type="spellEnd"/>
      <w:r>
        <w:t xml:space="preserve"> II system was previously </w:t>
      </w:r>
      <w:r w:rsidR="006F2B0C">
        <w:t xml:space="preserve">included </w:t>
      </w:r>
      <w:r>
        <w:t>but was recalled in 2015 due to safety concerns</w:t>
      </w:r>
      <w:r w:rsidRPr="00780931">
        <w:t>.</w:t>
      </w:r>
    </w:p>
    <w:p w14:paraId="3F8332D0" w14:textId="268B36ED" w:rsidR="00E23A84" w:rsidRDefault="00E23A84" w:rsidP="001017F5">
      <w:pPr>
        <w:pStyle w:val="Caption"/>
        <w:ind w:left="0" w:firstLine="0"/>
      </w:pPr>
      <w:bookmarkStart w:id="8" w:name="_Ref76031046"/>
      <w:r>
        <w:lastRenderedPageBreak/>
        <w:t xml:space="preserve">Table </w:t>
      </w:r>
      <w:r>
        <w:fldChar w:fldCharType="begin"/>
      </w:r>
      <w:r>
        <w:instrText xml:space="preserve"> SEQ Table \* ARABIC </w:instrText>
      </w:r>
      <w:r>
        <w:fldChar w:fldCharType="separate"/>
      </w:r>
      <w:r w:rsidR="008443A4">
        <w:rPr>
          <w:noProof/>
        </w:rPr>
        <w:t>3</w:t>
      </w:r>
      <w:r>
        <w:fldChar w:fldCharType="end"/>
      </w:r>
      <w:bookmarkEnd w:id="8"/>
      <w:r>
        <w:tab/>
        <w:t>Regulatory status of all AtriClip devices</w:t>
      </w:r>
    </w:p>
    <w:tbl>
      <w:tblPr>
        <w:tblStyle w:val="TableGrid"/>
        <w:tblW w:w="0" w:type="auto"/>
        <w:tblInd w:w="0" w:type="dxa"/>
        <w:tblLook w:val="04A0" w:firstRow="1" w:lastRow="0" w:firstColumn="1" w:lastColumn="0" w:noHBand="0" w:noVBand="1"/>
      </w:tblPr>
      <w:tblGrid>
        <w:gridCol w:w="2705"/>
        <w:gridCol w:w="900"/>
        <w:gridCol w:w="2048"/>
        <w:gridCol w:w="717"/>
        <w:gridCol w:w="3033"/>
      </w:tblGrid>
      <w:tr w:rsidR="002358A7" w:rsidRPr="001F678E" w14:paraId="456A1180" w14:textId="77777777" w:rsidTr="00467382">
        <w:trPr>
          <w:trHeight w:val="247"/>
        </w:trPr>
        <w:tc>
          <w:tcPr>
            <w:tcW w:w="0" w:type="auto"/>
            <w:tcBorders>
              <w:bottom w:val="single" w:sz="4" w:space="0" w:color="auto"/>
            </w:tcBorders>
          </w:tcPr>
          <w:p w14:paraId="6D8B4C39" w14:textId="77777777" w:rsidR="002358A7" w:rsidRPr="001F678E" w:rsidRDefault="002358A7" w:rsidP="00C36AEE">
            <w:pPr>
              <w:pStyle w:val="TableHeading"/>
            </w:pPr>
            <w:r>
              <w:t>Concomitant</w:t>
            </w:r>
          </w:p>
        </w:tc>
        <w:tc>
          <w:tcPr>
            <w:tcW w:w="0" w:type="auto"/>
          </w:tcPr>
          <w:p w14:paraId="13F8178D" w14:textId="77777777" w:rsidR="002358A7" w:rsidRPr="001F678E" w:rsidRDefault="002358A7" w:rsidP="00C36AEE">
            <w:pPr>
              <w:pStyle w:val="TableHeading"/>
            </w:pPr>
            <w:r>
              <w:t>ARTG</w:t>
            </w:r>
          </w:p>
        </w:tc>
        <w:tc>
          <w:tcPr>
            <w:tcW w:w="0" w:type="auto"/>
          </w:tcPr>
          <w:p w14:paraId="2FAC44FB" w14:textId="77777777" w:rsidR="002358A7" w:rsidRPr="001F678E" w:rsidRDefault="002358A7" w:rsidP="00C36AEE">
            <w:pPr>
              <w:pStyle w:val="TableHeading"/>
            </w:pPr>
            <w:r>
              <w:t>Date included on ARTG</w:t>
            </w:r>
          </w:p>
        </w:tc>
        <w:tc>
          <w:tcPr>
            <w:tcW w:w="0" w:type="auto"/>
          </w:tcPr>
          <w:p w14:paraId="7EDF12F8" w14:textId="77777777" w:rsidR="002358A7" w:rsidRPr="001F678E" w:rsidRDefault="002358A7" w:rsidP="00C36AEE">
            <w:pPr>
              <w:pStyle w:val="TableHeading"/>
            </w:pPr>
            <w:r>
              <w:t>GMDN</w:t>
            </w:r>
          </w:p>
        </w:tc>
        <w:tc>
          <w:tcPr>
            <w:tcW w:w="0" w:type="auto"/>
          </w:tcPr>
          <w:p w14:paraId="4EE7A05D" w14:textId="77777777" w:rsidR="002358A7" w:rsidRPr="001F678E" w:rsidRDefault="002358A7" w:rsidP="00C36AEE">
            <w:pPr>
              <w:pStyle w:val="TableHeading"/>
            </w:pPr>
            <w:r>
              <w:t>Device</w:t>
            </w:r>
          </w:p>
        </w:tc>
      </w:tr>
      <w:tr w:rsidR="002358A7" w:rsidRPr="001F678E" w14:paraId="028CED21" w14:textId="77777777" w:rsidTr="00467382">
        <w:trPr>
          <w:trHeight w:val="798"/>
        </w:trPr>
        <w:tc>
          <w:tcPr>
            <w:tcW w:w="0" w:type="auto"/>
            <w:tcBorders>
              <w:bottom w:val="nil"/>
            </w:tcBorders>
            <w:shd w:val="clear" w:color="auto" w:fill="FFFFFF" w:themeFill="background1"/>
          </w:tcPr>
          <w:p w14:paraId="112E350B" w14:textId="4AF1564A" w:rsidR="002358A7" w:rsidRPr="001F678E" w:rsidRDefault="002358A7" w:rsidP="00C36AEE">
            <w:pPr>
              <w:pStyle w:val="TableText0"/>
              <w:keepNext/>
            </w:pPr>
            <w:r>
              <w:t xml:space="preserve">Open </w:t>
            </w:r>
            <w:r w:rsidR="00921064">
              <w:t xml:space="preserve">cardiac </w:t>
            </w:r>
            <w:r>
              <w:t>surgery</w:t>
            </w:r>
          </w:p>
        </w:tc>
        <w:tc>
          <w:tcPr>
            <w:tcW w:w="0" w:type="auto"/>
            <w:shd w:val="clear" w:color="auto" w:fill="FFFFFF" w:themeFill="background1"/>
          </w:tcPr>
          <w:p w14:paraId="34B59CCC" w14:textId="77777777" w:rsidR="002358A7" w:rsidRPr="001F678E" w:rsidRDefault="002358A7" w:rsidP="00C36AEE">
            <w:pPr>
              <w:pStyle w:val="TableText0"/>
              <w:keepNext/>
            </w:pPr>
            <w:r w:rsidRPr="001F678E">
              <w:t>175070</w:t>
            </w:r>
          </w:p>
        </w:tc>
        <w:tc>
          <w:tcPr>
            <w:tcW w:w="0" w:type="auto"/>
            <w:shd w:val="clear" w:color="auto" w:fill="FFFFFF" w:themeFill="background1"/>
          </w:tcPr>
          <w:p w14:paraId="364D019F" w14:textId="77777777" w:rsidR="002358A7" w:rsidRPr="001F678E" w:rsidRDefault="002358A7" w:rsidP="00C36AEE">
            <w:pPr>
              <w:pStyle w:val="TableText0"/>
              <w:keepNext/>
            </w:pPr>
            <w:r w:rsidRPr="001F678E">
              <w:t>25/08/2010</w:t>
            </w:r>
          </w:p>
        </w:tc>
        <w:tc>
          <w:tcPr>
            <w:tcW w:w="0" w:type="auto"/>
            <w:shd w:val="clear" w:color="auto" w:fill="FFFFFF" w:themeFill="background1"/>
          </w:tcPr>
          <w:p w14:paraId="4343FD7D" w14:textId="77777777" w:rsidR="002358A7" w:rsidRPr="001F678E" w:rsidRDefault="002358A7" w:rsidP="00C36AEE">
            <w:pPr>
              <w:pStyle w:val="TableText0"/>
              <w:keepNext/>
            </w:pPr>
            <w:r w:rsidRPr="001F678E">
              <w:t>35649</w:t>
            </w:r>
          </w:p>
        </w:tc>
        <w:tc>
          <w:tcPr>
            <w:tcW w:w="0" w:type="auto"/>
            <w:shd w:val="clear" w:color="auto" w:fill="FFFFFF" w:themeFill="background1"/>
          </w:tcPr>
          <w:p w14:paraId="22607E40" w14:textId="77777777" w:rsidR="002358A7" w:rsidRPr="001F678E" w:rsidRDefault="002358A7" w:rsidP="00C36AEE">
            <w:pPr>
              <w:pStyle w:val="TableText0"/>
              <w:keepNext/>
            </w:pPr>
            <w:r w:rsidRPr="001F678E">
              <w:t>AtriClip LAA Exclusion System</w:t>
            </w:r>
            <w:r>
              <w:t xml:space="preserve"> (ACH1)</w:t>
            </w:r>
          </w:p>
        </w:tc>
      </w:tr>
      <w:tr w:rsidR="002358A7" w:rsidRPr="001F678E" w14:paraId="16D627F0" w14:textId="77777777" w:rsidTr="00467382">
        <w:trPr>
          <w:trHeight w:val="587"/>
        </w:trPr>
        <w:tc>
          <w:tcPr>
            <w:tcW w:w="0" w:type="auto"/>
            <w:tcBorders>
              <w:top w:val="nil"/>
              <w:bottom w:val="nil"/>
            </w:tcBorders>
            <w:shd w:val="clear" w:color="auto" w:fill="FFFFFF" w:themeFill="background1"/>
          </w:tcPr>
          <w:p w14:paraId="7371B2EC" w14:textId="77777777" w:rsidR="002358A7" w:rsidRPr="001F678E" w:rsidRDefault="002358A7" w:rsidP="00C36AEE">
            <w:pPr>
              <w:pStyle w:val="TableText0"/>
              <w:keepNext/>
            </w:pPr>
          </w:p>
        </w:tc>
        <w:tc>
          <w:tcPr>
            <w:tcW w:w="0" w:type="auto"/>
            <w:shd w:val="clear" w:color="auto" w:fill="D9D9D9" w:themeFill="background1" w:themeFillShade="D9"/>
          </w:tcPr>
          <w:p w14:paraId="6BEA00D2" w14:textId="77777777" w:rsidR="002358A7" w:rsidRPr="001F678E" w:rsidRDefault="002358A7" w:rsidP="00C36AEE">
            <w:pPr>
              <w:pStyle w:val="TableText0"/>
              <w:keepNext/>
            </w:pPr>
            <w:r w:rsidRPr="009B2851">
              <w:t>308862</w:t>
            </w:r>
          </w:p>
        </w:tc>
        <w:tc>
          <w:tcPr>
            <w:tcW w:w="0" w:type="auto"/>
            <w:shd w:val="clear" w:color="auto" w:fill="D9D9D9" w:themeFill="background1" w:themeFillShade="D9"/>
          </w:tcPr>
          <w:p w14:paraId="0B2E573A" w14:textId="77777777" w:rsidR="002358A7" w:rsidRPr="001F678E" w:rsidRDefault="002358A7" w:rsidP="00C36AEE">
            <w:pPr>
              <w:pStyle w:val="TableText0"/>
              <w:keepNext/>
            </w:pPr>
            <w:r w:rsidRPr="009B2851">
              <w:t>31/08/2018</w:t>
            </w:r>
          </w:p>
        </w:tc>
        <w:tc>
          <w:tcPr>
            <w:tcW w:w="0" w:type="auto"/>
            <w:shd w:val="clear" w:color="auto" w:fill="D9D9D9" w:themeFill="background1" w:themeFillShade="D9"/>
          </w:tcPr>
          <w:p w14:paraId="0BD504F2" w14:textId="77777777" w:rsidR="002358A7" w:rsidRPr="001F678E" w:rsidRDefault="002358A7" w:rsidP="00C36AEE">
            <w:pPr>
              <w:pStyle w:val="TableText0"/>
              <w:keepNext/>
            </w:pPr>
            <w:r w:rsidRPr="001F678E">
              <w:t>35649</w:t>
            </w:r>
          </w:p>
        </w:tc>
        <w:tc>
          <w:tcPr>
            <w:tcW w:w="0" w:type="auto"/>
            <w:shd w:val="clear" w:color="auto" w:fill="D9D9D9" w:themeFill="background1" w:themeFillShade="D9"/>
          </w:tcPr>
          <w:p w14:paraId="062B6639" w14:textId="77777777" w:rsidR="002358A7" w:rsidRPr="001F678E" w:rsidRDefault="002358A7" w:rsidP="00C36AEE">
            <w:pPr>
              <w:pStyle w:val="TableText0"/>
              <w:keepNext/>
            </w:pPr>
            <w:r>
              <w:t>AtriClip FLEX (ACH2)</w:t>
            </w:r>
          </w:p>
        </w:tc>
      </w:tr>
      <w:tr w:rsidR="002358A7" w:rsidRPr="001F678E" w14:paraId="3B2307B4" w14:textId="77777777" w:rsidTr="00467382">
        <w:trPr>
          <w:trHeight w:val="597"/>
        </w:trPr>
        <w:tc>
          <w:tcPr>
            <w:tcW w:w="0" w:type="auto"/>
            <w:tcBorders>
              <w:top w:val="nil"/>
              <w:bottom w:val="nil"/>
            </w:tcBorders>
            <w:shd w:val="clear" w:color="auto" w:fill="FFFFFF" w:themeFill="background1"/>
          </w:tcPr>
          <w:p w14:paraId="30C6D690" w14:textId="77777777" w:rsidR="002358A7" w:rsidRPr="001F678E" w:rsidRDefault="002358A7" w:rsidP="00C36AEE">
            <w:pPr>
              <w:pStyle w:val="TableText0"/>
              <w:keepNext/>
            </w:pPr>
          </w:p>
        </w:tc>
        <w:tc>
          <w:tcPr>
            <w:tcW w:w="0" w:type="auto"/>
            <w:shd w:val="clear" w:color="auto" w:fill="FFFFFF" w:themeFill="background1"/>
          </w:tcPr>
          <w:p w14:paraId="57222AE0" w14:textId="77777777" w:rsidR="002358A7" w:rsidRPr="001F678E" w:rsidRDefault="002358A7" w:rsidP="00C36AEE">
            <w:pPr>
              <w:pStyle w:val="TableText0"/>
              <w:keepNext/>
            </w:pPr>
            <w:r w:rsidRPr="00A31DBD">
              <w:t>354171</w:t>
            </w:r>
          </w:p>
        </w:tc>
        <w:tc>
          <w:tcPr>
            <w:tcW w:w="0" w:type="auto"/>
            <w:shd w:val="clear" w:color="auto" w:fill="FFFFFF" w:themeFill="background1"/>
          </w:tcPr>
          <w:p w14:paraId="54D3C80A" w14:textId="77777777" w:rsidR="002358A7" w:rsidRPr="001F678E" w:rsidRDefault="002358A7" w:rsidP="00C36AEE">
            <w:pPr>
              <w:pStyle w:val="TableText0"/>
              <w:keepNext/>
            </w:pPr>
            <w:r w:rsidRPr="00A31DBD">
              <w:t>03/02/2021</w:t>
            </w:r>
          </w:p>
        </w:tc>
        <w:tc>
          <w:tcPr>
            <w:tcW w:w="0" w:type="auto"/>
            <w:shd w:val="clear" w:color="auto" w:fill="FFFFFF" w:themeFill="background1"/>
          </w:tcPr>
          <w:p w14:paraId="5BADFA5A" w14:textId="77777777" w:rsidR="002358A7" w:rsidRPr="001F678E" w:rsidRDefault="002358A7" w:rsidP="00C36AEE">
            <w:pPr>
              <w:pStyle w:val="TableText0"/>
              <w:keepNext/>
            </w:pPr>
            <w:r w:rsidRPr="001F678E">
              <w:t>35649</w:t>
            </w:r>
          </w:p>
        </w:tc>
        <w:tc>
          <w:tcPr>
            <w:tcW w:w="0" w:type="auto"/>
            <w:shd w:val="clear" w:color="auto" w:fill="FFFFFF" w:themeFill="background1"/>
          </w:tcPr>
          <w:p w14:paraId="3C6A3CEA" w14:textId="77777777" w:rsidR="002358A7" w:rsidRPr="001F678E" w:rsidRDefault="002358A7" w:rsidP="00C36AEE">
            <w:pPr>
              <w:pStyle w:val="TableText0"/>
              <w:keepNext/>
            </w:pPr>
            <w:r>
              <w:t>AtriClip FLEX V (FLEXV)</w:t>
            </w:r>
          </w:p>
        </w:tc>
      </w:tr>
      <w:tr w:rsidR="002358A7" w:rsidRPr="001F678E" w14:paraId="7531B8E1" w14:textId="77777777" w:rsidTr="00467382">
        <w:trPr>
          <w:trHeight w:val="569"/>
        </w:trPr>
        <w:tc>
          <w:tcPr>
            <w:tcW w:w="0" w:type="auto"/>
            <w:tcBorders>
              <w:top w:val="nil"/>
              <w:bottom w:val="single" w:sz="4" w:space="0" w:color="auto"/>
            </w:tcBorders>
            <w:shd w:val="clear" w:color="auto" w:fill="FFFFFF" w:themeFill="background1"/>
          </w:tcPr>
          <w:p w14:paraId="49EB456E" w14:textId="77777777" w:rsidR="002358A7" w:rsidRPr="001F678E" w:rsidRDefault="002358A7" w:rsidP="00C36AEE">
            <w:pPr>
              <w:pStyle w:val="TableText0"/>
              <w:keepNext/>
            </w:pPr>
          </w:p>
        </w:tc>
        <w:tc>
          <w:tcPr>
            <w:tcW w:w="0" w:type="auto"/>
            <w:shd w:val="clear" w:color="auto" w:fill="FFFFFF" w:themeFill="background1"/>
          </w:tcPr>
          <w:p w14:paraId="61D359E9" w14:textId="77777777" w:rsidR="002358A7" w:rsidRPr="00A31DBD" w:rsidRDefault="002358A7" w:rsidP="00C36AEE">
            <w:pPr>
              <w:pStyle w:val="TableText0"/>
              <w:keepNext/>
            </w:pPr>
            <w:r>
              <w:t>Not listed</w:t>
            </w:r>
          </w:p>
        </w:tc>
        <w:tc>
          <w:tcPr>
            <w:tcW w:w="0" w:type="auto"/>
            <w:shd w:val="clear" w:color="auto" w:fill="FFFFFF" w:themeFill="background1"/>
          </w:tcPr>
          <w:p w14:paraId="042D2E64" w14:textId="77777777" w:rsidR="002358A7" w:rsidRPr="00A31DBD" w:rsidRDefault="002358A7" w:rsidP="00C36AEE">
            <w:pPr>
              <w:pStyle w:val="TableText0"/>
              <w:keepNext/>
            </w:pPr>
            <w:r>
              <w:t>N/A</w:t>
            </w:r>
          </w:p>
        </w:tc>
        <w:tc>
          <w:tcPr>
            <w:tcW w:w="0" w:type="auto"/>
            <w:shd w:val="clear" w:color="auto" w:fill="FFFFFF" w:themeFill="background1"/>
          </w:tcPr>
          <w:p w14:paraId="545977A3" w14:textId="77777777" w:rsidR="002358A7" w:rsidRPr="001F678E" w:rsidRDefault="002358A7" w:rsidP="00C36AEE">
            <w:pPr>
              <w:pStyle w:val="TableText0"/>
              <w:keepNext/>
            </w:pPr>
            <w:r>
              <w:t>N/A</w:t>
            </w:r>
          </w:p>
        </w:tc>
        <w:tc>
          <w:tcPr>
            <w:tcW w:w="0" w:type="auto"/>
            <w:shd w:val="clear" w:color="auto" w:fill="FFFFFF" w:themeFill="background1"/>
          </w:tcPr>
          <w:p w14:paraId="074F82BB" w14:textId="77777777" w:rsidR="002358A7" w:rsidRDefault="002358A7" w:rsidP="00C36AEE">
            <w:pPr>
              <w:pStyle w:val="TableText0"/>
              <w:keepNext/>
            </w:pPr>
            <w:r>
              <w:t>AtriClip Long</w:t>
            </w:r>
          </w:p>
        </w:tc>
      </w:tr>
      <w:tr w:rsidR="002358A7" w:rsidRPr="001F678E" w14:paraId="3F695870" w14:textId="77777777" w:rsidTr="00467382">
        <w:trPr>
          <w:trHeight w:val="551"/>
        </w:trPr>
        <w:tc>
          <w:tcPr>
            <w:tcW w:w="0" w:type="auto"/>
            <w:tcBorders>
              <w:bottom w:val="nil"/>
            </w:tcBorders>
          </w:tcPr>
          <w:p w14:paraId="0F8E87B4" w14:textId="58919EB3" w:rsidR="002358A7" w:rsidRPr="001F678E" w:rsidRDefault="002358A7" w:rsidP="00C36AEE">
            <w:pPr>
              <w:pStyle w:val="TableText0"/>
              <w:keepNext/>
            </w:pPr>
            <w:r>
              <w:t xml:space="preserve">Minimally invasive </w:t>
            </w:r>
            <w:r w:rsidR="005F3A4F">
              <w:t xml:space="preserve">cardiac </w:t>
            </w:r>
            <w:r>
              <w:t>surgery</w:t>
            </w:r>
          </w:p>
        </w:tc>
        <w:tc>
          <w:tcPr>
            <w:tcW w:w="0" w:type="auto"/>
          </w:tcPr>
          <w:p w14:paraId="69F8B085" w14:textId="77777777" w:rsidR="002358A7" w:rsidRPr="001F678E" w:rsidRDefault="002358A7" w:rsidP="00C36AEE">
            <w:pPr>
              <w:pStyle w:val="TableText0"/>
              <w:keepNext/>
            </w:pPr>
            <w:r w:rsidRPr="00A31DBD">
              <w:t>308863</w:t>
            </w:r>
          </w:p>
        </w:tc>
        <w:tc>
          <w:tcPr>
            <w:tcW w:w="0" w:type="auto"/>
          </w:tcPr>
          <w:p w14:paraId="0498DE00" w14:textId="77777777" w:rsidR="002358A7" w:rsidRPr="001F678E" w:rsidRDefault="002358A7" w:rsidP="00C36AEE">
            <w:pPr>
              <w:pStyle w:val="TableText0"/>
              <w:keepNext/>
            </w:pPr>
            <w:r w:rsidRPr="00A31DBD">
              <w:t>31/08/2018</w:t>
            </w:r>
          </w:p>
        </w:tc>
        <w:tc>
          <w:tcPr>
            <w:tcW w:w="0" w:type="auto"/>
          </w:tcPr>
          <w:p w14:paraId="778946E4" w14:textId="77777777" w:rsidR="002358A7" w:rsidRPr="001F678E" w:rsidRDefault="002358A7" w:rsidP="00C36AEE">
            <w:pPr>
              <w:pStyle w:val="TableText0"/>
              <w:keepNext/>
            </w:pPr>
            <w:r w:rsidRPr="001F678E">
              <w:t>35649</w:t>
            </w:r>
          </w:p>
        </w:tc>
        <w:tc>
          <w:tcPr>
            <w:tcW w:w="0" w:type="auto"/>
          </w:tcPr>
          <w:p w14:paraId="68718F10" w14:textId="77777777" w:rsidR="002358A7" w:rsidRPr="001F678E" w:rsidRDefault="002358A7" w:rsidP="00C36AEE">
            <w:pPr>
              <w:pStyle w:val="TableText0"/>
              <w:keepNext/>
            </w:pPr>
            <w:r>
              <w:t>AtriClip PRO (PRO)</w:t>
            </w:r>
          </w:p>
        </w:tc>
      </w:tr>
      <w:tr w:rsidR="002358A7" w:rsidRPr="001F678E" w14:paraId="2DE031BB" w14:textId="77777777" w:rsidTr="00467382">
        <w:trPr>
          <w:trHeight w:val="821"/>
        </w:trPr>
        <w:tc>
          <w:tcPr>
            <w:tcW w:w="0" w:type="auto"/>
            <w:tcBorders>
              <w:top w:val="nil"/>
              <w:bottom w:val="nil"/>
            </w:tcBorders>
          </w:tcPr>
          <w:p w14:paraId="4772A192" w14:textId="77777777" w:rsidR="002358A7" w:rsidRPr="001F678E" w:rsidRDefault="002358A7" w:rsidP="00C36AEE">
            <w:pPr>
              <w:pStyle w:val="TableText0"/>
              <w:keepNext/>
            </w:pPr>
          </w:p>
        </w:tc>
        <w:tc>
          <w:tcPr>
            <w:tcW w:w="0" w:type="auto"/>
          </w:tcPr>
          <w:p w14:paraId="13AD3290" w14:textId="77777777" w:rsidR="002358A7" w:rsidRPr="001F678E" w:rsidRDefault="002358A7" w:rsidP="00C36AEE">
            <w:pPr>
              <w:pStyle w:val="TableText0"/>
              <w:keepNext/>
            </w:pPr>
            <w:r w:rsidRPr="00A31DBD">
              <w:t>308864</w:t>
            </w:r>
          </w:p>
        </w:tc>
        <w:tc>
          <w:tcPr>
            <w:tcW w:w="0" w:type="auto"/>
          </w:tcPr>
          <w:p w14:paraId="76796D97" w14:textId="77777777" w:rsidR="002358A7" w:rsidRPr="001F678E" w:rsidRDefault="002358A7" w:rsidP="00C36AEE">
            <w:pPr>
              <w:pStyle w:val="TableText0"/>
              <w:keepNext/>
            </w:pPr>
            <w:r w:rsidRPr="00A31DBD">
              <w:t>31/08/2018</w:t>
            </w:r>
          </w:p>
        </w:tc>
        <w:tc>
          <w:tcPr>
            <w:tcW w:w="0" w:type="auto"/>
          </w:tcPr>
          <w:p w14:paraId="2B6E2B4C" w14:textId="77777777" w:rsidR="002358A7" w:rsidRPr="001F678E" w:rsidRDefault="002358A7" w:rsidP="00C36AEE">
            <w:pPr>
              <w:pStyle w:val="TableText0"/>
              <w:keepNext/>
            </w:pPr>
            <w:r w:rsidRPr="001F678E">
              <w:t>35649</w:t>
            </w:r>
          </w:p>
        </w:tc>
        <w:tc>
          <w:tcPr>
            <w:tcW w:w="0" w:type="auto"/>
          </w:tcPr>
          <w:p w14:paraId="3C7FDCC0" w14:textId="77777777" w:rsidR="002358A7" w:rsidRPr="001F678E" w:rsidRDefault="002358A7" w:rsidP="00C36AEE">
            <w:pPr>
              <w:pStyle w:val="TableText0"/>
              <w:keepNext/>
            </w:pPr>
            <w:r>
              <w:t>AtriClip PRO 2 (PRO2)</w:t>
            </w:r>
          </w:p>
        </w:tc>
      </w:tr>
      <w:tr w:rsidR="002358A7" w:rsidRPr="001F678E" w14:paraId="0B57DCA0" w14:textId="77777777" w:rsidTr="00467382">
        <w:trPr>
          <w:trHeight w:val="357"/>
        </w:trPr>
        <w:tc>
          <w:tcPr>
            <w:tcW w:w="0" w:type="auto"/>
            <w:tcBorders>
              <w:top w:val="nil"/>
            </w:tcBorders>
          </w:tcPr>
          <w:p w14:paraId="0CE0A2A9" w14:textId="77777777" w:rsidR="002358A7" w:rsidRPr="001F678E" w:rsidRDefault="002358A7" w:rsidP="00C36AEE">
            <w:pPr>
              <w:pStyle w:val="TableText0"/>
              <w:keepNext/>
            </w:pPr>
          </w:p>
        </w:tc>
        <w:tc>
          <w:tcPr>
            <w:tcW w:w="0" w:type="auto"/>
          </w:tcPr>
          <w:p w14:paraId="20CCEB10" w14:textId="77777777" w:rsidR="002358A7" w:rsidRPr="001F678E" w:rsidRDefault="002358A7" w:rsidP="00C36AEE">
            <w:pPr>
              <w:pStyle w:val="TableText0"/>
              <w:keepNext/>
            </w:pPr>
            <w:r w:rsidRPr="009E296A">
              <w:t>354170</w:t>
            </w:r>
          </w:p>
        </w:tc>
        <w:tc>
          <w:tcPr>
            <w:tcW w:w="0" w:type="auto"/>
          </w:tcPr>
          <w:p w14:paraId="70628B18" w14:textId="77777777" w:rsidR="002358A7" w:rsidRPr="001F678E" w:rsidRDefault="002358A7" w:rsidP="00C36AEE">
            <w:pPr>
              <w:pStyle w:val="TableText0"/>
              <w:keepNext/>
            </w:pPr>
            <w:r w:rsidRPr="009E296A">
              <w:t>03/02/2021</w:t>
            </w:r>
          </w:p>
        </w:tc>
        <w:tc>
          <w:tcPr>
            <w:tcW w:w="0" w:type="auto"/>
          </w:tcPr>
          <w:p w14:paraId="0F7F0019" w14:textId="77777777" w:rsidR="002358A7" w:rsidRPr="001F678E" w:rsidRDefault="002358A7" w:rsidP="00C36AEE">
            <w:pPr>
              <w:pStyle w:val="TableText0"/>
              <w:keepNext/>
            </w:pPr>
            <w:r w:rsidRPr="001F678E">
              <w:t>35649</w:t>
            </w:r>
          </w:p>
        </w:tc>
        <w:tc>
          <w:tcPr>
            <w:tcW w:w="0" w:type="auto"/>
          </w:tcPr>
          <w:p w14:paraId="1633739C" w14:textId="77777777" w:rsidR="002358A7" w:rsidRPr="001F678E" w:rsidRDefault="002358A7" w:rsidP="00C36AEE">
            <w:pPr>
              <w:pStyle w:val="TableText0"/>
              <w:keepNext/>
            </w:pPr>
            <w:r>
              <w:t>AtriClip PRO V (PROV)</w:t>
            </w:r>
          </w:p>
        </w:tc>
      </w:tr>
    </w:tbl>
    <w:p w14:paraId="7D5B6AFB" w14:textId="3B940974" w:rsidR="00E23A84" w:rsidRDefault="00E23A84" w:rsidP="001017F5">
      <w:pPr>
        <w:pStyle w:val="Tablenotes"/>
        <w:spacing w:after="360"/>
      </w:pPr>
      <w:r>
        <w:t>Sources: AtriClip webpage, ARTG public summary documents.</w:t>
      </w:r>
    </w:p>
    <w:p w14:paraId="3612BA64" w14:textId="77777777" w:rsidR="00E23A84" w:rsidRDefault="00E23A84" w:rsidP="002358A7">
      <w:pPr>
        <w:pStyle w:val="Heading4"/>
      </w:pPr>
      <w:r>
        <w:t xml:space="preserve">Proposed place in </w:t>
      </w:r>
      <w:r w:rsidRPr="002358A7">
        <w:t>clinical</w:t>
      </w:r>
      <w:r>
        <w:t xml:space="preserve"> care</w:t>
      </w:r>
    </w:p>
    <w:p w14:paraId="07856CF7" w14:textId="748C53AD" w:rsidR="00E23A84" w:rsidRDefault="00E23A84" w:rsidP="00AE7A87">
      <w:r>
        <w:t>The AtriClip device is intended to exclude the LAA to reduce the risk of stroke in patients with AF. The base of the LAA is clipped using the AtriClip device to stop blood flow and prevent the formation of thrombi.</w:t>
      </w:r>
    </w:p>
    <w:p w14:paraId="3C3D7E6B" w14:textId="10C2226F" w:rsidR="00E23A84" w:rsidRDefault="00E23A84" w:rsidP="00AE7A87">
      <w:r w:rsidRPr="00CB1953">
        <w:t xml:space="preserve">Implantation of the AtriClip is concomitant to open cardiac surgery, most commonly valvular replacement/repair surgery and CABG. </w:t>
      </w:r>
      <w:r w:rsidR="00010B08">
        <w:t>I</w:t>
      </w:r>
      <w:r>
        <w:t>n eligible patients, t</w:t>
      </w:r>
      <w:r w:rsidRPr="00CB1953">
        <w:t xml:space="preserve">he </w:t>
      </w:r>
      <w:r w:rsidR="00010B08">
        <w:t>LAA</w:t>
      </w:r>
      <w:r w:rsidRPr="00CB1953">
        <w:t xml:space="preserve"> is sized via direct measurement</w:t>
      </w:r>
      <w:r w:rsidR="00010B08">
        <w:t xml:space="preserve"> and </w:t>
      </w:r>
      <w:r w:rsidRPr="00CB1953">
        <w:t>the Atri</w:t>
      </w:r>
      <w:r w:rsidR="00010B08">
        <w:t>C</w:t>
      </w:r>
      <w:r w:rsidRPr="00CB1953">
        <w:t>lip device is placed under direct visuali</w:t>
      </w:r>
      <w:r w:rsidR="00D15DA3">
        <w:t>s</w:t>
      </w:r>
      <w:r w:rsidRPr="00CB1953">
        <w:t>ation at the base of the LAA, resulting in electrical and haemodynamic isolation from the left atrium. The implantation procedure, assuming open access with direct visuali</w:t>
      </w:r>
      <w:r w:rsidR="00D15DA3">
        <w:t>s</w:t>
      </w:r>
      <w:r w:rsidRPr="00CB1953">
        <w:t xml:space="preserve">ation </w:t>
      </w:r>
      <w:r w:rsidR="005F3A4F">
        <w:t xml:space="preserve">in normal circumstances </w:t>
      </w:r>
      <w:r w:rsidRPr="00CB1953">
        <w:t xml:space="preserve">will take </w:t>
      </w:r>
      <w:r>
        <w:t>five to seven</w:t>
      </w:r>
      <w:r w:rsidRPr="00CB1953">
        <w:t xml:space="preserve"> minutes to complete in addition to the procedure time for the index surgical procedure.</w:t>
      </w:r>
    </w:p>
    <w:p w14:paraId="1E27B2D4" w14:textId="5349D76C" w:rsidR="00E23A84" w:rsidRDefault="00E23A84" w:rsidP="00AE7A87">
      <w:pPr>
        <w:pStyle w:val="Heading3"/>
      </w:pPr>
      <w:r w:rsidRPr="008F1532">
        <w:t>Comparator</w:t>
      </w:r>
      <w:r>
        <w:t>s</w:t>
      </w:r>
    </w:p>
    <w:p w14:paraId="00162FA1" w14:textId="441AB368" w:rsidR="008C54E3" w:rsidRDefault="00E23A84" w:rsidP="000D6739">
      <w:pPr>
        <w:spacing w:before="200"/>
      </w:pPr>
      <w:r w:rsidRPr="00780931">
        <w:t xml:space="preserve">Surgical methods of LAA </w:t>
      </w:r>
      <w:r w:rsidR="00D15DA3">
        <w:t>exc</w:t>
      </w:r>
      <w:r w:rsidR="00D15DA3" w:rsidRPr="00780931">
        <w:t xml:space="preserve">lusion </w:t>
      </w:r>
      <w:r w:rsidRPr="00780931">
        <w:t xml:space="preserve">include </w:t>
      </w:r>
      <w:r w:rsidR="00D15DA3">
        <w:t>the use of surgical exclusion devices (AtriClip</w:t>
      </w:r>
      <w:r w:rsidR="00E97684">
        <w:t xml:space="preserve"> is the only such device marketed in Australia</w:t>
      </w:r>
      <w:r w:rsidR="00D15DA3">
        <w:t xml:space="preserve">), </w:t>
      </w:r>
      <w:r w:rsidRPr="00780931">
        <w:t xml:space="preserve">stapling, </w:t>
      </w:r>
      <w:r w:rsidR="00D15DA3">
        <w:t xml:space="preserve">and different approaches using </w:t>
      </w:r>
      <w:r w:rsidRPr="00780931">
        <w:t>sutures.</w:t>
      </w:r>
      <w:r>
        <w:t xml:space="preserve"> </w:t>
      </w:r>
      <w:r w:rsidR="00D15DA3">
        <w:t xml:space="preserve">The appropriate comparators are therefore </w:t>
      </w:r>
      <w:r w:rsidR="00357600">
        <w:t xml:space="preserve">stapling or suturing </w:t>
      </w:r>
      <w:r>
        <w:t xml:space="preserve">techniques for exclusion of the LAA during concomitant open </w:t>
      </w:r>
      <w:r w:rsidR="00BE4F63">
        <w:t xml:space="preserve">cardiac </w:t>
      </w:r>
      <w:r>
        <w:t>surgery</w:t>
      </w:r>
      <w:r w:rsidR="00AF1AD1">
        <w:t>.</w:t>
      </w:r>
    </w:p>
    <w:p w14:paraId="05AD2633" w14:textId="17C8394B" w:rsidR="00E23A84" w:rsidRDefault="00E23A84" w:rsidP="008C54E3">
      <w:r>
        <w:fldChar w:fldCharType="begin"/>
      </w:r>
      <w:r>
        <w:instrText xml:space="preserve"> REF _Ref76030997 \h </w:instrText>
      </w:r>
      <w:r>
        <w:fldChar w:fldCharType="separate"/>
      </w:r>
      <w:r w:rsidR="008443A4">
        <w:t xml:space="preserve">Table </w:t>
      </w:r>
      <w:r w:rsidR="008443A4">
        <w:rPr>
          <w:noProof/>
        </w:rPr>
        <w:t>4</w:t>
      </w:r>
      <w:r>
        <w:fldChar w:fldCharType="end"/>
      </w:r>
      <w:r>
        <w:t xml:space="preserve"> shows the stapling devices and percutaneous LAA </w:t>
      </w:r>
      <w:proofErr w:type="spellStart"/>
      <w:r>
        <w:t>occluders</w:t>
      </w:r>
      <w:proofErr w:type="spellEnd"/>
      <w:r>
        <w:t xml:space="preserve"> currently listed on the PL. Percutaneous LAA </w:t>
      </w:r>
      <w:proofErr w:type="spellStart"/>
      <w:r>
        <w:t>occ</w:t>
      </w:r>
      <w:r w:rsidR="00010B08">
        <w:t>luder</w:t>
      </w:r>
      <w:r>
        <w:t>s</w:t>
      </w:r>
      <w:proofErr w:type="spellEnd"/>
      <w:r>
        <w:t xml:space="preserve"> are intended to occlude the LAA as a stand</w:t>
      </w:r>
      <w:r w:rsidR="00594F05">
        <w:t>-</w:t>
      </w:r>
      <w:r>
        <w:t xml:space="preserve">alone procedure and are not in scope for the assessment of epicardial clips used during open </w:t>
      </w:r>
      <w:r w:rsidR="00921064">
        <w:t xml:space="preserve">cardiac </w:t>
      </w:r>
      <w:r>
        <w:t>surgery.</w:t>
      </w:r>
    </w:p>
    <w:p w14:paraId="5E9F1C30" w14:textId="0760791A" w:rsidR="00E23A84" w:rsidRDefault="00E23A84" w:rsidP="00AE7A87">
      <w:pPr>
        <w:pStyle w:val="Caption"/>
      </w:pPr>
      <w:bookmarkStart w:id="9" w:name="_Ref76030997"/>
      <w:r>
        <w:lastRenderedPageBreak/>
        <w:t xml:space="preserve">Table </w:t>
      </w:r>
      <w:r>
        <w:fldChar w:fldCharType="begin"/>
      </w:r>
      <w:r>
        <w:instrText xml:space="preserve"> SEQ Table \* ARABIC </w:instrText>
      </w:r>
      <w:r>
        <w:fldChar w:fldCharType="separate"/>
      </w:r>
      <w:r w:rsidR="008443A4">
        <w:rPr>
          <w:noProof/>
        </w:rPr>
        <w:t>4</w:t>
      </w:r>
      <w:r>
        <w:fldChar w:fldCharType="end"/>
      </w:r>
      <w:bookmarkEnd w:id="9"/>
      <w:r>
        <w:tab/>
        <w:t>LAA occlusion devices listed on the Prostheses List</w:t>
      </w:r>
    </w:p>
    <w:tbl>
      <w:tblPr>
        <w:tblStyle w:val="TableGrid"/>
        <w:tblW w:w="9580" w:type="dxa"/>
        <w:tblInd w:w="0" w:type="dxa"/>
        <w:tblLook w:val="04A0" w:firstRow="1" w:lastRow="0" w:firstColumn="1" w:lastColumn="0" w:noHBand="0" w:noVBand="1"/>
      </w:tblPr>
      <w:tblGrid>
        <w:gridCol w:w="1881"/>
        <w:gridCol w:w="2225"/>
        <w:gridCol w:w="1985"/>
        <w:gridCol w:w="1984"/>
        <w:gridCol w:w="1505"/>
      </w:tblGrid>
      <w:tr w:rsidR="00E23A84" w:rsidRPr="00577100" w14:paraId="47253A1C" w14:textId="77777777" w:rsidTr="00AE7A87">
        <w:trPr>
          <w:trHeight w:val="557"/>
        </w:trPr>
        <w:tc>
          <w:tcPr>
            <w:tcW w:w="1881" w:type="dxa"/>
            <w:tcBorders>
              <w:bottom w:val="single" w:sz="4" w:space="0" w:color="auto"/>
            </w:tcBorders>
          </w:tcPr>
          <w:p w14:paraId="190936FB" w14:textId="77777777" w:rsidR="00E23A84" w:rsidRPr="00577100" w:rsidRDefault="00E23A84" w:rsidP="00C36AEE">
            <w:pPr>
              <w:pStyle w:val="TableText0"/>
              <w:keepNext/>
            </w:pPr>
            <w:r w:rsidRPr="00577100">
              <w:t>Type of LAA occlusion</w:t>
            </w:r>
          </w:p>
        </w:tc>
        <w:tc>
          <w:tcPr>
            <w:tcW w:w="2225" w:type="dxa"/>
          </w:tcPr>
          <w:p w14:paraId="118EF0FC" w14:textId="135F8013" w:rsidR="00E23A84" w:rsidRPr="00577100" w:rsidRDefault="00594F05" w:rsidP="00C36AEE">
            <w:pPr>
              <w:pStyle w:val="TableText0"/>
              <w:keepNext/>
            </w:pPr>
            <w:r>
              <w:t xml:space="preserve">Billing Code and </w:t>
            </w:r>
            <w:r w:rsidR="00E23A84" w:rsidRPr="00577100">
              <w:t>Device name</w:t>
            </w:r>
          </w:p>
        </w:tc>
        <w:tc>
          <w:tcPr>
            <w:tcW w:w="1985" w:type="dxa"/>
          </w:tcPr>
          <w:p w14:paraId="33BFB70F" w14:textId="77777777" w:rsidR="00E23A84" w:rsidRPr="00577100" w:rsidRDefault="00E23A84" w:rsidP="00C36AEE">
            <w:pPr>
              <w:pStyle w:val="TableText0"/>
              <w:keepNext/>
            </w:pPr>
            <w:r w:rsidRPr="00577100">
              <w:t>Manufacturer</w:t>
            </w:r>
          </w:p>
        </w:tc>
        <w:tc>
          <w:tcPr>
            <w:tcW w:w="1984" w:type="dxa"/>
          </w:tcPr>
          <w:p w14:paraId="5CDE872D" w14:textId="77777777" w:rsidR="00E23A84" w:rsidRPr="00577100" w:rsidRDefault="00E23A84" w:rsidP="00C36AEE">
            <w:pPr>
              <w:pStyle w:val="TableText0"/>
              <w:keepNext/>
            </w:pPr>
            <w:r>
              <w:t>Prostheses</w:t>
            </w:r>
            <w:r w:rsidRPr="00577100">
              <w:t xml:space="preserve"> List product subgroup</w:t>
            </w:r>
          </w:p>
        </w:tc>
        <w:tc>
          <w:tcPr>
            <w:tcW w:w="1505" w:type="dxa"/>
          </w:tcPr>
          <w:p w14:paraId="5FF4A32F" w14:textId="77777777" w:rsidR="00E23A84" w:rsidRPr="00577100" w:rsidRDefault="00E23A84" w:rsidP="00C36AEE">
            <w:pPr>
              <w:pStyle w:val="TableText0"/>
              <w:keepNext/>
            </w:pPr>
            <w:r w:rsidRPr="00577100">
              <w:t>Benefit</w:t>
            </w:r>
          </w:p>
        </w:tc>
      </w:tr>
      <w:tr w:rsidR="00E23A84" w:rsidRPr="00577100" w14:paraId="7F5D606A" w14:textId="77777777" w:rsidTr="00AE7A87">
        <w:trPr>
          <w:trHeight w:val="841"/>
        </w:trPr>
        <w:tc>
          <w:tcPr>
            <w:tcW w:w="1881" w:type="dxa"/>
            <w:tcBorders>
              <w:top w:val="nil"/>
              <w:bottom w:val="nil"/>
            </w:tcBorders>
          </w:tcPr>
          <w:p w14:paraId="7A331D8F" w14:textId="77777777" w:rsidR="00E23A84" w:rsidRPr="00577100" w:rsidRDefault="00E23A84" w:rsidP="00C36AEE">
            <w:pPr>
              <w:pStyle w:val="TableText0"/>
              <w:keepNext/>
            </w:pPr>
            <w:r w:rsidRPr="00577100">
              <w:t>Stapling</w:t>
            </w:r>
          </w:p>
        </w:tc>
        <w:tc>
          <w:tcPr>
            <w:tcW w:w="2225" w:type="dxa"/>
            <w:shd w:val="clear" w:color="auto" w:fill="F6F9F1"/>
          </w:tcPr>
          <w:p w14:paraId="1601EB8A" w14:textId="77777777" w:rsidR="00E23A84" w:rsidRPr="00577100" w:rsidRDefault="00E23A84" w:rsidP="00C36AEE">
            <w:pPr>
              <w:pStyle w:val="TableText0"/>
              <w:keepNext/>
            </w:pPr>
            <w:r w:rsidRPr="00577100">
              <w:t>JJ903 Echelon disposable stapling device</w:t>
            </w:r>
          </w:p>
        </w:tc>
        <w:tc>
          <w:tcPr>
            <w:tcW w:w="1985" w:type="dxa"/>
            <w:shd w:val="clear" w:color="auto" w:fill="F6F9F1"/>
          </w:tcPr>
          <w:p w14:paraId="62B5D8E2" w14:textId="77777777" w:rsidR="00E23A84" w:rsidRPr="00577100" w:rsidRDefault="00E23A84" w:rsidP="00C36AEE">
            <w:pPr>
              <w:pStyle w:val="TableText0"/>
              <w:keepNext/>
            </w:pPr>
            <w:r w:rsidRPr="00577100">
              <w:t>Johnson &amp; Johnson Medical Pty Ltd</w:t>
            </w:r>
          </w:p>
        </w:tc>
        <w:tc>
          <w:tcPr>
            <w:tcW w:w="1984" w:type="dxa"/>
            <w:shd w:val="clear" w:color="auto" w:fill="F6F9F1"/>
          </w:tcPr>
          <w:p w14:paraId="754E4870" w14:textId="77777777" w:rsidR="00E23A84" w:rsidRPr="00577100" w:rsidRDefault="00E23A84" w:rsidP="00C36AEE">
            <w:pPr>
              <w:pStyle w:val="TableText0"/>
              <w:keepNext/>
            </w:pPr>
            <w:r w:rsidRPr="00577100">
              <w:t>Staplers</w:t>
            </w:r>
          </w:p>
        </w:tc>
        <w:tc>
          <w:tcPr>
            <w:tcW w:w="1505" w:type="dxa"/>
            <w:shd w:val="clear" w:color="auto" w:fill="F6F9F1"/>
          </w:tcPr>
          <w:p w14:paraId="573DF7EF" w14:textId="77777777" w:rsidR="00E23A84" w:rsidRPr="00577100" w:rsidRDefault="00E23A84" w:rsidP="00C36AEE">
            <w:pPr>
              <w:pStyle w:val="TableText0"/>
              <w:keepNext/>
            </w:pPr>
            <w:r w:rsidRPr="00577100">
              <w:t>$357</w:t>
            </w:r>
          </w:p>
        </w:tc>
      </w:tr>
      <w:tr w:rsidR="00E23A84" w:rsidRPr="00577100" w14:paraId="20318B0A" w14:textId="77777777" w:rsidTr="00AE7A87">
        <w:trPr>
          <w:trHeight w:val="841"/>
        </w:trPr>
        <w:tc>
          <w:tcPr>
            <w:tcW w:w="1881" w:type="dxa"/>
            <w:tcBorders>
              <w:top w:val="nil"/>
              <w:bottom w:val="nil"/>
            </w:tcBorders>
          </w:tcPr>
          <w:p w14:paraId="3C48C57C" w14:textId="77777777" w:rsidR="00E23A84" w:rsidRPr="00577100" w:rsidRDefault="00E23A84" w:rsidP="00C36AEE">
            <w:pPr>
              <w:pStyle w:val="TableText0"/>
              <w:keepNext/>
            </w:pPr>
          </w:p>
        </w:tc>
        <w:tc>
          <w:tcPr>
            <w:tcW w:w="2225" w:type="dxa"/>
            <w:shd w:val="clear" w:color="auto" w:fill="F6F9F1"/>
          </w:tcPr>
          <w:p w14:paraId="4ECCED01" w14:textId="77777777" w:rsidR="00E23A84" w:rsidRPr="00577100" w:rsidRDefault="00E23A84" w:rsidP="00C36AEE">
            <w:pPr>
              <w:pStyle w:val="TableText0"/>
              <w:keepNext/>
            </w:pPr>
            <w:r w:rsidRPr="00577100">
              <w:t>MN215 Echelon disposable powered stapling device</w:t>
            </w:r>
          </w:p>
        </w:tc>
        <w:tc>
          <w:tcPr>
            <w:tcW w:w="1985" w:type="dxa"/>
            <w:shd w:val="clear" w:color="auto" w:fill="F6F9F1"/>
          </w:tcPr>
          <w:p w14:paraId="26AD19BB" w14:textId="77777777" w:rsidR="00E23A84" w:rsidRPr="00577100" w:rsidRDefault="00E23A84" w:rsidP="00C36AEE">
            <w:pPr>
              <w:pStyle w:val="TableText0"/>
              <w:keepNext/>
            </w:pPr>
            <w:r w:rsidRPr="00577100">
              <w:t>Johnson &amp; Johnson Medical Pty Ltd</w:t>
            </w:r>
          </w:p>
        </w:tc>
        <w:tc>
          <w:tcPr>
            <w:tcW w:w="1984" w:type="dxa"/>
            <w:shd w:val="clear" w:color="auto" w:fill="F6F9F1"/>
          </w:tcPr>
          <w:p w14:paraId="59C0D0A8" w14:textId="77777777" w:rsidR="00E23A84" w:rsidRPr="00577100" w:rsidRDefault="00E23A84" w:rsidP="00C36AEE">
            <w:pPr>
              <w:pStyle w:val="TableText0"/>
              <w:keepNext/>
            </w:pPr>
            <w:r w:rsidRPr="00577100">
              <w:t>Staplers</w:t>
            </w:r>
          </w:p>
        </w:tc>
        <w:tc>
          <w:tcPr>
            <w:tcW w:w="1505" w:type="dxa"/>
            <w:shd w:val="clear" w:color="auto" w:fill="F6F9F1"/>
          </w:tcPr>
          <w:p w14:paraId="55119FF0" w14:textId="77777777" w:rsidR="00E23A84" w:rsidRPr="00577100" w:rsidRDefault="00E23A84" w:rsidP="00C36AEE">
            <w:pPr>
              <w:pStyle w:val="TableText0"/>
              <w:keepNext/>
            </w:pPr>
            <w:r w:rsidRPr="00577100">
              <w:t>$447</w:t>
            </w:r>
          </w:p>
        </w:tc>
      </w:tr>
      <w:tr w:rsidR="00E23A84" w:rsidRPr="00577100" w14:paraId="62DBFA57" w14:textId="77777777" w:rsidTr="00AE7A87">
        <w:trPr>
          <w:trHeight w:val="453"/>
        </w:trPr>
        <w:tc>
          <w:tcPr>
            <w:tcW w:w="1881" w:type="dxa"/>
            <w:tcBorders>
              <w:top w:val="nil"/>
              <w:bottom w:val="nil"/>
            </w:tcBorders>
          </w:tcPr>
          <w:p w14:paraId="27AFB1BC" w14:textId="77777777" w:rsidR="00E23A84" w:rsidRPr="00577100" w:rsidRDefault="00E23A84" w:rsidP="00C36AEE">
            <w:pPr>
              <w:pStyle w:val="TableText0"/>
              <w:keepNext/>
            </w:pPr>
          </w:p>
        </w:tc>
        <w:tc>
          <w:tcPr>
            <w:tcW w:w="2225" w:type="dxa"/>
            <w:shd w:val="clear" w:color="auto" w:fill="F6F9F1"/>
          </w:tcPr>
          <w:p w14:paraId="1A424E7E" w14:textId="77777777" w:rsidR="00E23A84" w:rsidRPr="00577100" w:rsidRDefault="00E23A84" w:rsidP="00C36AEE">
            <w:pPr>
              <w:pStyle w:val="TableText0"/>
              <w:keepNext/>
            </w:pPr>
            <w:r w:rsidRPr="00577100">
              <w:t>AS046 Endo GIA stapling system</w:t>
            </w:r>
          </w:p>
        </w:tc>
        <w:tc>
          <w:tcPr>
            <w:tcW w:w="1985" w:type="dxa"/>
            <w:shd w:val="clear" w:color="auto" w:fill="F6F9F1"/>
          </w:tcPr>
          <w:p w14:paraId="7CC9FF67" w14:textId="77777777" w:rsidR="00E23A84" w:rsidRPr="00577100" w:rsidRDefault="00E23A84" w:rsidP="00C36AEE">
            <w:pPr>
              <w:pStyle w:val="TableText0"/>
              <w:keepNext/>
            </w:pPr>
            <w:r w:rsidRPr="00577100">
              <w:t>Medtronic Australasia Pty Ltd</w:t>
            </w:r>
          </w:p>
        </w:tc>
        <w:tc>
          <w:tcPr>
            <w:tcW w:w="1984" w:type="dxa"/>
            <w:shd w:val="clear" w:color="auto" w:fill="F6F9F1"/>
          </w:tcPr>
          <w:p w14:paraId="6C580521" w14:textId="77777777" w:rsidR="00E23A84" w:rsidRPr="00577100" w:rsidRDefault="00E23A84" w:rsidP="00C36AEE">
            <w:pPr>
              <w:pStyle w:val="TableText0"/>
              <w:keepNext/>
            </w:pPr>
            <w:r w:rsidRPr="00577100">
              <w:t>Staplers</w:t>
            </w:r>
          </w:p>
        </w:tc>
        <w:tc>
          <w:tcPr>
            <w:tcW w:w="1505" w:type="dxa"/>
            <w:shd w:val="clear" w:color="auto" w:fill="F6F9F1"/>
          </w:tcPr>
          <w:p w14:paraId="07C9C6CA" w14:textId="77777777" w:rsidR="00E23A84" w:rsidRPr="00577100" w:rsidRDefault="00E23A84" w:rsidP="00C36AEE">
            <w:pPr>
              <w:pStyle w:val="TableText0"/>
              <w:keepNext/>
            </w:pPr>
            <w:r w:rsidRPr="00577100">
              <w:t>$357</w:t>
            </w:r>
          </w:p>
        </w:tc>
      </w:tr>
      <w:tr w:rsidR="00E23A84" w:rsidRPr="00577100" w14:paraId="403E876E" w14:textId="77777777" w:rsidTr="00AE7A87">
        <w:trPr>
          <w:trHeight w:val="750"/>
        </w:trPr>
        <w:tc>
          <w:tcPr>
            <w:tcW w:w="1881" w:type="dxa"/>
            <w:tcBorders>
              <w:top w:val="nil"/>
              <w:bottom w:val="nil"/>
            </w:tcBorders>
          </w:tcPr>
          <w:p w14:paraId="2C1FB5F8" w14:textId="77777777" w:rsidR="00E23A84" w:rsidRPr="00577100" w:rsidRDefault="00E23A84" w:rsidP="00C36AEE">
            <w:pPr>
              <w:pStyle w:val="TableText0"/>
              <w:keepNext/>
            </w:pPr>
          </w:p>
        </w:tc>
        <w:tc>
          <w:tcPr>
            <w:tcW w:w="2225" w:type="dxa"/>
            <w:shd w:val="clear" w:color="auto" w:fill="F6F9F1"/>
          </w:tcPr>
          <w:p w14:paraId="5794C72E" w14:textId="77777777" w:rsidR="00E23A84" w:rsidRPr="00577100" w:rsidRDefault="00E23A84" w:rsidP="00C36AEE">
            <w:pPr>
              <w:pStyle w:val="TableText0"/>
              <w:keepNext/>
            </w:pPr>
            <w:r w:rsidRPr="00577100">
              <w:t xml:space="preserve">MI227 </w:t>
            </w:r>
            <w:proofErr w:type="spellStart"/>
            <w:r w:rsidRPr="00577100">
              <w:t>Signia</w:t>
            </w:r>
            <w:proofErr w:type="spellEnd"/>
            <w:r w:rsidRPr="00577100">
              <w:rPr>
                <w:rFonts w:cs="Calibri"/>
              </w:rPr>
              <w:t>™</w:t>
            </w:r>
            <w:r w:rsidRPr="00577100">
              <w:t xml:space="preserve"> Powered Intelligent Stapling System</w:t>
            </w:r>
          </w:p>
        </w:tc>
        <w:tc>
          <w:tcPr>
            <w:tcW w:w="1985" w:type="dxa"/>
            <w:shd w:val="clear" w:color="auto" w:fill="F6F9F1"/>
          </w:tcPr>
          <w:p w14:paraId="01AA129F" w14:textId="77777777" w:rsidR="00E23A84" w:rsidRPr="00577100" w:rsidRDefault="00E23A84" w:rsidP="00C36AEE">
            <w:pPr>
              <w:pStyle w:val="TableText0"/>
              <w:keepNext/>
            </w:pPr>
            <w:r w:rsidRPr="00577100">
              <w:t>Medtronic Australasia Pty Ltd</w:t>
            </w:r>
          </w:p>
        </w:tc>
        <w:tc>
          <w:tcPr>
            <w:tcW w:w="1984" w:type="dxa"/>
            <w:shd w:val="clear" w:color="auto" w:fill="F6F9F1"/>
          </w:tcPr>
          <w:p w14:paraId="7499083E" w14:textId="77777777" w:rsidR="00E23A84" w:rsidRPr="00577100" w:rsidRDefault="00E23A84" w:rsidP="00C36AEE">
            <w:pPr>
              <w:pStyle w:val="TableText0"/>
              <w:keepNext/>
            </w:pPr>
            <w:r w:rsidRPr="00577100">
              <w:t>Staplers</w:t>
            </w:r>
          </w:p>
        </w:tc>
        <w:tc>
          <w:tcPr>
            <w:tcW w:w="1505" w:type="dxa"/>
            <w:shd w:val="clear" w:color="auto" w:fill="F6F9F1"/>
          </w:tcPr>
          <w:p w14:paraId="2DDE325B" w14:textId="77777777" w:rsidR="00E23A84" w:rsidRPr="00577100" w:rsidRDefault="00E23A84" w:rsidP="00C36AEE">
            <w:pPr>
              <w:pStyle w:val="TableText0"/>
              <w:keepNext/>
            </w:pPr>
            <w:r w:rsidRPr="00577100">
              <w:t>$447</w:t>
            </w:r>
          </w:p>
        </w:tc>
      </w:tr>
      <w:tr w:rsidR="00E23A84" w:rsidRPr="00577100" w14:paraId="6901D3B4" w14:textId="77777777" w:rsidTr="00AE7A87">
        <w:trPr>
          <w:trHeight w:val="557"/>
        </w:trPr>
        <w:tc>
          <w:tcPr>
            <w:tcW w:w="1881" w:type="dxa"/>
            <w:tcBorders>
              <w:top w:val="nil"/>
              <w:bottom w:val="nil"/>
            </w:tcBorders>
          </w:tcPr>
          <w:p w14:paraId="39DE4D8B" w14:textId="77777777" w:rsidR="00E23A84" w:rsidRPr="00577100" w:rsidRDefault="00E23A84" w:rsidP="00C36AEE">
            <w:pPr>
              <w:pStyle w:val="TableText0"/>
              <w:keepNext/>
            </w:pPr>
          </w:p>
        </w:tc>
        <w:tc>
          <w:tcPr>
            <w:tcW w:w="2225" w:type="dxa"/>
            <w:shd w:val="clear" w:color="auto" w:fill="F0F8FA"/>
          </w:tcPr>
          <w:p w14:paraId="2051AB62" w14:textId="77777777" w:rsidR="00E23A84" w:rsidRPr="00577100" w:rsidRDefault="00E23A84" w:rsidP="00C36AEE">
            <w:pPr>
              <w:pStyle w:val="TableText0"/>
              <w:keepNext/>
            </w:pPr>
            <w:r w:rsidRPr="00577100">
              <w:t>MN219 Echelon staple reload</w:t>
            </w:r>
          </w:p>
        </w:tc>
        <w:tc>
          <w:tcPr>
            <w:tcW w:w="1985" w:type="dxa"/>
            <w:shd w:val="clear" w:color="auto" w:fill="F0F8FA"/>
          </w:tcPr>
          <w:p w14:paraId="782898ED" w14:textId="77777777" w:rsidR="00E23A84" w:rsidRPr="00577100" w:rsidRDefault="00E23A84" w:rsidP="00C36AEE">
            <w:pPr>
              <w:pStyle w:val="TableText0"/>
              <w:keepNext/>
            </w:pPr>
            <w:r w:rsidRPr="00577100">
              <w:t>Johnson &amp; Johnson Medical Pty Ltd</w:t>
            </w:r>
          </w:p>
        </w:tc>
        <w:tc>
          <w:tcPr>
            <w:tcW w:w="1984" w:type="dxa"/>
            <w:shd w:val="clear" w:color="auto" w:fill="F0F8FA"/>
          </w:tcPr>
          <w:p w14:paraId="487FC37E" w14:textId="77777777" w:rsidR="00E23A84" w:rsidRPr="00577100" w:rsidRDefault="00E23A84" w:rsidP="00C36AEE">
            <w:pPr>
              <w:pStyle w:val="TableText0"/>
              <w:keepNext/>
            </w:pPr>
            <w:r w:rsidRPr="00577100">
              <w:t>Staples, non-bone (reload)</w:t>
            </w:r>
          </w:p>
        </w:tc>
        <w:tc>
          <w:tcPr>
            <w:tcW w:w="1505" w:type="dxa"/>
            <w:shd w:val="clear" w:color="auto" w:fill="F0F8FA"/>
          </w:tcPr>
          <w:p w14:paraId="687B9B4D" w14:textId="77777777" w:rsidR="00E23A84" w:rsidRPr="00577100" w:rsidRDefault="00E23A84" w:rsidP="00C36AEE">
            <w:pPr>
              <w:pStyle w:val="TableText0"/>
              <w:keepNext/>
            </w:pPr>
            <w:r w:rsidRPr="00577100">
              <w:t>$323</w:t>
            </w:r>
          </w:p>
        </w:tc>
      </w:tr>
      <w:tr w:rsidR="00E23A84" w:rsidRPr="00577100" w14:paraId="04EC10C1" w14:textId="77777777" w:rsidTr="00AE7A87">
        <w:trPr>
          <w:trHeight w:val="864"/>
        </w:trPr>
        <w:tc>
          <w:tcPr>
            <w:tcW w:w="1881" w:type="dxa"/>
            <w:tcBorders>
              <w:top w:val="nil"/>
              <w:bottom w:val="nil"/>
            </w:tcBorders>
          </w:tcPr>
          <w:p w14:paraId="06238E77" w14:textId="77777777" w:rsidR="00E23A84" w:rsidRPr="00577100" w:rsidRDefault="00E23A84" w:rsidP="00C36AEE">
            <w:pPr>
              <w:pStyle w:val="TableText0"/>
              <w:keepNext/>
            </w:pPr>
          </w:p>
        </w:tc>
        <w:tc>
          <w:tcPr>
            <w:tcW w:w="2225" w:type="dxa"/>
            <w:shd w:val="clear" w:color="auto" w:fill="F0F8FA"/>
          </w:tcPr>
          <w:p w14:paraId="1D1D1831" w14:textId="77777777" w:rsidR="00E23A84" w:rsidRPr="00577100" w:rsidRDefault="00E23A84" w:rsidP="00C36AEE">
            <w:pPr>
              <w:pStyle w:val="TableText0"/>
              <w:keepNext/>
            </w:pPr>
            <w:r w:rsidRPr="00577100">
              <w:t>AS186 Endo GIA</w:t>
            </w:r>
            <w:r w:rsidRPr="00577100">
              <w:rPr>
                <w:rFonts w:cs="Calibri"/>
              </w:rPr>
              <w:t>™</w:t>
            </w:r>
            <w:r w:rsidRPr="00577100">
              <w:t xml:space="preserve"> Reload with </w:t>
            </w:r>
            <w:proofErr w:type="spellStart"/>
            <w:r w:rsidRPr="00577100">
              <w:t>Tristaple</w:t>
            </w:r>
            <w:proofErr w:type="spellEnd"/>
            <w:r w:rsidRPr="00577100">
              <w:rPr>
                <w:rFonts w:cs="Calibri"/>
              </w:rPr>
              <w:t>™</w:t>
            </w:r>
            <w:r w:rsidRPr="00577100">
              <w:t xml:space="preserve"> Technology</w:t>
            </w:r>
          </w:p>
        </w:tc>
        <w:tc>
          <w:tcPr>
            <w:tcW w:w="1985" w:type="dxa"/>
            <w:shd w:val="clear" w:color="auto" w:fill="F0F8FA"/>
          </w:tcPr>
          <w:p w14:paraId="0035C2AE" w14:textId="77777777" w:rsidR="00E23A84" w:rsidRPr="00577100" w:rsidRDefault="00E23A84" w:rsidP="00C36AEE">
            <w:pPr>
              <w:pStyle w:val="TableText0"/>
              <w:keepNext/>
            </w:pPr>
            <w:r w:rsidRPr="00577100">
              <w:t>Medtronic Australasia Pty Ltd</w:t>
            </w:r>
          </w:p>
        </w:tc>
        <w:tc>
          <w:tcPr>
            <w:tcW w:w="1984" w:type="dxa"/>
            <w:shd w:val="clear" w:color="auto" w:fill="F0F8FA"/>
          </w:tcPr>
          <w:p w14:paraId="297A4D80" w14:textId="77777777" w:rsidR="00E23A84" w:rsidRPr="00577100" w:rsidRDefault="00E23A84" w:rsidP="00C36AEE">
            <w:pPr>
              <w:pStyle w:val="TableText0"/>
              <w:keepNext/>
            </w:pPr>
            <w:r w:rsidRPr="00577100">
              <w:t>Staples, non-bone (reload)</w:t>
            </w:r>
          </w:p>
        </w:tc>
        <w:tc>
          <w:tcPr>
            <w:tcW w:w="1505" w:type="dxa"/>
            <w:shd w:val="clear" w:color="auto" w:fill="F0F8FA"/>
          </w:tcPr>
          <w:p w14:paraId="53FBFB7F" w14:textId="77777777" w:rsidR="00E23A84" w:rsidRPr="00577100" w:rsidRDefault="00E23A84" w:rsidP="00C36AEE">
            <w:pPr>
              <w:pStyle w:val="TableText0"/>
              <w:keepNext/>
            </w:pPr>
            <w:r w:rsidRPr="00577100">
              <w:t>$323</w:t>
            </w:r>
          </w:p>
        </w:tc>
      </w:tr>
      <w:tr w:rsidR="00E23A84" w:rsidRPr="00577100" w14:paraId="13E8309B" w14:textId="77777777" w:rsidTr="00AE7A87">
        <w:trPr>
          <w:trHeight w:val="1238"/>
        </w:trPr>
        <w:tc>
          <w:tcPr>
            <w:tcW w:w="1881" w:type="dxa"/>
            <w:tcBorders>
              <w:top w:val="nil"/>
              <w:bottom w:val="nil"/>
            </w:tcBorders>
          </w:tcPr>
          <w:p w14:paraId="6F4B78E1" w14:textId="77777777" w:rsidR="00E23A84" w:rsidRPr="00577100" w:rsidRDefault="00E23A84" w:rsidP="00C36AEE">
            <w:pPr>
              <w:pStyle w:val="TableText0"/>
              <w:keepNext/>
            </w:pPr>
          </w:p>
        </w:tc>
        <w:tc>
          <w:tcPr>
            <w:tcW w:w="2225" w:type="dxa"/>
            <w:shd w:val="clear" w:color="auto" w:fill="F0F8FA"/>
          </w:tcPr>
          <w:p w14:paraId="3D69357E" w14:textId="77777777" w:rsidR="00E23A84" w:rsidRPr="00577100" w:rsidRDefault="00E23A84" w:rsidP="00C36AEE">
            <w:pPr>
              <w:pStyle w:val="TableText0"/>
              <w:keepNext/>
            </w:pPr>
            <w:r w:rsidRPr="00577100">
              <w:t>AS209 Endo GIA Reinforced Reload with Tri-Staple Technology</w:t>
            </w:r>
          </w:p>
        </w:tc>
        <w:tc>
          <w:tcPr>
            <w:tcW w:w="1985" w:type="dxa"/>
            <w:shd w:val="clear" w:color="auto" w:fill="F0F8FA"/>
          </w:tcPr>
          <w:p w14:paraId="0835F007" w14:textId="77777777" w:rsidR="00E23A84" w:rsidRPr="00577100" w:rsidRDefault="00E23A84" w:rsidP="00C36AEE">
            <w:pPr>
              <w:pStyle w:val="TableText0"/>
              <w:keepNext/>
            </w:pPr>
            <w:r w:rsidRPr="00577100">
              <w:t>Medtronic Australasia Pty Ltd</w:t>
            </w:r>
          </w:p>
        </w:tc>
        <w:tc>
          <w:tcPr>
            <w:tcW w:w="1984" w:type="dxa"/>
            <w:shd w:val="clear" w:color="auto" w:fill="F0F8FA"/>
          </w:tcPr>
          <w:p w14:paraId="1845FA70" w14:textId="77777777" w:rsidR="00E23A84" w:rsidRPr="00577100" w:rsidRDefault="00E23A84" w:rsidP="00C36AEE">
            <w:pPr>
              <w:pStyle w:val="TableText0"/>
              <w:keepNext/>
            </w:pPr>
            <w:r w:rsidRPr="00577100">
              <w:t>Staples, reinforcer</w:t>
            </w:r>
          </w:p>
        </w:tc>
        <w:tc>
          <w:tcPr>
            <w:tcW w:w="1505" w:type="dxa"/>
            <w:shd w:val="clear" w:color="auto" w:fill="F0F8FA"/>
          </w:tcPr>
          <w:p w14:paraId="4FA54F83" w14:textId="77777777" w:rsidR="00E23A84" w:rsidRPr="00577100" w:rsidRDefault="00E23A84" w:rsidP="00C36AEE">
            <w:pPr>
              <w:pStyle w:val="TableText0"/>
              <w:keepNext/>
            </w:pPr>
            <w:r w:rsidRPr="00577100">
              <w:t>$521</w:t>
            </w:r>
          </w:p>
        </w:tc>
      </w:tr>
      <w:tr w:rsidR="00E23A84" w:rsidRPr="00577100" w14:paraId="7BB8B577" w14:textId="77777777" w:rsidTr="003E1743">
        <w:trPr>
          <w:trHeight w:val="637"/>
        </w:trPr>
        <w:tc>
          <w:tcPr>
            <w:tcW w:w="1881" w:type="dxa"/>
            <w:tcBorders>
              <w:top w:val="nil"/>
              <w:bottom w:val="single" w:sz="4" w:space="0" w:color="auto"/>
            </w:tcBorders>
          </w:tcPr>
          <w:p w14:paraId="4D9D5FE2" w14:textId="77777777" w:rsidR="00E23A84" w:rsidRPr="00577100" w:rsidRDefault="00E23A84" w:rsidP="00C36AEE">
            <w:pPr>
              <w:pStyle w:val="TableText0"/>
              <w:keepNext/>
            </w:pPr>
          </w:p>
        </w:tc>
        <w:tc>
          <w:tcPr>
            <w:tcW w:w="2225" w:type="dxa"/>
            <w:tcBorders>
              <w:bottom w:val="single" w:sz="4" w:space="0" w:color="auto"/>
            </w:tcBorders>
            <w:shd w:val="clear" w:color="auto" w:fill="F0F8FA"/>
          </w:tcPr>
          <w:p w14:paraId="29743612" w14:textId="77777777" w:rsidR="00E23A84" w:rsidRPr="00577100" w:rsidRDefault="00E23A84" w:rsidP="00C36AEE">
            <w:pPr>
              <w:pStyle w:val="TableText0"/>
              <w:keepNext/>
            </w:pPr>
            <w:r w:rsidRPr="00577100">
              <w:t>MI287 Tri-Staple 2.0 Reinforced reloads</w:t>
            </w:r>
          </w:p>
        </w:tc>
        <w:tc>
          <w:tcPr>
            <w:tcW w:w="1985" w:type="dxa"/>
            <w:tcBorders>
              <w:bottom w:val="single" w:sz="4" w:space="0" w:color="auto"/>
            </w:tcBorders>
            <w:shd w:val="clear" w:color="auto" w:fill="F0F8FA"/>
          </w:tcPr>
          <w:p w14:paraId="6A4B29A0" w14:textId="77777777" w:rsidR="00E23A84" w:rsidRPr="00577100" w:rsidRDefault="00E23A84" w:rsidP="00C36AEE">
            <w:pPr>
              <w:pStyle w:val="TableText0"/>
              <w:keepNext/>
            </w:pPr>
            <w:r w:rsidRPr="00577100">
              <w:t>Medtronic Australasia Pty Ltd</w:t>
            </w:r>
          </w:p>
        </w:tc>
        <w:tc>
          <w:tcPr>
            <w:tcW w:w="1984" w:type="dxa"/>
            <w:tcBorders>
              <w:bottom w:val="single" w:sz="4" w:space="0" w:color="auto"/>
            </w:tcBorders>
            <w:shd w:val="clear" w:color="auto" w:fill="F0F8FA"/>
          </w:tcPr>
          <w:p w14:paraId="6088DE34" w14:textId="77777777" w:rsidR="00E23A84" w:rsidRPr="00577100" w:rsidRDefault="00E23A84" w:rsidP="00C36AEE">
            <w:pPr>
              <w:pStyle w:val="TableText0"/>
              <w:keepNext/>
            </w:pPr>
            <w:r w:rsidRPr="00577100">
              <w:t>Staples, reinforcer</w:t>
            </w:r>
          </w:p>
        </w:tc>
        <w:tc>
          <w:tcPr>
            <w:tcW w:w="1505" w:type="dxa"/>
            <w:tcBorders>
              <w:bottom w:val="single" w:sz="4" w:space="0" w:color="auto"/>
            </w:tcBorders>
            <w:shd w:val="clear" w:color="auto" w:fill="F0F8FA"/>
          </w:tcPr>
          <w:p w14:paraId="7DC14D20" w14:textId="77777777" w:rsidR="00E23A84" w:rsidRPr="00577100" w:rsidRDefault="00E23A84" w:rsidP="00C36AEE">
            <w:pPr>
              <w:pStyle w:val="TableText0"/>
              <w:keepNext/>
            </w:pPr>
            <w:r w:rsidRPr="00577100">
              <w:t>$521</w:t>
            </w:r>
          </w:p>
        </w:tc>
      </w:tr>
      <w:tr w:rsidR="00E23A84" w:rsidRPr="00577100" w14:paraId="1E100E6A" w14:textId="77777777" w:rsidTr="003E1743">
        <w:trPr>
          <w:trHeight w:val="637"/>
        </w:trPr>
        <w:tc>
          <w:tcPr>
            <w:tcW w:w="1881" w:type="dxa"/>
            <w:tcBorders>
              <w:top w:val="single" w:sz="4" w:space="0" w:color="auto"/>
              <w:bottom w:val="nil"/>
            </w:tcBorders>
            <w:shd w:val="clear" w:color="auto" w:fill="FFFFFF" w:themeFill="background1"/>
          </w:tcPr>
          <w:p w14:paraId="78168559" w14:textId="77777777" w:rsidR="00E23A84" w:rsidRPr="00577100" w:rsidRDefault="00E23A84" w:rsidP="00C36AEE">
            <w:pPr>
              <w:pStyle w:val="TableText0"/>
              <w:keepNext/>
            </w:pPr>
            <w:r w:rsidRPr="00577100">
              <w:t>Percutaneous</w:t>
            </w:r>
          </w:p>
        </w:tc>
        <w:tc>
          <w:tcPr>
            <w:tcW w:w="2225" w:type="dxa"/>
            <w:tcBorders>
              <w:top w:val="single" w:sz="4" w:space="0" w:color="auto"/>
              <w:bottom w:val="single" w:sz="4" w:space="0" w:color="auto"/>
            </w:tcBorders>
            <w:shd w:val="clear" w:color="auto" w:fill="FFFFFF" w:themeFill="background1"/>
          </w:tcPr>
          <w:p w14:paraId="13068F8F" w14:textId="77777777" w:rsidR="00E23A84" w:rsidRPr="00577100" w:rsidRDefault="00E23A84" w:rsidP="00C36AEE">
            <w:pPr>
              <w:pStyle w:val="TableText0"/>
              <w:keepNext/>
            </w:pPr>
            <w:r w:rsidRPr="00577100">
              <w:t>BS332 WATCHMAN</w:t>
            </w:r>
          </w:p>
        </w:tc>
        <w:tc>
          <w:tcPr>
            <w:tcW w:w="1985" w:type="dxa"/>
            <w:tcBorders>
              <w:top w:val="single" w:sz="4" w:space="0" w:color="auto"/>
              <w:bottom w:val="single" w:sz="4" w:space="0" w:color="auto"/>
            </w:tcBorders>
            <w:shd w:val="clear" w:color="auto" w:fill="FFFFFF" w:themeFill="background1"/>
          </w:tcPr>
          <w:p w14:paraId="7DBE2DE6" w14:textId="77777777" w:rsidR="00E23A84" w:rsidRPr="00577100" w:rsidRDefault="00E23A84" w:rsidP="00C36AEE">
            <w:pPr>
              <w:pStyle w:val="TableText0"/>
              <w:keepNext/>
            </w:pPr>
            <w:r w:rsidRPr="00577100">
              <w:t>Boston Scientific Australia Pty Ltd</w:t>
            </w:r>
          </w:p>
        </w:tc>
        <w:tc>
          <w:tcPr>
            <w:tcW w:w="1984" w:type="dxa"/>
            <w:tcBorders>
              <w:top w:val="single" w:sz="4" w:space="0" w:color="auto"/>
              <w:bottom w:val="single" w:sz="4" w:space="0" w:color="auto"/>
            </w:tcBorders>
            <w:shd w:val="clear" w:color="auto" w:fill="FFFFFF" w:themeFill="background1"/>
          </w:tcPr>
          <w:p w14:paraId="03F3BF4D" w14:textId="77777777" w:rsidR="00E23A84" w:rsidRPr="00577100" w:rsidRDefault="00E23A84" w:rsidP="00C36AEE">
            <w:pPr>
              <w:pStyle w:val="TableText0"/>
              <w:keepNext/>
            </w:pPr>
            <w:r w:rsidRPr="00577100">
              <w:t>Left atrial appendage closure</w:t>
            </w:r>
          </w:p>
        </w:tc>
        <w:tc>
          <w:tcPr>
            <w:tcW w:w="1505" w:type="dxa"/>
            <w:tcBorders>
              <w:top w:val="single" w:sz="4" w:space="0" w:color="auto"/>
              <w:bottom w:val="single" w:sz="4" w:space="0" w:color="auto"/>
            </w:tcBorders>
            <w:shd w:val="clear" w:color="auto" w:fill="FFFFFF" w:themeFill="background1"/>
          </w:tcPr>
          <w:p w14:paraId="38FEB26F" w14:textId="77777777" w:rsidR="00E23A84" w:rsidRPr="00577100" w:rsidRDefault="00E23A84" w:rsidP="00C36AEE">
            <w:pPr>
              <w:pStyle w:val="TableText0"/>
              <w:keepNext/>
            </w:pPr>
            <w:r w:rsidRPr="00577100">
              <w:t>$11,400</w:t>
            </w:r>
          </w:p>
        </w:tc>
      </w:tr>
      <w:tr w:rsidR="00E23A84" w:rsidRPr="00577100" w14:paraId="1D88F163" w14:textId="77777777" w:rsidTr="00D64C05">
        <w:trPr>
          <w:trHeight w:val="637"/>
        </w:trPr>
        <w:tc>
          <w:tcPr>
            <w:tcW w:w="1881" w:type="dxa"/>
            <w:tcBorders>
              <w:top w:val="nil"/>
              <w:bottom w:val="nil"/>
            </w:tcBorders>
            <w:shd w:val="clear" w:color="auto" w:fill="FFFFFF" w:themeFill="background1"/>
          </w:tcPr>
          <w:p w14:paraId="6905B3EC" w14:textId="77777777" w:rsidR="00E23A84" w:rsidRPr="00577100" w:rsidRDefault="00E23A84" w:rsidP="00C36AEE">
            <w:pPr>
              <w:pStyle w:val="TableText0"/>
              <w:keepNext/>
            </w:pPr>
          </w:p>
        </w:tc>
        <w:tc>
          <w:tcPr>
            <w:tcW w:w="2225" w:type="dxa"/>
            <w:tcBorders>
              <w:top w:val="single" w:sz="4" w:space="0" w:color="auto"/>
              <w:bottom w:val="single" w:sz="4" w:space="0" w:color="auto"/>
            </w:tcBorders>
            <w:shd w:val="clear" w:color="auto" w:fill="FFFFFF" w:themeFill="background1"/>
          </w:tcPr>
          <w:p w14:paraId="1AD46683" w14:textId="77777777" w:rsidR="00E23A84" w:rsidRPr="00577100" w:rsidRDefault="00E23A84" w:rsidP="00C36AEE">
            <w:pPr>
              <w:pStyle w:val="TableText0"/>
              <w:keepNext/>
            </w:pPr>
            <w:r w:rsidRPr="00577100">
              <w:t xml:space="preserve">SJ395 </w:t>
            </w:r>
            <w:proofErr w:type="spellStart"/>
            <w:r w:rsidRPr="00577100">
              <w:t>Amplatzer</w:t>
            </w:r>
            <w:proofErr w:type="spellEnd"/>
            <w:r w:rsidRPr="00577100">
              <w:t xml:space="preserve"> Left Atrial Appendage Closure Device</w:t>
            </w:r>
          </w:p>
        </w:tc>
        <w:tc>
          <w:tcPr>
            <w:tcW w:w="1985" w:type="dxa"/>
            <w:tcBorders>
              <w:top w:val="single" w:sz="4" w:space="0" w:color="auto"/>
              <w:bottom w:val="single" w:sz="4" w:space="0" w:color="auto"/>
            </w:tcBorders>
            <w:shd w:val="clear" w:color="auto" w:fill="FFFFFF" w:themeFill="background1"/>
          </w:tcPr>
          <w:p w14:paraId="616D7A24" w14:textId="77777777" w:rsidR="00E23A84" w:rsidRPr="00577100" w:rsidRDefault="00E23A84" w:rsidP="00C36AEE">
            <w:pPr>
              <w:pStyle w:val="TableText0"/>
              <w:keepNext/>
            </w:pPr>
            <w:r w:rsidRPr="00577100">
              <w:t>Abbott Medical Australia Pty Ltd</w:t>
            </w:r>
          </w:p>
        </w:tc>
        <w:tc>
          <w:tcPr>
            <w:tcW w:w="1984" w:type="dxa"/>
            <w:tcBorders>
              <w:top w:val="single" w:sz="4" w:space="0" w:color="auto"/>
              <w:bottom w:val="single" w:sz="4" w:space="0" w:color="auto"/>
            </w:tcBorders>
            <w:shd w:val="clear" w:color="auto" w:fill="FFFFFF" w:themeFill="background1"/>
          </w:tcPr>
          <w:p w14:paraId="3FF3AD04" w14:textId="77777777" w:rsidR="00E23A84" w:rsidRPr="00577100" w:rsidRDefault="00E23A84" w:rsidP="00C36AEE">
            <w:pPr>
              <w:pStyle w:val="TableText0"/>
              <w:keepNext/>
            </w:pPr>
            <w:r w:rsidRPr="00577100">
              <w:t>Left atrial appendage closure</w:t>
            </w:r>
          </w:p>
        </w:tc>
        <w:tc>
          <w:tcPr>
            <w:tcW w:w="1505" w:type="dxa"/>
            <w:tcBorders>
              <w:top w:val="single" w:sz="4" w:space="0" w:color="auto"/>
              <w:bottom w:val="single" w:sz="4" w:space="0" w:color="auto"/>
            </w:tcBorders>
            <w:shd w:val="clear" w:color="auto" w:fill="FFFFFF" w:themeFill="background1"/>
          </w:tcPr>
          <w:p w14:paraId="0241488D" w14:textId="77777777" w:rsidR="00E23A84" w:rsidRPr="00577100" w:rsidRDefault="00E23A84" w:rsidP="00C36AEE">
            <w:pPr>
              <w:pStyle w:val="TableText0"/>
              <w:keepNext/>
            </w:pPr>
            <w:r w:rsidRPr="00577100">
              <w:t>$11,400</w:t>
            </w:r>
          </w:p>
        </w:tc>
      </w:tr>
      <w:tr w:rsidR="00CF3760" w:rsidRPr="00577100" w14:paraId="4273703C" w14:textId="77777777" w:rsidTr="00AE7A87">
        <w:trPr>
          <w:trHeight w:val="637"/>
        </w:trPr>
        <w:tc>
          <w:tcPr>
            <w:tcW w:w="1881" w:type="dxa"/>
            <w:tcBorders>
              <w:top w:val="nil"/>
            </w:tcBorders>
            <w:shd w:val="clear" w:color="auto" w:fill="FFFFFF" w:themeFill="background1"/>
          </w:tcPr>
          <w:p w14:paraId="76F4E25D" w14:textId="77777777" w:rsidR="00CF3760" w:rsidRPr="00577100" w:rsidRDefault="00CF3760" w:rsidP="00C36AEE">
            <w:pPr>
              <w:pStyle w:val="TableText0"/>
              <w:keepNext/>
            </w:pPr>
          </w:p>
        </w:tc>
        <w:tc>
          <w:tcPr>
            <w:tcW w:w="2225" w:type="dxa"/>
            <w:tcBorders>
              <w:top w:val="single" w:sz="4" w:space="0" w:color="auto"/>
            </w:tcBorders>
            <w:shd w:val="clear" w:color="auto" w:fill="FFFFFF" w:themeFill="background1"/>
          </w:tcPr>
          <w:p w14:paraId="2B9D10CF" w14:textId="0EFF2704" w:rsidR="00CF3760" w:rsidRPr="00577100" w:rsidRDefault="00CF3760" w:rsidP="00C36AEE">
            <w:pPr>
              <w:pStyle w:val="TableText0"/>
              <w:keepNext/>
            </w:pPr>
            <w:r>
              <w:t>BS384 WATCHMAN FLX</w:t>
            </w:r>
          </w:p>
        </w:tc>
        <w:tc>
          <w:tcPr>
            <w:tcW w:w="1985" w:type="dxa"/>
            <w:tcBorders>
              <w:top w:val="single" w:sz="4" w:space="0" w:color="auto"/>
            </w:tcBorders>
            <w:shd w:val="clear" w:color="auto" w:fill="FFFFFF" w:themeFill="background1"/>
          </w:tcPr>
          <w:p w14:paraId="439A94F7" w14:textId="71BCC455" w:rsidR="00CF3760" w:rsidRPr="00577100" w:rsidRDefault="00CF3760" w:rsidP="00C36AEE">
            <w:pPr>
              <w:pStyle w:val="TableText0"/>
              <w:keepNext/>
            </w:pPr>
            <w:r>
              <w:t>Boston Scientific Australia Pty Ltd</w:t>
            </w:r>
          </w:p>
        </w:tc>
        <w:tc>
          <w:tcPr>
            <w:tcW w:w="1984" w:type="dxa"/>
            <w:tcBorders>
              <w:top w:val="single" w:sz="4" w:space="0" w:color="auto"/>
            </w:tcBorders>
            <w:shd w:val="clear" w:color="auto" w:fill="FFFFFF" w:themeFill="background1"/>
          </w:tcPr>
          <w:p w14:paraId="1C519150" w14:textId="09278C69" w:rsidR="00CF3760" w:rsidRPr="00577100" w:rsidRDefault="00CF3760" w:rsidP="00C36AEE">
            <w:pPr>
              <w:pStyle w:val="TableText0"/>
              <w:keepNext/>
            </w:pPr>
            <w:r>
              <w:t>Left atrial appendage closure</w:t>
            </w:r>
          </w:p>
        </w:tc>
        <w:tc>
          <w:tcPr>
            <w:tcW w:w="1505" w:type="dxa"/>
            <w:tcBorders>
              <w:top w:val="single" w:sz="4" w:space="0" w:color="auto"/>
            </w:tcBorders>
            <w:shd w:val="clear" w:color="auto" w:fill="FFFFFF" w:themeFill="background1"/>
          </w:tcPr>
          <w:p w14:paraId="00406BC7" w14:textId="4BC2D358" w:rsidR="00CF3760" w:rsidRPr="00577100" w:rsidRDefault="00CF3760" w:rsidP="00C36AEE">
            <w:pPr>
              <w:pStyle w:val="TableText0"/>
              <w:keepNext/>
            </w:pPr>
            <w:r>
              <w:t>$11,400</w:t>
            </w:r>
          </w:p>
        </w:tc>
      </w:tr>
    </w:tbl>
    <w:p w14:paraId="29A1243B" w14:textId="260BA3DA" w:rsidR="00E23A84" w:rsidRDefault="00E23A84" w:rsidP="00C46458">
      <w:pPr>
        <w:pStyle w:val="Tablenotes"/>
        <w:spacing w:after="240"/>
      </w:pPr>
      <w:r>
        <w:t>Source: Prostheses List (</w:t>
      </w:r>
      <w:r w:rsidR="0053482C">
        <w:t>July</w:t>
      </w:r>
      <w:r>
        <w:t xml:space="preserve"> 2021).</w:t>
      </w:r>
    </w:p>
    <w:p w14:paraId="60F1E1FA" w14:textId="77777777" w:rsidR="00C46458" w:rsidRPr="00C46458" w:rsidRDefault="00C46458" w:rsidP="00C46458">
      <w:pPr>
        <w:pStyle w:val="Heading4"/>
      </w:pPr>
      <w:r w:rsidRPr="00C46458">
        <w:t>Stapling</w:t>
      </w:r>
    </w:p>
    <w:p w14:paraId="3A77178D" w14:textId="01C7E30D" w:rsidR="00C46458" w:rsidRPr="00C46458" w:rsidRDefault="00C46458" w:rsidP="00C46458">
      <w:r w:rsidRPr="00C46458">
        <w:t>Closure of the LAA can be performed using stapling devices that occlude the base of the structure. The main aim of stapled occlusion of the LAA is to disrupt the flow between the left atrium and LAA, reducing the likelihood of thrombus formation to decrease stroke risk.</w:t>
      </w:r>
    </w:p>
    <w:p w14:paraId="6D1B50E4" w14:textId="4BFB30D7" w:rsidR="00C46458" w:rsidRDefault="00C46458" w:rsidP="00C46458">
      <w:r w:rsidRPr="00C46458">
        <w:t>The estimated total PL benefit of using a stapling device and staples to close the LAA is $1,020. This estimate is based on calculating the benefit of the stapling system (MI227) and a single reload (MI287), plus a second reload in 10% of patients ($447 + $521 + $52 = $1,020).</w:t>
      </w:r>
    </w:p>
    <w:p w14:paraId="25F7BDEE" w14:textId="7C809D31" w:rsidR="00E23A84" w:rsidRDefault="00E23A84" w:rsidP="00C46458">
      <w:pPr>
        <w:pStyle w:val="Heading4"/>
      </w:pPr>
      <w:r>
        <w:t>Suture ligation</w:t>
      </w:r>
    </w:p>
    <w:p w14:paraId="6848958C" w14:textId="6CD14254" w:rsidR="00E23A84" w:rsidRDefault="00E23A84" w:rsidP="00AE7A87">
      <w:r w:rsidRPr="006D6E45">
        <w:t>Suture ligation of the LAA can be completed using various epicardial and endocardial techniques</w:t>
      </w:r>
      <w:r>
        <w:t xml:space="preserve">. </w:t>
      </w:r>
      <w:r w:rsidR="00C46458">
        <w:t>In the LAAOS III trial, amputation followed by suture closure was the preferred approach. Double-layer linear closure from within the atrium was permitted for patients undergoing mini</w:t>
      </w:r>
      <w:r w:rsidR="00745D98">
        <w:t>-</w:t>
      </w:r>
      <w:r w:rsidR="00C46458">
        <w:t>thorac</w:t>
      </w:r>
      <w:r w:rsidR="00185AA0">
        <w:t>o</w:t>
      </w:r>
      <w:r w:rsidR="00C46458">
        <w:t xml:space="preserve">tomy and required TOE confirmation. Purse-string closure was not permitted. </w:t>
      </w:r>
      <w:r>
        <w:t xml:space="preserve">Incomplete closure of the LAA may </w:t>
      </w:r>
      <w:r w:rsidR="00C46458">
        <w:t>not be effective</w:t>
      </w:r>
      <w:r>
        <w:t xml:space="preserve"> as a partially open LAA can result in </w:t>
      </w:r>
      <w:proofErr w:type="spellStart"/>
      <w:r>
        <w:t>recanali</w:t>
      </w:r>
      <w:r w:rsidR="00F567A5">
        <w:t>s</w:t>
      </w:r>
      <w:r>
        <w:t>ation</w:t>
      </w:r>
      <w:proofErr w:type="spellEnd"/>
      <w:r>
        <w:t xml:space="preserve"> (</w:t>
      </w:r>
      <w:proofErr w:type="spellStart"/>
      <w:r>
        <w:t>Noelck</w:t>
      </w:r>
      <w:proofErr w:type="spellEnd"/>
      <w:r>
        <w:t xml:space="preserve"> et al. 2016)</w:t>
      </w:r>
      <w:r w:rsidR="00357600">
        <w:t>. S</w:t>
      </w:r>
      <w:r w:rsidR="00357600" w:rsidRPr="00B21284">
        <w:t>utures are not included in the Prosthes</w:t>
      </w:r>
      <w:r w:rsidR="00357600">
        <w:t>e</w:t>
      </w:r>
      <w:r w:rsidR="00357600" w:rsidRPr="00B21284">
        <w:t>s List</w:t>
      </w:r>
      <w:r w:rsidR="00357600" w:rsidRPr="00357600">
        <w:t>.</w:t>
      </w:r>
    </w:p>
    <w:p w14:paraId="17E4580C" w14:textId="77777777" w:rsidR="008A483B" w:rsidRPr="008A483B" w:rsidRDefault="008A483B" w:rsidP="008A483B">
      <w:pPr>
        <w:rPr>
          <w:i/>
          <w:iCs/>
        </w:rPr>
      </w:pPr>
      <w:r w:rsidRPr="008A483B">
        <w:rPr>
          <w:i/>
          <w:iCs/>
        </w:rPr>
        <w:lastRenderedPageBreak/>
        <w:t xml:space="preserve">PASC confirmed that the comparators for the intervention are surgical amputation or stapling of the LAA. </w:t>
      </w:r>
    </w:p>
    <w:p w14:paraId="2E128C71" w14:textId="0A64DCC4" w:rsidR="008A483B" w:rsidRPr="008A483B" w:rsidRDefault="008A483B" w:rsidP="008A483B">
      <w:pPr>
        <w:rPr>
          <w:i/>
          <w:iCs/>
        </w:rPr>
      </w:pPr>
      <w:r w:rsidRPr="008A483B">
        <w:rPr>
          <w:i/>
          <w:iCs/>
        </w:rPr>
        <w:t>PASC noted the clinical expert advice on safety risks associated with suturing or stapling the LAA, including significant post-operative bleeding and LAA closure could be suboptimal as it may not be flush or could lead to recanalisation. PASC noted that in the LAAOS III trial, all allowed LAA closure techniques were considered to be equivalent for the purposes of the study (see Outcomes).</w:t>
      </w:r>
    </w:p>
    <w:p w14:paraId="412EF136" w14:textId="3974140A" w:rsidR="00F24359" w:rsidRPr="001017F5" w:rsidRDefault="008A483B">
      <w:pPr>
        <w:rPr>
          <w:i/>
          <w:iCs/>
        </w:rPr>
      </w:pPr>
      <w:r w:rsidRPr="008A483B">
        <w:rPr>
          <w:i/>
          <w:iCs/>
        </w:rPr>
        <w:t>PASC noted that percutaneous devices are not comparators</w:t>
      </w:r>
      <w:r w:rsidR="00F24359" w:rsidRPr="001017F5">
        <w:rPr>
          <w:i/>
          <w:iCs/>
        </w:rPr>
        <w:t>.</w:t>
      </w:r>
    </w:p>
    <w:p w14:paraId="58BA9CF2" w14:textId="77777777" w:rsidR="00E23A84" w:rsidRDefault="00E23A84" w:rsidP="00AE7A87">
      <w:pPr>
        <w:pStyle w:val="Heading3"/>
      </w:pPr>
      <w:r w:rsidRPr="008F1532">
        <w:t xml:space="preserve">Outcomes </w:t>
      </w:r>
    </w:p>
    <w:p w14:paraId="2145BC2C" w14:textId="5B89D770" w:rsidR="00357600" w:rsidRDefault="00E23A84" w:rsidP="000D6739">
      <w:pPr>
        <w:spacing w:before="200"/>
      </w:pPr>
      <w:r>
        <w:t xml:space="preserve">The epicardial clip is proposed to replace other surgical LAA exclusion methods, such as stapling and sutures, used during open </w:t>
      </w:r>
      <w:r w:rsidR="00921064">
        <w:t xml:space="preserve">cardiac </w:t>
      </w:r>
      <w:r>
        <w:t>surgery for patients with AF. The epicardial clip is claimed to have superior effectiveness due to a higher rate of LAA closure</w:t>
      </w:r>
      <w:r w:rsidR="00357600">
        <w:t xml:space="preserve">, however differences in the primary clinical outcomes (major stroke, systemic embolism, cardiovascular and all-cause mortality) are unlikely to be established. For these long-term primary outcomes, the clinical claim is that the epicardial clip is </w:t>
      </w:r>
      <w:r w:rsidR="004A1C92">
        <w:t>non-inferior</w:t>
      </w:r>
      <w:r w:rsidR="00357600">
        <w:t xml:space="preserve"> to the comparators.</w:t>
      </w:r>
    </w:p>
    <w:p w14:paraId="24F633A3" w14:textId="77777777" w:rsidR="00357600" w:rsidRPr="002E0332" w:rsidRDefault="00357600" w:rsidP="00357600">
      <w:r>
        <w:t>The epicardial clip is claimed to have superior safety attributed to reduced adverse events in the post-operative period. The applicant claimed that epicardial clip implantation will reduce the short-term risks of bleeding, reoperation and major post-operative complications. This safety claim would be the major justification for the reimbursement request.</w:t>
      </w:r>
    </w:p>
    <w:p w14:paraId="1F98F144" w14:textId="77777777" w:rsidR="00E23A84" w:rsidRPr="001017F5" w:rsidRDefault="00E23A84" w:rsidP="00422F01">
      <w:pPr>
        <w:pStyle w:val="Heading4"/>
        <w:rPr>
          <w:i w:val="0"/>
          <w:iCs w:val="0"/>
        </w:rPr>
      </w:pPr>
      <w:r w:rsidRPr="001017F5">
        <w:rPr>
          <w:i w:val="0"/>
          <w:iCs w:val="0"/>
        </w:rPr>
        <w:t>Effectiveness</w:t>
      </w:r>
    </w:p>
    <w:p w14:paraId="496C93F2" w14:textId="77777777" w:rsidR="00E23A84" w:rsidRPr="00CD3429" w:rsidRDefault="00E23A84" w:rsidP="00D6373B">
      <w:pPr>
        <w:pStyle w:val="Heading5"/>
      </w:pPr>
      <w:r w:rsidRPr="00CD3429">
        <w:t>Primary</w:t>
      </w:r>
    </w:p>
    <w:p w14:paraId="65748760" w14:textId="77777777" w:rsidR="00E23A84" w:rsidRPr="001017F5" w:rsidRDefault="00E23A84" w:rsidP="00AE7A87">
      <w:pPr>
        <w:pStyle w:val="ListParagraph"/>
        <w:numPr>
          <w:ilvl w:val="0"/>
          <w:numId w:val="12"/>
        </w:numPr>
      </w:pPr>
      <w:r w:rsidRPr="001017F5">
        <w:t>Major stroke</w:t>
      </w:r>
    </w:p>
    <w:p w14:paraId="427A4D42" w14:textId="5AAEBC96" w:rsidR="00E23A84" w:rsidRPr="001017F5" w:rsidRDefault="00E23A84" w:rsidP="00AE7A87">
      <w:pPr>
        <w:pStyle w:val="ListParagraph"/>
      </w:pPr>
      <w:r w:rsidRPr="001017F5">
        <w:t>o</w:t>
      </w:r>
      <w:r w:rsidRPr="001017F5">
        <w:tab/>
        <w:t>Ischemic</w:t>
      </w:r>
      <w:r w:rsidR="00422F01" w:rsidRPr="001017F5">
        <w:t xml:space="preserve"> stroke</w:t>
      </w:r>
    </w:p>
    <w:p w14:paraId="68F2BF94" w14:textId="77777777" w:rsidR="00E23A84" w:rsidRPr="001017F5" w:rsidRDefault="00E23A84" w:rsidP="00AE7A87">
      <w:pPr>
        <w:pStyle w:val="ListParagraph"/>
      </w:pPr>
      <w:r w:rsidRPr="001017F5">
        <w:t>o</w:t>
      </w:r>
      <w:r w:rsidRPr="001017F5">
        <w:tab/>
        <w:t>Haemorrhagic stroke</w:t>
      </w:r>
    </w:p>
    <w:p w14:paraId="43AC9277" w14:textId="77777777" w:rsidR="00E23A84" w:rsidRPr="001017F5" w:rsidRDefault="00E23A84" w:rsidP="00AE7A87">
      <w:pPr>
        <w:pStyle w:val="ListParagraph"/>
        <w:numPr>
          <w:ilvl w:val="0"/>
          <w:numId w:val="12"/>
        </w:numPr>
      </w:pPr>
      <w:r w:rsidRPr="001017F5">
        <w:t>Systemic embolism</w:t>
      </w:r>
    </w:p>
    <w:p w14:paraId="4E7BC92E" w14:textId="72A11849" w:rsidR="00E23A84" w:rsidRPr="001017F5" w:rsidRDefault="00D6373B" w:rsidP="00AE7A87">
      <w:pPr>
        <w:pStyle w:val="ListParagraph"/>
        <w:numPr>
          <w:ilvl w:val="0"/>
          <w:numId w:val="12"/>
        </w:numPr>
      </w:pPr>
      <w:r w:rsidRPr="001017F5">
        <w:t>Cardiovascular and a</w:t>
      </w:r>
      <w:r w:rsidR="00E23A84" w:rsidRPr="001017F5">
        <w:t>ll</w:t>
      </w:r>
      <w:r w:rsidR="00031C3A" w:rsidRPr="001017F5">
        <w:t>-</w:t>
      </w:r>
      <w:r w:rsidR="00E23A84" w:rsidRPr="001017F5">
        <w:t>cause mortality</w:t>
      </w:r>
    </w:p>
    <w:p w14:paraId="7DE1BD67" w14:textId="410F4AF1" w:rsidR="00E23A84" w:rsidRPr="00CD3429" w:rsidRDefault="00E23A84" w:rsidP="00AE7A87">
      <w:pPr>
        <w:pStyle w:val="ListParagraph"/>
        <w:numPr>
          <w:ilvl w:val="0"/>
          <w:numId w:val="12"/>
        </w:numPr>
      </w:pPr>
      <w:r w:rsidRPr="00CD3429">
        <w:t>LAA exclusion confirmed by trans</w:t>
      </w:r>
      <w:r w:rsidR="00031C3A" w:rsidRPr="00CD3429">
        <w:t>o</w:t>
      </w:r>
      <w:r w:rsidRPr="00CD3429">
        <w:t>esophageal echocardiography (T</w:t>
      </w:r>
      <w:r w:rsidR="00031C3A" w:rsidRPr="00CD3429">
        <w:t>O</w:t>
      </w:r>
      <w:r w:rsidRPr="00CD3429">
        <w:t>E)</w:t>
      </w:r>
    </w:p>
    <w:p w14:paraId="582C1480" w14:textId="77777777" w:rsidR="00E23A84" w:rsidRPr="00CD3429" w:rsidRDefault="00E23A84" w:rsidP="00D6373B">
      <w:pPr>
        <w:pStyle w:val="Heading5"/>
      </w:pPr>
      <w:r w:rsidRPr="00CD3429">
        <w:t>Secondary</w:t>
      </w:r>
    </w:p>
    <w:p w14:paraId="2E1B448C" w14:textId="2B6323FD" w:rsidR="00E23A84" w:rsidRPr="001017F5" w:rsidRDefault="00E23A84" w:rsidP="00AE7A87">
      <w:pPr>
        <w:pStyle w:val="ListParagraph"/>
        <w:numPr>
          <w:ilvl w:val="0"/>
          <w:numId w:val="13"/>
        </w:numPr>
      </w:pPr>
      <w:r w:rsidRPr="001017F5">
        <w:t>Health</w:t>
      </w:r>
      <w:r w:rsidR="00031C3A" w:rsidRPr="001017F5">
        <w:t>-</w:t>
      </w:r>
      <w:r w:rsidRPr="001017F5">
        <w:t>related quality of life and disability</w:t>
      </w:r>
    </w:p>
    <w:p w14:paraId="672184BA" w14:textId="225AC00D" w:rsidR="00E23A84" w:rsidRPr="001017F5" w:rsidRDefault="00E23A84" w:rsidP="00AE7A87">
      <w:pPr>
        <w:pStyle w:val="ListParagraph"/>
        <w:numPr>
          <w:ilvl w:val="0"/>
          <w:numId w:val="13"/>
        </w:numPr>
      </w:pPr>
      <w:r w:rsidRPr="001017F5">
        <w:t>Operative time, ease of use/learning curve</w:t>
      </w:r>
    </w:p>
    <w:p w14:paraId="0BEDB38F" w14:textId="77777777" w:rsidR="00E23A84" w:rsidRPr="001017F5" w:rsidRDefault="00E23A84" w:rsidP="00422F01">
      <w:pPr>
        <w:pStyle w:val="Heading4"/>
        <w:rPr>
          <w:i w:val="0"/>
          <w:iCs w:val="0"/>
        </w:rPr>
      </w:pPr>
      <w:r w:rsidRPr="001017F5">
        <w:rPr>
          <w:i w:val="0"/>
          <w:iCs w:val="0"/>
        </w:rPr>
        <w:t>Safety</w:t>
      </w:r>
    </w:p>
    <w:p w14:paraId="796BE3D9" w14:textId="77777777" w:rsidR="004A1C92" w:rsidRDefault="004A1C92" w:rsidP="004A1C92">
      <w:pPr>
        <w:pStyle w:val="ListParagraph"/>
        <w:numPr>
          <w:ilvl w:val="0"/>
          <w:numId w:val="14"/>
        </w:numPr>
        <w:spacing w:before="120" w:after="120" w:line="240" w:lineRule="auto"/>
        <w:ind w:hanging="357"/>
      </w:pPr>
      <w:r>
        <w:t xml:space="preserve">Major bleeding events: </w:t>
      </w:r>
      <w:r w:rsidRPr="00CD3429">
        <w:t>short-term</w:t>
      </w:r>
      <w:r>
        <w:t xml:space="preserve"> (post-operative &lt;30 days) e.g. </w:t>
      </w:r>
      <w:r w:rsidRPr="00CD3429">
        <w:t>procedural and post-procedural</w:t>
      </w:r>
      <w:r>
        <w:t xml:space="preserve"> events; and long term</w:t>
      </w:r>
    </w:p>
    <w:p w14:paraId="3B110507" w14:textId="77777777" w:rsidR="004A1C92" w:rsidRDefault="004A1C92" w:rsidP="004A1C92">
      <w:pPr>
        <w:pStyle w:val="ListParagraph"/>
        <w:numPr>
          <w:ilvl w:val="0"/>
          <w:numId w:val="14"/>
        </w:numPr>
        <w:spacing w:before="120" w:after="120" w:line="240" w:lineRule="auto"/>
        <w:ind w:hanging="357"/>
      </w:pPr>
      <w:r>
        <w:t>Re-admission rate: short-term (post-operative &lt;30 days); and long term</w:t>
      </w:r>
    </w:p>
    <w:p w14:paraId="16FAA780" w14:textId="77777777" w:rsidR="004A1C92" w:rsidRDefault="004A1C92" w:rsidP="004A1C92">
      <w:pPr>
        <w:pStyle w:val="ListParagraph"/>
        <w:numPr>
          <w:ilvl w:val="0"/>
          <w:numId w:val="14"/>
        </w:numPr>
        <w:spacing w:before="120" w:after="120" w:line="240" w:lineRule="auto"/>
        <w:ind w:hanging="357"/>
      </w:pPr>
      <w:r>
        <w:t xml:space="preserve">Reintervention rate: </w:t>
      </w:r>
      <w:r w:rsidRPr="00CD3429">
        <w:t>short-term</w:t>
      </w:r>
      <w:r>
        <w:t xml:space="preserve"> (</w:t>
      </w:r>
      <w:r w:rsidRPr="00CD3429">
        <w:t>post-operative</w:t>
      </w:r>
      <w:r>
        <w:t xml:space="preserve"> &lt;30 days</w:t>
      </w:r>
      <w:r w:rsidRPr="00CD3429">
        <w:t>)</w:t>
      </w:r>
      <w:r>
        <w:t>; and long term</w:t>
      </w:r>
    </w:p>
    <w:p w14:paraId="28F897B1" w14:textId="77777777" w:rsidR="004A1C92" w:rsidRDefault="004A1C92" w:rsidP="004A1C92">
      <w:pPr>
        <w:pStyle w:val="ListParagraph"/>
        <w:numPr>
          <w:ilvl w:val="1"/>
          <w:numId w:val="14"/>
        </w:numPr>
        <w:spacing w:before="120" w:after="120" w:line="240" w:lineRule="auto"/>
        <w:ind w:hanging="357"/>
      </w:pPr>
      <w:r w:rsidRPr="00B262CF">
        <w:t xml:space="preserve">Failure of </w:t>
      </w:r>
      <w:r>
        <w:t>exclusion/occlusion</w:t>
      </w:r>
      <w:r w:rsidRPr="00B262CF">
        <w:t xml:space="preserve"> requiring reintervention</w:t>
      </w:r>
    </w:p>
    <w:p w14:paraId="63E031FF" w14:textId="77777777" w:rsidR="004A1C92" w:rsidRPr="00B262CF" w:rsidRDefault="004A1C92" w:rsidP="004A1C92">
      <w:pPr>
        <w:pStyle w:val="ListParagraph"/>
        <w:numPr>
          <w:ilvl w:val="0"/>
          <w:numId w:val="14"/>
        </w:numPr>
        <w:spacing w:before="120" w:after="120" w:line="240" w:lineRule="auto"/>
        <w:ind w:hanging="357"/>
      </w:pPr>
      <w:r w:rsidRPr="00B262CF">
        <w:t>Intraoperative complications</w:t>
      </w:r>
    </w:p>
    <w:p w14:paraId="2AEAF588" w14:textId="77777777" w:rsidR="004A1C92" w:rsidRPr="00D6591D" w:rsidRDefault="004A1C92" w:rsidP="004A1C92">
      <w:pPr>
        <w:pStyle w:val="ListParagraph"/>
        <w:numPr>
          <w:ilvl w:val="0"/>
          <w:numId w:val="14"/>
        </w:numPr>
        <w:spacing w:before="120" w:after="120" w:line="240" w:lineRule="auto"/>
        <w:ind w:hanging="357"/>
      </w:pPr>
      <w:r w:rsidRPr="00B262CF">
        <w:t>Postoperative complications</w:t>
      </w:r>
      <w:r>
        <w:t>: short-term (&lt;30 days); and long term</w:t>
      </w:r>
    </w:p>
    <w:p w14:paraId="01E2F14E" w14:textId="77777777" w:rsidR="00422F01" w:rsidRPr="001017F5" w:rsidRDefault="00422F01" w:rsidP="00422F01">
      <w:pPr>
        <w:pStyle w:val="Heading4"/>
        <w:rPr>
          <w:i w:val="0"/>
          <w:iCs w:val="0"/>
        </w:rPr>
      </w:pPr>
      <w:r w:rsidRPr="001017F5">
        <w:rPr>
          <w:i w:val="0"/>
          <w:iCs w:val="0"/>
        </w:rPr>
        <w:t>Healthcare resources</w:t>
      </w:r>
    </w:p>
    <w:p w14:paraId="7A4FE26C" w14:textId="69BC7AF4" w:rsidR="00422F01" w:rsidRPr="001017F5" w:rsidRDefault="00422F01" w:rsidP="00422F01">
      <w:pPr>
        <w:pStyle w:val="ListParagraph"/>
        <w:numPr>
          <w:ilvl w:val="0"/>
          <w:numId w:val="8"/>
        </w:numPr>
      </w:pPr>
      <w:r w:rsidRPr="001017F5">
        <w:t>Cost to deliver the intervention</w:t>
      </w:r>
      <w:r w:rsidR="00204074" w:rsidRPr="001017F5">
        <w:t>,</w:t>
      </w:r>
      <w:r w:rsidRPr="001017F5">
        <w:t xml:space="preserve"> including follow-up</w:t>
      </w:r>
    </w:p>
    <w:p w14:paraId="65AE4611" w14:textId="77777777" w:rsidR="00422F01" w:rsidRPr="001017F5" w:rsidRDefault="00422F01" w:rsidP="00422F01">
      <w:pPr>
        <w:pStyle w:val="Heading4"/>
        <w:rPr>
          <w:i w:val="0"/>
          <w:iCs w:val="0"/>
        </w:rPr>
      </w:pPr>
      <w:r w:rsidRPr="001017F5">
        <w:rPr>
          <w:i w:val="0"/>
          <w:iCs w:val="0"/>
        </w:rPr>
        <w:t>Total Government Healthcare costs</w:t>
      </w:r>
    </w:p>
    <w:p w14:paraId="69C2DC41" w14:textId="598EE0E3" w:rsidR="00422F01" w:rsidRPr="001017F5" w:rsidRDefault="00422F01" w:rsidP="00422F01">
      <w:pPr>
        <w:pStyle w:val="ListParagraph"/>
        <w:numPr>
          <w:ilvl w:val="0"/>
          <w:numId w:val="8"/>
        </w:numPr>
      </w:pPr>
      <w:r w:rsidRPr="001017F5">
        <w:t>Total cost to the Medicare Benefits Schedule (MBS)</w:t>
      </w:r>
    </w:p>
    <w:p w14:paraId="5E44133F" w14:textId="40A8B1CF" w:rsidR="00422F01" w:rsidRPr="001017F5" w:rsidRDefault="00422F01" w:rsidP="00422F01">
      <w:pPr>
        <w:pStyle w:val="ListParagraph"/>
        <w:numPr>
          <w:ilvl w:val="0"/>
          <w:numId w:val="8"/>
        </w:numPr>
      </w:pPr>
      <w:r w:rsidRPr="001017F5">
        <w:lastRenderedPageBreak/>
        <w:t xml:space="preserve">Total cost to other healthcare </w:t>
      </w:r>
      <w:r w:rsidR="00204074" w:rsidRPr="001017F5">
        <w:t xml:space="preserve">budgets </w:t>
      </w:r>
      <w:r w:rsidRPr="001017F5">
        <w:t>including device costs</w:t>
      </w:r>
    </w:p>
    <w:p w14:paraId="6AE6DAEB" w14:textId="7C811178" w:rsidR="00D04463" w:rsidRPr="00D04463" w:rsidRDefault="00D04463" w:rsidP="00D04463">
      <w:pPr>
        <w:rPr>
          <w:i/>
          <w:iCs/>
        </w:rPr>
      </w:pPr>
      <w:r w:rsidRPr="00D04463">
        <w:rPr>
          <w:i/>
          <w:iCs/>
        </w:rPr>
        <w:t xml:space="preserve">The applicant noted that once the LAA is closed, regardless of method, long-term stroke risk is </w:t>
      </w:r>
      <w:r w:rsidR="00CF1F83">
        <w:rPr>
          <w:i/>
          <w:iCs/>
        </w:rPr>
        <w:t>low</w:t>
      </w:r>
      <w:r w:rsidR="00CF1F83" w:rsidRPr="00D04463">
        <w:rPr>
          <w:i/>
          <w:iCs/>
        </w:rPr>
        <w:t xml:space="preserve"> </w:t>
      </w:r>
      <w:r w:rsidRPr="00D04463">
        <w:rPr>
          <w:i/>
          <w:iCs/>
        </w:rPr>
        <w:t xml:space="preserve">and it would not be possible to demonstrate differences between different methods of LAA closure. The applicant pointed out that LAA closure with sutures and staples are more likely to result in significant bleeding in the </w:t>
      </w:r>
      <w:r w:rsidR="00CF1F83">
        <w:rPr>
          <w:i/>
          <w:iCs/>
        </w:rPr>
        <w:t>early</w:t>
      </w:r>
      <w:r w:rsidRPr="00D04463">
        <w:rPr>
          <w:i/>
          <w:iCs/>
        </w:rPr>
        <w:t xml:space="preserve"> post-operative </w:t>
      </w:r>
      <w:r w:rsidR="00CF1F83">
        <w:rPr>
          <w:i/>
          <w:iCs/>
        </w:rPr>
        <w:t xml:space="preserve">period </w:t>
      </w:r>
      <w:r w:rsidRPr="00D04463">
        <w:rPr>
          <w:i/>
          <w:iCs/>
        </w:rPr>
        <w:t>compared to using an epicardial clip.</w:t>
      </w:r>
    </w:p>
    <w:p w14:paraId="356960CF" w14:textId="5C5BB291" w:rsidR="00D04463" w:rsidRPr="00D04463" w:rsidRDefault="00D04463" w:rsidP="00D04463">
      <w:pPr>
        <w:rPr>
          <w:i/>
          <w:iCs/>
        </w:rPr>
      </w:pPr>
      <w:r w:rsidRPr="00D04463">
        <w:rPr>
          <w:i/>
          <w:iCs/>
        </w:rPr>
        <w:t xml:space="preserve">PASC noted that in the LAAOS III trial no difference in complications with respect to perioperative bleeding and other post procedural problems </w:t>
      </w:r>
      <w:r w:rsidR="00CF1F83">
        <w:rPr>
          <w:i/>
          <w:iCs/>
        </w:rPr>
        <w:t>was</w:t>
      </w:r>
      <w:r w:rsidR="00CF1F83" w:rsidRPr="00D04463">
        <w:rPr>
          <w:i/>
          <w:iCs/>
        </w:rPr>
        <w:t xml:space="preserve"> </w:t>
      </w:r>
      <w:r w:rsidRPr="00D04463">
        <w:rPr>
          <w:i/>
          <w:iCs/>
        </w:rPr>
        <w:t>observed between the trial groups (occlusion vs. no occlusion).</w:t>
      </w:r>
      <w:r w:rsidR="00980D2C" w:rsidRPr="00EC41B5">
        <w:rPr>
          <w:rFonts w:asciiTheme="minorHAnsi" w:hAnsiTheme="minorHAnsi" w:cstheme="minorHAnsi"/>
          <w:i/>
        </w:rPr>
        <w:t xml:space="preserve"> </w:t>
      </w:r>
      <w:r w:rsidR="00980D2C">
        <w:rPr>
          <w:rFonts w:asciiTheme="minorHAnsi" w:hAnsiTheme="minorHAnsi" w:cstheme="minorHAnsi"/>
          <w:i/>
        </w:rPr>
        <w:t>Approximately two</w:t>
      </w:r>
      <w:r w:rsidR="00CF1F83">
        <w:rPr>
          <w:rFonts w:asciiTheme="minorHAnsi" w:hAnsiTheme="minorHAnsi" w:cstheme="minorHAnsi"/>
          <w:i/>
        </w:rPr>
        <w:t>-</w:t>
      </w:r>
      <w:r w:rsidR="00980D2C">
        <w:rPr>
          <w:rFonts w:asciiTheme="minorHAnsi" w:hAnsiTheme="minorHAnsi" w:cstheme="minorHAnsi"/>
          <w:i/>
        </w:rPr>
        <w:t xml:space="preserve">thirds of the occlusions </w:t>
      </w:r>
      <w:r w:rsidR="00980D2C" w:rsidRPr="00A5169E">
        <w:rPr>
          <w:rFonts w:asciiTheme="minorHAnsi" w:hAnsiTheme="minorHAnsi" w:cstheme="minorHAnsi"/>
          <w:i/>
        </w:rPr>
        <w:t>were</w:t>
      </w:r>
      <w:r w:rsidR="00980D2C" w:rsidRPr="00980D2C">
        <w:rPr>
          <w:i/>
        </w:rPr>
        <w:t xml:space="preserve"> </w:t>
      </w:r>
      <w:r w:rsidR="00980D2C">
        <w:rPr>
          <w:i/>
        </w:rPr>
        <w:t xml:space="preserve">done with stapling and suturing, </w:t>
      </w:r>
      <w:r w:rsidR="00980D2C" w:rsidRPr="00980D2C">
        <w:rPr>
          <w:i/>
        </w:rPr>
        <w:t xml:space="preserve">and this did not increase </w:t>
      </w:r>
      <w:r w:rsidR="00CF1F83">
        <w:rPr>
          <w:i/>
        </w:rPr>
        <w:t xml:space="preserve">the frequency of </w:t>
      </w:r>
      <w:r w:rsidR="00980D2C" w:rsidRPr="00980D2C">
        <w:rPr>
          <w:i/>
        </w:rPr>
        <w:t>perioperative complications</w:t>
      </w:r>
      <w:r w:rsidR="00980D2C">
        <w:rPr>
          <w:i/>
        </w:rPr>
        <w:t xml:space="preserve"> in the occlusion group compared to the non</w:t>
      </w:r>
      <w:r w:rsidR="00CF1F83">
        <w:rPr>
          <w:i/>
        </w:rPr>
        <w:t>-</w:t>
      </w:r>
      <w:r w:rsidR="00980D2C">
        <w:rPr>
          <w:i/>
        </w:rPr>
        <w:t>occlusion group</w:t>
      </w:r>
      <w:r w:rsidR="00980D2C" w:rsidRPr="00980D2C">
        <w:rPr>
          <w:i/>
        </w:rPr>
        <w:t xml:space="preserve">. </w:t>
      </w:r>
      <w:r w:rsidR="00980D2C" w:rsidRPr="00EC41B5">
        <w:rPr>
          <w:rFonts w:asciiTheme="minorHAnsi" w:hAnsiTheme="minorHAnsi" w:cstheme="minorHAnsi"/>
          <w:i/>
        </w:rPr>
        <w:t>The low event rate will</w:t>
      </w:r>
      <w:r w:rsidR="00CF1F83">
        <w:rPr>
          <w:rFonts w:asciiTheme="minorHAnsi" w:hAnsiTheme="minorHAnsi" w:cstheme="minorHAnsi"/>
          <w:i/>
        </w:rPr>
        <w:t xml:space="preserve"> </w:t>
      </w:r>
      <w:r w:rsidR="00415E79" w:rsidRPr="00EC41B5">
        <w:rPr>
          <w:rFonts w:asciiTheme="minorHAnsi" w:hAnsiTheme="minorHAnsi" w:cstheme="minorHAnsi"/>
          <w:i/>
        </w:rPr>
        <w:t xml:space="preserve">make </w:t>
      </w:r>
      <w:r w:rsidR="00415E79">
        <w:rPr>
          <w:rFonts w:asciiTheme="minorHAnsi" w:hAnsiTheme="minorHAnsi" w:cstheme="minorHAnsi"/>
          <w:i/>
        </w:rPr>
        <w:t>differences in these</w:t>
      </w:r>
      <w:r w:rsidR="00415E79" w:rsidRPr="00EC41B5">
        <w:rPr>
          <w:rFonts w:asciiTheme="minorHAnsi" w:hAnsiTheme="minorHAnsi" w:cstheme="minorHAnsi"/>
          <w:i/>
        </w:rPr>
        <w:t xml:space="preserve"> </w:t>
      </w:r>
      <w:r w:rsidR="00415E79">
        <w:rPr>
          <w:rFonts w:asciiTheme="minorHAnsi" w:hAnsiTheme="minorHAnsi" w:cstheme="minorHAnsi"/>
          <w:i/>
        </w:rPr>
        <w:t xml:space="preserve">short-term post-procedural </w:t>
      </w:r>
      <w:r w:rsidR="00415E79" w:rsidRPr="00EC41B5">
        <w:rPr>
          <w:rFonts w:asciiTheme="minorHAnsi" w:hAnsiTheme="minorHAnsi" w:cstheme="minorHAnsi"/>
          <w:i/>
        </w:rPr>
        <w:t>outcome</w:t>
      </w:r>
      <w:r w:rsidR="00415E79">
        <w:rPr>
          <w:rFonts w:asciiTheme="minorHAnsi" w:hAnsiTheme="minorHAnsi" w:cstheme="minorHAnsi"/>
          <w:i/>
        </w:rPr>
        <w:t>s</w:t>
      </w:r>
      <w:r w:rsidR="00415E79" w:rsidRPr="00EC41B5">
        <w:rPr>
          <w:rFonts w:asciiTheme="minorHAnsi" w:hAnsiTheme="minorHAnsi" w:cstheme="minorHAnsi"/>
          <w:i/>
        </w:rPr>
        <w:t xml:space="preserve"> difficult to </w:t>
      </w:r>
      <w:r w:rsidR="00415E79">
        <w:rPr>
          <w:rFonts w:asciiTheme="minorHAnsi" w:hAnsiTheme="minorHAnsi" w:cstheme="minorHAnsi"/>
          <w:i/>
        </w:rPr>
        <w:t>demonstrate with sufficient power</w:t>
      </w:r>
      <w:r w:rsidR="00415E79" w:rsidRPr="00EC41B5">
        <w:rPr>
          <w:rFonts w:asciiTheme="minorHAnsi" w:hAnsiTheme="minorHAnsi" w:cstheme="minorHAnsi"/>
          <w:i/>
        </w:rPr>
        <w:t>.</w:t>
      </w:r>
    </w:p>
    <w:p w14:paraId="26B3AD5B" w14:textId="4356DC5C" w:rsidR="00D04463" w:rsidRPr="00D04463" w:rsidRDefault="00D04463" w:rsidP="00D04463">
      <w:pPr>
        <w:rPr>
          <w:i/>
          <w:iCs/>
        </w:rPr>
      </w:pPr>
      <w:r w:rsidRPr="00D04463">
        <w:rPr>
          <w:i/>
          <w:iCs/>
        </w:rPr>
        <w:t>PASC confirmed stroke, systemic embolism, mortality and QoL as outcomes for this application, noting there may not be demonstrable differences between epicardial clip and its comparators. PASC noted that QoL may differ over the short and long term.</w:t>
      </w:r>
    </w:p>
    <w:p w14:paraId="560E52D3" w14:textId="582AA03F" w:rsidR="00D04463" w:rsidRPr="00D04463" w:rsidRDefault="00D04463" w:rsidP="00D04463">
      <w:pPr>
        <w:rPr>
          <w:i/>
          <w:iCs/>
        </w:rPr>
      </w:pPr>
      <w:r w:rsidRPr="00D04463">
        <w:rPr>
          <w:i/>
          <w:iCs/>
        </w:rPr>
        <w:t>PASC confirmed that LAA exclusion confirmed by transoesophageal echocardiography (TOE) is a surrogate outcome.</w:t>
      </w:r>
    </w:p>
    <w:p w14:paraId="7E8C4F87" w14:textId="785240EF" w:rsidR="00D04463" w:rsidRPr="00D04463" w:rsidRDefault="00D04463" w:rsidP="00D04463">
      <w:pPr>
        <w:rPr>
          <w:i/>
          <w:iCs/>
        </w:rPr>
      </w:pPr>
      <w:r w:rsidRPr="00D04463">
        <w:rPr>
          <w:i/>
          <w:iCs/>
        </w:rPr>
        <w:t>PASC considered the impact of LAA closure on downstream therapy important, and noted that in the LAAOS III trial, LAA closure did not result in changes to OAC use</w:t>
      </w:r>
      <w:r w:rsidR="00CF1F83">
        <w:rPr>
          <w:i/>
          <w:iCs/>
        </w:rPr>
        <w:t xml:space="preserve">; </w:t>
      </w:r>
      <w:r w:rsidR="00CF1F83">
        <w:rPr>
          <w:rFonts w:asciiTheme="minorHAnsi" w:hAnsiTheme="minorHAnsi" w:cstheme="minorHAnsi"/>
          <w:i/>
        </w:rPr>
        <w:t>this is consistent with NHFA/CSANZ Guidelines</w:t>
      </w:r>
      <w:r w:rsidRPr="00D04463">
        <w:rPr>
          <w:i/>
          <w:iCs/>
        </w:rPr>
        <w:t>.</w:t>
      </w:r>
    </w:p>
    <w:p w14:paraId="762D700C" w14:textId="131A0BE6" w:rsidR="00B40C3D" w:rsidRDefault="00D04463" w:rsidP="00302A66">
      <w:pPr>
        <w:rPr>
          <w:i/>
          <w:iCs/>
        </w:rPr>
      </w:pPr>
      <w:r w:rsidRPr="00D04463">
        <w:rPr>
          <w:i/>
          <w:iCs/>
        </w:rPr>
        <w:t>PASC noted that the applicant’s advice that the major difference between the epicardial clip and the comparators relates to post-operative safety, particularly bleeding and the need for reoperation. PASC advised that short-term outcomes and long-term outcomes are included the PICO Confirmation as two separate endpoints (see Proposed Economic Evaluation)</w:t>
      </w:r>
      <w:r w:rsidR="00F24359" w:rsidRPr="00F24359">
        <w:rPr>
          <w:i/>
          <w:iCs/>
        </w:rPr>
        <w:t>.</w:t>
      </w:r>
    </w:p>
    <w:p w14:paraId="297D76EB" w14:textId="5601E734" w:rsidR="000D6739" w:rsidRPr="00046B2E" w:rsidRDefault="00B40C3D" w:rsidP="00046B2E">
      <w:pPr>
        <w:rPr>
          <w:i/>
          <w:iCs/>
        </w:rPr>
      </w:pPr>
      <w:r w:rsidRPr="00ED0C93">
        <w:rPr>
          <w:rFonts w:asciiTheme="minorHAnsi" w:hAnsiTheme="minorHAnsi" w:cstheme="minorHAnsi"/>
          <w:i/>
          <w:iCs/>
        </w:rPr>
        <w:t xml:space="preserve">PASC considered that direct comparative evidence is unlikely to be sufficiently powered to address the primary effectiveness outcomes. </w:t>
      </w:r>
      <w:r w:rsidRPr="00EC41B5">
        <w:rPr>
          <w:rFonts w:asciiTheme="minorHAnsi" w:hAnsiTheme="minorHAnsi" w:cstheme="minorHAnsi"/>
          <w:i/>
        </w:rPr>
        <w:t xml:space="preserve">PASC noted that if all </w:t>
      </w:r>
      <w:r>
        <w:rPr>
          <w:rFonts w:asciiTheme="minorHAnsi" w:hAnsiTheme="minorHAnsi" w:cstheme="minorHAnsi"/>
          <w:i/>
        </w:rPr>
        <w:t xml:space="preserve">LAA closure </w:t>
      </w:r>
      <w:r w:rsidRPr="00EC41B5">
        <w:rPr>
          <w:rFonts w:asciiTheme="minorHAnsi" w:hAnsiTheme="minorHAnsi" w:cstheme="minorHAnsi"/>
          <w:i/>
        </w:rPr>
        <w:t xml:space="preserve">techniques </w:t>
      </w:r>
      <w:r>
        <w:rPr>
          <w:rFonts w:asciiTheme="minorHAnsi" w:hAnsiTheme="minorHAnsi" w:cstheme="minorHAnsi"/>
          <w:i/>
        </w:rPr>
        <w:t xml:space="preserve">would be </w:t>
      </w:r>
      <w:r w:rsidRPr="00EC41B5">
        <w:rPr>
          <w:rFonts w:asciiTheme="minorHAnsi" w:hAnsiTheme="minorHAnsi" w:cstheme="minorHAnsi"/>
          <w:i/>
        </w:rPr>
        <w:t xml:space="preserve">considered equivalent in terms of long-term outcomes, then a linked evidence approach </w:t>
      </w:r>
      <w:r>
        <w:rPr>
          <w:rFonts w:asciiTheme="minorHAnsi" w:hAnsiTheme="minorHAnsi" w:cstheme="minorHAnsi"/>
          <w:i/>
        </w:rPr>
        <w:t xml:space="preserve">(to translate the surrogate outcome to the long-term clinical outcomes) </w:t>
      </w:r>
      <w:r w:rsidRPr="00EC41B5">
        <w:rPr>
          <w:rFonts w:asciiTheme="minorHAnsi" w:hAnsiTheme="minorHAnsi" w:cstheme="minorHAnsi"/>
          <w:i/>
        </w:rPr>
        <w:t>may not be helpful</w:t>
      </w:r>
      <w:r>
        <w:rPr>
          <w:rFonts w:asciiTheme="minorHAnsi" w:hAnsiTheme="minorHAnsi" w:cstheme="minorHAnsi"/>
          <w:i/>
        </w:rPr>
        <w:t>.</w:t>
      </w:r>
      <w:r w:rsidRPr="00EC41B5">
        <w:rPr>
          <w:rFonts w:asciiTheme="minorHAnsi" w:hAnsiTheme="minorHAnsi" w:cstheme="minorHAnsi"/>
          <w:i/>
        </w:rPr>
        <w:t xml:space="preserve"> </w:t>
      </w:r>
      <w:r>
        <w:rPr>
          <w:rFonts w:asciiTheme="minorHAnsi" w:hAnsiTheme="minorHAnsi" w:cstheme="minorHAnsi"/>
          <w:i/>
        </w:rPr>
        <w:t>H</w:t>
      </w:r>
      <w:r w:rsidRPr="00EC41B5">
        <w:rPr>
          <w:rFonts w:asciiTheme="minorHAnsi" w:hAnsiTheme="minorHAnsi" w:cstheme="minorHAnsi"/>
          <w:i/>
        </w:rPr>
        <w:t>owever</w:t>
      </w:r>
      <w:r>
        <w:rPr>
          <w:rFonts w:asciiTheme="minorHAnsi" w:hAnsiTheme="minorHAnsi" w:cstheme="minorHAnsi"/>
          <w:i/>
        </w:rPr>
        <w:t>,</w:t>
      </w:r>
      <w:r w:rsidRPr="00EC41B5">
        <w:rPr>
          <w:rFonts w:asciiTheme="minorHAnsi" w:hAnsiTheme="minorHAnsi" w:cstheme="minorHAnsi"/>
          <w:i/>
        </w:rPr>
        <w:t xml:space="preserve"> such an approach</w:t>
      </w:r>
      <w:r>
        <w:rPr>
          <w:rFonts w:asciiTheme="minorHAnsi" w:hAnsiTheme="minorHAnsi" w:cstheme="minorHAnsi"/>
          <w:i/>
        </w:rPr>
        <w:t xml:space="preserve"> is necessary to claim superior effectiveness for these outcomes (stroke risk)</w:t>
      </w:r>
      <w:r w:rsidRPr="00EC41B5">
        <w:rPr>
          <w:rFonts w:asciiTheme="minorHAnsi" w:hAnsiTheme="minorHAnsi" w:cstheme="minorHAnsi"/>
          <w:i/>
        </w:rPr>
        <w:t>.</w:t>
      </w:r>
    </w:p>
    <w:p w14:paraId="10995DBF" w14:textId="671EF3D7" w:rsidR="00E23A84" w:rsidRDefault="00E23A84" w:rsidP="00AE7A87">
      <w:pPr>
        <w:pStyle w:val="Heading2"/>
      </w:pPr>
      <w:r w:rsidRPr="00490FBB">
        <w:t>Clinical management algorithms</w:t>
      </w:r>
    </w:p>
    <w:p w14:paraId="257936B5" w14:textId="4BAA185D" w:rsidR="00773050" w:rsidRPr="00794DCE" w:rsidRDefault="00E23A84" w:rsidP="009D36CA">
      <w:pPr>
        <w:spacing w:before="120"/>
        <w:rPr>
          <w:lang w:val="en-GB" w:eastAsia="ja-JP"/>
        </w:rPr>
      </w:pPr>
      <w:r>
        <w:t>The epicardial clip is proposed to directly replace stapled</w:t>
      </w:r>
      <w:r w:rsidR="00772348">
        <w:t xml:space="preserve"> or sutured</w:t>
      </w:r>
      <w:r>
        <w:t xml:space="preserve"> exclusion of the LAA during open cardiac surgery. The proposed management algorithms are presented in </w:t>
      </w:r>
      <w:r>
        <w:fldChar w:fldCharType="begin"/>
      </w:r>
      <w:r>
        <w:instrText xml:space="preserve"> REF _Ref76382511 \h </w:instrText>
      </w:r>
      <w:r>
        <w:fldChar w:fldCharType="separate"/>
      </w:r>
      <w:r w:rsidR="008443A4">
        <w:t xml:space="preserve">Figure </w:t>
      </w:r>
      <w:r w:rsidR="008443A4">
        <w:rPr>
          <w:noProof/>
        </w:rPr>
        <w:t>3</w:t>
      </w:r>
      <w:r>
        <w:fldChar w:fldCharType="end"/>
      </w:r>
      <w:r>
        <w:t xml:space="preserve"> and </w:t>
      </w:r>
      <w:r>
        <w:fldChar w:fldCharType="begin"/>
      </w:r>
      <w:r>
        <w:instrText xml:space="preserve"> REF _Ref76382516 \h </w:instrText>
      </w:r>
      <w:r>
        <w:fldChar w:fldCharType="separate"/>
      </w:r>
      <w:r w:rsidR="008443A4">
        <w:t xml:space="preserve">Figure </w:t>
      </w:r>
      <w:r w:rsidR="008443A4">
        <w:rPr>
          <w:noProof/>
        </w:rPr>
        <w:t>4</w:t>
      </w:r>
      <w:r>
        <w:fldChar w:fldCharType="end"/>
      </w:r>
      <w:r>
        <w:t xml:space="preserve">. There are no changes to the pre-surgical </w:t>
      </w:r>
      <w:r w:rsidR="00204074">
        <w:t xml:space="preserve">management </w:t>
      </w:r>
      <w:r>
        <w:t>or screening of patients, nor to post-surgical care</w:t>
      </w:r>
      <w:r w:rsidR="00204074">
        <w:t>.</w:t>
      </w:r>
      <w:r>
        <w:t xml:space="preserve"> </w:t>
      </w:r>
      <w:r w:rsidR="00204074">
        <w:t>T</w:t>
      </w:r>
      <w:r>
        <w:t xml:space="preserve">he algorithms </w:t>
      </w:r>
      <w:r w:rsidR="00204074">
        <w:t xml:space="preserve">therefore </w:t>
      </w:r>
      <w:r>
        <w:t xml:space="preserve">include both the intervention and the comparator. The clinical claim is that epicardial clip closure </w:t>
      </w:r>
      <w:r w:rsidR="00204074">
        <w:t xml:space="preserve">of the LAA </w:t>
      </w:r>
      <w:r>
        <w:t xml:space="preserve">will reduce the risk of post-operative bleeding and increase the rate of successful </w:t>
      </w:r>
      <w:r w:rsidR="00204074">
        <w:t xml:space="preserve">LAA </w:t>
      </w:r>
      <w:r>
        <w:t xml:space="preserve">exclusion. </w:t>
      </w:r>
      <w:r w:rsidR="00773050" w:rsidRPr="00794DCE">
        <w:t xml:space="preserve">The applicant </w:t>
      </w:r>
      <w:r w:rsidR="005653DC">
        <w:t xml:space="preserve">confirmed </w:t>
      </w:r>
      <w:r w:rsidR="00773050" w:rsidRPr="00794DCE">
        <w:t xml:space="preserve">post PASC that there was no requirement for post-operative assessment of LAA closure via an epicardial clip </w:t>
      </w:r>
      <w:proofErr w:type="gramStart"/>
      <w:r w:rsidR="00773050" w:rsidRPr="00794DCE">
        <w:t>closure, but</w:t>
      </w:r>
      <w:proofErr w:type="gramEnd"/>
      <w:r w:rsidR="00773050" w:rsidRPr="00794DCE">
        <w:t xml:space="preserve"> noted that an LAA closure assessment is often performed concomitant </w:t>
      </w:r>
      <w:r w:rsidR="004507D5">
        <w:t xml:space="preserve">to </w:t>
      </w:r>
      <w:r w:rsidR="00773050" w:rsidRPr="00794DCE">
        <w:t>valve and/or ventricular function assessment TOE. The applicant advised that TOE may be performed if there is evidence of cardiac tamponade to assess for tearing of the LAA suture/staple closure line.</w:t>
      </w:r>
    </w:p>
    <w:p w14:paraId="4A9B33BE" w14:textId="77777777" w:rsidR="00302A66" w:rsidRDefault="00302A66" w:rsidP="009D36CA">
      <w:pPr>
        <w:spacing w:before="240"/>
        <w:rPr>
          <w:rFonts w:eastAsia="MS Gothic"/>
          <w:b/>
          <w:bCs/>
          <w:i/>
          <w:sz w:val="24"/>
          <w:szCs w:val="24"/>
        </w:rPr>
      </w:pPr>
      <w:r>
        <w:br w:type="page"/>
      </w:r>
    </w:p>
    <w:p w14:paraId="07124B08" w14:textId="41620ED0" w:rsidR="00DE2392" w:rsidRPr="00DE2392" w:rsidRDefault="00872D00" w:rsidP="009D36CA">
      <w:pPr>
        <w:pStyle w:val="Heading3"/>
      </w:pPr>
      <w:r>
        <w:lastRenderedPageBreak/>
        <w:t>Current and p</w:t>
      </w:r>
      <w:r w:rsidR="00E23A84">
        <w:t>roposed treatment management algorithm</w:t>
      </w:r>
    </w:p>
    <w:p w14:paraId="24349548" w14:textId="303C23CE" w:rsidR="0020080B" w:rsidRPr="0020080B" w:rsidRDefault="0020080B" w:rsidP="0020080B">
      <w:pPr>
        <w:rPr>
          <w:lang w:val="en-GB" w:eastAsia="ja-JP"/>
        </w:rPr>
      </w:pPr>
    </w:p>
    <w:p w14:paraId="0D6BA3A2" w14:textId="23ED76C3" w:rsidR="00E23A84" w:rsidRDefault="005913F0" w:rsidP="0020080B">
      <w:pPr>
        <w:pStyle w:val="Caption"/>
        <w:spacing w:before="0" w:after="0"/>
        <w:ind w:left="0" w:firstLine="0"/>
      </w:pPr>
      <w:bookmarkStart w:id="10" w:name="_Ref76382511"/>
      <w:r>
        <w:rPr>
          <w:noProof/>
        </w:rPr>
        <w:drawing>
          <wp:inline distT="0" distB="0" distL="0" distR="0" wp14:anchorId="67F1D434" wp14:editId="62BE6022">
            <wp:extent cx="6083935" cy="6518275"/>
            <wp:effectExtent l="0" t="0" r="0" b="0"/>
            <wp:docPr id="6" name="Picture 6" descr="Figure 3  Current and proposed treatment management pathway for LAA exclusion using an epicardial clip or alternative methods: sutures or sta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Current and proposed treatment management pathway for LAA exclusion using an epicardial clip or alternative methods: sutures or staples"/>
                    <pic:cNvPicPr/>
                  </pic:nvPicPr>
                  <pic:blipFill>
                    <a:blip r:embed="rId12">
                      <a:extLst>
                        <a:ext uri="{28A0092B-C50C-407E-A947-70E740481C1C}">
                          <a14:useLocalDpi xmlns:a14="http://schemas.microsoft.com/office/drawing/2010/main" val="0"/>
                        </a:ext>
                      </a:extLst>
                    </a:blip>
                    <a:stretch>
                      <a:fillRect/>
                    </a:stretch>
                  </pic:blipFill>
                  <pic:spPr>
                    <a:xfrm>
                      <a:off x="0" y="0"/>
                      <a:ext cx="6083935" cy="6518275"/>
                    </a:xfrm>
                    <a:prstGeom prst="rect">
                      <a:avLst/>
                    </a:prstGeom>
                  </pic:spPr>
                </pic:pic>
              </a:graphicData>
            </a:graphic>
          </wp:inline>
        </w:drawing>
      </w:r>
      <w:r w:rsidR="00E23A84">
        <w:t xml:space="preserve">Figure </w:t>
      </w:r>
      <w:r w:rsidR="00E23A84">
        <w:fldChar w:fldCharType="begin"/>
      </w:r>
      <w:r w:rsidR="00E23A84">
        <w:instrText xml:space="preserve"> SEQ Figure \* ARABIC </w:instrText>
      </w:r>
      <w:r w:rsidR="00E23A84">
        <w:fldChar w:fldCharType="separate"/>
      </w:r>
      <w:r w:rsidR="008443A4">
        <w:rPr>
          <w:noProof/>
        </w:rPr>
        <w:t>3</w:t>
      </w:r>
      <w:r w:rsidR="00E23A84">
        <w:fldChar w:fldCharType="end"/>
      </w:r>
      <w:bookmarkEnd w:id="10"/>
      <w:r w:rsidR="00E23A84">
        <w:tab/>
        <w:t xml:space="preserve"> </w:t>
      </w:r>
      <w:r w:rsidR="00B53505">
        <w:t>Current and p</w:t>
      </w:r>
      <w:r w:rsidR="00E23A84">
        <w:t>roposed treatment management pathway for LAA exclusion using an epicardial clip</w:t>
      </w:r>
      <w:r w:rsidR="00B53505">
        <w:t xml:space="preserve"> or alternative methods: sutures or staples</w:t>
      </w:r>
    </w:p>
    <w:p w14:paraId="15C9DE10" w14:textId="595BDEE3" w:rsidR="003755C1" w:rsidRPr="001E6776" w:rsidRDefault="00E23A84" w:rsidP="00AE7A87">
      <w:pPr>
        <w:pStyle w:val="Tablenotes"/>
        <w:spacing w:after="0"/>
        <w:rPr>
          <w:lang w:val="en-GB" w:eastAsia="ja-JP"/>
        </w:rPr>
      </w:pPr>
      <w:r>
        <w:rPr>
          <w:lang w:val="en-GB" w:eastAsia="ja-JP"/>
        </w:rPr>
        <w:t>Abbreviations: ECG, electrocardiogram; AF, atrial fibrillation; LAA, left atrial appendage</w:t>
      </w:r>
      <w:r w:rsidR="005913F0">
        <w:rPr>
          <w:lang w:val="en-GB" w:eastAsia="ja-JP"/>
        </w:rPr>
        <w:t>; OACs, oral anticoagulants</w:t>
      </w:r>
      <w:r>
        <w:rPr>
          <w:lang w:val="en-GB" w:eastAsia="ja-JP"/>
        </w:rPr>
        <w:t>.</w:t>
      </w:r>
    </w:p>
    <w:p w14:paraId="32D732FB" w14:textId="77777777" w:rsidR="00B82054" w:rsidRDefault="00B82054" w:rsidP="00B82054">
      <w:pPr>
        <w:rPr>
          <w:lang w:val="en-GB" w:eastAsia="ja-JP"/>
        </w:rPr>
      </w:pPr>
    </w:p>
    <w:p w14:paraId="58DBBD19" w14:textId="5AAED261" w:rsidR="00645523" w:rsidRPr="00645523" w:rsidRDefault="00645523" w:rsidP="00645523">
      <w:pPr>
        <w:rPr>
          <w:i/>
          <w:iCs/>
        </w:rPr>
      </w:pPr>
      <w:r w:rsidRPr="00645523">
        <w:rPr>
          <w:i/>
          <w:iCs/>
        </w:rPr>
        <w:t>PASC agreed with the proposed clinical management algorithms</w:t>
      </w:r>
      <w:r w:rsidR="009D3B4C">
        <w:rPr>
          <w:rFonts w:asciiTheme="minorHAnsi" w:hAnsiTheme="minorHAnsi" w:cstheme="minorHAnsi"/>
          <w:i/>
        </w:rPr>
        <w:t xml:space="preserve">, noting the eligibility criteria for stroke risk was updated with a </w:t>
      </w:r>
      <w:r w:rsidR="009D3B4C" w:rsidRPr="009D3B4C">
        <w:rPr>
          <w:i/>
          <w:iCs/>
        </w:rPr>
        <w:t>CHA</w:t>
      </w:r>
      <w:r w:rsidR="009D3B4C" w:rsidRPr="009D36CA">
        <w:rPr>
          <w:i/>
          <w:iCs/>
          <w:vertAlign w:val="subscript"/>
        </w:rPr>
        <w:t>2</w:t>
      </w:r>
      <w:r w:rsidR="009D3B4C" w:rsidRPr="009D3B4C">
        <w:rPr>
          <w:i/>
          <w:iCs/>
        </w:rPr>
        <w:t>DS</w:t>
      </w:r>
      <w:r w:rsidR="009D3B4C" w:rsidRPr="009D36CA">
        <w:rPr>
          <w:i/>
          <w:iCs/>
          <w:vertAlign w:val="subscript"/>
        </w:rPr>
        <w:t>2</w:t>
      </w:r>
      <w:r w:rsidR="009D3B4C" w:rsidRPr="009D3B4C">
        <w:rPr>
          <w:i/>
          <w:iCs/>
        </w:rPr>
        <w:t>-VASc score of</w:t>
      </w:r>
      <w:r w:rsidR="009D3B4C" w:rsidRPr="001F42F5">
        <w:t xml:space="preserve"> </w:t>
      </w:r>
      <w:r w:rsidR="009D3B4C" w:rsidRPr="009D3B4C">
        <w:rPr>
          <w:i/>
          <w:iCs/>
        </w:rPr>
        <w:t>≥</w:t>
      </w:r>
      <w:r w:rsidR="000C3732">
        <w:rPr>
          <w:i/>
          <w:iCs/>
        </w:rPr>
        <w:t xml:space="preserve"> </w:t>
      </w:r>
      <w:r w:rsidR="009D3B4C" w:rsidRPr="009D3B4C">
        <w:rPr>
          <w:i/>
          <w:iCs/>
        </w:rPr>
        <w:t>2</w:t>
      </w:r>
      <w:r w:rsidR="009D3B4C">
        <w:rPr>
          <w:rFonts w:asciiTheme="minorHAnsi" w:hAnsiTheme="minorHAnsi" w:cstheme="minorHAnsi"/>
          <w:i/>
        </w:rPr>
        <w:t xml:space="preserve"> to align with PASC advice</w:t>
      </w:r>
      <w:r w:rsidRPr="00645523">
        <w:rPr>
          <w:i/>
          <w:iCs/>
        </w:rPr>
        <w:t xml:space="preserve">. </w:t>
      </w:r>
    </w:p>
    <w:p w14:paraId="53B3E9C3" w14:textId="77777777" w:rsidR="00302A66" w:rsidRDefault="00302A66">
      <w:pPr>
        <w:spacing w:after="160" w:line="259" w:lineRule="auto"/>
        <w:rPr>
          <w:rFonts w:ascii="Franklin Gothic Medium" w:eastAsiaTheme="majorEastAsia" w:hAnsi="Franklin Gothic Medium" w:cstheme="majorBidi"/>
          <w:color w:val="000000" w:themeColor="text1"/>
          <w:sz w:val="32"/>
          <w:szCs w:val="26"/>
        </w:rPr>
      </w:pPr>
      <w:r>
        <w:br w:type="page"/>
      </w:r>
    </w:p>
    <w:p w14:paraId="2F85C1E8" w14:textId="5C160468" w:rsidR="00E23A84" w:rsidRDefault="00E23A84" w:rsidP="00AE7A87">
      <w:pPr>
        <w:pStyle w:val="Heading2"/>
      </w:pPr>
      <w:r w:rsidRPr="00490FBB">
        <w:lastRenderedPageBreak/>
        <w:t>Proposed economic evaluation</w:t>
      </w:r>
    </w:p>
    <w:p w14:paraId="1AE06B1C" w14:textId="68D8AB89" w:rsidR="00E23A84" w:rsidRDefault="00100FEC" w:rsidP="000D6739">
      <w:pPr>
        <w:spacing w:before="200"/>
      </w:pPr>
      <w:proofErr w:type="gramStart"/>
      <w:r>
        <w:t>On the basis of</w:t>
      </w:r>
      <w:proofErr w:type="gramEnd"/>
      <w:r>
        <w:t xml:space="preserve"> the </w:t>
      </w:r>
      <w:r w:rsidR="00E23A84">
        <w:t>clinical claim that the use of an epicardial clip is superior to stapling or suturing for exclusion of the LAA concomitant to open cardiac surgery</w:t>
      </w:r>
      <w:r>
        <w:t xml:space="preserve">, </w:t>
      </w:r>
      <w:r w:rsidR="00E23A84">
        <w:t>the appropriate economic evaluation is a cost-effective analysis or a cost-utility analysis.</w:t>
      </w:r>
    </w:p>
    <w:p w14:paraId="1A79C0ED" w14:textId="0C52094E" w:rsidR="00645523" w:rsidRPr="00645523" w:rsidRDefault="00645523" w:rsidP="00645523">
      <w:pPr>
        <w:rPr>
          <w:i/>
          <w:iCs/>
        </w:rPr>
      </w:pPr>
      <w:r w:rsidRPr="00645523">
        <w:rPr>
          <w:i/>
          <w:iCs/>
        </w:rPr>
        <w:t xml:space="preserve">PASC noted that the applicant’s claim </w:t>
      </w:r>
      <w:r w:rsidR="000B7603">
        <w:rPr>
          <w:i/>
          <w:iCs/>
        </w:rPr>
        <w:t>is of superior</w:t>
      </w:r>
      <w:r w:rsidRPr="00645523">
        <w:rPr>
          <w:i/>
          <w:iCs/>
        </w:rPr>
        <w:t xml:space="preserve"> comparative safety and considered a cost effectiveness analysis or cost utility analysis to be appropriate. </w:t>
      </w:r>
    </w:p>
    <w:p w14:paraId="5B39882D" w14:textId="62DBBD34" w:rsidR="006C4FA6" w:rsidRPr="001017F5" w:rsidRDefault="00645523" w:rsidP="00645523">
      <w:pPr>
        <w:rPr>
          <w:i/>
          <w:iCs/>
        </w:rPr>
      </w:pPr>
      <w:r w:rsidRPr="00645523">
        <w:rPr>
          <w:i/>
          <w:iCs/>
        </w:rPr>
        <w:t>PASC noted that the economic evaluation would need to model both short-term and long-term outcomes</w:t>
      </w:r>
      <w:r w:rsidR="006C4FA6" w:rsidRPr="001017F5">
        <w:rPr>
          <w:i/>
          <w:iCs/>
        </w:rPr>
        <w:t>.</w:t>
      </w:r>
    </w:p>
    <w:p w14:paraId="1DCD6CD8" w14:textId="381BD1D4" w:rsidR="00E23A84" w:rsidRDefault="00E23A84" w:rsidP="000D6739">
      <w:pPr>
        <w:pStyle w:val="Heading2"/>
        <w:spacing w:after="200"/>
      </w:pPr>
      <w:r w:rsidRPr="00DE762F">
        <w:t>Proposal for public funding</w:t>
      </w:r>
    </w:p>
    <w:p w14:paraId="626EF6C1" w14:textId="6FE807CF" w:rsidR="00E23A84" w:rsidRDefault="00E23A84" w:rsidP="00302A66">
      <w:pPr>
        <w:spacing w:before="240"/>
      </w:pPr>
      <w:r>
        <w:t xml:space="preserve">The </w:t>
      </w:r>
      <w:r w:rsidR="00B24970">
        <w:t>Department has confirmed that a new MBS item is not required for implantation of an epicardial clip</w:t>
      </w:r>
      <w:r>
        <w:t xml:space="preserve"> </w:t>
      </w:r>
      <w:r w:rsidR="00B24970">
        <w:t>because</w:t>
      </w:r>
      <w:r>
        <w:t xml:space="preserve"> the impact on the total duration of open </w:t>
      </w:r>
      <w:r w:rsidR="00921064">
        <w:t xml:space="preserve">cardiac </w:t>
      </w:r>
      <w:r>
        <w:t>surgery</w:t>
      </w:r>
      <w:r w:rsidR="00B24970">
        <w:t xml:space="preserve"> is insubstantial</w:t>
      </w:r>
      <w:r>
        <w:t xml:space="preserve"> </w:t>
      </w:r>
      <w:r w:rsidR="00B24970">
        <w:t>(</w:t>
      </w:r>
      <w:r>
        <w:t>the device only takes five to seven minutes to implant</w:t>
      </w:r>
      <w:r w:rsidR="00B24970">
        <w:t>)</w:t>
      </w:r>
      <w:r>
        <w:t>.</w:t>
      </w:r>
    </w:p>
    <w:p w14:paraId="66DF8FFE" w14:textId="77576C70" w:rsidR="001B5832" w:rsidRPr="00ED0C93" w:rsidRDefault="001B5832" w:rsidP="00AE7A87">
      <w:pPr>
        <w:rPr>
          <w:i/>
          <w:iCs/>
        </w:rPr>
      </w:pPr>
      <w:r w:rsidRPr="001B5832">
        <w:rPr>
          <w:i/>
          <w:iCs/>
        </w:rPr>
        <w:t>PASC agreed that no new MBS item is required for the LAA closure with an epicardial clip due to the insubstantial impact on the total duration of open cardiac surgery.</w:t>
      </w:r>
    </w:p>
    <w:p w14:paraId="55FD236D" w14:textId="51DCEB5F" w:rsidR="00E23A84" w:rsidRDefault="00E23A84" w:rsidP="00AE7A87">
      <w:r>
        <w:t>Cardiac MBS item numbers underwent substantial changes on 1</w:t>
      </w:r>
      <w:r w:rsidRPr="00C510E8">
        <w:rPr>
          <w:vertAlign w:val="superscript"/>
        </w:rPr>
        <w:t>st</w:t>
      </w:r>
      <w:r>
        <w:t xml:space="preserve"> July 2021 in accordance with the MBS Review Taskforce (Medicare Benefits Schedule 2021).</w:t>
      </w:r>
      <w:r w:rsidR="000075EA">
        <w:t xml:space="preserve"> </w:t>
      </w:r>
      <w:r>
        <w:t xml:space="preserve">The CABG and valvular repair/replacement surgery MBS items </w:t>
      </w:r>
      <w:r w:rsidR="004C6D6B">
        <w:t>(</w:t>
      </w:r>
      <w:r w:rsidR="004C6D6B" w:rsidRPr="004C6D6B">
        <w:fldChar w:fldCharType="begin"/>
      </w:r>
      <w:r w:rsidR="004C6D6B" w:rsidRPr="004C6D6B">
        <w:instrText xml:space="preserve"> REF _Ref77688483 \h  \* MERGEFORMAT </w:instrText>
      </w:r>
      <w:r w:rsidR="004C6D6B" w:rsidRPr="004C6D6B">
        <w:fldChar w:fldCharType="separate"/>
      </w:r>
      <w:r w:rsidR="008443A4">
        <w:t xml:space="preserve">Table </w:t>
      </w:r>
      <w:r w:rsidR="008443A4">
        <w:rPr>
          <w:noProof/>
        </w:rPr>
        <w:t>5</w:t>
      </w:r>
      <w:r w:rsidR="004C6D6B" w:rsidRPr="004C6D6B">
        <w:fldChar w:fldCharType="end"/>
      </w:r>
      <w:r w:rsidR="004C6D6B" w:rsidRPr="004C6D6B">
        <w:t xml:space="preserve"> and </w:t>
      </w:r>
      <w:r w:rsidR="004C6D6B" w:rsidRPr="004C6D6B">
        <w:fldChar w:fldCharType="begin"/>
      </w:r>
      <w:r w:rsidR="004C6D6B" w:rsidRPr="004C6D6B">
        <w:instrText xml:space="preserve"> REF _Ref77688486 \h  \* MERGEFORMAT </w:instrText>
      </w:r>
      <w:r w:rsidR="004C6D6B" w:rsidRPr="004C6D6B">
        <w:fldChar w:fldCharType="separate"/>
      </w:r>
      <w:r w:rsidR="008443A4">
        <w:t xml:space="preserve">Table </w:t>
      </w:r>
      <w:r w:rsidR="008443A4">
        <w:rPr>
          <w:noProof/>
        </w:rPr>
        <w:t>6</w:t>
      </w:r>
      <w:r w:rsidR="004C6D6B" w:rsidRPr="004C6D6B">
        <w:fldChar w:fldCharType="end"/>
      </w:r>
      <w:r w:rsidR="004C6D6B">
        <w:t>)</w:t>
      </w:r>
      <w:r w:rsidR="00B24970">
        <w:t xml:space="preserve"> </w:t>
      </w:r>
      <w:r>
        <w:t xml:space="preserve">may be used in conjunction with </w:t>
      </w:r>
      <w:r w:rsidR="000A1F7E">
        <w:t xml:space="preserve">implantation of </w:t>
      </w:r>
      <w:r>
        <w:t xml:space="preserve">the </w:t>
      </w:r>
      <w:r w:rsidR="00B24970">
        <w:t>epicardial clip</w:t>
      </w:r>
      <w:r>
        <w:t>. The</w:t>
      </w:r>
      <w:r w:rsidR="000014F1">
        <w:t>se</w:t>
      </w:r>
      <w:r>
        <w:t xml:space="preserve"> MBS item numbers differ </w:t>
      </w:r>
      <w:r w:rsidR="00B24970">
        <w:t xml:space="preserve">from </w:t>
      </w:r>
      <w:r>
        <w:t xml:space="preserve">those claimed historically </w:t>
      </w:r>
      <w:r w:rsidR="000014F1">
        <w:t>(</w:t>
      </w:r>
      <w:r>
        <w:t>and represented in the utilisation estimates</w:t>
      </w:r>
      <w:r w:rsidR="000014F1">
        <w:t xml:space="preserve"> in</w:t>
      </w:r>
      <w:r>
        <w:t xml:space="preserve"> </w:t>
      </w:r>
      <w:r>
        <w:fldChar w:fldCharType="begin"/>
      </w:r>
      <w:r>
        <w:instrText xml:space="preserve"> REF _Ref76030377 \h </w:instrText>
      </w:r>
      <w:r>
        <w:fldChar w:fldCharType="separate"/>
      </w:r>
      <w:r w:rsidR="008443A4">
        <w:t xml:space="preserve">Figure </w:t>
      </w:r>
      <w:r w:rsidR="008443A4">
        <w:rPr>
          <w:noProof/>
        </w:rPr>
        <w:t>1</w:t>
      </w:r>
      <w:r>
        <w:fldChar w:fldCharType="end"/>
      </w:r>
      <w:r>
        <w:t>).</w:t>
      </w:r>
    </w:p>
    <w:p w14:paraId="50400637" w14:textId="5CCE62C6" w:rsidR="00E23A84" w:rsidRDefault="00E23A84" w:rsidP="00AE7A87">
      <w:r>
        <w:t xml:space="preserve">CABG items have been consolidated into a single </w:t>
      </w:r>
      <w:r w:rsidR="000014F1">
        <w:t xml:space="preserve">MBS </w:t>
      </w:r>
      <w:r>
        <w:t xml:space="preserve">item (38502). Four additional </w:t>
      </w:r>
      <w:r w:rsidR="000014F1">
        <w:t xml:space="preserve">MBS </w:t>
      </w:r>
      <w:r>
        <w:t>items can be claimed with the primary procedure when additional procedures are required (38510, 38511, 38513 and 38637)</w:t>
      </w:r>
      <w:r w:rsidR="000014F1">
        <w:t>.</w:t>
      </w:r>
    </w:p>
    <w:p w14:paraId="74B020E4" w14:textId="65B989F4" w:rsidR="004C6D6B" w:rsidRDefault="004C6D6B" w:rsidP="00AE7A87">
      <w:r>
        <w:t>There are two valve replacement MBS items (38484 and 38499) and two valve repair items (38516 and 38517). A stand-alone item for annuloplasty is available (38477). Two MBS items (38519 and 38490) can be claimed as add-on items with valve repair or replacement.</w:t>
      </w:r>
    </w:p>
    <w:p w14:paraId="2B126A25" w14:textId="6991912C" w:rsidR="00E52B57" w:rsidRDefault="00E52B57" w:rsidP="00974C24">
      <w:pPr>
        <w:pStyle w:val="Caption"/>
      </w:pPr>
      <w:bookmarkStart w:id="11" w:name="_Ref77688483"/>
      <w:r>
        <w:t xml:space="preserve">Table </w:t>
      </w:r>
      <w:r>
        <w:fldChar w:fldCharType="begin"/>
      </w:r>
      <w:r>
        <w:instrText xml:space="preserve"> SEQ Table \* ARABIC </w:instrText>
      </w:r>
      <w:r>
        <w:fldChar w:fldCharType="separate"/>
      </w:r>
      <w:r w:rsidR="008443A4">
        <w:rPr>
          <w:noProof/>
        </w:rPr>
        <w:t>5</w:t>
      </w:r>
      <w:r>
        <w:fldChar w:fldCharType="end"/>
      </w:r>
      <w:bookmarkEnd w:id="11"/>
      <w:r>
        <w:tab/>
        <w:t>MBS item for coronary artery bypass</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23A84" w14:paraId="5795B10F"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33B5E19" w14:textId="77777777" w:rsidR="00E23A84" w:rsidRDefault="00E23A84" w:rsidP="00AE7A87">
            <w:pPr>
              <w:pStyle w:val="TableText0"/>
              <w:jc w:val="right"/>
              <w:rPr>
                <w:rFonts w:ascii="Calibri" w:eastAsia="Calibri" w:hAnsi="Calibri"/>
              </w:rPr>
            </w:pPr>
            <w:r>
              <w:t>Category 3 – THERAPEUTIC PROCEDURES</w:t>
            </w:r>
          </w:p>
        </w:tc>
      </w:tr>
      <w:tr w:rsidR="00E23A84" w14:paraId="49B4ABCC"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4B66D55" w14:textId="77777777" w:rsidR="00E23A84" w:rsidRPr="006548C2" w:rsidRDefault="00E23A84" w:rsidP="00AE7A87">
            <w:pPr>
              <w:pStyle w:val="TableText0"/>
              <w:spacing w:after="120"/>
            </w:pPr>
            <w:r w:rsidRPr="006548C2">
              <w:t xml:space="preserve">MBS </w:t>
            </w:r>
            <w:r>
              <w:t>38502</w:t>
            </w:r>
          </w:p>
          <w:p w14:paraId="058D2A67" w14:textId="77777777" w:rsidR="00E23A84" w:rsidRPr="006548C2" w:rsidRDefault="00E23A84" w:rsidP="00AE7A87">
            <w:pPr>
              <w:pStyle w:val="TableText0"/>
              <w:spacing w:after="120"/>
            </w:pPr>
            <w:r>
              <w:t>Coronary artery bypass, including cardiopulmonary bypass, with or without retrograde cardioplegia, with or without vein grafts, and including at least one of the following:</w:t>
            </w:r>
            <w:r>
              <w:br/>
              <w:t>(a) harvesting of left internal mammary artery and vein graft material;</w:t>
            </w:r>
            <w:r>
              <w:br/>
              <w:t>(b) harvesting of left internal mammary artery;</w:t>
            </w:r>
            <w:r>
              <w:br/>
              <w:t>(c) harvesting of vein graft material;</w:t>
            </w:r>
            <w:r>
              <w:br/>
              <w:t>other than a service associated with a service to which item 11704, 11705, 11707, 11714, 18260, 33824, 38418, 38806 or 45503 applies (H</w:t>
            </w:r>
            <w:r w:rsidRPr="006749BD">
              <w:rPr>
                <w:b/>
                <w:bCs/>
              </w:rPr>
              <w:t>)</w:t>
            </w:r>
            <w:r>
              <w:rPr>
                <w:b/>
                <w:bCs/>
              </w:rPr>
              <w:t>.</w:t>
            </w:r>
          </w:p>
          <w:p w14:paraId="13A060B3" w14:textId="77777777" w:rsidR="00E23A84" w:rsidRPr="006548C2" w:rsidRDefault="00E23A84" w:rsidP="00AE7A87">
            <w:pPr>
              <w:pStyle w:val="TableText0"/>
              <w:spacing w:after="120"/>
            </w:pPr>
            <w:r w:rsidRPr="006548C2">
              <w:t>(Anaes.) (Assist.)</w:t>
            </w:r>
          </w:p>
          <w:p w14:paraId="0AAA7E1C" w14:textId="77777777" w:rsidR="00E23A84" w:rsidRDefault="00E23A84" w:rsidP="00AE7A87">
            <w:pPr>
              <w:pStyle w:val="TableText0"/>
              <w:spacing w:after="120"/>
              <w:rPr>
                <w:u w:val="dotted" w:color="FF0000"/>
              </w:rPr>
            </w:pPr>
            <w:r w:rsidRPr="006548C2">
              <w:t>Fee: $2</w:t>
            </w:r>
            <w:r>
              <w:t>,451.55</w:t>
            </w:r>
            <w:r w:rsidRPr="006548C2">
              <w:t xml:space="preserve"> Benefit: 75% = $</w:t>
            </w:r>
            <w:r>
              <w:t>1,838.70</w:t>
            </w:r>
          </w:p>
        </w:tc>
      </w:tr>
    </w:tbl>
    <w:p w14:paraId="332F90B8" w14:textId="77777777" w:rsidR="00E23A84" w:rsidRDefault="00E23A84" w:rsidP="00AE7A87"/>
    <w:p w14:paraId="5BE00547" w14:textId="76546973" w:rsidR="00E52B57" w:rsidRDefault="00E52B57" w:rsidP="00974C24">
      <w:pPr>
        <w:pStyle w:val="Caption"/>
      </w:pPr>
      <w:bookmarkStart w:id="12" w:name="_Ref77688486"/>
      <w:r>
        <w:lastRenderedPageBreak/>
        <w:t xml:space="preserve">Table </w:t>
      </w:r>
      <w:r>
        <w:fldChar w:fldCharType="begin"/>
      </w:r>
      <w:r>
        <w:instrText xml:space="preserve"> SEQ Table \* ARABIC </w:instrText>
      </w:r>
      <w:r>
        <w:fldChar w:fldCharType="separate"/>
      </w:r>
      <w:r w:rsidR="008443A4">
        <w:rPr>
          <w:noProof/>
        </w:rPr>
        <w:t>6</w:t>
      </w:r>
      <w:r>
        <w:fldChar w:fldCharType="end"/>
      </w:r>
      <w:bookmarkEnd w:id="12"/>
      <w:r>
        <w:tab/>
        <w:t>MBS items for valve repair or replacement</w:t>
      </w:r>
    </w:p>
    <w:tbl>
      <w:tblPr>
        <w:tblStyle w:val="TableGrid"/>
        <w:tblpPr w:leftFromText="180" w:rightFromText="180" w:vertAnchor="text" w:horzAnchor="margin" w:tblpY="75"/>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23A84" w14:paraId="294D4B80"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2E5E9F5" w14:textId="77777777" w:rsidR="00E23A84" w:rsidRDefault="00E23A84" w:rsidP="00AE7A87">
            <w:pPr>
              <w:pStyle w:val="TableText0"/>
              <w:spacing w:before="120"/>
              <w:jc w:val="right"/>
              <w:rPr>
                <w:rFonts w:ascii="Calibri" w:eastAsia="Calibri" w:hAnsi="Calibri"/>
              </w:rPr>
            </w:pPr>
            <w:r>
              <w:t>Category 3 – THERAPEUTIC PROCEDURES</w:t>
            </w:r>
          </w:p>
        </w:tc>
      </w:tr>
      <w:tr w:rsidR="00E23A84" w14:paraId="79A2F5EE"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5562BC5" w14:textId="77777777" w:rsidR="00E23A84" w:rsidRPr="00DE4697" w:rsidRDefault="00E23A84" w:rsidP="00AE7A87">
            <w:pPr>
              <w:pStyle w:val="TableText0"/>
              <w:spacing w:after="120"/>
              <w:rPr>
                <w:u w:color="FF0000"/>
              </w:rPr>
            </w:pPr>
            <w:r w:rsidRPr="00DE4697">
              <w:rPr>
                <w:u w:color="FF0000"/>
              </w:rPr>
              <w:t>MBS 38</w:t>
            </w:r>
            <w:r>
              <w:rPr>
                <w:u w:color="FF0000"/>
              </w:rPr>
              <w:t>484</w:t>
            </w:r>
          </w:p>
          <w:p w14:paraId="25D9D5DF" w14:textId="77777777" w:rsidR="00E23A84" w:rsidRDefault="00E23A84" w:rsidP="00AE7A87">
            <w:pPr>
              <w:pStyle w:val="TableText0"/>
              <w:spacing w:after="120"/>
              <w:rPr>
                <w:u w:color="FF0000"/>
              </w:rPr>
            </w:pPr>
            <w:r w:rsidRPr="008E51A4">
              <w:rPr>
                <w:u w:color="FF0000"/>
              </w:rPr>
              <w:t xml:space="preserve">Aortic or pulmonary valve replacement with </w:t>
            </w:r>
            <w:proofErr w:type="spellStart"/>
            <w:r w:rsidRPr="008E51A4">
              <w:rPr>
                <w:u w:color="FF0000"/>
              </w:rPr>
              <w:t>bioprosthesis</w:t>
            </w:r>
            <w:proofErr w:type="spellEnd"/>
            <w:r w:rsidRPr="008E51A4">
              <w:rPr>
                <w:u w:color="FF0000"/>
              </w:rPr>
              <w:t xml:space="preserve"> or mechanical prosthesis, including retrograde cardioplegia (if performed), other than a service associated with a service to which item 11704, 11705, 11707, 11714, 18260, 33824, 38418, 38806 or 45503 applies (H)</w:t>
            </w:r>
            <w:r>
              <w:rPr>
                <w:u w:color="FF0000"/>
              </w:rPr>
              <w:t>.</w:t>
            </w:r>
          </w:p>
          <w:p w14:paraId="30EE936B" w14:textId="77777777" w:rsidR="00E23A84" w:rsidRPr="00DE4697" w:rsidRDefault="00E23A84" w:rsidP="00AE7A87">
            <w:pPr>
              <w:pStyle w:val="TableText0"/>
              <w:spacing w:after="120"/>
              <w:rPr>
                <w:u w:color="FF0000"/>
              </w:rPr>
            </w:pPr>
            <w:r w:rsidRPr="00DE4697">
              <w:rPr>
                <w:u w:color="FF0000"/>
              </w:rPr>
              <w:t>(Anaes.) (Assist.)</w:t>
            </w:r>
          </w:p>
          <w:p w14:paraId="4B9A4DAE" w14:textId="77777777" w:rsidR="00E23A84" w:rsidRDefault="00E23A84" w:rsidP="00AE7A87">
            <w:pPr>
              <w:pStyle w:val="TableText0"/>
              <w:spacing w:after="120"/>
              <w:rPr>
                <w:u w:val="dotted" w:color="FF0000"/>
              </w:rPr>
            </w:pPr>
            <w:r w:rsidRPr="00DE4697">
              <w:rPr>
                <w:u w:color="FF0000"/>
              </w:rPr>
              <w:t>Fee: $</w:t>
            </w:r>
            <w:r>
              <w:rPr>
                <w:u w:color="FF0000"/>
              </w:rPr>
              <w:t>2,112.20</w:t>
            </w:r>
            <w:r w:rsidRPr="00DE4697">
              <w:rPr>
                <w:u w:color="FF0000"/>
              </w:rPr>
              <w:t xml:space="preserve"> Benefit: 75% = $</w:t>
            </w:r>
            <w:r>
              <w:rPr>
                <w:u w:color="FF0000"/>
              </w:rPr>
              <w:t>1,584.15</w:t>
            </w:r>
          </w:p>
        </w:tc>
      </w:tr>
      <w:tr w:rsidR="00E52B57" w14:paraId="3A3214AC"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tcPr>
          <w:p w14:paraId="6307C4E3" w14:textId="77777777" w:rsidR="00E52B57" w:rsidRPr="00DE4697" w:rsidRDefault="00E52B57" w:rsidP="00E52B57">
            <w:pPr>
              <w:pStyle w:val="TableText0"/>
              <w:spacing w:after="120"/>
              <w:rPr>
                <w:u w:color="FF0000"/>
              </w:rPr>
            </w:pPr>
            <w:r w:rsidRPr="00DE4697">
              <w:rPr>
                <w:u w:color="FF0000"/>
              </w:rPr>
              <w:t>MBS 38</w:t>
            </w:r>
            <w:r>
              <w:rPr>
                <w:u w:color="FF0000"/>
              </w:rPr>
              <w:t>499</w:t>
            </w:r>
          </w:p>
          <w:p w14:paraId="3C1915AD" w14:textId="77777777" w:rsidR="00E52B57" w:rsidRDefault="00E52B57" w:rsidP="00E52B57">
            <w:pPr>
              <w:pStyle w:val="TableText0"/>
              <w:spacing w:after="120"/>
              <w:rPr>
                <w:u w:color="FF0000"/>
              </w:rPr>
            </w:pPr>
            <w:r w:rsidRPr="008E51A4">
              <w:rPr>
                <w:u w:color="FF0000"/>
              </w:rPr>
              <w:t xml:space="preserve">Mitral or tricuspid valve replacement with </w:t>
            </w:r>
            <w:proofErr w:type="spellStart"/>
            <w:r w:rsidRPr="008E51A4">
              <w:rPr>
                <w:u w:color="FF0000"/>
              </w:rPr>
              <w:t>bioprothesis</w:t>
            </w:r>
            <w:proofErr w:type="spellEnd"/>
            <w:r w:rsidRPr="008E51A4">
              <w:rPr>
                <w:u w:color="FF0000"/>
              </w:rPr>
              <w:t xml:space="preserve"> or mechanical prosthesis, including retrograde cardioplegia (if performed), other than a service associated with a service to which item 11704, 11705, 11707, 11714, 18260, 33824, 38418, 38806 or 45503 applies (H)</w:t>
            </w:r>
            <w:r>
              <w:rPr>
                <w:u w:color="FF0000"/>
              </w:rPr>
              <w:t>.</w:t>
            </w:r>
          </w:p>
          <w:p w14:paraId="29616631" w14:textId="77777777" w:rsidR="00E52B57" w:rsidRPr="00DE4697" w:rsidRDefault="00E52B57" w:rsidP="00E52B57">
            <w:pPr>
              <w:pStyle w:val="TableText0"/>
              <w:spacing w:after="120"/>
              <w:rPr>
                <w:u w:color="FF0000"/>
              </w:rPr>
            </w:pPr>
            <w:r w:rsidRPr="00DE4697">
              <w:rPr>
                <w:u w:color="FF0000"/>
              </w:rPr>
              <w:t>(Anaes.) (Assist.)</w:t>
            </w:r>
          </w:p>
          <w:p w14:paraId="4D225C0C" w14:textId="189A1F33" w:rsidR="00E52B57" w:rsidRPr="00DE4697" w:rsidRDefault="00E52B57" w:rsidP="00E52B57">
            <w:pPr>
              <w:pStyle w:val="TableText0"/>
              <w:spacing w:after="120"/>
              <w:rPr>
                <w:u w:color="FF0000"/>
              </w:rPr>
            </w:pPr>
            <w:r w:rsidRPr="00DE4697">
              <w:rPr>
                <w:u w:color="FF0000"/>
              </w:rPr>
              <w:t>Fee: $</w:t>
            </w:r>
            <w:r>
              <w:rPr>
                <w:u w:color="FF0000"/>
              </w:rPr>
              <w:t>2,112.20</w:t>
            </w:r>
            <w:r w:rsidRPr="00DE4697">
              <w:rPr>
                <w:u w:color="FF0000"/>
              </w:rPr>
              <w:t xml:space="preserve"> Benefit: 75% = $</w:t>
            </w:r>
            <w:r>
              <w:rPr>
                <w:u w:color="FF0000"/>
              </w:rPr>
              <w:t>1,584.15</w:t>
            </w:r>
          </w:p>
        </w:tc>
      </w:tr>
      <w:tr w:rsidR="00E52B57" w14:paraId="46575EA0"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tcPr>
          <w:p w14:paraId="1496CD69" w14:textId="77777777" w:rsidR="00E52B57" w:rsidRPr="00DE4697" w:rsidRDefault="00E52B57" w:rsidP="00E52B57">
            <w:pPr>
              <w:pStyle w:val="TableText0"/>
              <w:spacing w:after="120"/>
              <w:rPr>
                <w:u w:color="FF0000"/>
              </w:rPr>
            </w:pPr>
            <w:r w:rsidRPr="00DE4697">
              <w:rPr>
                <w:u w:color="FF0000"/>
              </w:rPr>
              <w:t>MBS 38</w:t>
            </w:r>
            <w:r>
              <w:rPr>
                <w:u w:color="FF0000"/>
              </w:rPr>
              <w:t>516</w:t>
            </w:r>
          </w:p>
          <w:p w14:paraId="7852ED90" w14:textId="77777777" w:rsidR="00E52B57" w:rsidRPr="00F47D0F" w:rsidRDefault="00E52B57" w:rsidP="00E52B57">
            <w:pPr>
              <w:pStyle w:val="TableText0"/>
              <w:spacing w:after="120"/>
              <w:rPr>
                <w:u w:color="FF0000"/>
              </w:rPr>
            </w:pPr>
            <w:r w:rsidRPr="00F47D0F">
              <w:rPr>
                <w:u w:color="FF0000"/>
              </w:rPr>
              <w:t>Simple valve repair:</w:t>
            </w:r>
          </w:p>
          <w:p w14:paraId="2070A4E6" w14:textId="77777777" w:rsidR="00E52B57" w:rsidRPr="00F47D0F" w:rsidRDefault="00E52B57" w:rsidP="00E52B57">
            <w:pPr>
              <w:pStyle w:val="TableText0"/>
              <w:spacing w:after="120"/>
              <w:rPr>
                <w:u w:color="FF0000"/>
              </w:rPr>
            </w:pPr>
            <w:r w:rsidRPr="00F47D0F">
              <w:rPr>
                <w:u w:color="FF0000"/>
              </w:rPr>
              <w:t>(a) with or without annuloplasty; and</w:t>
            </w:r>
          </w:p>
          <w:p w14:paraId="1C72E180" w14:textId="77777777" w:rsidR="00E52B57" w:rsidRPr="00F47D0F" w:rsidRDefault="00E52B57" w:rsidP="00E52B57">
            <w:pPr>
              <w:pStyle w:val="TableText0"/>
              <w:spacing w:after="120"/>
              <w:rPr>
                <w:u w:color="FF0000"/>
              </w:rPr>
            </w:pPr>
            <w:r w:rsidRPr="00F47D0F">
              <w:rPr>
                <w:u w:color="FF0000"/>
              </w:rPr>
              <w:t xml:space="preserve">(b) including quadrangular resection, cleft closure or </w:t>
            </w:r>
            <w:proofErr w:type="spellStart"/>
            <w:r w:rsidRPr="00F47D0F">
              <w:rPr>
                <w:u w:color="FF0000"/>
              </w:rPr>
              <w:t>alfieri</w:t>
            </w:r>
            <w:proofErr w:type="spellEnd"/>
            <w:r w:rsidRPr="00F47D0F">
              <w:rPr>
                <w:u w:color="FF0000"/>
              </w:rPr>
              <w:t>; and</w:t>
            </w:r>
          </w:p>
          <w:p w14:paraId="7E41AC16" w14:textId="77777777" w:rsidR="00E52B57" w:rsidRPr="00F47D0F" w:rsidRDefault="00E52B57" w:rsidP="00E52B57">
            <w:pPr>
              <w:pStyle w:val="TableText0"/>
              <w:spacing w:after="120"/>
              <w:rPr>
                <w:u w:color="FF0000"/>
              </w:rPr>
            </w:pPr>
            <w:r w:rsidRPr="00F47D0F">
              <w:rPr>
                <w:u w:color="FF0000"/>
              </w:rPr>
              <w:t>(c) including retrograde cardioplegia (if performed);</w:t>
            </w:r>
          </w:p>
          <w:p w14:paraId="3873B7DC" w14:textId="77777777" w:rsidR="00E52B57" w:rsidRPr="00DE4697" w:rsidRDefault="00E52B57" w:rsidP="00E52B57">
            <w:pPr>
              <w:pStyle w:val="TableText0"/>
              <w:spacing w:after="120"/>
              <w:rPr>
                <w:u w:color="FF0000"/>
              </w:rPr>
            </w:pPr>
            <w:r w:rsidRPr="00F47D0F">
              <w:rPr>
                <w:u w:color="FF0000"/>
              </w:rPr>
              <w:t xml:space="preserve">other than a service associated with a service to which item 11704, 11705, 11707, 11714, 18260, 33824, 38418, 38806 or 45503 applies (H) </w:t>
            </w:r>
            <w:r w:rsidRPr="00DE4697">
              <w:rPr>
                <w:u w:color="FF0000"/>
              </w:rPr>
              <w:t>(Anaes.) (Assist.)</w:t>
            </w:r>
          </w:p>
          <w:p w14:paraId="5AA6A6BC" w14:textId="4A61541B" w:rsidR="00E52B57" w:rsidRPr="00DE4697" w:rsidRDefault="00E52B57" w:rsidP="00E52B57">
            <w:pPr>
              <w:pStyle w:val="TableText0"/>
              <w:spacing w:after="120"/>
              <w:rPr>
                <w:u w:color="FF0000"/>
              </w:rPr>
            </w:pPr>
            <w:r w:rsidRPr="00F47D0F">
              <w:rPr>
                <w:u w:color="FF0000"/>
              </w:rPr>
              <w:t>Fee: $2,509.25 Benefit: 75% = $1,881.95</w:t>
            </w:r>
          </w:p>
        </w:tc>
      </w:tr>
      <w:tr w:rsidR="00E52B57" w14:paraId="36350C3C"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tcPr>
          <w:p w14:paraId="322FD963" w14:textId="77777777" w:rsidR="00E52B57" w:rsidRPr="00DE4697" w:rsidRDefault="00E52B57" w:rsidP="00E52B57">
            <w:pPr>
              <w:pStyle w:val="TableText0"/>
              <w:spacing w:after="120"/>
              <w:rPr>
                <w:u w:color="FF0000"/>
              </w:rPr>
            </w:pPr>
            <w:r w:rsidRPr="00DE4697">
              <w:rPr>
                <w:u w:color="FF0000"/>
              </w:rPr>
              <w:t>MBS 38</w:t>
            </w:r>
            <w:r>
              <w:rPr>
                <w:u w:color="FF0000"/>
              </w:rPr>
              <w:t>517</w:t>
            </w:r>
          </w:p>
          <w:p w14:paraId="70B382C7" w14:textId="77777777" w:rsidR="00E52B57" w:rsidRPr="00F47D0F" w:rsidRDefault="00E52B57" w:rsidP="00E52B57">
            <w:pPr>
              <w:pStyle w:val="TableText0"/>
              <w:spacing w:after="120"/>
              <w:rPr>
                <w:u w:color="FF0000"/>
              </w:rPr>
            </w:pPr>
            <w:r w:rsidRPr="00F47D0F">
              <w:rPr>
                <w:u w:color="FF0000"/>
              </w:rPr>
              <w:t>Complex valve repair:</w:t>
            </w:r>
          </w:p>
          <w:p w14:paraId="31AD0800" w14:textId="77777777" w:rsidR="00E52B57" w:rsidRPr="00F47D0F" w:rsidRDefault="00E52B57" w:rsidP="00E52B57">
            <w:pPr>
              <w:pStyle w:val="TableText0"/>
              <w:spacing w:after="120"/>
              <w:rPr>
                <w:u w:color="FF0000"/>
              </w:rPr>
            </w:pPr>
            <w:r w:rsidRPr="00F47D0F">
              <w:rPr>
                <w:u w:color="FF0000"/>
              </w:rPr>
              <w:t>(a) with or without annuloplasty; and</w:t>
            </w:r>
          </w:p>
          <w:p w14:paraId="5618BDA4" w14:textId="77777777" w:rsidR="00E52B57" w:rsidRPr="00F47D0F" w:rsidRDefault="00E52B57" w:rsidP="00E52B57">
            <w:pPr>
              <w:pStyle w:val="TableText0"/>
              <w:spacing w:after="120"/>
              <w:rPr>
                <w:u w:color="FF0000"/>
              </w:rPr>
            </w:pPr>
            <w:r w:rsidRPr="00F47D0F">
              <w:rPr>
                <w:u w:color="FF0000"/>
              </w:rPr>
              <w:t>(b) including retrograde cardioplegia (if performed); and</w:t>
            </w:r>
          </w:p>
          <w:p w14:paraId="0E302E06" w14:textId="77777777" w:rsidR="00E52B57" w:rsidRPr="00F47D0F" w:rsidRDefault="00E52B57" w:rsidP="00E52B57">
            <w:pPr>
              <w:pStyle w:val="TableText0"/>
              <w:spacing w:after="120"/>
              <w:rPr>
                <w:u w:color="FF0000"/>
              </w:rPr>
            </w:pPr>
            <w:r w:rsidRPr="00F47D0F">
              <w:rPr>
                <w:u w:color="FF0000"/>
              </w:rPr>
              <w:t>(c) including one of the following:</w:t>
            </w:r>
          </w:p>
          <w:p w14:paraId="69624FCE" w14:textId="77777777" w:rsidR="00E52B57" w:rsidRPr="00F47D0F" w:rsidRDefault="00E52B57" w:rsidP="00E52B57">
            <w:pPr>
              <w:pStyle w:val="TableText0"/>
              <w:spacing w:after="120"/>
              <w:rPr>
                <w:u w:color="FF0000"/>
              </w:rPr>
            </w:pPr>
            <w:r w:rsidRPr="00F47D0F">
              <w:rPr>
                <w:u w:color="FF0000"/>
              </w:rPr>
              <w:t>(</w:t>
            </w:r>
            <w:proofErr w:type="spellStart"/>
            <w:r w:rsidRPr="00F47D0F">
              <w:rPr>
                <w:u w:color="FF0000"/>
              </w:rPr>
              <w:t>i</w:t>
            </w:r>
            <w:proofErr w:type="spellEnd"/>
            <w:r w:rsidRPr="00F47D0F">
              <w:rPr>
                <w:u w:color="FF0000"/>
              </w:rPr>
              <w:t xml:space="preserve">) </w:t>
            </w:r>
            <w:proofErr w:type="spellStart"/>
            <w:r w:rsidRPr="00F47D0F">
              <w:rPr>
                <w:u w:color="FF0000"/>
              </w:rPr>
              <w:t>neochords</w:t>
            </w:r>
            <w:proofErr w:type="spellEnd"/>
            <w:r w:rsidRPr="00F47D0F">
              <w:rPr>
                <w:u w:color="FF0000"/>
              </w:rPr>
              <w:t>;</w:t>
            </w:r>
          </w:p>
          <w:p w14:paraId="7B9C7171" w14:textId="77777777" w:rsidR="00E52B57" w:rsidRPr="00F47D0F" w:rsidRDefault="00E52B57" w:rsidP="00E52B57">
            <w:pPr>
              <w:pStyle w:val="TableText0"/>
              <w:spacing w:after="120"/>
              <w:rPr>
                <w:u w:color="FF0000"/>
              </w:rPr>
            </w:pPr>
            <w:r w:rsidRPr="00F47D0F">
              <w:rPr>
                <w:u w:color="FF0000"/>
              </w:rPr>
              <w:t>(ii) chordal transfer;</w:t>
            </w:r>
          </w:p>
          <w:p w14:paraId="3BB8F390" w14:textId="77777777" w:rsidR="00E52B57" w:rsidRPr="00F47D0F" w:rsidRDefault="00E52B57" w:rsidP="00E52B57">
            <w:pPr>
              <w:pStyle w:val="TableText0"/>
              <w:spacing w:after="120"/>
              <w:rPr>
                <w:u w:color="FF0000"/>
              </w:rPr>
            </w:pPr>
            <w:r w:rsidRPr="00F47D0F">
              <w:rPr>
                <w:u w:color="FF0000"/>
              </w:rPr>
              <w:t>(iii) patch augmentation;</w:t>
            </w:r>
          </w:p>
          <w:p w14:paraId="4164AA5D" w14:textId="77777777" w:rsidR="00E52B57" w:rsidRPr="00F47D0F" w:rsidRDefault="00E52B57" w:rsidP="00E52B57">
            <w:pPr>
              <w:pStyle w:val="TableText0"/>
              <w:spacing w:after="120"/>
              <w:rPr>
                <w:u w:color="FF0000"/>
              </w:rPr>
            </w:pPr>
            <w:r w:rsidRPr="00F47D0F">
              <w:rPr>
                <w:u w:color="FF0000"/>
              </w:rPr>
              <w:t>(iv) multiple leaflets;</w:t>
            </w:r>
          </w:p>
          <w:p w14:paraId="4DE87D76" w14:textId="77777777" w:rsidR="00E52B57" w:rsidRPr="00DE4697" w:rsidRDefault="00E52B57" w:rsidP="00E52B57">
            <w:pPr>
              <w:pStyle w:val="TableText0"/>
              <w:spacing w:after="120"/>
              <w:rPr>
                <w:u w:color="FF0000"/>
              </w:rPr>
            </w:pPr>
            <w:r w:rsidRPr="00F47D0F">
              <w:rPr>
                <w:u w:color="FF0000"/>
              </w:rPr>
              <w:t xml:space="preserve">other than a service associated with a service to which item 11704, 11705, 11707, 11714, 18260, 33824, 38418, 38806 or 45503 applies (H) </w:t>
            </w:r>
            <w:r w:rsidRPr="00DE4697">
              <w:rPr>
                <w:u w:color="FF0000"/>
              </w:rPr>
              <w:t>(Anaes.) (Assist.)</w:t>
            </w:r>
          </w:p>
          <w:p w14:paraId="4FFCF44D" w14:textId="6B22033D" w:rsidR="00E52B57" w:rsidRPr="00DE4697" w:rsidRDefault="00E52B57" w:rsidP="00E52B57">
            <w:pPr>
              <w:pStyle w:val="TableText0"/>
              <w:spacing w:after="120"/>
              <w:rPr>
                <w:u w:color="FF0000"/>
              </w:rPr>
            </w:pPr>
            <w:r w:rsidRPr="00E378CC">
              <w:rPr>
                <w:u w:color="FF0000"/>
              </w:rPr>
              <w:t>Fee: $3,055.85 Benefit: 75% = $2,291.90</w:t>
            </w:r>
          </w:p>
        </w:tc>
      </w:tr>
      <w:tr w:rsidR="00E52B57" w14:paraId="7891AE6C" w14:textId="77777777" w:rsidTr="00AE7A87">
        <w:trPr>
          <w:cantSplit/>
          <w:tblHeader/>
        </w:trPr>
        <w:tc>
          <w:tcPr>
            <w:tcW w:w="9242" w:type="dxa"/>
            <w:tcBorders>
              <w:top w:val="single" w:sz="4" w:space="0" w:color="auto"/>
              <w:left w:val="single" w:sz="4" w:space="0" w:color="auto"/>
              <w:bottom w:val="single" w:sz="4" w:space="0" w:color="auto"/>
              <w:right w:val="single" w:sz="4" w:space="0" w:color="auto"/>
            </w:tcBorders>
          </w:tcPr>
          <w:p w14:paraId="3493F402" w14:textId="77777777" w:rsidR="00E52B57" w:rsidRPr="00DE4697" w:rsidRDefault="00E52B57" w:rsidP="00E52B57">
            <w:pPr>
              <w:pStyle w:val="TableText0"/>
              <w:spacing w:after="120"/>
              <w:rPr>
                <w:u w:color="FF0000"/>
              </w:rPr>
            </w:pPr>
            <w:r w:rsidRPr="00DE4697">
              <w:rPr>
                <w:u w:color="FF0000"/>
              </w:rPr>
              <w:t>MBS 38</w:t>
            </w:r>
            <w:r>
              <w:rPr>
                <w:u w:color="FF0000"/>
              </w:rPr>
              <w:t>477</w:t>
            </w:r>
          </w:p>
          <w:p w14:paraId="2B04C7B8" w14:textId="77777777" w:rsidR="00E52B57" w:rsidRPr="00E378CC" w:rsidRDefault="00E52B57" w:rsidP="00E52B57">
            <w:pPr>
              <w:pStyle w:val="TableText0"/>
              <w:spacing w:after="120"/>
              <w:rPr>
                <w:u w:color="FF0000"/>
              </w:rPr>
            </w:pPr>
            <w:r w:rsidRPr="00E378CC">
              <w:rPr>
                <w:u w:color="FF0000"/>
              </w:rPr>
              <w:t>Valve annuloplasty with insertion of ring, other than:</w:t>
            </w:r>
          </w:p>
          <w:p w14:paraId="716EB342" w14:textId="77777777" w:rsidR="00E52B57" w:rsidRPr="00E378CC" w:rsidRDefault="00E52B57" w:rsidP="00E52B57">
            <w:pPr>
              <w:pStyle w:val="TableText0"/>
              <w:spacing w:after="120"/>
              <w:rPr>
                <w:u w:color="FF0000"/>
              </w:rPr>
            </w:pPr>
            <w:r w:rsidRPr="00E378CC">
              <w:rPr>
                <w:u w:color="FF0000"/>
              </w:rPr>
              <w:t>(a) a service to which item 38516 or 38517 applies; or</w:t>
            </w:r>
          </w:p>
          <w:p w14:paraId="3EDFEDE0" w14:textId="77777777" w:rsidR="00E52B57" w:rsidRPr="00E378CC" w:rsidRDefault="00E52B57" w:rsidP="00E52B57">
            <w:pPr>
              <w:pStyle w:val="TableText0"/>
              <w:spacing w:after="120"/>
              <w:rPr>
                <w:u w:color="FF0000"/>
              </w:rPr>
            </w:pPr>
            <w:r w:rsidRPr="00E378CC">
              <w:rPr>
                <w:u w:color="FF0000"/>
              </w:rPr>
              <w:t>(b) a service associated with a service to which item 11704, 11705, 11707, 11714, 18260, 33824, 38418, 38806 or 45503 applies</w:t>
            </w:r>
          </w:p>
          <w:p w14:paraId="2FB590CE" w14:textId="77777777" w:rsidR="00E52B57" w:rsidRPr="00DE4697" w:rsidRDefault="00E52B57" w:rsidP="00E52B57">
            <w:pPr>
              <w:pStyle w:val="TableText0"/>
              <w:spacing w:after="120"/>
              <w:rPr>
                <w:u w:color="FF0000"/>
              </w:rPr>
            </w:pPr>
            <w:r w:rsidRPr="00E378CC">
              <w:rPr>
                <w:u w:color="FF0000"/>
              </w:rPr>
              <w:t xml:space="preserve">(H) </w:t>
            </w:r>
            <w:r w:rsidRPr="00DE4697">
              <w:rPr>
                <w:u w:color="FF0000"/>
              </w:rPr>
              <w:t>(Anaes.) (Assist.)</w:t>
            </w:r>
          </w:p>
          <w:p w14:paraId="703D3E73" w14:textId="6380EDEC" w:rsidR="00E52B57" w:rsidRPr="00DE4697" w:rsidRDefault="00E52B57" w:rsidP="00E52B57">
            <w:pPr>
              <w:pStyle w:val="TableText0"/>
              <w:spacing w:after="120"/>
              <w:rPr>
                <w:u w:color="FF0000"/>
              </w:rPr>
            </w:pPr>
            <w:r w:rsidRPr="00E378CC">
              <w:rPr>
                <w:u w:color="FF0000"/>
              </w:rPr>
              <w:t>Fee: $2,084.55 Benefit: 75% = $1,563.45</w:t>
            </w:r>
          </w:p>
        </w:tc>
      </w:tr>
    </w:tbl>
    <w:p w14:paraId="5195770D" w14:textId="77777777" w:rsidR="00E23A84" w:rsidRDefault="00E23A84" w:rsidP="00AE7A87"/>
    <w:p w14:paraId="5EF872F0" w14:textId="68DF9906" w:rsidR="00AE7A87" w:rsidRDefault="00AE7A87" w:rsidP="00D64C05">
      <w:pPr>
        <w:pStyle w:val="Heading3"/>
      </w:pPr>
      <w:r>
        <w:lastRenderedPageBreak/>
        <w:t>Private health insurance</w:t>
      </w:r>
    </w:p>
    <w:p w14:paraId="33E406A5" w14:textId="0471F4A1" w:rsidR="00AE7A87" w:rsidRDefault="00AE7A87" w:rsidP="00D64C05">
      <w:pPr>
        <w:rPr>
          <w:i/>
        </w:rPr>
      </w:pPr>
      <w:r>
        <w:rPr>
          <w:iCs/>
        </w:rPr>
        <w:t xml:space="preserve">AtriClip is currently </w:t>
      </w:r>
      <w:r w:rsidRPr="00760E32">
        <w:rPr>
          <w:iCs/>
        </w:rPr>
        <w:t xml:space="preserve">grouped </w:t>
      </w:r>
      <w:r>
        <w:rPr>
          <w:iCs/>
        </w:rPr>
        <w:t>on the PL within</w:t>
      </w:r>
      <w:r w:rsidRPr="00760E32">
        <w:rPr>
          <w:iCs/>
        </w:rPr>
        <w:t xml:space="preserve"> 09.08.02 – Surgical Closure Devices (Atrial Appendage)</w:t>
      </w:r>
      <w:r>
        <w:rPr>
          <w:iCs/>
        </w:rPr>
        <w:t>,</w:t>
      </w:r>
      <w:r w:rsidRPr="00760E32">
        <w:rPr>
          <w:iCs/>
        </w:rPr>
        <w:t xml:space="preserve"> </w:t>
      </w:r>
      <w:r>
        <w:rPr>
          <w:iCs/>
        </w:rPr>
        <w:t>and is the only device in this grouping</w:t>
      </w:r>
      <w:r w:rsidRPr="00760E32">
        <w:rPr>
          <w:iCs/>
        </w:rPr>
        <w:t>.</w:t>
      </w:r>
      <w:r>
        <w:rPr>
          <w:iCs/>
        </w:rPr>
        <w:t xml:space="preserve"> The current PL benefit (at July 2021) is $1,097. MSAC Application 1666 is seeking a higher benefit of $2,450. </w:t>
      </w:r>
    </w:p>
    <w:p w14:paraId="4F55ACF0" w14:textId="4C781CF8" w:rsidR="00CD3429" w:rsidRPr="001017F5" w:rsidRDefault="001B5832" w:rsidP="001B5832">
      <w:pPr>
        <w:rPr>
          <w:i/>
          <w:iCs/>
        </w:rPr>
      </w:pPr>
      <w:r w:rsidRPr="001B5832">
        <w:rPr>
          <w:i/>
          <w:iCs/>
        </w:rPr>
        <w:t>The application is requesting a $1,400 premium above the existing price on the Protheses List. PASC advised that the assessment report would need to provide justification for a price increase compared to its comparators, rather than to show that the epicardial clip is effective in LAA closure</w:t>
      </w:r>
      <w:r w:rsidR="00CD3429" w:rsidRPr="001017F5">
        <w:rPr>
          <w:i/>
          <w:iCs/>
        </w:rPr>
        <w:t>.</w:t>
      </w:r>
    </w:p>
    <w:p w14:paraId="3117D2B7" w14:textId="7B22CFDE" w:rsidR="00E23A84" w:rsidRDefault="00431AAE" w:rsidP="00D64C05">
      <w:pPr>
        <w:pStyle w:val="Heading2"/>
      </w:pPr>
      <w:r>
        <w:t>Summary of public consultation</w:t>
      </w:r>
      <w:r w:rsidRPr="00D37A3F">
        <w:t xml:space="preserve"> </w:t>
      </w:r>
      <w:r>
        <w:t>input</w:t>
      </w:r>
    </w:p>
    <w:p w14:paraId="477F5FEA" w14:textId="22C26F33" w:rsidR="00B61D6A" w:rsidRDefault="00B61D6A" w:rsidP="00302A66">
      <w:pPr>
        <w:spacing w:before="240"/>
      </w:pPr>
      <w:r>
        <w:t xml:space="preserve">The </w:t>
      </w:r>
      <w:r w:rsidR="000B7603">
        <w:t xml:space="preserve">Department </w:t>
      </w:r>
      <w:r>
        <w:t xml:space="preserve">received </w:t>
      </w:r>
      <w:r w:rsidR="004A2C74">
        <w:t xml:space="preserve">a response to the </w:t>
      </w:r>
      <w:r>
        <w:t>targeted consultation from</w:t>
      </w:r>
      <w:r w:rsidRPr="0052581F">
        <w:t xml:space="preserve"> </w:t>
      </w:r>
      <w:r>
        <w:t xml:space="preserve">Hearts4heart, a </w:t>
      </w:r>
      <w:r w:rsidR="000A1F7E">
        <w:t xml:space="preserve">consumer </w:t>
      </w:r>
      <w:r w:rsidR="00802B83">
        <w:t xml:space="preserve">peak </w:t>
      </w:r>
      <w:r>
        <w:t xml:space="preserve">body. The </w:t>
      </w:r>
      <w:r w:rsidR="00802B83">
        <w:t>organisation</w:t>
      </w:r>
      <w:r>
        <w:t xml:space="preserve"> was supportive of the </w:t>
      </w:r>
      <w:r w:rsidR="00F06F65">
        <w:t>application and</w:t>
      </w:r>
      <w:r>
        <w:t xml:space="preserve"> considered that occlusion of the left atrial appendage could provide an alternative therapy </w:t>
      </w:r>
      <w:r w:rsidR="004839C0">
        <w:t xml:space="preserve">and </w:t>
      </w:r>
      <w:r>
        <w:t xml:space="preserve">improve health outcomes for patients with persistent and permanent AF, where catheter ablation had not </w:t>
      </w:r>
      <w:r w:rsidR="000B7603">
        <w:t xml:space="preserve">been </w:t>
      </w:r>
      <w:r>
        <w:t xml:space="preserve">successful. </w:t>
      </w:r>
    </w:p>
    <w:p w14:paraId="0A9B34C9" w14:textId="32AB0F26" w:rsidR="00302A66" w:rsidRDefault="00302A66" w:rsidP="00302A66">
      <w:pPr>
        <w:spacing w:before="240"/>
      </w:pPr>
      <w:r w:rsidRPr="006F6138">
        <w:rPr>
          <w:rFonts w:asciiTheme="minorHAnsi" w:hAnsiTheme="minorHAnsi" w:cstheme="minorHAnsi"/>
          <w:i/>
        </w:rPr>
        <w:t>PASC noted the consultation feedback.</w:t>
      </w:r>
    </w:p>
    <w:p w14:paraId="414457B8" w14:textId="57AB3FAD" w:rsidR="00934759" w:rsidRPr="00753C45" w:rsidRDefault="00E23A84" w:rsidP="00753C45">
      <w:pPr>
        <w:pStyle w:val="Heading2"/>
      </w:pPr>
      <w:r w:rsidRPr="00D37A3F">
        <w:t>Next steps</w:t>
      </w:r>
    </w:p>
    <w:p w14:paraId="3B9C37A0" w14:textId="34A82D9D" w:rsidR="001B5832" w:rsidRPr="00D454B9" w:rsidRDefault="001B5832" w:rsidP="001B5832">
      <w:pPr>
        <w:spacing w:line="23" w:lineRule="atLeast"/>
        <w:rPr>
          <w:i/>
        </w:rPr>
      </w:pPr>
      <w:r w:rsidRPr="00D454B9">
        <w:rPr>
          <w:i/>
        </w:rPr>
        <w:t xml:space="preserve">PASC advised that, upon ratification of the PICO Confirmation, the application can progress to the Evaluation Sub-Committee (ESC) stage of the MSAC process. </w:t>
      </w:r>
    </w:p>
    <w:p w14:paraId="22C7C0CF" w14:textId="120752F0" w:rsidR="00271A0C" w:rsidRPr="003001A8" w:rsidRDefault="001B5832" w:rsidP="001017F5">
      <w:pPr>
        <w:rPr>
          <w:i/>
        </w:rPr>
      </w:pPr>
      <w:r w:rsidRPr="00D454B9">
        <w:rPr>
          <w:i/>
        </w:rPr>
        <w:t>PASC noted that the applicant has elected to progress its applications as an ADAR (applicant developed assessment report)</w:t>
      </w:r>
      <w:r w:rsidR="00CD3429" w:rsidRPr="00D454B9">
        <w:rPr>
          <w:i/>
        </w:rPr>
        <w:t>.</w:t>
      </w:r>
    </w:p>
    <w:p w14:paraId="1E1A879B" w14:textId="0D500DC6" w:rsidR="003001A8" w:rsidRDefault="003001A8" w:rsidP="003001A8">
      <w:pPr>
        <w:pStyle w:val="Heading2"/>
      </w:pPr>
      <w:r>
        <w:t>Applicant comments on PICO Confirmation</w:t>
      </w:r>
    </w:p>
    <w:p w14:paraId="2C030775" w14:textId="19948758" w:rsidR="003001A8" w:rsidRPr="003001A8" w:rsidRDefault="003001A8" w:rsidP="003001A8">
      <w:pPr>
        <w:rPr>
          <w:i/>
          <w:iCs/>
        </w:rPr>
        <w:sectPr w:rsidR="003001A8" w:rsidRPr="003001A8" w:rsidSect="0011559A">
          <w:footerReference w:type="even" r:id="rId13"/>
          <w:footerReference w:type="default" r:id="rId14"/>
          <w:pgSz w:w="11906" w:h="16838"/>
          <w:pgMar w:top="682" w:right="1134" w:bottom="1021" w:left="1191" w:header="709" w:footer="709" w:gutter="0"/>
          <w:cols w:space="708"/>
          <w:docGrid w:linePitch="360"/>
        </w:sectPr>
      </w:pPr>
      <w:r>
        <w:rPr>
          <w:i/>
          <w:iCs/>
        </w:rPr>
        <w:t>The applicant provided Nil comments on the PICO Confirmation</w:t>
      </w:r>
    </w:p>
    <w:p w14:paraId="0B41EF72" w14:textId="77777777" w:rsidR="00E23A84" w:rsidRDefault="00E23A84" w:rsidP="00AE7A87">
      <w:pPr>
        <w:pStyle w:val="Heading2"/>
      </w:pPr>
      <w:r w:rsidRPr="00A33126">
        <w:lastRenderedPageBreak/>
        <w:t>References</w:t>
      </w:r>
    </w:p>
    <w:p w14:paraId="319D25DE" w14:textId="77777777" w:rsidR="00E23A84" w:rsidRPr="00EF172C" w:rsidRDefault="00E23A84" w:rsidP="00AE7A87">
      <w:pPr>
        <w:pStyle w:val="EndNoteBibliography"/>
        <w:spacing w:after="40"/>
        <w:ind w:left="720" w:hanging="720"/>
      </w:pPr>
      <w:r w:rsidRPr="00EF172C">
        <w:t xml:space="preserve">Arora, S., Vemulapalli, S., Stebbins, A., Ramm, C. J., Kosinski, A. S., Sorajja, P., Piccini, J. P., Cavender, M. A., &amp; Vavalle, J. P. (2019). The prevalence and impact of atrial fibrillation on 1-year outcomes in patients undergoing transcatheter mitral valve repair: results from the Society of Thoracic Surgeons/American College of Cardiology Transcatheter Valve Therapy Registry. </w:t>
      </w:r>
      <w:r w:rsidRPr="00EF172C">
        <w:rPr>
          <w:i/>
        </w:rPr>
        <w:t>Cardiovascular Interventions, 12</w:t>
      </w:r>
      <w:r w:rsidRPr="00EF172C">
        <w:t xml:space="preserve">(6), 569-578. </w:t>
      </w:r>
    </w:p>
    <w:p w14:paraId="74C2940E" w14:textId="17E333B3" w:rsidR="00E23A84" w:rsidRPr="000D6739" w:rsidRDefault="00E23A84" w:rsidP="00AE7A87">
      <w:pPr>
        <w:pStyle w:val="EndNoteBibliography"/>
        <w:spacing w:after="40"/>
        <w:ind w:left="720" w:hanging="720"/>
        <w:rPr>
          <w:rFonts w:asciiTheme="minorHAnsi" w:hAnsiTheme="minorHAnsi" w:cstheme="minorHAnsi"/>
        </w:rPr>
      </w:pPr>
      <w:r>
        <w:t>Australian Institute of Health and Welfare</w:t>
      </w:r>
      <w:r w:rsidRPr="00EF172C">
        <w:t xml:space="preserve"> (</w:t>
      </w:r>
      <w:r>
        <w:t xml:space="preserve">AIHW </w:t>
      </w:r>
      <w:r w:rsidRPr="00EF172C">
        <w:t xml:space="preserve">2020a). </w:t>
      </w:r>
      <w:r w:rsidRPr="00EF172C">
        <w:rPr>
          <w:i/>
        </w:rPr>
        <w:t>Atrial fibrillation in Australia</w:t>
      </w:r>
      <w:r w:rsidRPr="00EF172C">
        <w:t xml:space="preserve">. Retrieved 8 June 2021 from </w:t>
      </w:r>
      <w:hyperlink r:id="rId15" w:history="1">
        <w:r w:rsidR="00EE4E82" w:rsidRPr="000D6739">
          <w:rPr>
            <w:rStyle w:val="Hyperlink"/>
            <w:rFonts w:asciiTheme="minorHAnsi" w:hAnsiTheme="minorHAnsi" w:cstheme="minorHAnsi"/>
          </w:rPr>
          <w:t>https://www.aihw.gov.au/reports/heart-stroke-vascular-diseases/atrial-fibrillation-in-australia/contents/stroke-and-atrial-fibrillation</w:t>
        </w:r>
      </w:hyperlink>
    </w:p>
    <w:p w14:paraId="67B6D831" w14:textId="02430F01" w:rsidR="00E23A84" w:rsidRPr="000D6739" w:rsidRDefault="00E23A84" w:rsidP="00AE7A87">
      <w:pPr>
        <w:pStyle w:val="EndNoteBibliography"/>
        <w:spacing w:after="40"/>
        <w:ind w:left="720" w:hanging="720"/>
        <w:rPr>
          <w:rFonts w:asciiTheme="minorHAnsi" w:hAnsiTheme="minorHAnsi" w:cstheme="minorHAnsi"/>
        </w:rPr>
      </w:pPr>
      <w:r w:rsidRPr="000D6739">
        <w:rPr>
          <w:rFonts w:asciiTheme="minorHAnsi" w:hAnsiTheme="minorHAnsi" w:cstheme="minorHAnsi"/>
        </w:rPr>
        <w:t xml:space="preserve">Australian Institute of Health and Welfare (AIHW 2020b). </w:t>
      </w:r>
      <w:r w:rsidRPr="000D6739">
        <w:rPr>
          <w:rFonts w:asciiTheme="minorHAnsi" w:hAnsiTheme="minorHAnsi" w:cstheme="minorHAnsi"/>
          <w:i/>
        </w:rPr>
        <w:t>Stroke</w:t>
      </w:r>
      <w:r w:rsidRPr="000D6739">
        <w:rPr>
          <w:rFonts w:asciiTheme="minorHAnsi" w:hAnsiTheme="minorHAnsi" w:cstheme="minorHAnsi"/>
        </w:rPr>
        <w:t xml:space="preserve">. Retrieved 4th June 2021 from </w:t>
      </w:r>
      <w:hyperlink r:id="rId16" w:history="1">
        <w:r w:rsidRPr="000D6739">
          <w:rPr>
            <w:rStyle w:val="Hyperlink"/>
            <w:rFonts w:asciiTheme="minorHAnsi" w:hAnsiTheme="minorHAnsi" w:cstheme="minorHAnsi"/>
          </w:rPr>
          <w:t>https://www.aihw.gov.au/reports/australias-health/stroke</w:t>
        </w:r>
      </w:hyperlink>
    </w:p>
    <w:p w14:paraId="6C90BA6C" w14:textId="77777777" w:rsidR="00E23A84" w:rsidRPr="00EF172C" w:rsidRDefault="00E23A84" w:rsidP="00AE7A87">
      <w:pPr>
        <w:pStyle w:val="EndNoteBibliography"/>
        <w:spacing w:after="40"/>
        <w:ind w:left="720" w:hanging="720"/>
      </w:pPr>
      <w:r w:rsidRPr="00EF172C">
        <w:t xml:space="preserve">Brieger, D., Amerena, J., Attia, J., Bajorek, B., Chan, K., &amp; Connell, C. (2018). NHFA CSANZ Atrial Fibrillation Guideline Working Group National Heart Foundation of Australia and the Cardiac Society of Australia and New Zealand: Australian clinical guidelines for the diagnosis and management of atrial fibrillation 2018. </w:t>
      </w:r>
      <w:r w:rsidRPr="00EF172C">
        <w:rPr>
          <w:i/>
        </w:rPr>
        <w:t>Heart Lung Circ, 27</w:t>
      </w:r>
      <w:r w:rsidRPr="00EF172C">
        <w:t xml:space="preserve">, 1209-1266. </w:t>
      </w:r>
    </w:p>
    <w:p w14:paraId="074CAD49" w14:textId="77777777" w:rsidR="00E23A84" w:rsidRPr="00EF172C" w:rsidRDefault="00E23A84" w:rsidP="00AE7A87">
      <w:pPr>
        <w:pStyle w:val="EndNoteBibliography"/>
        <w:spacing w:after="40"/>
        <w:ind w:left="720" w:hanging="720"/>
      </w:pPr>
      <w:r w:rsidRPr="00EF172C">
        <w:t xml:space="preserve">Bukowska, A., Hammwöhner, M., Corradi, D., Mahardhika, W., &amp; Goette, A. (2018). Atrial thrombogenesis in atrial fibrillation. </w:t>
      </w:r>
      <w:r w:rsidRPr="00EF172C">
        <w:rPr>
          <w:i/>
        </w:rPr>
        <w:t>Herzschrittmachertherapie+ Elektrophysiologie, 29</w:t>
      </w:r>
      <w:r w:rsidRPr="00EF172C">
        <w:t xml:space="preserve">(1), 76-83. </w:t>
      </w:r>
    </w:p>
    <w:p w14:paraId="23A07A4D" w14:textId="53295630" w:rsidR="00E23A84" w:rsidRDefault="00E23A84" w:rsidP="00AE7A87">
      <w:pPr>
        <w:pStyle w:val="EndNoteBibliography"/>
        <w:spacing w:after="40"/>
        <w:ind w:left="720" w:hanging="720"/>
      </w:pPr>
      <w:r w:rsidRPr="00EF172C">
        <w:t xml:space="preserve">Caliskan, E., &amp; Emmert, M. Y. (2018). Surgical occlusion of the left atrial appendage: it is time to adopt newer techniques! </w:t>
      </w:r>
      <w:r w:rsidRPr="00EF172C">
        <w:rPr>
          <w:i/>
        </w:rPr>
        <w:t>European heart journal, 39</w:t>
      </w:r>
      <w:r w:rsidRPr="00EF172C">
        <w:t xml:space="preserve">(45), 3987-3998. </w:t>
      </w:r>
    </w:p>
    <w:p w14:paraId="73DC55C9" w14:textId="61A35CF2" w:rsidR="00EE4E82" w:rsidRPr="00EE4E82" w:rsidRDefault="00EE4E82" w:rsidP="00AE7A87">
      <w:pPr>
        <w:pStyle w:val="EndNoteBibliography"/>
        <w:spacing w:after="40"/>
        <w:ind w:left="720" w:hanging="720"/>
      </w:pPr>
      <w:r>
        <w:t xml:space="preserve">Department of Health (DoH 2021). </w:t>
      </w:r>
      <w:r>
        <w:rPr>
          <w:i/>
          <w:iCs/>
        </w:rPr>
        <w:t xml:space="preserve">Guidelines for preparing assessments for the Medical Services Advisory Committee. </w:t>
      </w:r>
      <w:r>
        <w:t xml:space="preserve">Accessed 20 July 2021 from </w:t>
      </w:r>
      <w:hyperlink r:id="rId17" w:history="1">
        <w:r w:rsidRPr="000D6739">
          <w:rPr>
            <w:rStyle w:val="Hyperlink"/>
            <w:rFonts w:ascii="Calibri" w:hAnsi="Calibri" w:cs="Calibri"/>
          </w:rPr>
          <w:t>http://www.msac.gov.au/internet/msac/publishing.nsf/Content/E0D4E4EDDE91EAC8CA2586E0007AFC75/$File/MSAC%20Guidelines-complete-16-FINAL(18May21).pdf</w:t>
        </w:r>
      </w:hyperlink>
      <w:r>
        <w:t xml:space="preserve"> </w:t>
      </w:r>
    </w:p>
    <w:p w14:paraId="3E462A7A" w14:textId="5331A9F9" w:rsidR="00A43571" w:rsidRPr="00A43571" w:rsidRDefault="00A43571" w:rsidP="00AE7A87">
      <w:pPr>
        <w:pStyle w:val="EndNoteBibliography"/>
        <w:spacing w:after="40"/>
        <w:ind w:left="720" w:hanging="720"/>
      </w:pPr>
      <w:r>
        <w:t xml:space="preserve">Department of Health and Ageing (DoHA 2012). </w:t>
      </w:r>
      <w:r>
        <w:rPr>
          <w:i/>
          <w:iCs/>
        </w:rPr>
        <w:t>Review of anticoagulation therapies in atrial fibrillation.</w:t>
      </w:r>
      <w:r>
        <w:t xml:space="preserve"> Accessed 7 July </w:t>
      </w:r>
      <w:r w:rsidR="00EE4E82">
        <w:t xml:space="preserve">2021 </w:t>
      </w:r>
      <w:r>
        <w:t xml:space="preserve">from </w:t>
      </w:r>
      <w:hyperlink r:id="rId18" w:history="1">
        <w:r w:rsidRPr="00A32588">
          <w:rPr>
            <w:rStyle w:val="Hyperlink"/>
            <w:rFonts w:ascii="Calibri" w:hAnsi="Calibri" w:cs="Calibri"/>
          </w:rPr>
          <w:t>https://www.pbs.gov.au/reviews/atrial-fibrillation-files/report-anticoagulation.pdf</w:t>
        </w:r>
      </w:hyperlink>
      <w:r w:rsidRPr="00A43571">
        <w:t>;</w:t>
      </w:r>
      <w:r>
        <w:t xml:space="preserve"> </w:t>
      </w:r>
    </w:p>
    <w:p w14:paraId="06791007" w14:textId="77777777" w:rsidR="00E23A84" w:rsidRPr="00EF172C" w:rsidRDefault="00E23A84" w:rsidP="00AE7A87">
      <w:pPr>
        <w:pStyle w:val="EndNoteBibliography"/>
        <w:spacing w:after="40"/>
        <w:ind w:left="720" w:hanging="720"/>
      </w:pPr>
      <w:r w:rsidRPr="00EF172C">
        <w:t xml:space="preserve">Hanke, T. (2018). Surgical management of the left atrial appendage: a must or a myth? </w:t>
      </w:r>
      <w:r w:rsidRPr="00EF172C">
        <w:rPr>
          <w:i/>
        </w:rPr>
        <w:t>European Journal of Cardio-Thoracic Surgery, 53</w:t>
      </w:r>
      <w:r w:rsidRPr="00EF172C">
        <w:t xml:space="preserve">(suppl_1), i33-i38. </w:t>
      </w:r>
    </w:p>
    <w:p w14:paraId="6D689D47" w14:textId="77777777" w:rsidR="00E23A84" w:rsidRPr="00EF172C" w:rsidRDefault="00E23A84" w:rsidP="00AE7A87">
      <w:pPr>
        <w:pStyle w:val="EndNoteBibliography"/>
        <w:spacing w:after="40"/>
        <w:ind w:left="720" w:hanging="720"/>
      </w:pPr>
      <w:r w:rsidRPr="00EF172C">
        <w:t xml:space="preserve">Hindricks, G., Potpara, T., Dagres, N., Arbelo, E., Bax, J. J., Blomström-Lundqvist, C., Boriani, G., Castella, M., Dan, G.-A., &amp; Dilaveris, P. E. (2021). 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 </w:t>
      </w:r>
      <w:r w:rsidRPr="00EF172C">
        <w:rPr>
          <w:i/>
        </w:rPr>
        <w:t>European heart journal, 42</w:t>
      </w:r>
      <w:r w:rsidRPr="00EF172C">
        <w:t xml:space="preserve">(5), 373-498. </w:t>
      </w:r>
    </w:p>
    <w:p w14:paraId="6166AA99" w14:textId="649BD734" w:rsidR="00E23A84" w:rsidRDefault="00E23A84" w:rsidP="00AE7A87">
      <w:pPr>
        <w:pStyle w:val="EndNoteBibliography"/>
        <w:spacing w:after="40"/>
        <w:ind w:left="720" w:hanging="720"/>
      </w:pPr>
      <w:r w:rsidRPr="00EF172C">
        <w:t xml:space="preserve">Jessurun, E. R., van Hemel, N. M., Kelder, J. C., Elbers, S., de la Rivière, A. B., Defauw, J. J., &amp; Ernst, J. M. (2000). Mitral valve surgery and atrial fibrillation: is atrial fibrillation surgery also needed? </w:t>
      </w:r>
      <w:r w:rsidRPr="00EF172C">
        <w:rPr>
          <w:i/>
        </w:rPr>
        <w:t>European Journal of Cardio-Thoracic Surgery, 17</w:t>
      </w:r>
      <w:r w:rsidRPr="00EF172C">
        <w:t xml:space="preserve">(5), 530-537. </w:t>
      </w:r>
    </w:p>
    <w:p w14:paraId="499BC2E0" w14:textId="226F471C" w:rsidR="00AC418E" w:rsidRPr="00EF172C" w:rsidRDefault="00AC418E" w:rsidP="00AE7A87">
      <w:pPr>
        <w:pStyle w:val="EndNoteBibliography"/>
        <w:spacing w:after="40"/>
        <w:ind w:left="720" w:hanging="720"/>
      </w:pPr>
      <w:r>
        <w:t xml:space="preserve">Mahmood, E., Matyal, R., Mahmood, F., Xu, X., Sharkey, A., Chaudhary, O., Karani, S. and Khabbaz, K., 2020. Impact of left atrial appendage exclusion on short-term outcomes in isolated coronary artery bypass graft surgery. </w:t>
      </w:r>
      <w:r>
        <w:rPr>
          <w:i/>
          <w:iCs/>
        </w:rPr>
        <w:t>Circulation</w:t>
      </w:r>
      <w:r>
        <w:t xml:space="preserve">, </w:t>
      </w:r>
      <w:r>
        <w:rPr>
          <w:i/>
          <w:iCs/>
        </w:rPr>
        <w:t>142</w:t>
      </w:r>
      <w:r>
        <w:t>(1), pp.20-28.</w:t>
      </w:r>
    </w:p>
    <w:p w14:paraId="3AAB8886" w14:textId="3352A22E" w:rsidR="00E23A84" w:rsidRPr="000D6739" w:rsidRDefault="00E23A84" w:rsidP="00AE7A87">
      <w:pPr>
        <w:pStyle w:val="EndNoteBibliography"/>
        <w:spacing w:after="40"/>
        <w:ind w:left="720" w:hanging="720"/>
        <w:rPr>
          <w:rFonts w:asciiTheme="minorHAnsi" w:hAnsiTheme="minorHAnsi" w:cstheme="minorHAnsi"/>
        </w:rPr>
      </w:pPr>
      <w:r>
        <w:t>Medical Services Advisory Committee</w:t>
      </w:r>
      <w:r w:rsidRPr="00EF172C">
        <w:t xml:space="preserve"> (2021). </w:t>
      </w:r>
      <w:r w:rsidRPr="00EF172C">
        <w:rPr>
          <w:i/>
        </w:rPr>
        <w:t>1615 – Transcatheter occlusion of the left atrial appendage for patients with non-valvular atrial fibrillation</w:t>
      </w:r>
      <w:r w:rsidRPr="00EF172C">
        <w:t xml:space="preserve">. Retrieved 30 June 2021 from </w:t>
      </w:r>
      <w:hyperlink r:id="rId19" w:history="1">
        <w:r w:rsidRPr="000D6739">
          <w:rPr>
            <w:rStyle w:val="Hyperlink"/>
            <w:rFonts w:asciiTheme="minorHAnsi" w:hAnsiTheme="minorHAnsi" w:cstheme="minorHAnsi"/>
          </w:rPr>
          <w:t>http://www.msac.gov.au/internet/msac/publishing.nsf/Content/1615-public</w:t>
        </w:r>
      </w:hyperlink>
      <w:r w:rsidRPr="000D6739">
        <w:rPr>
          <w:rFonts w:asciiTheme="minorHAnsi" w:hAnsiTheme="minorHAnsi" w:cstheme="minorHAnsi"/>
        </w:rPr>
        <w:t xml:space="preserve"> </w:t>
      </w:r>
    </w:p>
    <w:p w14:paraId="61A14775" w14:textId="042487B2" w:rsidR="00E23A84" w:rsidRPr="000D6739" w:rsidRDefault="00E23A84" w:rsidP="00AE7A87">
      <w:pPr>
        <w:pStyle w:val="EndNoteBibliography"/>
        <w:spacing w:after="40"/>
        <w:ind w:left="720" w:hanging="720"/>
        <w:rPr>
          <w:rFonts w:asciiTheme="minorHAnsi" w:hAnsiTheme="minorHAnsi" w:cstheme="minorHAnsi"/>
        </w:rPr>
      </w:pPr>
      <w:r w:rsidRPr="000D6739">
        <w:rPr>
          <w:rFonts w:asciiTheme="minorHAnsi" w:hAnsiTheme="minorHAnsi" w:cstheme="minorHAnsi"/>
        </w:rPr>
        <w:t xml:space="preserve">Medicare Benefits Schedule (2021). </w:t>
      </w:r>
      <w:r w:rsidRPr="000D6739">
        <w:rPr>
          <w:rFonts w:asciiTheme="minorHAnsi" w:hAnsiTheme="minorHAnsi" w:cstheme="minorHAnsi"/>
          <w:i/>
        </w:rPr>
        <w:t>Modernising cardiac surgical services</w:t>
      </w:r>
      <w:r w:rsidRPr="000D6739">
        <w:rPr>
          <w:rFonts w:asciiTheme="minorHAnsi" w:hAnsiTheme="minorHAnsi" w:cstheme="minorHAnsi"/>
        </w:rPr>
        <w:t xml:space="preserve">. Retrieved 5 July 2021 from </w:t>
      </w:r>
      <w:hyperlink r:id="rId20" w:history="1">
        <w:r w:rsidRPr="000D6739">
          <w:rPr>
            <w:rStyle w:val="Hyperlink"/>
            <w:rFonts w:asciiTheme="minorHAnsi" w:hAnsiTheme="minorHAnsi" w:cstheme="minorHAnsi"/>
          </w:rPr>
          <w:t>http://www.mbsonline.gov.au/internet/mbsonline/publishing.nsf/Content/Factsheet-Modernising-Cardiac-Services</w:t>
        </w:r>
      </w:hyperlink>
      <w:r w:rsidRPr="000D6739">
        <w:rPr>
          <w:rFonts w:asciiTheme="minorHAnsi" w:hAnsiTheme="minorHAnsi" w:cstheme="minorHAnsi"/>
        </w:rPr>
        <w:t xml:space="preserve"> </w:t>
      </w:r>
    </w:p>
    <w:p w14:paraId="2B538847" w14:textId="77777777" w:rsidR="00E23A84" w:rsidRPr="00EF172C" w:rsidRDefault="00E23A84" w:rsidP="00AE7A87">
      <w:pPr>
        <w:pStyle w:val="EndNoteBibliography"/>
        <w:spacing w:after="40"/>
        <w:ind w:left="720" w:hanging="720"/>
      </w:pPr>
      <w:r w:rsidRPr="000D6739">
        <w:rPr>
          <w:rFonts w:asciiTheme="minorHAnsi" w:hAnsiTheme="minorHAnsi" w:cstheme="minorHAnsi"/>
        </w:rPr>
        <w:t>Nishimura, M., Lupercio-Lopez</w:t>
      </w:r>
      <w:r w:rsidRPr="00EF172C">
        <w:t xml:space="preserve">, F., &amp; Hsu, J. C. (2019). Left atrial appendage electrical isolation as a target in atrial fibrillation. </w:t>
      </w:r>
      <w:r w:rsidRPr="00EF172C">
        <w:rPr>
          <w:i/>
        </w:rPr>
        <w:t>JACC: Clinical Electrophysiology, 5</w:t>
      </w:r>
      <w:r w:rsidRPr="00EF172C">
        <w:t xml:space="preserve">(4), 407-416. </w:t>
      </w:r>
    </w:p>
    <w:p w14:paraId="3E9FDB72" w14:textId="77777777" w:rsidR="00E23A84" w:rsidRPr="00EF172C" w:rsidRDefault="00E23A84" w:rsidP="00AE7A87">
      <w:pPr>
        <w:pStyle w:val="EndNoteBibliography"/>
        <w:spacing w:after="40"/>
        <w:ind w:left="720" w:hanging="720"/>
      </w:pPr>
      <w:r w:rsidRPr="00EF172C">
        <w:t xml:space="preserve">Noelck, N., Papak, J., Freeman, M., Paynter, R., Low, A., Motu’apuaka, M., Kondo, K., &amp; Kansagara, D. (2016). Effectiveness of left atrial appendage exclusion procedures to reduce the risk of stroke: a </w:t>
      </w:r>
      <w:r w:rsidRPr="00EF172C">
        <w:lastRenderedPageBreak/>
        <w:t xml:space="preserve">systematic review of the evidence. </w:t>
      </w:r>
      <w:r w:rsidRPr="00EF172C">
        <w:rPr>
          <w:i/>
        </w:rPr>
        <w:t>Circulation: Cardiovascular Quality and Outcomes, 9</w:t>
      </w:r>
      <w:r w:rsidRPr="00EF172C">
        <w:t xml:space="preserve">(4), 395-405. </w:t>
      </w:r>
    </w:p>
    <w:p w14:paraId="15B2721E" w14:textId="77777777" w:rsidR="00E23A84" w:rsidRPr="003350DF" w:rsidRDefault="00E23A84" w:rsidP="00AE7A87">
      <w:pPr>
        <w:pStyle w:val="EndNoteBibliography"/>
        <w:spacing w:after="40"/>
        <w:ind w:left="720" w:hanging="720"/>
        <w:rPr>
          <w:b/>
          <w:bCs/>
        </w:rPr>
      </w:pPr>
      <w:r>
        <w:t xml:space="preserve">Saxena, A., Kapoor, J., Dinh, D. T., Smith, J. A., Shardey, G. C., &amp; Newcomb, A. E. (2015). Preoperative atrial fibrillation is an independent predictor of worse early and late outcomes after isolated coronary artery bypass graft surgery. </w:t>
      </w:r>
      <w:r>
        <w:rPr>
          <w:i/>
          <w:iCs/>
        </w:rPr>
        <w:t>Journal of cardiology</w:t>
      </w:r>
      <w:r>
        <w:t xml:space="preserve">, </w:t>
      </w:r>
      <w:r>
        <w:rPr>
          <w:i/>
          <w:iCs/>
        </w:rPr>
        <w:t>65</w:t>
      </w:r>
      <w:r>
        <w:t>(3), 224-229.</w:t>
      </w:r>
    </w:p>
    <w:p w14:paraId="79D0AA3C" w14:textId="77777777" w:rsidR="00E23A84" w:rsidRPr="00EF172C" w:rsidRDefault="00E23A84" w:rsidP="00AE7A87">
      <w:pPr>
        <w:pStyle w:val="EndNoteBibliography"/>
        <w:spacing w:after="40"/>
        <w:ind w:left="720" w:hanging="720"/>
      </w:pPr>
      <w:r w:rsidRPr="00EF172C">
        <w:t xml:space="preserve">Whitlock, R. P., Belley-Cote, E. P., Paparella, D., Healey, J. S., Brady, K., Sharma, M., Reents, W., Budera, P., Baddour, A. J., &amp; Fila, P. (2021). Left atrial appendage occlusion during cardiac surgery to prevent stroke. </w:t>
      </w:r>
      <w:r w:rsidRPr="00EF172C">
        <w:rPr>
          <w:i/>
        </w:rPr>
        <w:t>New England Journal of Medicine, 384</w:t>
      </w:r>
      <w:r w:rsidRPr="00EF172C">
        <w:t xml:space="preserve">(22), 2081-2091. </w:t>
      </w:r>
    </w:p>
    <w:p w14:paraId="551FA89F" w14:textId="77777777" w:rsidR="00E23A84" w:rsidRPr="00EF172C" w:rsidRDefault="00E23A84" w:rsidP="00AE7A87">
      <w:pPr>
        <w:pStyle w:val="EndNoteBibliography"/>
        <w:spacing w:after="40"/>
        <w:ind w:left="720" w:hanging="720"/>
      </w:pPr>
      <w:r w:rsidRPr="00EF172C">
        <w:t xml:space="preserve">Yaghi, S., Song, C., Gray, W. A., Furie, K. L., Elkind, M. S., &amp; Kamel, H. (2015). Left atrial appendage function and stroke risk. </w:t>
      </w:r>
      <w:r w:rsidRPr="00EF172C">
        <w:rPr>
          <w:i/>
        </w:rPr>
        <w:t>Stroke, 46</w:t>
      </w:r>
      <w:r w:rsidRPr="00EF172C">
        <w:t xml:space="preserve">(12), 3554-3559. </w:t>
      </w:r>
    </w:p>
    <w:p w14:paraId="23720CE7" w14:textId="77777777" w:rsidR="00B311E4" w:rsidRDefault="00B311E4"/>
    <w:sectPr w:rsidR="00B311E4" w:rsidSect="00AE7A87">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69A49" w14:textId="77777777" w:rsidR="009D36CA" w:rsidRDefault="009D36CA">
      <w:pPr>
        <w:spacing w:after="0" w:line="240" w:lineRule="auto"/>
      </w:pPr>
      <w:r>
        <w:separator/>
      </w:r>
    </w:p>
  </w:endnote>
  <w:endnote w:type="continuationSeparator" w:id="0">
    <w:p w14:paraId="70565743" w14:textId="77777777" w:rsidR="009D36CA" w:rsidRDefault="009D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1507BF18" w14:textId="77777777" w:rsidR="009D36CA" w:rsidRDefault="009D36CA" w:rsidP="00AE7A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3ABAF5" w14:textId="77777777" w:rsidR="009D36CA" w:rsidRDefault="009D36CA" w:rsidP="00AE7A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75BCF5F6" w14:textId="4F20182D" w:rsidR="009D36CA" w:rsidRDefault="009D36CA" w:rsidP="00AE7A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9167669" w14:textId="2639809B" w:rsidR="009D36CA" w:rsidRDefault="009D36CA" w:rsidP="00F06F65">
    <w:pPr>
      <w:spacing w:after="0"/>
      <w:jc w:val="center"/>
    </w:pPr>
    <w:r>
      <w:t xml:space="preserve">Ratified </w:t>
    </w:r>
    <w:r w:rsidRPr="00685355">
      <w:t xml:space="preserve">PICO </w:t>
    </w:r>
    <w:r>
      <w:t>C</w:t>
    </w:r>
    <w:r w:rsidRPr="00685355">
      <w:t>onfirmation</w:t>
    </w:r>
    <w:r>
      <w:t xml:space="preserve"> – August 2021 PASC</w:t>
    </w:r>
  </w:p>
  <w:p w14:paraId="6D34E769" w14:textId="5778997E" w:rsidR="009D36CA" w:rsidRPr="00685355" w:rsidRDefault="009D36CA" w:rsidP="00F06F65">
    <w:pPr>
      <w:spacing w:after="0"/>
      <w:jc w:val="center"/>
    </w:pPr>
    <w:r>
      <w:t xml:space="preserve">MSAC Application </w:t>
    </w:r>
    <w:r w:rsidRPr="00A33C40">
      <w:t xml:space="preserve">1666 – </w:t>
    </w:r>
    <w:r w:rsidRPr="00F06F65">
      <w:t>Exclusion of the left atrial appendage via surgical epicardial clip implantation concomitant to open cardiac surgery for patients with atrial fibrillation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866FF" w14:textId="77777777" w:rsidR="009D36CA" w:rsidRDefault="009D36CA">
      <w:pPr>
        <w:spacing w:after="0" w:line="240" w:lineRule="auto"/>
      </w:pPr>
      <w:r>
        <w:separator/>
      </w:r>
    </w:p>
  </w:footnote>
  <w:footnote w:type="continuationSeparator" w:id="0">
    <w:p w14:paraId="7CA1DAA1" w14:textId="77777777" w:rsidR="009D36CA" w:rsidRDefault="009D36CA">
      <w:pPr>
        <w:spacing w:after="0" w:line="240" w:lineRule="auto"/>
      </w:pPr>
      <w:r>
        <w:continuationSeparator/>
      </w:r>
    </w:p>
  </w:footnote>
  <w:footnote w:id="1">
    <w:p w14:paraId="162158EC" w14:textId="19633318" w:rsidR="009D36CA" w:rsidRDefault="009D36CA" w:rsidP="00631B59">
      <w:pPr>
        <w:pStyle w:val="FootnoteText"/>
      </w:pPr>
      <w:r>
        <w:rPr>
          <w:rStyle w:val="FootnoteReference"/>
        </w:rPr>
        <w:footnoteRef/>
      </w:r>
      <w:r>
        <w:t xml:space="preserve"> LAA occlusion was performed during cardiac surgery with the use of any of the following techniques: amputation and closure (preferred), stapler closure, double-layer linear closure from within the atrium in participants undergoing minithoracotomy (with TOE confirmation of the occlusion), or closure with an approved surgical occlusion device.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7CC"/>
    <w:multiLevelType w:val="hybridMultilevel"/>
    <w:tmpl w:val="34C25610"/>
    <w:lvl w:ilvl="0" w:tplc="D3E8EFF6">
      <w:start w:val="1"/>
      <w:numFmt w:val="decimal"/>
      <w:lvlText w:val="%1."/>
      <w:lvlJc w:val="left"/>
      <w:pPr>
        <w:ind w:left="720" w:hanging="360"/>
      </w:pPr>
      <w:rPr>
        <w:rFonts w:ascii="Calibri" w:hAnsi="Calibri"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C5CDB"/>
    <w:multiLevelType w:val="hybridMultilevel"/>
    <w:tmpl w:val="208E5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302"/>
    <w:multiLevelType w:val="hybridMultilevel"/>
    <w:tmpl w:val="41420A10"/>
    <w:lvl w:ilvl="0" w:tplc="8BFEF270">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FBF38DD"/>
    <w:multiLevelType w:val="hybridMultilevel"/>
    <w:tmpl w:val="52CA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A35A1"/>
    <w:multiLevelType w:val="hybridMultilevel"/>
    <w:tmpl w:val="F6969A3A"/>
    <w:lvl w:ilvl="0" w:tplc="9616488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21765"/>
    <w:multiLevelType w:val="hybridMultilevel"/>
    <w:tmpl w:val="989E55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D3877"/>
    <w:multiLevelType w:val="hybridMultilevel"/>
    <w:tmpl w:val="45CC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B7B1B"/>
    <w:multiLevelType w:val="hybridMultilevel"/>
    <w:tmpl w:val="34DA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70D5F"/>
    <w:multiLevelType w:val="hybridMultilevel"/>
    <w:tmpl w:val="5BF2A496"/>
    <w:lvl w:ilvl="0" w:tplc="D8E42E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FB083E"/>
    <w:multiLevelType w:val="hybridMultilevel"/>
    <w:tmpl w:val="EDB01AAA"/>
    <w:lvl w:ilvl="0" w:tplc="007E4E94">
      <w:start w:val="1"/>
      <w:numFmt w:val="decimal"/>
      <w:lvlText w:val="%1."/>
      <w:lvlJc w:val="left"/>
      <w:pPr>
        <w:ind w:left="720" w:hanging="360"/>
      </w:pPr>
      <w:rPr>
        <w:rFonts w:asciiTheme="minorHAnsi" w:hAnsiTheme="minorHAnsi" w:cstheme="minorHAnsi" w:hint="default"/>
        <w:i/>
        <w:color w:val="2F5496"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EF2765"/>
    <w:multiLevelType w:val="hybridMultilevel"/>
    <w:tmpl w:val="F40E4814"/>
    <w:lvl w:ilvl="0" w:tplc="33B894B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B32384"/>
    <w:multiLevelType w:val="hybridMultilevel"/>
    <w:tmpl w:val="DA20B05E"/>
    <w:lvl w:ilvl="0" w:tplc="6534F65C">
      <w:start w:val="1"/>
      <w:numFmt w:val="decimal"/>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0CB7A7F"/>
    <w:multiLevelType w:val="hybridMultilevel"/>
    <w:tmpl w:val="D8023C34"/>
    <w:lvl w:ilvl="0" w:tplc="BF2A568E">
      <w:start w:val="1"/>
      <w:numFmt w:val="decimal"/>
      <w:lvlText w:val="%1."/>
      <w:lvlJc w:val="left"/>
      <w:pPr>
        <w:ind w:left="720" w:hanging="360"/>
      </w:pPr>
      <w:rPr>
        <w:rFonts w:hint="default"/>
        <w:i/>
        <w:color w:val="2F5496" w:themeColor="accent1" w:themeShade="B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836FAF"/>
    <w:multiLevelType w:val="hybridMultilevel"/>
    <w:tmpl w:val="16B21C7A"/>
    <w:lvl w:ilvl="0" w:tplc="B77ED800">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AB6B6A"/>
    <w:multiLevelType w:val="hybridMultilevel"/>
    <w:tmpl w:val="152C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E1994"/>
    <w:multiLevelType w:val="hybridMultilevel"/>
    <w:tmpl w:val="BBD21398"/>
    <w:lvl w:ilvl="0" w:tplc="C798A894">
      <w:start w:val="1"/>
      <w:numFmt w:val="decimal"/>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5D8291F"/>
    <w:multiLevelType w:val="hybridMultilevel"/>
    <w:tmpl w:val="2794CC00"/>
    <w:lvl w:ilvl="0" w:tplc="DA28ED2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E145D8"/>
    <w:multiLevelType w:val="hybridMultilevel"/>
    <w:tmpl w:val="7D84B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EF6431"/>
    <w:multiLevelType w:val="hybridMultilevel"/>
    <w:tmpl w:val="7E285DC4"/>
    <w:lvl w:ilvl="0" w:tplc="0494FF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E6744C"/>
    <w:multiLevelType w:val="hybridMultilevel"/>
    <w:tmpl w:val="91260C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A166418"/>
    <w:multiLevelType w:val="hybridMultilevel"/>
    <w:tmpl w:val="EAC4FFEA"/>
    <w:lvl w:ilvl="0" w:tplc="6DB662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971D8F"/>
    <w:multiLevelType w:val="hybridMultilevel"/>
    <w:tmpl w:val="CD34F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21637D"/>
    <w:multiLevelType w:val="hybridMultilevel"/>
    <w:tmpl w:val="C270C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B9455F"/>
    <w:multiLevelType w:val="hybridMultilevel"/>
    <w:tmpl w:val="844C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B60FB4"/>
    <w:multiLevelType w:val="hybridMultilevel"/>
    <w:tmpl w:val="2E74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90595"/>
    <w:multiLevelType w:val="hybridMultilevel"/>
    <w:tmpl w:val="A8F41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08122E"/>
    <w:multiLevelType w:val="hybridMultilevel"/>
    <w:tmpl w:val="951CB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0025C3"/>
    <w:multiLevelType w:val="hybridMultilevel"/>
    <w:tmpl w:val="0AA4A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A61EB1"/>
    <w:multiLevelType w:val="hybridMultilevel"/>
    <w:tmpl w:val="F476E69A"/>
    <w:lvl w:ilvl="0" w:tplc="6DB662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1D6F3A"/>
    <w:multiLevelType w:val="multilevel"/>
    <w:tmpl w:val="CA965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E801806"/>
    <w:multiLevelType w:val="hybridMultilevel"/>
    <w:tmpl w:val="6E08B3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0FC6292"/>
    <w:multiLevelType w:val="hybridMultilevel"/>
    <w:tmpl w:val="5C708CD8"/>
    <w:lvl w:ilvl="0" w:tplc="971EC3A0">
      <w:start w:val="1"/>
      <w:numFmt w:val="decimal"/>
      <w:lvlText w:val="%1."/>
      <w:lvlJc w:val="left"/>
      <w:pPr>
        <w:ind w:left="720" w:firstLine="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D8C5C98"/>
    <w:multiLevelType w:val="hybridMultilevel"/>
    <w:tmpl w:val="F8428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8A01BF"/>
    <w:multiLevelType w:val="hybridMultilevel"/>
    <w:tmpl w:val="1D56C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E60D0A"/>
    <w:multiLevelType w:val="hybridMultilevel"/>
    <w:tmpl w:val="34C25610"/>
    <w:lvl w:ilvl="0" w:tplc="D3E8EFF6">
      <w:start w:val="1"/>
      <w:numFmt w:val="decimal"/>
      <w:lvlText w:val="%1."/>
      <w:lvlJc w:val="left"/>
      <w:pPr>
        <w:ind w:left="720" w:hanging="360"/>
      </w:pPr>
      <w:rPr>
        <w:rFonts w:ascii="Calibri" w:hAnsi="Calibri"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426B84"/>
    <w:multiLevelType w:val="hybridMultilevel"/>
    <w:tmpl w:val="80A4A652"/>
    <w:lvl w:ilvl="0" w:tplc="8708BC68">
      <w:start w:val="1"/>
      <w:numFmt w:val="decimal"/>
      <w:lvlText w:val="%1."/>
      <w:lvlJc w:val="left"/>
      <w:pPr>
        <w:ind w:left="420" w:hanging="360"/>
      </w:pPr>
      <w:rPr>
        <w:rFonts w:hint="default"/>
        <w:sz w:val="24"/>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1" w15:restartNumberingAfterBreak="0">
    <w:nsid w:val="77F835B6"/>
    <w:multiLevelType w:val="hybridMultilevel"/>
    <w:tmpl w:val="B4548A46"/>
    <w:lvl w:ilvl="0" w:tplc="0C090001">
      <w:start w:val="1"/>
      <w:numFmt w:val="bullet"/>
      <w:lvlText w:val=""/>
      <w:lvlJc w:val="left"/>
      <w:pPr>
        <w:ind w:left="720" w:hanging="360"/>
      </w:pPr>
      <w:rPr>
        <w:rFonts w:ascii="Symbol" w:hAnsi="Symbol" w:hint="default"/>
      </w:rPr>
    </w:lvl>
    <w:lvl w:ilvl="1" w:tplc="2F286084">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0F7935"/>
    <w:multiLevelType w:val="hybridMultilevel"/>
    <w:tmpl w:val="5AC49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071A60"/>
    <w:multiLevelType w:val="hybridMultilevel"/>
    <w:tmpl w:val="16B21C7A"/>
    <w:lvl w:ilvl="0" w:tplc="B77ED800">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7"/>
  </w:num>
  <w:num w:numId="3">
    <w:abstractNumId w:val="26"/>
  </w:num>
  <w:num w:numId="4">
    <w:abstractNumId w:val="7"/>
  </w:num>
  <w:num w:numId="5">
    <w:abstractNumId w:val="35"/>
  </w:num>
  <w:num w:numId="6">
    <w:abstractNumId w:val="22"/>
  </w:num>
  <w:num w:numId="7">
    <w:abstractNumId w:val="32"/>
  </w:num>
  <w:num w:numId="8">
    <w:abstractNumId w:val="41"/>
  </w:num>
  <w:num w:numId="9">
    <w:abstractNumId w:val="25"/>
  </w:num>
  <w:num w:numId="10">
    <w:abstractNumId w:val="1"/>
  </w:num>
  <w:num w:numId="11">
    <w:abstractNumId w:val="18"/>
  </w:num>
  <w:num w:numId="12">
    <w:abstractNumId w:val="24"/>
  </w:num>
  <w:num w:numId="13">
    <w:abstractNumId w:val="37"/>
  </w:num>
  <w:num w:numId="14">
    <w:abstractNumId w:val="29"/>
  </w:num>
  <w:num w:numId="15">
    <w:abstractNumId w:val="20"/>
  </w:num>
  <w:num w:numId="16">
    <w:abstractNumId w:val="16"/>
  </w:num>
  <w:num w:numId="17">
    <w:abstractNumId w:val="28"/>
  </w:num>
  <w:num w:numId="18">
    <w:abstractNumId w:val="4"/>
  </w:num>
  <w:num w:numId="19">
    <w:abstractNumId w:val="9"/>
  </w:num>
  <w:num w:numId="20">
    <w:abstractNumId w:val="19"/>
  </w:num>
  <w:num w:numId="21">
    <w:abstractNumId w:val="8"/>
  </w:num>
  <w:num w:numId="22">
    <w:abstractNumId w:val="6"/>
  </w:num>
  <w:num w:numId="23">
    <w:abstractNumId w:val="6"/>
  </w:num>
  <w:num w:numId="24">
    <w:abstractNumId w:val="31"/>
  </w:num>
  <w:num w:numId="25">
    <w:abstractNumId w:val="34"/>
  </w:num>
  <w:num w:numId="26">
    <w:abstractNumId w:val="43"/>
  </w:num>
  <w:num w:numId="27">
    <w:abstractNumId w:val="12"/>
  </w:num>
  <w:num w:numId="28">
    <w:abstractNumId w:val="36"/>
  </w:num>
  <w:num w:numId="29">
    <w:abstractNumId w:val="13"/>
  </w:num>
  <w:num w:numId="30">
    <w:abstractNumId w:val="0"/>
  </w:num>
  <w:num w:numId="31">
    <w:abstractNumId w:val="23"/>
  </w:num>
  <w:num w:numId="32">
    <w:abstractNumId w:val="38"/>
  </w:num>
  <w:num w:numId="33">
    <w:abstractNumId w:val="42"/>
  </w:num>
  <w:num w:numId="34">
    <w:abstractNumId w:val="14"/>
  </w:num>
  <w:num w:numId="35">
    <w:abstractNumId w:val="5"/>
  </w:num>
  <w:num w:numId="36">
    <w:abstractNumId w:val="40"/>
  </w:num>
  <w:num w:numId="37">
    <w:abstractNumId w:val="2"/>
  </w:num>
  <w:num w:numId="38">
    <w:abstractNumId w:val="17"/>
  </w:num>
  <w:num w:numId="39">
    <w:abstractNumId w:val="11"/>
  </w:num>
  <w:num w:numId="40">
    <w:abstractNumId w:val="15"/>
  </w:num>
  <w:num w:numId="41">
    <w:abstractNumId w:val="39"/>
  </w:num>
  <w:num w:numId="42">
    <w:abstractNumId w:val="10"/>
  </w:num>
  <w:num w:numId="43">
    <w:abstractNumId w:val="30"/>
  </w:num>
  <w:num w:numId="44">
    <w:abstractNumId w:val="2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23A84"/>
    <w:rsid w:val="000014F1"/>
    <w:rsid w:val="000075EA"/>
    <w:rsid w:val="00010B08"/>
    <w:rsid w:val="00031C3A"/>
    <w:rsid w:val="000463D0"/>
    <w:rsid w:val="00046B2E"/>
    <w:rsid w:val="00074F71"/>
    <w:rsid w:val="00087A48"/>
    <w:rsid w:val="00093C9A"/>
    <w:rsid w:val="00095FA4"/>
    <w:rsid w:val="000963E8"/>
    <w:rsid w:val="000A1F7E"/>
    <w:rsid w:val="000A4F8E"/>
    <w:rsid w:val="000B7603"/>
    <w:rsid w:val="000C2714"/>
    <w:rsid w:val="000C3732"/>
    <w:rsid w:val="000D58A6"/>
    <w:rsid w:val="000D6739"/>
    <w:rsid w:val="00100DFB"/>
    <w:rsid w:val="00100FEC"/>
    <w:rsid w:val="001017F5"/>
    <w:rsid w:val="0011559A"/>
    <w:rsid w:val="00135E1E"/>
    <w:rsid w:val="00153121"/>
    <w:rsid w:val="00153878"/>
    <w:rsid w:val="00157893"/>
    <w:rsid w:val="001639E7"/>
    <w:rsid w:val="00166B6E"/>
    <w:rsid w:val="00171F9A"/>
    <w:rsid w:val="00185AA0"/>
    <w:rsid w:val="00195FCC"/>
    <w:rsid w:val="001A5F34"/>
    <w:rsid w:val="001A6DC7"/>
    <w:rsid w:val="001B5832"/>
    <w:rsid w:val="001C1709"/>
    <w:rsid w:val="001C6527"/>
    <w:rsid w:val="001E0119"/>
    <w:rsid w:val="001F2C1D"/>
    <w:rsid w:val="001F42F5"/>
    <w:rsid w:val="0020080B"/>
    <w:rsid w:val="00201167"/>
    <w:rsid w:val="00204074"/>
    <w:rsid w:val="0021055C"/>
    <w:rsid w:val="0021097A"/>
    <w:rsid w:val="00212282"/>
    <w:rsid w:val="002358A7"/>
    <w:rsid w:val="00245E44"/>
    <w:rsid w:val="00246BC3"/>
    <w:rsid w:val="002560A5"/>
    <w:rsid w:val="00257945"/>
    <w:rsid w:val="00271A0C"/>
    <w:rsid w:val="00287CA2"/>
    <w:rsid w:val="002916DD"/>
    <w:rsid w:val="00291F76"/>
    <w:rsid w:val="00294C3C"/>
    <w:rsid w:val="002B43E5"/>
    <w:rsid w:val="002B6F18"/>
    <w:rsid w:val="002F5E67"/>
    <w:rsid w:val="002F6FF9"/>
    <w:rsid w:val="003001A8"/>
    <w:rsid w:val="00302A66"/>
    <w:rsid w:val="00303FA9"/>
    <w:rsid w:val="003056D2"/>
    <w:rsid w:val="003074E1"/>
    <w:rsid w:val="00314F0E"/>
    <w:rsid w:val="0032159A"/>
    <w:rsid w:val="00325734"/>
    <w:rsid w:val="00332147"/>
    <w:rsid w:val="00334138"/>
    <w:rsid w:val="00340185"/>
    <w:rsid w:val="00353F4E"/>
    <w:rsid w:val="00357600"/>
    <w:rsid w:val="003670E4"/>
    <w:rsid w:val="003755C1"/>
    <w:rsid w:val="003B0727"/>
    <w:rsid w:val="003B189B"/>
    <w:rsid w:val="003B4B48"/>
    <w:rsid w:val="003C3E97"/>
    <w:rsid w:val="003C4F68"/>
    <w:rsid w:val="003D046D"/>
    <w:rsid w:val="003E1743"/>
    <w:rsid w:val="003E326B"/>
    <w:rsid w:val="003F6E6A"/>
    <w:rsid w:val="00414D22"/>
    <w:rsid w:val="00415E79"/>
    <w:rsid w:val="0042287A"/>
    <w:rsid w:val="00422F01"/>
    <w:rsid w:val="00431AAE"/>
    <w:rsid w:val="00431C0D"/>
    <w:rsid w:val="00443CA4"/>
    <w:rsid w:val="00446D07"/>
    <w:rsid w:val="004507D5"/>
    <w:rsid w:val="00454BC3"/>
    <w:rsid w:val="00457A95"/>
    <w:rsid w:val="00467382"/>
    <w:rsid w:val="00470A58"/>
    <w:rsid w:val="00474CE2"/>
    <w:rsid w:val="004815E0"/>
    <w:rsid w:val="004839C0"/>
    <w:rsid w:val="0048614C"/>
    <w:rsid w:val="00492534"/>
    <w:rsid w:val="004927D9"/>
    <w:rsid w:val="00493BA8"/>
    <w:rsid w:val="00495590"/>
    <w:rsid w:val="004A1C92"/>
    <w:rsid w:val="004A224C"/>
    <w:rsid w:val="004A2C74"/>
    <w:rsid w:val="004A5F13"/>
    <w:rsid w:val="004B1D6C"/>
    <w:rsid w:val="004C42B0"/>
    <w:rsid w:val="004C50CE"/>
    <w:rsid w:val="004C5E05"/>
    <w:rsid w:val="004C6D6B"/>
    <w:rsid w:val="004D01BC"/>
    <w:rsid w:val="004D3FD5"/>
    <w:rsid w:val="004D472C"/>
    <w:rsid w:val="004D4B7C"/>
    <w:rsid w:val="004E0D96"/>
    <w:rsid w:val="004E6AB2"/>
    <w:rsid w:val="005162F7"/>
    <w:rsid w:val="00521659"/>
    <w:rsid w:val="00522363"/>
    <w:rsid w:val="0053482C"/>
    <w:rsid w:val="0055770E"/>
    <w:rsid w:val="005653DC"/>
    <w:rsid w:val="00567BF8"/>
    <w:rsid w:val="00573CE2"/>
    <w:rsid w:val="00576A37"/>
    <w:rsid w:val="00580574"/>
    <w:rsid w:val="00582C3D"/>
    <w:rsid w:val="00584647"/>
    <w:rsid w:val="00590553"/>
    <w:rsid w:val="005913F0"/>
    <w:rsid w:val="0059281E"/>
    <w:rsid w:val="00594F05"/>
    <w:rsid w:val="005A6643"/>
    <w:rsid w:val="005D0D33"/>
    <w:rsid w:val="005D5728"/>
    <w:rsid w:val="005D7D79"/>
    <w:rsid w:val="005E3FDB"/>
    <w:rsid w:val="005E7337"/>
    <w:rsid w:val="005F3A4F"/>
    <w:rsid w:val="006209EF"/>
    <w:rsid w:val="00620CA8"/>
    <w:rsid w:val="0062533A"/>
    <w:rsid w:val="006278FC"/>
    <w:rsid w:val="00631B59"/>
    <w:rsid w:val="006329FA"/>
    <w:rsid w:val="00645523"/>
    <w:rsid w:val="00650E45"/>
    <w:rsid w:val="00666258"/>
    <w:rsid w:val="006775BA"/>
    <w:rsid w:val="006921E4"/>
    <w:rsid w:val="006B0378"/>
    <w:rsid w:val="006B194A"/>
    <w:rsid w:val="006C4FA6"/>
    <w:rsid w:val="006D594B"/>
    <w:rsid w:val="006E0C65"/>
    <w:rsid w:val="006E3EEA"/>
    <w:rsid w:val="006E4B46"/>
    <w:rsid w:val="006E67EA"/>
    <w:rsid w:val="006F2B0C"/>
    <w:rsid w:val="006F7D49"/>
    <w:rsid w:val="00704096"/>
    <w:rsid w:val="007066E3"/>
    <w:rsid w:val="00712DF7"/>
    <w:rsid w:val="00713E75"/>
    <w:rsid w:val="00713FC7"/>
    <w:rsid w:val="00725A07"/>
    <w:rsid w:val="00732A5E"/>
    <w:rsid w:val="00745D98"/>
    <w:rsid w:val="00753C45"/>
    <w:rsid w:val="007654C5"/>
    <w:rsid w:val="00765763"/>
    <w:rsid w:val="00772348"/>
    <w:rsid w:val="00773050"/>
    <w:rsid w:val="00794DCE"/>
    <w:rsid w:val="007A0D8B"/>
    <w:rsid w:val="007A19D6"/>
    <w:rsid w:val="007C61A6"/>
    <w:rsid w:val="007D47E8"/>
    <w:rsid w:val="007D61FB"/>
    <w:rsid w:val="007E660C"/>
    <w:rsid w:val="007F7273"/>
    <w:rsid w:val="00802B83"/>
    <w:rsid w:val="00802F69"/>
    <w:rsid w:val="00816ED4"/>
    <w:rsid w:val="008216E3"/>
    <w:rsid w:val="008256EE"/>
    <w:rsid w:val="00825D6D"/>
    <w:rsid w:val="008378D9"/>
    <w:rsid w:val="008406C6"/>
    <w:rsid w:val="008443A4"/>
    <w:rsid w:val="008524DF"/>
    <w:rsid w:val="0085569D"/>
    <w:rsid w:val="00866C3B"/>
    <w:rsid w:val="00872D00"/>
    <w:rsid w:val="00876ADF"/>
    <w:rsid w:val="008803D2"/>
    <w:rsid w:val="008910D6"/>
    <w:rsid w:val="008973B0"/>
    <w:rsid w:val="008A483B"/>
    <w:rsid w:val="008B51E9"/>
    <w:rsid w:val="008C0000"/>
    <w:rsid w:val="008C5119"/>
    <w:rsid w:val="008C54E3"/>
    <w:rsid w:val="008C7904"/>
    <w:rsid w:val="008D37D0"/>
    <w:rsid w:val="008E143C"/>
    <w:rsid w:val="00901018"/>
    <w:rsid w:val="00915D63"/>
    <w:rsid w:val="00916D64"/>
    <w:rsid w:val="00921064"/>
    <w:rsid w:val="00934759"/>
    <w:rsid w:val="0093601C"/>
    <w:rsid w:val="00936401"/>
    <w:rsid w:val="0094099E"/>
    <w:rsid w:val="00952663"/>
    <w:rsid w:val="00957AB6"/>
    <w:rsid w:val="00960151"/>
    <w:rsid w:val="00974C24"/>
    <w:rsid w:val="00975C50"/>
    <w:rsid w:val="00980CF3"/>
    <w:rsid w:val="00980D2C"/>
    <w:rsid w:val="009812DC"/>
    <w:rsid w:val="009900F4"/>
    <w:rsid w:val="009A53DC"/>
    <w:rsid w:val="009B1FD1"/>
    <w:rsid w:val="009B68EC"/>
    <w:rsid w:val="009B7D7C"/>
    <w:rsid w:val="009C1DAC"/>
    <w:rsid w:val="009C6FD3"/>
    <w:rsid w:val="009D36CA"/>
    <w:rsid w:val="009D3B4C"/>
    <w:rsid w:val="009E70E8"/>
    <w:rsid w:val="00A1084B"/>
    <w:rsid w:val="00A21662"/>
    <w:rsid w:val="00A33B5D"/>
    <w:rsid w:val="00A427AE"/>
    <w:rsid w:val="00A43571"/>
    <w:rsid w:val="00A473C0"/>
    <w:rsid w:val="00A5169E"/>
    <w:rsid w:val="00A575F6"/>
    <w:rsid w:val="00A81614"/>
    <w:rsid w:val="00AC418E"/>
    <w:rsid w:val="00AC4EF5"/>
    <w:rsid w:val="00AD16C7"/>
    <w:rsid w:val="00AD3F86"/>
    <w:rsid w:val="00AE079B"/>
    <w:rsid w:val="00AE7A87"/>
    <w:rsid w:val="00AF1AD1"/>
    <w:rsid w:val="00AF4899"/>
    <w:rsid w:val="00B128FC"/>
    <w:rsid w:val="00B2079E"/>
    <w:rsid w:val="00B24970"/>
    <w:rsid w:val="00B311E4"/>
    <w:rsid w:val="00B37715"/>
    <w:rsid w:val="00B40C3D"/>
    <w:rsid w:val="00B42F39"/>
    <w:rsid w:val="00B53505"/>
    <w:rsid w:val="00B55A58"/>
    <w:rsid w:val="00B61D6A"/>
    <w:rsid w:val="00B82054"/>
    <w:rsid w:val="00B84813"/>
    <w:rsid w:val="00BA008D"/>
    <w:rsid w:val="00BE09B2"/>
    <w:rsid w:val="00BE4F63"/>
    <w:rsid w:val="00BE65DC"/>
    <w:rsid w:val="00BF79D2"/>
    <w:rsid w:val="00C00059"/>
    <w:rsid w:val="00C022EC"/>
    <w:rsid w:val="00C11B71"/>
    <w:rsid w:val="00C362F3"/>
    <w:rsid w:val="00C36AEE"/>
    <w:rsid w:val="00C46458"/>
    <w:rsid w:val="00C46A73"/>
    <w:rsid w:val="00C7232D"/>
    <w:rsid w:val="00C92406"/>
    <w:rsid w:val="00CA1F19"/>
    <w:rsid w:val="00CB0A74"/>
    <w:rsid w:val="00CB4731"/>
    <w:rsid w:val="00CD3429"/>
    <w:rsid w:val="00CE67FB"/>
    <w:rsid w:val="00CE7F5C"/>
    <w:rsid w:val="00CF0373"/>
    <w:rsid w:val="00CF1F83"/>
    <w:rsid w:val="00CF3760"/>
    <w:rsid w:val="00D04463"/>
    <w:rsid w:val="00D10E67"/>
    <w:rsid w:val="00D12FF2"/>
    <w:rsid w:val="00D15962"/>
    <w:rsid w:val="00D15DA3"/>
    <w:rsid w:val="00D26341"/>
    <w:rsid w:val="00D33740"/>
    <w:rsid w:val="00D4298A"/>
    <w:rsid w:val="00D454B9"/>
    <w:rsid w:val="00D6373B"/>
    <w:rsid w:val="00D64C05"/>
    <w:rsid w:val="00D64C15"/>
    <w:rsid w:val="00D6591D"/>
    <w:rsid w:val="00D70548"/>
    <w:rsid w:val="00D731BA"/>
    <w:rsid w:val="00D7378A"/>
    <w:rsid w:val="00D84805"/>
    <w:rsid w:val="00DA68E5"/>
    <w:rsid w:val="00DB00A1"/>
    <w:rsid w:val="00DB3463"/>
    <w:rsid w:val="00DE2392"/>
    <w:rsid w:val="00DE356E"/>
    <w:rsid w:val="00DF31BF"/>
    <w:rsid w:val="00E22A3A"/>
    <w:rsid w:val="00E23A84"/>
    <w:rsid w:val="00E312C6"/>
    <w:rsid w:val="00E37675"/>
    <w:rsid w:val="00E52B57"/>
    <w:rsid w:val="00E64C0B"/>
    <w:rsid w:val="00E720BB"/>
    <w:rsid w:val="00E754DC"/>
    <w:rsid w:val="00E805D8"/>
    <w:rsid w:val="00E91740"/>
    <w:rsid w:val="00E97684"/>
    <w:rsid w:val="00EB4C1C"/>
    <w:rsid w:val="00EC2415"/>
    <w:rsid w:val="00ED0764"/>
    <w:rsid w:val="00ED0C93"/>
    <w:rsid w:val="00ED1C48"/>
    <w:rsid w:val="00EE2F22"/>
    <w:rsid w:val="00EE4E82"/>
    <w:rsid w:val="00EF086B"/>
    <w:rsid w:val="00EF23B0"/>
    <w:rsid w:val="00F01B6E"/>
    <w:rsid w:val="00F06F65"/>
    <w:rsid w:val="00F13F1B"/>
    <w:rsid w:val="00F16AA6"/>
    <w:rsid w:val="00F17FE4"/>
    <w:rsid w:val="00F21C87"/>
    <w:rsid w:val="00F24359"/>
    <w:rsid w:val="00F31D1A"/>
    <w:rsid w:val="00F567A5"/>
    <w:rsid w:val="00F967BA"/>
    <w:rsid w:val="00FB055C"/>
    <w:rsid w:val="00FB2C2D"/>
    <w:rsid w:val="00FB49DA"/>
    <w:rsid w:val="00FC3D00"/>
    <w:rsid w:val="00FE287A"/>
    <w:rsid w:val="00FE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2AE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66"/>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E23A84"/>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E23A84"/>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E23A84"/>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E23A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23A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23A8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23A8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23A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23A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A84"/>
    <w:rPr>
      <w:rFonts w:ascii="Calibri" w:eastAsia="Calibri" w:hAnsi="Calibri" w:cs="Calibri"/>
      <w:b/>
      <w:bCs/>
      <w:color w:val="000000"/>
      <w:sz w:val="72"/>
      <w:szCs w:val="72"/>
      <w:u w:color="000000"/>
      <w:lang w:val="en-US" w:eastAsia="en-AU"/>
    </w:rPr>
  </w:style>
  <w:style w:type="character" w:customStyle="1" w:styleId="Heading2Char">
    <w:name w:val="Heading 2 Char"/>
    <w:basedOn w:val="DefaultParagraphFont"/>
    <w:link w:val="Heading2"/>
    <w:uiPriority w:val="9"/>
    <w:rsid w:val="00E23A84"/>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E23A84"/>
    <w:rPr>
      <w:rFonts w:ascii="Calibri" w:eastAsia="MS Gothic" w:hAnsi="Calibri" w:cs="Times New Roman"/>
      <w:b/>
      <w:bCs/>
      <w:i/>
      <w:sz w:val="24"/>
      <w:szCs w:val="24"/>
    </w:rPr>
  </w:style>
  <w:style w:type="character" w:customStyle="1" w:styleId="Heading4Char">
    <w:name w:val="Heading 4 Char"/>
    <w:basedOn w:val="DefaultParagraphFont"/>
    <w:link w:val="Heading4"/>
    <w:uiPriority w:val="9"/>
    <w:rsid w:val="00E23A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23A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23A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23A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E23A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23A8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23A84"/>
    <w:rPr>
      <w:rFonts w:ascii="Times New Roman" w:hAnsi="Times New Roman" w:cs="Times New Roman" w:hint="default"/>
      <w:color w:val="0000FF"/>
      <w:u w:val="single"/>
    </w:rPr>
  </w:style>
  <w:style w:type="paragraph" w:customStyle="1" w:styleId="Heading10">
    <w:name w:val="Heading1"/>
    <w:rsid w:val="00E23A84"/>
    <w:pPr>
      <w:spacing w:after="200" w:line="240" w:lineRule="auto"/>
    </w:pPr>
    <w:rPr>
      <w:rFonts w:ascii="Calibri" w:eastAsia="Calibri" w:hAnsi="Calibri" w:cs="Calibri"/>
      <w:b/>
      <w:bCs/>
      <w:color w:val="000000"/>
      <w:sz w:val="36"/>
      <w:szCs w:val="36"/>
      <w:u w:color="000000"/>
      <w:lang w:val="en-US" w:eastAsia="en-AU"/>
    </w:rPr>
  </w:style>
  <w:style w:type="table" w:customStyle="1" w:styleId="TableGrid1">
    <w:name w:val="Table Grid1"/>
    <w:basedOn w:val="TableNormal"/>
    <w:uiPriority w:val="59"/>
    <w:rsid w:val="00E23A84"/>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3A84"/>
    <w:pPr>
      <w:ind w:left="720"/>
      <w:contextualSpacing/>
    </w:pPr>
  </w:style>
  <w:style w:type="table" w:styleId="TableGrid">
    <w:name w:val="Table Grid"/>
    <w:aliases w:val="HealthConsult"/>
    <w:basedOn w:val="TableNormal"/>
    <w:uiPriority w:val="59"/>
    <w:rsid w:val="00E23A8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23A84"/>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E23A84"/>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E23A84"/>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E23A84"/>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E23A84"/>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E23A84"/>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E23A84"/>
    <w:rPr>
      <w:rFonts w:ascii="Arial Narrow" w:eastAsia="Times New Roman" w:hAnsi="Arial Narrow" w:cs="Arial"/>
      <w:snapToGrid w:val="0"/>
      <w:sz w:val="18"/>
      <w:szCs w:val="20"/>
    </w:rPr>
  </w:style>
  <w:style w:type="paragraph" w:customStyle="1" w:styleId="TableName">
    <w:name w:val="TableName"/>
    <w:basedOn w:val="Normal"/>
    <w:qFormat/>
    <w:rsid w:val="00E23A84"/>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E23A84"/>
    <w:rPr>
      <w:rFonts w:ascii="Calibri" w:eastAsia="Calibri" w:hAnsi="Calibri" w:cs="Times New Roman"/>
    </w:rPr>
  </w:style>
  <w:style w:type="paragraph" w:styleId="Header">
    <w:name w:val="header"/>
    <w:basedOn w:val="Normal"/>
    <w:link w:val="HeaderChar"/>
    <w:uiPriority w:val="99"/>
    <w:unhideWhenUsed/>
    <w:rsid w:val="00E23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A84"/>
    <w:rPr>
      <w:rFonts w:ascii="Calibri" w:eastAsia="Calibri" w:hAnsi="Calibri" w:cs="Times New Roman"/>
    </w:rPr>
  </w:style>
  <w:style w:type="paragraph" w:styleId="Footer">
    <w:name w:val="footer"/>
    <w:basedOn w:val="Normal"/>
    <w:link w:val="FooterChar"/>
    <w:uiPriority w:val="99"/>
    <w:unhideWhenUsed/>
    <w:rsid w:val="00E2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A84"/>
    <w:rPr>
      <w:rFonts w:ascii="Calibri" w:eastAsia="Calibri" w:hAnsi="Calibri" w:cs="Times New Roman"/>
    </w:rPr>
  </w:style>
  <w:style w:type="paragraph" w:styleId="Subtitle">
    <w:name w:val="Subtitle"/>
    <w:basedOn w:val="Normal"/>
    <w:next w:val="Normal"/>
    <w:link w:val="SubtitleChar"/>
    <w:uiPriority w:val="11"/>
    <w:qFormat/>
    <w:rsid w:val="00E23A8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23A8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E23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A84"/>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E23A84"/>
    <w:rPr>
      <w:sz w:val="16"/>
      <w:szCs w:val="16"/>
    </w:rPr>
  </w:style>
  <w:style w:type="paragraph" w:styleId="CommentText">
    <w:name w:val="annotation text"/>
    <w:basedOn w:val="Normal"/>
    <w:link w:val="CommentTextChar"/>
    <w:uiPriority w:val="99"/>
    <w:unhideWhenUsed/>
    <w:rsid w:val="00E23A84"/>
    <w:pPr>
      <w:spacing w:line="240" w:lineRule="auto"/>
    </w:pPr>
    <w:rPr>
      <w:sz w:val="20"/>
      <w:szCs w:val="20"/>
    </w:rPr>
  </w:style>
  <w:style w:type="character" w:customStyle="1" w:styleId="CommentTextChar">
    <w:name w:val="Comment Text Char"/>
    <w:basedOn w:val="DefaultParagraphFont"/>
    <w:link w:val="CommentText"/>
    <w:uiPriority w:val="99"/>
    <w:rsid w:val="00E23A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3A84"/>
    <w:rPr>
      <w:b/>
      <w:bCs/>
    </w:rPr>
  </w:style>
  <w:style w:type="character" w:customStyle="1" w:styleId="CommentSubjectChar">
    <w:name w:val="Comment Subject Char"/>
    <w:basedOn w:val="CommentTextChar"/>
    <w:link w:val="CommentSubject"/>
    <w:uiPriority w:val="99"/>
    <w:semiHidden/>
    <w:rsid w:val="00E23A84"/>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E23A84"/>
    <w:rPr>
      <w:color w:val="954F72" w:themeColor="followedHyperlink"/>
      <w:u w:val="single"/>
    </w:rPr>
  </w:style>
  <w:style w:type="paragraph" w:customStyle="1" w:styleId="Instructionaltext">
    <w:name w:val="Instructional text"/>
    <w:basedOn w:val="Normal"/>
    <w:link w:val="InstructionaltextChar"/>
    <w:qFormat/>
    <w:rsid w:val="00E23A84"/>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E23A84"/>
    <w:rPr>
      <w:rFonts w:ascii="Calibri" w:hAnsi="Calibri"/>
      <w:color w:val="258221"/>
    </w:rPr>
  </w:style>
  <w:style w:type="paragraph" w:customStyle="1" w:styleId="Instructionaltext-bullet">
    <w:name w:val="Instructional text - bullet"/>
    <w:basedOn w:val="Instructionaltext"/>
    <w:qFormat/>
    <w:rsid w:val="00E23A84"/>
    <w:pPr>
      <w:numPr>
        <w:numId w:val="3"/>
      </w:numPr>
      <w:spacing w:before="0" w:after="0"/>
    </w:pPr>
  </w:style>
  <w:style w:type="paragraph" w:customStyle="1" w:styleId="Guidelinescross-ref">
    <w:name w:val="Guidelines cross-ref"/>
    <w:basedOn w:val="Normal"/>
    <w:qFormat/>
    <w:rsid w:val="00E23A84"/>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23A84"/>
    <w:pPr>
      <w:spacing w:before="360"/>
    </w:pPr>
  </w:style>
  <w:style w:type="paragraph" w:styleId="Revision">
    <w:name w:val="Revision"/>
    <w:hidden/>
    <w:uiPriority w:val="99"/>
    <w:semiHidden/>
    <w:rsid w:val="00E23A84"/>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E23A84"/>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E23A84"/>
    <w:rPr>
      <w:rFonts w:ascii="Arial Narrow" w:hAnsi="Arial Narrow"/>
      <w:sz w:val="20"/>
    </w:rPr>
  </w:style>
  <w:style w:type="character" w:styleId="PageNumber">
    <w:name w:val="page number"/>
    <w:basedOn w:val="DefaultParagraphFont"/>
    <w:uiPriority w:val="99"/>
    <w:semiHidden/>
    <w:unhideWhenUsed/>
    <w:rsid w:val="00E23A84"/>
  </w:style>
  <w:style w:type="paragraph" w:styleId="FootnoteText">
    <w:name w:val="footnote text"/>
    <w:basedOn w:val="Normal"/>
    <w:link w:val="FootnoteTextChar"/>
    <w:uiPriority w:val="99"/>
    <w:semiHidden/>
    <w:unhideWhenUsed/>
    <w:rsid w:val="00E23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A8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23A84"/>
    <w:rPr>
      <w:vertAlign w:val="superscript"/>
    </w:rPr>
  </w:style>
  <w:style w:type="character" w:customStyle="1" w:styleId="UnresolvedMention1">
    <w:name w:val="Unresolved Mention1"/>
    <w:basedOn w:val="DefaultParagraphFont"/>
    <w:uiPriority w:val="99"/>
    <w:semiHidden/>
    <w:unhideWhenUsed/>
    <w:rsid w:val="00E23A84"/>
    <w:rPr>
      <w:color w:val="605E5C"/>
      <w:shd w:val="clear" w:color="auto" w:fill="E1DFDD"/>
    </w:rPr>
  </w:style>
  <w:style w:type="character" w:customStyle="1" w:styleId="highlight">
    <w:name w:val="highlight"/>
    <w:basedOn w:val="DefaultParagraphFont"/>
    <w:rsid w:val="00E23A84"/>
  </w:style>
  <w:style w:type="paragraph" w:styleId="EndnoteText">
    <w:name w:val="endnote text"/>
    <w:basedOn w:val="Normal"/>
    <w:link w:val="EndnoteTextChar"/>
    <w:uiPriority w:val="99"/>
    <w:semiHidden/>
    <w:unhideWhenUsed/>
    <w:rsid w:val="00E23A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3A8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23A84"/>
    <w:rPr>
      <w:vertAlign w:val="superscript"/>
    </w:rPr>
  </w:style>
  <w:style w:type="paragraph" w:customStyle="1" w:styleId="EndNoteBibliographyTitle">
    <w:name w:val="EndNote Bibliography Title"/>
    <w:basedOn w:val="Normal"/>
    <w:link w:val="EndNoteBibliographyTitleChar"/>
    <w:rsid w:val="00E23A84"/>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E23A84"/>
    <w:rPr>
      <w:rFonts w:ascii="Calibri" w:eastAsia="Calibri" w:hAnsi="Calibri" w:cs="Calibri"/>
      <w:noProof/>
      <w:lang w:val="en-US"/>
    </w:rPr>
  </w:style>
  <w:style w:type="paragraph" w:customStyle="1" w:styleId="EndNoteBibliography">
    <w:name w:val="EndNote Bibliography"/>
    <w:basedOn w:val="Normal"/>
    <w:link w:val="EndNoteBibliographyChar"/>
    <w:rsid w:val="00E23A84"/>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E23A84"/>
    <w:rPr>
      <w:rFonts w:ascii="Calibri" w:eastAsia="Calibri" w:hAnsi="Calibri" w:cs="Calibri"/>
      <w:noProof/>
      <w:lang w:val="en-US"/>
    </w:rPr>
  </w:style>
  <w:style w:type="character" w:styleId="UnresolvedMention">
    <w:name w:val="Unresolved Mention"/>
    <w:basedOn w:val="DefaultParagraphFont"/>
    <w:uiPriority w:val="99"/>
    <w:semiHidden/>
    <w:unhideWhenUsed/>
    <w:rsid w:val="00EE4E82"/>
    <w:rPr>
      <w:color w:val="605E5C"/>
      <w:shd w:val="clear" w:color="auto" w:fill="E1DFDD"/>
    </w:rPr>
  </w:style>
  <w:style w:type="paragraph" w:styleId="NormalWeb">
    <w:name w:val="Normal (Web)"/>
    <w:basedOn w:val="Normal"/>
    <w:uiPriority w:val="99"/>
    <w:semiHidden/>
    <w:unhideWhenUsed/>
    <w:rsid w:val="003755C1"/>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538982">
      <w:bodyDiv w:val="1"/>
      <w:marLeft w:val="0"/>
      <w:marRight w:val="0"/>
      <w:marTop w:val="0"/>
      <w:marBottom w:val="0"/>
      <w:divBdr>
        <w:top w:val="none" w:sz="0" w:space="0" w:color="auto"/>
        <w:left w:val="none" w:sz="0" w:space="0" w:color="auto"/>
        <w:bottom w:val="none" w:sz="0" w:space="0" w:color="auto"/>
        <w:right w:val="none" w:sz="0" w:space="0" w:color="auto"/>
      </w:divBdr>
      <w:divsChild>
        <w:div w:id="1300108821">
          <w:marLeft w:val="288"/>
          <w:marRight w:val="0"/>
          <w:marTop w:val="120"/>
          <w:marBottom w:val="0"/>
          <w:divBdr>
            <w:top w:val="none" w:sz="0" w:space="0" w:color="auto"/>
            <w:left w:val="none" w:sz="0" w:space="0" w:color="auto"/>
            <w:bottom w:val="none" w:sz="0" w:space="0" w:color="auto"/>
            <w:right w:val="none" w:sz="0" w:space="0" w:color="auto"/>
          </w:divBdr>
        </w:div>
      </w:divsChild>
    </w:div>
    <w:div w:id="971059281">
      <w:bodyDiv w:val="1"/>
      <w:marLeft w:val="0"/>
      <w:marRight w:val="0"/>
      <w:marTop w:val="0"/>
      <w:marBottom w:val="0"/>
      <w:divBdr>
        <w:top w:val="none" w:sz="0" w:space="0" w:color="auto"/>
        <w:left w:val="none" w:sz="0" w:space="0" w:color="auto"/>
        <w:bottom w:val="none" w:sz="0" w:space="0" w:color="auto"/>
        <w:right w:val="none" w:sz="0" w:space="0" w:color="auto"/>
      </w:divBdr>
    </w:div>
    <w:div w:id="1126772874">
      <w:bodyDiv w:val="1"/>
      <w:marLeft w:val="0"/>
      <w:marRight w:val="0"/>
      <w:marTop w:val="0"/>
      <w:marBottom w:val="0"/>
      <w:divBdr>
        <w:top w:val="none" w:sz="0" w:space="0" w:color="auto"/>
        <w:left w:val="none" w:sz="0" w:space="0" w:color="auto"/>
        <w:bottom w:val="none" w:sz="0" w:space="0" w:color="auto"/>
        <w:right w:val="none" w:sz="0" w:space="0" w:color="auto"/>
      </w:divBdr>
    </w:div>
    <w:div w:id="1246303228">
      <w:bodyDiv w:val="1"/>
      <w:marLeft w:val="0"/>
      <w:marRight w:val="0"/>
      <w:marTop w:val="0"/>
      <w:marBottom w:val="0"/>
      <w:divBdr>
        <w:top w:val="none" w:sz="0" w:space="0" w:color="auto"/>
        <w:left w:val="none" w:sz="0" w:space="0" w:color="auto"/>
        <w:bottom w:val="none" w:sz="0" w:space="0" w:color="auto"/>
        <w:right w:val="none" w:sz="0" w:space="0" w:color="auto"/>
      </w:divBdr>
    </w:div>
    <w:div w:id="1349061521">
      <w:bodyDiv w:val="1"/>
      <w:marLeft w:val="0"/>
      <w:marRight w:val="0"/>
      <w:marTop w:val="0"/>
      <w:marBottom w:val="0"/>
      <w:divBdr>
        <w:top w:val="none" w:sz="0" w:space="0" w:color="auto"/>
        <w:left w:val="none" w:sz="0" w:space="0" w:color="auto"/>
        <w:bottom w:val="none" w:sz="0" w:space="0" w:color="auto"/>
        <w:right w:val="none" w:sz="0" w:space="0" w:color="auto"/>
      </w:divBdr>
      <w:divsChild>
        <w:div w:id="411245895">
          <w:marLeft w:val="0"/>
          <w:marRight w:val="0"/>
          <w:marTop w:val="0"/>
          <w:marBottom w:val="0"/>
          <w:divBdr>
            <w:top w:val="none" w:sz="0" w:space="0" w:color="auto"/>
            <w:left w:val="none" w:sz="0" w:space="0" w:color="auto"/>
            <w:bottom w:val="none" w:sz="0" w:space="0" w:color="auto"/>
            <w:right w:val="none" w:sz="0" w:space="0" w:color="auto"/>
          </w:divBdr>
        </w:div>
      </w:divsChild>
    </w:div>
    <w:div w:id="1638870869">
      <w:bodyDiv w:val="1"/>
      <w:marLeft w:val="0"/>
      <w:marRight w:val="0"/>
      <w:marTop w:val="0"/>
      <w:marBottom w:val="0"/>
      <w:divBdr>
        <w:top w:val="none" w:sz="0" w:space="0" w:color="auto"/>
        <w:left w:val="none" w:sz="0" w:space="0" w:color="auto"/>
        <w:bottom w:val="none" w:sz="0" w:space="0" w:color="auto"/>
        <w:right w:val="none" w:sz="0" w:space="0" w:color="auto"/>
      </w:divBdr>
    </w:div>
    <w:div w:id="1757507843">
      <w:bodyDiv w:val="1"/>
      <w:marLeft w:val="0"/>
      <w:marRight w:val="0"/>
      <w:marTop w:val="0"/>
      <w:marBottom w:val="0"/>
      <w:divBdr>
        <w:top w:val="none" w:sz="0" w:space="0" w:color="auto"/>
        <w:left w:val="none" w:sz="0" w:space="0" w:color="auto"/>
        <w:bottom w:val="none" w:sz="0" w:space="0" w:color="auto"/>
        <w:right w:val="none" w:sz="0" w:space="0" w:color="auto"/>
      </w:divBdr>
      <w:divsChild>
        <w:div w:id="53373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pbs.gov.au/reviews/atrial-fibrillation-files/report-anticoagulatio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sac.gov.au/internet/msac/publishing.nsf/Content/E0D4E4EDDE91EAC8CA2586E0007AFC75/$File/MSAC%20Guidelines-complete-16-FINAL(18May21).pdf" TargetMode="External"/><Relationship Id="rId2" Type="http://schemas.openxmlformats.org/officeDocument/2006/relationships/numbering" Target="numbering.xml"/><Relationship Id="rId16" Type="http://schemas.openxmlformats.org/officeDocument/2006/relationships/hyperlink" Target="https://www.aihw.gov.au/reports/australias-health/stroke" TargetMode="External"/><Relationship Id="rId20" Type="http://schemas.openxmlformats.org/officeDocument/2006/relationships/hyperlink" Target="http://www.mbsonline.gov.au/internet/mbsonline/publishing.nsf/Content/Factsheet-Modernising-Cardiac-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ricure.com/sites/default/files/brochure/PM-US-0110A-1020-G_AtriClip_FLEX_Brochure.pdf" TargetMode="External"/><Relationship Id="rId5" Type="http://schemas.openxmlformats.org/officeDocument/2006/relationships/webSettings" Target="webSettings.xml"/><Relationship Id="rId15" Type="http://schemas.openxmlformats.org/officeDocument/2006/relationships/hyperlink" Target="https://www.aihw.gov.au/reports/heart-stroke-vascular-diseases/atrial-fibrillation-in-australia/contents/stroke-and-atrial-fibrillation" TargetMode="External"/><Relationship Id="rId10" Type="http://schemas.openxmlformats.org/officeDocument/2006/relationships/image" Target="media/image3.png"/><Relationship Id="rId19" Type="http://schemas.openxmlformats.org/officeDocument/2006/relationships/hyperlink" Target="http://www.msac.gov.au/internet/msac/publishing.nsf/Content/1615-publ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0920-AE95-426F-87DE-FD85209B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5878</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2021-10-13T22:25:00Z</dcterms:created>
  <dcterms:modified xsi:type="dcterms:W3CDTF">2021-10-13T22:25:00Z</dcterms:modified>
</cp:coreProperties>
</file>