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A31A" w14:textId="77777777" w:rsidR="008D59EA" w:rsidRPr="00B702F1" w:rsidRDefault="008D59EA" w:rsidP="008D59EA">
      <w:pPr>
        <w:keepNext/>
        <w:keepLines/>
        <w:jc w:val="center"/>
        <w:outlineLvl w:val="0"/>
        <w:rPr>
          <w:rFonts w:ascii="Arial" w:eastAsia="MS Gothic" w:hAnsi="Arial" w:cs="Arial"/>
          <w:b/>
          <w:bCs/>
          <w:color w:val="000080"/>
          <w:sz w:val="36"/>
          <w:szCs w:val="36"/>
          <w:lang w:eastAsia="en-US"/>
        </w:rPr>
      </w:pPr>
      <w:r w:rsidRPr="00B702F1">
        <w:rPr>
          <w:rFonts w:ascii="Arial" w:eastAsia="MS Gothic" w:hAnsi="Arial" w:cs="Arial"/>
          <w:b/>
          <w:bCs/>
          <w:color w:val="000080"/>
          <w:sz w:val="36"/>
          <w:szCs w:val="36"/>
          <w:lang w:eastAsia="en-US"/>
        </w:rPr>
        <w:t>Medical Services Advisory Committee (MSAC)</w:t>
      </w:r>
    </w:p>
    <w:p w14:paraId="2A3BF1DD" w14:textId="77777777" w:rsidR="008D59EA" w:rsidRPr="00B702F1" w:rsidRDefault="008D59EA" w:rsidP="008D59EA">
      <w:pPr>
        <w:keepNext/>
        <w:keepLines/>
        <w:spacing w:after="360"/>
        <w:jc w:val="center"/>
        <w:outlineLvl w:val="0"/>
        <w:rPr>
          <w:rFonts w:ascii="Arial" w:eastAsia="MS Gothic" w:hAnsi="Arial" w:cs="Arial"/>
          <w:b/>
          <w:bCs/>
          <w:color w:val="000080"/>
          <w:sz w:val="36"/>
          <w:szCs w:val="36"/>
          <w:lang w:eastAsia="en-US"/>
        </w:rPr>
      </w:pPr>
      <w:r w:rsidRPr="00B702F1">
        <w:rPr>
          <w:rFonts w:ascii="Arial" w:eastAsia="MS Gothic" w:hAnsi="Arial" w:cs="Arial"/>
          <w:b/>
          <w:bCs/>
          <w:color w:val="000080"/>
          <w:sz w:val="36"/>
          <w:szCs w:val="36"/>
          <w:lang w:eastAsia="en-US"/>
        </w:rPr>
        <w:t>Public Summary Document</w:t>
      </w:r>
    </w:p>
    <w:p w14:paraId="24388B08" w14:textId="77777777" w:rsidR="006B241A" w:rsidRPr="007430E7" w:rsidRDefault="007430E7" w:rsidP="007430E7">
      <w:pPr>
        <w:pStyle w:val="Subtitle"/>
      </w:pPr>
      <w:r>
        <w:t xml:space="preserve">Application </w:t>
      </w:r>
      <w:r w:rsidR="0022638C" w:rsidRPr="007430E7">
        <w:t>1647 – Brexucabtagene autoleucel for relapsed or refractory mantle cell lymphoma</w:t>
      </w:r>
    </w:p>
    <w:p w14:paraId="283A7A5D" w14:textId="442BD807" w:rsidR="00C56BE8" w:rsidRPr="007430E7" w:rsidRDefault="00C56BE8" w:rsidP="007430E7">
      <w:pPr>
        <w:tabs>
          <w:tab w:val="left" w:pos="3686"/>
        </w:tabs>
        <w:spacing w:after="240"/>
        <w:rPr>
          <w:rFonts w:ascii="Arial" w:hAnsi="Arial" w:cs="Arial"/>
          <w:b/>
          <w:szCs w:val="24"/>
        </w:rPr>
      </w:pPr>
      <w:r w:rsidRPr="007430E7">
        <w:rPr>
          <w:rFonts w:ascii="Arial" w:hAnsi="Arial" w:cs="Arial"/>
          <w:b/>
          <w:szCs w:val="24"/>
        </w:rPr>
        <w:t xml:space="preserve">Applicant: </w:t>
      </w:r>
      <w:r w:rsidR="00AB4BC4">
        <w:rPr>
          <w:rFonts w:ascii="Arial" w:hAnsi="Arial" w:cs="Arial"/>
          <w:b/>
          <w:szCs w:val="24"/>
        </w:rPr>
        <w:tab/>
      </w:r>
      <w:r w:rsidRPr="007430E7">
        <w:rPr>
          <w:rFonts w:ascii="Arial" w:hAnsi="Arial" w:cs="Arial"/>
          <w:b/>
          <w:szCs w:val="24"/>
        </w:rPr>
        <w:t>Gilead Sciences Pty Ltd</w:t>
      </w:r>
    </w:p>
    <w:p w14:paraId="4CE9E6AC" w14:textId="4AF745F6" w:rsidR="007A3D05" w:rsidRDefault="007A3D05" w:rsidP="00AA74FF">
      <w:pPr>
        <w:tabs>
          <w:tab w:val="left" w:pos="3686"/>
        </w:tabs>
        <w:rPr>
          <w:rFonts w:ascii="Arial" w:hAnsi="Arial" w:cs="Arial"/>
          <w:b/>
          <w:szCs w:val="24"/>
        </w:rPr>
      </w:pPr>
      <w:r w:rsidRPr="007430E7">
        <w:rPr>
          <w:rFonts w:ascii="Arial" w:hAnsi="Arial" w:cs="Arial"/>
          <w:b/>
          <w:szCs w:val="24"/>
        </w:rPr>
        <w:t xml:space="preserve">Date of </w:t>
      </w:r>
      <w:r>
        <w:rPr>
          <w:rFonts w:ascii="Arial" w:hAnsi="Arial" w:cs="Arial"/>
          <w:b/>
          <w:szCs w:val="24"/>
        </w:rPr>
        <w:t>MSAC</w:t>
      </w:r>
      <w:r w:rsidRPr="007430E7">
        <w:rPr>
          <w:rFonts w:ascii="Arial" w:hAnsi="Arial" w:cs="Arial"/>
          <w:b/>
          <w:szCs w:val="24"/>
        </w:rPr>
        <w:t xml:space="preserve"> </w:t>
      </w:r>
      <w:r w:rsidRPr="007A3D05">
        <w:rPr>
          <w:rFonts w:ascii="Arial" w:hAnsi="Arial" w:cs="Arial"/>
          <w:b/>
          <w:szCs w:val="24"/>
        </w:rPr>
        <w:t>consideration:</w:t>
      </w:r>
      <w:r w:rsidR="00AA74FF">
        <w:rPr>
          <w:rFonts w:ascii="Arial" w:hAnsi="Arial" w:cs="Arial"/>
          <w:b/>
          <w:szCs w:val="24"/>
        </w:rPr>
        <w:tab/>
      </w:r>
      <w:r w:rsidRPr="007A3D05">
        <w:rPr>
          <w:rFonts w:ascii="Arial" w:hAnsi="Arial" w:cs="Arial"/>
          <w:b/>
          <w:szCs w:val="24"/>
        </w:rPr>
        <w:t>MSAC out-of-session, 29 July 2023</w:t>
      </w:r>
    </w:p>
    <w:p w14:paraId="5A8C6059" w14:textId="7B50D285" w:rsidR="00BE4536" w:rsidRPr="00AA74FF" w:rsidRDefault="00AA74FF" w:rsidP="00AA74FF">
      <w:pPr>
        <w:tabs>
          <w:tab w:val="left" w:pos="3686"/>
        </w:tabs>
        <w:spacing w:after="360"/>
        <w:rPr>
          <w:rFonts w:ascii="Arial" w:hAnsi="Arial" w:cs="Arial"/>
          <w:b/>
          <w:szCs w:val="24"/>
        </w:rPr>
      </w:pPr>
      <w:r>
        <w:rPr>
          <w:rFonts w:ascii="Arial" w:hAnsi="Arial" w:cs="Arial"/>
          <w:b/>
          <w:szCs w:val="24"/>
        </w:rPr>
        <w:tab/>
      </w:r>
      <w:r w:rsidR="007A3D05">
        <w:rPr>
          <w:rFonts w:ascii="Arial" w:hAnsi="Arial" w:cs="Arial"/>
          <w:b/>
          <w:szCs w:val="24"/>
        </w:rPr>
        <w:t>82</w:t>
      </w:r>
      <w:r w:rsidR="007A3D05" w:rsidRPr="0033443A">
        <w:rPr>
          <w:rFonts w:ascii="Arial" w:hAnsi="Arial" w:cs="Arial"/>
          <w:b/>
          <w:szCs w:val="24"/>
          <w:vertAlign w:val="superscript"/>
        </w:rPr>
        <w:t>nd</w:t>
      </w:r>
      <w:r w:rsidR="007A3D05">
        <w:rPr>
          <w:rFonts w:ascii="Arial" w:hAnsi="Arial" w:cs="Arial"/>
          <w:b/>
          <w:szCs w:val="24"/>
        </w:rPr>
        <w:t xml:space="preserve"> MSAC Meeting, 29-30 July</w:t>
      </w:r>
      <w:r w:rsidR="007A3D05" w:rsidRPr="007430E7">
        <w:rPr>
          <w:rFonts w:ascii="Arial" w:hAnsi="Arial" w:cs="Arial"/>
          <w:b/>
          <w:szCs w:val="24"/>
        </w:rPr>
        <w:t xml:space="preserve"> 2021 </w:t>
      </w:r>
    </w:p>
    <w:p w14:paraId="33A95235" w14:textId="77777777" w:rsidR="00D97520" w:rsidRPr="007430E7" w:rsidRDefault="007430E7" w:rsidP="007430E7">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01C37F4B" w14:textId="77777777" w:rsidR="00576ED3" w:rsidRPr="007430E7" w:rsidRDefault="00065623" w:rsidP="007430E7">
      <w:pPr>
        <w:pStyle w:val="Heading1"/>
        <w:numPr>
          <w:ilvl w:val="0"/>
          <w:numId w:val="13"/>
        </w:numPr>
        <w:spacing w:before="240" w:after="240"/>
        <w:ind w:hanging="720"/>
        <w:rPr>
          <w:rFonts w:ascii="Arial" w:eastAsia="Times New Roman" w:hAnsi="Arial" w:cs="Times New Roman"/>
        </w:rPr>
      </w:pPr>
      <w:r w:rsidRPr="007430E7">
        <w:rPr>
          <w:rFonts w:ascii="Arial" w:eastAsia="Times New Roman" w:hAnsi="Arial" w:cs="Times New Roman"/>
        </w:rPr>
        <w:t>Purpose of application</w:t>
      </w:r>
    </w:p>
    <w:p w14:paraId="43F71106" w14:textId="77777777" w:rsidR="007A598F" w:rsidRDefault="007A598F" w:rsidP="007430E7">
      <w:pPr>
        <w:spacing w:before="240"/>
      </w:pPr>
      <w:r>
        <w:t xml:space="preserve">An application requesting </w:t>
      </w:r>
      <w:r w:rsidR="00C5481C">
        <w:t xml:space="preserve">joint </w:t>
      </w:r>
      <w:r>
        <w:rPr>
          <w:szCs w:val="24"/>
        </w:rPr>
        <w:t xml:space="preserve">public funding </w:t>
      </w:r>
      <w:r w:rsidR="00C5481C">
        <w:t xml:space="preserve">by the Commonwealth and the States </w:t>
      </w:r>
      <w:r w:rsidR="003326FB">
        <w:t xml:space="preserve">and Territories </w:t>
      </w:r>
      <w:r w:rsidR="00C5481C">
        <w:t xml:space="preserve">under the National Health Reform </w:t>
      </w:r>
      <w:r w:rsidR="003326FB">
        <w:t xml:space="preserve">Agreement </w:t>
      </w:r>
      <w:r w:rsidR="00C5481C">
        <w:t xml:space="preserve">(NHRA) </w:t>
      </w:r>
      <w:r>
        <w:rPr>
          <w:szCs w:val="24"/>
        </w:rPr>
        <w:t xml:space="preserve">of </w:t>
      </w:r>
      <w:r>
        <w:t>brexucabtagene autoleucel (</w:t>
      </w:r>
      <w:proofErr w:type="spellStart"/>
      <w:r>
        <w:t>Tecartus</w:t>
      </w:r>
      <w:proofErr w:type="spellEnd"/>
      <w:r w:rsidRPr="00695AFC">
        <w:rPr>
          <w:vertAlign w:val="superscript"/>
        </w:rPr>
        <w:t>®</w:t>
      </w:r>
      <w:r>
        <w:t xml:space="preserve">) for the treatment of patients with </w:t>
      </w:r>
      <w:r w:rsidRPr="00E700C0">
        <w:t>relapsed or refractory mantle cell lymphoma (</w:t>
      </w:r>
      <w:r>
        <w:t xml:space="preserve">R/R </w:t>
      </w:r>
      <w:r w:rsidRPr="00E700C0">
        <w:t>MCL)</w:t>
      </w:r>
      <w:r>
        <w:t xml:space="preserve"> was received from </w:t>
      </w:r>
      <w:r w:rsidRPr="003D5FC4">
        <w:rPr>
          <w:bCs/>
          <w:szCs w:val="24"/>
        </w:rPr>
        <w:t xml:space="preserve">Gilead Sciences </w:t>
      </w:r>
      <w:r>
        <w:t>by the Department of Health.</w:t>
      </w:r>
    </w:p>
    <w:p w14:paraId="7854F689" w14:textId="77777777" w:rsidR="003D5D80" w:rsidRDefault="003D5D80" w:rsidP="007430E7">
      <w:pPr>
        <w:spacing w:before="240"/>
      </w:pPr>
      <w:r>
        <w:t xml:space="preserve">Brexucabtagene autoleucel </w:t>
      </w:r>
      <w:r w:rsidRPr="00296913">
        <w:t>and the broader health technology (CAR T-cell therapy) are not eligible for funding through the MBS or PBS.</w:t>
      </w:r>
      <w:r>
        <w:t xml:space="preserve">  </w:t>
      </w:r>
    </w:p>
    <w:p w14:paraId="6E82D110" w14:textId="77777777" w:rsidR="007430E7" w:rsidRPr="007430E7" w:rsidRDefault="007430E7" w:rsidP="007430E7">
      <w:pPr>
        <w:pStyle w:val="Heading1"/>
        <w:numPr>
          <w:ilvl w:val="0"/>
          <w:numId w:val="13"/>
        </w:numPr>
        <w:spacing w:before="240" w:after="240"/>
        <w:ind w:hanging="720"/>
        <w:rPr>
          <w:rFonts w:ascii="Arial" w:eastAsia="Times New Roman" w:hAnsi="Arial" w:cs="Times New Roman"/>
        </w:rPr>
      </w:pPr>
      <w:r w:rsidRPr="007430E7">
        <w:rPr>
          <w:rFonts w:ascii="Arial" w:eastAsia="Times New Roman" w:hAnsi="Arial" w:cs="Times New Roman"/>
        </w:rPr>
        <w:t>MSAC’s advice to the Minister</w:t>
      </w:r>
    </w:p>
    <w:p w14:paraId="63EBFE0D" w14:textId="508FF06D" w:rsidR="00DE056B" w:rsidRPr="007A3D05" w:rsidRDefault="00DE056B" w:rsidP="00BE4536">
      <w:pPr>
        <w:pStyle w:val="Heading1"/>
        <w:spacing w:before="240" w:after="240"/>
        <w:rPr>
          <w:rFonts w:eastAsia="Times New Roman" w:cs="Times New Roman"/>
          <w:i/>
          <w:iCs/>
          <w:color w:val="000000"/>
          <w:szCs w:val="20"/>
        </w:rPr>
      </w:pPr>
      <w:r w:rsidRPr="007A3D05">
        <w:rPr>
          <w:rFonts w:eastAsia="Times New Roman" w:cs="Times New Roman"/>
          <w:i/>
          <w:iCs/>
          <w:color w:val="000000"/>
          <w:szCs w:val="20"/>
        </w:rPr>
        <w:t>July 2023 MSAC consideration</w:t>
      </w:r>
    </w:p>
    <w:p w14:paraId="11568802" w14:textId="68416D28" w:rsidR="00FE175F" w:rsidRPr="007A3D05" w:rsidRDefault="00DE056B" w:rsidP="00746D75">
      <w:pPr>
        <w:rPr>
          <w:color w:val="000000"/>
        </w:rPr>
      </w:pPr>
      <w:r w:rsidRPr="007A3D05">
        <w:rPr>
          <w:color w:val="000000"/>
        </w:rPr>
        <w:t xml:space="preserve">Following </w:t>
      </w:r>
      <w:r w:rsidR="00746D75" w:rsidRPr="007A3D05">
        <w:rPr>
          <w:color w:val="000000"/>
        </w:rPr>
        <w:t>the MSAC’s July 2021 advice to support the public funding of brexucabtagene autoleucel (</w:t>
      </w:r>
      <w:proofErr w:type="spellStart"/>
      <w:r w:rsidR="00746D75" w:rsidRPr="007A3D05">
        <w:rPr>
          <w:color w:val="000000"/>
        </w:rPr>
        <w:t>brexu-cel</w:t>
      </w:r>
      <w:proofErr w:type="spellEnd"/>
      <w:r w:rsidR="00746D75" w:rsidRPr="007A3D05">
        <w:rPr>
          <w:color w:val="000000"/>
        </w:rPr>
        <w:t>) for certain patients with relapsed or refractory mantle cell lymphoma (R/R MCL)</w:t>
      </w:r>
      <w:r w:rsidR="009A0310" w:rsidRPr="007A3D05">
        <w:rPr>
          <w:color w:val="000000"/>
        </w:rPr>
        <w:t xml:space="preserve">, </w:t>
      </w:r>
      <w:r w:rsidR="009A5544" w:rsidRPr="007A3D05">
        <w:rPr>
          <w:color w:val="000000"/>
        </w:rPr>
        <w:t>Gilead Sciences</w:t>
      </w:r>
      <w:r w:rsidR="009A0310" w:rsidRPr="007A3D05">
        <w:rPr>
          <w:color w:val="000000"/>
        </w:rPr>
        <w:t xml:space="preserve"> submitted a pricing proposal </w:t>
      </w:r>
      <w:r w:rsidR="00281EBC" w:rsidRPr="007A3D05">
        <w:rPr>
          <w:color w:val="000000"/>
        </w:rPr>
        <w:t xml:space="preserve">to progress the public funding </w:t>
      </w:r>
      <w:r w:rsidR="005E28A3" w:rsidRPr="007A3D05">
        <w:rPr>
          <w:color w:val="000000"/>
        </w:rPr>
        <w:t>of the</w:t>
      </w:r>
      <w:r w:rsidR="00FE175F" w:rsidRPr="007A3D05">
        <w:rPr>
          <w:color w:val="000000"/>
        </w:rPr>
        <w:t xml:space="preserve"> CAR-T cell therapy</w:t>
      </w:r>
      <w:r w:rsidR="005F43A8" w:rsidRPr="007A3D05">
        <w:rPr>
          <w:color w:val="000000"/>
        </w:rPr>
        <w:t xml:space="preserve"> in July 2023.</w:t>
      </w:r>
    </w:p>
    <w:p w14:paraId="18EB3DB8" w14:textId="66CECCF1" w:rsidR="00ED414C" w:rsidRPr="00746D75" w:rsidRDefault="00ED414C" w:rsidP="00AA74FF">
      <w:pPr>
        <w:spacing w:before="240"/>
        <w:rPr>
          <w:color w:val="000000"/>
        </w:rPr>
      </w:pPr>
      <w:r w:rsidRPr="007A3D05">
        <w:rPr>
          <w:color w:val="000000"/>
        </w:rPr>
        <w:t>Given the</w:t>
      </w:r>
      <w:r w:rsidR="00436FB2" w:rsidRPr="007A3D05">
        <w:rPr>
          <w:color w:val="000000"/>
        </w:rPr>
        <w:t xml:space="preserve"> details of the</w:t>
      </w:r>
      <w:r w:rsidRPr="007A3D05">
        <w:rPr>
          <w:color w:val="000000"/>
        </w:rPr>
        <w:t xml:space="preserve"> pricing proposal </w:t>
      </w:r>
      <w:r w:rsidR="000846DC" w:rsidRPr="007A3D05">
        <w:rPr>
          <w:color w:val="000000"/>
        </w:rPr>
        <w:t>varied</w:t>
      </w:r>
      <w:r w:rsidRPr="007A3D05">
        <w:rPr>
          <w:color w:val="000000"/>
        </w:rPr>
        <w:t xml:space="preserve"> from the MSAC’s July 2021 advice, the MSAC considered the </w:t>
      </w:r>
      <w:r w:rsidR="00017538" w:rsidRPr="007A3D05">
        <w:rPr>
          <w:color w:val="000000"/>
        </w:rPr>
        <w:t xml:space="preserve">pricing proposal out-of-session on </w:t>
      </w:r>
      <w:r w:rsidR="007F29CD" w:rsidRPr="007A3D05">
        <w:rPr>
          <w:color w:val="000000"/>
        </w:rPr>
        <w:t xml:space="preserve">29 July 2023. </w:t>
      </w:r>
      <w:r w:rsidR="00C81A2F" w:rsidRPr="007A3D05">
        <w:rPr>
          <w:color w:val="000000"/>
        </w:rPr>
        <w:t xml:space="preserve">After considering the pricing proposal, </w:t>
      </w:r>
      <w:r w:rsidR="007F29CD" w:rsidRPr="007A3D05">
        <w:rPr>
          <w:color w:val="000000"/>
        </w:rPr>
        <w:t xml:space="preserve">MSAC </w:t>
      </w:r>
      <w:r w:rsidR="006C4760" w:rsidRPr="007A3D05">
        <w:rPr>
          <w:color w:val="000000"/>
        </w:rPr>
        <w:t>confirmed</w:t>
      </w:r>
      <w:r w:rsidR="007F29CD" w:rsidRPr="007A3D05">
        <w:rPr>
          <w:color w:val="000000"/>
        </w:rPr>
        <w:t xml:space="preserve"> its support for the public funding of </w:t>
      </w:r>
      <w:proofErr w:type="spellStart"/>
      <w:r w:rsidR="007F29CD" w:rsidRPr="007A3D05">
        <w:rPr>
          <w:color w:val="000000"/>
        </w:rPr>
        <w:t>bre</w:t>
      </w:r>
      <w:r w:rsidR="006C4760" w:rsidRPr="007A3D05">
        <w:rPr>
          <w:color w:val="000000"/>
        </w:rPr>
        <w:t>x</w:t>
      </w:r>
      <w:r w:rsidR="007F29CD" w:rsidRPr="007A3D05">
        <w:rPr>
          <w:color w:val="000000"/>
        </w:rPr>
        <w:t>u-cel</w:t>
      </w:r>
      <w:proofErr w:type="spellEnd"/>
      <w:r w:rsidR="003455F8" w:rsidRPr="007A3D05">
        <w:rPr>
          <w:color w:val="000000"/>
        </w:rPr>
        <w:t xml:space="preserve"> for certain patients with R/R MCL</w:t>
      </w:r>
      <w:r w:rsidR="006C4760" w:rsidRPr="007A3D05">
        <w:rPr>
          <w:color w:val="000000"/>
        </w:rPr>
        <w:t xml:space="preserve">. </w:t>
      </w:r>
      <w:r w:rsidR="00B92E9D" w:rsidRPr="007A3D05">
        <w:rPr>
          <w:color w:val="000000"/>
        </w:rPr>
        <w:t>No changes were made to other parts of its advice to the Minister from July 2021.</w:t>
      </w:r>
    </w:p>
    <w:p w14:paraId="35F00A11" w14:textId="714AF6D3" w:rsidR="00BE4536" w:rsidRPr="00DE056B" w:rsidRDefault="00BE4536" w:rsidP="00BE4536">
      <w:pPr>
        <w:pStyle w:val="Heading1"/>
        <w:spacing w:before="240" w:after="240"/>
        <w:rPr>
          <w:rFonts w:eastAsia="Times New Roman" w:cs="Times New Roman"/>
          <w:i/>
          <w:iCs/>
          <w:color w:val="000000"/>
          <w:szCs w:val="20"/>
        </w:rPr>
      </w:pPr>
      <w:r w:rsidRPr="00DE056B">
        <w:rPr>
          <w:rFonts w:eastAsia="Times New Roman" w:cs="Times New Roman"/>
          <w:i/>
          <w:iCs/>
          <w:color w:val="000000"/>
          <w:szCs w:val="20"/>
        </w:rPr>
        <w:t>July 2021 MSAC consideration</w:t>
      </w:r>
    </w:p>
    <w:p w14:paraId="2B9B5736" w14:textId="2690A871" w:rsidR="00E77CC8" w:rsidRDefault="00A575D0" w:rsidP="00B14FDB">
      <w:pPr>
        <w:rPr>
          <w:color w:val="000000"/>
        </w:rPr>
      </w:pPr>
      <w:r w:rsidRPr="00A575D0">
        <w:rPr>
          <w:color w:val="000000"/>
        </w:rPr>
        <w:t xml:space="preserve">After considering the strength of the available evidence in relation to comparative safety, clinical </w:t>
      </w:r>
      <w:proofErr w:type="gramStart"/>
      <w:r w:rsidRPr="00A575D0">
        <w:rPr>
          <w:color w:val="000000"/>
        </w:rPr>
        <w:t>effectiveness</w:t>
      </w:r>
      <w:proofErr w:type="gramEnd"/>
      <w:r w:rsidRPr="00A575D0">
        <w:rPr>
          <w:color w:val="000000"/>
        </w:rPr>
        <w:t xml:space="preserve"> and cost-effectiveness, MSAC supported public funding of </w:t>
      </w:r>
      <w:proofErr w:type="spellStart"/>
      <w:r w:rsidRPr="00A575D0">
        <w:rPr>
          <w:color w:val="000000"/>
        </w:rPr>
        <w:t>brexu-cel</w:t>
      </w:r>
      <w:proofErr w:type="spellEnd"/>
      <w:r w:rsidRPr="00A575D0">
        <w:rPr>
          <w:color w:val="000000"/>
        </w:rPr>
        <w:t xml:space="preserve"> for certain patients with R/R MCL. MSAC considered there was significant unmet clinical need in </w:t>
      </w:r>
      <w:r w:rsidR="005D1977">
        <w:rPr>
          <w:color w:val="000000"/>
        </w:rPr>
        <w:t>this</w:t>
      </w:r>
      <w:r w:rsidRPr="00A575D0">
        <w:rPr>
          <w:color w:val="000000"/>
        </w:rPr>
        <w:t xml:space="preserve"> group of patients. MSAC considered </w:t>
      </w:r>
      <w:r w:rsidR="00294F0A">
        <w:rPr>
          <w:color w:val="000000"/>
        </w:rPr>
        <w:t xml:space="preserve">that </w:t>
      </w:r>
      <w:r w:rsidRPr="00A575D0">
        <w:rPr>
          <w:color w:val="000000"/>
        </w:rPr>
        <w:t xml:space="preserve">the level of clinical evidence in support of </w:t>
      </w:r>
      <w:proofErr w:type="spellStart"/>
      <w:r w:rsidRPr="00A575D0">
        <w:rPr>
          <w:color w:val="000000"/>
        </w:rPr>
        <w:t>brexu-cel</w:t>
      </w:r>
      <w:proofErr w:type="spellEnd"/>
      <w:r w:rsidRPr="00A575D0">
        <w:rPr>
          <w:color w:val="000000"/>
        </w:rPr>
        <w:t xml:space="preserve"> to be acceptable given the rarity of mantle cell lymphoma</w:t>
      </w:r>
      <w:r w:rsidR="00B14FDB">
        <w:rPr>
          <w:color w:val="000000"/>
        </w:rPr>
        <w:t xml:space="preserve"> and </w:t>
      </w:r>
      <w:r w:rsidRPr="00A575D0">
        <w:rPr>
          <w:color w:val="000000"/>
        </w:rPr>
        <w:t xml:space="preserve">the proposal for </w:t>
      </w:r>
      <w:r w:rsidR="00294F0A">
        <w:rPr>
          <w:color w:val="000000"/>
        </w:rPr>
        <w:t xml:space="preserve">its </w:t>
      </w:r>
      <w:r w:rsidRPr="00A575D0">
        <w:rPr>
          <w:color w:val="000000"/>
        </w:rPr>
        <w:t xml:space="preserve">use as a later line of therapy. </w:t>
      </w:r>
    </w:p>
    <w:p w14:paraId="6278B8C3" w14:textId="554932D3" w:rsidR="005D1977" w:rsidRPr="00AB4BC4" w:rsidRDefault="00A575D0" w:rsidP="00DE7DEF">
      <w:pPr>
        <w:spacing w:before="240"/>
        <w:rPr>
          <w:color w:val="000000"/>
        </w:rPr>
      </w:pPr>
      <w:r w:rsidRPr="00AB4BC4">
        <w:rPr>
          <w:color w:val="000000"/>
        </w:rPr>
        <w:t>MSAC support for public funding was contingent on</w:t>
      </w:r>
      <w:r w:rsidR="00B14FDB" w:rsidRPr="00AB4BC4">
        <w:rPr>
          <w:color w:val="000000"/>
        </w:rPr>
        <w:t xml:space="preserve"> </w:t>
      </w:r>
      <w:r w:rsidR="00E77CC8" w:rsidRPr="00AB4BC4">
        <w:rPr>
          <w:color w:val="000000"/>
        </w:rPr>
        <w:t xml:space="preserve">a price reduction to achieve </w:t>
      </w:r>
      <w:r w:rsidR="00B14FDB" w:rsidRPr="00AB4BC4">
        <w:rPr>
          <w:color w:val="000000"/>
        </w:rPr>
        <w:t xml:space="preserve">an average price per patient </w:t>
      </w:r>
      <w:r w:rsidR="00E77CC8" w:rsidRPr="00AB4BC4">
        <w:rPr>
          <w:color w:val="000000"/>
        </w:rPr>
        <w:t>corresponding to</w:t>
      </w:r>
      <w:r w:rsidR="00B14FDB" w:rsidRPr="00AB4BC4">
        <w:rPr>
          <w:color w:val="000000"/>
        </w:rPr>
        <w:t xml:space="preserve"> the same </w:t>
      </w:r>
      <w:r w:rsidR="009F78EB" w:rsidRPr="00AB4BC4">
        <w:rPr>
          <w:color w:val="000000"/>
        </w:rPr>
        <w:t>incremental cost-effectiveness ratio (ICER)</w:t>
      </w:r>
      <w:r w:rsidR="00B14FDB" w:rsidRPr="00AB4BC4">
        <w:rPr>
          <w:color w:val="000000"/>
        </w:rPr>
        <w:t xml:space="preserve"> as </w:t>
      </w:r>
      <w:r w:rsidR="00B14FDB" w:rsidRPr="00AB4BC4">
        <w:rPr>
          <w:color w:val="000000"/>
        </w:rPr>
        <w:lastRenderedPageBreak/>
        <w:t xml:space="preserve">that accepted for </w:t>
      </w:r>
      <w:r w:rsidR="006761D1" w:rsidRPr="00AB4BC4">
        <w:t>axicabtagene ciloleucel</w:t>
      </w:r>
      <w:r w:rsidR="00E77CC8" w:rsidRPr="00AB4BC4">
        <w:t xml:space="preserve"> </w:t>
      </w:r>
      <w:r w:rsidR="009F78EB" w:rsidRPr="00AB4BC4">
        <w:t>($</w:t>
      </w:r>
      <w:r w:rsidR="000441F0" w:rsidRPr="00AB4BC4">
        <w:rPr>
          <w:b/>
          <w:bCs/>
        </w:rPr>
        <w:t>redacted</w:t>
      </w:r>
      <w:r w:rsidR="009F78EB" w:rsidRPr="00AB4BC4">
        <w:t>/QALY</w:t>
      </w:r>
      <w:r w:rsidR="00E77CC8" w:rsidRPr="00AB4BC4">
        <w:t>) and if the following measures were implemented to contain the risks associated with public funding</w:t>
      </w:r>
      <w:r w:rsidR="005D1977" w:rsidRPr="00AB4BC4">
        <w:rPr>
          <w:color w:val="000000"/>
        </w:rPr>
        <w:t>:</w:t>
      </w:r>
    </w:p>
    <w:p w14:paraId="4C54EFED" w14:textId="77777777" w:rsidR="00E77CC8" w:rsidRPr="00AB4BC4" w:rsidRDefault="00E77CC8" w:rsidP="00F3441D">
      <w:pPr>
        <w:pStyle w:val="ListParagraph"/>
        <w:numPr>
          <w:ilvl w:val="0"/>
          <w:numId w:val="30"/>
        </w:numPr>
        <w:rPr>
          <w:b/>
        </w:rPr>
      </w:pPr>
      <w:r w:rsidRPr="00AB4BC4">
        <w:t xml:space="preserve">treatment must be delivered by a haematologist working in a multi-disciplinary team specialising in the provision of CAR-T cell </w:t>
      </w:r>
      <w:proofErr w:type="gramStart"/>
      <w:r w:rsidRPr="00AB4BC4">
        <w:t>therapy;</w:t>
      </w:r>
      <w:proofErr w:type="gramEnd"/>
      <w:r w:rsidRPr="00AB4BC4">
        <w:t xml:space="preserve"> </w:t>
      </w:r>
    </w:p>
    <w:p w14:paraId="7185294B" w14:textId="77777777" w:rsidR="00F3441D" w:rsidRPr="00AB4BC4" w:rsidRDefault="00E77CC8" w:rsidP="00F3441D">
      <w:pPr>
        <w:pStyle w:val="ListParagraph"/>
        <w:numPr>
          <w:ilvl w:val="0"/>
          <w:numId w:val="30"/>
        </w:numPr>
        <w:rPr>
          <w:b/>
        </w:rPr>
      </w:pPr>
      <w:r w:rsidRPr="00AB4BC4">
        <w:t xml:space="preserve">treatment must be delivered in a tertiary public hospital with appropriate </w:t>
      </w:r>
      <w:proofErr w:type="gramStart"/>
      <w:r w:rsidRPr="00AB4BC4">
        <w:t>credentials;</w:t>
      </w:r>
      <w:proofErr w:type="gramEnd"/>
    </w:p>
    <w:p w14:paraId="1C8E060E" w14:textId="77777777" w:rsidR="00476080" w:rsidRPr="00AB4BC4" w:rsidRDefault="00E77CC8" w:rsidP="00F3441D">
      <w:pPr>
        <w:pStyle w:val="ListParagraph"/>
        <w:numPr>
          <w:ilvl w:val="0"/>
          <w:numId w:val="30"/>
        </w:numPr>
        <w:rPr>
          <w:b/>
        </w:rPr>
      </w:pPr>
      <w:r w:rsidRPr="00AB4BC4">
        <w:t xml:space="preserve">governance and prescribing rules to ensure treatment is directed to patients most likely to </w:t>
      </w:r>
      <w:proofErr w:type="gramStart"/>
      <w:r w:rsidRPr="00AB4BC4">
        <w:t>benefit;</w:t>
      </w:r>
      <w:proofErr w:type="gramEnd"/>
    </w:p>
    <w:p w14:paraId="0F8AF878" w14:textId="1A3051B3" w:rsidR="00E77CC8" w:rsidRPr="00AB4BC4" w:rsidRDefault="00CF0B22" w:rsidP="00F3441D">
      <w:pPr>
        <w:pStyle w:val="ListParagraph"/>
        <w:numPr>
          <w:ilvl w:val="0"/>
          <w:numId w:val="30"/>
        </w:numPr>
        <w:rPr>
          <w:color w:val="000000"/>
        </w:rPr>
      </w:pPr>
      <w:bookmarkStart w:id="0" w:name="_Hlk144901264"/>
      <w:proofErr w:type="gramStart"/>
      <w:r w:rsidRPr="00AB4BC4">
        <w:rPr>
          <w:b/>
          <w:bCs/>
          <w:color w:val="000000"/>
        </w:rPr>
        <w:t>Redacted</w:t>
      </w:r>
      <w:r w:rsidR="0071042C" w:rsidRPr="00AB4BC4">
        <w:t>;</w:t>
      </w:r>
      <w:proofErr w:type="gramEnd"/>
      <w:r w:rsidR="00A575D0" w:rsidRPr="00AB4BC4">
        <w:t xml:space="preserve"> </w:t>
      </w:r>
    </w:p>
    <w:bookmarkEnd w:id="0"/>
    <w:p w14:paraId="616ABB9B" w14:textId="44012A99" w:rsidR="00E77CC8" w:rsidRPr="00AB4BC4" w:rsidRDefault="00CF0B22" w:rsidP="00F3441D">
      <w:pPr>
        <w:pStyle w:val="ListParagraph"/>
        <w:numPr>
          <w:ilvl w:val="0"/>
          <w:numId w:val="30"/>
        </w:numPr>
      </w:pPr>
      <w:proofErr w:type="gramStart"/>
      <w:r w:rsidRPr="00AB4BC4">
        <w:rPr>
          <w:b/>
          <w:bCs/>
          <w:color w:val="000000"/>
        </w:rPr>
        <w:t>Redacted</w:t>
      </w:r>
      <w:r w:rsidR="00EF04DE" w:rsidRPr="00AB4BC4">
        <w:t>;</w:t>
      </w:r>
      <w:proofErr w:type="gramEnd"/>
    </w:p>
    <w:p w14:paraId="470B827A" w14:textId="434D8A9D" w:rsidR="001E0225" w:rsidRPr="00AB4BC4" w:rsidRDefault="00CF0B22" w:rsidP="00F3441D">
      <w:pPr>
        <w:pStyle w:val="ListParagraph"/>
        <w:numPr>
          <w:ilvl w:val="0"/>
          <w:numId w:val="30"/>
        </w:numPr>
      </w:pPr>
      <w:proofErr w:type="gramStart"/>
      <w:r w:rsidRPr="00AB4BC4">
        <w:rPr>
          <w:b/>
          <w:bCs/>
          <w:color w:val="000000"/>
        </w:rPr>
        <w:t>Redacted</w:t>
      </w:r>
      <w:r w:rsidR="00D81BCA" w:rsidRPr="00AB4BC4">
        <w:t>;</w:t>
      </w:r>
      <w:proofErr w:type="gramEnd"/>
    </w:p>
    <w:p w14:paraId="56AC02FF" w14:textId="16DD011B" w:rsidR="006B5C99" w:rsidRPr="00AB4BC4" w:rsidRDefault="00CF0B22" w:rsidP="00F3441D">
      <w:pPr>
        <w:pStyle w:val="ListParagraph"/>
        <w:numPr>
          <w:ilvl w:val="0"/>
          <w:numId w:val="30"/>
        </w:numPr>
      </w:pPr>
      <w:bookmarkStart w:id="1" w:name="_Hlk144901372"/>
      <w:proofErr w:type="gramStart"/>
      <w:r w:rsidRPr="00AB4BC4">
        <w:rPr>
          <w:b/>
          <w:bCs/>
          <w:color w:val="000000"/>
        </w:rPr>
        <w:t>Redacted</w:t>
      </w:r>
      <w:r w:rsidR="006B5C99" w:rsidRPr="00AB4BC4">
        <w:t>;</w:t>
      </w:r>
      <w:proofErr w:type="gramEnd"/>
    </w:p>
    <w:bookmarkEnd w:id="1"/>
    <w:p w14:paraId="1FFBDABD" w14:textId="77777777" w:rsidR="006B5C99" w:rsidRPr="00AB4BC4" w:rsidRDefault="006B5C99" w:rsidP="00F3441D">
      <w:pPr>
        <w:pStyle w:val="ListParagraph"/>
        <w:numPr>
          <w:ilvl w:val="0"/>
          <w:numId w:val="30"/>
        </w:numPr>
      </w:pPr>
      <w:r w:rsidRPr="00AB4BC4">
        <w:t xml:space="preserve">no payment for </w:t>
      </w:r>
      <w:proofErr w:type="spellStart"/>
      <w:r w:rsidRPr="00AB4BC4">
        <w:rPr>
          <w:color w:val="000000"/>
        </w:rPr>
        <w:t>brexu-cel</w:t>
      </w:r>
      <w:proofErr w:type="spellEnd"/>
      <w:r w:rsidRPr="00AB4BC4">
        <w:t xml:space="preserve"> for an unsuccessful infusion (</w:t>
      </w:r>
      <w:proofErr w:type="gramStart"/>
      <w:r w:rsidRPr="00AB4BC4">
        <w:t>i.e.</w:t>
      </w:r>
      <w:proofErr w:type="gramEnd"/>
      <w:r w:rsidRPr="00AB4BC4">
        <w:t xml:space="preserve"> an infusion of product that does not meet the TGA agreed specification for minimum cell numbers);</w:t>
      </w:r>
    </w:p>
    <w:p w14:paraId="1C033FEE" w14:textId="77777777" w:rsidR="006B5C99" w:rsidRPr="00AB4BC4" w:rsidRDefault="006B5C99" w:rsidP="00F3441D">
      <w:pPr>
        <w:pStyle w:val="ListParagraph"/>
        <w:numPr>
          <w:ilvl w:val="0"/>
          <w:numId w:val="30"/>
        </w:numPr>
      </w:pPr>
      <w:r w:rsidRPr="00AB4BC4">
        <w:t xml:space="preserve">no payment for </w:t>
      </w:r>
      <w:proofErr w:type="spellStart"/>
      <w:r w:rsidRPr="00AB4BC4">
        <w:rPr>
          <w:color w:val="000000"/>
        </w:rPr>
        <w:t>brexu-cel</w:t>
      </w:r>
      <w:proofErr w:type="spellEnd"/>
      <w:r w:rsidRPr="00AB4BC4">
        <w:t xml:space="preserve"> if a patient is apheresed but does not receive the infusion of engineered </w:t>
      </w:r>
      <w:proofErr w:type="gramStart"/>
      <w:r w:rsidRPr="00AB4BC4">
        <w:t>lymphocytes;</w:t>
      </w:r>
      <w:proofErr w:type="gramEnd"/>
    </w:p>
    <w:p w14:paraId="43B85AF0" w14:textId="5F07C5D1" w:rsidR="00695AFC" w:rsidRPr="00AB4BC4" w:rsidRDefault="00CF0B22" w:rsidP="00F3441D">
      <w:pPr>
        <w:pStyle w:val="ListParagraph"/>
        <w:numPr>
          <w:ilvl w:val="0"/>
          <w:numId w:val="30"/>
        </w:numPr>
      </w:pPr>
      <w:proofErr w:type="gramStart"/>
      <w:r w:rsidRPr="00AB4BC4">
        <w:rPr>
          <w:b/>
          <w:bCs/>
          <w:color w:val="000000"/>
        </w:rPr>
        <w:t>Redacted</w:t>
      </w:r>
      <w:r w:rsidR="00695AFC" w:rsidRPr="00AB4BC4">
        <w:t>;</w:t>
      </w:r>
      <w:proofErr w:type="gramEnd"/>
      <w:r w:rsidR="00695AFC" w:rsidRPr="00AB4BC4">
        <w:t xml:space="preserve"> </w:t>
      </w:r>
    </w:p>
    <w:p w14:paraId="12857BFD" w14:textId="4F4C9A68" w:rsidR="00695AFC" w:rsidRPr="00AB4BC4" w:rsidRDefault="00695AFC" w:rsidP="00F3441D">
      <w:pPr>
        <w:pStyle w:val="ListParagraph"/>
        <w:numPr>
          <w:ilvl w:val="0"/>
          <w:numId w:val="30"/>
        </w:numPr>
      </w:pPr>
      <w:r w:rsidRPr="00AB4BC4">
        <w:t>a limit to one successful CAR-T infusion per lifetime</w:t>
      </w:r>
      <w:r w:rsidR="00D508E2" w:rsidRPr="00AB4BC4">
        <w:t xml:space="preserve"> for r/r </w:t>
      </w:r>
      <w:proofErr w:type="gramStart"/>
      <w:r w:rsidR="00D508E2" w:rsidRPr="00AB4BC4">
        <w:t>MCL</w:t>
      </w:r>
      <w:r w:rsidRPr="00AB4BC4">
        <w:t>;</w:t>
      </w:r>
      <w:proofErr w:type="gramEnd"/>
    </w:p>
    <w:p w14:paraId="25F24160" w14:textId="3A6A6D74" w:rsidR="00695AFC" w:rsidRPr="00AB4BC4" w:rsidRDefault="00CF0B22" w:rsidP="00F3441D">
      <w:pPr>
        <w:pStyle w:val="ListParagraph"/>
        <w:numPr>
          <w:ilvl w:val="0"/>
          <w:numId w:val="30"/>
        </w:numPr>
      </w:pPr>
      <w:proofErr w:type="gramStart"/>
      <w:r w:rsidRPr="00AB4BC4">
        <w:rPr>
          <w:b/>
          <w:bCs/>
          <w:color w:val="000000"/>
        </w:rPr>
        <w:t>Redacted</w:t>
      </w:r>
      <w:r w:rsidR="00695AFC" w:rsidRPr="00AB4BC4">
        <w:t>;</w:t>
      </w:r>
      <w:proofErr w:type="gramEnd"/>
    </w:p>
    <w:p w14:paraId="59C2B6A5" w14:textId="77777777" w:rsidR="00F3441D" w:rsidRPr="00296913" w:rsidRDefault="00695AFC" w:rsidP="00F3441D">
      <w:pPr>
        <w:pStyle w:val="ListParagraph"/>
        <w:numPr>
          <w:ilvl w:val="0"/>
          <w:numId w:val="30"/>
        </w:numPr>
      </w:pPr>
      <w:r w:rsidRPr="00AB4BC4">
        <w:t xml:space="preserve">data on the use of </w:t>
      </w:r>
      <w:proofErr w:type="spellStart"/>
      <w:r w:rsidRPr="00AB4BC4">
        <w:t>brexu-cel</w:t>
      </w:r>
      <w:proofErr w:type="spellEnd"/>
      <w:r w:rsidRPr="00AB4BC4">
        <w:t xml:space="preserve"> for mantle cell lymphomas in Australia to be recorded by the </w:t>
      </w:r>
      <w:r w:rsidR="00F3441D" w:rsidRPr="00AB4BC4">
        <w:t>Australasian</w:t>
      </w:r>
      <w:r w:rsidRPr="00AB4BC4">
        <w:t xml:space="preserve"> Bone Marrow Transplant Recipient Registry (ABMTRR), with the cost of data collection</w:t>
      </w:r>
      <w:r w:rsidRPr="00296913">
        <w:t xml:space="preserve"> met by the applicant</w:t>
      </w:r>
      <w:r>
        <w:t xml:space="preserve">, </w:t>
      </w:r>
      <w:r w:rsidRPr="00F3441D">
        <w:rPr>
          <w:color w:val="000000"/>
        </w:rPr>
        <w:t>with visibility of this data collection, analysis and reporting extending to Commonwealth, State, and Territory governments</w:t>
      </w:r>
      <w:r w:rsidRPr="00296913">
        <w:t xml:space="preserve">; and </w:t>
      </w:r>
    </w:p>
    <w:p w14:paraId="1DE5CFAE" w14:textId="1FF5CDDD" w:rsidR="00695AFC" w:rsidRDefault="00695AFC" w:rsidP="00F3441D">
      <w:pPr>
        <w:pStyle w:val="ListParagraph"/>
        <w:numPr>
          <w:ilvl w:val="0"/>
          <w:numId w:val="30"/>
        </w:numPr>
      </w:pPr>
      <w:r>
        <w:t>A</w:t>
      </w:r>
      <w:r w:rsidRPr="00296913">
        <w:t xml:space="preserve"> full review of clinical effectiveness, </w:t>
      </w:r>
      <w:proofErr w:type="gramStart"/>
      <w:r w:rsidRPr="00296913">
        <w:t>cost-effectiveness</w:t>
      </w:r>
      <w:proofErr w:type="gramEnd"/>
      <w:r w:rsidRPr="00296913">
        <w:t xml:space="preserve"> and budget impact to be conducted by the MSAC no later than </w:t>
      </w:r>
      <w:r>
        <w:t>3</w:t>
      </w:r>
      <w:r w:rsidRPr="00296913">
        <w:t xml:space="preserve"> years post the commencement of public subsidy </w:t>
      </w:r>
      <w:r>
        <w:t xml:space="preserve">of CAR-T cell therapy for mantle cell lymphoma </w:t>
      </w:r>
      <w:r w:rsidRPr="00296913">
        <w:t>(note: Gilead will provide a submis</w:t>
      </w:r>
      <w:r>
        <w:t xml:space="preserve">sion to initiate this review). </w:t>
      </w:r>
      <w:r w:rsidR="00CF0B22">
        <w:rPr>
          <w:b/>
          <w:bCs/>
          <w:color w:val="000000"/>
        </w:rPr>
        <w:t>R</w:t>
      </w:r>
      <w:r w:rsidR="00CF0B22" w:rsidRPr="00CF0B22">
        <w:rPr>
          <w:b/>
          <w:bCs/>
          <w:color w:val="000000"/>
        </w:rPr>
        <w:t>edacted</w:t>
      </w:r>
      <w:r w:rsidR="00AB4BC4" w:rsidRPr="007A3D05">
        <w:t xml:space="preserve"> </w:t>
      </w:r>
      <w:r w:rsidRPr="00215D75">
        <w:t>will be renegotiated as part of this review.</w:t>
      </w:r>
    </w:p>
    <w:p w14:paraId="7F4BD722" w14:textId="29030236" w:rsidR="00385963" w:rsidRDefault="00385963" w:rsidP="00DE7DEF">
      <w:pPr>
        <w:spacing w:after="240"/>
      </w:pPr>
      <w:r>
        <w:t>Without agreement to implement all these measures, MSAC advised that the application would have to be reconsidered at a future meeting.</w:t>
      </w:r>
    </w:p>
    <w:tbl>
      <w:tblPr>
        <w:tblStyle w:val="TableGrid"/>
        <w:tblW w:w="0" w:type="auto"/>
        <w:tblLook w:val="04A0" w:firstRow="1" w:lastRow="0" w:firstColumn="1" w:lastColumn="0" w:noHBand="0" w:noVBand="1"/>
        <w:tblDescription w:val="Consumer summary of MSAC consideration"/>
      </w:tblPr>
      <w:tblGrid>
        <w:gridCol w:w="9016"/>
      </w:tblGrid>
      <w:tr w:rsidR="00DE7DEF" w14:paraId="6764FBD2" w14:textId="77777777" w:rsidTr="00880946">
        <w:trPr>
          <w:tblHeader/>
        </w:trPr>
        <w:tc>
          <w:tcPr>
            <w:tcW w:w="9016" w:type="dxa"/>
          </w:tcPr>
          <w:p w14:paraId="5E225D5F" w14:textId="73463781" w:rsidR="00DE7DEF" w:rsidRPr="00DE7DEF" w:rsidRDefault="00DE7DEF" w:rsidP="00DE7DEF">
            <w:pPr>
              <w:spacing w:before="120" w:after="120"/>
              <w:rPr>
                <w:rFonts w:ascii="Times New Roman" w:hAnsi="Times New Roman"/>
                <w:b/>
                <w:bCs/>
                <w:sz w:val="24"/>
                <w:szCs w:val="24"/>
              </w:rPr>
            </w:pPr>
            <w:r w:rsidRPr="00DE7DEF">
              <w:rPr>
                <w:rFonts w:ascii="Times New Roman" w:hAnsi="Times New Roman"/>
                <w:b/>
                <w:bCs/>
                <w:sz w:val="24"/>
                <w:szCs w:val="24"/>
              </w:rPr>
              <w:t>Consumer summary</w:t>
            </w:r>
          </w:p>
        </w:tc>
      </w:tr>
      <w:tr w:rsidR="00DE7DEF" w14:paraId="13988AFE" w14:textId="77777777" w:rsidTr="00DE7DEF">
        <w:tc>
          <w:tcPr>
            <w:tcW w:w="9016" w:type="dxa"/>
          </w:tcPr>
          <w:p w14:paraId="5819078B" w14:textId="77777777" w:rsidR="00DE7DEF" w:rsidRPr="00DE7DEF" w:rsidRDefault="00DE7DEF" w:rsidP="00DE7DEF">
            <w:pPr>
              <w:spacing w:before="120" w:after="120"/>
              <w:rPr>
                <w:rFonts w:ascii="Times New Roman" w:hAnsi="Times New Roman"/>
                <w:sz w:val="24"/>
                <w:szCs w:val="24"/>
              </w:rPr>
            </w:pPr>
            <w:r w:rsidRPr="00DE7DEF">
              <w:rPr>
                <w:rFonts w:ascii="Times New Roman" w:hAnsi="Times New Roman"/>
                <w:sz w:val="24"/>
                <w:szCs w:val="24"/>
              </w:rPr>
              <w:t>In July 2021, MSAC considered an application from Gilead Sciences Pty Ltd for public funding of brexucabtagene autoleucel (</w:t>
            </w:r>
            <w:proofErr w:type="spellStart"/>
            <w:r w:rsidRPr="00DE7DEF">
              <w:rPr>
                <w:rFonts w:ascii="Times New Roman" w:hAnsi="Times New Roman"/>
                <w:sz w:val="24"/>
                <w:szCs w:val="24"/>
              </w:rPr>
              <w:t>brexu-cel</w:t>
            </w:r>
            <w:proofErr w:type="spellEnd"/>
            <w:r w:rsidRPr="00DE7DEF">
              <w:rPr>
                <w:rFonts w:ascii="Times New Roman" w:hAnsi="Times New Roman"/>
                <w:sz w:val="24"/>
                <w:szCs w:val="24"/>
              </w:rPr>
              <w:t xml:space="preserve">; </w:t>
            </w:r>
            <w:proofErr w:type="spellStart"/>
            <w:r w:rsidRPr="00DE7DEF">
              <w:rPr>
                <w:rFonts w:ascii="Times New Roman" w:hAnsi="Times New Roman"/>
                <w:sz w:val="24"/>
                <w:szCs w:val="24"/>
              </w:rPr>
              <w:t>Tecartus</w:t>
            </w:r>
            <w:proofErr w:type="spellEnd"/>
            <w:r w:rsidRPr="00DE7DEF">
              <w:rPr>
                <w:rFonts w:ascii="Times New Roman" w:hAnsi="Times New Roman"/>
                <w:sz w:val="24"/>
                <w:szCs w:val="24"/>
                <w:vertAlign w:val="superscript"/>
              </w:rPr>
              <w:t>®</w:t>
            </w:r>
            <w:r w:rsidRPr="00DE7DEF">
              <w:rPr>
                <w:rFonts w:ascii="Times New Roman" w:hAnsi="Times New Roman"/>
                <w:sz w:val="24"/>
                <w:szCs w:val="24"/>
              </w:rPr>
              <w:t xml:space="preserve">) – a type of CAR-T cell therapy (chimeric antigen receptor T-cell therapy). The application requested public funding of </w:t>
            </w:r>
            <w:proofErr w:type="spellStart"/>
            <w:r w:rsidRPr="00DE7DEF">
              <w:rPr>
                <w:rFonts w:ascii="Times New Roman" w:hAnsi="Times New Roman"/>
                <w:sz w:val="24"/>
                <w:szCs w:val="24"/>
              </w:rPr>
              <w:t>brexu-cel</w:t>
            </w:r>
            <w:proofErr w:type="spellEnd"/>
            <w:r w:rsidRPr="00DE7DEF">
              <w:rPr>
                <w:rFonts w:ascii="Times New Roman" w:hAnsi="Times New Roman"/>
                <w:sz w:val="24"/>
                <w:szCs w:val="24"/>
              </w:rPr>
              <w:t xml:space="preserve"> for adult patients with relapsed or refractory mantle cell lymphoma (R/R MCL).</w:t>
            </w:r>
          </w:p>
          <w:p w14:paraId="53433C68" w14:textId="312F0DAC" w:rsidR="00DE7DEF" w:rsidRPr="00DE7DEF" w:rsidRDefault="00DE7DEF" w:rsidP="00DE7DEF">
            <w:pPr>
              <w:spacing w:before="240" w:after="120"/>
              <w:rPr>
                <w:rFonts w:ascii="Times New Roman" w:hAnsi="Times New Roman"/>
                <w:sz w:val="24"/>
                <w:szCs w:val="24"/>
              </w:rPr>
            </w:pPr>
            <w:r w:rsidRPr="00DE7DEF">
              <w:rPr>
                <w:rFonts w:ascii="Times New Roman" w:hAnsi="Times New Roman"/>
                <w:sz w:val="24"/>
                <w:szCs w:val="24"/>
              </w:rPr>
              <w:t xml:space="preserve">CAR-T cell therapies such as </w:t>
            </w:r>
            <w:proofErr w:type="spellStart"/>
            <w:r w:rsidRPr="00DE7DEF">
              <w:rPr>
                <w:rFonts w:ascii="Times New Roman" w:hAnsi="Times New Roman"/>
                <w:sz w:val="24"/>
                <w:szCs w:val="24"/>
              </w:rPr>
              <w:t>brexu-cel</w:t>
            </w:r>
            <w:proofErr w:type="spellEnd"/>
            <w:r w:rsidRPr="00DE7DEF">
              <w:rPr>
                <w:rFonts w:ascii="Times New Roman" w:hAnsi="Times New Roman"/>
                <w:sz w:val="24"/>
                <w:szCs w:val="24"/>
              </w:rPr>
              <w:t xml:space="preserve"> are used when patients with some types of cancer, such as lymphoma, don’t respond to, or relapse after, other types of treatment, such as chemotherapy. CAR-T cell therapy involves taking some of the patient’s own blood, which is then sent to a laboratory where the T cells are extracted and altered so that they can attack the cancer cells when re-introduced into the patient’s body. The patient’s changed T</w:t>
            </w:r>
            <w:r w:rsidR="00D81BCA">
              <w:rPr>
                <w:rFonts w:ascii="Times New Roman" w:hAnsi="Times New Roman"/>
                <w:sz w:val="24"/>
                <w:szCs w:val="24"/>
              </w:rPr>
              <w:t> </w:t>
            </w:r>
            <w:r w:rsidRPr="00DE7DEF">
              <w:rPr>
                <w:rFonts w:ascii="Times New Roman" w:hAnsi="Times New Roman"/>
                <w:sz w:val="24"/>
                <w:szCs w:val="24"/>
              </w:rPr>
              <w:t>cells are infused back into them (by flowing the cells back into the body through a cannula (tube) inserted into a large vein) to target and kill the cancer cells in the patient’s body.</w:t>
            </w:r>
          </w:p>
          <w:p w14:paraId="5571449C" w14:textId="3658B166" w:rsidR="00DE7DEF" w:rsidRPr="00DE7DEF" w:rsidRDefault="00DE7DEF" w:rsidP="00DE7DEF">
            <w:pPr>
              <w:spacing w:before="240" w:after="120"/>
              <w:rPr>
                <w:rFonts w:ascii="Times New Roman" w:hAnsi="Times New Roman"/>
                <w:sz w:val="24"/>
                <w:szCs w:val="24"/>
              </w:rPr>
            </w:pPr>
            <w:r w:rsidRPr="00DE7DEF">
              <w:rPr>
                <w:rFonts w:ascii="Times New Roman" w:hAnsi="Times New Roman"/>
                <w:sz w:val="24"/>
                <w:szCs w:val="24"/>
              </w:rPr>
              <w:t xml:space="preserve">MCL is a rare subtype of non-Hodgkin lymphoma, seen mostly in older adults. The prognosis (outlook for the disease) is often very poor. For R/R MCL, there are few </w:t>
            </w:r>
            <w:r w:rsidRPr="00DE7DEF">
              <w:rPr>
                <w:rFonts w:ascii="Times New Roman" w:hAnsi="Times New Roman"/>
                <w:sz w:val="24"/>
                <w:szCs w:val="24"/>
              </w:rPr>
              <w:lastRenderedPageBreak/>
              <w:t xml:space="preserve">treatment options. MSAC acknowledged that </w:t>
            </w:r>
            <w:proofErr w:type="spellStart"/>
            <w:r w:rsidRPr="00DE7DEF">
              <w:rPr>
                <w:rFonts w:ascii="Times New Roman" w:hAnsi="Times New Roman"/>
                <w:sz w:val="24"/>
                <w:szCs w:val="24"/>
              </w:rPr>
              <w:t>brexu-cel</w:t>
            </w:r>
            <w:proofErr w:type="spellEnd"/>
            <w:r w:rsidRPr="00DE7DEF">
              <w:rPr>
                <w:rFonts w:ascii="Times New Roman" w:hAnsi="Times New Roman"/>
                <w:sz w:val="24"/>
                <w:szCs w:val="24"/>
              </w:rPr>
              <w:t xml:space="preserve"> is important to give people with R/R MCL another treatment option after other therapies have not worked, to give them a chance of remission.</w:t>
            </w:r>
          </w:p>
          <w:p w14:paraId="756204E9" w14:textId="77777777" w:rsidR="00DE7DEF" w:rsidRPr="00DE7DEF" w:rsidRDefault="00DE7DEF" w:rsidP="00DE7DEF">
            <w:pPr>
              <w:spacing w:before="240" w:after="120"/>
              <w:rPr>
                <w:rFonts w:ascii="Times New Roman" w:hAnsi="Times New Roman"/>
                <w:b/>
                <w:bCs/>
                <w:sz w:val="24"/>
                <w:szCs w:val="24"/>
              </w:rPr>
            </w:pPr>
            <w:r w:rsidRPr="00DE7DEF">
              <w:rPr>
                <w:rFonts w:ascii="Times New Roman" w:hAnsi="Times New Roman"/>
                <w:b/>
                <w:bCs/>
                <w:sz w:val="24"/>
                <w:szCs w:val="24"/>
              </w:rPr>
              <w:t xml:space="preserve">MSAC’s advice to the </w:t>
            </w:r>
            <w:proofErr w:type="gramStart"/>
            <w:r w:rsidRPr="00DE7DEF">
              <w:rPr>
                <w:rFonts w:ascii="Times New Roman" w:hAnsi="Times New Roman"/>
                <w:b/>
                <w:bCs/>
                <w:sz w:val="24"/>
                <w:szCs w:val="24"/>
              </w:rPr>
              <w:t>Commonwealth Minister</w:t>
            </w:r>
            <w:proofErr w:type="gramEnd"/>
            <w:r w:rsidRPr="00DE7DEF">
              <w:rPr>
                <w:rFonts w:ascii="Times New Roman" w:hAnsi="Times New Roman"/>
                <w:b/>
                <w:bCs/>
                <w:sz w:val="24"/>
                <w:szCs w:val="24"/>
              </w:rPr>
              <w:t xml:space="preserve"> for Health</w:t>
            </w:r>
          </w:p>
          <w:p w14:paraId="4C636298" w14:textId="77777777" w:rsidR="00DE7DEF" w:rsidRPr="00DE7DEF" w:rsidRDefault="00DE7DEF" w:rsidP="00DE7DEF">
            <w:pPr>
              <w:spacing w:before="120" w:after="120"/>
              <w:rPr>
                <w:rFonts w:ascii="Times New Roman" w:hAnsi="Times New Roman"/>
                <w:sz w:val="24"/>
                <w:szCs w:val="24"/>
              </w:rPr>
            </w:pPr>
            <w:r w:rsidRPr="00DE7DEF">
              <w:rPr>
                <w:rFonts w:ascii="Times New Roman" w:hAnsi="Times New Roman"/>
                <w:sz w:val="24"/>
                <w:szCs w:val="24"/>
              </w:rPr>
              <w:t xml:space="preserve">MSAC recommended that </w:t>
            </w:r>
            <w:proofErr w:type="spellStart"/>
            <w:r w:rsidRPr="00DE7DEF">
              <w:rPr>
                <w:rFonts w:ascii="Times New Roman" w:hAnsi="Times New Roman"/>
                <w:sz w:val="24"/>
                <w:szCs w:val="24"/>
              </w:rPr>
              <w:t>brexu-cel</w:t>
            </w:r>
            <w:proofErr w:type="spellEnd"/>
            <w:r w:rsidRPr="00DE7DEF">
              <w:rPr>
                <w:rFonts w:ascii="Times New Roman" w:hAnsi="Times New Roman"/>
                <w:sz w:val="24"/>
                <w:szCs w:val="24"/>
              </w:rPr>
              <w:t xml:space="preserve"> be publicly funded for people with R/R MCL, as there are no other effective treatment options for these patients.</w:t>
            </w:r>
          </w:p>
          <w:p w14:paraId="281DA03A" w14:textId="4E4D7128" w:rsidR="00DE7DEF" w:rsidRDefault="00DE7DEF" w:rsidP="00DE7DEF">
            <w:pPr>
              <w:spacing w:before="240" w:after="120"/>
            </w:pPr>
            <w:r w:rsidRPr="00DE7DEF">
              <w:rPr>
                <w:rFonts w:ascii="Times New Roman" w:hAnsi="Times New Roman"/>
                <w:sz w:val="24"/>
                <w:szCs w:val="24"/>
              </w:rPr>
              <w:t xml:space="preserve">MSAC advised that </w:t>
            </w:r>
            <w:proofErr w:type="spellStart"/>
            <w:r w:rsidRPr="00DE7DEF">
              <w:rPr>
                <w:rFonts w:ascii="Times New Roman" w:hAnsi="Times New Roman"/>
                <w:sz w:val="24"/>
                <w:szCs w:val="24"/>
              </w:rPr>
              <w:t>brexu-cel</w:t>
            </w:r>
            <w:proofErr w:type="spellEnd"/>
            <w:r w:rsidRPr="00DE7DEF">
              <w:rPr>
                <w:rFonts w:ascii="Times New Roman" w:hAnsi="Times New Roman"/>
                <w:sz w:val="24"/>
                <w:szCs w:val="24"/>
              </w:rPr>
              <w:t xml:space="preserve"> is a very expensive therapy. MSAC considered several measures need to be put in place to manage the use of public funds for </w:t>
            </w:r>
            <w:proofErr w:type="spellStart"/>
            <w:r w:rsidRPr="00DE7DEF">
              <w:rPr>
                <w:rFonts w:ascii="Times New Roman" w:hAnsi="Times New Roman"/>
                <w:sz w:val="24"/>
                <w:szCs w:val="24"/>
              </w:rPr>
              <w:t>brexu-cel</w:t>
            </w:r>
            <w:proofErr w:type="spellEnd"/>
            <w:r w:rsidRPr="00DE7DEF">
              <w:rPr>
                <w:rFonts w:ascii="Times New Roman" w:hAnsi="Times New Roman"/>
                <w:sz w:val="24"/>
                <w:szCs w:val="24"/>
              </w:rPr>
              <w:t>. Many of these measures need to be agreed to between the applicant and the Commonwealth and/or the State and Territory governments.</w:t>
            </w:r>
          </w:p>
        </w:tc>
      </w:tr>
    </w:tbl>
    <w:p w14:paraId="0E009506" w14:textId="77777777" w:rsidR="007430E7" w:rsidRPr="007430E7" w:rsidRDefault="007430E7" w:rsidP="007430E7">
      <w:pPr>
        <w:pStyle w:val="Heading1"/>
        <w:numPr>
          <w:ilvl w:val="0"/>
          <w:numId w:val="13"/>
        </w:numPr>
        <w:spacing w:before="240" w:after="240"/>
        <w:ind w:hanging="720"/>
        <w:rPr>
          <w:rFonts w:ascii="Arial" w:eastAsia="Times New Roman" w:hAnsi="Arial" w:cs="Times New Roman"/>
        </w:rPr>
      </w:pPr>
      <w:r w:rsidRPr="007430E7">
        <w:rPr>
          <w:rFonts w:ascii="Arial" w:eastAsia="Times New Roman" w:hAnsi="Arial" w:cs="Times New Roman"/>
        </w:rPr>
        <w:lastRenderedPageBreak/>
        <w:t xml:space="preserve">Summary of consideration and rationale for MSAC’s advice </w:t>
      </w:r>
    </w:p>
    <w:p w14:paraId="12F98204" w14:textId="7F10AD61" w:rsidR="00436FB2" w:rsidRPr="007A3D05" w:rsidRDefault="00436FB2" w:rsidP="00436FB2">
      <w:pPr>
        <w:pStyle w:val="Heading1"/>
        <w:spacing w:before="240" w:after="240"/>
        <w:rPr>
          <w:rFonts w:ascii="Arial" w:eastAsia="Times New Roman" w:hAnsi="Arial" w:cs="Times New Roman"/>
        </w:rPr>
      </w:pPr>
      <w:r w:rsidRPr="007A3D05">
        <w:rPr>
          <w:rFonts w:ascii="Arial" w:eastAsia="Times New Roman" w:hAnsi="Arial" w:cs="Times New Roman"/>
          <w:i/>
          <w:iCs/>
        </w:rPr>
        <w:t>July 2023</w:t>
      </w:r>
    </w:p>
    <w:p w14:paraId="6B3C58AC" w14:textId="3CACAFAE" w:rsidR="00436FB2" w:rsidRPr="007A3D05" w:rsidRDefault="00436FB2" w:rsidP="00436FB2">
      <w:pPr>
        <w:pStyle w:val="Heading1"/>
        <w:spacing w:before="240" w:after="240"/>
      </w:pPr>
      <w:r w:rsidRPr="007A3D05">
        <w:rPr>
          <w:rFonts w:eastAsia="Times New Roman" w:cs="Times New Roman"/>
          <w:b w:val="0"/>
          <w:bCs w:val="0"/>
          <w:szCs w:val="20"/>
        </w:rPr>
        <w:t xml:space="preserve">The MSAC noted the public funding of </w:t>
      </w:r>
      <w:proofErr w:type="spellStart"/>
      <w:r w:rsidRPr="007A3D05">
        <w:rPr>
          <w:rFonts w:eastAsia="Times New Roman" w:cs="Times New Roman"/>
          <w:b w:val="0"/>
          <w:bCs w:val="0"/>
          <w:szCs w:val="20"/>
        </w:rPr>
        <w:t>b</w:t>
      </w:r>
      <w:r w:rsidR="001E6A46" w:rsidRPr="007A3D05">
        <w:rPr>
          <w:rFonts w:eastAsia="Times New Roman" w:cs="Times New Roman"/>
          <w:b w:val="0"/>
          <w:bCs w:val="0"/>
          <w:szCs w:val="20"/>
        </w:rPr>
        <w:t>r</w:t>
      </w:r>
      <w:r w:rsidRPr="007A3D05">
        <w:rPr>
          <w:rFonts w:eastAsia="Times New Roman" w:cs="Times New Roman"/>
          <w:b w:val="0"/>
          <w:bCs w:val="0"/>
          <w:szCs w:val="20"/>
        </w:rPr>
        <w:t>exu-cel</w:t>
      </w:r>
      <w:proofErr w:type="spellEnd"/>
      <w:r w:rsidRPr="007A3D05">
        <w:rPr>
          <w:rFonts w:eastAsia="Times New Roman" w:cs="Times New Roman"/>
          <w:b w:val="0"/>
          <w:bCs w:val="0"/>
          <w:szCs w:val="20"/>
        </w:rPr>
        <w:t xml:space="preserve"> for the treatment of certain patients</w:t>
      </w:r>
      <w:r w:rsidR="007B660B" w:rsidRPr="007A3D05">
        <w:rPr>
          <w:rFonts w:eastAsia="Times New Roman" w:cs="Times New Roman"/>
          <w:b w:val="0"/>
          <w:bCs w:val="0"/>
          <w:szCs w:val="20"/>
        </w:rPr>
        <w:t xml:space="preserve"> with</w:t>
      </w:r>
      <w:r w:rsidRPr="007A3D05">
        <w:rPr>
          <w:rFonts w:eastAsia="Times New Roman" w:cs="Times New Roman"/>
          <w:b w:val="0"/>
          <w:bCs w:val="0"/>
          <w:szCs w:val="20"/>
        </w:rPr>
        <w:t xml:space="preserve"> R/R MCL had not progressed following its support for funding at its July 2021 meeting.  The MSAC noted this was the first time since receiving its July 2021 advice Gilead Sciences had submitted a pricing proposal to progress the public funding of </w:t>
      </w:r>
      <w:proofErr w:type="spellStart"/>
      <w:r w:rsidRPr="007A3D05">
        <w:rPr>
          <w:rFonts w:eastAsia="Times New Roman" w:cs="Times New Roman"/>
          <w:b w:val="0"/>
          <w:bCs w:val="0"/>
          <w:szCs w:val="20"/>
        </w:rPr>
        <w:t>brexu-cel</w:t>
      </w:r>
      <w:proofErr w:type="spellEnd"/>
      <w:r w:rsidRPr="007A3D05">
        <w:rPr>
          <w:rFonts w:eastAsia="Times New Roman" w:cs="Times New Roman"/>
          <w:b w:val="0"/>
          <w:bCs w:val="0"/>
          <w:szCs w:val="20"/>
        </w:rPr>
        <w:t xml:space="preserve"> for the treatment of certain patient</w:t>
      </w:r>
      <w:r w:rsidR="0062156A" w:rsidRPr="007A3D05">
        <w:rPr>
          <w:rFonts w:eastAsia="Times New Roman" w:cs="Times New Roman"/>
          <w:b w:val="0"/>
          <w:bCs w:val="0"/>
          <w:szCs w:val="20"/>
        </w:rPr>
        <w:t>s</w:t>
      </w:r>
      <w:r w:rsidRPr="007A3D05">
        <w:rPr>
          <w:rFonts w:eastAsia="Times New Roman" w:cs="Times New Roman"/>
          <w:b w:val="0"/>
          <w:bCs w:val="0"/>
          <w:szCs w:val="20"/>
        </w:rPr>
        <w:t xml:space="preserve"> with R/R MCL</w:t>
      </w:r>
      <w:r w:rsidR="00033F89" w:rsidRPr="007A3D05">
        <w:rPr>
          <w:rFonts w:eastAsia="Times New Roman" w:cs="Times New Roman"/>
          <w:b w:val="0"/>
          <w:bCs w:val="0"/>
          <w:szCs w:val="20"/>
        </w:rPr>
        <w:t xml:space="preserve">. MSAC noted that it was considering the pricing proposal despite its July 2021 support of public funding for </w:t>
      </w:r>
      <w:proofErr w:type="spellStart"/>
      <w:r w:rsidR="00560D60" w:rsidRPr="007A3D05">
        <w:rPr>
          <w:rFonts w:eastAsia="Times New Roman" w:cs="Times New Roman"/>
          <w:b w:val="0"/>
          <w:bCs w:val="0"/>
          <w:szCs w:val="20"/>
        </w:rPr>
        <w:t>brexu-cel</w:t>
      </w:r>
      <w:proofErr w:type="spellEnd"/>
      <w:r w:rsidR="00033F89" w:rsidRPr="007A3D05">
        <w:rPr>
          <w:rFonts w:eastAsia="Times New Roman" w:cs="Times New Roman"/>
          <w:b w:val="0"/>
          <w:bCs w:val="0"/>
          <w:szCs w:val="20"/>
        </w:rPr>
        <w:t xml:space="preserve"> </w:t>
      </w:r>
      <w:r w:rsidRPr="007A3D05">
        <w:rPr>
          <w:rFonts w:eastAsia="Times New Roman" w:cs="Times New Roman"/>
          <w:b w:val="0"/>
          <w:bCs w:val="0"/>
          <w:szCs w:val="20"/>
        </w:rPr>
        <w:t xml:space="preserve">given the proposal </w:t>
      </w:r>
      <w:r w:rsidR="002E71D7" w:rsidRPr="007A3D05">
        <w:rPr>
          <w:rFonts w:eastAsia="Times New Roman" w:cs="Times New Roman"/>
          <w:b w:val="0"/>
          <w:bCs w:val="0"/>
          <w:szCs w:val="20"/>
        </w:rPr>
        <w:t>varied</w:t>
      </w:r>
      <w:r w:rsidRPr="007A3D05">
        <w:rPr>
          <w:rFonts w:eastAsia="Times New Roman" w:cs="Times New Roman"/>
          <w:b w:val="0"/>
          <w:bCs w:val="0"/>
          <w:szCs w:val="20"/>
        </w:rPr>
        <w:t xml:space="preserve"> from its July 2021 advice.</w:t>
      </w:r>
      <w:r w:rsidRPr="007A3D05">
        <w:t xml:space="preserve"> </w:t>
      </w:r>
    </w:p>
    <w:p w14:paraId="2E85821C" w14:textId="56F73389" w:rsidR="00436FB2" w:rsidRPr="007A3D05" w:rsidRDefault="00436FB2" w:rsidP="00436FB2">
      <w:pPr>
        <w:pStyle w:val="Heading1"/>
        <w:spacing w:before="240" w:after="240"/>
        <w:rPr>
          <w:rFonts w:eastAsia="Times New Roman" w:cs="Times New Roman"/>
          <w:b w:val="0"/>
          <w:bCs w:val="0"/>
          <w:szCs w:val="20"/>
        </w:rPr>
      </w:pPr>
      <w:r w:rsidRPr="007A3D05">
        <w:rPr>
          <w:rFonts w:eastAsia="Times New Roman" w:cs="Times New Roman"/>
          <w:b w:val="0"/>
          <w:bCs w:val="0"/>
          <w:szCs w:val="20"/>
        </w:rPr>
        <w:t>The MSAC considered the following pricing proposal submitted by Gilead Sciences in July</w:t>
      </w:r>
      <w:r w:rsidR="00597CB3">
        <w:rPr>
          <w:rFonts w:eastAsia="Times New Roman" w:cs="Times New Roman"/>
          <w:b w:val="0"/>
          <w:bCs w:val="0"/>
          <w:szCs w:val="20"/>
        </w:rPr>
        <w:t> </w:t>
      </w:r>
      <w:r w:rsidRPr="007A3D05">
        <w:rPr>
          <w:rFonts w:eastAsia="Times New Roman" w:cs="Times New Roman"/>
          <w:b w:val="0"/>
          <w:bCs w:val="0"/>
          <w:szCs w:val="20"/>
        </w:rPr>
        <w:t>2023:</w:t>
      </w:r>
    </w:p>
    <w:p w14:paraId="3661CB0F" w14:textId="6EEF59A6" w:rsidR="00436FB2" w:rsidRPr="007A3D05" w:rsidRDefault="004C791D" w:rsidP="00436FB2">
      <w:pPr>
        <w:pStyle w:val="ListParagraph"/>
        <w:numPr>
          <w:ilvl w:val="0"/>
          <w:numId w:val="30"/>
        </w:numPr>
        <w:rPr>
          <w:b/>
          <w:bCs/>
          <w:color w:val="000000"/>
        </w:rPr>
      </w:pPr>
      <w:r w:rsidRPr="007A3D05">
        <w:rPr>
          <w:b/>
          <w:bCs/>
        </w:rPr>
        <w:t>Redacted</w:t>
      </w:r>
      <w:r w:rsidR="005B55FF" w:rsidRPr="007A3D05">
        <w:rPr>
          <w:b/>
          <w:bCs/>
        </w:rPr>
        <w:t xml:space="preserve"> </w:t>
      </w:r>
    </w:p>
    <w:p w14:paraId="06984979" w14:textId="6F4F36DA" w:rsidR="005B55FF" w:rsidRPr="007A3D05" w:rsidRDefault="004C791D" w:rsidP="007A3D05">
      <w:pPr>
        <w:pStyle w:val="ListParagraph"/>
        <w:numPr>
          <w:ilvl w:val="0"/>
          <w:numId w:val="30"/>
        </w:numPr>
        <w:rPr>
          <w:b/>
          <w:bCs/>
        </w:rPr>
      </w:pPr>
      <w:r w:rsidRPr="007A3D05">
        <w:rPr>
          <w:b/>
          <w:bCs/>
        </w:rPr>
        <w:t xml:space="preserve">Redacted </w:t>
      </w:r>
    </w:p>
    <w:p w14:paraId="4628C602" w14:textId="20498761" w:rsidR="005B55FF" w:rsidRPr="005B55FF" w:rsidRDefault="004C791D" w:rsidP="005B55FF">
      <w:pPr>
        <w:pStyle w:val="ListParagraph"/>
        <w:numPr>
          <w:ilvl w:val="0"/>
          <w:numId w:val="30"/>
        </w:numPr>
        <w:rPr>
          <w:b/>
          <w:bCs/>
        </w:rPr>
      </w:pPr>
      <w:r w:rsidRPr="005B55FF">
        <w:rPr>
          <w:b/>
          <w:bCs/>
        </w:rPr>
        <w:t xml:space="preserve">Redacted </w:t>
      </w:r>
    </w:p>
    <w:p w14:paraId="1F7F00AC" w14:textId="0559752B" w:rsidR="005B55FF" w:rsidRDefault="005B55FF" w:rsidP="00157090">
      <w:pPr>
        <w:pStyle w:val="ListParagraph"/>
        <w:numPr>
          <w:ilvl w:val="0"/>
          <w:numId w:val="30"/>
        </w:numPr>
        <w:rPr>
          <w:b/>
          <w:bCs/>
        </w:rPr>
      </w:pPr>
      <w:r w:rsidRPr="001F50A4">
        <w:rPr>
          <w:b/>
          <w:bCs/>
        </w:rPr>
        <w:t xml:space="preserve">Redacted </w:t>
      </w:r>
    </w:p>
    <w:p w14:paraId="53F0AF03" w14:textId="6F7938DC" w:rsidR="005B55FF" w:rsidRDefault="005B55FF" w:rsidP="005B55FF">
      <w:pPr>
        <w:pStyle w:val="ListParagraph"/>
        <w:numPr>
          <w:ilvl w:val="0"/>
          <w:numId w:val="30"/>
        </w:numPr>
        <w:rPr>
          <w:b/>
          <w:bCs/>
        </w:rPr>
      </w:pPr>
      <w:r w:rsidRPr="001F50A4">
        <w:rPr>
          <w:b/>
          <w:bCs/>
        </w:rPr>
        <w:t xml:space="preserve">Redacted </w:t>
      </w:r>
    </w:p>
    <w:p w14:paraId="6602A946" w14:textId="77777777" w:rsidR="005B55FF" w:rsidRPr="001F50A4" w:rsidRDefault="005B55FF" w:rsidP="00157090">
      <w:pPr>
        <w:pStyle w:val="ListParagraph"/>
        <w:numPr>
          <w:ilvl w:val="0"/>
          <w:numId w:val="30"/>
        </w:numPr>
        <w:rPr>
          <w:b/>
          <w:bCs/>
        </w:rPr>
      </w:pPr>
      <w:r w:rsidRPr="001F50A4">
        <w:rPr>
          <w:b/>
          <w:bCs/>
        </w:rPr>
        <w:t xml:space="preserve">Redacted </w:t>
      </w:r>
    </w:p>
    <w:p w14:paraId="4D3BBF60" w14:textId="0A8A1923" w:rsidR="005B55FF" w:rsidRPr="00597CB3" w:rsidRDefault="005B55FF" w:rsidP="00597CB3">
      <w:pPr>
        <w:pStyle w:val="ListParagraph"/>
        <w:numPr>
          <w:ilvl w:val="0"/>
          <w:numId w:val="30"/>
        </w:numPr>
        <w:rPr>
          <w:b/>
          <w:bCs/>
        </w:rPr>
      </w:pPr>
      <w:r>
        <w:rPr>
          <w:b/>
          <w:bCs/>
        </w:rPr>
        <w:t>Redacted</w:t>
      </w:r>
    </w:p>
    <w:p w14:paraId="4D1A4131" w14:textId="6480EAB4" w:rsidR="00436FB2" w:rsidRPr="00597CB3" w:rsidRDefault="00436FB2" w:rsidP="00597CB3">
      <w:pPr>
        <w:spacing w:before="240"/>
        <w:rPr>
          <w:color w:val="000000"/>
        </w:rPr>
      </w:pPr>
      <w:r w:rsidRPr="005B55FF">
        <w:rPr>
          <w:color w:val="000000"/>
        </w:rPr>
        <w:t xml:space="preserve">After considering the pricing proposal, MSAC confirmed its support for the public funding of </w:t>
      </w:r>
      <w:proofErr w:type="spellStart"/>
      <w:r w:rsidRPr="005B55FF">
        <w:rPr>
          <w:color w:val="000000"/>
        </w:rPr>
        <w:t>brexu-cel</w:t>
      </w:r>
      <w:proofErr w:type="spellEnd"/>
      <w:r w:rsidRPr="005B55FF">
        <w:rPr>
          <w:color w:val="000000"/>
        </w:rPr>
        <w:t xml:space="preserve"> for certain patients with R/R MCL. </w:t>
      </w:r>
      <w:r w:rsidR="00373945" w:rsidRPr="005B55FF">
        <w:rPr>
          <w:color w:val="000000"/>
        </w:rPr>
        <w:t xml:space="preserve">MSAC noted </w:t>
      </w:r>
      <w:r w:rsidR="008C3B77" w:rsidRPr="005B55FF">
        <w:rPr>
          <w:color w:val="000000"/>
        </w:rPr>
        <w:t xml:space="preserve">the Department will be required to confirm the </w:t>
      </w:r>
      <w:r w:rsidR="00392016" w:rsidRPr="005B55FF">
        <w:rPr>
          <w:color w:val="000000"/>
        </w:rPr>
        <w:t xml:space="preserve">response criteria and </w:t>
      </w:r>
      <w:r w:rsidR="00392016" w:rsidRPr="005B55FF">
        <w:t>12-month complete metabolic response rate proposed by the applicant were appropriate</w:t>
      </w:r>
      <w:r w:rsidR="005B32AB" w:rsidRPr="005B55FF">
        <w:t>. MSAC re</w:t>
      </w:r>
      <w:r w:rsidR="00684CA6" w:rsidRPr="005B55FF">
        <w:t xml:space="preserve">affirmed </w:t>
      </w:r>
      <w:r w:rsidR="005B32AB" w:rsidRPr="005B55FF">
        <w:t xml:space="preserve">the importance of </w:t>
      </w:r>
      <w:r w:rsidR="003E3CF2" w:rsidRPr="005B55FF">
        <w:t>data being collected through a registry that can be accessed by all relevant stakeholders</w:t>
      </w:r>
      <w:r w:rsidR="00364329" w:rsidRPr="005B55FF">
        <w:t>,</w:t>
      </w:r>
      <w:r w:rsidR="003E3CF2" w:rsidRPr="005B55FF">
        <w:t xml:space="preserve"> and that a </w:t>
      </w:r>
      <w:r w:rsidR="003E3CF2" w:rsidRPr="005B55FF">
        <w:rPr>
          <w:color w:val="000000"/>
        </w:rPr>
        <w:t xml:space="preserve">full review of clinical effectiveness, cost-effectiveness and budget impact </w:t>
      </w:r>
      <w:r w:rsidR="00364329" w:rsidRPr="005B55FF">
        <w:rPr>
          <w:color w:val="000000"/>
        </w:rPr>
        <w:t xml:space="preserve">is </w:t>
      </w:r>
      <w:r w:rsidR="003E3CF2" w:rsidRPr="005B55FF">
        <w:rPr>
          <w:color w:val="000000"/>
        </w:rPr>
        <w:t xml:space="preserve">to be conducted by the MSAC no later than 3 years post the commencement of public subsidy of CAR-T cell therapy for </w:t>
      </w:r>
      <w:r w:rsidR="00317291" w:rsidRPr="005B55FF">
        <w:rPr>
          <w:color w:val="000000"/>
        </w:rPr>
        <w:t>R/R MCL.</w:t>
      </w:r>
      <w:r w:rsidR="0096377A" w:rsidRPr="005B55FF">
        <w:rPr>
          <w:color w:val="000000"/>
        </w:rPr>
        <w:t xml:space="preserve"> </w:t>
      </w:r>
      <w:r w:rsidR="00593FF2" w:rsidRPr="005B55FF">
        <w:rPr>
          <w:color w:val="000000"/>
        </w:rPr>
        <w:t xml:space="preserve"> </w:t>
      </w:r>
      <w:r w:rsidRPr="005B55FF">
        <w:rPr>
          <w:color w:val="000000"/>
        </w:rPr>
        <w:t>No changes were made to other parts of its advice to the Minister from July 2021.</w:t>
      </w:r>
    </w:p>
    <w:p w14:paraId="174256EF" w14:textId="38C8812F" w:rsidR="00436FB2" w:rsidRPr="00436FB2" w:rsidRDefault="00436FB2" w:rsidP="00436FB2">
      <w:pPr>
        <w:pStyle w:val="Heading1"/>
        <w:spacing w:before="240" w:after="240"/>
        <w:rPr>
          <w:rFonts w:ascii="Arial" w:eastAsia="Times New Roman" w:hAnsi="Arial" w:cs="Times New Roman"/>
          <w:i/>
          <w:iCs/>
        </w:rPr>
      </w:pPr>
      <w:r w:rsidRPr="00436FB2">
        <w:rPr>
          <w:rFonts w:ascii="Arial" w:eastAsia="Times New Roman" w:hAnsi="Arial" w:cs="Times New Roman"/>
          <w:i/>
          <w:iCs/>
        </w:rPr>
        <w:t>July 2021</w:t>
      </w:r>
    </w:p>
    <w:p w14:paraId="4761C751" w14:textId="752C5520" w:rsidR="00A575D0" w:rsidRDefault="00A575D0" w:rsidP="00A575D0">
      <w:r>
        <w:t>MSAC noted that this was an application for funding for brexucabtagene autoleucel (</w:t>
      </w:r>
      <w:proofErr w:type="spellStart"/>
      <w:r>
        <w:t>brexu</w:t>
      </w:r>
      <w:r w:rsidR="00D81BCA">
        <w:noBreakHyphen/>
      </w:r>
      <w:r>
        <w:t>cel</w:t>
      </w:r>
      <w:proofErr w:type="spellEnd"/>
      <w:r>
        <w:t>) (</w:t>
      </w:r>
      <w:proofErr w:type="spellStart"/>
      <w:r>
        <w:t>Tecartus</w:t>
      </w:r>
      <w:proofErr w:type="spellEnd"/>
      <w:r w:rsidRPr="00695AFC">
        <w:rPr>
          <w:vertAlign w:val="superscript"/>
        </w:rPr>
        <w:t>®</w:t>
      </w:r>
      <w:r>
        <w:t xml:space="preserve">) for treatment of patients with relapsed or refractory mantle cell </w:t>
      </w:r>
      <w:r>
        <w:lastRenderedPageBreak/>
        <w:t xml:space="preserve">lymphoma (R/R MCL). </w:t>
      </w:r>
      <w:r w:rsidR="003326FB">
        <w:t>These</w:t>
      </w:r>
      <w:r>
        <w:t xml:space="preserve"> are patients who have failed immunochemotherapy (first line) and Bruton's tyrosine kinase (BTK) inhibitor therapy (second line). </w:t>
      </w:r>
      <w:r w:rsidR="003326FB">
        <w:t xml:space="preserve">The application also </w:t>
      </w:r>
      <w:r w:rsidR="00DE4B0C">
        <w:t xml:space="preserve">proposed eligibility for patients who have received immunochemotherapy and who are considered unsuitable for BTK inhibitor therapy due to predicted intolerance. </w:t>
      </w:r>
      <w:r>
        <w:t xml:space="preserve">MSAC noted that </w:t>
      </w:r>
      <w:proofErr w:type="spellStart"/>
      <w:r>
        <w:t>brexu-cel</w:t>
      </w:r>
      <w:proofErr w:type="spellEnd"/>
      <w:r>
        <w:t xml:space="preserve"> was approved by the Therapeutic Goods Administration (TGA) for registration on the Australian Register of Therapeutic Goods (ARTG) in July 2021, and that this application aligned with the proposed ARTG restrictions. </w:t>
      </w:r>
    </w:p>
    <w:p w14:paraId="60320A4D" w14:textId="77777777" w:rsidR="00A575D0" w:rsidRDefault="00A575D0" w:rsidP="00DE7DEF">
      <w:pPr>
        <w:spacing w:before="240"/>
      </w:pPr>
      <w:r>
        <w:t xml:space="preserve">MSAC noted that this application was expedited (bypassing PASC). The PICO was based on application 1587 for axicabtagene ciloleucel, which MSAC recommended for funding to treat </w:t>
      </w:r>
      <w:r w:rsidR="00DE4B0C">
        <w:t xml:space="preserve">certain </w:t>
      </w:r>
      <w:r>
        <w:t>refractory or relapsed CD19-positive lymphoma</w:t>
      </w:r>
      <w:r w:rsidR="00DE4B0C">
        <w:t>s</w:t>
      </w:r>
      <w:r>
        <w:t xml:space="preserve"> in January 2020 after axicabtagene ciloleucel received TGA approval. </w:t>
      </w:r>
    </w:p>
    <w:p w14:paraId="02657738" w14:textId="77777777" w:rsidR="00A575D0" w:rsidRDefault="00A575D0" w:rsidP="00DE7DEF">
      <w:pPr>
        <w:spacing w:before="240"/>
      </w:pPr>
      <w:r>
        <w:t xml:space="preserve">MSAC noted that R/R MCL is a rare subtype of non-Hodgkin lymphoma with poor prognosis. Salvage therapy is currently the only option for those who have failed first- and second-line therapy. Thus, MSAC acknowledged the clinical need for </w:t>
      </w:r>
      <w:proofErr w:type="spellStart"/>
      <w:r>
        <w:t>brexu-cel</w:t>
      </w:r>
      <w:proofErr w:type="spellEnd"/>
      <w:r>
        <w:t xml:space="preserve">. </w:t>
      </w:r>
    </w:p>
    <w:p w14:paraId="099B4DBA" w14:textId="45B2333D" w:rsidR="00A575D0" w:rsidRPr="00AB4BC4" w:rsidRDefault="00A575D0" w:rsidP="00A575D0">
      <w:r>
        <w:t xml:space="preserve">MSAC noted the detailed eligibility criteria for treatment with </w:t>
      </w:r>
      <w:proofErr w:type="spellStart"/>
      <w:r>
        <w:t>brexu-cel</w:t>
      </w:r>
      <w:proofErr w:type="spellEnd"/>
      <w:r>
        <w:t xml:space="preserve">, with a proposed </w:t>
      </w:r>
      <w:r w:rsidRPr="00AB4BC4">
        <w:t xml:space="preserve">population of </w:t>
      </w:r>
      <w:r w:rsidR="00CF0B22" w:rsidRPr="00AB4BC4">
        <w:rPr>
          <w:b/>
          <w:bCs/>
          <w:color w:val="000000"/>
        </w:rPr>
        <w:t>redacted</w:t>
      </w:r>
      <w:r w:rsidR="00AB4BC4" w:rsidRPr="005B55FF">
        <w:rPr>
          <w:b/>
          <w:color w:val="000000"/>
        </w:rPr>
        <w:t xml:space="preserve"> </w:t>
      </w:r>
      <w:r w:rsidRPr="00AB4BC4">
        <w:t xml:space="preserve">per year. However, MSAC considered this to be an overestimation and suggested </w:t>
      </w:r>
      <w:r w:rsidR="00D40BEF" w:rsidRPr="00AB4BC4">
        <w:t xml:space="preserve">that the </w:t>
      </w:r>
      <w:r w:rsidRPr="00AB4BC4">
        <w:t>cap</w:t>
      </w:r>
      <w:r w:rsidR="00D40BEF" w:rsidRPr="00AB4BC4">
        <w:t>s</w:t>
      </w:r>
      <w:r w:rsidRPr="00AB4BC4">
        <w:t xml:space="preserve"> </w:t>
      </w:r>
      <w:r w:rsidR="00D40BEF" w:rsidRPr="00AB4BC4">
        <w:t>are</w:t>
      </w:r>
      <w:r w:rsidR="00D20127" w:rsidRPr="00AB4BC4">
        <w:t xml:space="preserve"> progressively escalated to a maximum of</w:t>
      </w:r>
      <w:r w:rsidR="00DC2E47" w:rsidRPr="00AB4BC4">
        <w:t xml:space="preserve"> </w:t>
      </w:r>
      <w:r w:rsidR="00CF0B22" w:rsidRPr="00AB4BC4">
        <w:rPr>
          <w:b/>
          <w:bCs/>
          <w:color w:val="000000"/>
        </w:rPr>
        <w:t>redacted</w:t>
      </w:r>
      <w:r w:rsidRPr="00AB4BC4">
        <w:t xml:space="preserve"> patients per year.</w:t>
      </w:r>
    </w:p>
    <w:p w14:paraId="26E79430" w14:textId="0E06C361" w:rsidR="00A575D0" w:rsidRDefault="00A575D0" w:rsidP="00DE7DEF">
      <w:pPr>
        <w:spacing w:before="240"/>
      </w:pPr>
      <w:r w:rsidRPr="00AB4BC4">
        <w:t>MSAC noted that</w:t>
      </w:r>
      <w:r>
        <w:t xml:space="preserve"> all the clinical trial data in the application was from the ZUMA-2 trial, a prospective single-arm study. No randomised controlled trial (RCT) comparing </w:t>
      </w:r>
      <w:proofErr w:type="spellStart"/>
      <w:r>
        <w:t>brexu-cel</w:t>
      </w:r>
      <w:proofErr w:type="spellEnd"/>
      <w:r>
        <w:t xml:space="preserve"> with the comparator (salvage therapy) was available; thus, a naïve indirect comparison</w:t>
      </w:r>
      <w:r w:rsidR="00DE4B0C">
        <w:t xml:space="preserve"> was offered</w:t>
      </w:r>
      <w:r>
        <w:t xml:space="preserve">. MSAC noted the difficulties </w:t>
      </w:r>
      <w:r w:rsidR="00DE4B0C">
        <w:t xml:space="preserve">outlined </w:t>
      </w:r>
      <w:r>
        <w:t xml:space="preserve">by the commentary in identifying a similar patient cohort between the ZUMA-2 trial and comparator trials, in particular the high level of heterogeneity with comparator data (study design, population, salvage therapies), with concerns that any comparisons are subject to confounding and significant selection bias. MSAC agreed with the applicant in its pre-MSAC response, that there are limitations in naïve comparisons, but that an RCT would never be feasible due to the low incidence of R/R MCL and the fact that the disease is rapidly fatal. </w:t>
      </w:r>
    </w:p>
    <w:p w14:paraId="57A4C03B" w14:textId="77777777" w:rsidR="00A575D0" w:rsidRDefault="00A575D0" w:rsidP="00DE7DEF">
      <w:pPr>
        <w:spacing w:before="240"/>
      </w:pPr>
      <w:r>
        <w:t>ZUMA-2 was a phase 2 study with two dose cohorts: a standard dose and a “lower” dose. MSAC noted that the lower dose was not effective, and that the data presented are from the standard dose cohort. MSAC noted that 81% of the patients in the ZUMA-2 study had at least three previous therapies, that 43% had had an autologous stem cell transplant, and that all patients were refractory to treatment with a BTK inhibitor.</w:t>
      </w:r>
    </w:p>
    <w:p w14:paraId="5F576999" w14:textId="7A88D340" w:rsidR="00A575D0" w:rsidRPr="00DA7246" w:rsidRDefault="00A575D0" w:rsidP="00DE7DEF">
      <w:pPr>
        <w:spacing w:before="240"/>
        <w:rPr>
          <w:i/>
        </w:rPr>
      </w:pPr>
      <w:r>
        <w:t xml:space="preserve">MSAC noted that, of the </w:t>
      </w:r>
      <w:r w:rsidR="00DE4B0C">
        <w:t xml:space="preserve">74 </w:t>
      </w:r>
      <w:r>
        <w:t xml:space="preserve">participants </w:t>
      </w:r>
      <w:r w:rsidR="00DE4B0C">
        <w:t xml:space="preserve">given the standard dose </w:t>
      </w:r>
      <w:r>
        <w:t xml:space="preserve">in the trial, 71/74 patients underwent successful leukapheresis and 68/74 patients underwent successful administration of </w:t>
      </w:r>
      <w:proofErr w:type="spellStart"/>
      <w:r>
        <w:t>brexu-cel</w:t>
      </w:r>
      <w:proofErr w:type="spellEnd"/>
      <w:r>
        <w:t xml:space="preserve">. Unsuccessful cases were due to deep vein thrombosis, death, withdrawal from the study, cardiac </w:t>
      </w:r>
      <w:proofErr w:type="gramStart"/>
      <w:r>
        <w:t>issues</w:t>
      </w:r>
      <w:proofErr w:type="gramEnd"/>
      <w:r>
        <w:t xml:space="preserve"> and </w:t>
      </w:r>
      <w:r w:rsidR="00461437">
        <w:t xml:space="preserve">manufacturing </w:t>
      </w:r>
      <w:r>
        <w:t>failure.</w:t>
      </w:r>
      <w:r w:rsidR="008F1F54">
        <w:rPr>
          <w:i/>
          <w:iCs/>
        </w:rPr>
        <w:t xml:space="preserve"> </w:t>
      </w:r>
    </w:p>
    <w:p w14:paraId="377AF6C3" w14:textId="77777777" w:rsidR="00A575D0" w:rsidRDefault="00A575D0" w:rsidP="00DE7DEF">
      <w:pPr>
        <w:pStyle w:val="NormalBeforeBullet0"/>
        <w:spacing w:before="240"/>
      </w:pPr>
      <w:r>
        <w:t>MSAC noted that the:</w:t>
      </w:r>
    </w:p>
    <w:p w14:paraId="03596B10" w14:textId="6E1D2F64" w:rsidR="00A575D0" w:rsidRDefault="00A575D0" w:rsidP="00A575D0">
      <w:pPr>
        <w:pStyle w:val="Bullet"/>
        <w:numPr>
          <w:ilvl w:val="0"/>
          <w:numId w:val="23"/>
        </w:numPr>
        <w:ind w:left="720"/>
      </w:pPr>
      <w:r>
        <w:t xml:space="preserve">overall response rate for </w:t>
      </w:r>
      <w:proofErr w:type="spellStart"/>
      <w:r>
        <w:t>brexu-cel</w:t>
      </w:r>
      <w:proofErr w:type="spellEnd"/>
      <w:r>
        <w:t xml:space="preserve"> patients in ZUMA-2 was 83.8% compared with 40.4% </w:t>
      </w:r>
      <w:r w:rsidR="00461437">
        <w:t xml:space="preserve">averaged across </w:t>
      </w:r>
      <w:r>
        <w:t xml:space="preserve">patients on salvage therapies in comparator </w:t>
      </w:r>
      <w:proofErr w:type="gramStart"/>
      <w:r>
        <w:t>studies</w:t>
      </w:r>
      <w:proofErr w:type="gramEnd"/>
    </w:p>
    <w:p w14:paraId="186CFE96" w14:textId="70AFF3F4" w:rsidR="00A575D0" w:rsidRDefault="00A575D0" w:rsidP="00A575D0">
      <w:pPr>
        <w:pStyle w:val="Bullet"/>
        <w:numPr>
          <w:ilvl w:val="0"/>
          <w:numId w:val="23"/>
        </w:numPr>
        <w:ind w:left="720"/>
      </w:pPr>
      <w:r>
        <w:t xml:space="preserve">complete response rate for </w:t>
      </w:r>
      <w:proofErr w:type="spellStart"/>
      <w:r>
        <w:t>brexu-cel</w:t>
      </w:r>
      <w:proofErr w:type="spellEnd"/>
      <w:r>
        <w:t xml:space="preserve"> patients in ZUMA-2 was 59.5% compared with 24.7% </w:t>
      </w:r>
      <w:r w:rsidR="00461437">
        <w:t xml:space="preserve">averaged across </w:t>
      </w:r>
      <w:r>
        <w:t xml:space="preserve">patients on salvage therapies in comparator </w:t>
      </w:r>
      <w:proofErr w:type="gramStart"/>
      <w:r>
        <w:t>studies</w:t>
      </w:r>
      <w:proofErr w:type="gramEnd"/>
    </w:p>
    <w:p w14:paraId="286F75B1" w14:textId="292ED5BF" w:rsidR="00A575D0" w:rsidRDefault="00A575D0" w:rsidP="00A575D0">
      <w:pPr>
        <w:pStyle w:val="Bullet"/>
        <w:numPr>
          <w:ilvl w:val="0"/>
          <w:numId w:val="23"/>
        </w:numPr>
        <w:ind w:left="720"/>
      </w:pPr>
      <w:r>
        <w:t xml:space="preserve">median progression-free survival for </w:t>
      </w:r>
      <w:proofErr w:type="spellStart"/>
      <w:r>
        <w:t>brexu-cel</w:t>
      </w:r>
      <w:proofErr w:type="spellEnd"/>
      <w:r>
        <w:t xml:space="preserve"> patients in ZUMA-2 was 16.2 months compared with 9.3 months for patients on salvage therapies </w:t>
      </w:r>
      <w:r w:rsidRPr="00B93DAF">
        <w:t xml:space="preserve">in </w:t>
      </w:r>
      <w:r w:rsidRPr="00C41EFC">
        <w:t>two</w:t>
      </w:r>
      <w:r w:rsidRPr="00403B3F">
        <w:t xml:space="preserve"> comparator</w:t>
      </w:r>
      <w:r>
        <w:t xml:space="preserve"> </w:t>
      </w:r>
      <w:proofErr w:type="gramStart"/>
      <w:r>
        <w:t>studies</w:t>
      </w:r>
      <w:proofErr w:type="gramEnd"/>
      <w:r w:rsidR="00B321EA">
        <w:t xml:space="preserve"> </w:t>
      </w:r>
    </w:p>
    <w:p w14:paraId="5702DFCA" w14:textId="736DC866" w:rsidR="00A575D0" w:rsidRDefault="00A575D0" w:rsidP="00A575D0">
      <w:pPr>
        <w:pStyle w:val="BulletLast"/>
        <w:numPr>
          <w:ilvl w:val="0"/>
          <w:numId w:val="23"/>
        </w:numPr>
        <w:ind w:left="720"/>
      </w:pPr>
      <w:r>
        <w:lastRenderedPageBreak/>
        <w:t xml:space="preserve">median overall survival for </w:t>
      </w:r>
      <w:proofErr w:type="spellStart"/>
      <w:r>
        <w:t>brexu-cel</w:t>
      </w:r>
      <w:proofErr w:type="spellEnd"/>
      <w:r>
        <w:t xml:space="preserve"> patients in ZUMA-2 was not reached compared with 10 months for patients on salvage therapies in </w:t>
      </w:r>
      <w:r w:rsidRPr="00B93DAF">
        <w:t>five</w:t>
      </w:r>
      <w:r w:rsidRPr="00C41EFC">
        <w:t xml:space="preserve"> comparator</w:t>
      </w:r>
      <w:r>
        <w:t xml:space="preserve"> studies.</w:t>
      </w:r>
    </w:p>
    <w:p w14:paraId="24503614" w14:textId="40CA9E11" w:rsidR="00A575D0" w:rsidRDefault="00A575D0" w:rsidP="00A575D0">
      <w:r>
        <w:t xml:space="preserve">MSAC noted that the poorer outcomes may be due </w:t>
      </w:r>
      <w:r w:rsidR="00461437">
        <w:t xml:space="preserve">in part </w:t>
      </w:r>
      <w:r>
        <w:t>to the worse prognosis of patients in two of the salvage therapy studies. MSAC also noted that the median follow-up in ZUMA</w:t>
      </w:r>
      <w:r w:rsidR="00D81BCA">
        <w:noBreakHyphen/>
      </w:r>
      <w:r>
        <w:t>2 was 16.5 months.</w:t>
      </w:r>
    </w:p>
    <w:p w14:paraId="4E6E1DA7" w14:textId="77777777" w:rsidR="00A575D0" w:rsidRDefault="00A575D0" w:rsidP="00DE7DEF">
      <w:pPr>
        <w:spacing w:before="240"/>
      </w:pPr>
      <w:r>
        <w:t xml:space="preserve">MSAC noted that the ZUMA-2 </w:t>
      </w:r>
      <w:r w:rsidR="000304E1">
        <w:t>(</w:t>
      </w:r>
      <w:proofErr w:type="spellStart"/>
      <w:r w:rsidR="000304E1">
        <w:t>brexu-cel</w:t>
      </w:r>
      <w:proofErr w:type="spellEnd"/>
      <w:r w:rsidR="000304E1">
        <w:t xml:space="preserve">) </w:t>
      </w:r>
      <w:r w:rsidR="00461437">
        <w:t>efficacy outcomes</w:t>
      </w:r>
      <w:r>
        <w:t xml:space="preserve"> were </w:t>
      </w:r>
      <w:r w:rsidR="00461437">
        <w:t xml:space="preserve">broadly </w:t>
      </w:r>
      <w:r>
        <w:t xml:space="preserve">comparable to JULIET (tisagenlecleucel) and ZUMA-1 (axicabtagene ciloleucel) </w:t>
      </w:r>
      <w:r w:rsidR="000304E1">
        <w:t>outcomes; JULIET and ZUMA-1</w:t>
      </w:r>
      <w:r>
        <w:t xml:space="preserve"> were both single-arm trials for CAR</w:t>
      </w:r>
      <w:r>
        <w:noBreakHyphen/>
        <w:t>T therapy for relapsed or refractory diffuse large B-cell lymphoma (DLBCL). MSAC recommended both tisagenlecleucel and axicabtagene ciloleucel for funding to treat DLBCL in 2019 and 2020, respectively.</w:t>
      </w:r>
    </w:p>
    <w:p w14:paraId="1BA41F05" w14:textId="77777777" w:rsidR="00A575D0" w:rsidRDefault="00A575D0" w:rsidP="00DE7DEF">
      <w:pPr>
        <w:spacing w:before="240"/>
      </w:pPr>
      <w:r>
        <w:t>MSAC agreed with the applicant and the commentary that comparative safety was difficult to draw conclusions on, as the salvage therapy trials did not adequately report toxicity. MSAC considered the toxicity profile of CAR-T therapies to be different than those of salvage therapies.</w:t>
      </w:r>
    </w:p>
    <w:p w14:paraId="6F8C98BE" w14:textId="42C25570" w:rsidR="00A575D0" w:rsidRPr="00AB4BC4" w:rsidRDefault="00CD6033" w:rsidP="00DE7DEF">
      <w:pPr>
        <w:spacing w:before="240"/>
      </w:pPr>
      <w:r w:rsidRPr="00AB4BC4">
        <w:t xml:space="preserve">MSAC </w:t>
      </w:r>
      <w:r w:rsidR="00A575D0" w:rsidRPr="00AB4BC4">
        <w:t xml:space="preserve">queried the </w:t>
      </w:r>
      <w:r w:rsidR="00612F57" w:rsidRPr="00AB4BC4">
        <w:t xml:space="preserve">price </w:t>
      </w:r>
      <w:r w:rsidR="00A575D0" w:rsidRPr="00AB4BC4">
        <w:t xml:space="preserve">of </w:t>
      </w:r>
      <w:proofErr w:type="spellStart"/>
      <w:r w:rsidR="00A575D0" w:rsidRPr="00AB4BC4">
        <w:t>brexu-cel</w:t>
      </w:r>
      <w:proofErr w:type="spellEnd"/>
      <w:r w:rsidRPr="00AB4BC4">
        <w:t>, noting</w:t>
      </w:r>
      <w:r w:rsidR="00A575D0" w:rsidRPr="00AB4BC4">
        <w:t xml:space="preserve"> that the proposed cost was </w:t>
      </w:r>
      <w:r w:rsidR="00CF0B22" w:rsidRPr="00AB4BC4">
        <w:rPr>
          <w:b/>
          <w:bCs/>
          <w:color w:val="000000"/>
        </w:rPr>
        <w:t>redacted</w:t>
      </w:r>
      <w:r w:rsidR="00AB4BC4" w:rsidRPr="005B55FF">
        <w:rPr>
          <w:b/>
          <w:color w:val="000000"/>
        </w:rPr>
        <w:t xml:space="preserve"> </w:t>
      </w:r>
      <w:r w:rsidR="00A575D0" w:rsidRPr="00AB4BC4">
        <w:t>than that of axicabtagene ciloleucel</w:t>
      </w:r>
      <w:r w:rsidR="000304E1" w:rsidRPr="00AB4BC4">
        <w:t>.</w:t>
      </w:r>
      <w:r w:rsidR="00A575D0" w:rsidRPr="00AB4BC4">
        <w:t xml:space="preserve"> In its pre-MSAC response, the applicant claimed that the additional CD4</w:t>
      </w:r>
      <w:r w:rsidR="00A575D0" w:rsidRPr="00AB4BC4">
        <w:rPr>
          <w:vertAlign w:val="superscript"/>
        </w:rPr>
        <w:t>+</w:t>
      </w:r>
      <w:r w:rsidR="00A575D0" w:rsidRPr="00AB4BC4">
        <w:t xml:space="preserve"> and CD8</w:t>
      </w:r>
      <w:r w:rsidR="00A575D0" w:rsidRPr="00AB4BC4">
        <w:rPr>
          <w:vertAlign w:val="superscript"/>
        </w:rPr>
        <w:t>+</w:t>
      </w:r>
      <w:r w:rsidR="00A575D0" w:rsidRPr="00AB4BC4">
        <w:t xml:space="preserve"> </w:t>
      </w:r>
      <w:r w:rsidR="000304E1" w:rsidRPr="00AB4BC4">
        <w:t xml:space="preserve">T cell </w:t>
      </w:r>
      <w:r w:rsidR="00A575D0" w:rsidRPr="00AB4BC4">
        <w:t xml:space="preserve">enrichment step </w:t>
      </w:r>
      <w:r w:rsidR="00CF0B22" w:rsidRPr="00AB4BC4">
        <w:rPr>
          <w:b/>
          <w:bCs/>
          <w:color w:val="000000"/>
        </w:rPr>
        <w:t>redacted</w:t>
      </w:r>
      <w:r w:rsidR="00A575D0" w:rsidRPr="00AB4BC4">
        <w:t xml:space="preserve"> justified the extra cost; however, MSAC did not </w:t>
      </w:r>
      <w:r w:rsidRPr="00AB4BC4">
        <w:t>consider this a strong justification for the additional cost</w:t>
      </w:r>
      <w:r w:rsidR="00A575D0" w:rsidRPr="00AB4BC4">
        <w:t>.</w:t>
      </w:r>
    </w:p>
    <w:p w14:paraId="664B59B3" w14:textId="51936818" w:rsidR="00A575D0" w:rsidRPr="00AB4BC4" w:rsidRDefault="00A575D0" w:rsidP="00DE7DEF">
      <w:pPr>
        <w:spacing w:before="240"/>
      </w:pPr>
      <w:bookmarkStart w:id="2" w:name="_Hlk82509324"/>
      <w:r w:rsidRPr="00AB4BC4">
        <w:t xml:space="preserve">MSAC noted that the incremental cost per life-year gained over a </w:t>
      </w:r>
      <w:proofErr w:type="gramStart"/>
      <w:r w:rsidR="000304E1" w:rsidRPr="00AB4BC4">
        <w:t>30 year</w:t>
      </w:r>
      <w:proofErr w:type="gramEnd"/>
      <w:r w:rsidR="000304E1" w:rsidRPr="00AB4BC4">
        <w:t xml:space="preserve"> </w:t>
      </w:r>
      <w:r w:rsidRPr="00AB4BC4">
        <w:t>time horizon was $</w:t>
      </w:r>
      <w:r w:rsidR="00CF0B22" w:rsidRPr="00AB4BC4">
        <w:rPr>
          <w:b/>
          <w:bCs/>
          <w:color w:val="000000"/>
        </w:rPr>
        <w:t>redacted</w:t>
      </w:r>
      <w:r w:rsidRPr="00AB4BC4">
        <w:t>, and that the quality-adjusted life year (QALY) gained over the same time horizon was $</w:t>
      </w:r>
      <w:r w:rsidR="00CF0B22" w:rsidRPr="00AB4BC4">
        <w:rPr>
          <w:b/>
          <w:bCs/>
          <w:color w:val="000000"/>
        </w:rPr>
        <w:t>redacted</w:t>
      </w:r>
      <w:r w:rsidR="00CF0B22" w:rsidRPr="00AB4BC4" w:rsidDel="00CF0B22">
        <w:t xml:space="preserve"> </w:t>
      </w:r>
      <w:r w:rsidR="00E501AC" w:rsidRPr="00AB4BC4">
        <w:t xml:space="preserve">using the </w:t>
      </w:r>
      <w:r w:rsidR="00A10373" w:rsidRPr="00AB4BC4">
        <w:t>applicant</w:t>
      </w:r>
      <w:r w:rsidR="00E501AC" w:rsidRPr="00AB4BC4">
        <w:t>’s economic model</w:t>
      </w:r>
      <w:r w:rsidRPr="00AB4BC4">
        <w:t>. However, MSAC</w:t>
      </w:r>
      <w:r w:rsidR="00A10373" w:rsidRPr="00AB4BC4">
        <w:t xml:space="preserve"> agreed with the ESC</w:t>
      </w:r>
      <w:r w:rsidR="00DC2E47" w:rsidRPr="00AB4BC4">
        <w:t xml:space="preserve"> </w:t>
      </w:r>
      <w:r w:rsidRPr="00AB4BC4">
        <w:t>that the incremental cost per life year and QALY were closer to $</w:t>
      </w:r>
      <w:r w:rsidR="00CF0B22" w:rsidRPr="00AB4BC4">
        <w:rPr>
          <w:b/>
          <w:bCs/>
          <w:color w:val="000000"/>
        </w:rPr>
        <w:t>redacted</w:t>
      </w:r>
      <w:r w:rsidR="00CF0B22" w:rsidRPr="00AB4BC4" w:rsidDel="00CF0B22">
        <w:t xml:space="preserve"> </w:t>
      </w:r>
      <w:r w:rsidRPr="00AB4BC4">
        <w:t>and $</w:t>
      </w:r>
      <w:r w:rsidR="00CF0B22" w:rsidRPr="00AB4BC4">
        <w:rPr>
          <w:b/>
          <w:bCs/>
          <w:color w:val="000000"/>
        </w:rPr>
        <w:t>redacted</w:t>
      </w:r>
      <w:r w:rsidRPr="00AB4BC4">
        <w:t>,</w:t>
      </w:r>
      <w:r w:rsidR="009A12DA" w:rsidRPr="00AB4BC4">
        <w:t xml:space="preserve"> </w:t>
      </w:r>
      <w:r w:rsidRPr="00AB4BC4">
        <w:t xml:space="preserve">respectively, when </w:t>
      </w:r>
      <w:r w:rsidR="00CD6033" w:rsidRPr="00AB4BC4">
        <w:t xml:space="preserve">some </w:t>
      </w:r>
      <w:r w:rsidRPr="00AB4BC4">
        <w:t xml:space="preserve">costs were corrected and lognormal extrapolation for overall survival was </w:t>
      </w:r>
      <w:r w:rsidR="00CD6033" w:rsidRPr="00AB4BC4">
        <w:t>used</w:t>
      </w:r>
      <w:r w:rsidRPr="00AB4BC4">
        <w:t>.</w:t>
      </w:r>
    </w:p>
    <w:bookmarkEnd w:id="2"/>
    <w:p w14:paraId="35706E26" w14:textId="4B60FDCE" w:rsidR="00A575D0" w:rsidRPr="00AB4BC4" w:rsidRDefault="00A575D0" w:rsidP="00DE7DEF">
      <w:pPr>
        <w:spacing w:before="240"/>
      </w:pPr>
      <w:r w:rsidRPr="00AB4BC4">
        <w:t>MSAC noted that the overall financial impact ranged from $</w:t>
      </w:r>
      <w:r w:rsidR="00CF0B22" w:rsidRPr="00AB4BC4">
        <w:rPr>
          <w:b/>
          <w:bCs/>
          <w:color w:val="000000"/>
        </w:rPr>
        <w:t>redacted</w:t>
      </w:r>
      <w:r w:rsidRPr="00AB4BC4">
        <w:t xml:space="preserve"> in year 1 to $</w:t>
      </w:r>
      <w:r w:rsidR="00CF0B22" w:rsidRPr="00AB4BC4">
        <w:rPr>
          <w:b/>
          <w:bCs/>
          <w:color w:val="000000"/>
        </w:rPr>
        <w:t>redacted</w:t>
      </w:r>
      <w:r w:rsidR="00CF0B22" w:rsidRPr="00AB4BC4" w:rsidDel="00CF0B22">
        <w:t xml:space="preserve"> </w:t>
      </w:r>
      <w:r w:rsidRPr="00AB4BC4">
        <w:t xml:space="preserve">in year </w:t>
      </w:r>
      <w:proofErr w:type="gramStart"/>
      <w:r w:rsidRPr="00AB4BC4">
        <w:t>6, but</w:t>
      </w:r>
      <w:proofErr w:type="gramEnd"/>
      <w:r w:rsidRPr="00AB4BC4">
        <w:t xml:space="preserve"> considered that the uptake </w:t>
      </w:r>
      <w:r w:rsidR="00385963" w:rsidRPr="00AB4BC4">
        <w:t xml:space="preserve">predicted by the applicant </w:t>
      </w:r>
      <w:r w:rsidRPr="00AB4BC4">
        <w:t>was too high in the later years (2024–2027). MSAC considered that the overall financial impact should be lower than what was proposed by the applicant.</w:t>
      </w:r>
    </w:p>
    <w:p w14:paraId="383FFCCA" w14:textId="0A133D63" w:rsidR="00CD6033" w:rsidRPr="00AB4BC4" w:rsidRDefault="00A575D0" w:rsidP="00DE7DEF">
      <w:pPr>
        <w:spacing w:before="240"/>
      </w:pPr>
      <w:r w:rsidRPr="00AB4BC4">
        <w:t xml:space="preserve">MSAC noted </w:t>
      </w:r>
      <w:r w:rsidR="004974BF" w:rsidRPr="00AB4BC4">
        <w:t xml:space="preserve">the </w:t>
      </w:r>
      <w:r w:rsidR="00A10373" w:rsidRPr="00AB4BC4">
        <w:t>applicant’s</w:t>
      </w:r>
      <w:r w:rsidR="00CD6033" w:rsidRPr="00AB4BC4">
        <w:t xml:space="preserve"> </w:t>
      </w:r>
      <w:r w:rsidRPr="00AB4BC4">
        <w:t>economic model assume</w:t>
      </w:r>
      <w:r w:rsidR="00A10373" w:rsidRPr="00AB4BC4">
        <w:t>d a</w:t>
      </w:r>
      <w:r w:rsidRPr="00AB4BC4">
        <w:t xml:space="preserve"> price of $</w:t>
      </w:r>
      <w:r w:rsidR="00CF0B22" w:rsidRPr="00AB4BC4">
        <w:rPr>
          <w:b/>
          <w:bCs/>
          <w:color w:val="000000"/>
        </w:rPr>
        <w:t>redacted</w:t>
      </w:r>
      <w:r w:rsidR="00A10373" w:rsidRPr="00AB4BC4">
        <w:t>.</w:t>
      </w:r>
      <w:r w:rsidRPr="00AB4BC4">
        <w:t xml:space="preserve"> </w:t>
      </w:r>
      <w:r w:rsidR="00A10373" w:rsidRPr="00AB4BC4">
        <w:t xml:space="preserve">The model </w:t>
      </w:r>
      <w:r w:rsidR="00DC2E47" w:rsidRPr="00AB4BC4">
        <w:t>then factored in</w:t>
      </w:r>
      <w:r w:rsidR="00A10373" w:rsidRPr="00AB4BC4">
        <w:t xml:space="preserve"> a </w:t>
      </w:r>
      <w:r w:rsidR="00CF0B22" w:rsidRPr="00AB4BC4">
        <w:rPr>
          <w:b/>
          <w:bCs/>
          <w:color w:val="000000"/>
        </w:rPr>
        <w:t>redacted</w:t>
      </w:r>
      <w:r w:rsidR="00A10373" w:rsidRPr="00AB4BC4">
        <w:t xml:space="preserve">, resulting in </w:t>
      </w:r>
      <w:r w:rsidR="00CD6033" w:rsidRPr="00AB4BC4">
        <w:t>a</w:t>
      </w:r>
      <w:r w:rsidR="000D4012" w:rsidRPr="00AB4BC4">
        <w:t>n average</w:t>
      </w:r>
      <w:r w:rsidR="00A10373" w:rsidRPr="00AB4BC4">
        <w:t xml:space="preserve"> price paid</w:t>
      </w:r>
      <w:r w:rsidR="000D4012" w:rsidRPr="00AB4BC4">
        <w:t xml:space="preserve"> of $</w:t>
      </w:r>
      <w:r w:rsidR="00CF0B22" w:rsidRPr="00AB4BC4">
        <w:rPr>
          <w:b/>
          <w:bCs/>
          <w:color w:val="000000"/>
        </w:rPr>
        <w:t>redacted</w:t>
      </w:r>
      <w:r w:rsidR="00CF0B22" w:rsidRPr="00AB4BC4" w:rsidDel="00CF0B22">
        <w:t xml:space="preserve"> </w:t>
      </w:r>
      <w:r w:rsidR="00A10373" w:rsidRPr="00AB4BC4">
        <w:t>on which the ICER was based</w:t>
      </w:r>
      <w:r w:rsidR="00CD6033" w:rsidRPr="00AB4BC4">
        <w:t xml:space="preserve"> (</w:t>
      </w:r>
      <w:r w:rsidR="00DC2E47" w:rsidRPr="00AB4BC4">
        <w:t xml:space="preserve">noting, </w:t>
      </w:r>
      <w:r w:rsidR="00CD6033" w:rsidRPr="00AB4BC4">
        <w:t xml:space="preserve">the </w:t>
      </w:r>
      <w:r w:rsidR="00A10373" w:rsidRPr="00AB4BC4">
        <w:t>applicant</w:t>
      </w:r>
      <w:r w:rsidR="00CD6033" w:rsidRPr="00AB4BC4">
        <w:t xml:space="preserve"> does not seek payment</w:t>
      </w:r>
      <w:r w:rsidR="00CD6033">
        <w:t xml:space="preserve"> for </w:t>
      </w:r>
      <w:r w:rsidR="005619FE">
        <w:t xml:space="preserve">unsuccessful infusions, </w:t>
      </w:r>
      <w:proofErr w:type="spellStart"/>
      <w:r w:rsidR="005619FE">
        <w:t>i.</w:t>
      </w:r>
      <w:proofErr w:type="gramStart"/>
      <w:r w:rsidR="005619FE">
        <w:t>e.</w:t>
      </w:r>
      <w:r w:rsidR="00CD6033">
        <w:t>patients</w:t>
      </w:r>
      <w:proofErr w:type="spellEnd"/>
      <w:proofErr w:type="gramEnd"/>
      <w:r w:rsidR="00CD6033">
        <w:t xml:space="preserve"> who undergo leukapheresis and manufacturing of </w:t>
      </w:r>
      <w:proofErr w:type="spellStart"/>
      <w:r w:rsidR="00CD6033">
        <w:t>brexu-cel</w:t>
      </w:r>
      <w:proofErr w:type="spellEnd"/>
      <w:r w:rsidR="00CD6033">
        <w:t xml:space="preserve"> but do not receive </w:t>
      </w:r>
      <w:r w:rsidR="00CD6033" w:rsidRPr="00AB4BC4">
        <w:t>infusion)</w:t>
      </w:r>
      <w:r w:rsidR="00497E4E" w:rsidRPr="00AB4BC4">
        <w:t>.</w:t>
      </w:r>
      <w:r w:rsidR="00CA2D01" w:rsidRPr="00AB4BC4">
        <w:t xml:space="preserve"> MSAC considered that the ICER accepted should be based on a </w:t>
      </w:r>
      <w:r w:rsidR="00CF0B22" w:rsidRPr="00AB4BC4">
        <w:rPr>
          <w:b/>
          <w:bCs/>
          <w:color w:val="000000"/>
        </w:rPr>
        <w:t>redacted</w:t>
      </w:r>
      <w:r w:rsidR="00CA2D01" w:rsidRPr="00AB4BC4">
        <w:t>, consistent with the axicabtagene ciloleucel for DLBCL</w:t>
      </w:r>
      <w:r w:rsidR="007F4375" w:rsidRPr="00AB4BC4">
        <w:t xml:space="preserve"> approach</w:t>
      </w:r>
      <w:r w:rsidR="00CA2D01" w:rsidRPr="00AB4BC4">
        <w:t xml:space="preserve">. </w:t>
      </w:r>
    </w:p>
    <w:p w14:paraId="4A2CCC31" w14:textId="76E49E77" w:rsidR="00A575D0" w:rsidRPr="005B55FF" w:rsidRDefault="00A575D0" w:rsidP="00DE7DEF">
      <w:pPr>
        <w:spacing w:before="240"/>
        <w:rPr>
          <w:i/>
        </w:rPr>
      </w:pPr>
      <w:r w:rsidRPr="00AB4BC4">
        <w:t>If applying the maximum payable price agreed to for axicabtagene ciloleucel – $</w:t>
      </w:r>
      <w:r w:rsidR="00AD6C4A" w:rsidRPr="00AB4BC4">
        <w:rPr>
          <w:b/>
          <w:bCs/>
          <w:color w:val="000000"/>
        </w:rPr>
        <w:t>redacted</w:t>
      </w:r>
      <w:r w:rsidRPr="00AB4BC4">
        <w:t xml:space="preserve"> incremental cost per life-year gained is lowered</w:t>
      </w:r>
      <w:r w:rsidR="00416CEC" w:rsidRPr="00AB4BC4">
        <w:t xml:space="preserve"> from an ICER of $</w:t>
      </w:r>
      <w:r w:rsidR="00AD6C4A" w:rsidRPr="00AB4BC4">
        <w:rPr>
          <w:b/>
          <w:bCs/>
          <w:color w:val="000000"/>
        </w:rPr>
        <w:t>redacted</w:t>
      </w:r>
      <w:r w:rsidR="00416CEC" w:rsidRPr="00AB4BC4">
        <w:t>/QALY</w:t>
      </w:r>
      <w:r w:rsidRPr="00AB4BC4">
        <w:t xml:space="preserve"> to</w:t>
      </w:r>
      <w:r w:rsidR="00416CEC" w:rsidRPr="00AB4BC4">
        <w:t xml:space="preserve"> an ICER of</w:t>
      </w:r>
      <w:r w:rsidRPr="00AB4BC4">
        <w:t xml:space="preserve"> $</w:t>
      </w:r>
      <w:r w:rsidR="00AD6C4A" w:rsidRPr="00AB4BC4">
        <w:rPr>
          <w:b/>
          <w:bCs/>
          <w:color w:val="000000"/>
        </w:rPr>
        <w:t>redacted</w:t>
      </w:r>
      <w:r w:rsidRPr="00AB4BC4">
        <w:t>/QALY</w:t>
      </w:r>
      <w:r w:rsidR="004974BF" w:rsidRPr="00AB4BC4">
        <w:t xml:space="preserve"> using the </w:t>
      </w:r>
      <w:r w:rsidR="00497E4E" w:rsidRPr="00AB4BC4">
        <w:t>revised</w:t>
      </w:r>
      <w:r w:rsidR="004974BF" w:rsidRPr="00AB4BC4">
        <w:t xml:space="preserve"> economic model</w:t>
      </w:r>
      <w:r w:rsidR="00497E4E" w:rsidRPr="00AB4BC4">
        <w:t xml:space="preserve"> accepted by ESC</w:t>
      </w:r>
      <w:r w:rsidR="00416CEC" w:rsidRPr="00AB4BC4">
        <w:t xml:space="preserve">, with a </w:t>
      </w:r>
      <w:r w:rsidR="00AD6C4A" w:rsidRPr="00AB4BC4">
        <w:rPr>
          <w:b/>
          <w:bCs/>
          <w:color w:val="000000"/>
        </w:rPr>
        <w:t>redacted</w:t>
      </w:r>
      <w:r w:rsidR="00AD6C4A" w:rsidRPr="00AB4BC4" w:rsidDel="00AD6C4A">
        <w:t xml:space="preserve"> </w:t>
      </w:r>
      <w:r w:rsidR="00416CEC" w:rsidRPr="00AB4BC4">
        <w:t>applied</w:t>
      </w:r>
      <w:r w:rsidRPr="00AB4BC4">
        <w:t>. MSAC noted that, to achieve the same cost per QALY as accepted for DLBCL (</w:t>
      </w:r>
      <w:r w:rsidR="00497E4E" w:rsidRPr="00AB4BC4">
        <w:t>$</w:t>
      </w:r>
      <w:r w:rsidR="00AD6C4A" w:rsidRPr="00AB4BC4">
        <w:rPr>
          <w:b/>
          <w:bCs/>
          <w:color w:val="000000"/>
        </w:rPr>
        <w:t>redacted</w:t>
      </w:r>
      <w:r w:rsidRPr="00AB4BC4">
        <w:t xml:space="preserve">), </w:t>
      </w:r>
      <w:proofErr w:type="spellStart"/>
      <w:r w:rsidRPr="00AB4BC4">
        <w:t>brexu-cel</w:t>
      </w:r>
      <w:proofErr w:type="spellEnd"/>
      <w:r w:rsidRPr="00AB4BC4">
        <w:t xml:space="preserve"> would need to </w:t>
      </w:r>
      <w:r w:rsidR="004974BF" w:rsidRPr="00AB4BC4">
        <w:t>have a</w:t>
      </w:r>
      <w:r w:rsidR="00384AF4" w:rsidRPr="00AB4BC4">
        <w:t>n average</w:t>
      </w:r>
      <w:r w:rsidR="004974BF" w:rsidRPr="00AB4BC4">
        <w:t xml:space="preserve"> payable price of</w:t>
      </w:r>
      <w:r w:rsidRPr="00AB4BC4">
        <w:t xml:space="preserve"> $</w:t>
      </w:r>
      <w:r w:rsidR="00AD6C4A" w:rsidRPr="00AB4BC4">
        <w:rPr>
          <w:b/>
          <w:bCs/>
          <w:color w:val="000000"/>
        </w:rPr>
        <w:t>redacted</w:t>
      </w:r>
      <w:r w:rsidRPr="00AB4BC4">
        <w:t>.</w:t>
      </w:r>
    </w:p>
    <w:p w14:paraId="7444615A" w14:textId="1AB21A2F" w:rsidR="00A575D0" w:rsidRDefault="00A575D0" w:rsidP="00DE7DEF">
      <w:pPr>
        <w:pStyle w:val="NormalBeforeBullet0"/>
        <w:spacing w:before="240"/>
      </w:pPr>
      <w:r w:rsidRPr="00AB4BC4">
        <w:t xml:space="preserve">MSAC noted that </w:t>
      </w:r>
      <w:r w:rsidR="005619FE" w:rsidRPr="00AB4BC4">
        <w:t xml:space="preserve">the applicant did not propose a </w:t>
      </w:r>
      <w:r w:rsidR="00AD6C4A" w:rsidRPr="00AB4BC4">
        <w:rPr>
          <w:b/>
          <w:bCs/>
        </w:rPr>
        <w:t>redacted</w:t>
      </w:r>
      <w:r w:rsidRPr="00AB4BC4">
        <w:t xml:space="preserve">. MSAC considered </w:t>
      </w:r>
      <w:r w:rsidR="005619FE" w:rsidRPr="00AB4BC4">
        <w:t xml:space="preserve">such an arrangement </w:t>
      </w:r>
      <w:r w:rsidRPr="00AB4BC4">
        <w:t>to be essential</w:t>
      </w:r>
      <w:r w:rsidR="00CA2D01" w:rsidRPr="00AB4BC4">
        <w:t xml:space="preserve"> </w:t>
      </w:r>
      <w:proofErr w:type="gramStart"/>
      <w:r w:rsidR="005619FE" w:rsidRPr="00AB4BC4">
        <w:t>in order to</w:t>
      </w:r>
      <w:proofErr w:type="gramEnd"/>
      <w:r w:rsidR="005619FE" w:rsidRPr="00AB4BC4">
        <w:t xml:space="preserve"> achieve cost-effectiveness and to mitigate the financial risk from</w:t>
      </w:r>
      <w:r w:rsidR="00CA2D01" w:rsidRPr="00AB4BC4">
        <w:t xml:space="preserve"> potential leakage</w:t>
      </w:r>
      <w:r w:rsidRPr="00AB4BC4">
        <w:t>. In addition</w:t>
      </w:r>
      <w:r>
        <w:t xml:space="preserve">, MSAC considered that the Department should </w:t>
      </w:r>
      <w:r>
        <w:lastRenderedPageBreak/>
        <w:t xml:space="preserve">negotiate the following if </w:t>
      </w:r>
      <w:proofErr w:type="spellStart"/>
      <w:r>
        <w:t>brexu-cel</w:t>
      </w:r>
      <w:proofErr w:type="spellEnd"/>
      <w:r>
        <w:t xml:space="preserve"> is to be listed, which </w:t>
      </w:r>
      <w:r w:rsidR="00E21BFB">
        <w:t>is an</w:t>
      </w:r>
      <w:r w:rsidR="00CA2D01">
        <w:t xml:space="preserve"> </w:t>
      </w:r>
      <w:r w:rsidR="00E21BFB">
        <w:t xml:space="preserve">approach similar to </w:t>
      </w:r>
      <w:r w:rsidR="00644EC1">
        <w:t xml:space="preserve">that has been implemented for </w:t>
      </w:r>
      <w:proofErr w:type="gramStart"/>
      <w:r w:rsidR="00644EC1">
        <w:t>currently-</w:t>
      </w:r>
      <w:r w:rsidR="005619FE">
        <w:t>funded</w:t>
      </w:r>
      <w:proofErr w:type="gramEnd"/>
      <w:r w:rsidR="005619FE">
        <w:t xml:space="preserve"> </w:t>
      </w:r>
      <w:r>
        <w:t>CAR-T therapies:</w:t>
      </w:r>
    </w:p>
    <w:p w14:paraId="7E57A943" w14:textId="77777777" w:rsidR="00644EC1" w:rsidRDefault="00A575D0" w:rsidP="00A575D0">
      <w:pPr>
        <w:pStyle w:val="Bullet"/>
        <w:numPr>
          <w:ilvl w:val="0"/>
          <w:numId w:val="23"/>
        </w:numPr>
        <w:ind w:left="720"/>
      </w:pPr>
      <w:r>
        <w:t>reduc</w:t>
      </w:r>
      <w:r w:rsidR="00644EC1">
        <w:t xml:space="preserve">tion </w:t>
      </w:r>
      <w:r w:rsidR="00F930C0">
        <w:t>in</w:t>
      </w:r>
      <w:r>
        <w:t xml:space="preserve"> price per </w:t>
      </w:r>
      <w:proofErr w:type="gramStart"/>
      <w:r w:rsidR="00644EC1">
        <w:t>treatment;</w:t>
      </w:r>
      <w:proofErr w:type="gramEnd"/>
    </w:p>
    <w:p w14:paraId="04055B04" w14:textId="3DA32D8E" w:rsidR="00A575D0" w:rsidRDefault="00A575D0" w:rsidP="00A575D0">
      <w:pPr>
        <w:pStyle w:val="Bullet"/>
        <w:numPr>
          <w:ilvl w:val="0"/>
          <w:numId w:val="23"/>
        </w:numPr>
        <w:ind w:left="720"/>
      </w:pPr>
      <w:r>
        <w:t>implement</w:t>
      </w:r>
      <w:r w:rsidR="00644EC1">
        <w:t xml:space="preserve">ation of </w:t>
      </w:r>
      <w:r>
        <w:t>a</w:t>
      </w:r>
      <w:r w:rsidR="00F930C0">
        <w:t xml:space="preserve"> </w:t>
      </w:r>
      <w:proofErr w:type="gramStart"/>
      <w:r w:rsidR="00902381">
        <w:rPr>
          <w:b/>
          <w:bCs/>
        </w:rPr>
        <w:t>r</w:t>
      </w:r>
      <w:r w:rsidR="00902381" w:rsidRPr="00CF0B22">
        <w:rPr>
          <w:b/>
          <w:bCs/>
        </w:rPr>
        <w:t>edacted</w:t>
      </w:r>
      <w:r w:rsidR="00644EC1">
        <w:t>;</w:t>
      </w:r>
      <w:proofErr w:type="gramEnd"/>
    </w:p>
    <w:p w14:paraId="5C815CAD" w14:textId="2216060E" w:rsidR="00A575D0" w:rsidRDefault="009E746B" w:rsidP="00A575D0">
      <w:pPr>
        <w:pStyle w:val="Bullet"/>
        <w:numPr>
          <w:ilvl w:val="0"/>
          <w:numId w:val="23"/>
        </w:numPr>
        <w:ind w:left="720"/>
      </w:pPr>
      <w:r>
        <w:t>a patient cap to manage</w:t>
      </w:r>
      <w:r w:rsidR="00644EC1">
        <w:t xml:space="preserve"> utilisation </w:t>
      </w:r>
      <w:r>
        <w:t xml:space="preserve">beyond the estimates, </w:t>
      </w:r>
      <w:proofErr w:type="gramStart"/>
      <w:r w:rsidR="00AD6C4A">
        <w:rPr>
          <w:b/>
          <w:bCs/>
        </w:rPr>
        <w:t>r</w:t>
      </w:r>
      <w:r w:rsidR="00AD6C4A" w:rsidRPr="00CF0B22">
        <w:rPr>
          <w:b/>
          <w:bCs/>
        </w:rPr>
        <w:t>edacted</w:t>
      </w:r>
      <w:r w:rsidR="00644EC1">
        <w:t>;</w:t>
      </w:r>
      <w:proofErr w:type="gramEnd"/>
    </w:p>
    <w:p w14:paraId="69CD49D6" w14:textId="77777777" w:rsidR="00A575D0" w:rsidRDefault="00A575D0" w:rsidP="00A575D0">
      <w:pPr>
        <w:pStyle w:val="BulletLast"/>
        <w:numPr>
          <w:ilvl w:val="0"/>
          <w:numId w:val="23"/>
        </w:numPr>
        <w:ind w:left="720"/>
      </w:pPr>
      <w:r>
        <w:t xml:space="preserve">review </w:t>
      </w:r>
      <w:r w:rsidR="00644EC1">
        <w:t xml:space="preserve">continued funding </w:t>
      </w:r>
      <w:r>
        <w:t>after 3 years.</w:t>
      </w:r>
    </w:p>
    <w:p w14:paraId="039693A7" w14:textId="41F2FF48" w:rsidR="00A575D0" w:rsidRPr="00AB4BC4" w:rsidRDefault="00A575D0" w:rsidP="00A575D0">
      <w:pPr>
        <w:pStyle w:val="NormalBeforeBullet0"/>
      </w:pPr>
      <w:r w:rsidRPr="00AB4BC4">
        <w:t xml:space="preserve">MSAC noted the </w:t>
      </w:r>
      <w:r w:rsidR="00DD2926" w:rsidRPr="00AB4BC4">
        <w:rPr>
          <w:b/>
          <w:bCs/>
        </w:rPr>
        <w:t>redacted</w:t>
      </w:r>
      <w:r w:rsidRPr="00AB4BC4">
        <w:t xml:space="preserve"> agreement implemented for axicabtagene ciloleucel:</w:t>
      </w:r>
    </w:p>
    <w:p w14:paraId="39475B97" w14:textId="0F0F993F" w:rsidR="00AB4BC4" w:rsidRPr="00AB4BC4" w:rsidRDefault="00AD6C4A" w:rsidP="00AB4BC4">
      <w:pPr>
        <w:pStyle w:val="Bullet"/>
        <w:numPr>
          <w:ilvl w:val="0"/>
          <w:numId w:val="23"/>
        </w:numPr>
        <w:spacing w:before="120"/>
        <w:ind w:left="714" w:hanging="357"/>
      </w:pPr>
      <w:r w:rsidRPr="00AB4BC4">
        <w:rPr>
          <w:b/>
          <w:bCs/>
        </w:rPr>
        <w:t>Redacted</w:t>
      </w:r>
      <w:r w:rsidRPr="00AB4BC4" w:rsidDel="00AD6C4A">
        <w:t xml:space="preserve"> </w:t>
      </w:r>
    </w:p>
    <w:p w14:paraId="18F1F340" w14:textId="77777777" w:rsidR="00AB4BC4" w:rsidRPr="00AB4BC4" w:rsidRDefault="00AD6C4A" w:rsidP="00AB4BC4">
      <w:pPr>
        <w:pStyle w:val="Bullet"/>
        <w:numPr>
          <w:ilvl w:val="0"/>
          <w:numId w:val="23"/>
        </w:numPr>
        <w:spacing w:before="120"/>
        <w:ind w:left="714" w:hanging="357"/>
      </w:pPr>
      <w:r w:rsidRPr="00AB4BC4">
        <w:rPr>
          <w:b/>
          <w:bCs/>
        </w:rPr>
        <w:t>Redacted</w:t>
      </w:r>
      <w:r w:rsidRPr="00AB4BC4" w:rsidDel="00AD6C4A">
        <w:t xml:space="preserve"> </w:t>
      </w:r>
    </w:p>
    <w:p w14:paraId="5FCBDC3E" w14:textId="77777777" w:rsidR="00AB4BC4" w:rsidRPr="00AB4BC4" w:rsidRDefault="00AD6C4A" w:rsidP="00AB4BC4">
      <w:pPr>
        <w:pStyle w:val="BulletLast"/>
        <w:numPr>
          <w:ilvl w:val="0"/>
          <w:numId w:val="23"/>
        </w:numPr>
        <w:spacing w:before="120" w:after="120"/>
        <w:ind w:left="714" w:hanging="357"/>
      </w:pPr>
      <w:r w:rsidRPr="00AB4BC4">
        <w:rPr>
          <w:b/>
          <w:bCs/>
        </w:rPr>
        <w:t>Redacted</w:t>
      </w:r>
      <w:r w:rsidRPr="00AB4BC4" w:rsidDel="00AD6C4A">
        <w:t xml:space="preserve"> </w:t>
      </w:r>
    </w:p>
    <w:p w14:paraId="089BE409" w14:textId="1A2FD7FC" w:rsidR="00A575D0" w:rsidRPr="00AB4BC4" w:rsidRDefault="00AD6C4A" w:rsidP="005B55FF">
      <w:pPr>
        <w:pStyle w:val="BulletLast"/>
        <w:numPr>
          <w:ilvl w:val="0"/>
          <w:numId w:val="23"/>
        </w:numPr>
        <w:spacing w:before="120" w:after="120"/>
        <w:ind w:left="714" w:hanging="357"/>
      </w:pPr>
      <w:r w:rsidRPr="00AB4BC4">
        <w:rPr>
          <w:b/>
          <w:bCs/>
        </w:rPr>
        <w:t>Redacted</w:t>
      </w:r>
      <w:r w:rsidR="00A575D0" w:rsidRPr="00AB4BC4">
        <w:t>.</w:t>
      </w:r>
    </w:p>
    <w:p w14:paraId="7C555F14" w14:textId="6476D024" w:rsidR="00A575D0" w:rsidRDefault="00A575D0" w:rsidP="005B55FF">
      <w:pPr>
        <w:spacing w:after="240"/>
      </w:pPr>
      <w:r w:rsidRPr="00AB4BC4">
        <w:t xml:space="preserve">MSAC considered that a similar agreement be negotiated for </w:t>
      </w:r>
      <w:proofErr w:type="spellStart"/>
      <w:r w:rsidRPr="00AB4BC4">
        <w:t>brexu-cel</w:t>
      </w:r>
      <w:proofErr w:type="spellEnd"/>
      <w:r w:rsidRPr="00AB4BC4">
        <w:t xml:space="preserve">. MSAC noted that responder status </w:t>
      </w:r>
      <w:r w:rsidR="00CA2D01" w:rsidRPr="00AB4BC4">
        <w:t>is yet to</w:t>
      </w:r>
      <w:r w:rsidR="00CA2D01">
        <w:t xml:space="preserve"> be clearly defined</w:t>
      </w:r>
      <w:r>
        <w:t xml:space="preserve"> for R/R MCL. MSAC considered it appropriate for the Department to engage with clinical experts to define an acceptable responder status for MCL patients who undergo </w:t>
      </w:r>
      <w:proofErr w:type="spellStart"/>
      <w:r>
        <w:t>brexu-cel</w:t>
      </w:r>
      <w:proofErr w:type="spellEnd"/>
      <w:r>
        <w:t xml:space="preserve"> </w:t>
      </w:r>
      <w:r w:rsidRPr="00AB4BC4">
        <w:t>therapy</w:t>
      </w:r>
      <w:r w:rsidR="00CA2D01" w:rsidRPr="00AB4BC4">
        <w:t xml:space="preserve">, </w:t>
      </w:r>
      <w:r w:rsidR="00AD6C4A" w:rsidRPr="00AB4BC4">
        <w:rPr>
          <w:b/>
          <w:bCs/>
          <w:color w:val="000000"/>
        </w:rPr>
        <w:t>redacted</w:t>
      </w:r>
      <w:r>
        <w:t>.</w:t>
      </w:r>
    </w:p>
    <w:p w14:paraId="722D84A3" w14:textId="77777777" w:rsidR="00A575D0" w:rsidRDefault="00A575D0" w:rsidP="00A575D0">
      <w:r>
        <w:t xml:space="preserve">MSAC noted that if </w:t>
      </w:r>
      <w:r w:rsidR="00CA2D01">
        <w:t>all the above</w:t>
      </w:r>
      <w:r>
        <w:t xml:space="preserve"> conditions for </w:t>
      </w:r>
      <w:r w:rsidR="00CA2D01">
        <w:t xml:space="preserve">support </w:t>
      </w:r>
      <w:r>
        <w:t>were not agreed to by the Department and the applicant, MSAC would need to reconsider the application at a future meeting.</w:t>
      </w:r>
    </w:p>
    <w:p w14:paraId="426493FF" w14:textId="3D1BCF24" w:rsidR="00A575D0" w:rsidRDefault="00A575D0" w:rsidP="00DE7DEF">
      <w:pPr>
        <w:spacing w:before="240"/>
      </w:pPr>
      <w:r>
        <w:t xml:space="preserve">MSAC noted that other CAR-T therapies required </w:t>
      </w:r>
      <w:r w:rsidR="007A2620">
        <w:t xml:space="preserve">initial </w:t>
      </w:r>
      <w:r>
        <w:t xml:space="preserve">review at 1 year; however, MSAC </w:t>
      </w:r>
      <w:r w:rsidR="00CA2D01">
        <w:t xml:space="preserve">noted that from past experience with other CAR-T therapies to date a </w:t>
      </w:r>
      <w:proofErr w:type="gramStart"/>
      <w:r w:rsidR="00CA2D01">
        <w:t>1 year</w:t>
      </w:r>
      <w:proofErr w:type="gramEnd"/>
      <w:r w:rsidR="00CA2D01">
        <w:t xml:space="preserve"> review was not sufficient </w:t>
      </w:r>
      <w:r>
        <w:t>time to collect meaningful data</w:t>
      </w:r>
      <w:r w:rsidR="00CA2D01">
        <w:t xml:space="preserve"> given lower utilisation than expected</w:t>
      </w:r>
      <w:r>
        <w:t>.</w:t>
      </w:r>
      <w:r w:rsidR="004533AF">
        <w:t xml:space="preserve"> </w:t>
      </w:r>
      <w:r>
        <w:t xml:space="preserve">The </w:t>
      </w:r>
      <w:r w:rsidR="00CA2D01">
        <w:t xml:space="preserve">States and Territories </w:t>
      </w:r>
      <w:r>
        <w:t xml:space="preserve">noted no obvious reasons for the slower-than-expected uptake; they reported that capacity was not an issue, but that COVID-19 may have slowed uptake. Therefore, MSAC recommended </w:t>
      </w:r>
      <w:r w:rsidR="001552A8">
        <w:t xml:space="preserve">conducting </w:t>
      </w:r>
      <w:r w:rsidR="00662D45">
        <w:t>a full review at</w:t>
      </w:r>
      <w:r>
        <w:t xml:space="preserve"> 3 years, to allow enough time for meaningful data to be collected and analysed.</w:t>
      </w:r>
    </w:p>
    <w:p w14:paraId="2078EA43" w14:textId="5AF5CECC" w:rsidR="00A575D0" w:rsidRDefault="00AD6C4A" w:rsidP="00DE7DEF">
      <w:pPr>
        <w:spacing w:before="240"/>
      </w:pPr>
      <w:r>
        <w:rPr>
          <w:b/>
          <w:bCs/>
          <w:color w:val="000000"/>
        </w:rPr>
        <w:t>R</w:t>
      </w:r>
      <w:r w:rsidRPr="00CF0B22">
        <w:rPr>
          <w:b/>
          <w:bCs/>
          <w:color w:val="000000"/>
        </w:rPr>
        <w:t>edacted</w:t>
      </w:r>
      <w:r w:rsidR="00A575D0">
        <w:t>. State</w:t>
      </w:r>
      <w:r w:rsidR="00662D45">
        <w:t xml:space="preserve"> and Territory</w:t>
      </w:r>
      <w:r w:rsidR="00A575D0">
        <w:t xml:space="preserve"> representatives noted that the evidence presented did not fulfil their normal benchmark for funding a therapy. However, MSAC noted that, due to the rarity of R/R MCL, it was not likely </w:t>
      </w:r>
      <w:r w:rsidR="007A2620">
        <w:t>that better data would be obtained</w:t>
      </w:r>
      <w:r w:rsidR="00A575D0">
        <w:t xml:space="preserve"> in the future for this population, and considered the </w:t>
      </w:r>
      <w:r w:rsidR="007A2620">
        <w:t>approach taken here to be in line with that considered reasonable</w:t>
      </w:r>
      <w:r w:rsidR="00A575D0">
        <w:t xml:space="preserve"> for rare conditions</w:t>
      </w:r>
      <w:r w:rsidR="00662D45">
        <w:t xml:space="preserve"> and consistent with the level of data previously accepted for DLBCL</w:t>
      </w:r>
      <w:r w:rsidR="00A575D0">
        <w:t>.</w:t>
      </w:r>
    </w:p>
    <w:p w14:paraId="2C98E1D0" w14:textId="77777777" w:rsidR="00761C4D" w:rsidRPr="00296913" w:rsidRDefault="00761C4D" w:rsidP="00DE7DEF">
      <w:pPr>
        <w:keepNext/>
        <w:spacing w:before="240" w:after="120"/>
      </w:pPr>
      <w:r w:rsidRPr="00296913">
        <w:t>MSAC considered that</w:t>
      </w:r>
      <w:r>
        <w:t xml:space="preserve"> </w:t>
      </w:r>
      <w:r w:rsidRPr="00296913">
        <w:t>data on the use of</w:t>
      </w:r>
      <w:r>
        <w:t xml:space="preserve"> </w:t>
      </w:r>
      <w:proofErr w:type="spellStart"/>
      <w:r>
        <w:t>brexu-cel</w:t>
      </w:r>
      <w:proofErr w:type="spellEnd"/>
      <w:r w:rsidRPr="00296913">
        <w:t xml:space="preserve"> for </w:t>
      </w:r>
      <w:r>
        <w:t>mantle cell lymphoma</w:t>
      </w:r>
      <w:r w:rsidRPr="00296913">
        <w:t xml:space="preserve"> in Australia should be recorded by the </w:t>
      </w:r>
      <w:r w:rsidR="00F930C0">
        <w:t>Australasian</w:t>
      </w:r>
      <w:r w:rsidR="00F930C0" w:rsidRPr="00296913">
        <w:t xml:space="preserve"> </w:t>
      </w:r>
      <w:r w:rsidRPr="00296913">
        <w:t>Bone Marrow Transplant Recipient Registry, with the cost of data collection met by the applicant. This would ensure a single Australia</w:t>
      </w:r>
      <w:r w:rsidR="00F930C0">
        <w:t>n</w:t>
      </w:r>
      <w:r w:rsidRPr="00296913">
        <w:t xml:space="preserve"> source of data for all CAR-T therapies in all indications and from all treatment centres. The data collected in the registry should align with international data collections to ensure comparability and access and thus contribute to global knowledge. The registry should include the following minimum data:</w:t>
      </w:r>
    </w:p>
    <w:p w14:paraId="001BC2EE" w14:textId="77777777" w:rsidR="00761C4D" w:rsidRPr="00296913" w:rsidRDefault="00761C4D" w:rsidP="00761C4D">
      <w:pPr>
        <w:pStyle w:val="ListParagraph"/>
        <w:keepNext/>
        <w:widowControl w:val="0"/>
        <w:numPr>
          <w:ilvl w:val="0"/>
          <w:numId w:val="29"/>
        </w:numPr>
        <w:ind w:left="1077" w:hanging="357"/>
        <w:contextualSpacing w:val="0"/>
      </w:pPr>
      <w:r w:rsidRPr="00296913">
        <w:t xml:space="preserve">the date of first referral, postcode of patient and referring </w:t>
      </w:r>
      <w:proofErr w:type="gramStart"/>
      <w:r w:rsidRPr="00296913">
        <w:t>physician;</w:t>
      </w:r>
      <w:proofErr w:type="gramEnd"/>
    </w:p>
    <w:p w14:paraId="4411DA2F" w14:textId="77777777" w:rsidR="00761C4D" w:rsidRPr="00296913" w:rsidRDefault="00761C4D" w:rsidP="00761C4D">
      <w:pPr>
        <w:pStyle w:val="ListParagraph"/>
        <w:keepNext/>
        <w:widowControl w:val="0"/>
        <w:numPr>
          <w:ilvl w:val="0"/>
          <w:numId w:val="29"/>
        </w:numPr>
        <w:ind w:left="1077" w:hanging="357"/>
        <w:contextualSpacing w:val="0"/>
      </w:pPr>
      <w:r w:rsidRPr="00296913">
        <w:t xml:space="preserve">date of apheresis and infusion for treated </w:t>
      </w:r>
      <w:proofErr w:type="gramStart"/>
      <w:r w:rsidRPr="00296913">
        <w:t>patients;</w:t>
      </w:r>
      <w:proofErr w:type="gramEnd"/>
    </w:p>
    <w:p w14:paraId="7BEC1FFA" w14:textId="77777777" w:rsidR="00761C4D" w:rsidRPr="00296913" w:rsidRDefault="00761C4D" w:rsidP="00761C4D">
      <w:pPr>
        <w:pStyle w:val="ListParagraph"/>
        <w:keepNext/>
        <w:widowControl w:val="0"/>
        <w:numPr>
          <w:ilvl w:val="0"/>
          <w:numId w:val="29"/>
        </w:numPr>
        <w:ind w:left="1077" w:hanging="357"/>
        <w:contextualSpacing w:val="0"/>
      </w:pPr>
      <w:r w:rsidRPr="00296913">
        <w:t xml:space="preserve">number of patients referred but not accepted, for treatment with CAR-T cell </w:t>
      </w:r>
      <w:r w:rsidRPr="00296913">
        <w:lastRenderedPageBreak/>
        <w:t xml:space="preserve">therapy, including the </w:t>
      </w:r>
      <w:proofErr w:type="gramStart"/>
      <w:r w:rsidRPr="00296913">
        <w:t>reason;</w:t>
      </w:r>
      <w:proofErr w:type="gramEnd"/>
    </w:p>
    <w:p w14:paraId="2C93BF6B" w14:textId="77777777" w:rsidR="00761C4D" w:rsidRPr="00296913" w:rsidRDefault="00761C4D" w:rsidP="00761C4D">
      <w:pPr>
        <w:pStyle w:val="ListParagraph"/>
        <w:numPr>
          <w:ilvl w:val="0"/>
          <w:numId w:val="29"/>
        </w:numPr>
        <w:tabs>
          <w:tab w:val="num" w:pos="360"/>
        </w:tabs>
        <w:ind w:left="1077" w:hanging="357"/>
        <w:contextualSpacing w:val="0"/>
      </w:pPr>
      <w:r w:rsidRPr="00296913">
        <w:t xml:space="preserve">patient-reported </w:t>
      </w:r>
      <w:proofErr w:type="gramStart"/>
      <w:r w:rsidRPr="00296913">
        <w:t>outcomes;</w:t>
      </w:r>
      <w:proofErr w:type="gramEnd"/>
    </w:p>
    <w:p w14:paraId="3B23409E" w14:textId="77777777" w:rsidR="00761C4D" w:rsidRPr="00296913" w:rsidRDefault="00761C4D" w:rsidP="00761C4D">
      <w:pPr>
        <w:pStyle w:val="ListParagraph"/>
        <w:numPr>
          <w:ilvl w:val="0"/>
          <w:numId w:val="29"/>
        </w:numPr>
        <w:tabs>
          <w:tab w:val="num" w:pos="360"/>
        </w:tabs>
        <w:ind w:left="1077" w:hanging="357"/>
        <w:contextualSpacing w:val="0"/>
      </w:pPr>
      <w:r w:rsidRPr="00296913">
        <w:t>lymphoma-free survival (complete and partial response</w:t>
      </w:r>
      <w:proofErr w:type="gramStart"/>
      <w:r w:rsidRPr="00296913">
        <w:t>);</w:t>
      </w:r>
      <w:proofErr w:type="gramEnd"/>
    </w:p>
    <w:p w14:paraId="5272B195" w14:textId="77777777" w:rsidR="00761C4D" w:rsidRPr="00296913" w:rsidRDefault="00761C4D" w:rsidP="00761C4D">
      <w:pPr>
        <w:pStyle w:val="ListParagraph"/>
        <w:numPr>
          <w:ilvl w:val="0"/>
          <w:numId w:val="29"/>
        </w:numPr>
        <w:tabs>
          <w:tab w:val="num" w:pos="360"/>
        </w:tabs>
        <w:ind w:left="1077" w:hanging="357"/>
        <w:contextualSpacing w:val="0"/>
      </w:pPr>
      <w:r w:rsidRPr="00296913">
        <w:t xml:space="preserve">complications, use of </w:t>
      </w:r>
      <w:proofErr w:type="gramStart"/>
      <w:r w:rsidRPr="00296913">
        <w:t>high cost</w:t>
      </w:r>
      <w:proofErr w:type="gramEnd"/>
      <w:r w:rsidRPr="00296913">
        <w:t xml:space="preserve"> medicines, late-onset adverse events and adverse events requiring hospitalisation and adverse events including those requiring ICU admission;</w:t>
      </w:r>
    </w:p>
    <w:p w14:paraId="15138636" w14:textId="77777777" w:rsidR="00761C4D" w:rsidRPr="00296913" w:rsidRDefault="00761C4D" w:rsidP="00761C4D">
      <w:pPr>
        <w:pStyle w:val="ListParagraph"/>
        <w:numPr>
          <w:ilvl w:val="0"/>
          <w:numId w:val="29"/>
        </w:numPr>
        <w:tabs>
          <w:tab w:val="num" w:pos="360"/>
        </w:tabs>
        <w:ind w:left="1077" w:hanging="357"/>
        <w:contextualSpacing w:val="0"/>
      </w:pPr>
      <w:r w:rsidRPr="00296913">
        <w:t xml:space="preserve">use and duration of </w:t>
      </w:r>
      <w:proofErr w:type="gramStart"/>
      <w:r w:rsidRPr="00296913">
        <w:t>immunoglobulin;</w:t>
      </w:r>
      <w:proofErr w:type="gramEnd"/>
      <w:r w:rsidRPr="00296913">
        <w:t xml:space="preserve"> </w:t>
      </w:r>
    </w:p>
    <w:p w14:paraId="29107A5E" w14:textId="77777777" w:rsidR="00761C4D" w:rsidRPr="00296913" w:rsidRDefault="00761C4D" w:rsidP="00761C4D">
      <w:pPr>
        <w:pStyle w:val="ListParagraph"/>
        <w:numPr>
          <w:ilvl w:val="0"/>
          <w:numId w:val="29"/>
        </w:numPr>
        <w:tabs>
          <w:tab w:val="num" w:pos="360"/>
        </w:tabs>
        <w:ind w:left="1077" w:hanging="357"/>
        <w:contextualSpacing w:val="0"/>
      </w:pPr>
      <w:r w:rsidRPr="00296913">
        <w:t>rate of reinfusion with any CAR-T therapy (noting the cost of reinfusion of such therapy will not be funded under the proposed arrangement</w:t>
      </w:r>
      <w:proofErr w:type="gramStart"/>
      <w:r w:rsidRPr="00296913">
        <w:t>);</w:t>
      </w:r>
      <w:proofErr w:type="gramEnd"/>
    </w:p>
    <w:p w14:paraId="78333D30" w14:textId="77777777" w:rsidR="00761C4D" w:rsidRPr="00296913" w:rsidRDefault="00761C4D" w:rsidP="00761C4D">
      <w:pPr>
        <w:pStyle w:val="ListParagraph"/>
        <w:numPr>
          <w:ilvl w:val="0"/>
          <w:numId w:val="29"/>
        </w:numPr>
        <w:tabs>
          <w:tab w:val="num" w:pos="360"/>
        </w:tabs>
        <w:ind w:left="1077" w:hanging="357"/>
        <w:contextualSpacing w:val="0"/>
      </w:pPr>
      <w:r w:rsidRPr="00296913">
        <w:t>indication for use of CAR-T – for example bridge to stem cell transplant, following transplant; and</w:t>
      </w:r>
    </w:p>
    <w:p w14:paraId="60BF60DB" w14:textId="77777777" w:rsidR="00761C4D" w:rsidRDefault="00761C4D" w:rsidP="00F930C0">
      <w:pPr>
        <w:pStyle w:val="ListParagraph"/>
        <w:numPr>
          <w:ilvl w:val="0"/>
          <w:numId w:val="29"/>
        </w:numPr>
        <w:tabs>
          <w:tab w:val="num" w:pos="360"/>
        </w:tabs>
        <w:ind w:left="1077" w:hanging="357"/>
        <w:contextualSpacing w:val="0"/>
      </w:pPr>
      <w:r w:rsidRPr="00296913">
        <w:t xml:space="preserve">results for patients infused with non-optimal cell numbers (noting that for the purposes of subsidy, this is considered an unsuccessful infusion). </w:t>
      </w:r>
    </w:p>
    <w:p w14:paraId="2733E04F" w14:textId="3AC33325" w:rsidR="00A575D0" w:rsidRPr="005B55FF" w:rsidRDefault="00A575D0" w:rsidP="00DE7DEF">
      <w:pPr>
        <w:spacing w:before="240"/>
        <w:rPr>
          <w:i/>
        </w:rPr>
      </w:pPr>
      <w:r>
        <w:t>MSAC noted that previous data-sharing agreements for other CAR-T therapies did not</w:t>
      </w:r>
      <w:r w:rsidR="00662D45">
        <w:t xml:space="preserve"> explicitly</w:t>
      </w:r>
      <w:r>
        <w:t xml:space="preserve"> include data sharing with the </w:t>
      </w:r>
      <w:r w:rsidR="00662D45">
        <w:t>S</w:t>
      </w:r>
      <w:r>
        <w:t>tates</w:t>
      </w:r>
      <w:r w:rsidR="00662D45">
        <w:t xml:space="preserve"> and Territories</w:t>
      </w:r>
      <w:r>
        <w:t>; MSAC considered it crucial that</w:t>
      </w:r>
      <w:r w:rsidR="00662D45">
        <w:t xml:space="preserve"> future data collection be shared with States and Territories</w:t>
      </w:r>
      <w:r>
        <w:t>.</w:t>
      </w:r>
      <w:r w:rsidR="002C3536">
        <w:rPr>
          <w:i/>
          <w:iCs/>
        </w:rPr>
        <w:t xml:space="preserve"> </w:t>
      </w:r>
    </w:p>
    <w:p w14:paraId="3AF4AECE" w14:textId="4E94FB7A" w:rsidR="001A5C68" w:rsidRDefault="00B61D57" w:rsidP="005B55FF">
      <w:pPr>
        <w:spacing w:before="240"/>
      </w:pPr>
      <w:r>
        <w:t xml:space="preserve">MSAC considered details of patient eligibility as proposed in the </w:t>
      </w:r>
      <w:r w:rsidR="00DE7DEF">
        <w:t>p</w:t>
      </w:r>
      <w:r>
        <w:t>re-MSAC response to be acceptable.</w:t>
      </w:r>
      <w:r w:rsidR="001A5C68">
        <w:t xml:space="preserve"> These criteria are as follows:</w:t>
      </w:r>
    </w:p>
    <w:p w14:paraId="57E2F4E5" w14:textId="77777777" w:rsidR="001A5C68" w:rsidRPr="00DE7DEF" w:rsidRDefault="001A5C68" w:rsidP="00DE7DEF">
      <w:pPr>
        <w:spacing w:before="480"/>
        <w:rPr>
          <w:rFonts w:ascii="Arial Narrow" w:hAnsi="Arial Narrow"/>
          <w:b/>
          <w:bCs/>
          <w:sz w:val="20"/>
        </w:rPr>
      </w:pPr>
      <w:r w:rsidRPr="00DE7DEF">
        <w:rPr>
          <w:rFonts w:ascii="Arial Narrow" w:hAnsi="Arial Narrow"/>
          <w:b/>
          <w:bCs/>
          <w:sz w:val="20"/>
        </w:rPr>
        <w:t>Eligibility criteria for brexucabtagene autoleucel in R/R mantle cell lymphoma:</w:t>
      </w:r>
    </w:p>
    <w:tbl>
      <w:tblPr>
        <w:tblStyle w:val="TableGrid"/>
        <w:tblW w:w="0" w:type="auto"/>
        <w:tblLook w:val="04A0" w:firstRow="1" w:lastRow="0" w:firstColumn="1" w:lastColumn="0" w:noHBand="0" w:noVBand="1"/>
        <w:tblDescription w:val="Eligibility criteria for brexucabtagene autoleucel in R/R mantle cell lymphoma"/>
      </w:tblPr>
      <w:tblGrid>
        <w:gridCol w:w="1271"/>
        <w:gridCol w:w="7745"/>
      </w:tblGrid>
      <w:tr w:rsidR="001A5C68" w:rsidRPr="00DE7DEF" w14:paraId="0177A867" w14:textId="77777777" w:rsidTr="001A5C68">
        <w:tc>
          <w:tcPr>
            <w:tcW w:w="1271" w:type="dxa"/>
          </w:tcPr>
          <w:p w14:paraId="38D9C9C9" w14:textId="77777777" w:rsidR="001A5C68" w:rsidRPr="00DE7DEF" w:rsidRDefault="001A5C68" w:rsidP="00A575D0">
            <w:pPr>
              <w:rPr>
                <w:rFonts w:ascii="Arial Narrow" w:hAnsi="Arial Narrow"/>
                <w:sz w:val="20"/>
              </w:rPr>
            </w:pPr>
            <w:r w:rsidRPr="00DE7DEF">
              <w:rPr>
                <w:rFonts w:ascii="Arial Narrow" w:hAnsi="Arial Narrow"/>
                <w:sz w:val="20"/>
              </w:rPr>
              <w:t>Indication:</w:t>
            </w:r>
          </w:p>
        </w:tc>
        <w:tc>
          <w:tcPr>
            <w:tcW w:w="7745" w:type="dxa"/>
          </w:tcPr>
          <w:p w14:paraId="161F00A2" w14:textId="77777777" w:rsidR="001A5C68" w:rsidRPr="00DE7DEF" w:rsidRDefault="001A5C68" w:rsidP="00A575D0">
            <w:pPr>
              <w:rPr>
                <w:rFonts w:ascii="Arial Narrow" w:hAnsi="Arial Narrow"/>
                <w:sz w:val="20"/>
              </w:rPr>
            </w:pPr>
            <w:r w:rsidRPr="00DE7DEF">
              <w:rPr>
                <w:rFonts w:ascii="Arial Narrow" w:hAnsi="Arial Narrow"/>
                <w:sz w:val="20"/>
              </w:rPr>
              <w:t>Patients with relapsed or refractory CD19-positive mantle cell lymphoma (MCL) who have received at least two lines of therapy, including:</w:t>
            </w:r>
          </w:p>
          <w:p w14:paraId="3E680DCF" w14:textId="77777777" w:rsidR="001A5C68" w:rsidRPr="00DE7DEF" w:rsidRDefault="001A5C68" w:rsidP="001A5C68">
            <w:pPr>
              <w:pStyle w:val="ListParagraph"/>
              <w:numPr>
                <w:ilvl w:val="0"/>
                <w:numId w:val="31"/>
              </w:numPr>
              <w:rPr>
                <w:rFonts w:ascii="Arial Narrow" w:hAnsi="Arial Narrow"/>
                <w:sz w:val="20"/>
              </w:rPr>
            </w:pPr>
            <w:r w:rsidRPr="00DE7DEF">
              <w:rPr>
                <w:rFonts w:ascii="Arial Narrow" w:hAnsi="Arial Narrow"/>
                <w:sz w:val="20"/>
              </w:rPr>
              <w:t xml:space="preserve">an anthracycline- or </w:t>
            </w:r>
            <w:proofErr w:type="spellStart"/>
            <w:r w:rsidRPr="00DE7DEF">
              <w:rPr>
                <w:rFonts w:ascii="Arial Narrow" w:hAnsi="Arial Narrow"/>
                <w:sz w:val="20"/>
              </w:rPr>
              <w:t>bendamustine</w:t>
            </w:r>
            <w:proofErr w:type="spellEnd"/>
            <w:r w:rsidRPr="00DE7DEF">
              <w:rPr>
                <w:rFonts w:ascii="Arial Narrow" w:hAnsi="Arial Narrow"/>
                <w:sz w:val="20"/>
              </w:rPr>
              <w:t>- or cytarabine-based chemoimmunotherapy regimen that includes an anti-CD20 monoclonal antibody therapy; AND</w:t>
            </w:r>
          </w:p>
          <w:p w14:paraId="38E69890" w14:textId="77777777" w:rsidR="001A5C68" w:rsidRPr="00DE7DEF" w:rsidRDefault="001A5C68" w:rsidP="005B55FF">
            <w:pPr>
              <w:pStyle w:val="ListParagraph"/>
              <w:numPr>
                <w:ilvl w:val="0"/>
                <w:numId w:val="31"/>
              </w:numPr>
              <w:spacing w:after="240"/>
              <w:rPr>
                <w:rFonts w:ascii="Arial Narrow" w:hAnsi="Arial Narrow"/>
                <w:sz w:val="20"/>
              </w:rPr>
            </w:pPr>
            <w:r w:rsidRPr="00DE7DEF">
              <w:rPr>
                <w:rFonts w:ascii="Arial Narrow" w:hAnsi="Arial Narrow"/>
                <w:sz w:val="20"/>
              </w:rPr>
              <w:t>a BTK inhibitor, unless the patient is considered unsuitable for treatment with a BTK inhibitor based on predicted intolerance.</w:t>
            </w:r>
          </w:p>
        </w:tc>
      </w:tr>
      <w:tr w:rsidR="001A5C68" w:rsidRPr="00DE7DEF" w14:paraId="255AEF6D" w14:textId="77777777" w:rsidTr="001A5C68">
        <w:tc>
          <w:tcPr>
            <w:tcW w:w="1271" w:type="dxa"/>
          </w:tcPr>
          <w:p w14:paraId="668433F5" w14:textId="77777777" w:rsidR="001A5C68" w:rsidRPr="00DE7DEF" w:rsidRDefault="001A5C68" w:rsidP="00A575D0">
            <w:pPr>
              <w:rPr>
                <w:rFonts w:ascii="Arial Narrow" w:hAnsi="Arial Narrow"/>
                <w:sz w:val="20"/>
              </w:rPr>
            </w:pPr>
            <w:r w:rsidRPr="00DE7DEF">
              <w:rPr>
                <w:rFonts w:ascii="Arial Narrow" w:hAnsi="Arial Narrow"/>
                <w:sz w:val="20"/>
              </w:rPr>
              <w:t>Treatment criteria:</w:t>
            </w:r>
          </w:p>
        </w:tc>
        <w:tc>
          <w:tcPr>
            <w:tcW w:w="7745" w:type="dxa"/>
          </w:tcPr>
          <w:p w14:paraId="78CA3536" w14:textId="77777777" w:rsidR="00C729D6" w:rsidRPr="00DE7DEF" w:rsidRDefault="001A5C68" w:rsidP="00A575D0">
            <w:pPr>
              <w:rPr>
                <w:rFonts w:ascii="Arial Narrow" w:hAnsi="Arial Narrow"/>
                <w:sz w:val="20"/>
              </w:rPr>
            </w:pPr>
            <w:r w:rsidRPr="00DE7DEF">
              <w:rPr>
                <w:rFonts w:ascii="Arial Narrow" w:hAnsi="Arial Narrow"/>
                <w:sz w:val="20"/>
              </w:rPr>
              <w:t xml:space="preserve">Patient must be treated in a tertiary public hospital with appropriate </w:t>
            </w:r>
            <w:proofErr w:type="gramStart"/>
            <w:r w:rsidRPr="00DE7DEF">
              <w:rPr>
                <w:rFonts w:ascii="Arial Narrow" w:hAnsi="Arial Narrow"/>
                <w:sz w:val="20"/>
              </w:rPr>
              <w:t>credentials</w:t>
            </w:r>
            <w:proofErr w:type="gramEnd"/>
          </w:p>
          <w:p w14:paraId="006863EA" w14:textId="77777777" w:rsidR="001A5C68" w:rsidRPr="00DE7DEF" w:rsidRDefault="001A5C68" w:rsidP="00A575D0">
            <w:pPr>
              <w:rPr>
                <w:rFonts w:ascii="Arial Narrow" w:hAnsi="Arial Narrow"/>
                <w:sz w:val="20"/>
              </w:rPr>
            </w:pPr>
            <w:r w:rsidRPr="00DE7DEF">
              <w:rPr>
                <w:rFonts w:ascii="Arial Narrow" w:hAnsi="Arial Narrow"/>
                <w:sz w:val="20"/>
              </w:rPr>
              <w:t>AND</w:t>
            </w:r>
          </w:p>
          <w:p w14:paraId="3FCDAEE5" w14:textId="77777777" w:rsidR="001A5C68" w:rsidRPr="00DE7DEF" w:rsidRDefault="001A5C68" w:rsidP="00A575D0">
            <w:pPr>
              <w:rPr>
                <w:rFonts w:ascii="Arial Narrow" w:hAnsi="Arial Narrow"/>
                <w:sz w:val="20"/>
              </w:rPr>
            </w:pPr>
            <w:r w:rsidRPr="00DE7DEF">
              <w:rPr>
                <w:rFonts w:ascii="Arial Narrow" w:hAnsi="Arial Narrow"/>
                <w:sz w:val="20"/>
              </w:rPr>
              <w:t xml:space="preserve">Patient must be treated by a haematologist working in a multi-disciplinary team specialising in the provision of CAR-T cell </w:t>
            </w:r>
            <w:proofErr w:type="gramStart"/>
            <w:r w:rsidRPr="00DE7DEF">
              <w:rPr>
                <w:rFonts w:ascii="Arial Narrow" w:hAnsi="Arial Narrow"/>
                <w:sz w:val="20"/>
              </w:rPr>
              <w:t>therapy</w:t>
            </w:r>
            <w:proofErr w:type="gramEnd"/>
          </w:p>
          <w:p w14:paraId="50BB6B72" w14:textId="77777777" w:rsidR="001A5C68" w:rsidRPr="00DE7DEF" w:rsidRDefault="001A5C68" w:rsidP="00A575D0">
            <w:pPr>
              <w:rPr>
                <w:rFonts w:ascii="Arial Narrow" w:hAnsi="Arial Narrow"/>
                <w:sz w:val="20"/>
              </w:rPr>
            </w:pPr>
            <w:r w:rsidRPr="00DE7DEF">
              <w:rPr>
                <w:rFonts w:ascii="Arial Narrow" w:hAnsi="Arial Narrow"/>
                <w:sz w:val="20"/>
              </w:rPr>
              <w:t>AND</w:t>
            </w:r>
          </w:p>
          <w:p w14:paraId="4115DDFD" w14:textId="77777777" w:rsidR="001A5C68" w:rsidRPr="00DE7DEF" w:rsidRDefault="001A5C68" w:rsidP="00A575D0">
            <w:pPr>
              <w:rPr>
                <w:rFonts w:ascii="Arial Narrow" w:hAnsi="Arial Narrow"/>
                <w:sz w:val="20"/>
              </w:rPr>
            </w:pPr>
            <w:r w:rsidRPr="00DE7DEF">
              <w:rPr>
                <w:rFonts w:ascii="Arial Narrow" w:hAnsi="Arial Narrow"/>
                <w:sz w:val="20"/>
              </w:rPr>
              <w:t xml:space="preserve">Patient must not have uncontrolled infection, including uncontrolled HIV or active hepatitis B or C </w:t>
            </w:r>
            <w:proofErr w:type="gramStart"/>
            <w:r w:rsidRPr="00DE7DEF">
              <w:rPr>
                <w:rFonts w:ascii="Arial Narrow" w:hAnsi="Arial Narrow"/>
                <w:sz w:val="20"/>
              </w:rPr>
              <w:t>infection</w:t>
            </w:r>
            <w:proofErr w:type="gramEnd"/>
          </w:p>
          <w:p w14:paraId="7EF20A20" w14:textId="77777777" w:rsidR="001A5C68" w:rsidRPr="00DE7DEF" w:rsidRDefault="001A5C68" w:rsidP="00A575D0">
            <w:pPr>
              <w:rPr>
                <w:rFonts w:ascii="Arial Narrow" w:hAnsi="Arial Narrow"/>
                <w:sz w:val="20"/>
              </w:rPr>
            </w:pPr>
            <w:r w:rsidRPr="00DE7DEF">
              <w:rPr>
                <w:rFonts w:ascii="Arial Narrow" w:hAnsi="Arial Narrow"/>
                <w:sz w:val="20"/>
              </w:rPr>
              <w:t>AND</w:t>
            </w:r>
          </w:p>
          <w:p w14:paraId="267B57F3" w14:textId="77777777" w:rsidR="001A5C68" w:rsidRPr="00DE7DEF" w:rsidRDefault="001A5C68" w:rsidP="00A575D0">
            <w:pPr>
              <w:rPr>
                <w:rFonts w:ascii="Arial Narrow" w:hAnsi="Arial Narrow"/>
                <w:sz w:val="20"/>
              </w:rPr>
            </w:pPr>
            <w:r w:rsidRPr="00DE7DEF">
              <w:rPr>
                <w:rFonts w:ascii="Arial Narrow" w:hAnsi="Arial Narrow"/>
                <w:sz w:val="20"/>
              </w:rPr>
              <w:t xml:space="preserve">Patient must not have primary CNS </w:t>
            </w:r>
            <w:proofErr w:type="gramStart"/>
            <w:r w:rsidRPr="00DE7DEF">
              <w:rPr>
                <w:rFonts w:ascii="Arial Narrow" w:hAnsi="Arial Narrow"/>
                <w:sz w:val="20"/>
              </w:rPr>
              <w:t>lymphoma</w:t>
            </w:r>
            <w:proofErr w:type="gramEnd"/>
          </w:p>
          <w:p w14:paraId="64E9D586" w14:textId="77777777" w:rsidR="001A5C68" w:rsidRPr="00DE7DEF" w:rsidRDefault="001A5C68" w:rsidP="00A575D0">
            <w:pPr>
              <w:rPr>
                <w:rFonts w:ascii="Arial Narrow" w:hAnsi="Arial Narrow"/>
                <w:sz w:val="20"/>
              </w:rPr>
            </w:pPr>
            <w:r w:rsidRPr="00DE7DEF">
              <w:rPr>
                <w:rFonts w:ascii="Arial Narrow" w:hAnsi="Arial Narrow"/>
                <w:sz w:val="20"/>
              </w:rPr>
              <w:t>AND</w:t>
            </w:r>
          </w:p>
          <w:p w14:paraId="79B1641F" w14:textId="1D8A3691" w:rsidR="001A5C68" w:rsidRPr="00DE7DEF" w:rsidRDefault="001A5C68" w:rsidP="00613578">
            <w:pPr>
              <w:rPr>
                <w:rFonts w:ascii="Arial Narrow" w:hAnsi="Arial Narrow"/>
                <w:sz w:val="20"/>
              </w:rPr>
            </w:pPr>
            <w:r w:rsidRPr="00DE7DEF">
              <w:rPr>
                <w:rFonts w:ascii="Arial Narrow" w:hAnsi="Arial Narrow"/>
                <w:sz w:val="20"/>
              </w:rPr>
              <w:t>Patient must not have uncontrolled secondary CNS disease, or secondary CNS disease anticipated to be uncontrolled at the time of infusion of brexucabtagene autoleuce</w:t>
            </w:r>
            <w:r w:rsidR="00D5146F">
              <w:rPr>
                <w:rFonts w:ascii="Arial Narrow" w:hAnsi="Arial Narrow"/>
                <w:sz w:val="20"/>
              </w:rPr>
              <w:t>l</w:t>
            </w:r>
          </w:p>
        </w:tc>
      </w:tr>
      <w:tr w:rsidR="001A5C68" w:rsidRPr="00DE7DEF" w14:paraId="5868870A" w14:textId="77777777" w:rsidTr="001A5C68">
        <w:tc>
          <w:tcPr>
            <w:tcW w:w="1271" w:type="dxa"/>
          </w:tcPr>
          <w:p w14:paraId="2C9FED4F" w14:textId="77777777" w:rsidR="001A5C68" w:rsidRPr="00DE7DEF" w:rsidRDefault="001A5C68" w:rsidP="00A575D0">
            <w:pPr>
              <w:rPr>
                <w:rFonts w:ascii="Arial Narrow" w:hAnsi="Arial Narrow"/>
                <w:sz w:val="20"/>
              </w:rPr>
            </w:pPr>
            <w:r w:rsidRPr="00DE7DEF">
              <w:rPr>
                <w:rFonts w:ascii="Arial Narrow" w:hAnsi="Arial Narrow"/>
                <w:sz w:val="20"/>
              </w:rPr>
              <w:t>Clinical criteria:</w:t>
            </w:r>
          </w:p>
        </w:tc>
        <w:tc>
          <w:tcPr>
            <w:tcW w:w="7745" w:type="dxa"/>
          </w:tcPr>
          <w:p w14:paraId="0E5FB8D5" w14:textId="77777777" w:rsidR="001A5C68" w:rsidRPr="00DE7DEF" w:rsidRDefault="001A5C68" w:rsidP="00A575D0">
            <w:pPr>
              <w:rPr>
                <w:rFonts w:ascii="Arial Narrow" w:hAnsi="Arial Narrow"/>
                <w:sz w:val="20"/>
              </w:rPr>
            </w:pPr>
            <w:r w:rsidRPr="00DE7DEF">
              <w:rPr>
                <w:rFonts w:ascii="Arial Narrow" w:hAnsi="Arial Narrow"/>
                <w:sz w:val="20"/>
              </w:rPr>
              <w:t xml:space="preserve">Patient must have a WHO performance status of 0 or </w:t>
            </w:r>
            <w:proofErr w:type="gramStart"/>
            <w:r w:rsidRPr="00DE7DEF">
              <w:rPr>
                <w:rFonts w:ascii="Arial Narrow" w:hAnsi="Arial Narrow"/>
                <w:sz w:val="20"/>
              </w:rPr>
              <w:t>1</w:t>
            </w:r>
            <w:proofErr w:type="gramEnd"/>
          </w:p>
          <w:p w14:paraId="094281A6" w14:textId="77777777" w:rsidR="001A5C68" w:rsidRPr="00DE7DEF" w:rsidRDefault="001A5C68" w:rsidP="00A575D0">
            <w:pPr>
              <w:rPr>
                <w:rFonts w:ascii="Arial Narrow" w:hAnsi="Arial Narrow"/>
                <w:sz w:val="20"/>
              </w:rPr>
            </w:pPr>
            <w:r w:rsidRPr="00DE7DEF">
              <w:rPr>
                <w:rFonts w:ascii="Arial Narrow" w:hAnsi="Arial Narrow"/>
                <w:sz w:val="20"/>
              </w:rPr>
              <w:t>AND</w:t>
            </w:r>
          </w:p>
          <w:p w14:paraId="57746E9B" w14:textId="77777777" w:rsidR="001A5C68" w:rsidRPr="00DE7DEF" w:rsidRDefault="001A5C68" w:rsidP="00A575D0">
            <w:pPr>
              <w:rPr>
                <w:rFonts w:ascii="Arial Narrow" w:hAnsi="Arial Narrow"/>
                <w:sz w:val="20"/>
              </w:rPr>
            </w:pPr>
            <w:r w:rsidRPr="00DE7DEF">
              <w:rPr>
                <w:rFonts w:ascii="Arial Narrow" w:hAnsi="Arial Narrow"/>
                <w:sz w:val="20"/>
              </w:rPr>
              <w:t>Patient must have sufficient organ function, including:</w:t>
            </w:r>
          </w:p>
          <w:p w14:paraId="28C41E15" w14:textId="77777777" w:rsidR="001A5C68" w:rsidRPr="00DE7DEF" w:rsidRDefault="001A5C68" w:rsidP="00A575D0">
            <w:pPr>
              <w:rPr>
                <w:rFonts w:ascii="Arial Narrow" w:hAnsi="Arial Narrow"/>
                <w:sz w:val="20"/>
              </w:rPr>
            </w:pPr>
            <w:r w:rsidRPr="00DE7DEF">
              <w:rPr>
                <w:rFonts w:ascii="Arial Narrow" w:hAnsi="Arial Narrow"/>
                <w:sz w:val="20"/>
              </w:rPr>
              <w:t>• Renal</w:t>
            </w:r>
            <w:r w:rsidR="00F95DD3" w:rsidRPr="00DE7DEF">
              <w:rPr>
                <w:rFonts w:ascii="Arial Narrow" w:hAnsi="Arial Narrow"/>
                <w:sz w:val="20"/>
              </w:rPr>
              <w:t xml:space="preserve"> and hepatic</w:t>
            </w:r>
            <w:r w:rsidRPr="00DE7DEF">
              <w:rPr>
                <w:rFonts w:ascii="Arial Narrow" w:hAnsi="Arial Narrow"/>
                <w:sz w:val="20"/>
              </w:rPr>
              <w:t xml:space="preserve"> function: Creatinine clearance &gt;40 mL/min</w:t>
            </w:r>
            <w:r w:rsidR="00F95DD3" w:rsidRPr="00DE7DEF">
              <w:rPr>
                <w:rFonts w:ascii="Arial Narrow" w:hAnsi="Arial Narrow"/>
                <w:sz w:val="20"/>
              </w:rPr>
              <w:t>;</w:t>
            </w:r>
            <w:r w:rsidRPr="00DE7DEF">
              <w:rPr>
                <w:rFonts w:ascii="Arial Narrow" w:hAnsi="Arial Narrow"/>
                <w:sz w:val="20"/>
              </w:rPr>
              <w:t xml:space="preserve"> serum ALT/AST </w:t>
            </w:r>
            <w:r w:rsidR="00F95DD3" w:rsidRPr="00DE7DEF">
              <w:rPr>
                <w:rFonts w:ascii="Arial Narrow" w:hAnsi="Arial Narrow"/>
                <w:sz w:val="20"/>
              </w:rPr>
              <w:t xml:space="preserve">&lt;5 x ULN; and total bilirubin </w:t>
            </w:r>
            <w:r w:rsidRPr="00DE7DEF">
              <w:rPr>
                <w:rFonts w:ascii="Arial Narrow" w:hAnsi="Arial Narrow"/>
                <w:sz w:val="20"/>
              </w:rPr>
              <w:t>&lt; 2 x ULN</w:t>
            </w:r>
          </w:p>
          <w:p w14:paraId="06C2C314" w14:textId="77777777" w:rsidR="001A5C68" w:rsidRPr="00DE7DEF" w:rsidRDefault="001A5C68" w:rsidP="00A575D0">
            <w:pPr>
              <w:rPr>
                <w:rFonts w:ascii="Arial Narrow" w:hAnsi="Arial Narrow"/>
                <w:sz w:val="20"/>
              </w:rPr>
            </w:pPr>
            <w:r w:rsidRPr="00DE7DEF">
              <w:rPr>
                <w:rFonts w:ascii="Arial Narrow" w:hAnsi="Arial Narrow"/>
                <w:sz w:val="20"/>
              </w:rPr>
              <w:t>• Cardiac function: absence of symptomatic heart failure (</w:t>
            </w:r>
            <w:proofErr w:type="gramStart"/>
            <w:r w:rsidRPr="00DE7DEF">
              <w:rPr>
                <w:rFonts w:ascii="Arial Narrow" w:hAnsi="Arial Narrow"/>
                <w:sz w:val="20"/>
              </w:rPr>
              <w:t>i.e.</w:t>
            </w:r>
            <w:proofErr w:type="gramEnd"/>
            <w:r w:rsidRPr="00DE7DEF">
              <w:rPr>
                <w:rFonts w:ascii="Arial Narrow" w:hAnsi="Arial Narrow"/>
                <w:sz w:val="20"/>
              </w:rPr>
              <w:t xml:space="preserve"> NYHA grade</w:t>
            </w:r>
            <w:r w:rsidR="00F95DD3" w:rsidRPr="00DE7DEF">
              <w:rPr>
                <w:rFonts w:ascii="Arial Narrow" w:hAnsi="Arial Narrow"/>
                <w:sz w:val="20"/>
              </w:rPr>
              <w:t xml:space="preserve"> &lt;2), cardiac left ventricular ejection fraction ≥50%, or supplementary functional tests and cardiology assessment demonstrating adequate cardiopulmonary reserve</w:t>
            </w:r>
          </w:p>
          <w:p w14:paraId="78C2999F" w14:textId="77777777" w:rsidR="001A5C68" w:rsidRPr="00DE7DEF" w:rsidRDefault="00F95DD3" w:rsidP="00A575D0">
            <w:pPr>
              <w:rPr>
                <w:rFonts w:ascii="Arial Narrow" w:hAnsi="Arial Narrow"/>
                <w:sz w:val="20"/>
              </w:rPr>
            </w:pPr>
            <w:r w:rsidRPr="00DE7DEF">
              <w:rPr>
                <w:rFonts w:ascii="Arial Narrow" w:hAnsi="Arial Narrow"/>
                <w:sz w:val="20"/>
              </w:rPr>
              <w:t>• Pulmonary function: baseline peripheral oxygen saturation &gt;</w:t>
            </w:r>
            <w:r w:rsidR="001A5C68" w:rsidRPr="00DE7DEF">
              <w:rPr>
                <w:rFonts w:ascii="Arial Narrow" w:hAnsi="Arial Narrow"/>
                <w:sz w:val="20"/>
              </w:rPr>
              <w:t>91% on room air, no clinically significant pleural effusion</w:t>
            </w:r>
          </w:p>
          <w:p w14:paraId="5C8C7447" w14:textId="77777777" w:rsidR="001A5C68" w:rsidRPr="00DE7DEF" w:rsidRDefault="001A5C68" w:rsidP="00A575D0">
            <w:pPr>
              <w:rPr>
                <w:rFonts w:ascii="Arial Narrow" w:hAnsi="Arial Narrow"/>
                <w:sz w:val="20"/>
              </w:rPr>
            </w:pPr>
            <w:r w:rsidRPr="00DE7DEF">
              <w:rPr>
                <w:rFonts w:ascii="Arial Narrow" w:hAnsi="Arial Narrow"/>
                <w:sz w:val="20"/>
              </w:rPr>
              <w:t>AND</w:t>
            </w:r>
          </w:p>
          <w:p w14:paraId="1355AA07" w14:textId="77777777" w:rsidR="001A5C68" w:rsidRPr="00DE7DEF" w:rsidRDefault="001A5C68" w:rsidP="00A575D0">
            <w:pPr>
              <w:rPr>
                <w:rFonts w:ascii="Arial Narrow" w:hAnsi="Arial Narrow"/>
                <w:sz w:val="20"/>
              </w:rPr>
            </w:pPr>
            <w:r w:rsidRPr="00DE7DEF">
              <w:rPr>
                <w:rFonts w:ascii="Arial Narrow" w:hAnsi="Arial Narrow"/>
                <w:sz w:val="20"/>
              </w:rPr>
              <w:t>The treatment team must consider the patient’s condition can be effectively managed during lymphocyte collection and manufacturing, to allow for the absence of rapidly progressive disease at the time of lymphocyte infusion.</w:t>
            </w:r>
          </w:p>
        </w:tc>
      </w:tr>
    </w:tbl>
    <w:p w14:paraId="0CC18285" w14:textId="77777777" w:rsidR="00B52FCF" w:rsidRPr="007430E7" w:rsidRDefault="00065623" w:rsidP="007430E7">
      <w:pPr>
        <w:pStyle w:val="Heading1"/>
        <w:numPr>
          <w:ilvl w:val="0"/>
          <w:numId w:val="13"/>
        </w:numPr>
        <w:spacing w:before="240" w:after="240"/>
        <w:ind w:hanging="720"/>
        <w:rPr>
          <w:rFonts w:ascii="Arial" w:eastAsia="Times New Roman" w:hAnsi="Arial" w:cs="Times New Roman"/>
        </w:rPr>
      </w:pPr>
      <w:r w:rsidRPr="007430E7">
        <w:rPr>
          <w:rFonts w:ascii="Arial" w:eastAsia="Times New Roman" w:hAnsi="Arial" w:cs="Times New Roman"/>
        </w:rPr>
        <w:lastRenderedPageBreak/>
        <w:t>Background</w:t>
      </w:r>
    </w:p>
    <w:p w14:paraId="76B8D4D2" w14:textId="77777777" w:rsidR="00B411FE" w:rsidRDefault="007A598F" w:rsidP="007A598F">
      <w:pPr>
        <w:spacing w:before="240"/>
        <w:rPr>
          <w:szCs w:val="24"/>
        </w:rPr>
      </w:pPr>
      <w:r>
        <w:t xml:space="preserve">This is the first submission for brexucabtagene autoleucel for the treatment of patients with R/R </w:t>
      </w:r>
      <w:r w:rsidRPr="00E700C0">
        <w:t>MCL</w:t>
      </w:r>
      <w:r>
        <w:t xml:space="preserve">. </w:t>
      </w:r>
      <w:r>
        <w:rPr>
          <w:szCs w:val="24"/>
        </w:rPr>
        <w:t>MSAC has not previously considered this application.</w:t>
      </w:r>
    </w:p>
    <w:p w14:paraId="2BC97872" w14:textId="77777777" w:rsidR="00B411FE" w:rsidRPr="00B02E35" w:rsidRDefault="00C5481C" w:rsidP="001550E5">
      <w:pPr>
        <w:spacing w:before="240"/>
        <w:rPr>
          <w:szCs w:val="24"/>
        </w:rPr>
      </w:pPr>
      <w:r>
        <w:t>MSAC has previously considered other CAR-T therapies in different patient populations.</w:t>
      </w:r>
    </w:p>
    <w:p w14:paraId="6B1E8680" w14:textId="77777777" w:rsidR="00F7484F" w:rsidRPr="001550E5" w:rsidRDefault="00065623"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Prerequisites to implementation of any funding advice</w:t>
      </w:r>
    </w:p>
    <w:p w14:paraId="0D1ADB95" w14:textId="6BC1B273" w:rsidR="00BB26AB" w:rsidRPr="00317F7A" w:rsidRDefault="00C5481C" w:rsidP="00C5481C">
      <w:pPr>
        <w:spacing w:before="240"/>
      </w:pPr>
      <w:r>
        <w:t>Brexucabtagene autoleucel</w:t>
      </w:r>
      <w:r w:rsidRPr="009A4F44">
        <w:t xml:space="preserve"> </w:t>
      </w:r>
      <w:r w:rsidR="00AD6C4A">
        <w:t>was</w:t>
      </w:r>
      <w:r w:rsidR="00AD6C4A" w:rsidRPr="009A4F44">
        <w:t xml:space="preserve"> </w:t>
      </w:r>
      <w:r w:rsidRPr="009A4F44">
        <w:t xml:space="preserve">listed on the </w:t>
      </w:r>
      <w:r>
        <w:t>Australian Register of Therapeutic Goods (</w:t>
      </w:r>
      <w:r w:rsidRPr="009A4F44">
        <w:t>ARTG</w:t>
      </w:r>
      <w:r>
        <w:t>)</w:t>
      </w:r>
      <w:r w:rsidR="008B195E">
        <w:t xml:space="preserve"> on 21 July 2021</w:t>
      </w:r>
      <w:r>
        <w:t>.</w:t>
      </w:r>
    </w:p>
    <w:p w14:paraId="2D0885D8" w14:textId="77346C63" w:rsidR="00873D05" w:rsidRPr="00873D05" w:rsidRDefault="00C5481C" w:rsidP="00DE7DEF">
      <w:pPr>
        <w:pStyle w:val="Default"/>
        <w:spacing w:before="240" w:after="120"/>
        <w:rPr>
          <w:rFonts w:ascii="Times New Roman" w:hAnsi="Times New Roman" w:cs="Times New Roman"/>
        </w:rPr>
      </w:pPr>
      <w:r w:rsidRPr="004036CC">
        <w:rPr>
          <w:rFonts w:ascii="Times New Roman" w:hAnsi="Times New Roman" w:cs="Times New Roman"/>
        </w:rPr>
        <w:t xml:space="preserve">On 7 June 2021, </w:t>
      </w:r>
      <w:r w:rsidR="00873D05" w:rsidRPr="004036CC">
        <w:rPr>
          <w:rFonts w:ascii="Times New Roman" w:hAnsi="Times New Roman" w:cs="Times New Roman"/>
        </w:rPr>
        <w:t xml:space="preserve">the applicant received a positive </w:t>
      </w:r>
      <w:r w:rsidR="004036CC" w:rsidRPr="004036CC">
        <w:rPr>
          <w:rFonts w:ascii="Times New Roman" w:hAnsi="Times New Roman" w:cs="Times New Roman"/>
        </w:rPr>
        <w:t xml:space="preserve">Therapeutic Goods Administration (TGA) </w:t>
      </w:r>
      <w:r w:rsidR="00873D05" w:rsidRPr="004036CC">
        <w:rPr>
          <w:rFonts w:ascii="Times New Roman" w:hAnsi="Times New Roman" w:cs="Times New Roman"/>
        </w:rPr>
        <w:t>Delegate’s overview. The proposed indication was amended to include the requirement for patients to have previously received two lines of treatment, including a Bruton's tyrosine</w:t>
      </w:r>
      <w:r w:rsidR="00873D05" w:rsidRPr="00873D05">
        <w:rPr>
          <w:rFonts w:ascii="Times New Roman" w:hAnsi="Times New Roman" w:cs="Times New Roman"/>
        </w:rPr>
        <w:t xml:space="preserve"> kinase</w:t>
      </w:r>
      <w:r w:rsidR="00873D05">
        <w:rPr>
          <w:rFonts w:ascii="Times New Roman" w:hAnsi="Times New Roman" w:cs="Times New Roman"/>
        </w:rPr>
        <w:t xml:space="preserve"> (BTK) inhibitor. The </w:t>
      </w:r>
      <w:r w:rsidR="00873D05" w:rsidRPr="00873D05">
        <w:rPr>
          <w:rFonts w:ascii="Times New Roman" w:hAnsi="Times New Roman" w:cs="Times New Roman"/>
        </w:rPr>
        <w:t>agreed indication is:</w:t>
      </w:r>
    </w:p>
    <w:p w14:paraId="3B037813" w14:textId="77777777" w:rsidR="00C5481C" w:rsidRDefault="00873D05" w:rsidP="00AD6A06">
      <w:pPr>
        <w:pStyle w:val="Default"/>
        <w:ind w:left="720"/>
        <w:rPr>
          <w:rFonts w:ascii="Times New Roman" w:hAnsi="Times New Roman" w:cs="Times New Roman"/>
        </w:rPr>
      </w:pPr>
      <w:r w:rsidRPr="00873D05">
        <w:rPr>
          <w:rFonts w:ascii="Times New Roman" w:hAnsi="Times New Roman" w:cs="Times New Roman"/>
        </w:rPr>
        <w:t xml:space="preserve">TECARTUS is a genetically modified autologous </w:t>
      </w:r>
      <w:proofErr w:type="spellStart"/>
      <w:r w:rsidRPr="00873D05">
        <w:rPr>
          <w:rFonts w:ascii="Times New Roman" w:hAnsi="Times New Roman" w:cs="Times New Roman"/>
        </w:rPr>
        <w:t>immunocellular</w:t>
      </w:r>
      <w:proofErr w:type="spellEnd"/>
      <w:r w:rsidRPr="00873D05">
        <w:rPr>
          <w:rFonts w:ascii="Times New Roman" w:hAnsi="Times New Roman" w:cs="Times New Roman"/>
        </w:rPr>
        <w:t xml:space="preserve"> therapy for the treatment of patients with relapsed or refractory mantle cell lymphoma (MCL), who have received two or more lines of therapy, including a BTK inhibitor, unless ineligible or intolerant to treatment with a BTK inhibitor</w:t>
      </w:r>
      <w:r w:rsidR="00AD6A06">
        <w:rPr>
          <w:rFonts w:ascii="Times New Roman" w:hAnsi="Times New Roman" w:cs="Times New Roman"/>
        </w:rPr>
        <w:t>.</w:t>
      </w:r>
    </w:p>
    <w:p w14:paraId="31A88C0D" w14:textId="5A7D2ACB" w:rsidR="00873D05" w:rsidRPr="001550E5" w:rsidRDefault="00733DBF" w:rsidP="00DE7DEF">
      <w:pPr>
        <w:pStyle w:val="Default"/>
        <w:spacing w:before="240"/>
        <w:rPr>
          <w:rFonts w:ascii="Times New Roman" w:hAnsi="Times New Roman" w:cs="Times New Roman"/>
        </w:rPr>
      </w:pPr>
      <w:r>
        <w:rPr>
          <w:rFonts w:ascii="Times New Roman" w:hAnsi="Times New Roman" w:cs="Times New Roman"/>
        </w:rPr>
        <w:t>R</w:t>
      </w:r>
      <w:r w:rsidR="00AD6A06" w:rsidRPr="00AD6A06">
        <w:rPr>
          <w:rFonts w:ascii="Times New Roman" w:hAnsi="Times New Roman" w:cs="Times New Roman"/>
        </w:rPr>
        <w:t>egistered by the TGA</w:t>
      </w:r>
      <w:r w:rsidR="00714380">
        <w:rPr>
          <w:rFonts w:ascii="Times New Roman" w:hAnsi="Times New Roman" w:cs="Times New Roman"/>
        </w:rPr>
        <w:t xml:space="preserve"> with the indication above</w:t>
      </w:r>
      <w:r w:rsidR="00AD6A06" w:rsidRPr="00AD6A06">
        <w:rPr>
          <w:rFonts w:ascii="Times New Roman" w:hAnsi="Times New Roman" w:cs="Times New Roman"/>
        </w:rPr>
        <w:t xml:space="preserve">, brexucabtagene autoleucel (under the trade name of </w:t>
      </w:r>
      <w:proofErr w:type="spellStart"/>
      <w:r w:rsidR="00AD6A06" w:rsidRPr="00AD6A06">
        <w:rPr>
          <w:rFonts w:ascii="Times New Roman" w:hAnsi="Times New Roman" w:cs="Times New Roman"/>
        </w:rPr>
        <w:t>Tecartus</w:t>
      </w:r>
      <w:proofErr w:type="spellEnd"/>
      <w:r w:rsidR="00AD6A06" w:rsidRPr="00AD6A06">
        <w:rPr>
          <w:rFonts w:ascii="Times New Roman" w:hAnsi="Times New Roman" w:cs="Times New Roman"/>
        </w:rPr>
        <w:t xml:space="preserve">®) </w:t>
      </w:r>
      <w:r>
        <w:rPr>
          <w:rFonts w:ascii="Times New Roman" w:hAnsi="Times New Roman" w:cs="Times New Roman"/>
        </w:rPr>
        <w:t xml:space="preserve">is </w:t>
      </w:r>
      <w:r w:rsidR="00AD6A06" w:rsidRPr="00AD6A06">
        <w:rPr>
          <w:rFonts w:ascii="Times New Roman" w:hAnsi="Times New Roman" w:cs="Times New Roman"/>
        </w:rPr>
        <w:t>supplied as a trademarked class 4 biological product.</w:t>
      </w:r>
    </w:p>
    <w:p w14:paraId="2A119382" w14:textId="77777777" w:rsidR="008A6C0C" w:rsidRPr="001550E5" w:rsidRDefault="00065623"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Proposal for public funding</w:t>
      </w:r>
    </w:p>
    <w:p w14:paraId="7F54B252" w14:textId="77777777" w:rsidR="00AD6A06" w:rsidRPr="00AD6A06" w:rsidRDefault="00AD6A06" w:rsidP="001550E5">
      <w:pPr>
        <w:spacing w:after="200"/>
      </w:pPr>
      <w:r w:rsidRPr="00015D45">
        <w:t xml:space="preserve">Funding of brexucabtagene autoleucel </w:t>
      </w:r>
      <w:r>
        <w:t xml:space="preserve">is sought </w:t>
      </w:r>
      <w:r w:rsidRPr="00015D45">
        <w:t xml:space="preserve">through </w:t>
      </w:r>
      <w:r>
        <w:t xml:space="preserve">a </w:t>
      </w:r>
      <w:r w:rsidRPr="00015D45">
        <w:t>block funding mechanism</w:t>
      </w:r>
      <w:r>
        <w:t xml:space="preserve">, as </w:t>
      </w:r>
      <w:r w:rsidRPr="00015D45">
        <w:t xml:space="preserve">has been agreed by the Commonwealth and the States </w:t>
      </w:r>
      <w:r>
        <w:t xml:space="preserve">for </w:t>
      </w:r>
      <w:r w:rsidRPr="00015D45">
        <w:t>fund</w:t>
      </w:r>
      <w:r>
        <w:t>ing of</w:t>
      </w:r>
      <w:r w:rsidRPr="00015D45">
        <w:t xml:space="preserve"> other CAR T-cell therapies</w:t>
      </w:r>
      <w:r>
        <w:t xml:space="preserve">. </w:t>
      </w:r>
    </w:p>
    <w:p w14:paraId="6F49FAA8" w14:textId="77777777" w:rsidR="00AD6A06" w:rsidRDefault="00AD6A06" w:rsidP="00AD6A06">
      <w:pPr>
        <w:spacing w:before="240"/>
        <w:contextualSpacing/>
      </w:pPr>
      <w:r>
        <w:t>Public funding of brexucabtagene autoleucel is specifically requested for p</w:t>
      </w:r>
      <w:r w:rsidRPr="00E700C0">
        <w:t xml:space="preserve">atients </w:t>
      </w:r>
      <w:r>
        <w:t>with R/R MCL who have received at</w:t>
      </w:r>
      <w:r w:rsidRPr="00E700C0">
        <w:t xml:space="preserve"> least two lines of therapy including:</w:t>
      </w:r>
    </w:p>
    <w:p w14:paraId="0421FD70" w14:textId="78605108" w:rsidR="00AD6A06" w:rsidRDefault="00AD6A06" w:rsidP="00AD6A06">
      <w:pPr>
        <w:pStyle w:val="ListParagraph"/>
        <w:numPr>
          <w:ilvl w:val="0"/>
          <w:numId w:val="16"/>
        </w:numPr>
        <w:spacing w:after="200" w:line="259" w:lineRule="auto"/>
      </w:pPr>
      <w:r w:rsidRPr="00E700C0">
        <w:t xml:space="preserve">an anthracycline- or </w:t>
      </w:r>
      <w:proofErr w:type="spellStart"/>
      <w:r w:rsidRPr="00E700C0">
        <w:t>bendamustine</w:t>
      </w:r>
      <w:proofErr w:type="spellEnd"/>
      <w:r w:rsidRPr="00E700C0">
        <w:t xml:space="preserve">-based </w:t>
      </w:r>
      <w:r w:rsidR="006A55DE">
        <w:t xml:space="preserve">or cytarabine-based </w:t>
      </w:r>
      <w:r>
        <w:t>immunochemotherapy</w:t>
      </w:r>
      <w:r w:rsidRPr="00E700C0">
        <w:t xml:space="preserve"> regimen that includes an anti-CD20 monoclonal antibody therapy; AND</w:t>
      </w:r>
    </w:p>
    <w:p w14:paraId="270475A6" w14:textId="77777777" w:rsidR="00AD6A06" w:rsidRPr="00AD6A06" w:rsidRDefault="00AD6A06" w:rsidP="00AD6A06">
      <w:pPr>
        <w:pStyle w:val="ListParagraph"/>
        <w:widowControl w:val="0"/>
        <w:numPr>
          <w:ilvl w:val="0"/>
          <w:numId w:val="16"/>
        </w:numPr>
        <w:spacing w:after="200" w:line="259" w:lineRule="auto"/>
        <w:rPr>
          <w:i/>
          <w:szCs w:val="24"/>
        </w:rPr>
      </w:pPr>
      <w:r w:rsidRPr="00E700C0">
        <w:t xml:space="preserve">a </w:t>
      </w:r>
      <w:bookmarkStart w:id="3" w:name="_Hlk63803871"/>
      <w:r w:rsidRPr="00E700C0">
        <w:t>BTK</w:t>
      </w:r>
      <w:r>
        <w:t xml:space="preserve"> </w:t>
      </w:r>
      <w:proofErr w:type="gramStart"/>
      <w:r w:rsidRPr="00E700C0">
        <w:t>inhibitor</w:t>
      </w:r>
      <w:r>
        <w:t>, unless</w:t>
      </w:r>
      <w:proofErr w:type="gramEnd"/>
      <w:r>
        <w:t xml:space="preserve"> the patient is considered unsuitable for treatment with a BTK inhibitor on the basis of predicted intolerance.</w:t>
      </w:r>
      <w:bookmarkEnd w:id="3"/>
    </w:p>
    <w:p w14:paraId="7122317A" w14:textId="0EDF8F02" w:rsidR="00AD6A06" w:rsidRPr="00AD6A06" w:rsidRDefault="00AD6A06" w:rsidP="00AD6A06">
      <w:pPr>
        <w:spacing w:after="200"/>
      </w:pPr>
      <w:r>
        <w:t xml:space="preserve">The proposed price for treatment with brexucabtagene </w:t>
      </w:r>
      <w:r w:rsidRPr="00A168A8">
        <w:t>autoleucel is $</w:t>
      </w:r>
      <w:r w:rsidR="00AD6C4A" w:rsidRPr="00A168A8">
        <w:rPr>
          <w:b/>
          <w:bCs/>
          <w:color w:val="000000"/>
        </w:rPr>
        <w:t>redacted</w:t>
      </w:r>
      <w:r>
        <w:t>,</w:t>
      </w:r>
      <w:r w:rsidRPr="0043667D">
        <w:t xml:space="preserve"> </w:t>
      </w:r>
      <w:r>
        <w:t>paid upon infusion of the manufactured product (i.e., no payment is sought for patients who undergo l</w:t>
      </w:r>
      <w:r w:rsidRPr="00AE54F2">
        <w:t>eukapheresis</w:t>
      </w:r>
      <w:r>
        <w:t xml:space="preserve"> and manufacturing of brexucabtagene autoleucel but do not receive infusion of the final product).</w:t>
      </w:r>
    </w:p>
    <w:p w14:paraId="47D0FCCC" w14:textId="77777777" w:rsidR="00065623" w:rsidRPr="001550E5" w:rsidRDefault="00775963"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 xml:space="preserve">Summary of </w:t>
      </w:r>
      <w:r w:rsidR="001550E5">
        <w:rPr>
          <w:rFonts w:ascii="Arial" w:eastAsia="Times New Roman" w:hAnsi="Arial" w:cs="Times New Roman"/>
        </w:rPr>
        <w:t>p</w:t>
      </w:r>
      <w:r w:rsidRPr="001550E5">
        <w:rPr>
          <w:rFonts w:ascii="Arial" w:eastAsia="Times New Roman" w:hAnsi="Arial" w:cs="Times New Roman"/>
        </w:rPr>
        <w:t xml:space="preserve">ublic </w:t>
      </w:r>
      <w:r w:rsidR="001550E5">
        <w:rPr>
          <w:rFonts w:ascii="Arial" w:eastAsia="Times New Roman" w:hAnsi="Arial" w:cs="Times New Roman"/>
        </w:rPr>
        <w:t>c</w:t>
      </w:r>
      <w:r w:rsidRPr="001550E5">
        <w:rPr>
          <w:rFonts w:ascii="Arial" w:eastAsia="Times New Roman" w:hAnsi="Arial" w:cs="Times New Roman"/>
        </w:rPr>
        <w:t xml:space="preserve">onsultation </w:t>
      </w:r>
      <w:r w:rsidR="001550E5">
        <w:rPr>
          <w:rFonts w:ascii="Arial" w:eastAsia="Times New Roman" w:hAnsi="Arial" w:cs="Times New Roman"/>
        </w:rPr>
        <w:t>f</w:t>
      </w:r>
      <w:r w:rsidRPr="001550E5">
        <w:rPr>
          <w:rFonts w:ascii="Arial" w:eastAsia="Times New Roman" w:hAnsi="Arial" w:cs="Times New Roman"/>
        </w:rPr>
        <w:t>eedback/</w:t>
      </w:r>
      <w:r w:rsidR="001550E5">
        <w:rPr>
          <w:rFonts w:ascii="Arial" w:eastAsia="Times New Roman" w:hAnsi="Arial" w:cs="Times New Roman"/>
        </w:rPr>
        <w:t>c</w:t>
      </w:r>
      <w:r w:rsidRPr="001550E5">
        <w:rPr>
          <w:rFonts w:ascii="Arial" w:eastAsia="Times New Roman" w:hAnsi="Arial" w:cs="Times New Roman"/>
        </w:rPr>
        <w:t>onsumer Issues</w:t>
      </w:r>
    </w:p>
    <w:p w14:paraId="377EF21B" w14:textId="77777777" w:rsidR="00B411FE" w:rsidRPr="001550E5" w:rsidRDefault="00AD6A06" w:rsidP="00B411FE">
      <w:pPr>
        <w:rPr>
          <w:i/>
          <w:szCs w:val="24"/>
        </w:rPr>
      </w:pPr>
      <w:r w:rsidRPr="00AD6A06">
        <w:rPr>
          <w:szCs w:val="24"/>
        </w:rPr>
        <w:t>Nil</w:t>
      </w:r>
    </w:p>
    <w:p w14:paraId="1C1AC10A" w14:textId="77777777" w:rsidR="00BF0DFE" w:rsidRPr="001550E5" w:rsidRDefault="00065623"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Proposed intervention’s place in clinical management</w:t>
      </w:r>
    </w:p>
    <w:p w14:paraId="496C5E32" w14:textId="77777777" w:rsidR="007430E7" w:rsidRDefault="007430E7" w:rsidP="001550E5">
      <w:pPr>
        <w:pStyle w:val="Heading2"/>
        <w:rPr>
          <w:rStyle w:val="eop"/>
          <w:iCs/>
          <w:color w:val="000000"/>
          <w:shd w:val="clear" w:color="auto" w:fill="FFFFFF"/>
        </w:rPr>
      </w:pPr>
      <w:r>
        <w:rPr>
          <w:rStyle w:val="normaltextrun"/>
          <w:iCs/>
          <w:color w:val="000000"/>
          <w:shd w:val="clear" w:color="auto" w:fill="FFFFFF"/>
        </w:rPr>
        <w:t>Description of Proposed Intervention</w:t>
      </w:r>
    </w:p>
    <w:p w14:paraId="5D667B87" w14:textId="77777777" w:rsidR="007430E7" w:rsidRDefault="007430E7" w:rsidP="007430E7">
      <w:pPr>
        <w:spacing w:after="200"/>
      </w:pPr>
      <w:r>
        <w:t xml:space="preserve">Brexucabtagene autoleucel is a chimeric antigen receptor (CAR) T-cell therapeutic product that is personalised to each individual patient. It has been specifically developed for the treatment of MCL. </w:t>
      </w:r>
    </w:p>
    <w:p w14:paraId="3F9DE24E" w14:textId="77777777" w:rsidR="007430E7" w:rsidRPr="007A598F" w:rsidRDefault="007430E7" w:rsidP="007430E7">
      <w:pPr>
        <w:spacing w:after="200"/>
        <w:rPr>
          <w:rStyle w:val="eop"/>
        </w:rPr>
      </w:pPr>
      <w:r>
        <w:lastRenderedPageBreak/>
        <w:t>Each individual patient’s T-cells are collected via leukapheresis and genetically modified in a laboratory to recognise cancer cells that express CD19 on their surface. The modified T-cells are then expanded to several million and infused back into the patient</w:t>
      </w:r>
      <w:r w:rsidRPr="00632D19">
        <w:t>.</w:t>
      </w:r>
    </w:p>
    <w:p w14:paraId="26FF9245" w14:textId="77777777" w:rsidR="007430E7" w:rsidRPr="007A598F" w:rsidRDefault="007430E7" w:rsidP="007430E7">
      <w:pPr>
        <w:tabs>
          <w:tab w:val="left" w:pos="720"/>
          <w:tab w:val="left" w:pos="1140"/>
        </w:tabs>
        <w:rPr>
          <w:rStyle w:val="eop"/>
          <w:i/>
          <w:color w:val="000000"/>
          <w:shd w:val="clear" w:color="auto" w:fill="FFFFFF"/>
        </w:rPr>
      </w:pPr>
      <w:r w:rsidRPr="007A598F">
        <w:rPr>
          <w:rStyle w:val="normaltextrun"/>
          <w:i/>
          <w:color w:val="000000"/>
          <w:shd w:val="clear" w:color="auto" w:fill="FFFFFF"/>
        </w:rPr>
        <w:t>Description of Medical Condition(s)</w:t>
      </w:r>
      <w:r w:rsidRPr="007A598F">
        <w:rPr>
          <w:rStyle w:val="eop"/>
          <w:i/>
          <w:color w:val="000000"/>
          <w:shd w:val="clear" w:color="auto" w:fill="FFFFFF"/>
        </w:rPr>
        <w:t> </w:t>
      </w:r>
    </w:p>
    <w:p w14:paraId="359B22EE" w14:textId="77777777" w:rsidR="007430E7" w:rsidRPr="007A598F" w:rsidRDefault="007430E7" w:rsidP="007430E7">
      <w:pPr>
        <w:spacing w:after="200"/>
      </w:pPr>
      <w:r>
        <w:t xml:space="preserve">Mantle cell lymphoma is a rare, aggressive subtype of B-cell non-Hodgkin lymphoma (NHL) that has distinctive clinical, biological, and molecular characteristics. </w:t>
      </w:r>
    </w:p>
    <w:p w14:paraId="1B97D157" w14:textId="77777777" w:rsidR="00AD6A06" w:rsidRDefault="00AD6A06" w:rsidP="00AD6A06">
      <w:pPr>
        <w:spacing w:before="240" w:after="200"/>
      </w:pPr>
      <w:r>
        <w:t>Figure 1 shows t</w:t>
      </w:r>
      <w:r w:rsidRPr="00507CB8">
        <w:t>he clinical management pathway for patients with MCL through to the point where it is proposed that brexucabtagene autoleucel would become a treatment option.</w:t>
      </w:r>
      <w:r>
        <w:t xml:space="preserve"> It is anticipated that brexucabtagene autoleucel will primarily replace or displace the use of salvage therapy.</w:t>
      </w:r>
    </w:p>
    <w:p w14:paraId="2A46B805" w14:textId="77777777" w:rsidR="00AD6A06" w:rsidRDefault="00AD6A06" w:rsidP="00AD6A06">
      <w:pPr>
        <w:pStyle w:val="Caption"/>
      </w:pPr>
      <w:bookmarkStart w:id="4" w:name="_Toc63557223"/>
      <w:bookmarkStart w:id="5" w:name="_Toc68685813"/>
      <w:r>
        <w:t xml:space="preserve">Figure 1: </w:t>
      </w:r>
      <w:r w:rsidRPr="006862C3">
        <w:t xml:space="preserve">Management algorithm for MCL in Australia, showing proposed positioning of brexucabtagene </w:t>
      </w:r>
      <w:proofErr w:type="gramStart"/>
      <w:r w:rsidRPr="006862C3">
        <w:t>autoleucel</w:t>
      </w:r>
      <w:bookmarkEnd w:id="4"/>
      <w:bookmarkEnd w:id="5"/>
      <w:proofErr w:type="gramEnd"/>
    </w:p>
    <w:p w14:paraId="760E613E" w14:textId="77777777" w:rsidR="00AD6A06" w:rsidRDefault="00AD6A06" w:rsidP="00AD6A06">
      <w:r>
        <w:rPr>
          <w:noProof/>
        </w:rPr>
        <w:drawing>
          <wp:inline distT="0" distB="0" distL="0" distR="0" wp14:anchorId="16F291F1" wp14:editId="41E0DAA8">
            <wp:extent cx="5742432" cy="2777631"/>
            <wp:effectExtent l="0" t="0" r="0" b="3810"/>
            <wp:docPr id="4" name="Picture 4" descr="Management algorithm for MCL in Australia, showing proposed positioning of brexucabtagene autoleu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nagement algorithm for MCL in Australia, showing proposed positioning of brexucabtagene autoleuc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6072" cy="2789066"/>
                    </a:xfrm>
                    <a:prstGeom prst="rect">
                      <a:avLst/>
                    </a:prstGeom>
                    <a:noFill/>
                  </pic:spPr>
                </pic:pic>
              </a:graphicData>
            </a:graphic>
          </wp:inline>
        </w:drawing>
      </w:r>
    </w:p>
    <w:p w14:paraId="20B58807" w14:textId="77777777" w:rsidR="00566DC3" w:rsidRPr="001550E5" w:rsidRDefault="00AD6A06" w:rsidP="00B411FE">
      <w:pPr>
        <w:rPr>
          <w:rFonts w:ascii="Arial Narrow" w:hAnsi="Arial Narrow"/>
          <w:sz w:val="20"/>
        </w:rPr>
      </w:pPr>
      <w:r w:rsidRPr="004922D8">
        <w:rPr>
          <w:rFonts w:ascii="Arial Narrow" w:hAnsi="Arial Narrow"/>
          <w:sz w:val="20"/>
        </w:rPr>
        <w:t xml:space="preserve">Abbreviations: BEAM = </w:t>
      </w:r>
      <w:proofErr w:type="spellStart"/>
      <w:r w:rsidRPr="004922D8">
        <w:rPr>
          <w:rFonts w:ascii="Arial Narrow" w:hAnsi="Arial Narrow"/>
          <w:sz w:val="20"/>
        </w:rPr>
        <w:t>carmustine</w:t>
      </w:r>
      <w:proofErr w:type="spellEnd"/>
      <w:r w:rsidRPr="004922D8">
        <w:rPr>
          <w:rFonts w:ascii="Arial Narrow" w:hAnsi="Arial Narrow"/>
          <w:sz w:val="20"/>
        </w:rPr>
        <w:t xml:space="preserve"> etoposide cytarabine melphalan; BSC = best supportive care; MCL = mantle cell lymphoma; Nordic MCL2 protocol involves administration of alternating courses of maxi-CHOP (cyclophosphamide, doxorubicin, vincristine and prednisolone) and high-dose cytarabine (rituximab is co-administered on Day 1 of Cycles 2-5); PBS = Pharmaceutical Benefits Scheme; R-BAC = rituximab, </w:t>
      </w:r>
      <w:proofErr w:type="spellStart"/>
      <w:r w:rsidRPr="004922D8">
        <w:rPr>
          <w:rFonts w:ascii="Arial Narrow" w:hAnsi="Arial Narrow"/>
          <w:sz w:val="20"/>
        </w:rPr>
        <w:t>bendamustine</w:t>
      </w:r>
      <w:proofErr w:type="spellEnd"/>
      <w:r w:rsidRPr="004922D8">
        <w:rPr>
          <w:rFonts w:ascii="Arial Narrow" w:hAnsi="Arial Narrow"/>
          <w:sz w:val="20"/>
        </w:rPr>
        <w:t>, cytarabine; R-CHOP = rituximab, cyclophosphamide, doxorubicin, vincristine, and prednisolone; R-DHAP = rituximab, dexamethasone, cytarabine, and cisplatin; R</w:t>
      </w:r>
      <w:r w:rsidRPr="004922D8">
        <w:rPr>
          <w:rFonts w:ascii="Arial Narrow" w:hAnsi="Arial Narrow"/>
          <w:sz w:val="20"/>
        </w:rPr>
        <w:noBreakHyphen/>
        <w:t>Hyper-CVAD = rituximab plus fractionated cyclophosphamide, vincristine, doxorubicin, and dexamethasone plus methotrexate and cytarabine; SCT = stem cell transplant.</w:t>
      </w:r>
    </w:p>
    <w:p w14:paraId="6F303BCC" w14:textId="77777777" w:rsidR="00D55F83" w:rsidRPr="001550E5" w:rsidRDefault="00065623"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Comparator</w:t>
      </w:r>
    </w:p>
    <w:p w14:paraId="2872F759" w14:textId="77777777" w:rsidR="00443F1D" w:rsidRPr="004922D8" w:rsidRDefault="004922D8" w:rsidP="001550E5">
      <w:pPr>
        <w:spacing w:after="200"/>
      </w:pPr>
      <w:r w:rsidRPr="000621D0">
        <w:t xml:space="preserve">The </w:t>
      </w:r>
      <w:r>
        <w:t xml:space="preserve">application </w:t>
      </w:r>
      <w:r w:rsidR="00FA08D6">
        <w:t>nominated</w:t>
      </w:r>
      <w:r w:rsidRPr="000621D0">
        <w:t xml:space="preserve"> salvage </w:t>
      </w:r>
      <w:r>
        <w:t>therapy</w:t>
      </w:r>
      <w:r w:rsidR="00FA08D6">
        <w:t xml:space="preserve"> as the main comparator</w:t>
      </w:r>
      <w:r>
        <w:t>,</w:t>
      </w:r>
      <w:r w:rsidRPr="000621D0">
        <w:t xml:space="preserve"> given it is the</w:t>
      </w:r>
      <w:r>
        <w:t xml:space="preserve"> subsidised</w:t>
      </w:r>
      <w:r w:rsidRPr="000621D0">
        <w:t xml:space="preserve"> therapy most likely to be </w:t>
      </w:r>
      <w:r>
        <w:t xml:space="preserve">replaced or </w:t>
      </w:r>
      <w:r w:rsidRPr="000621D0">
        <w:t>displaced by brexucabtagene autoleucel.</w:t>
      </w:r>
      <w:r>
        <w:t xml:space="preserve"> In Australia, salvage therapy typically comprises of a variety of immunochemotherapy</w:t>
      </w:r>
      <w:r w:rsidRPr="00EC4F42">
        <w:t xml:space="preserve"> regimens</w:t>
      </w:r>
      <w:r>
        <w:t>.</w:t>
      </w:r>
    </w:p>
    <w:p w14:paraId="5D87DD15" w14:textId="77777777" w:rsidR="005922DB" w:rsidRPr="001550E5" w:rsidRDefault="00065623"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Comparative safety</w:t>
      </w:r>
    </w:p>
    <w:p w14:paraId="403960F8" w14:textId="77777777" w:rsidR="00FA08D6" w:rsidRDefault="00FA08D6" w:rsidP="001550E5">
      <w:pPr>
        <w:spacing w:after="200"/>
      </w:pPr>
      <w:r>
        <w:t>The clinical evidence presented in the application to compare outcomes with brexucabtagene autoleucel to those with salvage therapy consists of one prospective study of brexucabtagene autoleucel (ZUMA-2) and 14 studies reporting outcomes with various salvage therapy regimens in patients with R/R MCL in the post-BTK inhibitor setting.</w:t>
      </w:r>
    </w:p>
    <w:p w14:paraId="7449EAF9" w14:textId="77777777" w:rsidR="00200AA9" w:rsidRPr="00B974F7" w:rsidRDefault="00FA08D6" w:rsidP="00200AA9">
      <w:pPr>
        <w:spacing w:after="200"/>
        <w:sectPr w:rsidR="00200AA9" w:rsidRPr="00B974F7" w:rsidSect="00342F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4" w:left="1440" w:header="708" w:footer="708" w:gutter="0"/>
          <w:cols w:space="708"/>
          <w:docGrid w:linePitch="360"/>
        </w:sectPr>
      </w:pPr>
      <w:r w:rsidRPr="00B974F7">
        <w:t xml:space="preserve">The key features of each of the studies is summarised in </w:t>
      </w:r>
      <w:r w:rsidR="00200AA9" w:rsidRPr="00B974F7">
        <w:t>Table 1</w:t>
      </w:r>
      <w:r w:rsidRPr="00B974F7">
        <w:t>.</w:t>
      </w:r>
    </w:p>
    <w:p w14:paraId="52C84D57" w14:textId="77777777" w:rsidR="00200AA9" w:rsidRDefault="00200AA9" w:rsidP="00200AA9">
      <w:pPr>
        <w:pStyle w:val="Caption"/>
      </w:pPr>
      <w:bookmarkStart w:id="6" w:name="_Ref63351185"/>
      <w:bookmarkStart w:id="7" w:name="_Toc63557147"/>
      <w:bookmarkStart w:id="8" w:name="_Toc68685774"/>
      <w:r>
        <w:lastRenderedPageBreak/>
        <w:t xml:space="preserve">Table </w:t>
      </w:r>
      <w:bookmarkEnd w:id="6"/>
      <w:r>
        <w:t>1:</w:t>
      </w:r>
      <w:r>
        <w:tab/>
        <w:t xml:space="preserve">Key features of the studies to inform a comparison of brexucabtagene autoleucel versus salvage </w:t>
      </w:r>
      <w:proofErr w:type="gramStart"/>
      <w:r>
        <w:t>therapy</w:t>
      </w:r>
      <w:bookmarkEnd w:id="7"/>
      <w:bookmarkEnd w:id="8"/>
      <w:proofErr w:type="gramEnd"/>
    </w:p>
    <w:tbl>
      <w:tblPr>
        <w:tblStyle w:val="TableGrid"/>
        <w:tblW w:w="0" w:type="auto"/>
        <w:tblLayout w:type="fixed"/>
        <w:tblCellMar>
          <w:left w:w="28" w:type="dxa"/>
          <w:right w:w="28" w:type="dxa"/>
        </w:tblCellMar>
        <w:tblLook w:val="04A0" w:firstRow="1" w:lastRow="0" w:firstColumn="1" w:lastColumn="0" w:noHBand="0" w:noVBand="1"/>
        <w:tblDescription w:val="Key features of the studies to inform a comparison of brexucabtagene autoleucel versus salvage therapy"/>
      </w:tblPr>
      <w:tblGrid>
        <w:gridCol w:w="1413"/>
        <w:gridCol w:w="1843"/>
        <w:gridCol w:w="2409"/>
        <w:gridCol w:w="1985"/>
        <w:gridCol w:w="2154"/>
        <w:gridCol w:w="2155"/>
        <w:gridCol w:w="2155"/>
      </w:tblGrid>
      <w:tr w:rsidR="00200AA9" w:rsidRPr="00200AA9" w14:paraId="49626363" w14:textId="77777777" w:rsidTr="004C0FEE">
        <w:trPr>
          <w:trHeight w:val="831"/>
          <w:tblHeader/>
        </w:trPr>
        <w:tc>
          <w:tcPr>
            <w:tcW w:w="1413" w:type="dxa"/>
          </w:tcPr>
          <w:p w14:paraId="694BD83F" w14:textId="77777777" w:rsidR="00200AA9" w:rsidRPr="00200AA9" w:rsidRDefault="00200AA9" w:rsidP="00200AA9">
            <w:pPr>
              <w:spacing w:line="254" w:lineRule="auto"/>
              <w:jc w:val="center"/>
              <w:rPr>
                <w:rFonts w:ascii="Arial Narrow" w:hAnsi="Arial Narrow"/>
                <w:sz w:val="20"/>
              </w:rPr>
            </w:pPr>
            <w:r w:rsidRPr="00200AA9">
              <w:rPr>
                <w:rFonts w:ascii="Arial Narrow" w:hAnsi="Arial Narrow"/>
                <w:sz w:val="20"/>
              </w:rPr>
              <w:br w:type="page"/>
            </w:r>
            <w:r w:rsidRPr="00200AA9">
              <w:rPr>
                <w:rFonts w:ascii="Arial Narrow" w:hAnsi="Arial Narrow"/>
                <w:sz w:val="20"/>
              </w:rPr>
              <w:br w:type="page"/>
              <w:t>Publication</w:t>
            </w:r>
          </w:p>
        </w:tc>
        <w:tc>
          <w:tcPr>
            <w:tcW w:w="1843" w:type="dxa"/>
          </w:tcPr>
          <w:p w14:paraId="1DB3DA55" w14:textId="77777777" w:rsidR="00200AA9" w:rsidRPr="00200AA9" w:rsidRDefault="00200AA9" w:rsidP="00200AA9">
            <w:pPr>
              <w:spacing w:line="254" w:lineRule="auto"/>
              <w:jc w:val="center"/>
              <w:rPr>
                <w:rFonts w:ascii="Arial Narrow" w:hAnsi="Arial Narrow"/>
                <w:sz w:val="20"/>
              </w:rPr>
            </w:pPr>
            <w:r w:rsidRPr="00200AA9">
              <w:rPr>
                <w:rFonts w:ascii="Arial Narrow" w:hAnsi="Arial Narrow"/>
                <w:sz w:val="20"/>
              </w:rPr>
              <w:t>N (post-BTK inhibitor)</w:t>
            </w:r>
          </w:p>
        </w:tc>
        <w:tc>
          <w:tcPr>
            <w:tcW w:w="2409" w:type="dxa"/>
          </w:tcPr>
          <w:p w14:paraId="17CBA282" w14:textId="77777777" w:rsidR="00200AA9" w:rsidRPr="00200AA9" w:rsidRDefault="00200AA9" w:rsidP="00200AA9">
            <w:pPr>
              <w:spacing w:line="254" w:lineRule="auto"/>
              <w:ind w:left="6"/>
              <w:jc w:val="center"/>
              <w:rPr>
                <w:rFonts w:ascii="Arial Narrow" w:hAnsi="Arial Narrow"/>
                <w:b/>
                <w:sz w:val="20"/>
              </w:rPr>
            </w:pPr>
            <w:r w:rsidRPr="00200AA9">
              <w:rPr>
                <w:rFonts w:ascii="Arial Narrow" w:hAnsi="Arial Narrow"/>
                <w:sz w:val="20"/>
              </w:rPr>
              <w:t>Study location</w:t>
            </w:r>
          </w:p>
          <w:p w14:paraId="7A260E78" w14:textId="77777777" w:rsidR="00200AA9" w:rsidRPr="00200AA9" w:rsidRDefault="00200AA9" w:rsidP="00200AA9">
            <w:pPr>
              <w:spacing w:line="254" w:lineRule="auto"/>
              <w:ind w:left="6"/>
              <w:jc w:val="center"/>
              <w:rPr>
                <w:rFonts w:ascii="Arial Narrow" w:hAnsi="Arial Narrow"/>
                <w:sz w:val="20"/>
              </w:rPr>
            </w:pPr>
            <w:r w:rsidRPr="00200AA9">
              <w:rPr>
                <w:rFonts w:ascii="Arial Narrow" w:hAnsi="Arial Narrow"/>
                <w:sz w:val="20"/>
              </w:rPr>
              <w:t>Dates of recruitment</w:t>
            </w:r>
          </w:p>
        </w:tc>
        <w:tc>
          <w:tcPr>
            <w:tcW w:w="1985" w:type="dxa"/>
          </w:tcPr>
          <w:p w14:paraId="2106091B" w14:textId="77777777" w:rsidR="00200AA9" w:rsidRPr="00200AA9" w:rsidRDefault="00200AA9" w:rsidP="00200AA9">
            <w:pPr>
              <w:spacing w:line="254" w:lineRule="auto"/>
              <w:jc w:val="center"/>
              <w:rPr>
                <w:rFonts w:ascii="Arial Narrow" w:hAnsi="Arial Narrow"/>
                <w:sz w:val="20"/>
              </w:rPr>
            </w:pPr>
            <w:r w:rsidRPr="00200AA9">
              <w:rPr>
                <w:rFonts w:ascii="Arial Narrow" w:hAnsi="Arial Narrow"/>
                <w:sz w:val="20"/>
              </w:rPr>
              <w:t>Outcomes assessed (in post-BTK inhibitor population)</w:t>
            </w:r>
          </w:p>
        </w:tc>
        <w:tc>
          <w:tcPr>
            <w:tcW w:w="2154" w:type="dxa"/>
          </w:tcPr>
          <w:p w14:paraId="7F981FDB" w14:textId="77777777" w:rsidR="00200AA9" w:rsidRPr="00200AA9" w:rsidRDefault="00200AA9" w:rsidP="00200AA9">
            <w:pPr>
              <w:spacing w:line="254" w:lineRule="auto"/>
              <w:jc w:val="center"/>
              <w:rPr>
                <w:rFonts w:ascii="Arial Narrow" w:hAnsi="Arial Narrow"/>
                <w:sz w:val="20"/>
              </w:rPr>
            </w:pPr>
            <w:r w:rsidRPr="00200AA9">
              <w:rPr>
                <w:rFonts w:ascii="Arial Narrow" w:hAnsi="Arial Narrow"/>
                <w:sz w:val="20"/>
              </w:rPr>
              <w:t>Study design</w:t>
            </w:r>
          </w:p>
        </w:tc>
        <w:tc>
          <w:tcPr>
            <w:tcW w:w="2155" w:type="dxa"/>
          </w:tcPr>
          <w:p w14:paraId="0A0B069A" w14:textId="77777777" w:rsidR="00200AA9" w:rsidRPr="00200AA9" w:rsidRDefault="00200AA9" w:rsidP="00200AA9">
            <w:pPr>
              <w:spacing w:line="254" w:lineRule="auto"/>
              <w:jc w:val="center"/>
              <w:rPr>
                <w:rFonts w:ascii="Arial Narrow" w:hAnsi="Arial Narrow"/>
                <w:sz w:val="20"/>
              </w:rPr>
            </w:pPr>
            <w:r w:rsidRPr="00200AA9">
              <w:rPr>
                <w:rFonts w:ascii="Arial Narrow" w:hAnsi="Arial Narrow"/>
                <w:sz w:val="20"/>
              </w:rPr>
              <w:t>Post BTK inhibitor patient population</w:t>
            </w:r>
          </w:p>
        </w:tc>
        <w:tc>
          <w:tcPr>
            <w:tcW w:w="2155" w:type="dxa"/>
          </w:tcPr>
          <w:p w14:paraId="6409071A" w14:textId="77777777" w:rsidR="00200AA9" w:rsidRPr="00200AA9" w:rsidRDefault="00200AA9" w:rsidP="00200AA9">
            <w:pPr>
              <w:spacing w:line="254" w:lineRule="auto"/>
              <w:jc w:val="center"/>
              <w:rPr>
                <w:rFonts w:ascii="Arial Narrow" w:hAnsi="Arial Narrow"/>
                <w:sz w:val="20"/>
              </w:rPr>
            </w:pPr>
            <w:r w:rsidRPr="00200AA9">
              <w:rPr>
                <w:rFonts w:ascii="Arial Narrow" w:hAnsi="Arial Narrow"/>
                <w:sz w:val="20"/>
              </w:rPr>
              <w:t>Intervention(s) post-BTK inhibitor</w:t>
            </w:r>
          </w:p>
        </w:tc>
      </w:tr>
      <w:tr w:rsidR="00200AA9" w:rsidRPr="00200AA9" w14:paraId="2C745690" w14:textId="77777777" w:rsidTr="004C0FEE">
        <w:trPr>
          <w:trHeight w:val="251"/>
        </w:trPr>
        <w:tc>
          <w:tcPr>
            <w:tcW w:w="14114" w:type="dxa"/>
            <w:gridSpan w:val="7"/>
          </w:tcPr>
          <w:p w14:paraId="5E8B98DE" w14:textId="77777777" w:rsidR="00200AA9" w:rsidRPr="00200AA9" w:rsidRDefault="00200AA9" w:rsidP="00200AA9">
            <w:pPr>
              <w:spacing w:line="254" w:lineRule="auto"/>
              <w:ind w:left="6"/>
              <w:rPr>
                <w:rFonts w:ascii="Arial Narrow" w:hAnsi="Arial Narrow"/>
                <w:b/>
                <w:bCs/>
                <w:sz w:val="20"/>
              </w:rPr>
            </w:pPr>
            <w:r w:rsidRPr="00200AA9">
              <w:rPr>
                <w:rFonts w:ascii="Arial Narrow" w:hAnsi="Arial Narrow"/>
                <w:b/>
                <w:bCs/>
                <w:sz w:val="20"/>
              </w:rPr>
              <w:t>Brexucabtagene autoleucel studies</w:t>
            </w:r>
          </w:p>
        </w:tc>
      </w:tr>
      <w:tr w:rsidR="00200AA9" w:rsidRPr="00200AA9" w14:paraId="04419431" w14:textId="77777777" w:rsidTr="004C0FEE">
        <w:tc>
          <w:tcPr>
            <w:tcW w:w="1413" w:type="dxa"/>
          </w:tcPr>
          <w:p w14:paraId="0629AAF5"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ZUMA-2</w:t>
            </w:r>
          </w:p>
        </w:tc>
        <w:tc>
          <w:tcPr>
            <w:tcW w:w="1843" w:type="dxa"/>
          </w:tcPr>
          <w:p w14:paraId="079027EA"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74 (FAS), 68 (</w:t>
            </w:r>
            <w:proofErr w:type="spellStart"/>
            <w:r w:rsidRPr="00200AA9">
              <w:rPr>
                <w:rFonts w:ascii="Arial Narrow" w:hAnsi="Arial Narrow"/>
                <w:sz w:val="20"/>
              </w:rPr>
              <w:t>mITT</w:t>
            </w:r>
            <w:proofErr w:type="spellEnd"/>
            <w:r w:rsidRPr="00200AA9">
              <w:rPr>
                <w:rFonts w:ascii="Arial Narrow" w:hAnsi="Arial Narrow"/>
                <w:sz w:val="20"/>
              </w:rPr>
              <w:t>)</w:t>
            </w:r>
          </w:p>
        </w:tc>
        <w:tc>
          <w:tcPr>
            <w:tcW w:w="2409" w:type="dxa"/>
          </w:tcPr>
          <w:p w14:paraId="4057E43F"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 xml:space="preserve">33 sites across the USA, France, </w:t>
            </w:r>
            <w:proofErr w:type="gramStart"/>
            <w:r w:rsidRPr="00200AA9">
              <w:rPr>
                <w:rFonts w:ascii="Arial Narrow" w:hAnsi="Arial Narrow"/>
                <w:sz w:val="20"/>
              </w:rPr>
              <w:t>Germany</w:t>
            </w:r>
            <w:proofErr w:type="gramEnd"/>
            <w:r w:rsidRPr="00200AA9">
              <w:rPr>
                <w:rFonts w:ascii="Arial Narrow" w:hAnsi="Arial Narrow"/>
                <w:sz w:val="20"/>
              </w:rPr>
              <w:t xml:space="preserve"> and the Netherlands</w:t>
            </w:r>
          </w:p>
          <w:p w14:paraId="06DC0D1F"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16 May 2016 – 31 Dec 2019</w:t>
            </w:r>
          </w:p>
        </w:tc>
        <w:tc>
          <w:tcPr>
            <w:tcW w:w="1985" w:type="dxa"/>
          </w:tcPr>
          <w:p w14:paraId="42F015A2" w14:textId="77777777" w:rsidR="00200AA9" w:rsidRPr="00200AA9" w:rsidRDefault="00200AA9" w:rsidP="00200AA9">
            <w:pPr>
              <w:pStyle w:val="ListParagraph"/>
              <w:spacing w:line="254" w:lineRule="auto"/>
              <w:ind w:left="0"/>
              <w:contextualSpacing w:val="0"/>
              <w:rPr>
                <w:rFonts w:ascii="Arial Narrow" w:hAnsi="Arial Narrow"/>
                <w:sz w:val="20"/>
                <w:lang w:val="de-DE"/>
              </w:rPr>
            </w:pPr>
            <w:r w:rsidRPr="00200AA9">
              <w:rPr>
                <w:rFonts w:ascii="Arial Narrow" w:hAnsi="Arial Narrow"/>
                <w:sz w:val="20"/>
                <w:lang w:val="de-DE"/>
              </w:rPr>
              <w:t>CR, ORR, PFS (KM), OS (KM)</w:t>
            </w:r>
          </w:p>
        </w:tc>
        <w:tc>
          <w:tcPr>
            <w:tcW w:w="2154" w:type="dxa"/>
          </w:tcPr>
          <w:p w14:paraId="0F7ACA9C"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Prospective Phase 2, MC, single arm in patients with R/R MCL with progression after or intolerance to a BTK inhibitor</w:t>
            </w:r>
          </w:p>
        </w:tc>
        <w:tc>
          <w:tcPr>
            <w:tcW w:w="2155" w:type="dxa"/>
          </w:tcPr>
          <w:p w14:paraId="74BB8594"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Patients with progression after receiving an anthracycline- or </w:t>
            </w:r>
            <w:proofErr w:type="spellStart"/>
            <w:r w:rsidRPr="00200AA9">
              <w:rPr>
                <w:rFonts w:ascii="Arial Narrow" w:hAnsi="Arial Narrow"/>
                <w:sz w:val="20"/>
              </w:rPr>
              <w:t>bendamustine</w:t>
            </w:r>
            <w:proofErr w:type="spellEnd"/>
            <w:r w:rsidRPr="00200AA9">
              <w:rPr>
                <w:rFonts w:ascii="Arial Narrow" w:hAnsi="Arial Narrow"/>
                <w:sz w:val="20"/>
              </w:rPr>
              <w:t>- containing chemotherapy, anti-CD20 antibody and a BTK inhibitor</w:t>
            </w:r>
          </w:p>
        </w:tc>
        <w:tc>
          <w:tcPr>
            <w:tcW w:w="2155" w:type="dxa"/>
          </w:tcPr>
          <w:p w14:paraId="590086D6"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KTE-X19</w:t>
            </w:r>
          </w:p>
        </w:tc>
      </w:tr>
      <w:tr w:rsidR="00200AA9" w:rsidRPr="00200AA9" w14:paraId="17165BBD" w14:textId="77777777" w:rsidTr="004C0FEE">
        <w:tc>
          <w:tcPr>
            <w:tcW w:w="14114" w:type="dxa"/>
            <w:gridSpan w:val="7"/>
          </w:tcPr>
          <w:p w14:paraId="62DEC41C" w14:textId="77777777" w:rsidR="00200AA9" w:rsidRPr="00200AA9" w:rsidRDefault="00200AA9" w:rsidP="00200AA9">
            <w:pPr>
              <w:spacing w:line="254" w:lineRule="auto"/>
              <w:ind w:left="6"/>
              <w:rPr>
                <w:rFonts w:ascii="Arial Narrow" w:hAnsi="Arial Narrow"/>
                <w:b/>
                <w:bCs/>
                <w:sz w:val="20"/>
              </w:rPr>
            </w:pPr>
            <w:r w:rsidRPr="00200AA9">
              <w:rPr>
                <w:rFonts w:ascii="Arial Narrow" w:hAnsi="Arial Narrow"/>
                <w:b/>
                <w:bCs/>
                <w:sz w:val="20"/>
              </w:rPr>
              <w:t>Salvage therapy prospective studies</w:t>
            </w:r>
          </w:p>
        </w:tc>
      </w:tr>
      <w:tr w:rsidR="00200AA9" w:rsidRPr="00200AA9" w14:paraId="59524FEF" w14:textId="77777777" w:rsidTr="004C0FEE">
        <w:tc>
          <w:tcPr>
            <w:tcW w:w="1413" w:type="dxa"/>
          </w:tcPr>
          <w:p w14:paraId="4FCA14E9" w14:textId="77777777" w:rsidR="00200AA9" w:rsidRPr="00200AA9" w:rsidRDefault="00200AA9" w:rsidP="00200AA9">
            <w:pPr>
              <w:spacing w:line="254" w:lineRule="auto"/>
              <w:rPr>
                <w:rFonts w:ascii="Arial Narrow" w:hAnsi="Arial Narrow"/>
                <w:sz w:val="20"/>
              </w:rPr>
            </w:pPr>
            <w:proofErr w:type="spellStart"/>
            <w:r w:rsidRPr="00200AA9">
              <w:rPr>
                <w:rFonts w:ascii="Arial Narrow" w:hAnsi="Arial Narrow"/>
                <w:sz w:val="20"/>
              </w:rPr>
              <w:t>Srour</w:t>
            </w:r>
            <w:proofErr w:type="spellEnd"/>
            <w:r w:rsidRPr="00200AA9">
              <w:rPr>
                <w:rFonts w:ascii="Arial Narrow" w:hAnsi="Arial Narrow"/>
                <w:sz w:val="20"/>
              </w:rPr>
              <w:t xml:space="preserve"> 2018</w:t>
            </w:r>
          </w:p>
        </w:tc>
        <w:tc>
          <w:tcPr>
            <w:tcW w:w="1843" w:type="dxa"/>
          </w:tcPr>
          <w:p w14:paraId="169111C7"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5</w:t>
            </w:r>
          </w:p>
        </w:tc>
        <w:tc>
          <w:tcPr>
            <w:tcW w:w="2409" w:type="dxa"/>
          </w:tcPr>
          <w:p w14:paraId="5663BEAE"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 xml:space="preserve">MD Anderson Cancer </w:t>
            </w:r>
            <w:proofErr w:type="spellStart"/>
            <w:r w:rsidRPr="00200AA9">
              <w:rPr>
                <w:rFonts w:ascii="Arial Narrow" w:hAnsi="Arial Narrow"/>
                <w:sz w:val="20"/>
              </w:rPr>
              <w:t>Center</w:t>
            </w:r>
            <w:proofErr w:type="spellEnd"/>
          </w:p>
          <w:p w14:paraId="4B970CAD"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Apr 2015 – May 2016</w:t>
            </w:r>
          </w:p>
        </w:tc>
        <w:tc>
          <w:tcPr>
            <w:tcW w:w="1985" w:type="dxa"/>
          </w:tcPr>
          <w:p w14:paraId="7CCE1F29"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CR, ORR</w:t>
            </w:r>
          </w:p>
        </w:tc>
        <w:tc>
          <w:tcPr>
            <w:tcW w:w="2154" w:type="dxa"/>
          </w:tcPr>
          <w:p w14:paraId="0A8E71B1"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Prospective pilot study of the DR2IVE protocol in patients with R/R MCL in patients previously treated with ibrutinib</w:t>
            </w:r>
          </w:p>
        </w:tc>
        <w:tc>
          <w:tcPr>
            <w:tcW w:w="2155" w:type="dxa"/>
          </w:tcPr>
          <w:p w14:paraId="15AC4847"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with resistance to ibrutinib</w:t>
            </w:r>
          </w:p>
        </w:tc>
        <w:tc>
          <w:tcPr>
            <w:tcW w:w="2155" w:type="dxa"/>
          </w:tcPr>
          <w:p w14:paraId="0D5D8F62"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DR2IVE</w:t>
            </w:r>
          </w:p>
        </w:tc>
      </w:tr>
      <w:tr w:rsidR="00200AA9" w:rsidRPr="00200AA9" w14:paraId="0B64FB8C" w14:textId="77777777" w:rsidTr="004C0FEE">
        <w:tc>
          <w:tcPr>
            <w:tcW w:w="14114" w:type="dxa"/>
            <w:gridSpan w:val="7"/>
          </w:tcPr>
          <w:p w14:paraId="45D1598B" w14:textId="77777777" w:rsidR="00200AA9" w:rsidRPr="00200AA9" w:rsidRDefault="00200AA9" w:rsidP="00200AA9">
            <w:pPr>
              <w:spacing w:line="254" w:lineRule="auto"/>
              <w:ind w:left="6"/>
              <w:rPr>
                <w:rFonts w:ascii="Arial Narrow" w:hAnsi="Arial Narrow"/>
                <w:b/>
                <w:bCs/>
                <w:sz w:val="20"/>
              </w:rPr>
            </w:pPr>
            <w:r w:rsidRPr="00200AA9">
              <w:rPr>
                <w:rFonts w:ascii="Arial Narrow" w:hAnsi="Arial Narrow"/>
                <w:b/>
                <w:bCs/>
                <w:sz w:val="20"/>
              </w:rPr>
              <w:t>Salvage therapy retrospective studies</w:t>
            </w:r>
          </w:p>
        </w:tc>
      </w:tr>
      <w:tr w:rsidR="00200AA9" w:rsidRPr="00200AA9" w14:paraId="7252F439" w14:textId="77777777" w:rsidTr="004C0FEE">
        <w:tc>
          <w:tcPr>
            <w:tcW w:w="1413" w:type="dxa"/>
          </w:tcPr>
          <w:p w14:paraId="3C12D95D"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McCulloch 2020a</w:t>
            </w:r>
          </w:p>
        </w:tc>
        <w:tc>
          <w:tcPr>
            <w:tcW w:w="1843" w:type="dxa"/>
          </w:tcPr>
          <w:p w14:paraId="3A29A4C5"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36</w:t>
            </w:r>
          </w:p>
        </w:tc>
        <w:tc>
          <w:tcPr>
            <w:tcW w:w="2409" w:type="dxa"/>
          </w:tcPr>
          <w:p w14:paraId="6AA2E731"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23 sites across the UK and Italy</w:t>
            </w:r>
          </w:p>
          <w:p w14:paraId="068C2389"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Oct 2015 – Mar 2019</w:t>
            </w:r>
          </w:p>
        </w:tc>
        <w:tc>
          <w:tcPr>
            <w:tcW w:w="1985" w:type="dxa"/>
          </w:tcPr>
          <w:p w14:paraId="493C055A" w14:textId="77777777" w:rsidR="00200AA9" w:rsidRPr="00200AA9" w:rsidRDefault="00200AA9" w:rsidP="00200AA9">
            <w:pPr>
              <w:pStyle w:val="ListParagraph"/>
              <w:spacing w:line="254" w:lineRule="auto"/>
              <w:ind w:left="0"/>
              <w:contextualSpacing w:val="0"/>
              <w:rPr>
                <w:rFonts w:ascii="Arial Narrow" w:hAnsi="Arial Narrow"/>
                <w:sz w:val="20"/>
                <w:lang w:val="de-DE"/>
              </w:rPr>
            </w:pPr>
            <w:r w:rsidRPr="00200AA9">
              <w:rPr>
                <w:rFonts w:ascii="Arial Narrow" w:hAnsi="Arial Narrow"/>
                <w:sz w:val="20"/>
                <w:lang w:val="de-DE"/>
              </w:rPr>
              <w:t>CR, ORR, PFS (KM), OS (KM)</w:t>
            </w:r>
          </w:p>
        </w:tc>
        <w:tc>
          <w:tcPr>
            <w:tcW w:w="2154" w:type="dxa"/>
          </w:tcPr>
          <w:p w14:paraId="1EA62B95"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Retrospective review of outcomes with R-BAC in patients with R/R MCL in the post-BTK inhibitor setting</w:t>
            </w:r>
          </w:p>
        </w:tc>
        <w:tc>
          <w:tcPr>
            <w:tcW w:w="2155" w:type="dxa"/>
          </w:tcPr>
          <w:p w14:paraId="67E2BD75"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with progression after a BTK inhibitor</w:t>
            </w:r>
          </w:p>
        </w:tc>
        <w:tc>
          <w:tcPr>
            <w:tcW w:w="2155" w:type="dxa"/>
          </w:tcPr>
          <w:p w14:paraId="008B128A"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R-BAC</w:t>
            </w:r>
          </w:p>
        </w:tc>
      </w:tr>
      <w:tr w:rsidR="00200AA9" w:rsidRPr="00200AA9" w14:paraId="59CF9DF5" w14:textId="77777777" w:rsidTr="004C0FEE">
        <w:tc>
          <w:tcPr>
            <w:tcW w:w="1413" w:type="dxa"/>
          </w:tcPr>
          <w:p w14:paraId="73702278"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Eyre 2019</w:t>
            </w:r>
          </w:p>
        </w:tc>
        <w:tc>
          <w:tcPr>
            <w:tcW w:w="1843" w:type="dxa"/>
          </w:tcPr>
          <w:p w14:paraId="2FE75366"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20</w:t>
            </w:r>
          </w:p>
        </w:tc>
        <w:tc>
          <w:tcPr>
            <w:tcW w:w="2409" w:type="dxa"/>
          </w:tcPr>
          <w:p w14:paraId="587748FE"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UK</w:t>
            </w:r>
          </w:p>
          <w:p w14:paraId="7338296A"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Mar 2016 - May 2018</w:t>
            </w:r>
          </w:p>
        </w:tc>
        <w:tc>
          <w:tcPr>
            <w:tcW w:w="1985" w:type="dxa"/>
          </w:tcPr>
          <w:p w14:paraId="4C99ABFC" w14:textId="77777777" w:rsidR="00200AA9" w:rsidRPr="00200AA9" w:rsidRDefault="00200AA9" w:rsidP="00200AA9">
            <w:pPr>
              <w:pStyle w:val="ListParagraph"/>
              <w:spacing w:line="254" w:lineRule="auto"/>
              <w:ind w:left="0"/>
              <w:contextualSpacing w:val="0"/>
              <w:rPr>
                <w:rFonts w:ascii="Arial Narrow" w:hAnsi="Arial Narrow"/>
                <w:sz w:val="20"/>
                <w:lang w:val="de-DE"/>
              </w:rPr>
            </w:pPr>
            <w:r w:rsidRPr="00200AA9">
              <w:rPr>
                <w:rFonts w:ascii="Arial Narrow" w:hAnsi="Arial Narrow"/>
                <w:sz w:val="20"/>
                <w:lang w:val="de-DE"/>
              </w:rPr>
              <w:t>CR, ORR, PFS (KM), OS (KM)</w:t>
            </w:r>
          </w:p>
        </w:tc>
        <w:tc>
          <w:tcPr>
            <w:tcW w:w="2154" w:type="dxa"/>
          </w:tcPr>
          <w:p w14:paraId="3E67D2B7"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Retrospective review of hospital records to investigate outcomes to </w:t>
            </w:r>
            <w:proofErr w:type="spellStart"/>
            <w:r w:rsidRPr="00200AA9">
              <w:rPr>
                <w:rFonts w:ascii="Arial Narrow" w:hAnsi="Arial Narrow"/>
                <w:sz w:val="20"/>
              </w:rPr>
              <w:t>venetoclax</w:t>
            </w:r>
            <w:proofErr w:type="spellEnd"/>
            <w:r w:rsidRPr="00200AA9">
              <w:rPr>
                <w:rFonts w:ascii="Arial Narrow" w:hAnsi="Arial Narrow"/>
                <w:sz w:val="20"/>
              </w:rPr>
              <w:t xml:space="preserve"> in patients with R/R MCL in the post-BTK inhibitor setting</w:t>
            </w:r>
          </w:p>
        </w:tc>
        <w:tc>
          <w:tcPr>
            <w:tcW w:w="2155" w:type="dxa"/>
          </w:tcPr>
          <w:p w14:paraId="300B8D19"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with R/R MCL treated via a compassionate use program (AbbVie)</w:t>
            </w:r>
          </w:p>
        </w:tc>
        <w:tc>
          <w:tcPr>
            <w:tcW w:w="2155" w:type="dxa"/>
          </w:tcPr>
          <w:p w14:paraId="4630D106" w14:textId="77777777" w:rsidR="00200AA9" w:rsidRPr="00200AA9" w:rsidRDefault="00200AA9" w:rsidP="00200AA9">
            <w:pPr>
              <w:pStyle w:val="ListParagraph"/>
              <w:spacing w:line="254" w:lineRule="auto"/>
              <w:ind w:left="0"/>
              <w:contextualSpacing w:val="0"/>
              <w:rPr>
                <w:rFonts w:ascii="Arial Narrow" w:hAnsi="Arial Narrow"/>
                <w:sz w:val="20"/>
              </w:rPr>
            </w:pPr>
            <w:proofErr w:type="spellStart"/>
            <w:r w:rsidRPr="00200AA9">
              <w:rPr>
                <w:rFonts w:ascii="Arial Narrow" w:hAnsi="Arial Narrow"/>
                <w:sz w:val="20"/>
              </w:rPr>
              <w:t>Venetoclax</w:t>
            </w:r>
            <w:proofErr w:type="spellEnd"/>
            <w:r w:rsidRPr="00200AA9">
              <w:rPr>
                <w:rFonts w:ascii="Arial Narrow" w:hAnsi="Arial Narrow"/>
                <w:sz w:val="20"/>
              </w:rPr>
              <w:t xml:space="preserve"> monotherapy</w:t>
            </w:r>
          </w:p>
        </w:tc>
      </w:tr>
      <w:tr w:rsidR="00200AA9" w:rsidRPr="00200AA9" w14:paraId="5AB41EA7" w14:textId="77777777" w:rsidTr="004C0FEE">
        <w:tc>
          <w:tcPr>
            <w:tcW w:w="1413" w:type="dxa"/>
          </w:tcPr>
          <w:p w14:paraId="0CEBA47C"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Jain 2018b</w:t>
            </w:r>
          </w:p>
        </w:tc>
        <w:tc>
          <w:tcPr>
            <w:tcW w:w="1843" w:type="dxa"/>
          </w:tcPr>
          <w:p w14:paraId="4711F2C7"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35</w:t>
            </w:r>
          </w:p>
        </w:tc>
        <w:tc>
          <w:tcPr>
            <w:tcW w:w="2409" w:type="dxa"/>
          </w:tcPr>
          <w:p w14:paraId="169B8BF2"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 xml:space="preserve">MD Anderson Cancer </w:t>
            </w:r>
            <w:proofErr w:type="spellStart"/>
            <w:r w:rsidRPr="00200AA9">
              <w:rPr>
                <w:rFonts w:ascii="Arial Narrow" w:hAnsi="Arial Narrow"/>
                <w:sz w:val="20"/>
              </w:rPr>
              <w:t>Center</w:t>
            </w:r>
            <w:proofErr w:type="spellEnd"/>
          </w:p>
          <w:p w14:paraId="6854799C"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Feb 2011 – Mar 2017</w:t>
            </w:r>
          </w:p>
        </w:tc>
        <w:tc>
          <w:tcPr>
            <w:tcW w:w="1985" w:type="dxa"/>
          </w:tcPr>
          <w:p w14:paraId="0BCA4671"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trike/>
                <w:sz w:val="20"/>
              </w:rPr>
              <w:t>CR, ORR,</w:t>
            </w:r>
            <w:r w:rsidRPr="00200AA9">
              <w:rPr>
                <w:rFonts w:ascii="Arial Narrow" w:hAnsi="Arial Narrow"/>
                <w:sz w:val="20"/>
              </w:rPr>
              <w:t xml:space="preserve"> OS (IPD*)</w:t>
            </w:r>
          </w:p>
          <w:p w14:paraId="69FD1EB0" w14:textId="4CA93A37" w:rsidR="00200AA9" w:rsidRPr="00200AA9" w:rsidRDefault="00A13E62" w:rsidP="00200AA9">
            <w:pPr>
              <w:pStyle w:val="ListParagraph"/>
              <w:spacing w:line="254" w:lineRule="auto"/>
              <w:ind w:left="0"/>
              <w:contextualSpacing w:val="0"/>
              <w:rPr>
                <w:rFonts w:ascii="Arial Narrow" w:hAnsi="Arial Narrow"/>
                <w:i/>
                <w:sz w:val="20"/>
              </w:rPr>
            </w:pPr>
            <w:r>
              <w:rPr>
                <w:rFonts w:ascii="Arial Narrow" w:hAnsi="Arial Narrow"/>
                <w:i/>
                <w:color w:val="0057D6"/>
                <w:sz w:val="20"/>
              </w:rPr>
              <w:t>**</w:t>
            </w:r>
            <w:r w:rsidR="00200AA9" w:rsidRPr="00200AA9">
              <w:rPr>
                <w:rFonts w:ascii="Arial Narrow" w:hAnsi="Arial Narrow"/>
                <w:i/>
                <w:color w:val="0057D6"/>
                <w:sz w:val="20"/>
              </w:rPr>
              <w:t>CR and ORR not reported in this study</w:t>
            </w:r>
          </w:p>
        </w:tc>
        <w:tc>
          <w:tcPr>
            <w:tcW w:w="2154" w:type="dxa"/>
          </w:tcPr>
          <w:p w14:paraId="2E8F2446"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Retrospective chart review of patients with R/R MCL treated with ibrutinib</w:t>
            </w:r>
          </w:p>
        </w:tc>
        <w:tc>
          <w:tcPr>
            <w:tcW w:w="2155" w:type="dxa"/>
          </w:tcPr>
          <w:p w14:paraId="446F5F35"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with R/R MCL after discontinuing ibrutinib</w:t>
            </w:r>
          </w:p>
        </w:tc>
        <w:tc>
          <w:tcPr>
            <w:tcW w:w="2155" w:type="dxa"/>
          </w:tcPr>
          <w:p w14:paraId="7FA43C8E"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Not all patients received salvage therapy. However, some outcomes are reported for those treated with salvage therapy (rituximab, cyclophosphamide, radiation, </w:t>
            </w:r>
            <w:proofErr w:type="spellStart"/>
            <w:r w:rsidRPr="00200AA9">
              <w:rPr>
                <w:rFonts w:ascii="Arial Narrow" w:hAnsi="Arial Narrow"/>
                <w:sz w:val="20"/>
              </w:rPr>
              <w:t>bendamustine</w:t>
            </w:r>
            <w:proofErr w:type="spellEnd"/>
            <w:r w:rsidRPr="00200AA9">
              <w:rPr>
                <w:rFonts w:ascii="Arial Narrow" w:hAnsi="Arial Narrow"/>
                <w:sz w:val="20"/>
              </w:rPr>
              <w:t>, lenalidomide or bortezomib)</w:t>
            </w:r>
          </w:p>
        </w:tc>
      </w:tr>
      <w:tr w:rsidR="00200AA9" w:rsidRPr="00200AA9" w14:paraId="5E78BF3E" w14:textId="77777777" w:rsidTr="004C0FEE">
        <w:tc>
          <w:tcPr>
            <w:tcW w:w="1413" w:type="dxa"/>
          </w:tcPr>
          <w:p w14:paraId="4B08CB4D"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lastRenderedPageBreak/>
              <w:t>Wang 2017</w:t>
            </w:r>
          </w:p>
        </w:tc>
        <w:tc>
          <w:tcPr>
            <w:tcW w:w="1843" w:type="dxa"/>
          </w:tcPr>
          <w:p w14:paraId="2B6C32A0"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58</w:t>
            </w:r>
          </w:p>
        </w:tc>
        <w:tc>
          <w:tcPr>
            <w:tcW w:w="2409" w:type="dxa"/>
          </w:tcPr>
          <w:p w14:paraId="70DEDBF2"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11 sites across the USA and England</w:t>
            </w:r>
          </w:p>
          <w:p w14:paraId="30A8B91E"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1 Mar 2009 – 12 Apr 2016</w:t>
            </w:r>
          </w:p>
        </w:tc>
        <w:tc>
          <w:tcPr>
            <w:tcW w:w="1985" w:type="dxa"/>
          </w:tcPr>
          <w:p w14:paraId="53D28472"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CR, ORR</w:t>
            </w:r>
          </w:p>
        </w:tc>
        <w:tc>
          <w:tcPr>
            <w:tcW w:w="2154" w:type="dxa"/>
          </w:tcPr>
          <w:p w14:paraId="4E2FED5E"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Retrospective, observational, MC study in patients with R/R MCL who had progression or were refractory to ibrutinib</w:t>
            </w:r>
          </w:p>
        </w:tc>
        <w:tc>
          <w:tcPr>
            <w:tcW w:w="2155" w:type="dxa"/>
          </w:tcPr>
          <w:p w14:paraId="1FB214D4"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with relapse post-, progression post-, refractory to or intolerance to ibrutinib</w:t>
            </w:r>
          </w:p>
        </w:tc>
        <w:tc>
          <w:tcPr>
            <w:tcW w:w="2155" w:type="dxa"/>
          </w:tcPr>
          <w:p w14:paraId="0DD5CF27"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Lenalidomide-based therapy</w:t>
            </w:r>
          </w:p>
        </w:tc>
      </w:tr>
      <w:tr w:rsidR="00200AA9" w:rsidRPr="00200AA9" w14:paraId="0F9B9E6B" w14:textId="77777777" w:rsidTr="004C0FEE">
        <w:tc>
          <w:tcPr>
            <w:tcW w:w="1413" w:type="dxa"/>
          </w:tcPr>
          <w:p w14:paraId="594D9094"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Martin 2016</w:t>
            </w:r>
          </w:p>
        </w:tc>
        <w:tc>
          <w:tcPr>
            <w:tcW w:w="1843" w:type="dxa"/>
          </w:tcPr>
          <w:p w14:paraId="0FB05C8E"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73</w:t>
            </w:r>
          </w:p>
        </w:tc>
        <w:tc>
          <w:tcPr>
            <w:tcW w:w="2409" w:type="dxa"/>
          </w:tcPr>
          <w:p w14:paraId="7BDB5E71"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 xml:space="preserve">15 sites across the USA, UK, </w:t>
            </w:r>
            <w:proofErr w:type="gramStart"/>
            <w:r w:rsidRPr="00200AA9">
              <w:rPr>
                <w:rFonts w:ascii="Arial Narrow" w:hAnsi="Arial Narrow"/>
                <w:sz w:val="20"/>
              </w:rPr>
              <w:t>Germany</w:t>
            </w:r>
            <w:proofErr w:type="gramEnd"/>
            <w:r w:rsidRPr="00200AA9">
              <w:rPr>
                <w:rFonts w:ascii="Arial Narrow" w:hAnsi="Arial Narrow"/>
                <w:sz w:val="20"/>
              </w:rPr>
              <w:t xml:space="preserve"> and Poland</w:t>
            </w:r>
          </w:p>
          <w:p w14:paraId="29C3115C"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No recruitment date specified</w:t>
            </w:r>
          </w:p>
        </w:tc>
        <w:tc>
          <w:tcPr>
            <w:tcW w:w="1985" w:type="dxa"/>
          </w:tcPr>
          <w:p w14:paraId="3B7DB716" w14:textId="77777777" w:rsidR="00200AA9" w:rsidRPr="00200AA9" w:rsidRDefault="00200AA9" w:rsidP="00200AA9">
            <w:pPr>
              <w:pStyle w:val="ListParagraph"/>
              <w:spacing w:line="254" w:lineRule="auto"/>
              <w:ind w:left="0"/>
              <w:contextualSpacing w:val="0"/>
              <w:rPr>
                <w:rFonts w:ascii="Arial Narrow" w:hAnsi="Arial Narrow"/>
                <w:sz w:val="20"/>
                <w:lang w:val="de-DE"/>
              </w:rPr>
            </w:pPr>
            <w:r w:rsidRPr="00200AA9">
              <w:rPr>
                <w:rFonts w:ascii="Arial Narrow" w:hAnsi="Arial Narrow"/>
                <w:sz w:val="20"/>
                <w:lang w:val="de-DE"/>
              </w:rPr>
              <w:t>CR, ORR, PFS, OS (KM)</w:t>
            </w:r>
          </w:p>
        </w:tc>
        <w:tc>
          <w:tcPr>
            <w:tcW w:w="2154" w:type="dxa"/>
          </w:tcPr>
          <w:p w14:paraId="60E59777"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Retrospective cohort study with R/R MCL with progression after ibrutinib</w:t>
            </w:r>
          </w:p>
        </w:tc>
        <w:tc>
          <w:tcPr>
            <w:tcW w:w="2155" w:type="dxa"/>
          </w:tcPr>
          <w:p w14:paraId="62F08D37"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with progression after ibrutinib</w:t>
            </w:r>
          </w:p>
        </w:tc>
        <w:tc>
          <w:tcPr>
            <w:tcW w:w="2155" w:type="dxa"/>
          </w:tcPr>
          <w:p w14:paraId="416660C8"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Rituximab, lenalidomide, cytarabine or </w:t>
            </w:r>
            <w:proofErr w:type="spellStart"/>
            <w:r w:rsidRPr="00200AA9">
              <w:rPr>
                <w:rFonts w:ascii="Arial Narrow" w:hAnsi="Arial Narrow"/>
                <w:sz w:val="20"/>
              </w:rPr>
              <w:t>bendamustine</w:t>
            </w:r>
            <w:proofErr w:type="spellEnd"/>
          </w:p>
        </w:tc>
      </w:tr>
      <w:tr w:rsidR="00200AA9" w:rsidRPr="00200AA9" w14:paraId="75013F2A" w14:textId="77777777" w:rsidTr="004C0FEE">
        <w:tc>
          <w:tcPr>
            <w:tcW w:w="1413" w:type="dxa"/>
          </w:tcPr>
          <w:p w14:paraId="60192677"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Cheah 2015</w:t>
            </w:r>
          </w:p>
        </w:tc>
        <w:tc>
          <w:tcPr>
            <w:tcW w:w="1843" w:type="dxa"/>
          </w:tcPr>
          <w:p w14:paraId="3FE59AE4"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31</w:t>
            </w:r>
          </w:p>
        </w:tc>
        <w:tc>
          <w:tcPr>
            <w:tcW w:w="2409" w:type="dxa"/>
          </w:tcPr>
          <w:p w14:paraId="6673F9BD"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 xml:space="preserve">MD Anderson Cancer </w:t>
            </w:r>
            <w:proofErr w:type="spellStart"/>
            <w:r w:rsidRPr="00200AA9">
              <w:rPr>
                <w:rFonts w:ascii="Arial Narrow" w:hAnsi="Arial Narrow"/>
                <w:sz w:val="20"/>
              </w:rPr>
              <w:t>Center</w:t>
            </w:r>
            <w:proofErr w:type="spellEnd"/>
          </w:p>
          <w:p w14:paraId="0A40AA7F"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Jan 2011 – Jan 2014</w:t>
            </w:r>
          </w:p>
        </w:tc>
        <w:tc>
          <w:tcPr>
            <w:tcW w:w="1985" w:type="dxa"/>
          </w:tcPr>
          <w:p w14:paraId="6DD96DA6"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CR, ORR,</w:t>
            </w:r>
            <w:r w:rsidRPr="00200AA9">
              <w:rPr>
                <w:rFonts w:ascii="Arial Narrow" w:hAnsi="Arial Narrow"/>
                <w:sz w:val="20"/>
              </w:rPr>
              <w:br/>
              <w:t>OS (KM by response)</w:t>
            </w:r>
          </w:p>
        </w:tc>
        <w:tc>
          <w:tcPr>
            <w:tcW w:w="2154" w:type="dxa"/>
          </w:tcPr>
          <w:p w14:paraId="49507D41"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Retrospective review of outcomes in patients with R/R MCL in the post-ibrutinib setting who were treated with salvage therapy </w:t>
            </w:r>
          </w:p>
        </w:tc>
        <w:tc>
          <w:tcPr>
            <w:tcW w:w="2155" w:type="dxa"/>
          </w:tcPr>
          <w:p w14:paraId="2FE1FB82"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discontinuing ibrutinib for any reason</w:t>
            </w:r>
          </w:p>
        </w:tc>
        <w:tc>
          <w:tcPr>
            <w:tcW w:w="2155" w:type="dxa"/>
          </w:tcPr>
          <w:p w14:paraId="0B7A7C5A"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Salvage therapy (cyclophosphamide, </w:t>
            </w:r>
            <w:proofErr w:type="spellStart"/>
            <w:r w:rsidRPr="00200AA9">
              <w:rPr>
                <w:rFonts w:ascii="Arial Narrow" w:hAnsi="Arial Narrow"/>
                <w:sz w:val="20"/>
              </w:rPr>
              <w:t>bendamustine</w:t>
            </w:r>
            <w:proofErr w:type="spellEnd"/>
            <w:r w:rsidRPr="00200AA9">
              <w:rPr>
                <w:rFonts w:ascii="Arial Narrow" w:hAnsi="Arial Narrow"/>
                <w:sz w:val="20"/>
              </w:rPr>
              <w:t>, lenalidomide, bortezomib, clinical trial or radiation)</w:t>
            </w:r>
          </w:p>
        </w:tc>
      </w:tr>
      <w:tr w:rsidR="00200AA9" w:rsidRPr="00200AA9" w14:paraId="190DD333" w14:textId="77777777" w:rsidTr="004C0FEE">
        <w:tc>
          <w:tcPr>
            <w:tcW w:w="14114" w:type="dxa"/>
            <w:gridSpan w:val="7"/>
          </w:tcPr>
          <w:p w14:paraId="4BE1307C" w14:textId="77777777" w:rsidR="00200AA9" w:rsidRPr="00200AA9" w:rsidRDefault="00200AA9" w:rsidP="00200AA9">
            <w:pPr>
              <w:spacing w:line="254" w:lineRule="auto"/>
              <w:ind w:left="6"/>
              <w:rPr>
                <w:rFonts w:ascii="Arial Narrow" w:hAnsi="Arial Narrow"/>
                <w:b/>
                <w:bCs/>
                <w:sz w:val="20"/>
              </w:rPr>
            </w:pPr>
            <w:r w:rsidRPr="00200AA9">
              <w:rPr>
                <w:rFonts w:ascii="Arial Narrow" w:hAnsi="Arial Narrow"/>
                <w:b/>
                <w:bCs/>
                <w:sz w:val="20"/>
              </w:rPr>
              <w:t>Other studies reporting outcomes of salvage therapy in the post-BTK inhibitor setting</w:t>
            </w:r>
          </w:p>
        </w:tc>
      </w:tr>
      <w:tr w:rsidR="00200AA9" w:rsidRPr="00200AA9" w14:paraId="7F0478D4" w14:textId="77777777" w:rsidTr="004C0FEE">
        <w:tc>
          <w:tcPr>
            <w:tcW w:w="1413" w:type="dxa"/>
          </w:tcPr>
          <w:p w14:paraId="426C1050"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Tucker 2020a</w:t>
            </w:r>
          </w:p>
        </w:tc>
        <w:tc>
          <w:tcPr>
            <w:tcW w:w="1843" w:type="dxa"/>
          </w:tcPr>
          <w:p w14:paraId="46BA9D29"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22</w:t>
            </w:r>
          </w:p>
          <w:p w14:paraId="002C0E68"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w:t>
            </w:r>
            <w:proofErr w:type="gramStart"/>
            <w:r w:rsidRPr="00200AA9">
              <w:rPr>
                <w:rFonts w:ascii="Arial Narrow" w:hAnsi="Arial Narrow"/>
                <w:sz w:val="20"/>
              </w:rPr>
              <w:t>reported</w:t>
            </w:r>
            <w:proofErr w:type="gramEnd"/>
            <w:r w:rsidRPr="00200AA9">
              <w:rPr>
                <w:rFonts w:ascii="Arial Narrow" w:hAnsi="Arial Narrow"/>
                <w:sz w:val="20"/>
              </w:rPr>
              <w:t xml:space="preserve"> by McCulloch 2020b)</w:t>
            </w:r>
          </w:p>
        </w:tc>
        <w:tc>
          <w:tcPr>
            <w:tcW w:w="2409" w:type="dxa"/>
          </w:tcPr>
          <w:p w14:paraId="35315D76"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37 hospitals across the UK and Ireland</w:t>
            </w:r>
          </w:p>
          <w:p w14:paraId="41DB3BC1"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Janssen-</w:t>
            </w:r>
            <w:proofErr w:type="spellStart"/>
            <w:r w:rsidRPr="00200AA9">
              <w:rPr>
                <w:rFonts w:ascii="Arial Narrow" w:hAnsi="Arial Narrow"/>
                <w:sz w:val="20"/>
              </w:rPr>
              <w:t>Cilag</w:t>
            </w:r>
            <w:proofErr w:type="spellEnd"/>
            <w:r w:rsidRPr="00200AA9">
              <w:rPr>
                <w:rFonts w:ascii="Arial Narrow" w:hAnsi="Arial Narrow"/>
                <w:sz w:val="20"/>
              </w:rPr>
              <w:t xml:space="preserve"> Name Patient Programme; Nov 2014 – Dec 2015</w:t>
            </w:r>
          </w:p>
        </w:tc>
        <w:tc>
          <w:tcPr>
            <w:tcW w:w="1985" w:type="dxa"/>
          </w:tcPr>
          <w:p w14:paraId="129032B5"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OS (KM by subsequent treatment)</w:t>
            </w:r>
          </w:p>
        </w:tc>
        <w:tc>
          <w:tcPr>
            <w:tcW w:w="2154" w:type="dxa"/>
          </w:tcPr>
          <w:p w14:paraId="40F60A31"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Retrospective, 5-year real world observational study of patients receiving ibrutinib</w:t>
            </w:r>
          </w:p>
        </w:tc>
        <w:tc>
          <w:tcPr>
            <w:tcW w:w="2155" w:type="dxa"/>
          </w:tcPr>
          <w:p w14:paraId="39F1DBBC"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with progression while receiving ibrutinib</w:t>
            </w:r>
          </w:p>
        </w:tc>
        <w:tc>
          <w:tcPr>
            <w:tcW w:w="2155" w:type="dxa"/>
          </w:tcPr>
          <w:p w14:paraId="0E877E49"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R-BAC, low-dose chemotherapy, radiation, lenalidomide or </w:t>
            </w:r>
            <w:proofErr w:type="spellStart"/>
            <w:r w:rsidRPr="00200AA9">
              <w:rPr>
                <w:rFonts w:ascii="Arial Narrow" w:hAnsi="Arial Narrow"/>
                <w:sz w:val="20"/>
              </w:rPr>
              <w:t>venetoclax</w:t>
            </w:r>
            <w:proofErr w:type="spellEnd"/>
          </w:p>
        </w:tc>
      </w:tr>
      <w:tr w:rsidR="00200AA9" w:rsidRPr="00200AA9" w14:paraId="50B10E35" w14:textId="77777777" w:rsidTr="004C0FEE">
        <w:tc>
          <w:tcPr>
            <w:tcW w:w="1413" w:type="dxa"/>
          </w:tcPr>
          <w:p w14:paraId="699C53B3"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Jeon 2019</w:t>
            </w:r>
          </w:p>
        </w:tc>
        <w:tc>
          <w:tcPr>
            <w:tcW w:w="1843" w:type="dxa"/>
          </w:tcPr>
          <w:p w14:paraId="2D43EF71"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6</w:t>
            </w:r>
          </w:p>
        </w:tc>
        <w:tc>
          <w:tcPr>
            <w:tcW w:w="2409" w:type="dxa"/>
          </w:tcPr>
          <w:p w14:paraId="22458DBB"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Catholic Hematology Hospital, South Korea</w:t>
            </w:r>
          </w:p>
          <w:p w14:paraId="615B03F1"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Jan 2013 – Aug 2018</w:t>
            </w:r>
          </w:p>
        </w:tc>
        <w:tc>
          <w:tcPr>
            <w:tcW w:w="1985" w:type="dxa"/>
          </w:tcPr>
          <w:p w14:paraId="7BB3198D"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ORR</w:t>
            </w:r>
          </w:p>
        </w:tc>
        <w:tc>
          <w:tcPr>
            <w:tcW w:w="2154" w:type="dxa"/>
          </w:tcPr>
          <w:p w14:paraId="20E830BC"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Retrospective, observational cohort study of patients with R/R MCL receiving salvage therapy with ibrutinib</w:t>
            </w:r>
          </w:p>
        </w:tc>
        <w:tc>
          <w:tcPr>
            <w:tcW w:w="2155" w:type="dxa"/>
          </w:tcPr>
          <w:p w14:paraId="06A24F2D"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receiving salvage chemotherapy after resistance to ibrutinib</w:t>
            </w:r>
          </w:p>
        </w:tc>
        <w:tc>
          <w:tcPr>
            <w:tcW w:w="2155" w:type="dxa"/>
          </w:tcPr>
          <w:p w14:paraId="1BC431A3"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BR or ESHAP</w:t>
            </w:r>
          </w:p>
        </w:tc>
      </w:tr>
      <w:tr w:rsidR="00200AA9" w:rsidRPr="00200AA9" w14:paraId="5740082F" w14:textId="77777777" w:rsidTr="004C0FEE">
        <w:tc>
          <w:tcPr>
            <w:tcW w:w="1413" w:type="dxa"/>
          </w:tcPr>
          <w:p w14:paraId="337AF8D9" w14:textId="77777777" w:rsidR="00200AA9" w:rsidRPr="00200AA9" w:rsidRDefault="00200AA9" w:rsidP="00200AA9">
            <w:pPr>
              <w:spacing w:line="254" w:lineRule="auto"/>
              <w:rPr>
                <w:rFonts w:ascii="Arial Narrow" w:hAnsi="Arial Narrow"/>
                <w:sz w:val="20"/>
              </w:rPr>
            </w:pPr>
            <w:proofErr w:type="spellStart"/>
            <w:r w:rsidRPr="00200AA9">
              <w:rPr>
                <w:rFonts w:ascii="Arial Narrow" w:hAnsi="Arial Narrow"/>
                <w:sz w:val="20"/>
              </w:rPr>
              <w:t>Regny</w:t>
            </w:r>
            <w:proofErr w:type="spellEnd"/>
            <w:r w:rsidRPr="00200AA9">
              <w:rPr>
                <w:rFonts w:ascii="Arial Narrow" w:hAnsi="Arial Narrow"/>
                <w:sz w:val="20"/>
              </w:rPr>
              <w:t xml:space="preserve"> 2019</w:t>
            </w:r>
          </w:p>
        </w:tc>
        <w:tc>
          <w:tcPr>
            <w:tcW w:w="1843" w:type="dxa"/>
          </w:tcPr>
          <w:p w14:paraId="0FA95E66"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12</w:t>
            </w:r>
          </w:p>
        </w:tc>
        <w:tc>
          <w:tcPr>
            <w:tcW w:w="2409" w:type="dxa"/>
          </w:tcPr>
          <w:p w14:paraId="6F97200E"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19 sites</w:t>
            </w:r>
          </w:p>
          <w:p w14:paraId="13B5B159"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Jun 2016 – Jan 2019</w:t>
            </w:r>
          </w:p>
        </w:tc>
        <w:tc>
          <w:tcPr>
            <w:tcW w:w="1985" w:type="dxa"/>
          </w:tcPr>
          <w:p w14:paraId="3C616B57"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CR, ORR</w:t>
            </w:r>
          </w:p>
        </w:tc>
        <w:tc>
          <w:tcPr>
            <w:tcW w:w="2154" w:type="dxa"/>
          </w:tcPr>
          <w:p w14:paraId="005FB171"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Retrospective review of </w:t>
            </w:r>
            <w:proofErr w:type="spellStart"/>
            <w:r w:rsidRPr="00200AA9">
              <w:rPr>
                <w:rFonts w:ascii="Arial Narrow" w:hAnsi="Arial Narrow"/>
                <w:sz w:val="20"/>
              </w:rPr>
              <w:t>RiBVD</w:t>
            </w:r>
            <w:proofErr w:type="spellEnd"/>
            <w:r w:rsidRPr="00200AA9">
              <w:rPr>
                <w:rFonts w:ascii="Arial Narrow" w:hAnsi="Arial Narrow"/>
                <w:sz w:val="20"/>
              </w:rPr>
              <w:t xml:space="preserve"> regimen in patients with R/R MCL</w:t>
            </w:r>
          </w:p>
        </w:tc>
        <w:tc>
          <w:tcPr>
            <w:tcW w:w="2155" w:type="dxa"/>
          </w:tcPr>
          <w:p w14:paraId="7226DE71"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failing treatment with ibrutinib</w:t>
            </w:r>
          </w:p>
        </w:tc>
        <w:tc>
          <w:tcPr>
            <w:tcW w:w="2155" w:type="dxa"/>
          </w:tcPr>
          <w:p w14:paraId="58307D34" w14:textId="77777777" w:rsidR="00200AA9" w:rsidRPr="00200AA9" w:rsidRDefault="00200AA9" w:rsidP="00200AA9">
            <w:pPr>
              <w:pStyle w:val="ListParagraph"/>
              <w:spacing w:line="254" w:lineRule="auto"/>
              <w:ind w:left="0"/>
              <w:contextualSpacing w:val="0"/>
              <w:rPr>
                <w:rFonts w:ascii="Arial Narrow" w:hAnsi="Arial Narrow"/>
                <w:sz w:val="20"/>
              </w:rPr>
            </w:pPr>
            <w:proofErr w:type="spellStart"/>
            <w:r w:rsidRPr="00200AA9">
              <w:rPr>
                <w:rFonts w:ascii="Arial Narrow" w:hAnsi="Arial Narrow"/>
                <w:sz w:val="20"/>
              </w:rPr>
              <w:t>RiBVD</w:t>
            </w:r>
            <w:proofErr w:type="spellEnd"/>
          </w:p>
        </w:tc>
      </w:tr>
      <w:tr w:rsidR="00200AA9" w:rsidRPr="00200AA9" w14:paraId="7221B314" w14:textId="77777777" w:rsidTr="004C0FEE">
        <w:tc>
          <w:tcPr>
            <w:tcW w:w="1413" w:type="dxa"/>
          </w:tcPr>
          <w:p w14:paraId="4E86DA2D" w14:textId="77777777" w:rsidR="00200AA9" w:rsidRPr="00200AA9" w:rsidRDefault="00200AA9" w:rsidP="00200AA9">
            <w:pPr>
              <w:spacing w:line="254" w:lineRule="auto"/>
              <w:rPr>
                <w:rFonts w:ascii="Arial Narrow" w:hAnsi="Arial Narrow"/>
                <w:sz w:val="20"/>
              </w:rPr>
            </w:pPr>
            <w:r w:rsidRPr="00200AA9">
              <w:rPr>
                <w:rFonts w:ascii="Arial Narrow" w:hAnsi="Arial Narrow"/>
                <w:sz w:val="20"/>
              </w:rPr>
              <w:t>Jain 2018a</w:t>
            </w:r>
          </w:p>
        </w:tc>
        <w:tc>
          <w:tcPr>
            <w:tcW w:w="1843" w:type="dxa"/>
          </w:tcPr>
          <w:p w14:paraId="266CC7CA"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13</w:t>
            </w:r>
          </w:p>
        </w:tc>
        <w:tc>
          <w:tcPr>
            <w:tcW w:w="2409" w:type="dxa"/>
          </w:tcPr>
          <w:p w14:paraId="36396940"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 xml:space="preserve">MD Anderson Cancer </w:t>
            </w:r>
            <w:proofErr w:type="spellStart"/>
            <w:r w:rsidRPr="00200AA9">
              <w:rPr>
                <w:rFonts w:ascii="Arial Narrow" w:hAnsi="Arial Narrow"/>
                <w:sz w:val="20"/>
              </w:rPr>
              <w:t>Center</w:t>
            </w:r>
            <w:proofErr w:type="spellEnd"/>
          </w:p>
          <w:p w14:paraId="5387800F"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15 Jul 2013 – Jan 2018</w:t>
            </w:r>
          </w:p>
        </w:tc>
        <w:tc>
          <w:tcPr>
            <w:tcW w:w="1985" w:type="dxa"/>
          </w:tcPr>
          <w:p w14:paraId="1048A80D"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trike/>
                <w:sz w:val="20"/>
              </w:rPr>
              <w:t>CR, ORR,</w:t>
            </w:r>
            <w:r w:rsidRPr="00200AA9">
              <w:rPr>
                <w:rFonts w:ascii="Arial Narrow" w:hAnsi="Arial Narrow"/>
                <w:sz w:val="20"/>
              </w:rPr>
              <w:t xml:space="preserve"> OS (IPD*)</w:t>
            </w:r>
          </w:p>
          <w:p w14:paraId="4E63C414" w14:textId="1A7ED437" w:rsidR="00200AA9" w:rsidRPr="00200AA9" w:rsidRDefault="00A13E62" w:rsidP="00200AA9">
            <w:pPr>
              <w:pStyle w:val="ListParagraph"/>
              <w:spacing w:line="254" w:lineRule="auto"/>
              <w:ind w:left="0"/>
              <w:contextualSpacing w:val="0"/>
              <w:rPr>
                <w:rFonts w:ascii="Arial Narrow" w:hAnsi="Arial Narrow"/>
                <w:i/>
                <w:sz w:val="20"/>
              </w:rPr>
            </w:pPr>
            <w:r>
              <w:rPr>
                <w:rFonts w:ascii="Arial Narrow" w:hAnsi="Arial Narrow"/>
                <w:i/>
                <w:color w:val="0057D6"/>
                <w:sz w:val="20"/>
              </w:rPr>
              <w:t>**</w:t>
            </w:r>
            <w:r w:rsidR="00200AA9" w:rsidRPr="00200AA9">
              <w:rPr>
                <w:rFonts w:ascii="Arial Narrow" w:hAnsi="Arial Narrow"/>
                <w:i/>
                <w:color w:val="0057D6"/>
                <w:sz w:val="20"/>
              </w:rPr>
              <w:t>CR and ORR not reported in this study</w:t>
            </w:r>
          </w:p>
        </w:tc>
        <w:tc>
          <w:tcPr>
            <w:tcW w:w="2154" w:type="dxa"/>
          </w:tcPr>
          <w:p w14:paraId="6466066F"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Prospective, single arm, Phase 2 study of outcomes in patients with R/R MCL treated with IR</w:t>
            </w:r>
          </w:p>
        </w:tc>
        <w:tc>
          <w:tcPr>
            <w:tcW w:w="2155" w:type="dxa"/>
          </w:tcPr>
          <w:p w14:paraId="3911C1FE"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with disease progression or transformation while receiving IR treatment</w:t>
            </w:r>
          </w:p>
        </w:tc>
        <w:tc>
          <w:tcPr>
            <w:tcW w:w="2155" w:type="dxa"/>
          </w:tcPr>
          <w:p w14:paraId="794BF5CD"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Salvage therapy (bortezomib, rituximab, lenalidomide, cyclophosphamide or </w:t>
            </w:r>
            <w:proofErr w:type="spellStart"/>
            <w:r w:rsidRPr="00200AA9">
              <w:rPr>
                <w:rFonts w:ascii="Arial Narrow" w:hAnsi="Arial Narrow"/>
                <w:sz w:val="20"/>
              </w:rPr>
              <w:t>bendamustine</w:t>
            </w:r>
            <w:proofErr w:type="spellEnd"/>
            <w:r w:rsidRPr="00200AA9">
              <w:rPr>
                <w:rFonts w:ascii="Arial Narrow" w:hAnsi="Arial Narrow"/>
                <w:sz w:val="20"/>
              </w:rPr>
              <w:t>)</w:t>
            </w:r>
          </w:p>
        </w:tc>
      </w:tr>
      <w:tr w:rsidR="00200AA9" w:rsidRPr="00200AA9" w14:paraId="3FE1FF09" w14:textId="77777777" w:rsidTr="004C0FEE">
        <w:tc>
          <w:tcPr>
            <w:tcW w:w="1413" w:type="dxa"/>
          </w:tcPr>
          <w:p w14:paraId="11DFFEFA" w14:textId="77777777" w:rsidR="00200AA9" w:rsidRPr="00200AA9" w:rsidRDefault="00200AA9" w:rsidP="00200AA9">
            <w:pPr>
              <w:keepLines/>
              <w:spacing w:line="254" w:lineRule="auto"/>
              <w:rPr>
                <w:rFonts w:ascii="Arial Narrow" w:hAnsi="Arial Narrow"/>
                <w:sz w:val="20"/>
              </w:rPr>
            </w:pPr>
            <w:r w:rsidRPr="00200AA9">
              <w:rPr>
                <w:rFonts w:ascii="Arial Narrow" w:hAnsi="Arial Narrow"/>
                <w:sz w:val="20"/>
              </w:rPr>
              <w:lastRenderedPageBreak/>
              <w:t>Rule 2018</w:t>
            </w:r>
          </w:p>
        </w:tc>
        <w:tc>
          <w:tcPr>
            <w:tcW w:w="1843" w:type="dxa"/>
          </w:tcPr>
          <w:p w14:paraId="59458846" w14:textId="77777777" w:rsidR="00200AA9" w:rsidRPr="00200AA9" w:rsidRDefault="00200AA9" w:rsidP="00200AA9">
            <w:pPr>
              <w:pStyle w:val="ListParagraph"/>
              <w:keepLines/>
              <w:spacing w:line="254" w:lineRule="auto"/>
              <w:ind w:left="0"/>
              <w:contextualSpacing w:val="0"/>
              <w:jc w:val="center"/>
              <w:rPr>
                <w:rFonts w:ascii="Arial Narrow" w:hAnsi="Arial Narrow"/>
                <w:sz w:val="20"/>
              </w:rPr>
            </w:pPr>
            <w:r w:rsidRPr="00200AA9">
              <w:rPr>
                <w:rFonts w:ascii="Arial Narrow" w:hAnsi="Arial Narrow"/>
                <w:sz w:val="20"/>
              </w:rPr>
              <w:t>63</w:t>
            </w:r>
          </w:p>
        </w:tc>
        <w:tc>
          <w:tcPr>
            <w:tcW w:w="2409" w:type="dxa"/>
          </w:tcPr>
          <w:p w14:paraId="5B89BBE5" w14:textId="77777777" w:rsidR="00200AA9" w:rsidRPr="00200AA9" w:rsidRDefault="00200AA9" w:rsidP="00200AA9">
            <w:pPr>
              <w:keepLines/>
              <w:spacing w:line="254" w:lineRule="auto"/>
              <w:ind w:left="6"/>
              <w:rPr>
                <w:rFonts w:ascii="Arial Narrow" w:hAnsi="Arial Narrow"/>
                <w:sz w:val="20"/>
              </w:rPr>
            </w:pPr>
            <w:r w:rsidRPr="00200AA9">
              <w:rPr>
                <w:rFonts w:ascii="Arial Narrow" w:hAnsi="Arial Narrow"/>
                <w:sz w:val="20"/>
              </w:rPr>
              <w:t>21 countries</w:t>
            </w:r>
          </w:p>
          <w:p w14:paraId="4DFA318F" w14:textId="77777777" w:rsidR="00200AA9" w:rsidRPr="00200AA9" w:rsidRDefault="00200AA9" w:rsidP="00200AA9">
            <w:pPr>
              <w:keepLines/>
              <w:spacing w:line="254" w:lineRule="auto"/>
              <w:ind w:left="6"/>
              <w:rPr>
                <w:rFonts w:ascii="Arial Narrow" w:hAnsi="Arial Narrow"/>
                <w:sz w:val="20"/>
              </w:rPr>
            </w:pPr>
            <w:r w:rsidRPr="00200AA9">
              <w:rPr>
                <w:rFonts w:ascii="Arial Narrow" w:hAnsi="Arial Narrow"/>
                <w:sz w:val="20"/>
              </w:rPr>
              <w:t>10 Dec 2012 – 26 Nov 2013</w:t>
            </w:r>
          </w:p>
        </w:tc>
        <w:tc>
          <w:tcPr>
            <w:tcW w:w="1985" w:type="dxa"/>
          </w:tcPr>
          <w:p w14:paraId="124C0DF9" w14:textId="77777777" w:rsidR="00200AA9" w:rsidRPr="00200AA9" w:rsidRDefault="00200AA9" w:rsidP="00200AA9">
            <w:pPr>
              <w:pStyle w:val="ListParagraph"/>
              <w:keepLines/>
              <w:spacing w:line="254" w:lineRule="auto"/>
              <w:ind w:left="0"/>
              <w:contextualSpacing w:val="0"/>
              <w:rPr>
                <w:rFonts w:ascii="Arial Narrow" w:hAnsi="Arial Narrow"/>
                <w:sz w:val="20"/>
              </w:rPr>
            </w:pPr>
            <w:r w:rsidRPr="00200AA9">
              <w:rPr>
                <w:rFonts w:ascii="Arial Narrow" w:hAnsi="Arial Narrow"/>
                <w:sz w:val="20"/>
              </w:rPr>
              <w:t>CR, ORR</w:t>
            </w:r>
          </w:p>
        </w:tc>
        <w:tc>
          <w:tcPr>
            <w:tcW w:w="2154" w:type="dxa"/>
          </w:tcPr>
          <w:p w14:paraId="0AC0C6D4" w14:textId="77777777" w:rsidR="00200AA9" w:rsidRPr="00200AA9" w:rsidRDefault="00200AA9" w:rsidP="00200AA9">
            <w:pPr>
              <w:pStyle w:val="ListParagraph"/>
              <w:keepLines/>
              <w:spacing w:line="254" w:lineRule="auto"/>
              <w:ind w:left="0"/>
              <w:contextualSpacing w:val="0"/>
              <w:rPr>
                <w:rFonts w:ascii="Arial Narrow" w:hAnsi="Arial Narrow"/>
                <w:sz w:val="20"/>
              </w:rPr>
            </w:pPr>
            <w:r w:rsidRPr="00200AA9">
              <w:rPr>
                <w:rFonts w:ascii="Arial Narrow" w:hAnsi="Arial Narrow"/>
                <w:sz w:val="20"/>
              </w:rPr>
              <w:t xml:space="preserve">Long-term follow-up of ibrutinib arm of the RAY RCT comparing ibrutinib and </w:t>
            </w:r>
            <w:proofErr w:type="spellStart"/>
            <w:r w:rsidRPr="00200AA9">
              <w:rPr>
                <w:rFonts w:ascii="Arial Narrow" w:hAnsi="Arial Narrow"/>
                <w:sz w:val="20"/>
              </w:rPr>
              <w:t>temsirolimus</w:t>
            </w:r>
            <w:proofErr w:type="spellEnd"/>
            <w:r w:rsidRPr="00200AA9">
              <w:rPr>
                <w:rFonts w:ascii="Arial Narrow" w:hAnsi="Arial Narrow"/>
                <w:sz w:val="20"/>
              </w:rPr>
              <w:t xml:space="preserve"> in patients with R/R MCL</w:t>
            </w:r>
          </w:p>
        </w:tc>
        <w:tc>
          <w:tcPr>
            <w:tcW w:w="2155" w:type="dxa"/>
          </w:tcPr>
          <w:p w14:paraId="20985D6D" w14:textId="77777777" w:rsidR="00200AA9" w:rsidRPr="00200AA9" w:rsidRDefault="00200AA9" w:rsidP="00200AA9">
            <w:pPr>
              <w:pStyle w:val="ListParagraph"/>
              <w:keepLines/>
              <w:spacing w:line="254" w:lineRule="auto"/>
              <w:ind w:left="0"/>
              <w:contextualSpacing w:val="0"/>
              <w:rPr>
                <w:rFonts w:ascii="Arial Narrow" w:hAnsi="Arial Narrow"/>
                <w:sz w:val="20"/>
              </w:rPr>
            </w:pPr>
            <w:r w:rsidRPr="00200AA9">
              <w:rPr>
                <w:rFonts w:ascii="Arial Narrow" w:hAnsi="Arial Narrow"/>
                <w:sz w:val="20"/>
              </w:rPr>
              <w:t>Patients receiving subsequent anticancer therapy in the ibrutinib arm</w:t>
            </w:r>
          </w:p>
        </w:tc>
        <w:tc>
          <w:tcPr>
            <w:tcW w:w="2155" w:type="dxa"/>
          </w:tcPr>
          <w:p w14:paraId="1044F119" w14:textId="77777777" w:rsidR="00200AA9" w:rsidRPr="00200AA9" w:rsidRDefault="00200AA9" w:rsidP="00200AA9">
            <w:pPr>
              <w:pStyle w:val="ListParagraph"/>
              <w:keepLines/>
              <w:spacing w:line="254" w:lineRule="auto"/>
              <w:ind w:left="0"/>
              <w:contextualSpacing w:val="0"/>
              <w:rPr>
                <w:rFonts w:ascii="Arial Narrow" w:hAnsi="Arial Narrow"/>
                <w:sz w:val="20"/>
              </w:rPr>
            </w:pPr>
            <w:r w:rsidRPr="00200AA9">
              <w:rPr>
                <w:rFonts w:ascii="Arial Narrow" w:hAnsi="Arial Narrow"/>
                <w:sz w:val="20"/>
              </w:rPr>
              <w:t>Rituximab-based therapy</w:t>
            </w:r>
          </w:p>
        </w:tc>
      </w:tr>
      <w:tr w:rsidR="00200AA9" w:rsidRPr="00200AA9" w14:paraId="134F3A77" w14:textId="77777777" w:rsidTr="004C0FEE">
        <w:tc>
          <w:tcPr>
            <w:tcW w:w="1413" w:type="dxa"/>
          </w:tcPr>
          <w:p w14:paraId="5C01C386" w14:textId="77777777" w:rsidR="00200AA9" w:rsidRPr="00200AA9" w:rsidRDefault="00200AA9" w:rsidP="00200AA9">
            <w:pPr>
              <w:spacing w:line="254" w:lineRule="auto"/>
              <w:rPr>
                <w:rFonts w:ascii="Arial Narrow" w:hAnsi="Arial Narrow"/>
                <w:sz w:val="20"/>
              </w:rPr>
            </w:pPr>
            <w:proofErr w:type="spellStart"/>
            <w:r w:rsidRPr="00200AA9">
              <w:rPr>
                <w:rFonts w:ascii="Arial Narrow" w:hAnsi="Arial Narrow"/>
                <w:sz w:val="20"/>
              </w:rPr>
              <w:t>Seviar</w:t>
            </w:r>
            <w:proofErr w:type="spellEnd"/>
            <w:r w:rsidRPr="00200AA9">
              <w:rPr>
                <w:rFonts w:ascii="Arial Narrow" w:hAnsi="Arial Narrow"/>
                <w:sz w:val="20"/>
              </w:rPr>
              <w:t xml:space="preserve"> 2018</w:t>
            </w:r>
          </w:p>
        </w:tc>
        <w:tc>
          <w:tcPr>
            <w:tcW w:w="1843" w:type="dxa"/>
          </w:tcPr>
          <w:p w14:paraId="4AB6E1EB"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3</w:t>
            </w:r>
          </w:p>
        </w:tc>
        <w:tc>
          <w:tcPr>
            <w:tcW w:w="2409" w:type="dxa"/>
          </w:tcPr>
          <w:p w14:paraId="6505BFF9"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Cancer Drugs Fund</w:t>
            </w:r>
          </w:p>
          <w:p w14:paraId="28A297DD"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2015 – 2017</w:t>
            </w:r>
          </w:p>
        </w:tc>
        <w:tc>
          <w:tcPr>
            <w:tcW w:w="1985" w:type="dxa"/>
          </w:tcPr>
          <w:p w14:paraId="00A8BC0D"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OS</w:t>
            </w:r>
          </w:p>
        </w:tc>
        <w:tc>
          <w:tcPr>
            <w:tcW w:w="2154" w:type="dxa"/>
          </w:tcPr>
          <w:p w14:paraId="6442EC21"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Retrospective review of patients with R/R MCL treated with ibrutinib</w:t>
            </w:r>
          </w:p>
        </w:tc>
        <w:tc>
          <w:tcPr>
            <w:tcW w:w="2155" w:type="dxa"/>
          </w:tcPr>
          <w:p w14:paraId="76698AAC"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with progression after receiving ibrutinib</w:t>
            </w:r>
          </w:p>
        </w:tc>
        <w:tc>
          <w:tcPr>
            <w:tcW w:w="2155" w:type="dxa"/>
          </w:tcPr>
          <w:p w14:paraId="49F9E83D"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NR</w:t>
            </w:r>
          </w:p>
        </w:tc>
      </w:tr>
      <w:tr w:rsidR="00200AA9" w:rsidRPr="00200AA9" w14:paraId="0B70EB5B" w14:textId="77777777" w:rsidTr="004C0FEE">
        <w:tc>
          <w:tcPr>
            <w:tcW w:w="1413" w:type="dxa"/>
          </w:tcPr>
          <w:p w14:paraId="61829396" w14:textId="77777777" w:rsidR="00200AA9" w:rsidRPr="00200AA9" w:rsidRDefault="00200AA9" w:rsidP="00200AA9">
            <w:pPr>
              <w:spacing w:line="254" w:lineRule="auto"/>
              <w:rPr>
                <w:rFonts w:ascii="Arial Narrow" w:hAnsi="Arial Narrow"/>
                <w:sz w:val="20"/>
              </w:rPr>
            </w:pPr>
            <w:proofErr w:type="spellStart"/>
            <w:r w:rsidRPr="00200AA9">
              <w:rPr>
                <w:rFonts w:ascii="Arial Narrow" w:hAnsi="Arial Narrow"/>
                <w:sz w:val="20"/>
              </w:rPr>
              <w:t>Epperla</w:t>
            </w:r>
            <w:proofErr w:type="spellEnd"/>
            <w:r w:rsidRPr="00200AA9">
              <w:rPr>
                <w:rFonts w:ascii="Arial Narrow" w:hAnsi="Arial Narrow"/>
                <w:sz w:val="20"/>
              </w:rPr>
              <w:t xml:space="preserve"> 2017</w:t>
            </w:r>
          </w:p>
        </w:tc>
        <w:tc>
          <w:tcPr>
            <w:tcW w:w="1843" w:type="dxa"/>
          </w:tcPr>
          <w:p w14:paraId="6964CFB6" w14:textId="77777777" w:rsidR="00200AA9" w:rsidRPr="00200AA9" w:rsidRDefault="00200AA9" w:rsidP="00200AA9">
            <w:pPr>
              <w:pStyle w:val="ListParagraph"/>
              <w:spacing w:line="254" w:lineRule="auto"/>
              <w:ind w:left="0"/>
              <w:contextualSpacing w:val="0"/>
              <w:jc w:val="center"/>
              <w:rPr>
                <w:rFonts w:ascii="Arial Narrow" w:hAnsi="Arial Narrow"/>
                <w:sz w:val="20"/>
              </w:rPr>
            </w:pPr>
            <w:r w:rsidRPr="00200AA9">
              <w:rPr>
                <w:rFonts w:ascii="Arial Narrow" w:hAnsi="Arial Narrow"/>
                <w:sz w:val="20"/>
              </w:rPr>
              <w:t>29</w:t>
            </w:r>
          </w:p>
        </w:tc>
        <w:tc>
          <w:tcPr>
            <w:tcW w:w="2409" w:type="dxa"/>
          </w:tcPr>
          <w:p w14:paraId="5B815A5F"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 xml:space="preserve">8 academic tertiary care centres in the USA identified through clinical </w:t>
            </w:r>
            <w:proofErr w:type="gramStart"/>
            <w:r w:rsidRPr="00200AA9">
              <w:rPr>
                <w:rFonts w:ascii="Arial Narrow" w:hAnsi="Arial Narrow"/>
                <w:sz w:val="20"/>
              </w:rPr>
              <w:t>databases</w:t>
            </w:r>
            <w:proofErr w:type="gramEnd"/>
          </w:p>
          <w:p w14:paraId="0C74E5E0" w14:textId="77777777" w:rsidR="00200AA9" w:rsidRPr="00200AA9" w:rsidRDefault="00200AA9" w:rsidP="00200AA9">
            <w:pPr>
              <w:spacing w:line="254" w:lineRule="auto"/>
              <w:ind w:left="6"/>
              <w:rPr>
                <w:rFonts w:ascii="Arial Narrow" w:hAnsi="Arial Narrow"/>
                <w:sz w:val="20"/>
              </w:rPr>
            </w:pPr>
            <w:r w:rsidRPr="00200AA9">
              <w:rPr>
                <w:rFonts w:ascii="Arial Narrow" w:hAnsi="Arial Narrow"/>
                <w:sz w:val="20"/>
              </w:rPr>
              <w:t>Nov 2013 – Dec 2015</w:t>
            </w:r>
          </w:p>
        </w:tc>
        <w:tc>
          <w:tcPr>
            <w:tcW w:w="1985" w:type="dxa"/>
          </w:tcPr>
          <w:p w14:paraId="7BA38369"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ORR, OS</w:t>
            </w:r>
          </w:p>
        </w:tc>
        <w:tc>
          <w:tcPr>
            <w:tcW w:w="2154" w:type="dxa"/>
          </w:tcPr>
          <w:p w14:paraId="4AF54675"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Retrospective cohort MC study in patients with R/R MCL treated with ibrutinib</w:t>
            </w:r>
          </w:p>
        </w:tc>
        <w:tc>
          <w:tcPr>
            <w:tcW w:w="2155" w:type="dxa"/>
          </w:tcPr>
          <w:p w14:paraId="3E9CE553"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Patients receiving subsequent therapy after failing treatment with ibrutinib</w:t>
            </w:r>
          </w:p>
        </w:tc>
        <w:tc>
          <w:tcPr>
            <w:tcW w:w="2155" w:type="dxa"/>
          </w:tcPr>
          <w:p w14:paraId="24166D6E" w14:textId="77777777" w:rsidR="00200AA9" w:rsidRPr="00200AA9" w:rsidRDefault="00200AA9" w:rsidP="00200AA9">
            <w:pPr>
              <w:pStyle w:val="ListParagraph"/>
              <w:spacing w:line="254" w:lineRule="auto"/>
              <w:ind w:left="0"/>
              <w:contextualSpacing w:val="0"/>
              <w:rPr>
                <w:rFonts w:ascii="Arial Narrow" w:hAnsi="Arial Narrow"/>
                <w:sz w:val="20"/>
              </w:rPr>
            </w:pPr>
            <w:r w:rsidRPr="00200AA9">
              <w:rPr>
                <w:rFonts w:ascii="Arial Narrow" w:hAnsi="Arial Narrow"/>
                <w:sz w:val="20"/>
              </w:rPr>
              <w:t xml:space="preserve">Bortezomib-, lenalidomide-, or </w:t>
            </w:r>
            <w:proofErr w:type="spellStart"/>
            <w:r w:rsidRPr="00200AA9">
              <w:rPr>
                <w:rFonts w:ascii="Arial Narrow" w:hAnsi="Arial Narrow"/>
                <w:sz w:val="20"/>
              </w:rPr>
              <w:t>bendamustine</w:t>
            </w:r>
            <w:proofErr w:type="spellEnd"/>
            <w:r w:rsidRPr="00200AA9">
              <w:rPr>
                <w:rFonts w:ascii="Arial Narrow" w:hAnsi="Arial Narrow"/>
                <w:sz w:val="20"/>
              </w:rPr>
              <w:t>-based</w:t>
            </w:r>
          </w:p>
        </w:tc>
      </w:tr>
    </w:tbl>
    <w:p w14:paraId="5A6A0E37" w14:textId="77777777" w:rsidR="00A13E62" w:rsidRDefault="00200AA9" w:rsidP="00200AA9">
      <w:pPr>
        <w:rPr>
          <w:rFonts w:ascii="Arial Narrow" w:hAnsi="Arial Narrow"/>
          <w:sz w:val="20"/>
        </w:rPr>
      </w:pPr>
      <w:r w:rsidRPr="00200AA9">
        <w:rPr>
          <w:rFonts w:ascii="Arial Narrow" w:hAnsi="Arial Narrow"/>
          <w:sz w:val="20"/>
        </w:rPr>
        <w:t>* The presentation of patient-level data permitted construction of KM plots</w:t>
      </w:r>
    </w:p>
    <w:p w14:paraId="0601C619" w14:textId="3F2A41D8" w:rsidR="00200AA9" w:rsidRPr="00200AA9" w:rsidRDefault="00A13E62" w:rsidP="00200AA9">
      <w:pPr>
        <w:rPr>
          <w:rFonts w:ascii="Arial Narrow" w:hAnsi="Arial Narrow"/>
          <w:sz w:val="20"/>
        </w:rPr>
        <w:sectPr w:rsidR="00200AA9" w:rsidRPr="00200AA9" w:rsidSect="00200AA9">
          <w:pgSz w:w="16838" w:h="11906" w:orient="landscape"/>
          <w:pgMar w:top="1440" w:right="1440" w:bottom="1440" w:left="1134" w:header="708" w:footer="708" w:gutter="0"/>
          <w:cols w:space="708"/>
          <w:docGrid w:linePitch="360"/>
        </w:sectPr>
      </w:pPr>
      <w:r>
        <w:rPr>
          <w:rFonts w:ascii="Arial Narrow" w:hAnsi="Arial Narrow"/>
          <w:i/>
          <w:color w:val="0057D6"/>
          <w:sz w:val="20"/>
        </w:rPr>
        <w:t>**blue italics represents amendments made by the assessment group during the evaluation</w:t>
      </w:r>
      <w:r w:rsidR="00200AA9" w:rsidRPr="00200AA9">
        <w:rPr>
          <w:rFonts w:ascii="Arial Narrow" w:hAnsi="Arial Narrow"/>
          <w:sz w:val="20"/>
        </w:rPr>
        <w:br/>
        <w:t xml:space="preserve">Abbreviations: BR = </w:t>
      </w:r>
      <w:proofErr w:type="spellStart"/>
      <w:r w:rsidR="00200AA9" w:rsidRPr="00200AA9">
        <w:rPr>
          <w:rFonts w:ascii="Arial Narrow" w:hAnsi="Arial Narrow"/>
          <w:sz w:val="20"/>
        </w:rPr>
        <w:t>bendamustine</w:t>
      </w:r>
      <w:proofErr w:type="spellEnd"/>
      <w:r w:rsidR="00200AA9" w:rsidRPr="00200AA9">
        <w:rPr>
          <w:rFonts w:ascii="Arial Narrow" w:hAnsi="Arial Narrow"/>
          <w:sz w:val="20"/>
        </w:rPr>
        <w:t xml:space="preserve"> and rituximab; BTK = Bruton’s tyrosine kinase; CR = complete response; DR2IVE = dexamethasone, rituximab, lenalidomide and bortezomib;</w:t>
      </w:r>
      <w:r w:rsidR="00200AA9" w:rsidRPr="00200AA9">
        <w:rPr>
          <w:rFonts w:ascii="Arial Narrow" w:hAnsi="Arial Narrow"/>
          <w:sz w:val="20"/>
        </w:rPr>
        <w:br/>
        <w:t xml:space="preserve">ESHAP = etoposide, methylprednisolone, high-dose Ara-C and </w:t>
      </w:r>
      <w:proofErr w:type="spellStart"/>
      <w:r w:rsidR="00200AA9" w:rsidRPr="00200AA9">
        <w:rPr>
          <w:rFonts w:ascii="Arial Narrow" w:hAnsi="Arial Narrow"/>
          <w:sz w:val="20"/>
        </w:rPr>
        <w:t>Platinol</w:t>
      </w:r>
      <w:proofErr w:type="spellEnd"/>
      <w:r w:rsidR="00200AA9" w:rsidRPr="00200AA9">
        <w:rPr>
          <w:rFonts w:ascii="Arial Narrow" w:hAnsi="Arial Narrow"/>
          <w:sz w:val="20"/>
        </w:rPr>
        <w:t>; FAS = full analysis set (corresponds to the intent-to-treat population); IPD = individual patient data;</w:t>
      </w:r>
      <w:r w:rsidR="00200AA9" w:rsidRPr="00200AA9">
        <w:rPr>
          <w:rFonts w:ascii="Arial Narrow" w:hAnsi="Arial Narrow"/>
          <w:sz w:val="20"/>
        </w:rPr>
        <w:br/>
        <w:t xml:space="preserve">IR = ibrutinib and rituximab; KM = Kaplan-Meier; MC = multicentre; MCL = mantle cell lymphoma; </w:t>
      </w:r>
      <w:proofErr w:type="spellStart"/>
      <w:r w:rsidR="00200AA9" w:rsidRPr="00200AA9">
        <w:rPr>
          <w:rFonts w:ascii="Arial Narrow" w:hAnsi="Arial Narrow"/>
          <w:sz w:val="20"/>
        </w:rPr>
        <w:t>mITT</w:t>
      </w:r>
      <w:proofErr w:type="spellEnd"/>
      <w:r w:rsidR="00200AA9" w:rsidRPr="00200AA9">
        <w:rPr>
          <w:rFonts w:ascii="Arial Narrow" w:hAnsi="Arial Narrow"/>
          <w:sz w:val="20"/>
        </w:rPr>
        <w:t xml:space="preserve"> = modified intent-to-treat (corresponds to the population infused with brexucabtagene autoleucel); N = number (of patients); NR = not reported; ORR = objective response rate; OS = overall survival; PFS = progression-free survival; R-BAC = rituximab, </w:t>
      </w:r>
      <w:proofErr w:type="spellStart"/>
      <w:r w:rsidR="00200AA9" w:rsidRPr="00200AA9">
        <w:rPr>
          <w:rFonts w:ascii="Arial Narrow" w:hAnsi="Arial Narrow"/>
          <w:sz w:val="20"/>
        </w:rPr>
        <w:t>bendamustine</w:t>
      </w:r>
      <w:proofErr w:type="spellEnd"/>
      <w:r w:rsidR="00200AA9" w:rsidRPr="00200AA9">
        <w:rPr>
          <w:rFonts w:ascii="Arial Narrow" w:hAnsi="Arial Narrow"/>
          <w:sz w:val="20"/>
        </w:rPr>
        <w:t xml:space="preserve"> and cytarabine; RCT = randomised controlled trial; </w:t>
      </w:r>
      <w:proofErr w:type="spellStart"/>
      <w:r w:rsidR="00200AA9" w:rsidRPr="00200AA9">
        <w:rPr>
          <w:rFonts w:ascii="Arial Narrow" w:hAnsi="Arial Narrow"/>
          <w:sz w:val="20"/>
        </w:rPr>
        <w:t>RiBVD</w:t>
      </w:r>
      <w:proofErr w:type="spellEnd"/>
      <w:r w:rsidR="00200AA9" w:rsidRPr="00200AA9">
        <w:rPr>
          <w:rFonts w:ascii="Arial Narrow" w:hAnsi="Arial Narrow"/>
          <w:sz w:val="20"/>
        </w:rPr>
        <w:t xml:space="preserve"> = rituximab, </w:t>
      </w:r>
      <w:proofErr w:type="spellStart"/>
      <w:r w:rsidR="00200AA9" w:rsidRPr="00200AA9">
        <w:rPr>
          <w:rFonts w:ascii="Arial Narrow" w:hAnsi="Arial Narrow"/>
          <w:sz w:val="20"/>
        </w:rPr>
        <w:t>bendamustine</w:t>
      </w:r>
      <w:proofErr w:type="spellEnd"/>
      <w:r w:rsidR="00200AA9" w:rsidRPr="00200AA9">
        <w:rPr>
          <w:rFonts w:ascii="Arial Narrow" w:hAnsi="Arial Narrow"/>
          <w:sz w:val="20"/>
        </w:rPr>
        <w:t>, bortezomib and dexamethasone; R/R = relapsed or refractory; TTP = time to progression; UK = United Kingdom; USA = United States of America</w:t>
      </w:r>
    </w:p>
    <w:p w14:paraId="0D195DDD" w14:textId="77777777" w:rsidR="00FA08D6" w:rsidRPr="001910F9" w:rsidRDefault="00FA08D6" w:rsidP="001910F9">
      <w:pPr>
        <w:spacing w:after="200"/>
        <w:rPr>
          <w:iCs/>
        </w:rPr>
      </w:pPr>
      <w:r w:rsidRPr="001910F9">
        <w:rPr>
          <w:iCs/>
        </w:rPr>
        <w:lastRenderedPageBreak/>
        <w:t xml:space="preserve">During evaluation, the Commentary noted that the study by </w:t>
      </w:r>
      <w:proofErr w:type="spellStart"/>
      <w:r w:rsidRPr="001910F9">
        <w:rPr>
          <w:iCs/>
        </w:rPr>
        <w:t>Sevi</w:t>
      </w:r>
      <w:r w:rsidR="00200AA9">
        <w:rPr>
          <w:iCs/>
        </w:rPr>
        <w:t>a</w:t>
      </w:r>
      <w:r w:rsidRPr="001910F9">
        <w:rPr>
          <w:iCs/>
        </w:rPr>
        <w:t>r</w:t>
      </w:r>
      <w:proofErr w:type="spellEnd"/>
      <w:r w:rsidRPr="001910F9">
        <w:rPr>
          <w:iCs/>
        </w:rPr>
        <w:t xml:space="preserve"> et al (2018) was excluded from further evaluation, as the only publication for this study was a conference abstract.</w:t>
      </w:r>
    </w:p>
    <w:p w14:paraId="2132A447" w14:textId="77777777" w:rsidR="00FA08D6" w:rsidRPr="001910F9" w:rsidRDefault="00FA08D6" w:rsidP="001910F9">
      <w:pPr>
        <w:spacing w:after="200"/>
        <w:rPr>
          <w:iCs/>
        </w:rPr>
      </w:pPr>
      <w:r w:rsidRPr="001910F9">
        <w:rPr>
          <w:iCs/>
        </w:rPr>
        <w:t xml:space="preserve">The Commentary stated that there are transitivity issues when comparing the outcomes from the ZUMA-2 study with those in the salvage therapy studies. The main reasons for this are summarised in Table </w:t>
      </w:r>
      <w:r w:rsidR="00553FB7">
        <w:rPr>
          <w:iCs/>
        </w:rPr>
        <w:t>2</w:t>
      </w:r>
      <w:r w:rsidRPr="001910F9">
        <w:rPr>
          <w:iCs/>
        </w:rPr>
        <w:t>. Three of the included studies could not be included in the table (</w:t>
      </w:r>
      <w:proofErr w:type="spellStart"/>
      <w:r w:rsidRPr="001910F9">
        <w:rPr>
          <w:iCs/>
        </w:rPr>
        <w:t>Regny</w:t>
      </w:r>
      <w:proofErr w:type="spellEnd"/>
      <w:r w:rsidRPr="001910F9">
        <w:rPr>
          <w:iCs/>
        </w:rPr>
        <w:t xml:space="preserve"> et al. 2019; </w:t>
      </w:r>
      <w:proofErr w:type="spellStart"/>
      <w:r w:rsidRPr="001910F9">
        <w:rPr>
          <w:iCs/>
        </w:rPr>
        <w:t>Srour</w:t>
      </w:r>
      <w:proofErr w:type="spellEnd"/>
      <w:r w:rsidRPr="001910F9">
        <w:rPr>
          <w:iCs/>
        </w:rPr>
        <w:t xml:space="preserve"> et al. 2018; Tucker et al. 2020a).</w:t>
      </w:r>
    </w:p>
    <w:p w14:paraId="2ED50C17" w14:textId="77777777" w:rsidR="00FA08D6" w:rsidRPr="0056428E" w:rsidRDefault="00FA08D6" w:rsidP="00553FB7">
      <w:pPr>
        <w:pStyle w:val="TableName"/>
        <w:ind w:left="709" w:hanging="709"/>
        <w:rPr>
          <w:iCs/>
        </w:rPr>
      </w:pPr>
      <w:r w:rsidRPr="0056428E">
        <w:rPr>
          <w:iCs/>
        </w:rPr>
        <w:t xml:space="preserve">Table </w:t>
      </w:r>
      <w:r w:rsidR="00553FB7">
        <w:rPr>
          <w:iCs/>
        </w:rPr>
        <w:t xml:space="preserve">2:  </w:t>
      </w:r>
      <w:r w:rsidRPr="0056428E">
        <w:rPr>
          <w:iCs/>
        </w:rPr>
        <w:t>Differences in patient characteristics in the salvage studies compared with ZUMA-2 that could have a prognostic impact on the study outcomes.</w:t>
      </w:r>
    </w:p>
    <w:tbl>
      <w:tblPr>
        <w:tblStyle w:val="TableGrid"/>
        <w:tblW w:w="9072" w:type="dxa"/>
        <w:tblInd w:w="-5" w:type="dxa"/>
        <w:tblLayout w:type="fixed"/>
        <w:tblLook w:val="04A0" w:firstRow="1" w:lastRow="0" w:firstColumn="1" w:lastColumn="0" w:noHBand="0" w:noVBand="1"/>
        <w:tblCaption w:val="Differences in patient characteristics in the salvage studies compared with ZUMA-2 that could have a prognostic impact on the study outcomes"/>
        <w:tblDescription w:val="Differences in patient characteristics in the salvage studies compared with ZUMA-2 that could have a prognostic impact on the study outcomes."/>
      </w:tblPr>
      <w:tblGrid>
        <w:gridCol w:w="993"/>
        <w:gridCol w:w="1417"/>
        <w:gridCol w:w="709"/>
        <w:gridCol w:w="992"/>
        <w:gridCol w:w="992"/>
        <w:gridCol w:w="1134"/>
        <w:gridCol w:w="1276"/>
        <w:gridCol w:w="1559"/>
      </w:tblGrid>
      <w:tr w:rsidR="001910F9" w:rsidRPr="00553FB7" w14:paraId="621CE8E7" w14:textId="77777777" w:rsidTr="00C4130E">
        <w:trPr>
          <w:tblHeader/>
        </w:trPr>
        <w:tc>
          <w:tcPr>
            <w:tcW w:w="993" w:type="dxa"/>
            <w:vMerge w:val="restart"/>
            <w:shd w:val="clear" w:color="auto" w:fill="auto"/>
            <w:vAlign w:val="center"/>
          </w:tcPr>
          <w:p w14:paraId="3E3D8F18"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Study</w:t>
            </w:r>
          </w:p>
        </w:tc>
        <w:tc>
          <w:tcPr>
            <w:tcW w:w="1417" w:type="dxa"/>
            <w:vMerge w:val="restart"/>
            <w:shd w:val="clear" w:color="auto" w:fill="auto"/>
            <w:vAlign w:val="center"/>
          </w:tcPr>
          <w:p w14:paraId="5AA76329" w14:textId="77777777" w:rsidR="00FA08D6" w:rsidRPr="00553FB7" w:rsidRDefault="00FA08D6" w:rsidP="00553FB7">
            <w:pPr>
              <w:ind w:left="-57" w:right="-57"/>
              <w:jc w:val="center"/>
              <w:rPr>
                <w:rFonts w:ascii="Arial Narrow" w:hAnsi="Arial Narrow" w:cs="Calibri"/>
                <w:iCs/>
                <w:sz w:val="20"/>
              </w:rPr>
            </w:pPr>
            <w:r w:rsidRPr="00553FB7">
              <w:rPr>
                <w:rFonts w:ascii="Arial Narrow" w:hAnsi="Arial Narrow" w:cs="Calibri"/>
                <w:iCs/>
                <w:sz w:val="20"/>
              </w:rPr>
              <w:t>Treatment</w:t>
            </w:r>
          </w:p>
        </w:tc>
        <w:tc>
          <w:tcPr>
            <w:tcW w:w="709" w:type="dxa"/>
            <w:vMerge w:val="restart"/>
            <w:shd w:val="clear" w:color="auto" w:fill="auto"/>
            <w:vAlign w:val="center"/>
          </w:tcPr>
          <w:p w14:paraId="6293F4C2" w14:textId="77777777" w:rsidR="00FA08D6" w:rsidRPr="00553FB7" w:rsidRDefault="00FA08D6" w:rsidP="00553FB7">
            <w:pPr>
              <w:ind w:left="-57" w:right="-57"/>
              <w:jc w:val="center"/>
              <w:rPr>
                <w:rFonts w:ascii="Arial Narrow" w:hAnsi="Arial Narrow" w:cs="Calibri"/>
                <w:iCs/>
                <w:sz w:val="20"/>
              </w:rPr>
            </w:pPr>
            <w:r w:rsidRPr="00553FB7">
              <w:rPr>
                <w:rFonts w:ascii="Arial Narrow" w:hAnsi="Arial Narrow" w:cs="Calibri"/>
                <w:iCs/>
                <w:sz w:val="20"/>
              </w:rPr>
              <w:t>N</w:t>
            </w:r>
          </w:p>
        </w:tc>
        <w:tc>
          <w:tcPr>
            <w:tcW w:w="5953" w:type="dxa"/>
            <w:gridSpan w:val="5"/>
            <w:shd w:val="clear" w:color="auto" w:fill="auto"/>
          </w:tcPr>
          <w:p w14:paraId="6121A0A6"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Patient characteristics</w:t>
            </w:r>
          </w:p>
        </w:tc>
      </w:tr>
      <w:tr w:rsidR="001910F9" w:rsidRPr="00553FB7" w14:paraId="7B1870AD" w14:textId="77777777" w:rsidTr="00C4130E">
        <w:trPr>
          <w:trHeight w:val="483"/>
          <w:tblHeader/>
        </w:trPr>
        <w:tc>
          <w:tcPr>
            <w:tcW w:w="993" w:type="dxa"/>
            <w:vMerge/>
            <w:vAlign w:val="center"/>
          </w:tcPr>
          <w:p w14:paraId="0A1FD5A4" w14:textId="77777777" w:rsidR="00FA08D6" w:rsidRPr="00553FB7" w:rsidRDefault="00FA08D6" w:rsidP="00553FB7">
            <w:pPr>
              <w:ind w:left="-57" w:right="-57"/>
              <w:rPr>
                <w:rFonts w:ascii="Arial Narrow" w:hAnsi="Arial Narrow"/>
                <w:b/>
                <w:iCs/>
                <w:sz w:val="20"/>
              </w:rPr>
            </w:pPr>
          </w:p>
        </w:tc>
        <w:tc>
          <w:tcPr>
            <w:tcW w:w="1417" w:type="dxa"/>
            <w:vMerge/>
            <w:vAlign w:val="center"/>
          </w:tcPr>
          <w:p w14:paraId="0253A164" w14:textId="77777777" w:rsidR="00FA08D6" w:rsidRPr="00553FB7" w:rsidRDefault="00FA08D6" w:rsidP="00553FB7">
            <w:pPr>
              <w:ind w:left="-57" w:right="-57"/>
              <w:rPr>
                <w:rFonts w:ascii="Arial Narrow" w:hAnsi="Arial Narrow" w:cs="Calibri"/>
                <w:b/>
                <w:iCs/>
                <w:sz w:val="20"/>
              </w:rPr>
            </w:pPr>
          </w:p>
        </w:tc>
        <w:tc>
          <w:tcPr>
            <w:tcW w:w="709" w:type="dxa"/>
            <w:vMerge/>
            <w:vAlign w:val="center"/>
          </w:tcPr>
          <w:p w14:paraId="5D631E44" w14:textId="77777777" w:rsidR="00FA08D6" w:rsidRPr="00553FB7" w:rsidRDefault="00FA08D6" w:rsidP="00553FB7">
            <w:pPr>
              <w:ind w:left="-57" w:right="-57"/>
              <w:rPr>
                <w:rFonts w:ascii="Arial Narrow" w:hAnsi="Arial Narrow" w:cs="Calibri"/>
                <w:b/>
                <w:iCs/>
                <w:sz w:val="20"/>
              </w:rPr>
            </w:pPr>
          </w:p>
        </w:tc>
        <w:tc>
          <w:tcPr>
            <w:tcW w:w="992" w:type="dxa"/>
            <w:shd w:val="clear" w:color="auto" w:fill="auto"/>
            <w:vAlign w:val="center"/>
          </w:tcPr>
          <w:p w14:paraId="3E8D059A"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 xml:space="preserve">% </w:t>
            </w:r>
            <w:proofErr w:type="spellStart"/>
            <w:r w:rsidRPr="00553FB7">
              <w:rPr>
                <w:rFonts w:ascii="Arial Narrow" w:hAnsi="Arial Narrow"/>
                <w:iCs/>
                <w:sz w:val="20"/>
              </w:rPr>
              <w:t>blastoid</w:t>
            </w:r>
            <w:proofErr w:type="spellEnd"/>
          </w:p>
        </w:tc>
        <w:tc>
          <w:tcPr>
            <w:tcW w:w="992" w:type="dxa"/>
            <w:shd w:val="clear" w:color="auto" w:fill="auto"/>
            <w:vAlign w:val="center"/>
          </w:tcPr>
          <w:p w14:paraId="431CA8D5"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ECOG 2-4</w:t>
            </w:r>
          </w:p>
        </w:tc>
        <w:tc>
          <w:tcPr>
            <w:tcW w:w="1134" w:type="dxa"/>
            <w:shd w:val="clear" w:color="auto" w:fill="auto"/>
            <w:vAlign w:val="center"/>
          </w:tcPr>
          <w:p w14:paraId="3D85BC96"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MIPI score: High risk</w:t>
            </w:r>
          </w:p>
        </w:tc>
        <w:tc>
          <w:tcPr>
            <w:tcW w:w="1276" w:type="dxa"/>
            <w:shd w:val="clear" w:color="auto" w:fill="auto"/>
            <w:vAlign w:val="center"/>
          </w:tcPr>
          <w:p w14:paraId="4EA08BBA"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Ki-67 index</w:t>
            </w:r>
          </w:p>
        </w:tc>
        <w:tc>
          <w:tcPr>
            <w:tcW w:w="1559" w:type="dxa"/>
            <w:shd w:val="clear" w:color="auto" w:fill="auto"/>
            <w:vAlign w:val="center"/>
          </w:tcPr>
          <w:p w14:paraId="001D321F"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 SCT after salvage</w:t>
            </w:r>
          </w:p>
        </w:tc>
      </w:tr>
      <w:tr w:rsidR="001910F9" w:rsidRPr="00553FB7" w14:paraId="3CBE5D54" w14:textId="77777777" w:rsidTr="00C4130E">
        <w:tc>
          <w:tcPr>
            <w:tcW w:w="993" w:type="dxa"/>
            <w:tcBorders>
              <w:bottom w:val="single" w:sz="4" w:space="0" w:color="auto"/>
            </w:tcBorders>
          </w:tcPr>
          <w:p w14:paraId="73A79D80"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ZUMA-2</w:t>
            </w:r>
          </w:p>
        </w:tc>
        <w:tc>
          <w:tcPr>
            <w:tcW w:w="1417" w:type="dxa"/>
            <w:tcBorders>
              <w:bottom w:val="single" w:sz="4" w:space="0" w:color="auto"/>
            </w:tcBorders>
          </w:tcPr>
          <w:p w14:paraId="00521B15" w14:textId="77777777" w:rsidR="00FA08D6" w:rsidRPr="00553FB7" w:rsidRDefault="00FA08D6" w:rsidP="00553FB7">
            <w:pPr>
              <w:ind w:left="-57" w:right="-57"/>
              <w:rPr>
                <w:rFonts w:ascii="Arial Narrow" w:hAnsi="Arial Narrow" w:cs="Calibri"/>
                <w:iCs/>
                <w:sz w:val="20"/>
              </w:rPr>
            </w:pPr>
            <w:r w:rsidRPr="00553FB7">
              <w:rPr>
                <w:rFonts w:ascii="Arial Narrow" w:hAnsi="Arial Narrow" w:cs="Calibri"/>
                <w:iCs/>
                <w:sz w:val="20"/>
              </w:rPr>
              <w:t>CAR-T</w:t>
            </w:r>
          </w:p>
        </w:tc>
        <w:tc>
          <w:tcPr>
            <w:tcW w:w="709" w:type="dxa"/>
            <w:tcBorders>
              <w:bottom w:val="single" w:sz="4" w:space="0" w:color="auto"/>
            </w:tcBorders>
          </w:tcPr>
          <w:p w14:paraId="68E5B78A" w14:textId="77777777" w:rsidR="00FA08D6" w:rsidRPr="00553FB7" w:rsidRDefault="00FA08D6" w:rsidP="00553FB7">
            <w:pPr>
              <w:ind w:left="-57" w:right="-57"/>
              <w:jc w:val="center"/>
              <w:rPr>
                <w:rFonts w:ascii="Arial Narrow" w:hAnsi="Arial Narrow" w:cs="Calibri"/>
                <w:iCs/>
                <w:sz w:val="20"/>
              </w:rPr>
            </w:pPr>
            <w:r w:rsidRPr="00553FB7">
              <w:rPr>
                <w:rFonts w:ascii="Arial Narrow" w:hAnsi="Arial Narrow" w:cs="Calibri"/>
                <w:iCs/>
                <w:sz w:val="20"/>
              </w:rPr>
              <w:t>74</w:t>
            </w:r>
          </w:p>
        </w:tc>
        <w:tc>
          <w:tcPr>
            <w:tcW w:w="992" w:type="dxa"/>
            <w:tcBorders>
              <w:bottom w:val="single" w:sz="4" w:space="0" w:color="auto"/>
            </w:tcBorders>
          </w:tcPr>
          <w:p w14:paraId="4FBF0AD7"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25%</w:t>
            </w:r>
          </w:p>
        </w:tc>
        <w:tc>
          <w:tcPr>
            <w:tcW w:w="992" w:type="dxa"/>
            <w:tcBorders>
              <w:bottom w:val="single" w:sz="4" w:space="0" w:color="auto"/>
            </w:tcBorders>
          </w:tcPr>
          <w:p w14:paraId="6F0FBCEF"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0%</w:t>
            </w:r>
          </w:p>
        </w:tc>
        <w:tc>
          <w:tcPr>
            <w:tcW w:w="1134" w:type="dxa"/>
            <w:tcBorders>
              <w:bottom w:val="single" w:sz="4" w:space="0" w:color="auto"/>
            </w:tcBorders>
          </w:tcPr>
          <w:p w14:paraId="49D00D11"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13%</w:t>
            </w:r>
          </w:p>
        </w:tc>
        <w:tc>
          <w:tcPr>
            <w:tcW w:w="1276" w:type="dxa"/>
            <w:tcBorders>
              <w:bottom w:val="single" w:sz="4" w:space="0" w:color="auto"/>
            </w:tcBorders>
          </w:tcPr>
          <w:p w14:paraId="4D9222E9"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50% ≥65%</w:t>
            </w:r>
          </w:p>
        </w:tc>
        <w:tc>
          <w:tcPr>
            <w:tcW w:w="1559" w:type="dxa"/>
            <w:tcBorders>
              <w:bottom w:val="single" w:sz="4" w:space="0" w:color="auto"/>
            </w:tcBorders>
          </w:tcPr>
          <w:p w14:paraId="7A522766"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2/74 (3%)</w:t>
            </w:r>
          </w:p>
        </w:tc>
      </w:tr>
      <w:tr w:rsidR="00FA08D6" w:rsidRPr="00553FB7" w14:paraId="0A1CD0BB" w14:textId="77777777" w:rsidTr="00C4130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993" w:type="dxa"/>
            <w:tcBorders>
              <w:top w:val="single" w:sz="4" w:space="0" w:color="auto"/>
              <w:left w:val="single" w:sz="4" w:space="0" w:color="auto"/>
              <w:bottom w:val="single" w:sz="4" w:space="0" w:color="auto"/>
              <w:right w:val="single" w:sz="4" w:space="0" w:color="auto"/>
            </w:tcBorders>
          </w:tcPr>
          <w:p w14:paraId="6E0F414B"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Wang et al. 2017</w:t>
            </w:r>
          </w:p>
        </w:tc>
        <w:tc>
          <w:tcPr>
            <w:tcW w:w="1417" w:type="dxa"/>
            <w:tcBorders>
              <w:top w:val="single" w:sz="4" w:space="0" w:color="auto"/>
              <w:left w:val="single" w:sz="4" w:space="0" w:color="auto"/>
              <w:bottom w:val="single" w:sz="4" w:space="0" w:color="auto"/>
              <w:right w:val="single" w:sz="4" w:space="0" w:color="auto"/>
            </w:tcBorders>
          </w:tcPr>
          <w:p w14:paraId="5A48DC05"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Lenalidomide-based therapy</w:t>
            </w:r>
          </w:p>
        </w:tc>
        <w:tc>
          <w:tcPr>
            <w:tcW w:w="709" w:type="dxa"/>
            <w:tcBorders>
              <w:top w:val="single" w:sz="4" w:space="0" w:color="auto"/>
              <w:left w:val="single" w:sz="4" w:space="0" w:color="auto"/>
              <w:bottom w:val="single" w:sz="4" w:space="0" w:color="auto"/>
              <w:right w:val="single" w:sz="4" w:space="0" w:color="auto"/>
            </w:tcBorders>
          </w:tcPr>
          <w:p w14:paraId="382D9CBC"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58</w:t>
            </w:r>
          </w:p>
        </w:tc>
        <w:tc>
          <w:tcPr>
            <w:tcW w:w="992" w:type="dxa"/>
            <w:tcBorders>
              <w:top w:val="single" w:sz="4" w:space="0" w:color="auto"/>
              <w:left w:val="single" w:sz="4" w:space="0" w:color="auto"/>
              <w:bottom w:val="single" w:sz="4" w:space="0" w:color="auto"/>
              <w:right w:val="single" w:sz="4" w:space="0" w:color="auto"/>
            </w:tcBorders>
          </w:tcPr>
          <w:p w14:paraId="48E2A7DF" w14:textId="77777777" w:rsidR="00FA08D6" w:rsidRPr="00553FB7" w:rsidRDefault="00FA08D6" w:rsidP="00553FB7">
            <w:pPr>
              <w:ind w:left="-57" w:right="-57"/>
              <w:jc w:val="center"/>
              <w:rPr>
                <w:rFonts w:ascii="Arial Narrow" w:hAnsi="Arial Narrow"/>
                <w:iCs/>
                <w:color w:val="0057D6"/>
                <w:sz w:val="20"/>
              </w:rPr>
            </w:pPr>
          </w:p>
        </w:tc>
        <w:tc>
          <w:tcPr>
            <w:tcW w:w="992" w:type="dxa"/>
            <w:tcBorders>
              <w:top w:val="single" w:sz="4" w:space="0" w:color="auto"/>
              <w:left w:val="single" w:sz="4" w:space="0" w:color="auto"/>
              <w:bottom w:val="single" w:sz="4" w:space="0" w:color="auto"/>
              <w:right w:val="single" w:sz="4" w:space="0" w:color="auto"/>
            </w:tcBorders>
          </w:tcPr>
          <w:p w14:paraId="3A4EEC1B"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14%</w:t>
            </w:r>
          </w:p>
        </w:tc>
        <w:tc>
          <w:tcPr>
            <w:tcW w:w="1134" w:type="dxa"/>
            <w:tcBorders>
              <w:top w:val="single" w:sz="4" w:space="0" w:color="auto"/>
              <w:left w:val="single" w:sz="4" w:space="0" w:color="auto"/>
              <w:bottom w:val="single" w:sz="4" w:space="0" w:color="auto"/>
              <w:right w:val="single" w:sz="4" w:space="0" w:color="auto"/>
            </w:tcBorders>
          </w:tcPr>
          <w:p w14:paraId="00C49656" w14:textId="77777777" w:rsidR="00FA08D6" w:rsidRPr="00553FB7" w:rsidRDefault="00FA08D6" w:rsidP="00553FB7">
            <w:pPr>
              <w:ind w:left="-57" w:right="-57"/>
              <w:jc w:val="center"/>
              <w:rPr>
                <w:rFonts w:ascii="Arial Narrow" w:hAnsi="Arial Narrow"/>
                <w:iCs/>
                <w:color w:val="0057D6"/>
                <w:sz w:val="20"/>
              </w:rPr>
            </w:pPr>
          </w:p>
        </w:tc>
        <w:tc>
          <w:tcPr>
            <w:tcW w:w="1276" w:type="dxa"/>
            <w:tcBorders>
              <w:top w:val="single" w:sz="4" w:space="0" w:color="auto"/>
              <w:left w:val="single" w:sz="4" w:space="0" w:color="auto"/>
              <w:bottom w:val="single" w:sz="4" w:space="0" w:color="auto"/>
              <w:right w:val="single" w:sz="4" w:space="0" w:color="auto"/>
            </w:tcBorders>
          </w:tcPr>
          <w:p w14:paraId="10C82282" w14:textId="77777777" w:rsidR="00FA08D6" w:rsidRPr="00553FB7" w:rsidRDefault="00FA08D6" w:rsidP="00553FB7">
            <w:pPr>
              <w:ind w:left="-57" w:right="-57"/>
              <w:jc w:val="center"/>
              <w:rPr>
                <w:rFonts w:ascii="Arial Narrow" w:hAnsi="Arial Narrow"/>
                <w:iCs/>
                <w:color w:val="0057D6"/>
                <w:sz w:val="20"/>
              </w:rPr>
            </w:pPr>
          </w:p>
        </w:tc>
        <w:tc>
          <w:tcPr>
            <w:tcW w:w="1559" w:type="dxa"/>
            <w:tcBorders>
              <w:top w:val="single" w:sz="4" w:space="0" w:color="auto"/>
              <w:left w:val="single" w:sz="4" w:space="0" w:color="auto"/>
              <w:bottom w:val="single" w:sz="4" w:space="0" w:color="auto"/>
              <w:right w:val="single" w:sz="4" w:space="0" w:color="auto"/>
            </w:tcBorders>
          </w:tcPr>
          <w:p w14:paraId="68E090B8" w14:textId="77777777" w:rsidR="00FA08D6" w:rsidRPr="00553FB7" w:rsidRDefault="00FA08D6" w:rsidP="00553FB7">
            <w:pPr>
              <w:ind w:left="-57" w:right="-57"/>
              <w:jc w:val="center"/>
              <w:rPr>
                <w:rFonts w:ascii="Arial Narrow" w:hAnsi="Arial Narrow"/>
                <w:iCs/>
                <w:color w:val="0057D6"/>
                <w:sz w:val="20"/>
              </w:rPr>
            </w:pPr>
          </w:p>
        </w:tc>
      </w:tr>
      <w:tr w:rsidR="00FA08D6" w:rsidRPr="00553FB7" w14:paraId="084DFA33" w14:textId="77777777" w:rsidTr="00C4130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993" w:type="dxa"/>
            <w:tcBorders>
              <w:top w:val="single" w:sz="4" w:space="0" w:color="auto"/>
              <w:left w:val="single" w:sz="4" w:space="0" w:color="auto"/>
              <w:bottom w:val="single" w:sz="4" w:space="0" w:color="auto"/>
              <w:right w:val="single" w:sz="4" w:space="0" w:color="auto"/>
            </w:tcBorders>
          </w:tcPr>
          <w:p w14:paraId="0E8044B1"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Jain et al. (2018b)</w:t>
            </w:r>
          </w:p>
        </w:tc>
        <w:tc>
          <w:tcPr>
            <w:tcW w:w="1417" w:type="dxa"/>
            <w:tcBorders>
              <w:top w:val="single" w:sz="4" w:space="0" w:color="auto"/>
              <w:left w:val="single" w:sz="4" w:space="0" w:color="auto"/>
              <w:bottom w:val="single" w:sz="4" w:space="0" w:color="auto"/>
              <w:right w:val="single" w:sz="4" w:space="0" w:color="auto"/>
            </w:tcBorders>
          </w:tcPr>
          <w:p w14:paraId="69D7FAF6"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Multiple lines of salvage therapies</w:t>
            </w:r>
          </w:p>
        </w:tc>
        <w:tc>
          <w:tcPr>
            <w:tcW w:w="709" w:type="dxa"/>
            <w:tcBorders>
              <w:top w:val="single" w:sz="4" w:space="0" w:color="auto"/>
              <w:left w:val="single" w:sz="4" w:space="0" w:color="auto"/>
              <w:bottom w:val="single" w:sz="4" w:space="0" w:color="auto"/>
              <w:right w:val="single" w:sz="4" w:space="0" w:color="auto"/>
            </w:tcBorders>
          </w:tcPr>
          <w:p w14:paraId="1DC3A635"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36</w:t>
            </w:r>
          </w:p>
        </w:tc>
        <w:tc>
          <w:tcPr>
            <w:tcW w:w="992" w:type="dxa"/>
            <w:tcBorders>
              <w:top w:val="single" w:sz="4" w:space="0" w:color="auto"/>
              <w:left w:val="single" w:sz="4" w:space="0" w:color="auto"/>
              <w:bottom w:val="single" w:sz="4" w:space="0" w:color="auto"/>
              <w:right w:val="single" w:sz="4" w:space="0" w:color="auto"/>
            </w:tcBorders>
          </w:tcPr>
          <w:p w14:paraId="75CBF5E0"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36%</w:t>
            </w:r>
          </w:p>
        </w:tc>
        <w:tc>
          <w:tcPr>
            <w:tcW w:w="992" w:type="dxa"/>
            <w:tcBorders>
              <w:top w:val="single" w:sz="4" w:space="0" w:color="auto"/>
              <w:left w:val="single" w:sz="4" w:space="0" w:color="auto"/>
              <w:bottom w:val="single" w:sz="4" w:space="0" w:color="auto"/>
              <w:right w:val="single" w:sz="4" w:space="0" w:color="auto"/>
            </w:tcBorders>
          </w:tcPr>
          <w:p w14:paraId="2CA47C2D" w14:textId="77777777" w:rsidR="00FA08D6" w:rsidRPr="00553FB7" w:rsidRDefault="00FA08D6" w:rsidP="00553FB7">
            <w:pPr>
              <w:ind w:left="-57" w:right="-57"/>
              <w:jc w:val="center"/>
              <w:rPr>
                <w:rFonts w:ascii="Arial Narrow" w:hAnsi="Arial Narrow"/>
                <w:iCs/>
                <w:color w:val="0057D6"/>
                <w:sz w:val="20"/>
              </w:rPr>
            </w:pPr>
          </w:p>
        </w:tc>
        <w:tc>
          <w:tcPr>
            <w:tcW w:w="1134" w:type="dxa"/>
            <w:tcBorders>
              <w:top w:val="single" w:sz="4" w:space="0" w:color="auto"/>
              <w:left w:val="single" w:sz="4" w:space="0" w:color="auto"/>
              <w:bottom w:val="single" w:sz="4" w:space="0" w:color="auto"/>
              <w:right w:val="single" w:sz="4" w:space="0" w:color="auto"/>
            </w:tcBorders>
          </w:tcPr>
          <w:p w14:paraId="3D3C901B"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63%</w:t>
            </w:r>
          </w:p>
        </w:tc>
        <w:tc>
          <w:tcPr>
            <w:tcW w:w="1276" w:type="dxa"/>
            <w:tcBorders>
              <w:top w:val="single" w:sz="4" w:space="0" w:color="auto"/>
              <w:left w:val="single" w:sz="4" w:space="0" w:color="auto"/>
              <w:bottom w:val="single" w:sz="4" w:space="0" w:color="auto"/>
              <w:right w:val="single" w:sz="4" w:space="0" w:color="auto"/>
            </w:tcBorders>
          </w:tcPr>
          <w:p w14:paraId="577139C4"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50%≥45%</w:t>
            </w:r>
          </w:p>
        </w:tc>
        <w:tc>
          <w:tcPr>
            <w:tcW w:w="1559" w:type="dxa"/>
            <w:tcBorders>
              <w:top w:val="single" w:sz="4" w:space="0" w:color="auto"/>
              <w:left w:val="single" w:sz="4" w:space="0" w:color="auto"/>
              <w:bottom w:val="single" w:sz="4" w:space="0" w:color="auto"/>
              <w:right w:val="single" w:sz="4" w:space="0" w:color="auto"/>
            </w:tcBorders>
          </w:tcPr>
          <w:p w14:paraId="2DC20BDD"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2/36 (6%)</w:t>
            </w:r>
          </w:p>
        </w:tc>
      </w:tr>
      <w:tr w:rsidR="00FA08D6" w:rsidRPr="00553FB7" w14:paraId="380E7272" w14:textId="77777777" w:rsidTr="00C4130E">
        <w:tc>
          <w:tcPr>
            <w:tcW w:w="993" w:type="dxa"/>
            <w:tcBorders>
              <w:top w:val="single" w:sz="4" w:space="0" w:color="auto"/>
              <w:bottom w:val="single" w:sz="4" w:space="0" w:color="auto"/>
            </w:tcBorders>
          </w:tcPr>
          <w:p w14:paraId="328432FF"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McCulloch et al. 2020a</w:t>
            </w:r>
          </w:p>
        </w:tc>
        <w:tc>
          <w:tcPr>
            <w:tcW w:w="1417" w:type="dxa"/>
            <w:tcBorders>
              <w:top w:val="single" w:sz="4" w:space="0" w:color="auto"/>
              <w:bottom w:val="single" w:sz="4" w:space="0" w:color="auto"/>
            </w:tcBorders>
          </w:tcPr>
          <w:p w14:paraId="14A52A85"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R-BAC</w:t>
            </w:r>
          </w:p>
        </w:tc>
        <w:tc>
          <w:tcPr>
            <w:tcW w:w="709" w:type="dxa"/>
            <w:tcBorders>
              <w:top w:val="single" w:sz="4" w:space="0" w:color="auto"/>
              <w:bottom w:val="single" w:sz="4" w:space="0" w:color="auto"/>
            </w:tcBorders>
          </w:tcPr>
          <w:p w14:paraId="1F5CE78A"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36</w:t>
            </w:r>
          </w:p>
        </w:tc>
        <w:tc>
          <w:tcPr>
            <w:tcW w:w="992" w:type="dxa"/>
            <w:tcBorders>
              <w:top w:val="single" w:sz="4" w:space="0" w:color="auto"/>
              <w:bottom w:val="single" w:sz="4" w:space="0" w:color="auto"/>
            </w:tcBorders>
          </w:tcPr>
          <w:p w14:paraId="4A2B6DF4" w14:textId="77777777" w:rsidR="00FA08D6" w:rsidRPr="00553FB7" w:rsidRDefault="00FA08D6" w:rsidP="00553FB7">
            <w:pPr>
              <w:ind w:left="-57" w:right="-57"/>
              <w:jc w:val="center"/>
              <w:rPr>
                <w:rFonts w:ascii="Arial Narrow" w:hAnsi="Arial Narrow"/>
                <w:iCs/>
                <w:color w:val="0057D6"/>
                <w:sz w:val="20"/>
              </w:rPr>
            </w:pPr>
            <w:r w:rsidRPr="00553FB7">
              <w:rPr>
                <w:rFonts w:ascii="Arial Narrow" w:hAnsi="Arial Narrow"/>
                <w:iCs/>
                <w:sz w:val="20"/>
              </w:rPr>
              <w:t>19%</w:t>
            </w:r>
          </w:p>
        </w:tc>
        <w:tc>
          <w:tcPr>
            <w:tcW w:w="992" w:type="dxa"/>
            <w:tcBorders>
              <w:top w:val="single" w:sz="4" w:space="0" w:color="auto"/>
              <w:bottom w:val="single" w:sz="4" w:space="0" w:color="auto"/>
            </w:tcBorders>
          </w:tcPr>
          <w:p w14:paraId="7F25F4CA"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20%</w:t>
            </w:r>
          </w:p>
        </w:tc>
        <w:tc>
          <w:tcPr>
            <w:tcW w:w="1134" w:type="dxa"/>
            <w:tcBorders>
              <w:top w:val="single" w:sz="4" w:space="0" w:color="auto"/>
              <w:bottom w:val="single" w:sz="4" w:space="0" w:color="auto"/>
            </w:tcBorders>
          </w:tcPr>
          <w:p w14:paraId="6E2CF0B3"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39%</w:t>
            </w:r>
          </w:p>
        </w:tc>
        <w:tc>
          <w:tcPr>
            <w:tcW w:w="1276" w:type="dxa"/>
            <w:tcBorders>
              <w:top w:val="single" w:sz="4" w:space="0" w:color="auto"/>
              <w:bottom w:val="single" w:sz="4" w:space="0" w:color="auto"/>
            </w:tcBorders>
          </w:tcPr>
          <w:p w14:paraId="4D1B0507" w14:textId="77777777" w:rsidR="00FA08D6" w:rsidRPr="00553FB7" w:rsidRDefault="00FA08D6" w:rsidP="00553FB7">
            <w:pPr>
              <w:ind w:left="-57" w:right="-57"/>
              <w:jc w:val="center"/>
              <w:rPr>
                <w:rFonts w:ascii="Arial Narrow" w:hAnsi="Arial Narrow"/>
                <w:iCs/>
                <w:color w:val="0057D6"/>
                <w:sz w:val="20"/>
              </w:rPr>
            </w:pPr>
          </w:p>
        </w:tc>
        <w:tc>
          <w:tcPr>
            <w:tcW w:w="1559" w:type="dxa"/>
            <w:tcBorders>
              <w:top w:val="single" w:sz="4" w:space="0" w:color="auto"/>
              <w:bottom w:val="single" w:sz="4" w:space="0" w:color="auto"/>
            </w:tcBorders>
          </w:tcPr>
          <w:p w14:paraId="209CBD14" w14:textId="77777777" w:rsidR="00FA08D6" w:rsidRPr="00553FB7" w:rsidRDefault="00FA08D6" w:rsidP="00553FB7">
            <w:pPr>
              <w:ind w:left="-57" w:right="-57"/>
              <w:jc w:val="center"/>
              <w:rPr>
                <w:rFonts w:ascii="Arial Narrow" w:hAnsi="Arial Narrow"/>
                <w:iCs/>
                <w:color w:val="0057D6"/>
                <w:sz w:val="20"/>
              </w:rPr>
            </w:pPr>
            <w:r w:rsidRPr="00553FB7">
              <w:rPr>
                <w:rFonts w:ascii="Arial Narrow" w:hAnsi="Arial Narrow"/>
                <w:iCs/>
                <w:color w:val="008000"/>
                <w:sz w:val="20"/>
              </w:rPr>
              <w:t>12/36 (33%)</w:t>
            </w:r>
          </w:p>
        </w:tc>
      </w:tr>
      <w:tr w:rsidR="00FA08D6" w:rsidRPr="00553FB7" w14:paraId="126AF480" w14:textId="77777777" w:rsidTr="00C4130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993" w:type="dxa"/>
            <w:tcBorders>
              <w:top w:val="single" w:sz="4" w:space="0" w:color="auto"/>
              <w:left w:val="single" w:sz="4" w:space="0" w:color="auto"/>
              <w:bottom w:val="single" w:sz="4" w:space="0" w:color="auto"/>
              <w:right w:val="single" w:sz="4" w:space="0" w:color="auto"/>
            </w:tcBorders>
          </w:tcPr>
          <w:p w14:paraId="1D495283"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Cheah et al. 2015</w:t>
            </w:r>
          </w:p>
        </w:tc>
        <w:tc>
          <w:tcPr>
            <w:tcW w:w="1417" w:type="dxa"/>
            <w:tcBorders>
              <w:top w:val="single" w:sz="4" w:space="0" w:color="auto"/>
              <w:left w:val="single" w:sz="4" w:space="0" w:color="auto"/>
              <w:bottom w:val="single" w:sz="4" w:space="0" w:color="auto"/>
              <w:right w:val="single" w:sz="4" w:space="0" w:color="auto"/>
            </w:tcBorders>
          </w:tcPr>
          <w:p w14:paraId="20EF2FED"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Rituximab-based salvage therapy</w:t>
            </w:r>
          </w:p>
        </w:tc>
        <w:tc>
          <w:tcPr>
            <w:tcW w:w="709" w:type="dxa"/>
            <w:tcBorders>
              <w:top w:val="single" w:sz="4" w:space="0" w:color="auto"/>
              <w:left w:val="single" w:sz="4" w:space="0" w:color="auto"/>
              <w:bottom w:val="single" w:sz="4" w:space="0" w:color="auto"/>
              <w:right w:val="single" w:sz="4" w:space="0" w:color="auto"/>
            </w:tcBorders>
          </w:tcPr>
          <w:p w14:paraId="130E63C1"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78</w:t>
            </w:r>
          </w:p>
        </w:tc>
        <w:tc>
          <w:tcPr>
            <w:tcW w:w="992" w:type="dxa"/>
            <w:tcBorders>
              <w:top w:val="single" w:sz="4" w:space="0" w:color="auto"/>
              <w:left w:val="single" w:sz="4" w:space="0" w:color="auto"/>
              <w:bottom w:val="single" w:sz="4" w:space="0" w:color="auto"/>
              <w:right w:val="single" w:sz="4" w:space="0" w:color="auto"/>
            </w:tcBorders>
          </w:tcPr>
          <w:p w14:paraId="2A158F9F"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29%</w:t>
            </w:r>
          </w:p>
        </w:tc>
        <w:tc>
          <w:tcPr>
            <w:tcW w:w="992" w:type="dxa"/>
            <w:tcBorders>
              <w:top w:val="single" w:sz="4" w:space="0" w:color="auto"/>
              <w:left w:val="single" w:sz="4" w:space="0" w:color="auto"/>
              <w:bottom w:val="single" w:sz="4" w:space="0" w:color="auto"/>
              <w:right w:val="single" w:sz="4" w:space="0" w:color="auto"/>
            </w:tcBorders>
          </w:tcPr>
          <w:p w14:paraId="18339C8F"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2%</w:t>
            </w:r>
          </w:p>
        </w:tc>
        <w:tc>
          <w:tcPr>
            <w:tcW w:w="1134" w:type="dxa"/>
            <w:tcBorders>
              <w:top w:val="single" w:sz="4" w:space="0" w:color="auto"/>
              <w:left w:val="single" w:sz="4" w:space="0" w:color="auto"/>
              <w:bottom w:val="single" w:sz="4" w:space="0" w:color="auto"/>
              <w:right w:val="single" w:sz="4" w:space="0" w:color="auto"/>
            </w:tcBorders>
          </w:tcPr>
          <w:p w14:paraId="0F09CC9B" w14:textId="77777777" w:rsidR="00FA08D6" w:rsidRPr="00553FB7" w:rsidRDefault="00FA08D6" w:rsidP="00553FB7">
            <w:pPr>
              <w:ind w:left="-57" w:right="-57"/>
              <w:jc w:val="center"/>
              <w:rPr>
                <w:rFonts w:ascii="Arial Narrow" w:hAnsi="Arial Narrow"/>
                <w:iCs/>
                <w:color w:val="0057D6"/>
                <w:sz w:val="20"/>
              </w:rPr>
            </w:pPr>
          </w:p>
        </w:tc>
        <w:tc>
          <w:tcPr>
            <w:tcW w:w="1276" w:type="dxa"/>
            <w:tcBorders>
              <w:top w:val="single" w:sz="4" w:space="0" w:color="auto"/>
              <w:left w:val="single" w:sz="4" w:space="0" w:color="auto"/>
              <w:bottom w:val="single" w:sz="4" w:space="0" w:color="auto"/>
              <w:right w:val="single" w:sz="4" w:space="0" w:color="auto"/>
            </w:tcBorders>
          </w:tcPr>
          <w:p w14:paraId="05FB01B2" w14:textId="77777777" w:rsidR="00FA08D6" w:rsidRPr="00553FB7" w:rsidRDefault="00FA08D6" w:rsidP="00553FB7">
            <w:pPr>
              <w:ind w:left="-57" w:right="-57"/>
              <w:jc w:val="center"/>
              <w:rPr>
                <w:rFonts w:ascii="Arial Narrow" w:hAnsi="Arial Narrow"/>
                <w:iCs/>
                <w:color w:val="008000"/>
                <w:sz w:val="20"/>
              </w:rPr>
            </w:pPr>
            <w:r w:rsidRPr="00553FB7">
              <w:rPr>
                <w:rFonts w:ascii="Arial Narrow" w:hAnsi="Arial Narrow"/>
                <w:iCs/>
                <w:color w:val="008000"/>
                <w:sz w:val="20"/>
              </w:rPr>
              <w:t xml:space="preserve">52% ≥50% </w:t>
            </w:r>
          </w:p>
        </w:tc>
        <w:tc>
          <w:tcPr>
            <w:tcW w:w="1559" w:type="dxa"/>
            <w:tcBorders>
              <w:top w:val="single" w:sz="4" w:space="0" w:color="auto"/>
              <w:left w:val="single" w:sz="4" w:space="0" w:color="auto"/>
              <w:bottom w:val="single" w:sz="4" w:space="0" w:color="auto"/>
              <w:right w:val="single" w:sz="4" w:space="0" w:color="auto"/>
            </w:tcBorders>
          </w:tcPr>
          <w:p w14:paraId="097CC3AA" w14:textId="77777777" w:rsidR="00FA08D6" w:rsidRPr="00553FB7" w:rsidRDefault="00FA08D6" w:rsidP="00553FB7">
            <w:pPr>
              <w:ind w:left="-57" w:right="-57"/>
              <w:jc w:val="center"/>
              <w:rPr>
                <w:rFonts w:ascii="Arial Narrow" w:hAnsi="Arial Narrow"/>
                <w:iCs/>
                <w:color w:val="0057D6"/>
                <w:sz w:val="20"/>
              </w:rPr>
            </w:pPr>
            <w:r w:rsidRPr="00553FB7">
              <w:rPr>
                <w:rFonts w:ascii="Arial Narrow" w:hAnsi="Arial Narrow"/>
                <w:iCs/>
                <w:color w:val="008000"/>
                <w:sz w:val="20"/>
              </w:rPr>
              <w:t>7/31 (23%)</w:t>
            </w:r>
          </w:p>
        </w:tc>
      </w:tr>
      <w:tr w:rsidR="00FA08D6" w:rsidRPr="00553FB7" w14:paraId="042F09E2" w14:textId="77777777" w:rsidTr="00C4130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993" w:type="dxa"/>
            <w:tcBorders>
              <w:top w:val="single" w:sz="4" w:space="0" w:color="auto"/>
              <w:left w:val="single" w:sz="4" w:space="0" w:color="auto"/>
              <w:bottom w:val="single" w:sz="4" w:space="0" w:color="auto"/>
              <w:right w:val="single" w:sz="4" w:space="0" w:color="auto"/>
            </w:tcBorders>
          </w:tcPr>
          <w:p w14:paraId="2C329EA1" w14:textId="77777777" w:rsidR="00FA08D6" w:rsidRPr="00553FB7" w:rsidRDefault="00FA08D6" w:rsidP="00553FB7">
            <w:pPr>
              <w:ind w:left="-57" w:right="-57"/>
              <w:rPr>
                <w:rFonts w:ascii="Arial Narrow" w:hAnsi="Arial Narrow"/>
                <w:iCs/>
                <w:sz w:val="20"/>
              </w:rPr>
            </w:pPr>
            <w:proofErr w:type="spellStart"/>
            <w:r w:rsidRPr="00553FB7">
              <w:rPr>
                <w:rFonts w:ascii="Arial Narrow" w:hAnsi="Arial Narrow"/>
                <w:iCs/>
                <w:sz w:val="20"/>
              </w:rPr>
              <w:t>Epperla</w:t>
            </w:r>
            <w:proofErr w:type="spellEnd"/>
            <w:r w:rsidRPr="00553FB7">
              <w:rPr>
                <w:rFonts w:ascii="Arial Narrow" w:hAnsi="Arial Narrow"/>
                <w:iCs/>
                <w:sz w:val="20"/>
              </w:rPr>
              <w:t xml:space="preserve"> et al. 2017</w:t>
            </w:r>
          </w:p>
        </w:tc>
        <w:tc>
          <w:tcPr>
            <w:tcW w:w="1417" w:type="dxa"/>
            <w:tcBorders>
              <w:top w:val="single" w:sz="4" w:space="0" w:color="auto"/>
              <w:left w:val="single" w:sz="4" w:space="0" w:color="auto"/>
              <w:bottom w:val="single" w:sz="4" w:space="0" w:color="auto"/>
              <w:right w:val="single" w:sz="4" w:space="0" w:color="auto"/>
            </w:tcBorders>
          </w:tcPr>
          <w:p w14:paraId="2CFC4EF2"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Post-ibrutinib treatments</w:t>
            </w:r>
          </w:p>
        </w:tc>
        <w:tc>
          <w:tcPr>
            <w:tcW w:w="709" w:type="dxa"/>
            <w:tcBorders>
              <w:top w:val="single" w:sz="4" w:space="0" w:color="auto"/>
              <w:left w:val="single" w:sz="4" w:space="0" w:color="auto"/>
              <w:bottom w:val="single" w:sz="4" w:space="0" w:color="auto"/>
              <w:right w:val="single" w:sz="4" w:space="0" w:color="auto"/>
            </w:tcBorders>
          </w:tcPr>
          <w:p w14:paraId="666D6630"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97</w:t>
            </w:r>
          </w:p>
        </w:tc>
        <w:tc>
          <w:tcPr>
            <w:tcW w:w="992" w:type="dxa"/>
            <w:tcBorders>
              <w:top w:val="single" w:sz="4" w:space="0" w:color="auto"/>
              <w:left w:val="single" w:sz="4" w:space="0" w:color="auto"/>
              <w:bottom w:val="single" w:sz="4" w:space="0" w:color="auto"/>
              <w:right w:val="single" w:sz="4" w:space="0" w:color="auto"/>
            </w:tcBorders>
          </w:tcPr>
          <w:p w14:paraId="0DF63C32" w14:textId="77777777" w:rsidR="00FA08D6" w:rsidRPr="00553FB7" w:rsidRDefault="00FA08D6" w:rsidP="00553FB7">
            <w:pPr>
              <w:ind w:left="-57" w:right="-57"/>
              <w:jc w:val="center"/>
              <w:rPr>
                <w:rFonts w:ascii="Arial Narrow" w:hAnsi="Arial Narrow"/>
                <w:iCs/>
                <w:color w:val="008000"/>
                <w:sz w:val="20"/>
              </w:rPr>
            </w:pPr>
            <w:r w:rsidRPr="00553FB7">
              <w:rPr>
                <w:rFonts w:ascii="Arial Narrow" w:hAnsi="Arial Narrow"/>
                <w:iCs/>
                <w:color w:val="008000"/>
                <w:sz w:val="20"/>
              </w:rPr>
              <w:t>15%</w:t>
            </w:r>
          </w:p>
        </w:tc>
        <w:tc>
          <w:tcPr>
            <w:tcW w:w="992" w:type="dxa"/>
            <w:tcBorders>
              <w:top w:val="single" w:sz="4" w:space="0" w:color="auto"/>
              <w:left w:val="single" w:sz="4" w:space="0" w:color="auto"/>
              <w:bottom w:val="single" w:sz="4" w:space="0" w:color="auto"/>
              <w:right w:val="single" w:sz="4" w:space="0" w:color="auto"/>
            </w:tcBorders>
          </w:tcPr>
          <w:p w14:paraId="3A700E33"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14%</w:t>
            </w:r>
          </w:p>
        </w:tc>
        <w:tc>
          <w:tcPr>
            <w:tcW w:w="1134" w:type="dxa"/>
            <w:tcBorders>
              <w:top w:val="single" w:sz="4" w:space="0" w:color="auto"/>
              <w:left w:val="single" w:sz="4" w:space="0" w:color="auto"/>
              <w:bottom w:val="single" w:sz="4" w:space="0" w:color="auto"/>
              <w:right w:val="single" w:sz="4" w:space="0" w:color="auto"/>
            </w:tcBorders>
          </w:tcPr>
          <w:p w14:paraId="77DD91AA"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27%</w:t>
            </w:r>
          </w:p>
        </w:tc>
        <w:tc>
          <w:tcPr>
            <w:tcW w:w="1276" w:type="dxa"/>
            <w:tcBorders>
              <w:top w:val="single" w:sz="4" w:space="0" w:color="auto"/>
              <w:left w:val="single" w:sz="4" w:space="0" w:color="auto"/>
              <w:bottom w:val="single" w:sz="4" w:space="0" w:color="auto"/>
              <w:right w:val="single" w:sz="4" w:space="0" w:color="auto"/>
            </w:tcBorders>
          </w:tcPr>
          <w:p w14:paraId="0A2A307B"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38% ≥30%</w:t>
            </w:r>
          </w:p>
        </w:tc>
        <w:tc>
          <w:tcPr>
            <w:tcW w:w="1559" w:type="dxa"/>
            <w:tcBorders>
              <w:top w:val="single" w:sz="4" w:space="0" w:color="auto"/>
              <w:left w:val="single" w:sz="4" w:space="0" w:color="auto"/>
              <w:bottom w:val="single" w:sz="4" w:space="0" w:color="auto"/>
              <w:right w:val="single" w:sz="4" w:space="0" w:color="auto"/>
            </w:tcBorders>
          </w:tcPr>
          <w:p w14:paraId="0F928CC5"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2/49 (7%)</w:t>
            </w:r>
          </w:p>
        </w:tc>
      </w:tr>
      <w:tr w:rsidR="00FA08D6" w:rsidRPr="00553FB7" w14:paraId="71652035" w14:textId="77777777" w:rsidTr="00C4130E">
        <w:tc>
          <w:tcPr>
            <w:tcW w:w="993" w:type="dxa"/>
            <w:tcBorders>
              <w:top w:val="single" w:sz="4" w:space="0" w:color="auto"/>
            </w:tcBorders>
          </w:tcPr>
          <w:p w14:paraId="1B9ACBF1"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Rule et al. 2018</w:t>
            </w:r>
          </w:p>
        </w:tc>
        <w:tc>
          <w:tcPr>
            <w:tcW w:w="1417" w:type="dxa"/>
            <w:tcBorders>
              <w:top w:val="single" w:sz="4" w:space="0" w:color="auto"/>
            </w:tcBorders>
          </w:tcPr>
          <w:p w14:paraId="1C8E8FCE"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Rituximab-based chemotherapy</w:t>
            </w:r>
          </w:p>
        </w:tc>
        <w:tc>
          <w:tcPr>
            <w:tcW w:w="709" w:type="dxa"/>
            <w:tcBorders>
              <w:top w:val="single" w:sz="4" w:space="0" w:color="auto"/>
            </w:tcBorders>
          </w:tcPr>
          <w:p w14:paraId="242F8E9B"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139</w:t>
            </w:r>
          </w:p>
        </w:tc>
        <w:tc>
          <w:tcPr>
            <w:tcW w:w="992" w:type="dxa"/>
            <w:tcBorders>
              <w:top w:val="single" w:sz="4" w:space="0" w:color="auto"/>
            </w:tcBorders>
          </w:tcPr>
          <w:p w14:paraId="4F7E8FB3" w14:textId="77777777" w:rsidR="00FA08D6" w:rsidRPr="00553FB7" w:rsidRDefault="00FA08D6" w:rsidP="00553FB7">
            <w:pPr>
              <w:ind w:left="-57" w:right="-57"/>
              <w:jc w:val="center"/>
              <w:rPr>
                <w:rFonts w:ascii="Arial Narrow" w:hAnsi="Arial Narrow"/>
                <w:iCs/>
                <w:color w:val="008000"/>
                <w:sz w:val="20"/>
              </w:rPr>
            </w:pPr>
            <w:r w:rsidRPr="00553FB7">
              <w:rPr>
                <w:rFonts w:ascii="Arial Narrow" w:hAnsi="Arial Narrow"/>
                <w:iCs/>
                <w:color w:val="008000"/>
                <w:sz w:val="20"/>
              </w:rPr>
              <w:t>12%</w:t>
            </w:r>
          </w:p>
        </w:tc>
        <w:tc>
          <w:tcPr>
            <w:tcW w:w="992" w:type="dxa"/>
            <w:tcBorders>
              <w:top w:val="single" w:sz="4" w:space="0" w:color="auto"/>
            </w:tcBorders>
          </w:tcPr>
          <w:p w14:paraId="455B9321" w14:textId="77777777" w:rsidR="00FA08D6" w:rsidRPr="00553FB7" w:rsidRDefault="00FA08D6" w:rsidP="00553FB7">
            <w:pPr>
              <w:ind w:left="-57" w:right="-57"/>
              <w:jc w:val="center"/>
              <w:rPr>
                <w:rFonts w:ascii="Arial Narrow" w:hAnsi="Arial Narrow"/>
                <w:iCs/>
                <w:color w:val="0057D6"/>
                <w:sz w:val="20"/>
              </w:rPr>
            </w:pPr>
            <w:r w:rsidRPr="00553FB7">
              <w:rPr>
                <w:rFonts w:ascii="Arial Narrow" w:hAnsi="Arial Narrow"/>
                <w:iCs/>
                <w:sz w:val="20"/>
              </w:rPr>
              <w:t>1%</w:t>
            </w:r>
          </w:p>
        </w:tc>
        <w:tc>
          <w:tcPr>
            <w:tcW w:w="1134" w:type="dxa"/>
            <w:tcBorders>
              <w:top w:val="single" w:sz="4" w:space="0" w:color="auto"/>
            </w:tcBorders>
          </w:tcPr>
          <w:p w14:paraId="65282F4E"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22%</w:t>
            </w:r>
          </w:p>
        </w:tc>
        <w:tc>
          <w:tcPr>
            <w:tcW w:w="1276" w:type="dxa"/>
            <w:tcBorders>
              <w:top w:val="single" w:sz="4" w:space="0" w:color="auto"/>
            </w:tcBorders>
          </w:tcPr>
          <w:p w14:paraId="51ABA6C4" w14:textId="77777777" w:rsidR="00FA08D6" w:rsidRPr="00553FB7" w:rsidRDefault="00FA08D6" w:rsidP="00553FB7">
            <w:pPr>
              <w:ind w:left="-57" w:right="-57"/>
              <w:jc w:val="center"/>
              <w:rPr>
                <w:rFonts w:ascii="Arial Narrow" w:hAnsi="Arial Narrow"/>
                <w:iCs/>
                <w:color w:val="0057D6"/>
                <w:sz w:val="20"/>
              </w:rPr>
            </w:pPr>
          </w:p>
        </w:tc>
        <w:tc>
          <w:tcPr>
            <w:tcW w:w="1559" w:type="dxa"/>
            <w:tcBorders>
              <w:top w:val="single" w:sz="4" w:space="0" w:color="auto"/>
            </w:tcBorders>
          </w:tcPr>
          <w:p w14:paraId="41298877" w14:textId="77777777" w:rsidR="00FA08D6" w:rsidRPr="00553FB7" w:rsidRDefault="00FA08D6" w:rsidP="00553FB7">
            <w:pPr>
              <w:ind w:left="-57" w:right="-57"/>
              <w:jc w:val="center"/>
              <w:rPr>
                <w:rFonts w:ascii="Arial Narrow" w:hAnsi="Arial Narrow"/>
                <w:iCs/>
                <w:color w:val="0057D6"/>
                <w:sz w:val="20"/>
              </w:rPr>
            </w:pPr>
          </w:p>
        </w:tc>
      </w:tr>
      <w:tr w:rsidR="00FA08D6" w:rsidRPr="00553FB7" w14:paraId="7CD391FB" w14:textId="77777777" w:rsidTr="00C4130E">
        <w:tc>
          <w:tcPr>
            <w:tcW w:w="993" w:type="dxa"/>
          </w:tcPr>
          <w:p w14:paraId="4F918F6F"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Eyre et al. 2019</w:t>
            </w:r>
          </w:p>
        </w:tc>
        <w:tc>
          <w:tcPr>
            <w:tcW w:w="1417" w:type="dxa"/>
          </w:tcPr>
          <w:p w14:paraId="1E386AAC" w14:textId="77777777" w:rsidR="00FA08D6" w:rsidRPr="00553FB7" w:rsidRDefault="00FA08D6" w:rsidP="00553FB7">
            <w:pPr>
              <w:ind w:left="-57" w:right="-57"/>
              <w:rPr>
                <w:rFonts w:ascii="Arial Narrow" w:hAnsi="Arial Narrow"/>
                <w:iCs/>
                <w:sz w:val="20"/>
              </w:rPr>
            </w:pPr>
            <w:proofErr w:type="spellStart"/>
            <w:r w:rsidRPr="00553FB7">
              <w:rPr>
                <w:rFonts w:ascii="Arial Narrow" w:hAnsi="Arial Narrow"/>
                <w:iCs/>
                <w:sz w:val="20"/>
              </w:rPr>
              <w:t>Venetoclax</w:t>
            </w:r>
            <w:proofErr w:type="spellEnd"/>
            <w:r w:rsidRPr="00553FB7">
              <w:rPr>
                <w:rFonts w:ascii="Arial Narrow" w:hAnsi="Arial Narrow"/>
                <w:iCs/>
                <w:sz w:val="20"/>
              </w:rPr>
              <w:t xml:space="preserve"> monotherapy</w:t>
            </w:r>
          </w:p>
        </w:tc>
        <w:tc>
          <w:tcPr>
            <w:tcW w:w="709" w:type="dxa"/>
          </w:tcPr>
          <w:p w14:paraId="7560F7B0"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20</w:t>
            </w:r>
          </w:p>
        </w:tc>
        <w:tc>
          <w:tcPr>
            <w:tcW w:w="992" w:type="dxa"/>
          </w:tcPr>
          <w:p w14:paraId="240B056A"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20%</w:t>
            </w:r>
          </w:p>
        </w:tc>
        <w:tc>
          <w:tcPr>
            <w:tcW w:w="992" w:type="dxa"/>
          </w:tcPr>
          <w:p w14:paraId="55DB6B54"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45%</w:t>
            </w:r>
          </w:p>
        </w:tc>
        <w:tc>
          <w:tcPr>
            <w:tcW w:w="1134" w:type="dxa"/>
          </w:tcPr>
          <w:p w14:paraId="5DB15BB7"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55%</w:t>
            </w:r>
          </w:p>
        </w:tc>
        <w:tc>
          <w:tcPr>
            <w:tcW w:w="1276" w:type="dxa"/>
          </w:tcPr>
          <w:p w14:paraId="78187263"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50% ≥45%</w:t>
            </w:r>
          </w:p>
        </w:tc>
        <w:tc>
          <w:tcPr>
            <w:tcW w:w="1559" w:type="dxa"/>
          </w:tcPr>
          <w:p w14:paraId="5CE94A48"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1/20 (5%)</w:t>
            </w:r>
          </w:p>
        </w:tc>
      </w:tr>
      <w:tr w:rsidR="00FA08D6" w:rsidRPr="00553FB7" w14:paraId="474B2778" w14:textId="77777777" w:rsidTr="00C4130E">
        <w:tc>
          <w:tcPr>
            <w:tcW w:w="993" w:type="dxa"/>
          </w:tcPr>
          <w:p w14:paraId="5B94449D"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Jain et al. (2018a)</w:t>
            </w:r>
          </w:p>
        </w:tc>
        <w:tc>
          <w:tcPr>
            <w:tcW w:w="1417" w:type="dxa"/>
            <w:tcBorders>
              <w:top w:val="single" w:sz="4" w:space="0" w:color="auto"/>
              <w:left w:val="single" w:sz="4" w:space="0" w:color="auto"/>
              <w:bottom w:val="single" w:sz="4" w:space="0" w:color="auto"/>
              <w:right w:val="single" w:sz="4" w:space="0" w:color="auto"/>
            </w:tcBorders>
          </w:tcPr>
          <w:p w14:paraId="621933BE"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Multiple lines of salvage therapies</w:t>
            </w:r>
          </w:p>
        </w:tc>
        <w:tc>
          <w:tcPr>
            <w:tcW w:w="709" w:type="dxa"/>
          </w:tcPr>
          <w:p w14:paraId="7BE2F1C3"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13</w:t>
            </w:r>
          </w:p>
        </w:tc>
        <w:tc>
          <w:tcPr>
            <w:tcW w:w="992" w:type="dxa"/>
            <w:tcBorders>
              <w:top w:val="single" w:sz="4" w:space="0" w:color="auto"/>
              <w:left w:val="single" w:sz="4" w:space="0" w:color="auto"/>
              <w:bottom w:val="single" w:sz="4" w:space="0" w:color="auto"/>
              <w:right w:val="single" w:sz="4" w:space="0" w:color="auto"/>
            </w:tcBorders>
          </w:tcPr>
          <w:p w14:paraId="4C61BBB4"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23%</w:t>
            </w:r>
          </w:p>
        </w:tc>
        <w:tc>
          <w:tcPr>
            <w:tcW w:w="992" w:type="dxa"/>
            <w:tcBorders>
              <w:top w:val="single" w:sz="4" w:space="0" w:color="auto"/>
              <w:left w:val="single" w:sz="4" w:space="0" w:color="auto"/>
              <w:bottom w:val="single" w:sz="4" w:space="0" w:color="auto"/>
              <w:right w:val="single" w:sz="4" w:space="0" w:color="auto"/>
            </w:tcBorders>
          </w:tcPr>
          <w:p w14:paraId="5C6AB797" w14:textId="77777777" w:rsidR="00FA08D6" w:rsidRPr="00553FB7" w:rsidRDefault="00FA08D6" w:rsidP="00553FB7">
            <w:pPr>
              <w:ind w:left="-57" w:right="-57"/>
              <w:jc w:val="center"/>
              <w:rPr>
                <w:rFonts w:ascii="Arial Narrow" w:hAnsi="Arial Narrow"/>
                <w:iCs/>
                <w:color w:val="0057D6"/>
                <w:sz w:val="20"/>
              </w:rPr>
            </w:pPr>
          </w:p>
        </w:tc>
        <w:tc>
          <w:tcPr>
            <w:tcW w:w="1134" w:type="dxa"/>
            <w:tcBorders>
              <w:top w:val="single" w:sz="4" w:space="0" w:color="auto"/>
              <w:left w:val="single" w:sz="4" w:space="0" w:color="auto"/>
              <w:bottom w:val="single" w:sz="4" w:space="0" w:color="auto"/>
              <w:right w:val="single" w:sz="4" w:space="0" w:color="auto"/>
            </w:tcBorders>
          </w:tcPr>
          <w:p w14:paraId="0511F579"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46%</w:t>
            </w:r>
          </w:p>
        </w:tc>
        <w:tc>
          <w:tcPr>
            <w:tcW w:w="1276" w:type="dxa"/>
            <w:tcBorders>
              <w:top w:val="single" w:sz="4" w:space="0" w:color="auto"/>
              <w:left w:val="single" w:sz="4" w:space="0" w:color="auto"/>
              <w:bottom w:val="single" w:sz="4" w:space="0" w:color="auto"/>
              <w:right w:val="single" w:sz="4" w:space="0" w:color="auto"/>
            </w:tcBorders>
          </w:tcPr>
          <w:p w14:paraId="1D02DFBA" w14:textId="77777777" w:rsidR="00FA08D6" w:rsidRPr="00553FB7" w:rsidRDefault="00FA08D6" w:rsidP="00553FB7">
            <w:pPr>
              <w:ind w:left="-57" w:right="-57"/>
              <w:jc w:val="center"/>
              <w:rPr>
                <w:rFonts w:ascii="Arial Narrow" w:hAnsi="Arial Narrow"/>
                <w:iCs/>
                <w:color w:val="0057D6"/>
                <w:sz w:val="20"/>
              </w:rPr>
            </w:pPr>
            <w:r w:rsidRPr="00553FB7">
              <w:rPr>
                <w:rFonts w:ascii="Arial Narrow" w:hAnsi="Arial Narrow"/>
                <w:iCs/>
                <w:color w:val="008000"/>
                <w:sz w:val="20"/>
              </w:rPr>
              <w:t>54%≥30%</w:t>
            </w:r>
          </w:p>
        </w:tc>
        <w:tc>
          <w:tcPr>
            <w:tcW w:w="1559" w:type="dxa"/>
            <w:tcBorders>
              <w:top w:val="single" w:sz="4" w:space="0" w:color="auto"/>
              <w:left w:val="single" w:sz="4" w:space="0" w:color="auto"/>
              <w:bottom w:val="single" w:sz="4" w:space="0" w:color="auto"/>
              <w:right w:val="single" w:sz="4" w:space="0" w:color="auto"/>
            </w:tcBorders>
          </w:tcPr>
          <w:p w14:paraId="124DA1F6"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1/13 (8%)</w:t>
            </w:r>
          </w:p>
        </w:tc>
      </w:tr>
      <w:tr w:rsidR="00FA08D6" w:rsidRPr="00553FB7" w14:paraId="762DEB9F" w14:textId="77777777" w:rsidTr="00C4130E">
        <w:tc>
          <w:tcPr>
            <w:tcW w:w="993" w:type="dxa"/>
          </w:tcPr>
          <w:p w14:paraId="2935FCEA"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Martin et al. 2016</w:t>
            </w:r>
          </w:p>
        </w:tc>
        <w:tc>
          <w:tcPr>
            <w:tcW w:w="1417" w:type="dxa"/>
          </w:tcPr>
          <w:p w14:paraId="17345A14"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Post-ibrutinib treatments</w:t>
            </w:r>
          </w:p>
        </w:tc>
        <w:tc>
          <w:tcPr>
            <w:tcW w:w="709" w:type="dxa"/>
          </w:tcPr>
          <w:p w14:paraId="4E70662A"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114</w:t>
            </w:r>
          </w:p>
        </w:tc>
        <w:tc>
          <w:tcPr>
            <w:tcW w:w="992" w:type="dxa"/>
          </w:tcPr>
          <w:p w14:paraId="490C3C3D" w14:textId="77777777" w:rsidR="00FA08D6" w:rsidRPr="00553FB7" w:rsidRDefault="00FA08D6" w:rsidP="00553FB7">
            <w:pPr>
              <w:ind w:left="-57" w:right="-57"/>
              <w:jc w:val="center"/>
              <w:rPr>
                <w:rFonts w:ascii="Arial Narrow" w:hAnsi="Arial Narrow"/>
                <w:iCs/>
                <w:color w:val="0057D6"/>
                <w:sz w:val="20"/>
              </w:rPr>
            </w:pPr>
          </w:p>
        </w:tc>
        <w:tc>
          <w:tcPr>
            <w:tcW w:w="992" w:type="dxa"/>
          </w:tcPr>
          <w:p w14:paraId="756FC7F9" w14:textId="77777777" w:rsidR="00FA08D6" w:rsidRPr="00553FB7" w:rsidRDefault="00FA08D6" w:rsidP="00553FB7">
            <w:pPr>
              <w:ind w:left="-57" w:right="-57"/>
              <w:jc w:val="center"/>
              <w:rPr>
                <w:rFonts w:ascii="Arial Narrow" w:hAnsi="Arial Narrow"/>
                <w:iCs/>
                <w:color w:val="0057D6"/>
                <w:sz w:val="20"/>
              </w:rPr>
            </w:pPr>
          </w:p>
        </w:tc>
        <w:tc>
          <w:tcPr>
            <w:tcW w:w="1134" w:type="dxa"/>
          </w:tcPr>
          <w:p w14:paraId="5C57972A"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40%</w:t>
            </w:r>
          </w:p>
        </w:tc>
        <w:tc>
          <w:tcPr>
            <w:tcW w:w="1276" w:type="dxa"/>
          </w:tcPr>
          <w:p w14:paraId="274EFBE7"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72% ≥30%</w:t>
            </w:r>
          </w:p>
        </w:tc>
        <w:tc>
          <w:tcPr>
            <w:tcW w:w="1559" w:type="dxa"/>
          </w:tcPr>
          <w:p w14:paraId="1C229800"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5/73 (7%)</w:t>
            </w:r>
          </w:p>
        </w:tc>
      </w:tr>
      <w:tr w:rsidR="00FA08D6" w:rsidRPr="00553FB7" w14:paraId="629CDE02" w14:textId="77777777" w:rsidTr="00C4130E">
        <w:tc>
          <w:tcPr>
            <w:tcW w:w="993" w:type="dxa"/>
          </w:tcPr>
          <w:p w14:paraId="5AB538BB"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Jeon et al. 2019</w:t>
            </w:r>
          </w:p>
        </w:tc>
        <w:tc>
          <w:tcPr>
            <w:tcW w:w="1417" w:type="dxa"/>
          </w:tcPr>
          <w:p w14:paraId="754E5571" w14:textId="77777777" w:rsidR="00FA08D6" w:rsidRPr="00553FB7" w:rsidRDefault="00FA08D6" w:rsidP="00553FB7">
            <w:pPr>
              <w:ind w:left="-57" w:right="-57"/>
              <w:rPr>
                <w:rFonts w:ascii="Arial Narrow" w:hAnsi="Arial Narrow"/>
                <w:iCs/>
                <w:sz w:val="20"/>
              </w:rPr>
            </w:pPr>
            <w:r w:rsidRPr="00553FB7">
              <w:rPr>
                <w:rFonts w:ascii="Arial Narrow" w:hAnsi="Arial Narrow"/>
                <w:iCs/>
                <w:sz w:val="20"/>
              </w:rPr>
              <w:t>Salvage chemotherapies</w:t>
            </w:r>
          </w:p>
        </w:tc>
        <w:tc>
          <w:tcPr>
            <w:tcW w:w="709" w:type="dxa"/>
          </w:tcPr>
          <w:p w14:paraId="5930C563" w14:textId="77777777" w:rsidR="00FA08D6" w:rsidRPr="00553FB7" w:rsidRDefault="00FA08D6" w:rsidP="00553FB7">
            <w:pPr>
              <w:ind w:left="-57" w:right="-57"/>
              <w:jc w:val="center"/>
              <w:rPr>
                <w:rFonts w:ascii="Arial Narrow" w:hAnsi="Arial Narrow"/>
                <w:iCs/>
                <w:sz w:val="20"/>
              </w:rPr>
            </w:pPr>
            <w:r w:rsidRPr="00553FB7">
              <w:rPr>
                <w:rFonts w:ascii="Arial Narrow" w:hAnsi="Arial Narrow"/>
                <w:iCs/>
                <w:sz w:val="20"/>
              </w:rPr>
              <w:t>33</w:t>
            </w:r>
          </w:p>
        </w:tc>
        <w:tc>
          <w:tcPr>
            <w:tcW w:w="992" w:type="dxa"/>
          </w:tcPr>
          <w:p w14:paraId="3F115230" w14:textId="77777777" w:rsidR="00FA08D6" w:rsidRPr="00553FB7" w:rsidRDefault="00FA08D6" w:rsidP="00553FB7">
            <w:pPr>
              <w:ind w:left="-57" w:right="-57"/>
              <w:jc w:val="center"/>
              <w:rPr>
                <w:rFonts w:ascii="Arial Narrow" w:hAnsi="Arial Narrow"/>
                <w:iCs/>
                <w:color w:val="0057D6"/>
                <w:sz w:val="20"/>
              </w:rPr>
            </w:pPr>
          </w:p>
        </w:tc>
        <w:tc>
          <w:tcPr>
            <w:tcW w:w="992" w:type="dxa"/>
          </w:tcPr>
          <w:p w14:paraId="168AD282"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12%</w:t>
            </w:r>
          </w:p>
        </w:tc>
        <w:tc>
          <w:tcPr>
            <w:tcW w:w="1134" w:type="dxa"/>
          </w:tcPr>
          <w:p w14:paraId="66BA7B3F" w14:textId="77777777" w:rsidR="00FA08D6" w:rsidRPr="00553FB7" w:rsidRDefault="00FA08D6" w:rsidP="00553FB7">
            <w:pPr>
              <w:ind w:left="-57" w:right="-57"/>
              <w:jc w:val="center"/>
              <w:rPr>
                <w:rFonts w:ascii="Arial Narrow" w:hAnsi="Arial Narrow"/>
                <w:iCs/>
                <w:color w:val="FF0000"/>
                <w:sz w:val="20"/>
              </w:rPr>
            </w:pPr>
            <w:r w:rsidRPr="00553FB7">
              <w:rPr>
                <w:rFonts w:ascii="Arial Narrow" w:hAnsi="Arial Narrow"/>
                <w:iCs/>
                <w:color w:val="FF0000"/>
                <w:sz w:val="20"/>
              </w:rPr>
              <w:t>21%</w:t>
            </w:r>
          </w:p>
        </w:tc>
        <w:tc>
          <w:tcPr>
            <w:tcW w:w="1276" w:type="dxa"/>
          </w:tcPr>
          <w:p w14:paraId="1B171EAB" w14:textId="77777777" w:rsidR="00FA08D6" w:rsidRPr="00553FB7" w:rsidRDefault="00FA08D6" w:rsidP="00553FB7">
            <w:pPr>
              <w:ind w:left="-57" w:right="-57"/>
              <w:jc w:val="center"/>
              <w:rPr>
                <w:rFonts w:ascii="Arial Narrow" w:hAnsi="Arial Narrow"/>
                <w:iCs/>
                <w:color w:val="0057D6"/>
                <w:sz w:val="20"/>
              </w:rPr>
            </w:pPr>
            <w:r w:rsidRPr="00553FB7">
              <w:rPr>
                <w:rFonts w:ascii="Arial Narrow" w:hAnsi="Arial Narrow"/>
                <w:iCs/>
                <w:sz w:val="20"/>
              </w:rPr>
              <w:t>33% ≥30%</w:t>
            </w:r>
          </w:p>
        </w:tc>
        <w:tc>
          <w:tcPr>
            <w:tcW w:w="1559" w:type="dxa"/>
          </w:tcPr>
          <w:p w14:paraId="6100467C" w14:textId="77777777" w:rsidR="00FA08D6" w:rsidRPr="00553FB7" w:rsidRDefault="00FA08D6" w:rsidP="00553FB7">
            <w:pPr>
              <w:ind w:left="-57" w:right="-57"/>
              <w:jc w:val="center"/>
              <w:rPr>
                <w:rFonts w:ascii="Arial Narrow" w:hAnsi="Arial Narrow"/>
                <w:iCs/>
                <w:color w:val="0057D6"/>
                <w:sz w:val="20"/>
              </w:rPr>
            </w:pPr>
            <w:r w:rsidRPr="00553FB7">
              <w:rPr>
                <w:rFonts w:ascii="Arial Narrow" w:hAnsi="Arial Narrow"/>
                <w:iCs/>
                <w:color w:val="008000"/>
                <w:sz w:val="20"/>
              </w:rPr>
              <w:t>2/6 (33%)</w:t>
            </w:r>
          </w:p>
        </w:tc>
      </w:tr>
    </w:tbl>
    <w:p w14:paraId="36FDE033" w14:textId="77777777" w:rsidR="00FA08D6" w:rsidRPr="0056428E" w:rsidRDefault="00FA08D6" w:rsidP="00FA08D6">
      <w:pPr>
        <w:pStyle w:val="Tablenotes0"/>
        <w:rPr>
          <w:i/>
        </w:rPr>
      </w:pPr>
      <w:r w:rsidRPr="0056428E">
        <w:rPr>
          <w:i/>
        </w:rPr>
        <w:t xml:space="preserve">Values in </w:t>
      </w:r>
      <w:r w:rsidRPr="00992109">
        <w:rPr>
          <w:i/>
          <w:color w:val="FF0000"/>
        </w:rPr>
        <w:t xml:space="preserve">red </w:t>
      </w:r>
      <w:r w:rsidRPr="0056428E">
        <w:rPr>
          <w:i/>
        </w:rPr>
        <w:t>indicate characteristics where patients undergoing salvage therapies have a worse prognosis compared to patients in the ZUMA-2 study.</w:t>
      </w:r>
    </w:p>
    <w:p w14:paraId="448EC677" w14:textId="77777777" w:rsidR="007C2D6A" w:rsidRDefault="00FA08D6" w:rsidP="0056428E">
      <w:pPr>
        <w:pStyle w:val="Tablenotes0"/>
        <w:rPr>
          <w:i/>
        </w:rPr>
      </w:pPr>
      <w:r w:rsidRPr="0056428E">
        <w:rPr>
          <w:i/>
        </w:rPr>
        <w:t>Values in</w:t>
      </w:r>
      <w:r w:rsidRPr="009670BD">
        <w:rPr>
          <w:i/>
          <w:color w:val="0057D6"/>
        </w:rPr>
        <w:t xml:space="preserve"> </w:t>
      </w:r>
      <w:r w:rsidRPr="00992109">
        <w:rPr>
          <w:i/>
          <w:color w:val="00B050"/>
        </w:rPr>
        <w:t xml:space="preserve">green </w:t>
      </w:r>
      <w:r w:rsidRPr="0056428E">
        <w:rPr>
          <w:i/>
        </w:rPr>
        <w:t>indicate characteristics where patients undergoing salvage therapies have a better prognosis compared to patients in the ZUMA-2 study.</w:t>
      </w:r>
    </w:p>
    <w:p w14:paraId="34609714" w14:textId="77777777" w:rsidR="00F03622" w:rsidRDefault="00C739B1" w:rsidP="00F03622">
      <w:pPr>
        <w:spacing w:after="200"/>
      </w:pPr>
      <w:r>
        <w:t>The application presented a</w:t>
      </w:r>
      <w:r w:rsidR="00F03622">
        <w:t xml:space="preserve"> comparison of the types and rates of adverse events (AEs) observed with brexucabtagene autoleucel with the types and rates of AEs observed in patients treated with immunochemotherapy </w:t>
      </w:r>
      <w:r>
        <w:t xml:space="preserve">which </w:t>
      </w:r>
      <w:r w:rsidR="00F03622">
        <w:t>indicate</w:t>
      </w:r>
      <w:r>
        <w:t>d</w:t>
      </w:r>
      <w:r w:rsidR="00F03622">
        <w:t xml:space="preserve"> that t</w:t>
      </w:r>
      <w:r w:rsidR="00F03622" w:rsidRPr="002E608E">
        <w:t>here are</w:t>
      </w:r>
      <w:r w:rsidR="00F03622">
        <w:t xml:space="preserve"> </w:t>
      </w:r>
      <w:r w:rsidR="00F03622" w:rsidRPr="002E608E">
        <w:t xml:space="preserve">differences </w:t>
      </w:r>
      <w:r w:rsidR="00F03622">
        <w:t xml:space="preserve">and trade-offs across </w:t>
      </w:r>
      <w:r w:rsidR="00F03622" w:rsidRPr="002E608E">
        <w:t>the toxicity profile</w:t>
      </w:r>
      <w:r w:rsidR="00F03622">
        <w:t>s</w:t>
      </w:r>
      <w:r w:rsidR="00F03622" w:rsidRPr="002E608E">
        <w:t xml:space="preserve"> </w:t>
      </w:r>
      <w:r w:rsidR="00F03622">
        <w:t>associated with</w:t>
      </w:r>
      <w:r w:rsidR="00F03622" w:rsidRPr="002E608E">
        <w:t xml:space="preserve"> brexucabtagene autoleucel versus salvage therapy</w:t>
      </w:r>
      <w:r w:rsidR="00F03622">
        <w:t xml:space="preserve">. The AE profile associated with immunochemotherapy (the most likely salvage therapy to be used in Australia) that has been presented in the </w:t>
      </w:r>
      <w:r>
        <w:t>application</w:t>
      </w:r>
      <w:r w:rsidR="00F03622">
        <w:t xml:space="preserve"> is for patients in the frontline setting. When considering the same evidence at the time it considered submissions seeking PBS listing of ibrutinib for R/R MCL, the Pharmaceutical Benefits Advisory Committee (PBAC) accepted that the reported rates from the frontline setting are likely to understate the extent of AEs that would be observed in a pre-treated population. </w:t>
      </w:r>
      <w:r>
        <w:t>The application considered that t</w:t>
      </w:r>
      <w:r w:rsidR="00F03622">
        <w:t xml:space="preserve">hese facts, along with issues related to the comparison being based on single arm studies, preclude the drawing of any definitive conclusion </w:t>
      </w:r>
      <w:proofErr w:type="gramStart"/>
      <w:r w:rsidR="00F03622">
        <w:t>in regard to</w:t>
      </w:r>
      <w:proofErr w:type="gramEnd"/>
      <w:r w:rsidR="00F03622">
        <w:t xml:space="preserve"> the comparative toxicity of brexucabtagene autoleucel and salvage therapy.</w:t>
      </w:r>
    </w:p>
    <w:p w14:paraId="7890978E" w14:textId="77777777" w:rsidR="00F03622" w:rsidRDefault="00F03622" w:rsidP="00F03622">
      <w:pPr>
        <w:spacing w:after="200"/>
      </w:pPr>
      <w:r>
        <w:t>Adverse events associated with brexucabtagene autoleucel and other anti-CD19 CAR T-cell therapies are becoming better characterised over time and clinician experience in managing the AEs observed with these therapies continues to build.</w:t>
      </w:r>
    </w:p>
    <w:p w14:paraId="5E1312C1" w14:textId="484C7F09" w:rsidR="00F03622" w:rsidRPr="00C739B1" w:rsidRDefault="00C739B1" w:rsidP="00C739B1">
      <w:pPr>
        <w:tabs>
          <w:tab w:val="left" w:pos="2835"/>
        </w:tabs>
        <w:rPr>
          <w:iCs/>
        </w:rPr>
      </w:pPr>
      <w:r w:rsidRPr="00C739B1">
        <w:rPr>
          <w:iCs/>
        </w:rPr>
        <w:lastRenderedPageBreak/>
        <w:t>The Commentary agreed with the application that</w:t>
      </w:r>
      <w:r w:rsidR="00F03622" w:rsidRPr="00C739B1">
        <w:rPr>
          <w:iCs/>
        </w:rPr>
        <w:t xml:space="preserve"> due to the limited evidence from single arm studies, no definitive conclusions </w:t>
      </w:r>
      <w:proofErr w:type="gramStart"/>
      <w:r w:rsidRPr="00C739B1">
        <w:rPr>
          <w:iCs/>
        </w:rPr>
        <w:t>in regard to</w:t>
      </w:r>
      <w:proofErr w:type="gramEnd"/>
      <w:r w:rsidR="00F03622" w:rsidRPr="00C739B1">
        <w:rPr>
          <w:iCs/>
        </w:rPr>
        <w:t xml:space="preserve"> the comparative toxicity of brexucabtagene autoleucel and salvage therapy can be made. Also as noted </w:t>
      </w:r>
      <w:r w:rsidRPr="00C739B1">
        <w:rPr>
          <w:iCs/>
        </w:rPr>
        <w:t>in the application</w:t>
      </w:r>
      <w:r w:rsidR="00F03622" w:rsidRPr="00C739B1">
        <w:rPr>
          <w:iCs/>
        </w:rPr>
        <w:t xml:space="preserve">, the safety profile of CAR-T therapies </w:t>
      </w:r>
      <w:proofErr w:type="gramStart"/>
      <w:r w:rsidR="00F03622" w:rsidRPr="00C739B1">
        <w:rPr>
          <w:iCs/>
        </w:rPr>
        <w:t>are</w:t>
      </w:r>
      <w:proofErr w:type="gramEnd"/>
      <w:r w:rsidR="00F03622" w:rsidRPr="00C739B1">
        <w:rPr>
          <w:iCs/>
        </w:rPr>
        <w:t xml:space="preserve"> very dependent on adequate provisions for the immediate treatment of specific AEs associated with CAR-T cell therapies, such as cytokine release syndrome (CRS).</w:t>
      </w:r>
    </w:p>
    <w:p w14:paraId="1CC34CCF" w14:textId="77777777" w:rsidR="00F03622" w:rsidRPr="00C739B1" w:rsidRDefault="00F03622" w:rsidP="00C739B1">
      <w:pPr>
        <w:tabs>
          <w:tab w:val="left" w:pos="2835"/>
        </w:tabs>
        <w:spacing w:before="240" w:after="240"/>
        <w:rPr>
          <w:iCs/>
        </w:rPr>
      </w:pPr>
      <w:r w:rsidRPr="00C739B1">
        <w:rPr>
          <w:iCs/>
        </w:rPr>
        <w:t xml:space="preserve">An overview of treatment-emergent AEs observed in the ZUMA-2 study is presented in Table </w:t>
      </w:r>
      <w:r w:rsidR="00553FB7">
        <w:rPr>
          <w:iCs/>
        </w:rPr>
        <w:t>3</w:t>
      </w:r>
      <w:r w:rsidRPr="00C739B1">
        <w:rPr>
          <w:iCs/>
        </w:rPr>
        <w:t>. The majority of CRS and neurological events were Grade 1 or 2, occurred within one week of infusion of brexucabtagene autoleucel, and were resolved within two weeks. CRS and neurologic events were resolved in all patients and no CRS or neurologic events that occurred in the ZUMA-2 study were fatal.</w:t>
      </w:r>
    </w:p>
    <w:p w14:paraId="0B665ABF" w14:textId="77777777" w:rsidR="00F03622" w:rsidRPr="00C739B1" w:rsidRDefault="00F03622" w:rsidP="00F03622">
      <w:pPr>
        <w:pStyle w:val="Caption"/>
        <w:rPr>
          <w:iCs w:val="0"/>
        </w:rPr>
      </w:pPr>
      <w:r w:rsidRPr="00C739B1">
        <w:rPr>
          <w:iCs w:val="0"/>
        </w:rPr>
        <w:t xml:space="preserve">Table </w:t>
      </w:r>
      <w:r w:rsidR="00553FB7">
        <w:rPr>
          <w:iCs w:val="0"/>
        </w:rPr>
        <w:t>3</w:t>
      </w:r>
      <w:r w:rsidRPr="00C739B1">
        <w:rPr>
          <w:iCs w:val="0"/>
          <w:noProof/>
        </w:rPr>
        <w:tab/>
        <w:t>Summary of AEs in ZUMA-2</w:t>
      </w:r>
    </w:p>
    <w:tbl>
      <w:tblPr>
        <w:tblStyle w:val="TableGrid"/>
        <w:tblW w:w="5000" w:type="pct"/>
        <w:tblLook w:val="04A0" w:firstRow="1" w:lastRow="0" w:firstColumn="1" w:lastColumn="0" w:noHBand="0" w:noVBand="1"/>
        <w:tblDescription w:val="Summary of AEs in ZUMA-2"/>
      </w:tblPr>
      <w:tblGrid>
        <w:gridCol w:w="4284"/>
        <w:gridCol w:w="2366"/>
        <w:gridCol w:w="2366"/>
      </w:tblGrid>
      <w:tr w:rsidR="00C739B1" w:rsidRPr="00C739B1" w14:paraId="57FAEF91" w14:textId="77777777" w:rsidTr="00C4130E">
        <w:trPr>
          <w:tblHeader/>
        </w:trPr>
        <w:tc>
          <w:tcPr>
            <w:tcW w:w="2376" w:type="pct"/>
            <w:shd w:val="clear" w:color="auto" w:fill="auto"/>
          </w:tcPr>
          <w:p w14:paraId="70B4180B" w14:textId="77777777" w:rsidR="00F03622" w:rsidRPr="00C739B1" w:rsidRDefault="00F03622" w:rsidP="00C4130E">
            <w:pPr>
              <w:pStyle w:val="NormalBeforeBullet"/>
              <w:spacing w:after="0"/>
              <w:rPr>
                <w:rFonts w:ascii="Arial Narrow" w:hAnsi="Arial Narrow"/>
              </w:rPr>
            </w:pPr>
          </w:p>
        </w:tc>
        <w:tc>
          <w:tcPr>
            <w:tcW w:w="1312" w:type="pct"/>
            <w:shd w:val="clear" w:color="auto" w:fill="auto"/>
            <w:vAlign w:val="center"/>
          </w:tcPr>
          <w:p w14:paraId="480B42D9" w14:textId="77777777" w:rsidR="00F03622" w:rsidRPr="00C739B1" w:rsidRDefault="00F03622" w:rsidP="00C4130E">
            <w:pPr>
              <w:pStyle w:val="NormalBeforeBullet"/>
              <w:spacing w:after="0"/>
              <w:jc w:val="center"/>
              <w:rPr>
                <w:rFonts w:ascii="Arial Narrow" w:hAnsi="Arial Narrow"/>
              </w:rPr>
            </w:pPr>
            <w:r w:rsidRPr="00C739B1">
              <w:rPr>
                <w:rFonts w:ascii="Arial Narrow" w:hAnsi="Arial Narrow"/>
              </w:rPr>
              <w:t>Any event</w:t>
            </w:r>
          </w:p>
        </w:tc>
        <w:tc>
          <w:tcPr>
            <w:tcW w:w="1312" w:type="pct"/>
            <w:shd w:val="clear" w:color="auto" w:fill="auto"/>
            <w:vAlign w:val="center"/>
          </w:tcPr>
          <w:p w14:paraId="73106B8D" w14:textId="77777777" w:rsidR="00F03622" w:rsidRPr="00C739B1" w:rsidRDefault="00F03622" w:rsidP="00C4130E">
            <w:pPr>
              <w:pStyle w:val="NormalBeforeBullet"/>
              <w:spacing w:after="0"/>
              <w:jc w:val="center"/>
              <w:rPr>
                <w:rFonts w:ascii="Arial Narrow" w:hAnsi="Arial Narrow"/>
              </w:rPr>
            </w:pPr>
            <w:r w:rsidRPr="00C739B1">
              <w:rPr>
                <w:rFonts w:ascii="Arial Narrow" w:hAnsi="Arial Narrow"/>
              </w:rPr>
              <w:t>Worst ≥ Grade 3</w:t>
            </w:r>
          </w:p>
        </w:tc>
      </w:tr>
      <w:tr w:rsidR="00C739B1" w:rsidRPr="00C739B1" w14:paraId="20C6D912" w14:textId="77777777" w:rsidTr="00C4130E">
        <w:tc>
          <w:tcPr>
            <w:tcW w:w="2376" w:type="pct"/>
          </w:tcPr>
          <w:p w14:paraId="50C56484" w14:textId="77777777" w:rsidR="00F03622" w:rsidRPr="00C739B1" w:rsidRDefault="00F03622" w:rsidP="00C4130E">
            <w:pPr>
              <w:pStyle w:val="NormalBeforeBullet"/>
              <w:keepNext w:val="0"/>
              <w:spacing w:after="0"/>
              <w:rPr>
                <w:rFonts w:ascii="Arial Narrow" w:hAnsi="Arial Narrow"/>
              </w:rPr>
            </w:pPr>
            <w:r w:rsidRPr="00C739B1">
              <w:rPr>
                <w:rFonts w:ascii="Arial Narrow" w:hAnsi="Arial Narrow"/>
              </w:rPr>
              <w:t>TEAEs</w:t>
            </w:r>
          </w:p>
        </w:tc>
        <w:tc>
          <w:tcPr>
            <w:tcW w:w="1312" w:type="pct"/>
            <w:vAlign w:val="center"/>
          </w:tcPr>
          <w:p w14:paraId="3FAE09CC"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68 (100%)</w:t>
            </w:r>
          </w:p>
        </w:tc>
        <w:tc>
          <w:tcPr>
            <w:tcW w:w="1312" w:type="pct"/>
            <w:vAlign w:val="center"/>
          </w:tcPr>
          <w:p w14:paraId="12BABBE4"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67 (99%)</w:t>
            </w:r>
          </w:p>
        </w:tc>
      </w:tr>
      <w:tr w:rsidR="00C739B1" w:rsidRPr="00C739B1" w14:paraId="10A06250" w14:textId="77777777" w:rsidTr="00C4130E">
        <w:tc>
          <w:tcPr>
            <w:tcW w:w="2376" w:type="pct"/>
          </w:tcPr>
          <w:p w14:paraId="078246B5" w14:textId="77777777" w:rsidR="00F03622" w:rsidRPr="00C739B1" w:rsidRDefault="00F03622" w:rsidP="00C4130E">
            <w:pPr>
              <w:pStyle w:val="NormalBeforeBullet"/>
              <w:keepNext w:val="0"/>
              <w:spacing w:after="0"/>
              <w:rPr>
                <w:rFonts w:ascii="Arial Narrow" w:hAnsi="Arial Narrow"/>
              </w:rPr>
            </w:pPr>
            <w:r w:rsidRPr="00C739B1">
              <w:rPr>
                <w:rFonts w:ascii="Arial Narrow" w:hAnsi="Arial Narrow"/>
              </w:rPr>
              <w:t>Serious TEAEs</w:t>
            </w:r>
          </w:p>
        </w:tc>
        <w:tc>
          <w:tcPr>
            <w:tcW w:w="1312" w:type="pct"/>
            <w:vAlign w:val="center"/>
          </w:tcPr>
          <w:p w14:paraId="2BDF45F4"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46 (68%)</w:t>
            </w:r>
          </w:p>
        </w:tc>
        <w:tc>
          <w:tcPr>
            <w:tcW w:w="1312" w:type="pct"/>
            <w:vAlign w:val="center"/>
          </w:tcPr>
          <w:p w14:paraId="2F8B5DF6"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37 (54%)</w:t>
            </w:r>
          </w:p>
        </w:tc>
      </w:tr>
      <w:tr w:rsidR="00C739B1" w:rsidRPr="00C739B1" w14:paraId="0B68607C" w14:textId="77777777" w:rsidTr="00C4130E">
        <w:tc>
          <w:tcPr>
            <w:tcW w:w="2376" w:type="pct"/>
          </w:tcPr>
          <w:p w14:paraId="73E85686" w14:textId="77777777" w:rsidR="00F03622" w:rsidRPr="00C739B1" w:rsidRDefault="00F03622" w:rsidP="00C4130E">
            <w:pPr>
              <w:pStyle w:val="NormalBeforeBullet"/>
              <w:keepNext w:val="0"/>
              <w:spacing w:after="0"/>
              <w:rPr>
                <w:rFonts w:ascii="Arial Narrow" w:hAnsi="Arial Narrow"/>
              </w:rPr>
            </w:pPr>
            <w:r w:rsidRPr="00C739B1">
              <w:rPr>
                <w:rFonts w:ascii="Arial Narrow" w:hAnsi="Arial Narrow"/>
              </w:rPr>
              <w:t>CRS</w:t>
            </w:r>
          </w:p>
        </w:tc>
        <w:tc>
          <w:tcPr>
            <w:tcW w:w="1312" w:type="pct"/>
            <w:vAlign w:val="center"/>
          </w:tcPr>
          <w:p w14:paraId="334C4D1D"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62 (91%)</w:t>
            </w:r>
          </w:p>
        </w:tc>
        <w:tc>
          <w:tcPr>
            <w:tcW w:w="1312" w:type="pct"/>
            <w:vAlign w:val="center"/>
          </w:tcPr>
          <w:p w14:paraId="113723E2"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10 (15%)</w:t>
            </w:r>
          </w:p>
        </w:tc>
      </w:tr>
      <w:tr w:rsidR="00C739B1" w:rsidRPr="00C739B1" w14:paraId="64977A3C" w14:textId="77777777" w:rsidTr="00C4130E">
        <w:tc>
          <w:tcPr>
            <w:tcW w:w="2376" w:type="pct"/>
          </w:tcPr>
          <w:p w14:paraId="3E4A1E2F" w14:textId="77777777" w:rsidR="00F03622" w:rsidRPr="00C739B1" w:rsidRDefault="00F03622" w:rsidP="00C4130E">
            <w:pPr>
              <w:pStyle w:val="NormalBeforeBullet"/>
              <w:keepNext w:val="0"/>
              <w:spacing w:after="0"/>
              <w:rPr>
                <w:rFonts w:ascii="Arial Narrow" w:hAnsi="Arial Narrow"/>
              </w:rPr>
            </w:pPr>
            <w:r w:rsidRPr="00C739B1">
              <w:rPr>
                <w:rFonts w:ascii="Arial Narrow" w:hAnsi="Arial Narrow"/>
              </w:rPr>
              <w:t>Neurologic event</w:t>
            </w:r>
          </w:p>
        </w:tc>
        <w:tc>
          <w:tcPr>
            <w:tcW w:w="1312" w:type="pct"/>
            <w:vAlign w:val="center"/>
          </w:tcPr>
          <w:p w14:paraId="3C74C033"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43 (63%)</w:t>
            </w:r>
          </w:p>
        </w:tc>
        <w:tc>
          <w:tcPr>
            <w:tcW w:w="1312" w:type="pct"/>
            <w:vAlign w:val="center"/>
          </w:tcPr>
          <w:p w14:paraId="65FE372C"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22 (32%)</w:t>
            </w:r>
          </w:p>
        </w:tc>
      </w:tr>
      <w:tr w:rsidR="00C739B1" w:rsidRPr="00C739B1" w14:paraId="1B13A303" w14:textId="77777777" w:rsidTr="00C4130E">
        <w:tc>
          <w:tcPr>
            <w:tcW w:w="2376" w:type="pct"/>
          </w:tcPr>
          <w:p w14:paraId="2239352D" w14:textId="77777777" w:rsidR="00F03622" w:rsidRPr="00C739B1" w:rsidRDefault="00F03622" w:rsidP="00C4130E">
            <w:pPr>
              <w:pStyle w:val="NormalBeforeBullet"/>
              <w:keepNext w:val="0"/>
              <w:spacing w:after="0"/>
              <w:rPr>
                <w:rFonts w:ascii="Arial Narrow" w:hAnsi="Arial Narrow"/>
              </w:rPr>
            </w:pPr>
            <w:r w:rsidRPr="00C739B1">
              <w:rPr>
                <w:rFonts w:ascii="Arial Narrow" w:hAnsi="Arial Narrow"/>
              </w:rPr>
              <w:t>Thrombocytopenia</w:t>
            </w:r>
          </w:p>
        </w:tc>
        <w:tc>
          <w:tcPr>
            <w:tcW w:w="1312" w:type="pct"/>
            <w:vAlign w:val="center"/>
          </w:tcPr>
          <w:p w14:paraId="07B9CFF9"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50 (74%)</w:t>
            </w:r>
          </w:p>
        </w:tc>
        <w:tc>
          <w:tcPr>
            <w:tcW w:w="1312" w:type="pct"/>
            <w:vAlign w:val="center"/>
          </w:tcPr>
          <w:p w14:paraId="7E6C4803"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35 (51%)</w:t>
            </w:r>
          </w:p>
        </w:tc>
      </w:tr>
      <w:tr w:rsidR="00C739B1" w:rsidRPr="00C739B1" w14:paraId="67008B57" w14:textId="77777777" w:rsidTr="00C4130E">
        <w:tc>
          <w:tcPr>
            <w:tcW w:w="2376" w:type="pct"/>
          </w:tcPr>
          <w:p w14:paraId="5B6170BF" w14:textId="77777777" w:rsidR="00F03622" w:rsidRPr="00C739B1" w:rsidRDefault="00F03622" w:rsidP="00C4130E">
            <w:pPr>
              <w:pStyle w:val="NormalBeforeBullet"/>
              <w:keepNext w:val="0"/>
              <w:spacing w:after="0"/>
              <w:rPr>
                <w:rFonts w:ascii="Arial Narrow" w:hAnsi="Arial Narrow"/>
              </w:rPr>
            </w:pPr>
            <w:r w:rsidRPr="00C739B1">
              <w:rPr>
                <w:rFonts w:ascii="Arial Narrow" w:hAnsi="Arial Narrow"/>
              </w:rPr>
              <w:t>Neutropenia</w:t>
            </w:r>
          </w:p>
        </w:tc>
        <w:tc>
          <w:tcPr>
            <w:tcW w:w="1312" w:type="pct"/>
            <w:vAlign w:val="center"/>
          </w:tcPr>
          <w:p w14:paraId="442F343E"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59 (87%)</w:t>
            </w:r>
          </w:p>
        </w:tc>
        <w:tc>
          <w:tcPr>
            <w:tcW w:w="1312" w:type="pct"/>
            <w:vAlign w:val="center"/>
          </w:tcPr>
          <w:p w14:paraId="61F3F4BB"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58 (85%)</w:t>
            </w:r>
          </w:p>
        </w:tc>
      </w:tr>
      <w:tr w:rsidR="00C739B1" w:rsidRPr="00C739B1" w14:paraId="75F9859D" w14:textId="77777777" w:rsidTr="00C4130E">
        <w:tc>
          <w:tcPr>
            <w:tcW w:w="2376" w:type="pct"/>
          </w:tcPr>
          <w:p w14:paraId="1AEE678B" w14:textId="77777777" w:rsidR="00F03622" w:rsidRPr="00C739B1" w:rsidRDefault="00F03622" w:rsidP="00C4130E">
            <w:pPr>
              <w:pStyle w:val="NormalBeforeBullet"/>
              <w:keepNext w:val="0"/>
              <w:spacing w:after="0"/>
              <w:rPr>
                <w:rFonts w:ascii="Arial Narrow" w:hAnsi="Arial Narrow"/>
              </w:rPr>
            </w:pPr>
            <w:r w:rsidRPr="00C739B1">
              <w:rPr>
                <w:rFonts w:ascii="Arial Narrow" w:hAnsi="Arial Narrow"/>
              </w:rPr>
              <w:t>Anaemia</w:t>
            </w:r>
          </w:p>
        </w:tc>
        <w:tc>
          <w:tcPr>
            <w:tcW w:w="1312" w:type="pct"/>
            <w:vAlign w:val="center"/>
          </w:tcPr>
          <w:p w14:paraId="4706F84B"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46 (68%)</w:t>
            </w:r>
          </w:p>
        </w:tc>
        <w:tc>
          <w:tcPr>
            <w:tcW w:w="1312" w:type="pct"/>
            <w:vAlign w:val="center"/>
          </w:tcPr>
          <w:p w14:paraId="717022F2"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34 (50%)</w:t>
            </w:r>
          </w:p>
        </w:tc>
      </w:tr>
      <w:tr w:rsidR="00C739B1" w:rsidRPr="00C739B1" w14:paraId="794FD2F4" w14:textId="77777777" w:rsidTr="00C4130E">
        <w:tc>
          <w:tcPr>
            <w:tcW w:w="2376" w:type="pct"/>
          </w:tcPr>
          <w:p w14:paraId="0087C0DD" w14:textId="77777777" w:rsidR="00F03622" w:rsidRPr="00C739B1" w:rsidRDefault="00F03622" w:rsidP="00C4130E">
            <w:pPr>
              <w:pStyle w:val="NormalBeforeBullet"/>
              <w:keepNext w:val="0"/>
              <w:spacing w:after="0"/>
              <w:rPr>
                <w:rFonts w:ascii="Arial Narrow" w:hAnsi="Arial Narrow"/>
              </w:rPr>
            </w:pPr>
            <w:r w:rsidRPr="00C739B1">
              <w:rPr>
                <w:rFonts w:ascii="Arial Narrow" w:hAnsi="Arial Narrow"/>
              </w:rPr>
              <w:t>Serious infection</w:t>
            </w:r>
          </w:p>
        </w:tc>
        <w:tc>
          <w:tcPr>
            <w:tcW w:w="1312" w:type="pct"/>
            <w:vAlign w:val="center"/>
          </w:tcPr>
          <w:p w14:paraId="72FE9641"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17 (25%)</w:t>
            </w:r>
          </w:p>
        </w:tc>
        <w:tc>
          <w:tcPr>
            <w:tcW w:w="1312" w:type="pct"/>
            <w:vAlign w:val="center"/>
          </w:tcPr>
          <w:p w14:paraId="2BD72FC1"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16 (24%)</w:t>
            </w:r>
          </w:p>
        </w:tc>
      </w:tr>
      <w:tr w:rsidR="00C739B1" w:rsidRPr="00C739B1" w14:paraId="0D98202B" w14:textId="77777777" w:rsidTr="00C4130E">
        <w:tc>
          <w:tcPr>
            <w:tcW w:w="2376" w:type="pct"/>
          </w:tcPr>
          <w:p w14:paraId="065CE4AA" w14:textId="77777777" w:rsidR="00F03622" w:rsidRPr="00C739B1" w:rsidRDefault="00F03622" w:rsidP="00C4130E">
            <w:pPr>
              <w:pStyle w:val="NormalBeforeBullet"/>
              <w:keepNext w:val="0"/>
              <w:spacing w:after="0"/>
              <w:rPr>
                <w:rFonts w:ascii="Arial Narrow" w:hAnsi="Arial Narrow"/>
              </w:rPr>
            </w:pPr>
            <w:proofErr w:type="spellStart"/>
            <w:r w:rsidRPr="00C739B1">
              <w:rPr>
                <w:rFonts w:ascii="Arial Narrow" w:hAnsi="Arial Narrow"/>
              </w:rPr>
              <w:t>Hypogammaglobulinaemia</w:t>
            </w:r>
            <w:proofErr w:type="spellEnd"/>
          </w:p>
        </w:tc>
        <w:tc>
          <w:tcPr>
            <w:tcW w:w="1312" w:type="pct"/>
            <w:vAlign w:val="center"/>
          </w:tcPr>
          <w:p w14:paraId="34BCF15A"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13 (19%)</w:t>
            </w:r>
          </w:p>
        </w:tc>
        <w:tc>
          <w:tcPr>
            <w:tcW w:w="1312" w:type="pct"/>
            <w:vAlign w:val="center"/>
          </w:tcPr>
          <w:p w14:paraId="4F83C7E3" w14:textId="77777777" w:rsidR="00F03622" w:rsidRPr="00C739B1" w:rsidRDefault="00F03622" w:rsidP="00C4130E">
            <w:pPr>
              <w:pStyle w:val="NormalBeforeBullet"/>
              <w:keepNext w:val="0"/>
              <w:spacing w:after="0"/>
              <w:jc w:val="center"/>
              <w:rPr>
                <w:rFonts w:ascii="Arial Narrow" w:hAnsi="Arial Narrow"/>
              </w:rPr>
            </w:pPr>
            <w:r w:rsidRPr="00C739B1">
              <w:rPr>
                <w:rFonts w:ascii="Arial Narrow" w:hAnsi="Arial Narrow"/>
              </w:rPr>
              <w:t>1 (1%)</w:t>
            </w:r>
          </w:p>
        </w:tc>
      </w:tr>
    </w:tbl>
    <w:p w14:paraId="2016B6CA" w14:textId="77777777" w:rsidR="00F03622" w:rsidRPr="00C739B1" w:rsidRDefault="00F03622" w:rsidP="00F03622">
      <w:pPr>
        <w:pStyle w:val="NormalBeforeBullet"/>
        <w:keepNext w:val="0"/>
        <w:spacing w:after="240"/>
        <w:rPr>
          <w:rFonts w:ascii="Arial Narrow" w:hAnsi="Arial Narrow"/>
        </w:rPr>
      </w:pPr>
      <w:r w:rsidRPr="00C739B1">
        <w:rPr>
          <w:rFonts w:ascii="Arial Narrow" w:hAnsi="Arial Narrow"/>
        </w:rPr>
        <w:t>Source: Table 2.8 in Section 2.5.1 of the ADAR and Table 40 ZUMA-2 CSR</w:t>
      </w:r>
    </w:p>
    <w:p w14:paraId="226F1A75" w14:textId="77777777" w:rsidR="00F03622" w:rsidRPr="00C739B1" w:rsidRDefault="00C739B1" w:rsidP="00F03622">
      <w:pPr>
        <w:jc w:val="both"/>
        <w:rPr>
          <w:iCs/>
        </w:rPr>
      </w:pPr>
      <w:r w:rsidRPr="00C739B1">
        <w:rPr>
          <w:iCs/>
        </w:rPr>
        <w:t>The Commentary noted that a</w:t>
      </w:r>
      <w:r w:rsidR="00F03622" w:rsidRPr="00C739B1">
        <w:rPr>
          <w:iCs/>
        </w:rPr>
        <w:t xml:space="preserve"> comparison between the ZUMA-2 study and the safety profile of R-CHOP (as reported by </w:t>
      </w:r>
      <w:proofErr w:type="spellStart"/>
      <w:r w:rsidR="00F03622" w:rsidRPr="00C739B1">
        <w:rPr>
          <w:iCs/>
        </w:rPr>
        <w:t>Robak</w:t>
      </w:r>
      <w:proofErr w:type="spellEnd"/>
      <w:r w:rsidR="00F03622" w:rsidRPr="00C739B1">
        <w:rPr>
          <w:iCs/>
        </w:rPr>
        <w:t xml:space="preserve"> et al. 2015) found that patients treated with brexucabtagene autoleucel had more grade </w:t>
      </w:r>
      <w:r w:rsidR="00F03622" w:rsidRPr="00C739B1">
        <w:rPr>
          <w:rFonts w:ascii="Open Sans" w:hAnsi="Open Sans" w:cs="Open Sans"/>
          <w:iCs/>
        </w:rPr>
        <w:t>≥</w:t>
      </w:r>
      <w:r w:rsidR="00F03622" w:rsidRPr="00C739B1">
        <w:rPr>
          <w:iCs/>
        </w:rPr>
        <w:t xml:space="preserve">3 events (99% had grade ≥3 treatment emergent AEs) compared with patients treated with R-CHOP (85% had grade ≥3 AEs). Additionally, grade </w:t>
      </w:r>
      <w:r w:rsidR="00F03622" w:rsidRPr="00C739B1">
        <w:rPr>
          <w:rFonts w:ascii="Open Sans" w:hAnsi="Open Sans" w:cs="Open Sans"/>
          <w:iCs/>
        </w:rPr>
        <w:t>≥</w:t>
      </w:r>
      <w:r w:rsidR="00F03622" w:rsidRPr="00C739B1">
        <w:rPr>
          <w:iCs/>
        </w:rPr>
        <w:t>3 AEs of special interest when treated with brexucabtagene autoleucel occurred at higher rates than in patients who were treated with R-CHOP:</w:t>
      </w:r>
    </w:p>
    <w:p w14:paraId="1B56C163" w14:textId="77777777" w:rsidR="00F03622" w:rsidRPr="00C739B1" w:rsidRDefault="00F03622" w:rsidP="00C739B1">
      <w:pPr>
        <w:pStyle w:val="ListParagraph"/>
        <w:numPr>
          <w:ilvl w:val="0"/>
          <w:numId w:val="19"/>
        </w:numPr>
        <w:tabs>
          <w:tab w:val="left" w:pos="1134"/>
        </w:tabs>
        <w:spacing w:after="240" w:line="259" w:lineRule="auto"/>
        <w:ind w:left="3969" w:hanging="3337"/>
        <w:rPr>
          <w:iCs/>
        </w:rPr>
      </w:pPr>
      <w:r w:rsidRPr="00C739B1">
        <w:rPr>
          <w:iCs/>
        </w:rPr>
        <w:t>Neurologic event</w:t>
      </w:r>
      <w:r w:rsidRPr="00C739B1">
        <w:rPr>
          <w:iCs/>
        </w:rPr>
        <w:tab/>
        <w:t>32% vs 6%</w:t>
      </w:r>
    </w:p>
    <w:p w14:paraId="6A45C65C" w14:textId="77777777" w:rsidR="00F03622" w:rsidRPr="00C739B1" w:rsidRDefault="00F03622" w:rsidP="00C739B1">
      <w:pPr>
        <w:pStyle w:val="ListParagraph"/>
        <w:numPr>
          <w:ilvl w:val="0"/>
          <w:numId w:val="19"/>
        </w:numPr>
        <w:tabs>
          <w:tab w:val="left" w:pos="1134"/>
        </w:tabs>
        <w:spacing w:after="240" w:line="259" w:lineRule="auto"/>
        <w:ind w:left="3969" w:hanging="3337"/>
        <w:rPr>
          <w:iCs/>
        </w:rPr>
      </w:pPr>
      <w:r w:rsidRPr="00C739B1">
        <w:rPr>
          <w:iCs/>
        </w:rPr>
        <w:t>Thrombocytopenia</w:t>
      </w:r>
      <w:r w:rsidRPr="00C739B1">
        <w:rPr>
          <w:iCs/>
        </w:rPr>
        <w:tab/>
        <w:t>51% vs 6%</w:t>
      </w:r>
    </w:p>
    <w:p w14:paraId="11D797A2" w14:textId="77777777" w:rsidR="00F03622" w:rsidRPr="00C739B1" w:rsidRDefault="00F03622" w:rsidP="00C739B1">
      <w:pPr>
        <w:pStyle w:val="ListParagraph"/>
        <w:numPr>
          <w:ilvl w:val="0"/>
          <w:numId w:val="19"/>
        </w:numPr>
        <w:tabs>
          <w:tab w:val="left" w:pos="1134"/>
        </w:tabs>
        <w:spacing w:after="240" w:line="259" w:lineRule="auto"/>
        <w:ind w:left="3969" w:hanging="3337"/>
        <w:rPr>
          <w:iCs/>
        </w:rPr>
      </w:pPr>
      <w:r w:rsidRPr="00C739B1">
        <w:rPr>
          <w:iCs/>
        </w:rPr>
        <w:t>Neutropenia</w:t>
      </w:r>
      <w:r w:rsidRPr="00C739B1">
        <w:rPr>
          <w:iCs/>
        </w:rPr>
        <w:tab/>
        <w:t>85% vs 67%</w:t>
      </w:r>
    </w:p>
    <w:p w14:paraId="16E0DE06" w14:textId="77777777" w:rsidR="00F03622" w:rsidRPr="00C739B1" w:rsidRDefault="00F03622" w:rsidP="00C739B1">
      <w:pPr>
        <w:pStyle w:val="ListParagraph"/>
        <w:numPr>
          <w:ilvl w:val="0"/>
          <w:numId w:val="19"/>
        </w:numPr>
        <w:tabs>
          <w:tab w:val="left" w:pos="1134"/>
        </w:tabs>
        <w:spacing w:after="240" w:line="259" w:lineRule="auto"/>
        <w:ind w:left="3969" w:hanging="3337"/>
        <w:rPr>
          <w:iCs/>
        </w:rPr>
      </w:pPr>
      <w:r w:rsidRPr="00C739B1">
        <w:rPr>
          <w:iCs/>
        </w:rPr>
        <w:t>Anaemia</w:t>
      </w:r>
      <w:r w:rsidRPr="00C739B1">
        <w:rPr>
          <w:iCs/>
        </w:rPr>
        <w:tab/>
        <w:t>50% vs 14%</w:t>
      </w:r>
    </w:p>
    <w:p w14:paraId="4BB23A2F" w14:textId="77777777" w:rsidR="00F03622" w:rsidRPr="00C739B1" w:rsidRDefault="00F03622" w:rsidP="0056428E">
      <w:pPr>
        <w:pStyle w:val="ListParagraph"/>
        <w:numPr>
          <w:ilvl w:val="0"/>
          <w:numId w:val="19"/>
        </w:numPr>
        <w:tabs>
          <w:tab w:val="left" w:pos="1134"/>
        </w:tabs>
        <w:spacing w:after="240" w:line="259" w:lineRule="auto"/>
        <w:ind w:left="3969" w:hanging="3337"/>
        <w:rPr>
          <w:iCs/>
        </w:rPr>
      </w:pPr>
      <w:r w:rsidRPr="00C739B1">
        <w:rPr>
          <w:iCs/>
        </w:rPr>
        <w:t>Serious infection</w:t>
      </w:r>
      <w:r w:rsidRPr="00C739B1">
        <w:rPr>
          <w:iCs/>
        </w:rPr>
        <w:tab/>
        <w:t>24% vs 14%</w:t>
      </w:r>
    </w:p>
    <w:p w14:paraId="0F6F0B26" w14:textId="77777777" w:rsidR="00206760" w:rsidRPr="001550E5" w:rsidRDefault="00065623"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Comparative effectiveness</w:t>
      </w:r>
    </w:p>
    <w:p w14:paraId="320B5DC3" w14:textId="77777777" w:rsidR="00A03991" w:rsidRDefault="00A03991" w:rsidP="001550E5">
      <w:pPr>
        <w:spacing w:after="200"/>
      </w:pPr>
      <w:r>
        <w:t xml:space="preserve">The application stated that as there were several studies reporting response rates, progression free survival (PFS) and overall survival (OS) in patients treated with salvage therapy, </w:t>
      </w:r>
      <w:r w:rsidRPr="00FC20DB">
        <w:t xml:space="preserve">results </w:t>
      </w:r>
      <w:r>
        <w:t>from the</w:t>
      </w:r>
      <w:r w:rsidRPr="00FC20DB">
        <w:t xml:space="preserve"> salvage therapy </w:t>
      </w:r>
      <w:r>
        <w:t>studies</w:t>
      </w:r>
      <w:r w:rsidRPr="00FC20DB">
        <w:t xml:space="preserve"> were, where appropriate, pooled</w:t>
      </w:r>
      <w:r>
        <w:t xml:space="preserve"> to</w:t>
      </w:r>
      <w:r w:rsidRPr="00FC20DB">
        <w:t xml:space="preserve"> facilitate a comparison </w:t>
      </w:r>
      <w:r>
        <w:t>against</w:t>
      </w:r>
      <w:r w:rsidRPr="00FC20DB">
        <w:t xml:space="preserve"> results </w:t>
      </w:r>
      <w:r>
        <w:t>for brexucabtagene autoleucel as observed in</w:t>
      </w:r>
      <w:r w:rsidRPr="00FC20DB">
        <w:t xml:space="preserve"> </w:t>
      </w:r>
      <w:r>
        <w:t xml:space="preserve">the </w:t>
      </w:r>
      <w:r w:rsidRPr="00FC20DB">
        <w:t xml:space="preserve">ZUMA-2 </w:t>
      </w:r>
      <w:r>
        <w:t>study.</w:t>
      </w:r>
    </w:p>
    <w:p w14:paraId="7918DB14" w14:textId="77777777" w:rsidR="00A03991" w:rsidRDefault="00A03991" w:rsidP="00A03991">
      <w:pPr>
        <w:spacing w:after="200"/>
      </w:pPr>
      <w:r>
        <w:t xml:space="preserve">Ten studies of salvage therapy reported complete response (CR) rates and eight studies reported </w:t>
      </w:r>
      <w:r w:rsidRPr="004036CC">
        <w:t xml:space="preserve">objective response rate </w:t>
      </w:r>
      <w:r>
        <w:t xml:space="preserve">(ORR) and were included in the pooled analyses to derive a weighted average CR rate and ORR, respectively. Only two studies presented Kaplan-Meier plots for PFS – McCulloch 2020a and Eyre 2019. Patient-level data was reconstructed for PFS from the Kaplan-Meier plots provided for each study using the approach described by Guyot 2012. The reconstructed patient-level data were then pooled to generate a weighted average Kaplan-Meier function for PFS. Five studies either provided patient-level data to </w:t>
      </w:r>
      <w:r>
        <w:lastRenderedPageBreak/>
        <w:t xml:space="preserve">permit the derivation </w:t>
      </w:r>
      <w:proofErr w:type="gramStart"/>
      <w:r>
        <w:t>of, or</w:t>
      </w:r>
      <w:proofErr w:type="gramEnd"/>
      <w:r>
        <w:t xml:space="preserve"> presented Kaplan-Meier curves for OS in patients treated with salvage therapy after discontinuation of a BTK inhibitor – McCulloch 2020a, Eyre 2019, Jain 2018b, Martin 2016, and Jain 2018a. Reconstructed patient-level data from these studies was then pooled to generate a weighted average Kaplan-Meier function for OS.</w:t>
      </w:r>
    </w:p>
    <w:p w14:paraId="499974EB" w14:textId="77777777" w:rsidR="00A03991" w:rsidRDefault="00A03991" w:rsidP="00A03991">
      <w:pPr>
        <w:spacing w:before="240" w:after="200"/>
      </w:pPr>
      <w:r>
        <w:t xml:space="preserve">Key outcomes reported for the studies </w:t>
      </w:r>
      <w:r w:rsidRPr="00553FB7">
        <w:t xml:space="preserve">are </w:t>
      </w:r>
      <w:r>
        <w:t>summarised in Table 4.</w:t>
      </w:r>
    </w:p>
    <w:p w14:paraId="1F272F85" w14:textId="77777777" w:rsidR="00A03991" w:rsidRDefault="00A03991" w:rsidP="00992109">
      <w:pPr>
        <w:spacing w:before="240" w:after="200"/>
        <w:sectPr w:rsidR="00A03991" w:rsidSect="00200AA9">
          <w:pgSz w:w="11906" w:h="16838"/>
          <w:pgMar w:top="1440" w:right="1440" w:bottom="1134" w:left="1440" w:header="708" w:footer="708" w:gutter="0"/>
          <w:cols w:space="708"/>
          <w:docGrid w:linePitch="360"/>
        </w:sectPr>
      </w:pPr>
    </w:p>
    <w:p w14:paraId="3D56B41E" w14:textId="77777777" w:rsidR="00A03991" w:rsidRPr="007E7102" w:rsidRDefault="00A03991" w:rsidP="00A03991">
      <w:pPr>
        <w:pStyle w:val="Caption"/>
      </w:pPr>
      <w:bookmarkStart w:id="9" w:name="_Ref63352527"/>
      <w:bookmarkStart w:id="10" w:name="_Toc63557148"/>
      <w:bookmarkStart w:id="11" w:name="_Toc68685775"/>
      <w:r>
        <w:lastRenderedPageBreak/>
        <w:t xml:space="preserve">Table </w:t>
      </w:r>
      <w:bookmarkEnd w:id="9"/>
      <w:r>
        <w:t>4:</w:t>
      </w:r>
      <w:r>
        <w:tab/>
        <w:t xml:space="preserve">Overview of the key characteristics of patients and key results from the studies available to compare outcomes brexucabtagene autoleucel to salvage therapy in patients with R/R MCL in the post-BTK inhibitor </w:t>
      </w:r>
      <w:proofErr w:type="gramStart"/>
      <w:r>
        <w:t>setting</w:t>
      </w:r>
      <w:bookmarkEnd w:id="10"/>
      <w:bookmarkEnd w:id="11"/>
      <w:proofErr w:type="gramEnd"/>
    </w:p>
    <w:tbl>
      <w:tblPr>
        <w:tblStyle w:val="TableGrid"/>
        <w:tblW w:w="14170" w:type="dxa"/>
        <w:tblCellMar>
          <w:left w:w="28" w:type="dxa"/>
          <w:right w:w="28" w:type="dxa"/>
        </w:tblCellMar>
        <w:tblLook w:val="04A0" w:firstRow="1" w:lastRow="0" w:firstColumn="1" w:lastColumn="0" w:noHBand="0" w:noVBand="1"/>
        <w:tblDescription w:val="Overview of the key characteristics of patients and key results from the studies available to compare outcomes brexucabtagene autoleucel to salvage therapy in patients with R/R MCL in the post-BTK inhibitor setting"/>
      </w:tblPr>
      <w:tblGrid>
        <w:gridCol w:w="1413"/>
        <w:gridCol w:w="1417"/>
        <w:gridCol w:w="1890"/>
        <w:gridCol w:w="1890"/>
        <w:gridCol w:w="1890"/>
        <w:gridCol w:w="1890"/>
        <w:gridCol w:w="1890"/>
        <w:gridCol w:w="1890"/>
      </w:tblGrid>
      <w:tr w:rsidR="00A03991" w:rsidRPr="00A03991" w14:paraId="5EC9CE6A" w14:textId="77777777" w:rsidTr="004C0FEE">
        <w:trPr>
          <w:tblHeader/>
        </w:trPr>
        <w:tc>
          <w:tcPr>
            <w:tcW w:w="1413" w:type="dxa"/>
            <w:vAlign w:val="center"/>
          </w:tcPr>
          <w:p w14:paraId="4248C295" w14:textId="77777777" w:rsidR="00A03991" w:rsidRPr="00A03991" w:rsidRDefault="00A03991" w:rsidP="00A03991">
            <w:pPr>
              <w:rPr>
                <w:rFonts w:ascii="Arial Narrow" w:hAnsi="Arial Narrow"/>
                <w:b/>
                <w:bCs/>
                <w:sz w:val="20"/>
              </w:rPr>
            </w:pPr>
            <w:r w:rsidRPr="00A03991">
              <w:rPr>
                <w:rFonts w:ascii="Arial Narrow" w:hAnsi="Arial Narrow"/>
                <w:b/>
                <w:bCs/>
                <w:sz w:val="20"/>
              </w:rPr>
              <w:t>Study</w:t>
            </w:r>
          </w:p>
        </w:tc>
        <w:tc>
          <w:tcPr>
            <w:tcW w:w="1417" w:type="dxa"/>
            <w:vAlign w:val="center"/>
          </w:tcPr>
          <w:p w14:paraId="7C5DA63E"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N</w:t>
            </w:r>
            <w:r w:rsidRPr="00A03991">
              <w:rPr>
                <w:rFonts w:ascii="Arial Narrow" w:hAnsi="Arial Narrow"/>
                <w:b/>
                <w:bCs/>
                <w:sz w:val="20"/>
              </w:rPr>
              <w:br/>
              <w:t>(post-BTK inhibitor setting)</w:t>
            </w:r>
          </w:p>
        </w:tc>
        <w:tc>
          <w:tcPr>
            <w:tcW w:w="1890" w:type="dxa"/>
            <w:vAlign w:val="center"/>
          </w:tcPr>
          <w:p w14:paraId="2FBF89BE"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Mean number of prior regimens (range)</w:t>
            </w:r>
          </w:p>
        </w:tc>
        <w:tc>
          <w:tcPr>
            <w:tcW w:w="1890" w:type="dxa"/>
            <w:vAlign w:val="center"/>
          </w:tcPr>
          <w:p w14:paraId="6214032E"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Median duration of BTK inhibitor</w:t>
            </w:r>
          </w:p>
          <w:p w14:paraId="34CAEEA7"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w:t>
            </w:r>
            <w:proofErr w:type="gramStart"/>
            <w:r w:rsidRPr="00A03991">
              <w:rPr>
                <w:rFonts w:ascii="Arial Narrow" w:hAnsi="Arial Narrow"/>
                <w:b/>
                <w:bCs/>
                <w:sz w:val="20"/>
              </w:rPr>
              <w:t>in</w:t>
            </w:r>
            <w:proofErr w:type="gramEnd"/>
            <w:r w:rsidRPr="00A03991">
              <w:rPr>
                <w:rFonts w:ascii="Arial Narrow" w:hAnsi="Arial Narrow"/>
                <w:b/>
                <w:bCs/>
                <w:sz w:val="20"/>
              </w:rPr>
              <w:t xml:space="preserve"> months, range)</w:t>
            </w:r>
          </w:p>
        </w:tc>
        <w:tc>
          <w:tcPr>
            <w:tcW w:w="1890" w:type="dxa"/>
            <w:vAlign w:val="center"/>
          </w:tcPr>
          <w:p w14:paraId="68324891"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CR</w:t>
            </w:r>
            <w:r w:rsidRPr="00A03991">
              <w:rPr>
                <w:rFonts w:ascii="Arial Narrow" w:hAnsi="Arial Narrow"/>
                <w:b/>
                <w:bCs/>
                <w:sz w:val="20"/>
              </w:rPr>
              <w:br/>
              <w:t>n/N (%)</w:t>
            </w:r>
          </w:p>
        </w:tc>
        <w:tc>
          <w:tcPr>
            <w:tcW w:w="1890" w:type="dxa"/>
            <w:vAlign w:val="center"/>
          </w:tcPr>
          <w:p w14:paraId="6C16E2F3"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ORR</w:t>
            </w:r>
            <w:r w:rsidRPr="00A03991">
              <w:rPr>
                <w:rFonts w:ascii="Arial Narrow" w:hAnsi="Arial Narrow"/>
                <w:b/>
                <w:bCs/>
                <w:sz w:val="20"/>
              </w:rPr>
              <w:br/>
              <w:t>n/N (%)</w:t>
            </w:r>
          </w:p>
        </w:tc>
        <w:tc>
          <w:tcPr>
            <w:tcW w:w="1890" w:type="dxa"/>
            <w:vAlign w:val="center"/>
          </w:tcPr>
          <w:p w14:paraId="450D8348"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Median PFS</w:t>
            </w:r>
          </w:p>
          <w:p w14:paraId="32723680"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w:t>
            </w:r>
            <w:proofErr w:type="gramStart"/>
            <w:r w:rsidRPr="00A03991">
              <w:rPr>
                <w:rFonts w:ascii="Arial Narrow" w:hAnsi="Arial Narrow"/>
                <w:b/>
                <w:bCs/>
                <w:sz w:val="20"/>
              </w:rPr>
              <w:t>in</w:t>
            </w:r>
            <w:proofErr w:type="gramEnd"/>
            <w:r w:rsidRPr="00A03991">
              <w:rPr>
                <w:rFonts w:ascii="Arial Narrow" w:hAnsi="Arial Narrow"/>
                <w:b/>
                <w:bCs/>
                <w:sz w:val="20"/>
              </w:rPr>
              <w:t xml:space="preserve"> months)</w:t>
            </w:r>
          </w:p>
        </w:tc>
        <w:tc>
          <w:tcPr>
            <w:tcW w:w="1890" w:type="dxa"/>
            <w:vAlign w:val="center"/>
          </w:tcPr>
          <w:p w14:paraId="62A1A211"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Median OS</w:t>
            </w:r>
          </w:p>
          <w:p w14:paraId="6DD350A5" w14:textId="77777777" w:rsidR="00A03991" w:rsidRPr="00A03991" w:rsidRDefault="00A03991" w:rsidP="00A03991">
            <w:pPr>
              <w:jc w:val="center"/>
              <w:rPr>
                <w:rFonts w:ascii="Arial Narrow" w:hAnsi="Arial Narrow"/>
                <w:b/>
                <w:bCs/>
                <w:sz w:val="20"/>
              </w:rPr>
            </w:pPr>
            <w:r w:rsidRPr="00A03991">
              <w:rPr>
                <w:rFonts w:ascii="Arial Narrow" w:hAnsi="Arial Narrow"/>
                <w:b/>
                <w:bCs/>
                <w:sz w:val="20"/>
              </w:rPr>
              <w:t>(</w:t>
            </w:r>
            <w:proofErr w:type="gramStart"/>
            <w:r w:rsidRPr="00A03991">
              <w:rPr>
                <w:rFonts w:ascii="Arial Narrow" w:hAnsi="Arial Narrow"/>
                <w:b/>
                <w:bCs/>
                <w:sz w:val="20"/>
              </w:rPr>
              <w:t>in</w:t>
            </w:r>
            <w:proofErr w:type="gramEnd"/>
            <w:r w:rsidRPr="00A03991">
              <w:rPr>
                <w:rFonts w:ascii="Arial Narrow" w:hAnsi="Arial Narrow"/>
                <w:b/>
                <w:bCs/>
                <w:sz w:val="20"/>
              </w:rPr>
              <w:t xml:space="preserve"> months)</w:t>
            </w:r>
          </w:p>
        </w:tc>
      </w:tr>
      <w:tr w:rsidR="00A03991" w:rsidRPr="00A03991" w14:paraId="0238A308" w14:textId="77777777" w:rsidTr="004C0FEE">
        <w:tc>
          <w:tcPr>
            <w:tcW w:w="1413" w:type="dxa"/>
            <w:vAlign w:val="center"/>
          </w:tcPr>
          <w:p w14:paraId="7F0097BD" w14:textId="77777777" w:rsidR="00A03991" w:rsidRPr="00A03991" w:rsidRDefault="00A03991" w:rsidP="00A03991">
            <w:pPr>
              <w:rPr>
                <w:rFonts w:ascii="Arial Narrow" w:hAnsi="Arial Narrow"/>
                <w:sz w:val="20"/>
              </w:rPr>
            </w:pPr>
            <w:r w:rsidRPr="00A03991">
              <w:rPr>
                <w:rFonts w:ascii="Arial Narrow" w:hAnsi="Arial Narrow"/>
                <w:sz w:val="20"/>
              </w:rPr>
              <w:t>ZUMA-2</w:t>
            </w:r>
          </w:p>
        </w:tc>
        <w:tc>
          <w:tcPr>
            <w:tcW w:w="1417" w:type="dxa"/>
            <w:vAlign w:val="center"/>
          </w:tcPr>
          <w:p w14:paraId="54CA28B1" w14:textId="77777777" w:rsidR="00A03991" w:rsidRPr="00A03991" w:rsidRDefault="00A03991" w:rsidP="00A03991">
            <w:pPr>
              <w:jc w:val="center"/>
              <w:rPr>
                <w:rFonts w:ascii="Arial Narrow" w:hAnsi="Arial Narrow"/>
                <w:sz w:val="20"/>
              </w:rPr>
            </w:pPr>
            <w:r w:rsidRPr="00A03991">
              <w:rPr>
                <w:rFonts w:ascii="Arial Narrow" w:hAnsi="Arial Narrow"/>
                <w:sz w:val="20"/>
              </w:rPr>
              <w:t>74</w:t>
            </w:r>
          </w:p>
        </w:tc>
        <w:tc>
          <w:tcPr>
            <w:tcW w:w="1890" w:type="dxa"/>
            <w:vAlign w:val="center"/>
          </w:tcPr>
          <w:p w14:paraId="6A87F207" w14:textId="77777777" w:rsidR="00A03991" w:rsidRPr="00A03991" w:rsidRDefault="00A03991" w:rsidP="00A03991">
            <w:pPr>
              <w:jc w:val="center"/>
              <w:rPr>
                <w:rFonts w:ascii="Arial Narrow" w:hAnsi="Arial Narrow"/>
                <w:sz w:val="20"/>
              </w:rPr>
            </w:pPr>
            <w:r w:rsidRPr="00A03991">
              <w:rPr>
                <w:rFonts w:ascii="Arial Narrow" w:hAnsi="Arial Narrow"/>
                <w:sz w:val="20"/>
              </w:rPr>
              <w:t>3.3</w:t>
            </w:r>
            <w:r w:rsidRPr="00A03991">
              <w:rPr>
                <w:rFonts w:ascii="Arial Narrow" w:hAnsi="Arial Narrow"/>
                <w:sz w:val="20"/>
                <w:vertAlign w:val="superscript"/>
              </w:rPr>
              <w:t>a</w:t>
            </w:r>
          </w:p>
          <w:p w14:paraId="7C5CEDAD" w14:textId="77777777" w:rsidR="00A03991" w:rsidRPr="00A03991" w:rsidRDefault="00A03991" w:rsidP="00A03991">
            <w:pPr>
              <w:jc w:val="center"/>
              <w:rPr>
                <w:rFonts w:ascii="Arial Narrow" w:hAnsi="Arial Narrow"/>
                <w:sz w:val="20"/>
              </w:rPr>
            </w:pPr>
            <w:r w:rsidRPr="00A03991">
              <w:rPr>
                <w:rFonts w:ascii="Arial Narrow" w:hAnsi="Arial Narrow"/>
                <w:sz w:val="20"/>
              </w:rPr>
              <w:t>(1 - 5)</w:t>
            </w:r>
          </w:p>
        </w:tc>
        <w:tc>
          <w:tcPr>
            <w:tcW w:w="1890" w:type="dxa"/>
            <w:vAlign w:val="center"/>
          </w:tcPr>
          <w:p w14:paraId="1416FEB6" w14:textId="77777777" w:rsidR="00A03991" w:rsidRPr="00A03991" w:rsidRDefault="00A03991" w:rsidP="00A03991">
            <w:pPr>
              <w:jc w:val="center"/>
              <w:rPr>
                <w:rFonts w:ascii="Arial Narrow" w:hAnsi="Arial Narrow"/>
                <w:sz w:val="20"/>
              </w:rPr>
            </w:pPr>
            <w:r w:rsidRPr="00A03991">
              <w:rPr>
                <w:rFonts w:ascii="Arial Narrow" w:hAnsi="Arial Narrow"/>
                <w:sz w:val="20"/>
              </w:rPr>
              <w:t>10.8</w:t>
            </w:r>
          </w:p>
          <w:p w14:paraId="51363F25" w14:textId="77777777" w:rsidR="00A03991" w:rsidRPr="00A03991" w:rsidRDefault="00A03991" w:rsidP="00A03991">
            <w:pPr>
              <w:jc w:val="center"/>
              <w:rPr>
                <w:rFonts w:ascii="Arial Narrow" w:hAnsi="Arial Narrow"/>
                <w:sz w:val="20"/>
              </w:rPr>
            </w:pPr>
            <w:r w:rsidRPr="00A03991">
              <w:rPr>
                <w:rFonts w:ascii="Arial Narrow" w:hAnsi="Arial Narrow"/>
                <w:sz w:val="20"/>
              </w:rPr>
              <w:t>(0.03 – 49.7)</w:t>
            </w:r>
          </w:p>
        </w:tc>
        <w:tc>
          <w:tcPr>
            <w:tcW w:w="1890" w:type="dxa"/>
            <w:vAlign w:val="center"/>
          </w:tcPr>
          <w:p w14:paraId="29213CAB" w14:textId="77777777" w:rsidR="00A03991" w:rsidRPr="00A03991" w:rsidRDefault="00A03991" w:rsidP="00A03991">
            <w:pPr>
              <w:jc w:val="center"/>
              <w:rPr>
                <w:rFonts w:ascii="Arial Narrow" w:hAnsi="Arial Narrow"/>
                <w:sz w:val="20"/>
              </w:rPr>
            </w:pPr>
            <w:r w:rsidRPr="00A03991">
              <w:rPr>
                <w:rFonts w:ascii="Arial Narrow" w:hAnsi="Arial Narrow"/>
                <w:sz w:val="20"/>
              </w:rPr>
              <w:t>44/74 (59%)</w:t>
            </w:r>
          </w:p>
        </w:tc>
        <w:tc>
          <w:tcPr>
            <w:tcW w:w="1890" w:type="dxa"/>
            <w:vAlign w:val="center"/>
          </w:tcPr>
          <w:p w14:paraId="7B2137DF" w14:textId="77777777" w:rsidR="00A03991" w:rsidRPr="00A03991" w:rsidRDefault="00A03991" w:rsidP="00A03991">
            <w:pPr>
              <w:jc w:val="center"/>
              <w:rPr>
                <w:rFonts w:ascii="Arial Narrow" w:hAnsi="Arial Narrow"/>
                <w:sz w:val="20"/>
              </w:rPr>
            </w:pPr>
            <w:r w:rsidRPr="00A03991">
              <w:rPr>
                <w:rFonts w:ascii="Arial Narrow" w:hAnsi="Arial Narrow"/>
                <w:sz w:val="20"/>
              </w:rPr>
              <w:t>62/74 (84%)</w:t>
            </w:r>
          </w:p>
        </w:tc>
        <w:tc>
          <w:tcPr>
            <w:tcW w:w="1890" w:type="dxa"/>
            <w:vAlign w:val="center"/>
          </w:tcPr>
          <w:p w14:paraId="4469585A" w14:textId="77777777" w:rsidR="00A03991" w:rsidRPr="00A03991" w:rsidRDefault="00A03991" w:rsidP="00A03991">
            <w:pPr>
              <w:jc w:val="center"/>
              <w:rPr>
                <w:rFonts w:ascii="Arial Narrow" w:hAnsi="Arial Narrow"/>
                <w:sz w:val="20"/>
              </w:rPr>
            </w:pPr>
            <w:r w:rsidRPr="00A03991">
              <w:rPr>
                <w:rFonts w:ascii="Arial Narrow" w:hAnsi="Arial Narrow"/>
                <w:sz w:val="20"/>
              </w:rPr>
              <w:t>16.2</w:t>
            </w:r>
          </w:p>
        </w:tc>
        <w:tc>
          <w:tcPr>
            <w:tcW w:w="1890" w:type="dxa"/>
            <w:vAlign w:val="center"/>
          </w:tcPr>
          <w:p w14:paraId="186F55BB" w14:textId="77777777" w:rsidR="00A03991" w:rsidRPr="00A03991" w:rsidRDefault="00A03991" w:rsidP="00A03991">
            <w:pPr>
              <w:jc w:val="center"/>
              <w:rPr>
                <w:rFonts w:ascii="Arial Narrow" w:hAnsi="Arial Narrow"/>
                <w:sz w:val="20"/>
              </w:rPr>
            </w:pPr>
            <w:r w:rsidRPr="00A03991">
              <w:rPr>
                <w:rFonts w:ascii="Arial Narrow" w:hAnsi="Arial Narrow"/>
                <w:sz w:val="20"/>
              </w:rPr>
              <w:t>Not reached</w:t>
            </w:r>
          </w:p>
        </w:tc>
      </w:tr>
      <w:tr w:rsidR="00A03991" w:rsidRPr="00A03991" w14:paraId="1D6A3AF3" w14:textId="77777777" w:rsidTr="004C0FEE">
        <w:tc>
          <w:tcPr>
            <w:tcW w:w="1413" w:type="dxa"/>
            <w:vAlign w:val="center"/>
          </w:tcPr>
          <w:p w14:paraId="51D310F1" w14:textId="77777777" w:rsidR="00A03991" w:rsidRPr="00A03991" w:rsidRDefault="00A03991" w:rsidP="00A03991">
            <w:pPr>
              <w:rPr>
                <w:rFonts w:ascii="Arial Narrow" w:hAnsi="Arial Narrow"/>
                <w:sz w:val="20"/>
              </w:rPr>
            </w:pPr>
            <w:proofErr w:type="spellStart"/>
            <w:r w:rsidRPr="00A03991">
              <w:rPr>
                <w:rFonts w:ascii="Arial Narrow" w:hAnsi="Arial Narrow"/>
                <w:sz w:val="20"/>
              </w:rPr>
              <w:t>Srour</w:t>
            </w:r>
            <w:proofErr w:type="spellEnd"/>
            <w:r w:rsidRPr="00A03991">
              <w:rPr>
                <w:rFonts w:ascii="Arial Narrow" w:hAnsi="Arial Narrow"/>
                <w:sz w:val="20"/>
              </w:rPr>
              <w:t xml:space="preserve"> 2018</w:t>
            </w:r>
          </w:p>
        </w:tc>
        <w:tc>
          <w:tcPr>
            <w:tcW w:w="1417" w:type="dxa"/>
            <w:vAlign w:val="center"/>
          </w:tcPr>
          <w:p w14:paraId="293DDFBF" w14:textId="77777777" w:rsidR="00A03991" w:rsidRPr="00A03991" w:rsidRDefault="00A03991" w:rsidP="00A03991">
            <w:pPr>
              <w:jc w:val="center"/>
              <w:rPr>
                <w:rFonts w:ascii="Arial Narrow" w:hAnsi="Arial Narrow"/>
                <w:sz w:val="20"/>
              </w:rPr>
            </w:pPr>
            <w:r w:rsidRPr="00A03991">
              <w:rPr>
                <w:rFonts w:ascii="Arial Narrow" w:hAnsi="Arial Narrow"/>
                <w:sz w:val="20"/>
              </w:rPr>
              <w:t>5</w:t>
            </w:r>
          </w:p>
        </w:tc>
        <w:tc>
          <w:tcPr>
            <w:tcW w:w="1890" w:type="dxa"/>
            <w:vAlign w:val="center"/>
          </w:tcPr>
          <w:p w14:paraId="45BD65F9" w14:textId="77777777" w:rsidR="00A03991" w:rsidRPr="00A03991" w:rsidRDefault="00A03991" w:rsidP="00A03991">
            <w:pPr>
              <w:jc w:val="center"/>
              <w:rPr>
                <w:rFonts w:ascii="Arial Narrow" w:hAnsi="Arial Narrow"/>
                <w:sz w:val="20"/>
              </w:rPr>
            </w:pPr>
            <w:r w:rsidRPr="00A03991">
              <w:rPr>
                <w:rFonts w:ascii="Arial Narrow" w:hAnsi="Arial Narrow"/>
                <w:sz w:val="20"/>
              </w:rPr>
              <w:t>3 (median)</w:t>
            </w:r>
          </w:p>
          <w:p w14:paraId="0DFDD528" w14:textId="77777777" w:rsidR="00A03991" w:rsidRPr="00A03991" w:rsidRDefault="00A03991" w:rsidP="00A03991">
            <w:pPr>
              <w:jc w:val="center"/>
              <w:rPr>
                <w:rFonts w:ascii="Arial Narrow" w:hAnsi="Arial Narrow"/>
                <w:sz w:val="20"/>
              </w:rPr>
            </w:pPr>
            <w:r w:rsidRPr="00A03991">
              <w:rPr>
                <w:rFonts w:ascii="Arial Narrow" w:hAnsi="Arial Narrow"/>
                <w:sz w:val="20"/>
              </w:rPr>
              <w:t>(3-11)</w:t>
            </w:r>
          </w:p>
        </w:tc>
        <w:tc>
          <w:tcPr>
            <w:tcW w:w="1890" w:type="dxa"/>
            <w:vAlign w:val="center"/>
          </w:tcPr>
          <w:p w14:paraId="5DE70EE2"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0432EC84" w14:textId="77777777" w:rsidR="00A03991" w:rsidRPr="00A03991" w:rsidRDefault="00A03991" w:rsidP="00A03991">
            <w:pPr>
              <w:jc w:val="center"/>
              <w:rPr>
                <w:rFonts w:ascii="Arial Narrow" w:hAnsi="Arial Narrow"/>
                <w:sz w:val="20"/>
              </w:rPr>
            </w:pPr>
            <w:r w:rsidRPr="00A03991">
              <w:rPr>
                <w:rFonts w:ascii="Arial Narrow" w:hAnsi="Arial Narrow"/>
                <w:sz w:val="20"/>
              </w:rPr>
              <w:t>3/5 (60%)</w:t>
            </w:r>
          </w:p>
        </w:tc>
        <w:tc>
          <w:tcPr>
            <w:tcW w:w="1890" w:type="dxa"/>
            <w:vAlign w:val="center"/>
          </w:tcPr>
          <w:p w14:paraId="30A83375" w14:textId="77777777" w:rsidR="00A03991" w:rsidRPr="00A03991" w:rsidRDefault="00A03991" w:rsidP="00A03991">
            <w:pPr>
              <w:jc w:val="center"/>
              <w:rPr>
                <w:rFonts w:ascii="Arial Narrow" w:hAnsi="Arial Narrow"/>
                <w:sz w:val="20"/>
              </w:rPr>
            </w:pPr>
            <w:r w:rsidRPr="00A03991">
              <w:rPr>
                <w:rFonts w:ascii="Arial Narrow" w:hAnsi="Arial Narrow"/>
                <w:sz w:val="20"/>
              </w:rPr>
              <w:t>5/5 (100%)</w:t>
            </w:r>
          </w:p>
        </w:tc>
        <w:tc>
          <w:tcPr>
            <w:tcW w:w="1890" w:type="dxa"/>
            <w:vAlign w:val="center"/>
          </w:tcPr>
          <w:p w14:paraId="3FCAEF7D" w14:textId="77777777" w:rsidR="00A03991" w:rsidRPr="00A03991" w:rsidRDefault="00A03991" w:rsidP="00A03991">
            <w:pPr>
              <w:jc w:val="center"/>
              <w:rPr>
                <w:rFonts w:ascii="Arial Narrow" w:hAnsi="Arial Narrow"/>
                <w:sz w:val="20"/>
              </w:rPr>
            </w:pPr>
            <w:r w:rsidRPr="00A03991">
              <w:rPr>
                <w:rFonts w:ascii="Arial Narrow" w:hAnsi="Arial Narrow"/>
                <w:sz w:val="20"/>
              </w:rPr>
              <w:t>NR</w:t>
            </w:r>
            <w:r w:rsidRPr="00A03991">
              <w:rPr>
                <w:rFonts w:ascii="Arial Narrow" w:hAnsi="Arial Narrow"/>
                <w:sz w:val="20"/>
              </w:rPr>
              <w:br/>
              <w:t xml:space="preserve">(3/5 patients had progressed after </w:t>
            </w:r>
            <w:r w:rsidRPr="00A03991">
              <w:rPr>
                <w:rFonts w:ascii="Arial Narrow" w:hAnsi="Arial Narrow" w:cs="Calibri"/>
                <w:sz w:val="20"/>
              </w:rPr>
              <w:t>≤</w:t>
            </w:r>
            <w:r w:rsidRPr="00A03991">
              <w:rPr>
                <w:rFonts w:ascii="Arial Narrow" w:hAnsi="Arial Narrow"/>
                <w:sz w:val="20"/>
              </w:rPr>
              <w:t xml:space="preserve"> 11 months follow-up)</w:t>
            </w:r>
          </w:p>
        </w:tc>
        <w:tc>
          <w:tcPr>
            <w:tcW w:w="1890" w:type="dxa"/>
            <w:vAlign w:val="center"/>
          </w:tcPr>
          <w:p w14:paraId="67525C09"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p w14:paraId="5DA1A600" w14:textId="77777777" w:rsidR="00A03991" w:rsidRPr="00A03991" w:rsidRDefault="00A03991" w:rsidP="00A03991">
            <w:pPr>
              <w:jc w:val="center"/>
              <w:rPr>
                <w:rFonts w:ascii="Arial Narrow" w:hAnsi="Arial Narrow"/>
                <w:sz w:val="20"/>
              </w:rPr>
            </w:pPr>
            <w:r w:rsidRPr="00A03991">
              <w:rPr>
                <w:rFonts w:ascii="Arial Narrow" w:hAnsi="Arial Narrow"/>
                <w:sz w:val="20"/>
              </w:rPr>
              <w:t>(</w:t>
            </w:r>
            <w:proofErr w:type="gramStart"/>
            <w:r w:rsidRPr="00A03991">
              <w:rPr>
                <w:rFonts w:ascii="Arial Narrow" w:hAnsi="Arial Narrow"/>
                <w:sz w:val="20"/>
              </w:rPr>
              <w:t>but</w:t>
            </w:r>
            <w:proofErr w:type="gramEnd"/>
            <w:r w:rsidRPr="00A03991">
              <w:rPr>
                <w:rFonts w:ascii="Arial Narrow" w:hAnsi="Arial Narrow"/>
                <w:sz w:val="20"/>
              </w:rPr>
              <w:t xml:space="preserve"> 2/5 patients had died after </w:t>
            </w:r>
            <w:r w:rsidRPr="00A03991">
              <w:rPr>
                <w:rFonts w:ascii="Arial Narrow" w:hAnsi="Arial Narrow" w:cs="Calibri"/>
                <w:sz w:val="20"/>
              </w:rPr>
              <w:t>≤</w:t>
            </w:r>
            <w:r w:rsidRPr="00A03991">
              <w:rPr>
                <w:rFonts w:ascii="Arial Narrow" w:hAnsi="Arial Narrow"/>
                <w:sz w:val="20"/>
              </w:rPr>
              <w:t xml:space="preserve"> 11 months follow-up)</w:t>
            </w:r>
          </w:p>
        </w:tc>
      </w:tr>
      <w:tr w:rsidR="00A03991" w:rsidRPr="00A03991" w14:paraId="66DD619D" w14:textId="77777777" w:rsidTr="004C0FEE">
        <w:tc>
          <w:tcPr>
            <w:tcW w:w="1413" w:type="dxa"/>
            <w:vAlign w:val="center"/>
          </w:tcPr>
          <w:p w14:paraId="0F6433CD" w14:textId="77777777" w:rsidR="00A03991" w:rsidRPr="00A03991" w:rsidRDefault="00A03991" w:rsidP="00A03991">
            <w:pPr>
              <w:rPr>
                <w:rFonts w:ascii="Arial Narrow" w:hAnsi="Arial Narrow"/>
                <w:sz w:val="20"/>
              </w:rPr>
            </w:pPr>
            <w:r w:rsidRPr="00A03991">
              <w:rPr>
                <w:rFonts w:ascii="Arial Narrow" w:hAnsi="Arial Narrow"/>
                <w:sz w:val="20"/>
              </w:rPr>
              <w:t>McCulloch 2020a</w:t>
            </w:r>
          </w:p>
        </w:tc>
        <w:tc>
          <w:tcPr>
            <w:tcW w:w="1417" w:type="dxa"/>
            <w:vAlign w:val="center"/>
          </w:tcPr>
          <w:p w14:paraId="122409CE" w14:textId="77777777" w:rsidR="00A03991" w:rsidRPr="00A03991" w:rsidRDefault="00A03991" w:rsidP="00A03991">
            <w:pPr>
              <w:jc w:val="center"/>
              <w:rPr>
                <w:rFonts w:ascii="Arial Narrow" w:hAnsi="Arial Narrow"/>
                <w:sz w:val="20"/>
              </w:rPr>
            </w:pPr>
            <w:r w:rsidRPr="00A03991">
              <w:rPr>
                <w:rFonts w:ascii="Arial Narrow" w:hAnsi="Arial Narrow"/>
                <w:sz w:val="20"/>
              </w:rPr>
              <w:t>36</w:t>
            </w:r>
          </w:p>
        </w:tc>
        <w:tc>
          <w:tcPr>
            <w:tcW w:w="1890" w:type="dxa"/>
            <w:vAlign w:val="center"/>
          </w:tcPr>
          <w:p w14:paraId="0B98DE82" w14:textId="77777777" w:rsidR="00A03991" w:rsidRPr="00A03991" w:rsidRDefault="00A03991" w:rsidP="00A03991">
            <w:pPr>
              <w:jc w:val="center"/>
              <w:rPr>
                <w:rFonts w:ascii="Arial Narrow" w:hAnsi="Arial Narrow"/>
                <w:sz w:val="20"/>
              </w:rPr>
            </w:pPr>
            <w:r w:rsidRPr="00A03991">
              <w:rPr>
                <w:rFonts w:ascii="Arial Narrow" w:hAnsi="Arial Narrow"/>
                <w:sz w:val="20"/>
              </w:rPr>
              <w:t>3 (median)</w:t>
            </w:r>
          </w:p>
        </w:tc>
        <w:tc>
          <w:tcPr>
            <w:tcW w:w="1890" w:type="dxa"/>
            <w:vAlign w:val="center"/>
          </w:tcPr>
          <w:p w14:paraId="029CDD53"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56E36030" w14:textId="77777777" w:rsidR="00A03991" w:rsidRPr="00A03991" w:rsidRDefault="00A03991" w:rsidP="00A03991">
            <w:pPr>
              <w:jc w:val="center"/>
              <w:rPr>
                <w:rFonts w:ascii="Arial Narrow" w:hAnsi="Arial Narrow"/>
                <w:sz w:val="20"/>
              </w:rPr>
            </w:pPr>
            <w:r w:rsidRPr="00A03991">
              <w:rPr>
                <w:rFonts w:ascii="Arial Narrow" w:hAnsi="Arial Narrow"/>
                <w:sz w:val="20"/>
              </w:rPr>
              <w:t>60%</w:t>
            </w:r>
          </w:p>
          <w:p w14:paraId="6BEE03A1" w14:textId="77777777" w:rsidR="00A03991" w:rsidRPr="00A03991" w:rsidRDefault="00A03991" w:rsidP="00A03991">
            <w:pPr>
              <w:jc w:val="center"/>
              <w:rPr>
                <w:rFonts w:ascii="Arial Narrow" w:hAnsi="Arial Narrow"/>
                <w:sz w:val="20"/>
              </w:rPr>
            </w:pPr>
            <w:r w:rsidRPr="00A03991">
              <w:rPr>
                <w:rFonts w:ascii="Arial Narrow" w:hAnsi="Arial Narrow"/>
                <w:sz w:val="20"/>
              </w:rPr>
              <w:t>(incl. unconfirmed CR)</w:t>
            </w:r>
          </w:p>
        </w:tc>
        <w:tc>
          <w:tcPr>
            <w:tcW w:w="1890" w:type="dxa"/>
            <w:vAlign w:val="center"/>
          </w:tcPr>
          <w:p w14:paraId="250E2170" w14:textId="77777777" w:rsidR="00A03991" w:rsidRPr="00A03991" w:rsidRDefault="00A03991" w:rsidP="00A03991">
            <w:pPr>
              <w:jc w:val="center"/>
              <w:rPr>
                <w:rFonts w:ascii="Arial Narrow" w:hAnsi="Arial Narrow"/>
                <w:sz w:val="20"/>
              </w:rPr>
            </w:pPr>
            <w:r w:rsidRPr="00A03991">
              <w:rPr>
                <w:rFonts w:ascii="Arial Narrow" w:hAnsi="Arial Narrow"/>
                <w:sz w:val="20"/>
              </w:rPr>
              <w:t>83%</w:t>
            </w:r>
          </w:p>
        </w:tc>
        <w:tc>
          <w:tcPr>
            <w:tcW w:w="1890" w:type="dxa"/>
            <w:vAlign w:val="center"/>
          </w:tcPr>
          <w:p w14:paraId="2A259989" w14:textId="77777777" w:rsidR="00A03991" w:rsidRPr="00A03991" w:rsidRDefault="00A03991" w:rsidP="00A03991">
            <w:pPr>
              <w:jc w:val="center"/>
              <w:rPr>
                <w:rFonts w:ascii="Arial Narrow" w:hAnsi="Arial Narrow"/>
                <w:sz w:val="20"/>
              </w:rPr>
            </w:pPr>
            <w:r w:rsidRPr="00A03991">
              <w:rPr>
                <w:rFonts w:ascii="Arial Narrow" w:hAnsi="Arial Narrow"/>
                <w:sz w:val="20"/>
              </w:rPr>
              <w:t>10.1</w:t>
            </w:r>
          </w:p>
        </w:tc>
        <w:tc>
          <w:tcPr>
            <w:tcW w:w="1890" w:type="dxa"/>
            <w:vAlign w:val="center"/>
          </w:tcPr>
          <w:p w14:paraId="7F7FDA0F" w14:textId="77777777" w:rsidR="00A03991" w:rsidRPr="00A03991" w:rsidRDefault="00A03991" w:rsidP="00A03991">
            <w:pPr>
              <w:jc w:val="center"/>
              <w:rPr>
                <w:rFonts w:ascii="Arial Narrow" w:hAnsi="Arial Narrow"/>
                <w:sz w:val="20"/>
              </w:rPr>
            </w:pPr>
            <w:r w:rsidRPr="00A03991">
              <w:rPr>
                <w:rFonts w:ascii="Arial Narrow" w:hAnsi="Arial Narrow"/>
                <w:sz w:val="20"/>
              </w:rPr>
              <w:t>12.5</w:t>
            </w:r>
          </w:p>
        </w:tc>
      </w:tr>
      <w:tr w:rsidR="00A03991" w:rsidRPr="00A03991" w14:paraId="45412B69" w14:textId="77777777" w:rsidTr="004C0FEE">
        <w:tc>
          <w:tcPr>
            <w:tcW w:w="1413" w:type="dxa"/>
            <w:vAlign w:val="center"/>
          </w:tcPr>
          <w:p w14:paraId="55F6C117" w14:textId="77777777" w:rsidR="00A03991" w:rsidRPr="00A03991" w:rsidRDefault="00A03991" w:rsidP="00A03991">
            <w:pPr>
              <w:rPr>
                <w:rFonts w:ascii="Arial Narrow" w:hAnsi="Arial Narrow"/>
                <w:sz w:val="20"/>
              </w:rPr>
            </w:pPr>
            <w:r w:rsidRPr="00A03991">
              <w:rPr>
                <w:rFonts w:ascii="Arial Narrow" w:hAnsi="Arial Narrow"/>
                <w:sz w:val="20"/>
              </w:rPr>
              <w:t>Eyre 2019</w:t>
            </w:r>
          </w:p>
        </w:tc>
        <w:tc>
          <w:tcPr>
            <w:tcW w:w="1417" w:type="dxa"/>
            <w:vAlign w:val="center"/>
          </w:tcPr>
          <w:p w14:paraId="765A6F43" w14:textId="77777777" w:rsidR="00A03991" w:rsidRPr="00A03991" w:rsidRDefault="00A03991" w:rsidP="00A03991">
            <w:pPr>
              <w:jc w:val="center"/>
              <w:rPr>
                <w:rFonts w:ascii="Arial Narrow" w:hAnsi="Arial Narrow"/>
                <w:sz w:val="20"/>
              </w:rPr>
            </w:pPr>
            <w:r w:rsidRPr="00A03991">
              <w:rPr>
                <w:rFonts w:ascii="Arial Narrow" w:hAnsi="Arial Narrow"/>
                <w:sz w:val="20"/>
              </w:rPr>
              <w:t>20</w:t>
            </w:r>
          </w:p>
        </w:tc>
        <w:tc>
          <w:tcPr>
            <w:tcW w:w="1890" w:type="dxa"/>
            <w:shd w:val="clear" w:color="auto" w:fill="auto"/>
            <w:vAlign w:val="center"/>
          </w:tcPr>
          <w:p w14:paraId="066B4A5D" w14:textId="77777777" w:rsidR="00A03991" w:rsidRPr="00A03991" w:rsidRDefault="00A03991" w:rsidP="00A03991">
            <w:pPr>
              <w:jc w:val="center"/>
              <w:rPr>
                <w:rFonts w:ascii="Arial Narrow" w:hAnsi="Arial Narrow"/>
                <w:i/>
                <w:iCs/>
                <w:sz w:val="20"/>
              </w:rPr>
            </w:pPr>
            <w:r w:rsidRPr="00A03991">
              <w:rPr>
                <w:rFonts w:ascii="Arial Narrow" w:hAnsi="Arial Narrow"/>
                <w:i/>
                <w:iCs/>
                <w:sz w:val="20"/>
              </w:rPr>
              <w:t>3.1 (2-5)</w:t>
            </w:r>
          </w:p>
        </w:tc>
        <w:tc>
          <w:tcPr>
            <w:tcW w:w="1890" w:type="dxa"/>
            <w:vAlign w:val="center"/>
          </w:tcPr>
          <w:p w14:paraId="5D109059" w14:textId="77777777" w:rsidR="00A03991" w:rsidRPr="00A03991" w:rsidRDefault="00A03991" w:rsidP="00A03991">
            <w:pPr>
              <w:jc w:val="center"/>
              <w:rPr>
                <w:rFonts w:ascii="Arial Narrow" w:hAnsi="Arial Narrow"/>
                <w:i/>
                <w:iCs/>
                <w:sz w:val="20"/>
              </w:rPr>
            </w:pPr>
            <w:r w:rsidRPr="00A03991">
              <w:rPr>
                <w:rFonts w:ascii="Arial Narrow" w:hAnsi="Arial Narrow"/>
                <w:i/>
                <w:iCs/>
                <w:sz w:val="20"/>
              </w:rPr>
              <w:t>14 (0.7 – 34.8)</w:t>
            </w:r>
          </w:p>
        </w:tc>
        <w:tc>
          <w:tcPr>
            <w:tcW w:w="1890" w:type="dxa"/>
            <w:vAlign w:val="center"/>
          </w:tcPr>
          <w:p w14:paraId="5F7E99DF" w14:textId="77777777" w:rsidR="00A03991" w:rsidRPr="00A03991" w:rsidRDefault="00A03991" w:rsidP="00A03991">
            <w:pPr>
              <w:jc w:val="center"/>
              <w:rPr>
                <w:rFonts w:ascii="Arial Narrow" w:hAnsi="Arial Narrow"/>
                <w:i/>
                <w:iCs/>
                <w:sz w:val="20"/>
              </w:rPr>
            </w:pPr>
            <w:r w:rsidRPr="00A03991">
              <w:rPr>
                <w:rFonts w:ascii="Arial Narrow" w:hAnsi="Arial Narrow"/>
                <w:i/>
                <w:iCs/>
                <w:sz w:val="20"/>
              </w:rPr>
              <w:t>3/20</w:t>
            </w:r>
          </w:p>
          <w:p w14:paraId="16E1DD4D" w14:textId="77777777" w:rsidR="00A03991" w:rsidRPr="00A03991" w:rsidRDefault="00A03991" w:rsidP="00A03991">
            <w:pPr>
              <w:jc w:val="center"/>
              <w:rPr>
                <w:rFonts w:ascii="Arial Narrow" w:hAnsi="Arial Narrow"/>
                <w:sz w:val="20"/>
              </w:rPr>
            </w:pPr>
            <w:r w:rsidRPr="00A03991">
              <w:rPr>
                <w:rFonts w:ascii="Arial Narrow" w:hAnsi="Arial Narrow"/>
                <w:i/>
                <w:iCs/>
                <w:sz w:val="20"/>
              </w:rPr>
              <w:t>(15%)</w:t>
            </w:r>
          </w:p>
        </w:tc>
        <w:tc>
          <w:tcPr>
            <w:tcW w:w="1890" w:type="dxa"/>
            <w:vAlign w:val="center"/>
          </w:tcPr>
          <w:p w14:paraId="71F38BEA" w14:textId="77777777" w:rsidR="00A03991" w:rsidRPr="00A03991" w:rsidRDefault="00A03991" w:rsidP="00A03991">
            <w:pPr>
              <w:jc w:val="center"/>
              <w:rPr>
                <w:rFonts w:ascii="Arial Narrow" w:hAnsi="Arial Narrow"/>
                <w:i/>
                <w:iCs/>
                <w:sz w:val="20"/>
              </w:rPr>
            </w:pPr>
            <w:r w:rsidRPr="00A03991">
              <w:rPr>
                <w:rFonts w:ascii="Arial Narrow" w:hAnsi="Arial Narrow"/>
                <w:i/>
                <w:iCs/>
                <w:sz w:val="20"/>
              </w:rPr>
              <w:t>10/20</w:t>
            </w:r>
          </w:p>
          <w:p w14:paraId="274B9203" w14:textId="77777777" w:rsidR="00A03991" w:rsidRPr="00A03991" w:rsidRDefault="00A03991" w:rsidP="00A03991">
            <w:pPr>
              <w:jc w:val="center"/>
              <w:rPr>
                <w:rFonts w:ascii="Arial Narrow" w:hAnsi="Arial Narrow"/>
                <w:sz w:val="20"/>
              </w:rPr>
            </w:pPr>
            <w:r w:rsidRPr="00A03991">
              <w:rPr>
                <w:rFonts w:ascii="Arial Narrow" w:hAnsi="Arial Narrow"/>
                <w:i/>
                <w:iCs/>
                <w:sz w:val="20"/>
              </w:rPr>
              <w:t>(50%)</w:t>
            </w:r>
          </w:p>
        </w:tc>
        <w:tc>
          <w:tcPr>
            <w:tcW w:w="1890" w:type="dxa"/>
            <w:vAlign w:val="center"/>
          </w:tcPr>
          <w:p w14:paraId="192D3643" w14:textId="77777777" w:rsidR="00A03991" w:rsidRPr="00A03991" w:rsidRDefault="00A03991" w:rsidP="00A03991">
            <w:pPr>
              <w:jc w:val="center"/>
              <w:rPr>
                <w:rFonts w:ascii="Arial Narrow" w:hAnsi="Arial Narrow"/>
                <w:sz w:val="20"/>
              </w:rPr>
            </w:pPr>
            <w:r w:rsidRPr="00A03991">
              <w:rPr>
                <w:rFonts w:ascii="Arial Narrow" w:hAnsi="Arial Narrow"/>
                <w:sz w:val="20"/>
              </w:rPr>
              <w:t>3.2</w:t>
            </w:r>
          </w:p>
        </w:tc>
        <w:tc>
          <w:tcPr>
            <w:tcW w:w="1890" w:type="dxa"/>
            <w:vAlign w:val="center"/>
          </w:tcPr>
          <w:p w14:paraId="76877284" w14:textId="77777777" w:rsidR="00A03991" w:rsidRPr="00A03991" w:rsidRDefault="00A03991" w:rsidP="00A03991">
            <w:pPr>
              <w:jc w:val="center"/>
              <w:rPr>
                <w:rFonts w:ascii="Arial Narrow" w:hAnsi="Arial Narrow"/>
                <w:sz w:val="20"/>
              </w:rPr>
            </w:pPr>
            <w:r w:rsidRPr="00A03991">
              <w:rPr>
                <w:rFonts w:ascii="Arial Narrow" w:hAnsi="Arial Narrow"/>
                <w:sz w:val="20"/>
              </w:rPr>
              <w:t>9.4</w:t>
            </w:r>
          </w:p>
        </w:tc>
      </w:tr>
      <w:tr w:rsidR="00A03991" w:rsidRPr="00A03991" w14:paraId="5F8A9537" w14:textId="77777777" w:rsidTr="004C0FEE">
        <w:tc>
          <w:tcPr>
            <w:tcW w:w="1413" w:type="dxa"/>
            <w:vAlign w:val="center"/>
          </w:tcPr>
          <w:p w14:paraId="702B45EA" w14:textId="77777777" w:rsidR="00A03991" w:rsidRPr="00A03991" w:rsidRDefault="00A03991" w:rsidP="00A03991">
            <w:pPr>
              <w:rPr>
                <w:rFonts w:ascii="Arial Narrow" w:hAnsi="Arial Narrow"/>
                <w:sz w:val="20"/>
              </w:rPr>
            </w:pPr>
            <w:r w:rsidRPr="00A03991">
              <w:rPr>
                <w:rFonts w:ascii="Arial Narrow" w:hAnsi="Arial Narrow"/>
                <w:sz w:val="20"/>
              </w:rPr>
              <w:t>Jain 2018b</w:t>
            </w:r>
          </w:p>
        </w:tc>
        <w:tc>
          <w:tcPr>
            <w:tcW w:w="1417" w:type="dxa"/>
            <w:vAlign w:val="center"/>
          </w:tcPr>
          <w:p w14:paraId="47261BFE" w14:textId="77777777" w:rsidR="00A03991" w:rsidRPr="00A03991" w:rsidRDefault="00A03991" w:rsidP="00A03991">
            <w:pPr>
              <w:jc w:val="center"/>
              <w:rPr>
                <w:rFonts w:ascii="Arial Narrow" w:hAnsi="Arial Narrow"/>
                <w:sz w:val="20"/>
              </w:rPr>
            </w:pPr>
            <w:r w:rsidRPr="00A03991">
              <w:rPr>
                <w:rFonts w:ascii="Arial Narrow" w:hAnsi="Arial Narrow"/>
                <w:sz w:val="20"/>
              </w:rPr>
              <w:t>35</w:t>
            </w:r>
          </w:p>
        </w:tc>
        <w:tc>
          <w:tcPr>
            <w:tcW w:w="1890" w:type="dxa"/>
            <w:vAlign w:val="center"/>
          </w:tcPr>
          <w:p w14:paraId="1C0CAE07"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2D7CF259" w14:textId="77777777" w:rsidR="00A03991" w:rsidRPr="00A03991" w:rsidRDefault="00A03991" w:rsidP="00A03991">
            <w:pPr>
              <w:jc w:val="center"/>
              <w:rPr>
                <w:rFonts w:ascii="Arial Narrow" w:hAnsi="Arial Narrow"/>
                <w:sz w:val="20"/>
              </w:rPr>
            </w:pPr>
            <w:r w:rsidRPr="00A03991">
              <w:rPr>
                <w:rFonts w:ascii="Arial Narrow" w:hAnsi="Arial Narrow"/>
                <w:sz w:val="20"/>
              </w:rPr>
              <w:t>8 (0.3-59)</w:t>
            </w:r>
          </w:p>
        </w:tc>
        <w:tc>
          <w:tcPr>
            <w:tcW w:w="1890" w:type="dxa"/>
            <w:vAlign w:val="center"/>
          </w:tcPr>
          <w:p w14:paraId="2D6A15D4"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59D42328"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3A5597C3"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00ABF2B4" w14:textId="77777777" w:rsidR="00A03991" w:rsidRPr="00A03991" w:rsidRDefault="00A03991" w:rsidP="00A03991">
            <w:pPr>
              <w:jc w:val="center"/>
              <w:rPr>
                <w:rFonts w:ascii="Arial Narrow" w:hAnsi="Arial Narrow"/>
                <w:i/>
                <w:iCs/>
                <w:sz w:val="20"/>
              </w:rPr>
            </w:pPr>
            <w:r w:rsidRPr="00A03991">
              <w:rPr>
                <w:rFonts w:ascii="Arial Narrow" w:hAnsi="Arial Narrow"/>
                <w:i/>
                <w:iCs/>
                <w:sz w:val="20"/>
              </w:rPr>
              <w:t>10.5</w:t>
            </w:r>
          </w:p>
        </w:tc>
      </w:tr>
      <w:tr w:rsidR="00A03991" w:rsidRPr="00A03991" w14:paraId="321F7382" w14:textId="77777777" w:rsidTr="004C0FEE">
        <w:tc>
          <w:tcPr>
            <w:tcW w:w="1413" w:type="dxa"/>
            <w:vAlign w:val="center"/>
          </w:tcPr>
          <w:p w14:paraId="628B572A" w14:textId="77777777" w:rsidR="00A03991" w:rsidRPr="00A03991" w:rsidRDefault="00A03991" w:rsidP="00A03991">
            <w:pPr>
              <w:rPr>
                <w:rFonts w:ascii="Arial Narrow" w:hAnsi="Arial Narrow"/>
                <w:sz w:val="20"/>
              </w:rPr>
            </w:pPr>
            <w:r w:rsidRPr="00A03991">
              <w:rPr>
                <w:rFonts w:ascii="Arial Narrow" w:hAnsi="Arial Narrow"/>
                <w:sz w:val="20"/>
              </w:rPr>
              <w:t>Wang 2017</w:t>
            </w:r>
          </w:p>
        </w:tc>
        <w:tc>
          <w:tcPr>
            <w:tcW w:w="1417" w:type="dxa"/>
            <w:vAlign w:val="center"/>
          </w:tcPr>
          <w:p w14:paraId="169BD90D" w14:textId="77777777" w:rsidR="00A03991" w:rsidRPr="00A03991" w:rsidRDefault="00A03991" w:rsidP="00A03991">
            <w:pPr>
              <w:jc w:val="center"/>
              <w:rPr>
                <w:rFonts w:ascii="Arial Narrow" w:hAnsi="Arial Narrow"/>
                <w:sz w:val="20"/>
              </w:rPr>
            </w:pPr>
            <w:r w:rsidRPr="00A03991">
              <w:rPr>
                <w:rFonts w:ascii="Arial Narrow" w:hAnsi="Arial Narrow"/>
                <w:sz w:val="20"/>
              </w:rPr>
              <w:t>58</w:t>
            </w:r>
          </w:p>
        </w:tc>
        <w:tc>
          <w:tcPr>
            <w:tcW w:w="1890" w:type="dxa"/>
            <w:vAlign w:val="center"/>
          </w:tcPr>
          <w:p w14:paraId="73E285AF" w14:textId="77777777" w:rsidR="00A03991" w:rsidRPr="00A03991" w:rsidRDefault="00A03991" w:rsidP="00A03991">
            <w:pPr>
              <w:jc w:val="center"/>
              <w:rPr>
                <w:rFonts w:ascii="Arial Narrow" w:hAnsi="Arial Narrow"/>
                <w:sz w:val="20"/>
              </w:rPr>
            </w:pPr>
            <w:r w:rsidRPr="00A03991">
              <w:rPr>
                <w:rFonts w:ascii="Arial Narrow" w:hAnsi="Arial Narrow"/>
                <w:sz w:val="20"/>
              </w:rPr>
              <w:t>4 (median)</w:t>
            </w:r>
            <w:r w:rsidRPr="00A03991">
              <w:rPr>
                <w:rFonts w:ascii="Arial Narrow" w:hAnsi="Arial Narrow"/>
                <w:sz w:val="20"/>
              </w:rPr>
              <w:br/>
              <w:t>(1-13)</w:t>
            </w:r>
          </w:p>
        </w:tc>
        <w:tc>
          <w:tcPr>
            <w:tcW w:w="1890" w:type="dxa"/>
            <w:vAlign w:val="center"/>
          </w:tcPr>
          <w:p w14:paraId="542F9318" w14:textId="77777777" w:rsidR="00A03991" w:rsidRPr="00A03991" w:rsidRDefault="00A03991" w:rsidP="00A03991">
            <w:pPr>
              <w:jc w:val="center"/>
              <w:rPr>
                <w:rFonts w:ascii="Arial Narrow" w:hAnsi="Arial Narrow"/>
                <w:sz w:val="20"/>
              </w:rPr>
            </w:pPr>
            <w:r w:rsidRPr="00A03991">
              <w:rPr>
                <w:rFonts w:ascii="Arial Narrow" w:hAnsi="Arial Narrow"/>
                <w:sz w:val="20"/>
              </w:rPr>
              <w:t>4.3 (0.5 - 47.6)</w:t>
            </w:r>
          </w:p>
        </w:tc>
        <w:tc>
          <w:tcPr>
            <w:tcW w:w="1890" w:type="dxa"/>
            <w:vAlign w:val="center"/>
          </w:tcPr>
          <w:p w14:paraId="402AD7C3" w14:textId="77777777" w:rsidR="00A03991" w:rsidRPr="00A03991" w:rsidRDefault="00A03991" w:rsidP="00A03991">
            <w:pPr>
              <w:jc w:val="center"/>
              <w:rPr>
                <w:rFonts w:ascii="Arial Narrow" w:hAnsi="Arial Narrow"/>
                <w:sz w:val="20"/>
              </w:rPr>
            </w:pPr>
            <w:r w:rsidRPr="00A03991">
              <w:rPr>
                <w:rFonts w:ascii="Arial Narrow" w:hAnsi="Arial Narrow"/>
                <w:sz w:val="20"/>
              </w:rPr>
              <w:t>8/58</w:t>
            </w:r>
          </w:p>
          <w:p w14:paraId="46A417BA" w14:textId="77777777" w:rsidR="00A03991" w:rsidRPr="00A03991" w:rsidRDefault="00A03991" w:rsidP="00A03991">
            <w:pPr>
              <w:jc w:val="center"/>
              <w:rPr>
                <w:rFonts w:ascii="Arial Narrow" w:hAnsi="Arial Narrow"/>
                <w:sz w:val="20"/>
              </w:rPr>
            </w:pPr>
            <w:r w:rsidRPr="00A03991">
              <w:rPr>
                <w:rFonts w:ascii="Arial Narrow" w:hAnsi="Arial Narrow"/>
                <w:sz w:val="20"/>
              </w:rPr>
              <w:t>(14%)</w:t>
            </w:r>
          </w:p>
        </w:tc>
        <w:tc>
          <w:tcPr>
            <w:tcW w:w="1890" w:type="dxa"/>
            <w:vAlign w:val="center"/>
          </w:tcPr>
          <w:p w14:paraId="202F03C7" w14:textId="77777777" w:rsidR="00A03991" w:rsidRPr="00A03991" w:rsidRDefault="00A03991" w:rsidP="00A03991">
            <w:pPr>
              <w:jc w:val="center"/>
              <w:rPr>
                <w:rFonts w:ascii="Arial Narrow" w:hAnsi="Arial Narrow"/>
                <w:sz w:val="20"/>
              </w:rPr>
            </w:pPr>
            <w:r w:rsidRPr="00A03991">
              <w:rPr>
                <w:rFonts w:ascii="Arial Narrow" w:hAnsi="Arial Narrow"/>
                <w:sz w:val="20"/>
              </w:rPr>
              <w:t>17/58</w:t>
            </w:r>
          </w:p>
          <w:p w14:paraId="46B0AE87" w14:textId="77777777" w:rsidR="00A03991" w:rsidRPr="00A03991" w:rsidRDefault="00A03991" w:rsidP="00A03991">
            <w:pPr>
              <w:jc w:val="center"/>
              <w:rPr>
                <w:rFonts w:ascii="Arial Narrow" w:hAnsi="Arial Narrow"/>
                <w:sz w:val="20"/>
              </w:rPr>
            </w:pPr>
            <w:r w:rsidRPr="00A03991">
              <w:rPr>
                <w:rFonts w:ascii="Arial Narrow" w:hAnsi="Arial Narrow"/>
                <w:sz w:val="20"/>
              </w:rPr>
              <w:t>(29%)</w:t>
            </w:r>
          </w:p>
        </w:tc>
        <w:tc>
          <w:tcPr>
            <w:tcW w:w="1890" w:type="dxa"/>
            <w:vAlign w:val="center"/>
          </w:tcPr>
          <w:p w14:paraId="03244498"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21681CA4"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r>
      <w:tr w:rsidR="00A03991" w:rsidRPr="00A03991" w14:paraId="14638CBC" w14:textId="77777777" w:rsidTr="004C0FEE">
        <w:tc>
          <w:tcPr>
            <w:tcW w:w="1413" w:type="dxa"/>
            <w:vAlign w:val="center"/>
          </w:tcPr>
          <w:p w14:paraId="7B9F07FB" w14:textId="77777777" w:rsidR="00A03991" w:rsidRPr="00A03991" w:rsidRDefault="00A03991" w:rsidP="00A03991">
            <w:pPr>
              <w:rPr>
                <w:rFonts w:ascii="Arial Narrow" w:hAnsi="Arial Narrow"/>
                <w:sz w:val="20"/>
              </w:rPr>
            </w:pPr>
            <w:r w:rsidRPr="00A03991">
              <w:rPr>
                <w:rFonts w:ascii="Arial Narrow" w:hAnsi="Arial Narrow"/>
                <w:sz w:val="20"/>
              </w:rPr>
              <w:t>Martin 2016</w:t>
            </w:r>
          </w:p>
        </w:tc>
        <w:tc>
          <w:tcPr>
            <w:tcW w:w="1417" w:type="dxa"/>
            <w:vAlign w:val="center"/>
          </w:tcPr>
          <w:p w14:paraId="1F022C82" w14:textId="77777777" w:rsidR="00A03991" w:rsidRPr="00A03991" w:rsidRDefault="00A03991" w:rsidP="00A03991">
            <w:pPr>
              <w:jc w:val="center"/>
              <w:rPr>
                <w:rFonts w:ascii="Arial Narrow" w:hAnsi="Arial Narrow"/>
                <w:sz w:val="20"/>
              </w:rPr>
            </w:pPr>
            <w:r w:rsidRPr="00A03991">
              <w:rPr>
                <w:rFonts w:ascii="Arial Narrow" w:hAnsi="Arial Narrow"/>
                <w:sz w:val="20"/>
              </w:rPr>
              <w:t>73</w:t>
            </w:r>
          </w:p>
        </w:tc>
        <w:tc>
          <w:tcPr>
            <w:tcW w:w="1890" w:type="dxa"/>
            <w:vAlign w:val="center"/>
          </w:tcPr>
          <w:p w14:paraId="317248AD" w14:textId="77777777" w:rsidR="00A03991" w:rsidRPr="00A03991" w:rsidRDefault="00A03991" w:rsidP="00A03991">
            <w:pPr>
              <w:jc w:val="center"/>
              <w:rPr>
                <w:rFonts w:ascii="Arial Narrow" w:hAnsi="Arial Narrow"/>
                <w:sz w:val="20"/>
              </w:rPr>
            </w:pPr>
            <w:r w:rsidRPr="00A03991">
              <w:rPr>
                <w:rFonts w:ascii="Arial Narrow" w:hAnsi="Arial Narrow"/>
                <w:sz w:val="20"/>
              </w:rPr>
              <w:t>3 (median)</w:t>
            </w:r>
          </w:p>
          <w:p w14:paraId="085AD956" w14:textId="77777777" w:rsidR="00A03991" w:rsidRPr="00A03991" w:rsidRDefault="00A03991" w:rsidP="00A03991">
            <w:pPr>
              <w:jc w:val="center"/>
              <w:rPr>
                <w:rFonts w:ascii="Arial Narrow" w:hAnsi="Arial Narrow"/>
                <w:sz w:val="20"/>
              </w:rPr>
            </w:pPr>
            <w:r w:rsidRPr="00A03991">
              <w:rPr>
                <w:rFonts w:ascii="Arial Narrow" w:hAnsi="Arial Narrow"/>
                <w:sz w:val="20"/>
              </w:rPr>
              <w:t>(0-</w:t>
            </w:r>
            <w:proofErr w:type="gramStart"/>
            <w:r w:rsidRPr="00A03991">
              <w:rPr>
                <w:rFonts w:ascii="Arial Narrow" w:hAnsi="Arial Narrow"/>
                <w:sz w:val="20"/>
              </w:rPr>
              <w:t>10)</w:t>
            </w:r>
            <w:r w:rsidRPr="00A03991">
              <w:rPr>
                <w:rFonts w:ascii="Arial Narrow" w:hAnsi="Arial Narrow"/>
                <w:sz w:val="20"/>
                <w:vertAlign w:val="superscript"/>
              </w:rPr>
              <w:t>b</w:t>
            </w:r>
            <w:proofErr w:type="gramEnd"/>
          </w:p>
        </w:tc>
        <w:tc>
          <w:tcPr>
            <w:tcW w:w="1890" w:type="dxa"/>
            <w:vAlign w:val="center"/>
          </w:tcPr>
          <w:p w14:paraId="20506C78" w14:textId="77777777" w:rsidR="00A03991" w:rsidRPr="00A03991" w:rsidRDefault="00A03991" w:rsidP="00A03991">
            <w:pPr>
              <w:jc w:val="center"/>
              <w:rPr>
                <w:rFonts w:ascii="Arial Narrow" w:hAnsi="Arial Narrow"/>
                <w:sz w:val="20"/>
              </w:rPr>
            </w:pPr>
            <w:r w:rsidRPr="00A03991">
              <w:rPr>
                <w:rFonts w:ascii="Arial Narrow" w:hAnsi="Arial Narrow"/>
                <w:sz w:val="20"/>
              </w:rPr>
              <w:t>4.7 (0.7 - 43.6)</w:t>
            </w:r>
          </w:p>
        </w:tc>
        <w:tc>
          <w:tcPr>
            <w:tcW w:w="1890" w:type="dxa"/>
            <w:vAlign w:val="center"/>
          </w:tcPr>
          <w:p w14:paraId="485E0239" w14:textId="77777777" w:rsidR="00A03991" w:rsidRPr="00A03991" w:rsidRDefault="00A03991" w:rsidP="00A03991">
            <w:pPr>
              <w:jc w:val="center"/>
              <w:rPr>
                <w:rFonts w:ascii="Arial Narrow" w:hAnsi="Arial Narrow"/>
                <w:sz w:val="20"/>
              </w:rPr>
            </w:pPr>
            <w:r w:rsidRPr="00A03991">
              <w:rPr>
                <w:rFonts w:ascii="Arial Narrow" w:hAnsi="Arial Narrow"/>
                <w:sz w:val="20"/>
              </w:rPr>
              <w:t>5</w:t>
            </w:r>
            <w:r w:rsidRPr="00A03991">
              <w:rPr>
                <w:rFonts w:ascii="Arial Narrow" w:hAnsi="Arial Narrow"/>
                <w:i/>
                <w:iCs/>
                <w:sz w:val="20"/>
              </w:rPr>
              <w:t>/73</w:t>
            </w:r>
          </w:p>
          <w:p w14:paraId="59881B3F" w14:textId="77777777" w:rsidR="00A03991" w:rsidRPr="00A03991" w:rsidRDefault="00A03991" w:rsidP="00A03991">
            <w:pPr>
              <w:jc w:val="center"/>
              <w:rPr>
                <w:rFonts w:ascii="Arial Narrow" w:hAnsi="Arial Narrow"/>
                <w:i/>
                <w:iCs/>
                <w:sz w:val="20"/>
              </w:rPr>
            </w:pPr>
            <w:r w:rsidRPr="00A03991">
              <w:rPr>
                <w:rFonts w:ascii="Arial Narrow" w:hAnsi="Arial Narrow"/>
                <w:i/>
                <w:iCs/>
                <w:sz w:val="20"/>
              </w:rPr>
              <w:t>(7%)</w:t>
            </w:r>
          </w:p>
        </w:tc>
        <w:tc>
          <w:tcPr>
            <w:tcW w:w="1890" w:type="dxa"/>
            <w:vAlign w:val="center"/>
          </w:tcPr>
          <w:p w14:paraId="558A3838" w14:textId="77777777" w:rsidR="00A03991" w:rsidRPr="00A03991" w:rsidRDefault="00A03991" w:rsidP="00A03991">
            <w:pPr>
              <w:jc w:val="center"/>
              <w:rPr>
                <w:rFonts w:ascii="Arial Narrow" w:hAnsi="Arial Narrow"/>
                <w:i/>
                <w:iCs/>
                <w:sz w:val="20"/>
              </w:rPr>
            </w:pPr>
            <w:r w:rsidRPr="00A03991">
              <w:rPr>
                <w:rFonts w:ascii="Arial Narrow" w:hAnsi="Arial Narrow"/>
                <w:sz w:val="20"/>
              </w:rPr>
              <w:t>18/</w:t>
            </w:r>
            <w:r w:rsidRPr="00A03991">
              <w:rPr>
                <w:rFonts w:ascii="Arial Narrow" w:hAnsi="Arial Narrow"/>
                <w:i/>
                <w:iCs/>
                <w:sz w:val="20"/>
              </w:rPr>
              <w:t>73</w:t>
            </w:r>
          </w:p>
          <w:p w14:paraId="329BB19C" w14:textId="77777777" w:rsidR="00A03991" w:rsidRPr="00A03991" w:rsidRDefault="00A03991" w:rsidP="00A03991">
            <w:pPr>
              <w:jc w:val="center"/>
              <w:rPr>
                <w:rFonts w:ascii="Arial Narrow" w:hAnsi="Arial Narrow"/>
                <w:i/>
                <w:iCs/>
                <w:sz w:val="20"/>
              </w:rPr>
            </w:pPr>
            <w:r w:rsidRPr="00A03991">
              <w:rPr>
                <w:rFonts w:ascii="Arial Narrow" w:hAnsi="Arial Narrow"/>
                <w:i/>
                <w:iCs/>
                <w:sz w:val="20"/>
              </w:rPr>
              <w:t>(25%)</w:t>
            </w:r>
          </w:p>
        </w:tc>
        <w:tc>
          <w:tcPr>
            <w:tcW w:w="1890" w:type="dxa"/>
            <w:vAlign w:val="center"/>
          </w:tcPr>
          <w:p w14:paraId="19F96B6A" w14:textId="77777777" w:rsidR="00A03991" w:rsidRPr="00A03991" w:rsidRDefault="00A03991" w:rsidP="00A03991">
            <w:pPr>
              <w:jc w:val="center"/>
              <w:rPr>
                <w:rFonts w:ascii="Arial Narrow" w:hAnsi="Arial Narrow"/>
                <w:sz w:val="20"/>
              </w:rPr>
            </w:pPr>
            <w:r w:rsidRPr="00A03991">
              <w:rPr>
                <w:rFonts w:ascii="Arial Narrow" w:hAnsi="Arial Narrow"/>
                <w:sz w:val="20"/>
              </w:rPr>
              <w:t>1.9</w:t>
            </w:r>
          </w:p>
        </w:tc>
        <w:tc>
          <w:tcPr>
            <w:tcW w:w="1890" w:type="dxa"/>
            <w:vAlign w:val="center"/>
          </w:tcPr>
          <w:p w14:paraId="109A8EC3" w14:textId="77777777" w:rsidR="00A03991" w:rsidRPr="00A03991" w:rsidRDefault="00A03991" w:rsidP="00A03991">
            <w:pPr>
              <w:jc w:val="center"/>
              <w:rPr>
                <w:rFonts w:ascii="Arial Narrow" w:hAnsi="Arial Narrow"/>
                <w:sz w:val="20"/>
              </w:rPr>
            </w:pPr>
            <w:r w:rsidRPr="00A03991">
              <w:rPr>
                <w:rFonts w:ascii="Arial Narrow" w:hAnsi="Arial Narrow"/>
                <w:sz w:val="20"/>
              </w:rPr>
              <w:t>5.8</w:t>
            </w:r>
          </w:p>
        </w:tc>
      </w:tr>
      <w:tr w:rsidR="00A03991" w:rsidRPr="00A03991" w14:paraId="5F4CD38D" w14:textId="77777777" w:rsidTr="004C0FEE">
        <w:tc>
          <w:tcPr>
            <w:tcW w:w="1413" w:type="dxa"/>
            <w:vAlign w:val="center"/>
          </w:tcPr>
          <w:p w14:paraId="4A1ABD1F" w14:textId="77777777" w:rsidR="00A03991" w:rsidRPr="00A03991" w:rsidRDefault="00A03991" w:rsidP="00A03991">
            <w:pPr>
              <w:rPr>
                <w:rFonts w:ascii="Arial Narrow" w:hAnsi="Arial Narrow"/>
                <w:sz w:val="20"/>
              </w:rPr>
            </w:pPr>
            <w:r w:rsidRPr="00A03991">
              <w:rPr>
                <w:rFonts w:ascii="Arial Narrow" w:hAnsi="Arial Narrow"/>
                <w:sz w:val="20"/>
              </w:rPr>
              <w:t>Cheah 2015</w:t>
            </w:r>
          </w:p>
        </w:tc>
        <w:tc>
          <w:tcPr>
            <w:tcW w:w="1417" w:type="dxa"/>
            <w:vAlign w:val="center"/>
          </w:tcPr>
          <w:p w14:paraId="7ED62A45" w14:textId="77777777" w:rsidR="00A03991" w:rsidRPr="00A03991" w:rsidRDefault="00A03991" w:rsidP="00A03991">
            <w:pPr>
              <w:jc w:val="center"/>
              <w:rPr>
                <w:rFonts w:ascii="Arial Narrow" w:hAnsi="Arial Narrow"/>
                <w:sz w:val="20"/>
              </w:rPr>
            </w:pPr>
            <w:r w:rsidRPr="00A03991">
              <w:rPr>
                <w:rFonts w:ascii="Arial Narrow" w:hAnsi="Arial Narrow"/>
                <w:sz w:val="20"/>
              </w:rPr>
              <w:t>31</w:t>
            </w:r>
          </w:p>
        </w:tc>
        <w:tc>
          <w:tcPr>
            <w:tcW w:w="1890" w:type="dxa"/>
            <w:vAlign w:val="center"/>
          </w:tcPr>
          <w:p w14:paraId="79209B5D" w14:textId="77777777" w:rsidR="00A03991" w:rsidRPr="00A03991" w:rsidRDefault="00A03991" w:rsidP="00A03991">
            <w:pPr>
              <w:jc w:val="center"/>
              <w:rPr>
                <w:rFonts w:ascii="Arial Narrow" w:hAnsi="Arial Narrow"/>
                <w:sz w:val="20"/>
              </w:rPr>
            </w:pPr>
            <w:r w:rsidRPr="00A03991">
              <w:rPr>
                <w:rFonts w:ascii="Arial Narrow" w:hAnsi="Arial Narrow"/>
                <w:sz w:val="20"/>
              </w:rPr>
              <w:t>2 (median)</w:t>
            </w:r>
          </w:p>
          <w:p w14:paraId="72F53A30" w14:textId="77777777" w:rsidR="00A03991" w:rsidRPr="00A03991" w:rsidRDefault="00A03991" w:rsidP="00A03991">
            <w:pPr>
              <w:jc w:val="center"/>
              <w:rPr>
                <w:rFonts w:ascii="Arial Narrow" w:hAnsi="Arial Narrow"/>
                <w:sz w:val="20"/>
              </w:rPr>
            </w:pPr>
            <w:r w:rsidRPr="00A03991">
              <w:rPr>
                <w:rFonts w:ascii="Arial Narrow" w:hAnsi="Arial Narrow"/>
                <w:sz w:val="20"/>
              </w:rPr>
              <w:t>(1-</w:t>
            </w:r>
            <w:proofErr w:type="gramStart"/>
            <w:r w:rsidRPr="00A03991">
              <w:rPr>
                <w:rFonts w:ascii="Arial Narrow" w:hAnsi="Arial Narrow"/>
                <w:sz w:val="20"/>
              </w:rPr>
              <w:t>8)</w:t>
            </w:r>
            <w:r w:rsidRPr="00A03991">
              <w:rPr>
                <w:rFonts w:ascii="Arial Narrow" w:hAnsi="Arial Narrow"/>
                <w:sz w:val="20"/>
                <w:vertAlign w:val="superscript"/>
              </w:rPr>
              <w:t>c</w:t>
            </w:r>
            <w:proofErr w:type="gramEnd"/>
          </w:p>
        </w:tc>
        <w:tc>
          <w:tcPr>
            <w:tcW w:w="1890" w:type="dxa"/>
            <w:vAlign w:val="center"/>
          </w:tcPr>
          <w:p w14:paraId="44C649EF" w14:textId="77777777" w:rsidR="00A03991" w:rsidRPr="00A03991" w:rsidRDefault="00A03991" w:rsidP="00A03991">
            <w:pPr>
              <w:jc w:val="center"/>
              <w:rPr>
                <w:rFonts w:ascii="Arial Narrow" w:hAnsi="Arial Narrow"/>
                <w:sz w:val="20"/>
              </w:rPr>
            </w:pPr>
            <w:r w:rsidRPr="00A03991">
              <w:rPr>
                <w:rFonts w:ascii="Arial Narrow" w:hAnsi="Arial Narrow"/>
                <w:sz w:val="20"/>
              </w:rPr>
              <w:t>6.5 cycles (1.2 - 43.3)</w:t>
            </w:r>
          </w:p>
        </w:tc>
        <w:tc>
          <w:tcPr>
            <w:tcW w:w="1890" w:type="dxa"/>
            <w:vAlign w:val="center"/>
          </w:tcPr>
          <w:p w14:paraId="060F3177" w14:textId="77777777" w:rsidR="00A03991" w:rsidRPr="00A03991" w:rsidRDefault="00A03991" w:rsidP="00A03991">
            <w:pPr>
              <w:jc w:val="center"/>
              <w:rPr>
                <w:rFonts w:ascii="Arial Narrow" w:hAnsi="Arial Narrow"/>
                <w:sz w:val="20"/>
              </w:rPr>
            </w:pPr>
            <w:r w:rsidRPr="00A03991">
              <w:rPr>
                <w:rFonts w:ascii="Arial Narrow" w:hAnsi="Arial Narrow"/>
                <w:sz w:val="20"/>
              </w:rPr>
              <w:t>6/31</w:t>
            </w:r>
          </w:p>
          <w:p w14:paraId="0FE95B54" w14:textId="77777777" w:rsidR="00A03991" w:rsidRPr="00A03991" w:rsidRDefault="00A03991" w:rsidP="00A03991">
            <w:pPr>
              <w:jc w:val="center"/>
              <w:rPr>
                <w:rFonts w:ascii="Arial Narrow" w:hAnsi="Arial Narrow"/>
                <w:sz w:val="20"/>
              </w:rPr>
            </w:pPr>
            <w:r w:rsidRPr="00A03991">
              <w:rPr>
                <w:rFonts w:ascii="Arial Narrow" w:hAnsi="Arial Narrow"/>
                <w:sz w:val="20"/>
              </w:rPr>
              <w:t>(19%)</w:t>
            </w:r>
          </w:p>
        </w:tc>
        <w:tc>
          <w:tcPr>
            <w:tcW w:w="1890" w:type="dxa"/>
            <w:vAlign w:val="center"/>
          </w:tcPr>
          <w:p w14:paraId="066168BB" w14:textId="77777777" w:rsidR="00A03991" w:rsidRPr="00A03991" w:rsidRDefault="00A03991" w:rsidP="00A03991">
            <w:pPr>
              <w:jc w:val="center"/>
              <w:rPr>
                <w:rFonts w:ascii="Arial Narrow" w:hAnsi="Arial Narrow"/>
                <w:sz w:val="20"/>
              </w:rPr>
            </w:pPr>
            <w:r w:rsidRPr="00A03991">
              <w:rPr>
                <w:rFonts w:ascii="Arial Narrow" w:hAnsi="Arial Narrow"/>
                <w:sz w:val="20"/>
              </w:rPr>
              <w:t>10/31</w:t>
            </w:r>
          </w:p>
          <w:p w14:paraId="61FB7EC9" w14:textId="77777777" w:rsidR="00A03991" w:rsidRPr="00A03991" w:rsidRDefault="00A03991" w:rsidP="00A03991">
            <w:pPr>
              <w:jc w:val="center"/>
              <w:rPr>
                <w:rFonts w:ascii="Arial Narrow" w:hAnsi="Arial Narrow"/>
                <w:sz w:val="20"/>
              </w:rPr>
            </w:pPr>
            <w:r w:rsidRPr="00A03991">
              <w:rPr>
                <w:rFonts w:ascii="Arial Narrow" w:hAnsi="Arial Narrow"/>
                <w:sz w:val="20"/>
              </w:rPr>
              <w:t>(32%)</w:t>
            </w:r>
          </w:p>
        </w:tc>
        <w:tc>
          <w:tcPr>
            <w:tcW w:w="1890" w:type="dxa"/>
            <w:vAlign w:val="center"/>
          </w:tcPr>
          <w:p w14:paraId="083BCF59"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798E3324" w14:textId="77777777" w:rsidR="00A03991" w:rsidRPr="00A03991" w:rsidRDefault="00A03991" w:rsidP="00A03991">
            <w:pPr>
              <w:jc w:val="center"/>
              <w:rPr>
                <w:rFonts w:ascii="Arial Narrow" w:hAnsi="Arial Narrow"/>
                <w:sz w:val="20"/>
              </w:rPr>
            </w:pPr>
            <w:r w:rsidRPr="00A03991">
              <w:rPr>
                <w:rFonts w:ascii="Arial Narrow" w:hAnsi="Arial Narrow"/>
                <w:sz w:val="20"/>
              </w:rPr>
              <w:t>8.4</w:t>
            </w:r>
          </w:p>
        </w:tc>
      </w:tr>
      <w:tr w:rsidR="00A03991" w:rsidRPr="00A03991" w14:paraId="63138510" w14:textId="77777777" w:rsidTr="004C0FEE">
        <w:tc>
          <w:tcPr>
            <w:tcW w:w="1413" w:type="dxa"/>
            <w:vAlign w:val="center"/>
          </w:tcPr>
          <w:p w14:paraId="215CC295" w14:textId="77777777" w:rsidR="00A03991" w:rsidRPr="00A03991" w:rsidRDefault="00A03991" w:rsidP="00A03991">
            <w:pPr>
              <w:rPr>
                <w:rFonts w:ascii="Arial Narrow" w:hAnsi="Arial Narrow"/>
                <w:sz w:val="20"/>
              </w:rPr>
            </w:pPr>
            <w:r w:rsidRPr="00A03991">
              <w:rPr>
                <w:rFonts w:ascii="Arial Narrow" w:hAnsi="Arial Narrow"/>
                <w:sz w:val="20"/>
              </w:rPr>
              <w:t>Tucker 2020a</w:t>
            </w:r>
          </w:p>
        </w:tc>
        <w:tc>
          <w:tcPr>
            <w:tcW w:w="1417" w:type="dxa"/>
            <w:vAlign w:val="center"/>
          </w:tcPr>
          <w:p w14:paraId="7EA1995A" w14:textId="77777777" w:rsidR="00A03991" w:rsidRPr="00A03991" w:rsidRDefault="00A03991" w:rsidP="00A03991">
            <w:pPr>
              <w:jc w:val="center"/>
              <w:rPr>
                <w:rFonts w:ascii="Arial Narrow" w:hAnsi="Arial Narrow"/>
                <w:sz w:val="20"/>
              </w:rPr>
            </w:pPr>
            <w:r w:rsidRPr="00A03991">
              <w:rPr>
                <w:rFonts w:ascii="Arial Narrow" w:hAnsi="Arial Narrow"/>
                <w:sz w:val="20"/>
              </w:rPr>
              <w:t>22</w:t>
            </w:r>
          </w:p>
          <w:p w14:paraId="18851FFD" w14:textId="77777777" w:rsidR="00A03991" w:rsidRPr="00A03991" w:rsidRDefault="00A03991" w:rsidP="00A03991">
            <w:pPr>
              <w:jc w:val="center"/>
              <w:rPr>
                <w:rFonts w:ascii="Arial Narrow" w:hAnsi="Arial Narrow"/>
                <w:sz w:val="20"/>
              </w:rPr>
            </w:pPr>
            <w:r w:rsidRPr="00A03991">
              <w:rPr>
                <w:rFonts w:ascii="Arial Narrow" w:hAnsi="Arial Narrow"/>
                <w:sz w:val="20"/>
              </w:rPr>
              <w:t>(</w:t>
            </w:r>
            <w:proofErr w:type="gramStart"/>
            <w:r w:rsidRPr="00A03991">
              <w:rPr>
                <w:rFonts w:ascii="Arial Narrow" w:hAnsi="Arial Narrow"/>
                <w:sz w:val="20"/>
              </w:rPr>
              <w:t>reported</w:t>
            </w:r>
            <w:proofErr w:type="gramEnd"/>
            <w:r w:rsidRPr="00A03991">
              <w:rPr>
                <w:rFonts w:ascii="Arial Narrow" w:hAnsi="Arial Narrow"/>
                <w:sz w:val="20"/>
              </w:rPr>
              <w:t xml:space="preserve"> by McCulloch 2020b)</w:t>
            </w:r>
          </w:p>
        </w:tc>
        <w:tc>
          <w:tcPr>
            <w:tcW w:w="1890" w:type="dxa"/>
            <w:vAlign w:val="center"/>
          </w:tcPr>
          <w:p w14:paraId="4628DDFD"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28D90BC7"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in post-ibrutinib setting</w:t>
            </w:r>
          </w:p>
        </w:tc>
        <w:tc>
          <w:tcPr>
            <w:tcW w:w="1890" w:type="dxa"/>
            <w:vAlign w:val="center"/>
          </w:tcPr>
          <w:p w14:paraId="29A5951B"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5055EF0B"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0BC068B8"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6F7E07A6" w14:textId="77777777" w:rsidR="00A03991" w:rsidRPr="00A03991" w:rsidRDefault="00A03991" w:rsidP="00A03991">
            <w:pPr>
              <w:jc w:val="center"/>
              <w:rPr>
                <w:rFonts w:ascii="Arial Narrow" w:hAnsi="Arial Narrow"/>
                <w:sz w:val="20"/>
              </w:rPr>
            </w:pPr>
            <w:r w:rsidRPr="00A03991">
              <w:rPr>
                <w:rFonts w:ascii="Arial Narrow" w:hAnsi="Arial Narrow"/>
                <w:sz w:val="20"/>
              </w:rPr>
              <w:t>9.3 months</w:t>
            </w:r>
          </w:p>
          <w:p w14:paraId="50F85CF8" w14:textId="77777777" w:rsidR="00A03991" w:rsidRPr="00A03991" w:rsidRDefault="00A03991" w:rsidP="00A03991">
            <w:pPr>
              <w:jc w:val="center"/>
              <w:rPr>
                <w:rFonts w:ascii="Arial Narrow" w:hAnsi="Arial Narrow"/>
                <w:sz w:val="20"/>
              </w:rPr>
            </w:pPr>
            <w:r w:rsidRPr="00A03991">
              <w:rPr>
                <w:rFonts w:ascii="Arial Narrow" w:hAnsi="Arial Narrow"/>
                <w:sz w:val="20"/>
              </w:rPr>
              <w:t>(</w:t>
            </w:r>
            <w:proofErr w:type="gramStart"/>
            <w:r w:rsidRPr="00A03991">
              <w:rPr>
                <w:rFonts w:ascii="Arial Narrow" w:hAnsi="Arial Narrow"/>
                <w:sz w:val="20"/>
              </w:rPr>
              <w:t>reported</w:t>
            </w:r>
            <w:proofErr w:type="gramEnd"/>
            <w:r w:rsidRPr="00A03991">
              <w:rPr>
                <w:rFonts w:ascii="Arial Narrow" w:hAnsi="Arial Narrow"/>
                <w:sz w:val="20"/>
              </w:rPr>
              <w:t xml:space="preserve"> by</w:t>
            </w:r>
            <w:r w:rsidRPr="00A03991">
              <w:rPr>
                <w:rFonts w:ascii="Arial Narrow" w:hAnsi="Arial Narrow"/>
                <w:sz w:val="20"/>
              </w:rPr>
              <w:br/>
              <w:t>McCulloch 2020b)</w:t>
            </w:r>
          </w:p>
        </w:tc>
      </w:tr>
      <w:tr w:rsidR="00A03991" w:rsidRPr="00A03991" w14:paraId="420780C2" w14:textId="77777777" w:rsidTr="004C0FEE">
        <w:tc>
          <w:tcPr>
            <w:tcW w:w="1413" w:type="dxa"/>
            <w:vAlign w:val="center"/>
          </w:tcPr>
          <w:p w14:paraId="7EE49106" w14:textId="77777777" w:rsidR="00A03991" w:rsidRPr="00A03991" w:rsidRDefault="00A03991" w:rsidP="00A03991">
            <w:pPr>
              <w:rPr>
                <w:rFonts w:ascii="Arial Narrow" w:hAnsi="Arial Narrow"/>
                <w:sz w:val="20"/>
              </w:rPr>
            </w:pPr>
            <w:r w:rsidRPr="00A03991">
              <w:rPr>
                <w:rFonts w:ascii="Arial Narrow" w:hAnsi="Arial Narrow"/>
                <w:sz w:val="20"/>
              </w:rPr>
              <w:t>Jeon 2019</w:t>
            </w:r>
          </w:p>
        </w:tc>
        <w:tc>
          <w:tcPr>
            <w:tcW w:w="1417" w:type="dxa"/>
            <w:vAlign w:val="center"/>
          </w:tcPr>
          <w:p w14:paraId="219C87B2" w14:textId="77777777" w:rsidR="00A03991" w:rsidRPr="00A03991" w:rsidRDefault="00A03991" w:rsidP="00A03991">
            <w:pPr>
              <w:jc w:val="center"/>
              <w:rPr>
                <w:rFonts w:ascii="Arial Narrow" w:hAnsi="Arial Narrow"/>
                <w:sz w:val="20"/>
              </w:rPr>
            </w:pPr>
            <w:r w:rsidRPr="00A03991">
              <w:rPr>
                <w:rFonts w:ascii="Arial Narrow" w:hAnsi="Arial Narrow"/>
                <w:sz w:val="20"/>
              </w:rPr>
              <w:t>6</w:t>
            </w:r>
          </w:p>
        </w:tc>
        <w:tc>
          <w:tcPr>
            <w:tcW w:w="1890" w:type="dxa"/>
            <w:vAlign w:val="center"/>
          </w:tcPr>
          <w:p w14:paraId="0D0E7C87"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7FCBF7BE"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4EEC36C6"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56FE226B" w14:textId="77777777" w:rsidR="00A03991" w:rsidRPr="00A03991" w:rsidRDefault="00A03991" w:rsidP="00A03991">
            <w:pPr>
              <w:jc w:val="center"/>
              <w:rPr>
                <w:rFonts w:ascii="Arial Narrow" w:hAnsi="Arial Narrow"/>
                <w:sz w:val="20"/>
              </w:rPr>
            </w:pPr>
            <w:r w:rsidRPr="00A03991">
              <w:rPr>
                <w:rFonts w:ascii="Arial Narrow" w:hAnsi="Arial Narrow"/>
                <w:sz w:val="20"/>
              </w:rPr>
              <w:t>2/6</w:t>
            </w:r>
          </w:p>
          <w:p w14:paraId="6E7B5090" w14:textId="77777777" w:rsidR="00A03991" w:rsidRPr="00A03991" w:rsidRDefault="00A03991" w:rsidP="00A03991">
            <w:pPr>
              <w:jc w:val="center"/>
              <w:rPr>
                <w:rFonts w:ascii="Arial Narrow" w:hAnsi="Arial Narrow"/>
                <w:sz w:val="20"/>
              </w:rPr>
            </w:pPr>
            <w:r w:rsidRPr="00A03991">
              <w:rPr>
                <w:rFonts w:ascii="Arial Narrow" w:hAnsi="Arial Narrow"/>
                <w:sz w:val="20"/>
              </w:rPr>
              <w:t>(33%)</w:t>
            </w:r>
          </w:p>
        </w:tc>
        <w:tc>
          <w:tcPr>
            <w:tcW w:w="1890" w:type="dxa"/>
            <w:vAlign w:val="center"/>
          </w:tcPr>
          <w:p w14:paraId="0BCEA185"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111732E0"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r>
      <w:tr w:rsidR="00A03991" w:rsidRPr="00A03991" w14:paraId="79F5BE7B" w14:textId="77777777" w:rsidTr="004C0FEE">
        <w:tc>
          <w:tcPr>
            <w:tcW w:w="1413" w:type="dxa"/>
            <w:vAlign w:val="center"/>
          </w:tcPr>
          <w:p w14:paraId="34E373F6" w14:textId="77777777" w:rsidR="00A03991" w:rsidRPr="00A03991" w:rsidRDefault="00A03991" w:rsidP="00A03991">
            <w:pPr>
              <w:rPr>
                <w:rFonts w:ascii="Arial Narrow" w:hAnsi="Arial Narrow"/>
                <w:sz w:val="20"/>
              </w:rPr>
            </w:pPr>
            <w:proofErr w:type="spellStart"/>
            <w:r w:rsidRPr="00A03991">
              <w:rPr>
                <w:rFonts w:ascii="Arial Narrow" w:hAnsi="Arial Narrow"/>
                <w:sz w:val="20"/>
              </w:rPr>
              <w:t>Regny</w:t>
            </w:r>
            <w:proofErr w:type="spellEnd"/>
            <w:r w:rsidRPr="00A03991">
              <w:rPr>
                <w:rFonts w:ascii="Arial Narrow" w:hAnsi="Arial Narrow"/>
                <w:sz w:val="20"/>
              </w:rPr>
              <w:t xml:space="preserve"> 2019</w:t>
            </w:r>
          </w:p>
        </w:tc>
        <w:tc>
          <w:tcPr>
            <w:tcW w:w="1417" w:type="dxa"/>
            <w:vAlign w:val="center"/>
          </w:tcPr>
          <w:p w14:paraId="14E463E9" w14:textId="77777777" w:rsidR="00A03991" w:rsidRPr="00A03991" w:rsidRDefault="00A03991" w:rsidP="00A03991">
            <w:pPr>
              <w:jc w:val="center"/>
              <w:rPr>
                <w:rFonts w:ascii="Arial Narrow" w:hAnsi="Arial Narrow"/>
                <w:sz w:val="20"/>
              </w:rPr>
            </w:pPr>
            <w:r w:rsidRPr="00A03991">
              <w:rPr>
                <w:rFonts w:ascii="Arial Narrow" w:hAnsi="Arial Narrow"/>
                <w:sz w:val="20"/>
              </w:rPr>
              <w:t>12</w:t>
            </w:r>
          </w:p>
        </w:tc>
        <w:tc>
          <w:tcPr>
            <w:tcW w:w="1890" w:type="dxa"/>
            <w:vAlign w:val="center"/>
          </w:tcPr>
          <w:p w14:paraId="18D99652"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6E6895DD"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3D4A2377" w14:textId="77777777" w:rsidR="00A03991" w:rsidRPr="00A03991" w:rsidRDefault="00A03991" w:rsidP="00A03991">
            <w:pPr>
              <w:jc w:val="center"/>
              <w:rPr>
                <w:rFonts w:ascii="Arial Narrow" w:hAnsi="Arial Narrow"/>
                <w:sz w:val="20"/>
              </w:rPr>
            </w:pPr>
            <w:r w:rsidRPr="00A03991">
              <w:rPr>
                <w:rFonts w:ascii="Arial Narrow" w:hAnsi="Arial Narrow"/>
                <w:sz w:val="20"/>
              </w:rPr>
              <w:t>3/12</w:t>
            </w:r>
          </w:p>
          <w:p w14:paraId="603F6086" w14:textId="77777777" w:rsidR="00A03991" w:rsidRPr="00A03991" w:rsidRDefault="00A03991" w:rsidP="00A03991">
            <w:pPr>
              <w:jc w:val="center"/>
              <w:rPr>
                <w:rFonts w:ascii="Arial Narrow" w:hAnsi="Arial Narrow"/>
                <w:sz w:val="20"/>
              </w:rPr>
            </w:pPr>
            <w:r w:rsidRPr="00A03991">
              <w:rPr>
                <w:rFonts w:ascii="Arial Narrow" w:hAnsi="Arial Narrow"/>
                <w:sz w:val="20"/>
              </w:rPr>
              <w:t>(25%)</w:t>
            </w:r>
          </w:p>
        </w:tc>
        <w:tc>
          <w:tcPr>
            <w:tcW w:w="1890" w:type="dxa"/>
            <w:vAlign w:val="center"/>
          </w:tcPr>
          <w:p w14:paraId="7A66DBC7" w14:textId="77777777" w:rsidR="00A03991" w:rsidRPr="00A03991" w:rsidRDefault="00A03991" w:rsidP="00A03991">
            <w:pPr>
              <w:jc w:val="center"/>
              <w:rPr>
                <w:rFonts w:ascii="Arial Narrow" w:hAnsi="Arial Narrow"/>
                <w:sz w:val="20"/>
              </w:rPr>
            </w:pPr>
            <w:r w:rsidRPr="00A03991">
              <w:rPr>
                <w:rFonts w:ascii="Arial Narrow" w:hAnsi="Arial Narrow"/>
                <w:sz w:val="20"/>
              </w:rPr>
              <w:t>8/12</w:t>
            </w:r>
          </w:p>
          <w:p w14:paraId="570A5F19" w14:textId="77777777" w:rsidR="00A03991" w:rsidRPr="00A03991" w:rsidRDefault="00A03991" w:rsidP="00A03991">
            <w:pPr>
              <w:jc w:val="center"/>
              <w:rPr>
                <w:rFonts w:ascii="Arial Narrow" w:hAnsi="Arial Narrow"/>
                <w:sz w:val="20"/>
              </w:rPr>
            </w:pPr>
            <w:r w:rsidRPr="00A03991">
              <w:rPr>
                <w:rFonts w:ascii="Arial Narrow" w:hAnsi="Arial Narrow"/>
                <w:sz w:val="20"/>
              </w:rPr>
              <w:t>(67%)</w:t>
            </w:r>
          </w:p>
        </w:tc>
        <w:tc>
          <w:tcPr>
            <w:tcW w:w="1890" w:type="dxa"/>
          </w:tcPr>
          <w:p w14:paraId="43EF1B06"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tcPr>
          <w:p w14:paraId="46EC7FF5"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r>
      <w:tr w:rsidR="00A03991" w:rsidRPr="00A03991" w14:paraId="24593A8C" w14:textId="77777777" w:rsidTr="004C0FEE">
        <w:tc>
          <w:tcPr>
            <w:tcW w:w="1413" w:type="dxa"/>
            <w:vAlign w:val="center"/>
          </w:tcPr>
          <w:p w14:paraId="639964C6" w14:textId="77777777" w:rsidR="00A03991" w:rsidRPr="00A03991" w:rsidRDefault="00A03991" w:rsidP="00A03991">
            <w:pPr>
              <w:rPr>
                <w:rFonts w:ascii="Arial Narrow" w:hAnsi="Arial Narrow"/>
                <w:sz w:val="20"/>
              </w:rPr>
            </w:pPr>
            <w:r w:rsidRPr="00A03991">
              <w:rPr>
                <w:rFonts w:ascii="Arial Narrow" w:hAnsi="Arial Narrow"/>
                <w:sz w:val="20"/>
              </w:rPr>
              <w:t>Jain 2018a</w:t>
            </w:r>
          </w:p>
        </w:tc>
        <w:tc>
          <w:tcPr>
            <w:tcW w:w="1417" w:type="dxa"/>
            <w:vAlign w:val="center"/>
          </w:tcPr>
          <w:p w14:paraId="0EBBF5F2" w14:textId="77777777" w:rsidR="00A03991" w:rsidRPr="00A03991" w:rsidRDefault="00A03991" w:rsidP="00A03991">
            <w:pPr>
              <w:jc w:val="center"/>
              <w:rPr>
                <w:rFonts w:ascii="Arial Narrow" w:hAnsi="Arial Narrow"/>
                <w:sz w:val="20"/>
              </w:rPr>
            </w:pPr>
            <w:r w:rsidRPr="00A03991">
              <w:rPr>
                <w:rFonts w:ascii="Arial Narrow" w:hAnsi="Arial Narrow"/>
                <w:sz w:val="20"/>
              </w:rPr>
              <w:t>13</w:t>
            </w:r>
          </w:p>
        </w:tc>
        <w:tc>
          <w:tcPr>
            <w:tcW w:w="1890" w:type="dxa"/>
            <w:vAlign w:val="center"/>
          </w:tcPr>
          <w:p w14:paraId="5BD6FB9C"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617F8070" w14:textId="77777777" w:rsidR="00A03991" w:rsidRPr="00A03991" w:rsidRDefault="00A03991" w:rsidP="00A03991">
            <w:pPr>
              <w:jc w:val="center"/>
              <w:rPr>
                <w:rFonts w:ascii="Arial Narrow" w:hAnsi="Arial Narrow"/>
                <w:i/>
                <w:iCs/>
                <w:sz w:val="20"/>
              </w:rPr>
            </w:pPr>
            <w:r w:rsidRPr="00A03991">
              <w:rPr>
                <w:rFonts w:ascii="Arial Narrow" w:hAnsi="Arial Narrow"/>
                <w:i/>
                <w:iCs/>
                <w:sz w:val="20"/>
              </w:rPr>
              <w:t>13 (2-45)</w:t>
            </w:r>
          </w:p>
        </w:tc>
        <w:tc>
          <w:tcPr>
            <w:tcW w:w="1890" w:type="dxa"/>
            <w:vAlign w:val="center"/>
          </w:tcPr>
          <w:p w14:paraId="736F30AF" w14:textId="77777777" w:rsidR="00A03991" w:rsidRPr="00A03991" w:rsidRDefault="00A03991" w:rsidP="00A03991">
            <w:pPr>
              <w:jc w:val="center"/>
              <w:rPr>
                <w:rFonts w:ascii="Arial Narrow" w:hAnsi="Arial Narrow"/>
                <w:sz w:val="20"/>
              </w:rPr>
            </w:pPr>
            <w:r w:rsidRPr="00A03991">
              <w:rPr>
                <w:rFonts w:ascii="Arial Narrow" w:hAnsi="Arial Narrow"/>
                <w:sz w:val="20"/>
              </w:rPr>
              <w:t xml:space="preserve">NR (only response to </w:t>
            </w:r>
            <w:proofErr w:type="spellStart"/>
            <w:r w:rsidRPr="00A03991">
              <w:rPr>
                <w:rFonts w:ascii="Arial Narrow" w:hAnsi="Arial Narrow"/>
                <w:sz w:val="20"/>
              </w:rPr>
              <w:t>ibrutinib+rituximab</w:t>
            </w:r>
            <w:proofErr w:type="spellEnd"/>
            <w:r w:rsidRPr="00A03991">
              <w:rPr>
                <w:rFonts w:ascii="Arial Narrow" w:hAnsi="Arial Narrow"/>
                <w:sz w:val="20"/>
              </w:rPr>
              <w:t xml:space="preserve"> is provided)</w:t>
            </w:r>
          </w:p>
        </w:tc>
        <w:tc>
          <w:tcPr>
            <w:tcW w:w="1890" w:type="dxa"/>
            <w:vAlign w:val="center"/>
          </w:tcPr>
          <w:p w14:paraId="0BABAE47" w14:textId="77777777" w:rsidR="00A03991" w:rsidRPr="00A03991" w:rsidRDefault="00A03991" w:rsidP="00A03991">
            <w:pPr>
              <w:jc w:val="center"/>
              <w:rPr>
                <w:rFonts w:ascii="Arial Narrow" w:hAnsi="Arial Narrow"/>
                <w:sz w:val="20"/>
              </w:rPr>
            </w:pPr>
            <w:r w:rsidRPr="00A03991">
              <w:rPr>
                <w:rFonts w:ascii="Arial Narrow" w:hAnsi="Arial Narrow"/>
                <w:sz w:val="20"/>
              </w:rPr>
              <w:t xml:space="preserve">NR (only response to </w:t>
            </w:r>
            <w:proofErr w:type="spellStart"/>
            <w:r w:rsidRPr="00A03991">
              <w:rPr>
                <w:rFonts w:ascii="Arial Narrow" w:hAnsi="Arial Narrow"/>
                <w:sz w:val="20"/>
              </w:rPr>
              <w:t>ibrutinib+rituximab</w:t>
            </w:r>
            <w:proofErr w:type="spellEnd"/>
            <w:r w:rsidRPr="00A03991">
              <w:rPr>
                <w:rFonts w:ascii="Arial Narrow" w:hAnsi="Arial Narrow"/>
                <w:sz w:val="20"/>
              </w:rPr>
              <w:t xml:space="preserve"> is provided)</w:t>
            </w:r>
          </w:p>
        </w:tc>
        <w:tc>
          <w:tcPr>
            <w:tcW w:w="1890" w:type="dxa"/>
            <w:vAlign w:val="center"/>
          </w:tcPr>
          <w:p w14:paraId="54498147"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22F1766F" w14:textId="77777777" w:rsidR="00A03991" w:rsidRPr="00A03991" w:rsidRDefault="00A03991" w:rsidP="00A03991">
            <w:pPr>
              <w:jc w:val="center"/>
              <w:rPr>
                <w:rFonts w:ascii="Arial Narrow" w:hAnsi="Arial Narrow"/>
                <w:i/>
                <w:iCs/>
                <w:sz w:val="20"/>
              </w:rPr>
            </w:pPr>
            <w:r w:rsidRPr="00A03991">
              <w:rPr>
                <w:rFonts w:ascii="Arial Narrow" w:hAnsi="Arial Narrow"/>
                <w:i/>
                <w:sz w:val="20"/>
              </w:rPr>
              <w:t>20</w:t>
            </w:r>
          </w:p>
        </w:tc>
      </w:tr>
      <w:tr w:rsidR="00A03991" w:rsidRPr="00A03991" w14:paraId="12B3174C" w14:textId="77777777" w:rsidTr="004C0FEE">
        <w:tc>
          <w:tcPr>
            <w:tcW w:w="1413" w:type="dxa"/>
            <w:vAlign w:val="center"/>
          </w:tcPr>
          <w:p w14:paraId="0E27C582" w14:textId="77777777" w:rsidR="00A03991" w:rsidRPr="00A03991" w:rsidRDefault="00A03991" w:rsidP="00A03991">
            <w:pPr>
              <w:rPr>
                <w:rFonts w:ascii="Arial Narrow" w:hAnsi="Arial Narrow"/>
                <w:sz w:val="20"/>
              </w:rPr>
            </w:pPr>
            <w:r w:rsidRPr="00A03991">
              <w:rPr>
                <w:rFonts w:ascii="Arial Narrow" w:hAnsi="Arial Narrow"/>
                <w:sz w:val="20"/>
              </w:rPr>
              <w:t>Rule 2018</w:t>
            </w:r>
          </w:p>
        </w:tc>
        <w:tc>
          <w:tcPr>
            <w:tcW w:w="1417" w:type="dxa"/>
            <w:vAlign w:val="center"/>
          </w:tcPr>
          <w:p w14:paraId="26D0CBFE" w14:textId="77777777" w:rsidR="00A03991" w:rsidRPr="00A03991" w:rsidRDefault="00A03991" w:rsidP="00A03991">
            <w:pPr>
              <w:jc w:val="center"/>
              <w:rPr>
                <w:rFonts w:ascii="Arial Narrow" w:hAnsi="Arial Narrow"/>
                <w:sz w:val="20"/>
              </w:rPr>
            </w:pPr>
            <w:r w:rsidRPr="00A03991">
              <w:rPr>
                <w:rFonts w:ascii="Arial Narrow" w:hAnsi="Arial Narrow"/>
                <w:sz w:val="20"/>
              </w:rPr>
              <w:t>63</w:t>
            </w:r>
          </w:p>
        </w:tc>
        <w:tc>
          <w:tcPr>
            <w:tcW w:w="1890" w:type="dxa"/>
            <w:vAlign w:val="center"/>
          </w:tcPr>
          <w:p w14:paraId="332E98DB"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1DAACB46"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3C44FB5F" w14:textId="77777777" w:rsidR="00A03991" w:rsidRPr="00A03991" w:rsidRDefault="00A03991" w:rsidP="00A03991">
            <w:pPr>
              <w:jc w:val="center"/>
              <w:rPr>
                <w:rFonts w:ascii="Arial Narrow" w:hAnsi="Arial Narrow"/>
                <w:sz w:val="20"/>
              </w:rPr>
            </w:pPr>
            <w:r w:rsidRPr="00A03991">
              <w:rPr>
                <w:rFonts w:ascii="Arial Narrow" w:hAnsi="Arial Narrow"/>
                <w:sz w:val="20"/>
              </w:rPr>
              <w:t>7/29</w:t>
            </w:r>
            <w:r w:rsidRPr="00A03991">
              <w:rPr>
                <w:rFonts w:ascii="Arial Narrow" w:hAnsi="Arial Narrow"/>
                <w:sz w:val="20"/>
                <w:vertAlign w:val="superscript"/>
              </w:rPr>
              <w:t>d</w:t>
            </w:r>
          </w:p>
          <w:p w14:paraId="3D6C352B" w14:textId="77777777" w:rsidR="00A03991" w:rsidRPr="00A03991" w:rsidRDefault="00A03991" w:rsidP="00A03991">
            <w:pPr>
              <w:jc w:val="center"/>
              <w:rPr>
                <w:rFonts w:ascii="Arial Narrow" w:hAnsi="Arial Narrow"/>
                <w:sz w:val="20"/>
              </w:rPr>
            </w:pPr>
            <w:r w:rsidRPr="00A03991">
              <w:rPr>
                <w:rFonts w:ascii="Arial Narrow" w:hAnsi="Arial Narrow"/>
                <w:sz w:val="20"/>
              </w:rPr>
              <w:t>(24%)</w:t>
            </w:r>
          </w:p>
        </w:tc>
        <w:tc>
          <w:tcPr>
            <w:tcW w:w="1890" w:type="dxa"/>
            <w:vAlign w:val="center"/>
          </w:tcPr>
          <w:p w14:paraId="7B407B4C" w14:textId="77777777" w:rsidR="00A03991" w:rsidRPr="00A03991" w:rsidRDefault="00A03991" w:rsidP="00A03991">
            <w:pPr>
              <w:jc w:val="center"/>
              <w:rPr>
                <w:rFonts w:ascii="Arial Narrow" w:hAnsi="Arial Narrow"/>
                <w:sz w:val="20"/>
              </w:rPr>
            </w:pPr>
            <w:r w:rsidRPr="00A03991">
              <w:rPr>
                <w:rFonts w:ascii="Arial Narrow" w:hAnsi="Arial Narrow"/>
                <w:sz w:val="20"/>
              </w:rPr>
              <w:t>12/29</w:t>
            </w:r>
            <w:r w:rsidRPr="00A03991">
              <w:rPr>
                <w:rFonts w:ascii="Arial Narrow" w:hAnsi="Arial Narrow"/>
                <w:sz w:val="20"/>
                <w:vertAlign w:val="superscript"/>
              </w:rPr>
              <w:t xml:space="preserve"> d</w:t>
            </w:r>
          </w:p>
          <w:p w14:paraId="73C71A27" w14:textId="77777777" w:rsidR="00A03991" w:rsidRPr="00A03991" w:rsidRDefault="00A03991" w:rsidP="00A03991">
            <w:pPr>
              <w:jc w:val="center"/>
              <w:rPr>
                <w:rFonts w:ascii="Arial Narrow" w:hAnsi="Arial Narrow"/>
                <w:sz w:val="20"/>
              </w:rPr>
            </w:pPr>
            <w:r w:rsidRPr="00A03991">
              <w:rPr>
                <w:rFonts w:ascii="Arial Narrow" w:hAnsi="Arial Narrow"/>
                <w:sz w:val="20"/>
              </w:rPr>
              <w:t>(41%)</w:t>
            </w:r>
          </w:p>
        </w:tc>
        <w:tc>
          <w:tcPr>
            <w:tcW w:w="1890" w:type="dxa"/>
          </w:tcPr>
          <w:p w14:paraId="38433AA3"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tcPr>
          <w:p w14:paraId="062D4B6C"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r>
      <w:tr w:rsidR="00A03991" w:rsidRPr="00A03991" w14:paraId="6E09A50C" w14:textId="77777777" w:rsidTr="004C0FEE">
        <w:tc>
          <w:tcPr>
            <w:tcW w:w="1413" w:type="dxa"/>
            <w:vAlign w:val="center"/>
          </w:tcPr>
          <w:p w14:paraId="7B9186C3" w14:textId="77777777" w:rsidR="00A03991" w:rsidRPr="00A03991" w:rsidRDefault="00A03991" w:rsidP="00A03991">
            <w:pPr>
              <w:rPr>
                <w:rFonts w:ascii="Arial Narrow" w:hAnsi="Arial Narrow"/>
                <w:sz w:val="20"/>
              </w:rPr>
            </w:pPr>
            <w:proofErr w:type="spellStart"/>
            <w:r w:rsidRPr="00A03991">
              <w:rPr>
                <w:rFonts w:ascii="Arial Narrow" w:hAnsi="Arial Narrow"/>
                <w:sz w:val="20"/>
              </w:rPr>
              <w:t>Seviar</w:t>
            </w:r>
            <w:proofErr w:type="spellEnd"/>
            <w:r w:rsidRPr="00A03991">
              <w:rPr>
                <w:rFonts w:ascii="Arial Narrow" w:hAnsi="Arial Narrow"/>
                <w:sz w:val="20"/>
              </w:rPr>
              <w:t xml:space="preserve"> 2018</w:t>
            </w:r>
          </w:p>
        </w:tc>
        <w:tc>
          <w:tcPr>
            <w:tcW w:w="1417" w:type="dxa"/>
            <w:vAlign w:val="center"/>
          </w:tcPr>
          <w:p w14:paraId="18EBE3F9" w14:textId="77777777" w:rsidR="00A03991" w:rsidRPr="00A03991" w:rsidRDefault="00A03991" w:rsidP="00A03991">
            <w:pPr>
              <w:jc w:val="center"/>
              <w:rPr>
                <w:rFonts w:ascii="Arial Narrow" w:hAnsi="Arial Narrow"/>
                <w:sz w:val="20"/>
              </w:rPr>
            </w:pPr>
            <w:r w:rsidRPr="00A03991">
              <w:rPr>
                <w:rFonts w:ascii="Arial Narrow" w:hAnsi="Arial Narrow"/>
                <w:sz w:val="20"/>
              </w:rPr>
              <w:t>3</w:t>
            </w:r>
          </w:p>
        </w:tc>
        <w:tc>
          <w:tcPr>
            <w:tcW w:w="1890" w:type="dxa"/>
          </w:tcPr>
          <w:p w14:paraId="2C95881F"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tcPr>
          <w:p w14:paraId="7F93DDBB"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66AE5248"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48977E08"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76CAC5A1"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5C0CB1B0" w14:textId="77777777" w:rsidR="00A03991" w:rsidRPr="00A03991" w:rsidRDefault="00A03991" w:rsidP="00A03991">
            <w:pPr>
              <w:jc w:val="center"/>
              <w:rPr>
                <w:rFonts w:ascii="Arial Narrow" w:hAnsi="Arial Narrow"/>
                <w:sz w:val="20"/>
              </w:rPr>
            </w:pPr>
            <w:r w:rsidRPr="00A03991">
              <w:rPr>
                <w:rFonts w:ascii="Arial Narrow" w:hAnsi="Arial Narrow"/>
                <w:i/>
                <w:iCs/>
                <w:sz w:val="20"/>
              </w:rPr>
              <w:t>4.7</w:t>
            </w:r>
          </w:p>
        </w:tc>
      </w:tr>
      <w:tr w:rsidR="00A03991" w:rsidRPr="00A03991" w14:paraId="50F9DF46" w14:textId="77777777" w:rsidTr="00A03991">
        <w:trPr>
          <w:trHeight w:val="851"/>
        </w:trPr>
        <w:tc>
          <w:tcPr>
            <w:tcW w:w="1413" w:type="dxa"/>
            <w:vAlign w:val="center"/>
          </w:tcPr>
          <w:p w14:paraId="030D9DB9" w14:textId="77777777" w:rsidR="00A03991" w:rsidRPr="00A03991" w:rsidRDefault="00A03991" w:rsidP="00A03991">
            <w:pPr>
              <w:rPr>
                <w:rFonts w:ascii="Arial Narrow" w:hAnsi="Arial Narrow"/>
                <w:sz w:val="20"/>
              </w:rPr>
            </w:pPr>
            <w:proofErr w:type="spellStart"/>
            <w:r w:rsidRPr="00A03991">
              <w:rPr>
                <w:rFonts w:ascii="Arial Narrow" w:hAnsi="Arial Narrow"/>
                <w:sz w:val="20"/>
              </w:rPr>
              <w:lastRenderedPageBreak/>
              <w:t>Epperla</w:t>
            </w:r>
            <w:proofErr w:type="spellEnd"/>
            <w:r w:rsidRPr="00A03991">
              <w:rPr>
                <w:rFonts w:ascii="Arial Narrow" w:hAnsi="Arial Narrow"/>
                <w:sz w:val="20"/>
              </w:rPr>
              <w:t xml:space="preserve"> 2017</w:t>
            </w:r>
          </w:p>
        </w:tc>
        <w:tc>
          <w:tcPr>
            <w:tcW w:w="1417" w:type="dxa"/>
            <w:vAlign w:val="center"/>
          </w:tcPr>
          <w:p w14:paraId="3C686619" w14:textId="77777777" w:rsidR="00A03991" w:rsidRPr="00A03991" w:rsidRDefault="00A03991" w:rsidP="00A03991">
            <w:pPr>
              <w:jc w:val="center"/>
              <w:rPr>
                <w:rFonts w:ascii="Arial Narrow" w:hAnsi="Arial Narrow"/>
                <w:sz w:val="20"/>
              </w:rPr>
            </w:pPr>
            <w:r w:rsidRPr="00A03991">
              <w:rPr>
                <w:rFonts w:ascii="Arial Narrow" w:hAnsi="Arial Narrow"/>
                <w:sz w:val="20"/>
              </w:rPr>
              <w:t>29</w:t>
            </w:r>
          </w:p>
        </w:tc>
        <w:tc>
          <w:tcPr>
            <w:tcW w:w="1890" w:type="dxa"/>
            <w:vAlign w:val="center"/>
          </w:tcPr>
          <w:p w14:paraId="0C21A727"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02163406" w14:textId="77777777" w:rsidR="00A03991" w:rsidRPr="00A03991" w:rsidRDefault="00A03991" w:rsidP="00A03991">
            <w:pPr>
              <w:jc w:val="center"/>
              <w:rPr>
                <w:rFonts w:ascii="Arial Narrow" w:hAnsi="Arial Narrow"/>
                <w:sz w:val="20"/>
              </w:rPr>
            </w:pPr>
            <w:r w:rsidRPr="00A03991">
              <w:rPr>
                <w:rFonts w:ascii="Arial Narrow" w:hAnsi="Arial Narrow"/>
                <w:sz w:val="20"/>
              </w:rPr>
              <w:t>NR for subgroup of interest</w:t>
            </w:r>
          </w:p>
        </w:tc>
        <w:tc>
          <w:tcPr>
            <w:tcW w:w="1890" w:type="dxa"/>
            <w:vAlign w:val="center"/>
          </w:tcPr>
          <w:p w14:paraId="28D68E24"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4A17CB41" w14:textId="77777777" w:rsidR="00A03991" w:rsidRPr="00A03991" w:rsidRDefault="00A03991" w:rsidP="00A03991">
            <w:pPr>
              <w:jc w:val="center"/>
              <w:rPr>
                <w:rFonts w:ascii="Arial Narrow" w:hAnsi="Arial Narrow"/>
                <w:sz w:val="20"/>
              </w:rPr>
            </w:pPr>
            <w:r w:rsidRPr="00A03991">
              <w:rPr>
                <w:rFonts w:ascii="Arial Narrow" w:hAnsi="Arial Narrow"/>
                <w:sz w:val="20"/>
              </w:rPr>
              <w:t>14/29</w:t>
            </w:r>
          </w:p>
          <w:p w14:paraId="0DDD54BB" w14:textId="77777777" w:rsidR="00A03991" w:rsidRPr="00A03991" w:rsidRDefault="00A03991" w:rsidP="00A03991">
            <w:pPr>
              <w:jc w:val="center"/>
              <w:rPr>
                <w:rFonts w:ascii="Arial Narrow" w:hAnsi="Arial Narrow"/>
                <w:sz w:val="20"/>
              </w:rPr>
            </w:pPr>
            <w:r w:rsidRPr="00A03991">
              <w:rPr>
                <w:rFonts w:ascii="Arial Narrow" w:hAnsi="Arial Narrow"/>
                <w:sz w:val="20"/>
              </w:rPr>
              <w:t>(48%)</w:t>
            </w:r>
          </w:p>
        </w:tc>
        <w:tc>
          <w:tcPr>
            <w:tcW w:w="1890" w:type="dxa"/>
            <w:vAlign w:val="center"/>
          </w:tcPr>
          <w:p w14:paraId="7F0854C9" w14:textId="77777777" w:rsidR="00A03991" w:rsidRPr="00A03991" w:rsidRDefault="00A03991" w:rsidP="00A03991">
            <w:pPr>
              <w:jc w:val="center"/>
              <w:rPr>
                <w:rFonts w:ascii="Arial Narrow" w:hAnsi="Arial Narrow"/>
                <w:sz w:val="20"/>
              </w:rPr>
            </w:pPr>
            <w:r w:rsidRPr="00A03991">
              <w:rPr>
                <w:rFonts w:ascii="Arial Narrow" w:hAnsi="Arial Narrow"/>
                <w:sz w:val="20"/>
              </w:rPr>
              <w:t>NR</w:t>
            </w:r>
          </w:p>
        </w:tc>
        <w:tc>
          <w:tcPr>
            <w:tcW w:w="1890" w:type="dxa"/>
            <w:vAlign w:val="center"/>
          </w:tcPr>
          <w:p w14:paraId="7DA98E77" w14:textId="77777777" w:rsidR="00A03991" w:rsidRPr="00A03991" w:rsidRDefault="00A03991" w:rsidP="00A03991">
            <w:pPr>
              <w:jc w:val="center"/>
              <w:rPr>
                <w:rFonts w:ascii="Arial Narrow" w:hAnsi="Arial Narrow"/>
                <w:sz w:val="20"/>
              </w:rPr>
            </w:pPr>
            <w:r w:rsidRPr="00A03991">
              <w:rPr>
                <w:rFonts w:ascii="Arial Narrow" w:hAnsi="Arial Narrow"/>
                <w:sz w:val="20"/>
              </w:rPr>
              <w:t>7 for bortezomib-based salvage regimens</w:t>
            </w:r>
          </w:p>
          <w:p w14:paraId="6CCB5759" w14:textId="77777777" w:rsidR="00A03991" w:rsidRPr="00A03991" w:rsidRDefault="00A03991" w:rsidP="00A03991">
            <w:pPr>
              <w:jc w:val="center"/>
              <w:rPr>
                <w:rFonts w:ascii="Arial Narrow" w:hAnsi="Arial Narrow"/>
                <w:sz w:val="20"/>
              </w:rPr>
            </w:pPr>
            <w:r w:rsidRPr="00A03991">
              <w:rPr>
                <w:rFonts w:ascii="Arial Narrow" w:hAnsi="Arial Narrow"/>
                <w:sz w:val="20"/>
              </w:rPr>
              <w:t>6 for lenalidomide-based salvage regimens</w:t>
            </w:r>
          </w:p>
          <w:p w14:paraId="4FE2F5BB" w14:textId="77777777" w:rsidR="00A03991" w:rsidRPr="00A03991" w:rsidRDefault="00A03991" w:rsidP="00A03991">
            <w:pPr>
              <w:jc w:val="center"/>
              <w:rPr>
                <w:rFonts w:ascii="Arial Narrow" w:hAnsi="Arial Narrow"/>
                <w:sz w:val="20"/>
              </w:rPr>
            </w:pPr>
            <w:r w:rsidRPr="00A03991">
              <w:rPr>
                <w:rFonts w:ascii="Arial Narrow" w:hAnsi="Arial Narrow"/>
                <w:sz w:val="20"/>
              </w:rPr>
              <w:t xml:space="preserve">4.5 for </w:t>
            </w:r>
            <w:proofErr w:type="spellStart"/>
            <w:r w:rsidRPr="00A03991">
              <w:rPr>
                <w:rFonts w:ascii="Arial Narrow" w:hAnsi="Arial Narrow"/>
                <w:sz w:val="20"/>
              </w:rPr>
              <w:t>bendamustine</w:t>
            </w:r>
            <w:proofErr w:type="spellEnd"/>
            <w:r w:rsidRPr="00A03991">
              <w:rPr>
                <w:rFonts w:ascii="Arial Narrow" w:hAnsi="Arial Narrow"/>
                <w:sz w:val="20"/>
              </w:rPr>
              <w:t>-based salvage regimens</w:t>
            </w:r>
          </w:p>
        </w:tc>
      </w:tr>
    </w:tbl>
    <w:p w14:paraId="1CF76031" w14:textId="77777777" w:rsidR="00A03991" w:rsidRPr="00A03991" w:rsidRDefault="00A03991" w:rsidP="00A03991">
      <w:pPr>
        <w:rPr>
          <w:rFonts w:ascii="Arial Narrow" w:hAnsi="Arial Narrow"/>
          <w:sz w:val="20"/>
        </w:rPr>
      </w:pPr>
      <w:r w:rsidRPr="00A03991">
        <w:rPr>
          <w:rFonts w:ascii="Arial Narrow" w:hAnsi="Arial Narrow"/>
          <w:sz w:val="20"/>
        </w:rPr>
        <w:t>Italicised font indicates derived by the sponsor from information in the publications.</w:t>
      </w:r>
    </w:p>
    <w:p w14:paraId="5931F085" w14:textId="77777777" w:rsidR="00A03991" w:rsidRPr="00A03991" w:rsidRDefault="00A03991" w:rsidP="00A03991">
      <w:pPr>
        <w:rPr>
          <w:rFonts w:ascii="Arial Narrow" w:hAnsi="Arial Narrow"/>
          <w:sz w:val="20"/>
        </w:rPr>
      </w:pPr>
      <w:proofErr w:type="spellStart"/>
      <w:r w:rsidRPr="00A03991">
        <w:rPr>
          <w:rFonts w:ascii="Arial Narrow" w:hAnsi="Arial Narrow"/>
          <w:sz w:val="20"/>
          <w:vertAlign w:val="superscript"/>
        </w:rPr>
        <w:t>a</w:t>
      </w:r>
      <w:proofErr w:type="spellEnd"/>
      <w:r w:rsidRPr="00A03991">
        <w:rPr>
          <w:rFonts w:ascii="Arial Narrow" w:hAnsi="Arial Narrow"/>
          <w:sz w:val="20"/>
        </w:rPr>
        <w:t xml:space="preserve"> Reported in the ZUMA-2 CSR only for the </w:t>
      </w:r>
      <w:proofErr w:type="spellStart"/>
      <w:r w:rsidRPr="00A03991">
        <w:rPr>
          <w:rFonts w:ascii="Arial Narrow" w:hAnsi="Arial Narrow"/>
          <w:sz w:val="20"/>
        </w:rPr>
        <w:t>mITT</w:t>
      </w:r>
      <w:proofErr w:type="spellEnd"/>
      <w:r w:rsidRPr="00A03991">
        <w:rPr>
          <w:rFonts w:ascii="Arial Narrow" w:hAnsi="Arial Narrow"/>
          <w:sz w:val="20"/>
        </w:rPr>
        <w:t xml:space="preserve"> population</w:t>
      </w:r>
    </w:p>
    <w:p w14:paraId="6BE50B69" w14:textId="77777777" w:rsidR="00A03991" w:rsidRPr="00A03991" w:rsidRDefault="00A03991" w:rsidP="00A03991">
      <w:pPr>
        <w:rPr>
          <w:rFonts w:ascii="Arial Narrow" w:hAnsi="Arial Narrow"/>
          <w:sz w:val="20"/>
        </w:rPr>
      </w:pPr>
      <w:r w:rsidRPr="00A03991">
        <w:rPr>
          <w:rFonts w:ascii="Arial Narrow" w:hAnsi="Arial Narrow"/>
          <w:sz w:val="20"/>
          <w:vertAlign w:val="superscript"/>
        </w:rPr>
        <w:t>b</w:t>
      </w:r>
      <w:r w:rsidRPr="00A03991">
        <w:rPr>
          <w:rFonts w:ascii="Arial Narrow" w:hAnsi="Arial Narrow"/>
          <w:sz w:val="20"/>
        </w:rPr>
        <w:t xml:space="preserve"> Reported for 114 patients examined by Martin 2016 (i.e., including patients who did not receive salvage therapy)</w:t>
      </w:r>
    </w:p>
    <w:p w14:paraId="4CF3A6F7" w14:textId="77777777" w:rsidR="00A03991" w:rsidRPr="00A03991" w:rsidRDefault="00A03991" w:rsidP="00A03991">
      <w:pPr>
        <w:rPr>
          <w:rFonts w:ascii="Arial Narrow" w:hAnsi="Arial Narrow"/>
          <w:sz w:val="20"/>
        </w:rPr>
      </w:pPr>
      <w:r w:rsidRPr="00A03991">
        <w:rPr>
          <w:rFonts w:ascii="Arial Narrow" w:hAnsi="Arial Narrow"/>
          <w:sz w:val="20"/>
          <w:vertAlign w:val="superscript"/>
        </w:rPr>
        <w:t>c</w:t>
      </w:r>
      <w:r w:rsidRPr="00A03991">
        <w:rPr>
          <w:rFonts w:ascii="Arial Narrow" w:hAnsi="Arial Narrow"/>
          <w:sz w:val="20"/>
        </w:rPr>
        <w:t xml:space="preserve"> Reported for 42 patients discontinuing ibrutinib (i.e., including patients who did not receive salvage therapy)</w:t>
      </w:r>
    </w:p>
    <w:p w14:paraId="3A593A42" w14:textId="77777777" w:rsidR="00A03991" w:rsidRPr="00A03991" w:rsidRDefault="00A03991" w:rsidP="00A03991">
      <w:pPr>
        <w:rPr>
          <w:rFonts w:ascii="Arial Narrow" w:hAnsi="Arial Narrow"/>
          <w:sz w:val="20"/>
        </w:rPr>
      </w:pPr>
      <w:r w:rsidRPr="00A03991">
        <w:rPr>
          <w:rFonts w:ascii="Arial Narrow" w:hAnsi="Arial Narrow"/>
          <w:sz w:val="20"/>
          <w:vertAlign w:val="superscript"/>
        </w:rPr>
        <w:t>d</w:t>
      </w:r>
      <w:r w:rsidRPr="00A03991">
        <w:rPr>
          <w:rFonts w:ascii="Arial Narrow" w:hAnsi="Arial Narrow"/>
          <w:sz w:val="20"/>
        </w:rPr>
        <w:t xml:space="preserve"> Response rates are reported only for a subset (29/63; 46%) of patients with R/R MCL receiving subsequent treatments after discontinuation of ibrutinib</w:t>
      </w:r>
    </w:p>
    <w:p w14:paraId="0C1CB85E" w14:textId="77777777" w:rsidR="00A03991" w:rsidRDefault="00A03991" w:rsidP="00A03991">
      <w:pPr>
        <w:rPr>
          <w:rFonts w:ascii="Arial Narrow" w:hAnsi="Arial Narrow"/>
          <w:sz w:val="20"/>
        </w:rPr>
        <w:sectPr w:rsidR="00A03991" w:rsidSect="00A03991">
          <w:pgSz w:w="16838" w:h="11906" w:orient="landscape"/>
          <w:pgMar w:top="1440" w:right="1440" w:bottom="1440" w:left="1134" w:header="708" w:footer="708" w:gutter="0"/>
          <w:cols w:space="708"/>
          <w:docGrid w:linePitch="360"/>
        </w:sectPr>
      </w:pPr>
      <w:r w:rsidRPr="00A03991">
        <w:rPr>
          <w:rFonts w:ascii="Arial Narrow" w:hAnsi="Arial Narrow"/>
          <w:sz w:val="20"/>
        </w:rPr>
        <w:t xml:space="preserve">Abbreviations: BTK = Bruton’s tyrosine kinase; CR = complete response, CSR = clinical study report; NR = not reported; ORR = objective response rate (CR + PR); OS = overall survival; PFS = progression-free survival; PR = partial response; </w:t>
      </w:r>
      <w:proofErr w:type="spellStart"/>
      <w:r w:rsidRPr="00A03991">
        <w:rPr>
          <w:rFonts w:ascii="Arial Narrow" w:hAnsi="Arial Narrow"/>
          <w:sz w:val="20"/>
        </w:rPr>
        <w:t>tx</w:t>
      </w:r>
      <w:proofErr w:type="spellEnd"/>
      <w:r w:rsidRPr="00A03991">
        <w:rPr>
          <w:rFonts w:ascii="Arial Narrow" w:hAnsi="Arial Narrow"/>
          <w:sz w:val="20"/>
        </w:rPr>
        <w:t xml:space="preserve"> = treatment</w:t>
      </w:r>
    </w:p>
    <w:p w14:paraId="44D99F14" w14:textId="77777777" w:rsidR="00992109" w:rsidRPr="004036CC" w:rsidRDefault="00992109" w:rsidP="00992109">
      <w:pPr>
        <w:pStyle w:val="Heading4"/>
        <w:spacing w:before="240"/>
        <w:rPr>
          <w:i w:val="0"/>
          <w:iCs w:val="0"/>
          <w:color w:val="auto"/>
        </w:rPr>
      </w:pPr>
      <w:r w:rsidRPr="004036CC">
        <w:rPr>
          <w:i w:val="0"/>
          <w:iCs w:val="0"/>
          <w:color w:val="auto"/>
        </w:rPr>
        <w:lastRenderedPageBreak/>
        <w:t>Comparison of response rates</w:t>
      </w:r>
    </w:p>
    <w:p w14:paraId="6BB88D31" w14:textId="77777777" w:rsidR="00992109" w:rsidRPr="00DA3BC3" w:rsidRDefault="004036CC" w:rsidP="00992109">
      <w:pPr>
        <w:spacing w:after="200"/>
      </w:pPr>
      <w:r>
        <w:t>The application stated that b</w:t>
      </w:r>
      <w:r w:rsidR="00992109" w:rsidRPr="00EA6F1B">
        <w:t>ased on a comparison of the results from ZUMA-2 with the meta-analysis</w:t>
      </w:r>
      <w:r w:rsidR="00992109">
        <w:t xml:space="preserve"> of proportions</w:t>
      </w:r>
      <w:r w:rsidR="00992109" w:rsidRPr="00EA6F1B">
        <w:t xml:space="preserve"> of</w:t>
      </w:r>
      <w:r w:rsidR="00992109">
        <w:t xml:space="preserve"> patients treated with salvage therapy, </w:t>
      </w:r>
      <w:r w:rsidR="00992109" w:rsidRPr="00955F6D">
        <w:t>the likelihood of achieving a</w:t>
      </w:r>
      <w:r w:rsidR="00992109">
        <w:t xml:space="preserve">n objective response, including a </w:t>
      </w:r>
      <w:r w:rsidR="00992109" w:rsidRPr="00955F6D">
        <w:t xml:space="preserve">CR, is </w:t>
      </w:r>
      <w:r w:rsidR="00992109">
        <w:t>more than twice</w:t>
      </w:r>
      <w:r w:rsidR="00992109" w:rsidRPr="00955F6D">
        <w:t xml:space="preserve"> </w:t>
      </w:r>
      <w:r w:rsidR="00992109">
        <w:t>as high in patients treated with brexucabtagene autoleucel than in patients treated</w:t>
      </w:r>
      <w:r w:rsidR="00992109" w:rsidRPr="00DA3BC3">
        <w:t xml:space="preserve"> with salvage therapy</w:t>
      </w:r>
      <w:r w:rsidR="00992109">
        <w:t>:</w:t>
      </w:r>
    </w:p>
    <w:p w14:paraId="220D8338" w14:textId="77777777" w:rsidR="00992109" w:rsidRPr="009F09BF" w:rsidRDefault="00992109" w:rsidP="00992109">
      <w:pPr>
        <w:pStyle w:val="ListParagraph"/>
        <w:numPr>
          <w:ilvl w:val="0"/>
          <w:numId w:val="17"/>
        </w:numPr>
        <w:spacing w:after="200" w:line="259" w:lineRule="auto"/>
        <w:ind w:left="357" w:hanging="357"/>
        <w:contextualSpacing w:val="0"/>
      </w:pPr>
      <w:r>
        <w:t>T</w:t>
      </w:r>
      <w:r w:rsidRPr="00DA3BC3">
        <w:t>he OR</w:t>
      </w:r>
      <w:r>
        <w:t>R</w:t>
      </w:r>
      <w:r w:rsidRPr="00DA3BC3">
        <w:t xml:space="preserve"> observed in the </w:t>
      </w:r>
      <w:r>
        <w:t>intent-to-treat (ITT)</w:t>
      </w:r>
      <w:r w:rsidRPr="00DA3BC3">
        <w:t xml:space="preserve"> population of ZUMA-2 was </w:t>
      </w:r>
      <w:r w:rsidRPr="00DC56D3">
        <w:t>83.8% compared to a weighted average ORR in patients treated with salvage therapy of 40.4%</w:t>
      </w:r>
      <w:r w:rsidRPr="009F09BF">
        <w:rPr>
          <w:b/>
          <w:bCs/>
        </w:rPr>
        <w:t xml:space="preserve"> </w:t>
      </w:r>
      <w:r w:rsidRPr="009F09BF">
        <w:t>(</w:t>
      </w:r>
      <w:r w:rsidR="00DC56D3" w:rsidRPr="00DC56D3">
        <w:t>Figure 2</w:t>
      </w:r>
      <w:r w:rsidRPr="009F09BF">
        <w:t>).</w:t>
      </w:r>
    </w:p>
    <w:p w14:paraId="7B6FBCE7" w14:textId="77777777" w:rsidR="00992109" w:rsidRPr="00DC56D3" w:rsidRDefault="00992109" w:rsidP="00992109">
      <w:pPr>
        <w:pStyle w:val="ListParagraph"/>
        <w:numPr>
          <w:ilvl w:val="0"/>
          <w:numId w:val="17"/>
        </w:numPr>
        <w:spacing w:after="200" w:line="259" w:lineRule="auto"/>
        <w:ind w:left="357" w:hanging="357"/>
        <w:contextualSpacing w:val="0"/>
      </w:pPr>
      <w:r w:rsidRPr="009F09BF">
        <w:t xml:space="preserve">The CR rate observed in the ITT population recruited to the ZUMA-2 was </w:t>
      </w:r>
      <w:r w:rsidRPr="00DC56D3">
        <w:t>59.5% compared to a weighted average CR rate in patients treated with salvage therapy of 24.7% (</w:t>
      </w:r>
      <w:r w:rsidR="00DC56D3" w:rsidRPr="00DC56D3">
        <w:t>Figure 3</w:t>
      </w:r>
      <w:r w:rsidRPr="00DC56D3">
        <w:t>).</w:t>
      </w:r>
    </w:p>
    <w:p w14:paraId="08AEE7A7" w14:textId="77777777" w:rsidR="00992109" w:rsidRPr="004036CC" w:rsidRDefault="004036CC" w:rsidP="004036CC">
      <w:pPr>
        <w:spacing w:after="200"/>
        <w:rPr>
          <w:iCs/>
        </w:rPr>
      </w:pPr>
      <w:r w:rsidRPr="004036CC">
        <w:rPr>
          <w:iCs/>
        </w:rPr>
        <w:t xml:space="preserve">The Commentary noted </w:t>
      </w:r>
      <w:r w:rsidR="00992109" w:rsidRPr="004036CC">
        <w:rPr>
          <w:iCs/>
        </w:rPr>
        <w:t xml:space="preserve">that the forest plot from the single study for brexucabtagene autoleucel (ZUMA-2) overlaps the wide range of CR and ORR forest plots seen for the salvage studies (Figures </w:t>
      </w:r>
      <w:r>
        <w:rPr>
          <w:iCs/>
        </w:rPr>
        <w:t>2</w:t>
      </w:r>
      <w:r w:rsidR="00992109" w:rsidRPr="004036CC">
        <w:rPr>
          <w:iCs/>
        </w:rPr>
        <w:t xml:space="preserve"> and </w:t>
      </w:r>
      <w:r>
        <w:rPr>
          <w:iCs/>
        </w:rPr>
        <w:t>3</w:t>
      </w:r>
      <w:r w:rsidR="00992109" w:rsidRPr="004036CC">
        <w:rPr>
          <w:iCs/>
        </w:rPr>
        <w:t xml:space="preserve">). </w:t>
      </w:r>
      <w:proofErr w:type="gramStart"/>
      <w:r w:rsidR="00992109" w:rsidRPr="004036CC">
        <w:rPr>
          <w:iCs/>
        </w:rPr>
        <w:t>In particular, there</w:t>
      </w:r>
      <w:proofErr w:type="gramEnd"/>
      <w:r w:rsidR="00992109" w:rsidRPr="004036CC">
        <w:rPr>
          <w:iCs/>
        </w:rPr>
        <w:t xml:space="preserve"> is no significant difference in CR and ORR when ZUMA-2 is compared to the </w:t>
      </w:r>
      <w:proofErr w:type="spellStart"/>
      <w:r w:rsidR="00992109" w:rsidRPr="004036CC">
        <w:rPr>
          <w:iCs/>
        </w:rPr>
        <w:t>Srour</w:t>
      </w:r>
      <w:proofErr w:type="spellEnd"/>
      <w:r w:rsidR="00992109" w:rsidRPr="004036CC">
        <w:rPr>
          <w:iCs/>
        </w:rPr>
        <w:t xml:space="preserve"> et al. (2018), McCulloch et al (2020) and </w:t>
      </w:r>
      <w:proofErr w:type="spellStart"/>
      <w:r w:rsidR="00992109" w:rsidRPr="004036CC">
        <w:rPr>
          <w:iCs/>
        </w:rPr>
        <w:t>Regny</w:t>
      </w:r>
      <w:proofErr w:type="spellEnd"/>
      <w:r w:rsidR="00992109" w:rsidRPr="004036CC">
        <w:rPr>
          <w:iCs/>
        </w:rPr>
        <w:t xml:space="preserve"> et al. (2019; for ORR) studies. These studies all used rituximab-based salvage therapies. Given the degree of overlap between the ZUMA-2 study and these three studies, </w:t>
      </w:r>
      <w:r>
        <w:rPr>
          <w:iCs/>
        </w:rPr>
        <w:t xml:space="preserve">the Commentary considered </w:t>
      </w:r>
      <w:r w:rsidR="00992109" w:rsidRPr="004036CC">
        <w:rPr>
          <w:iCs/>
        </w:rPr>
        <w:t>it has not been conclusively shown that the response rate to brexucabtagene autoleucel therapy is superior to all rituximab-based salvage therapies.</w:t>
      </w:r>
    </w:p>
    <w:p w14:paraId="38F99D5A" w14:textId="77777777" w:rsidR="00992109" w:rsidRPr="00E74B11" w:rsidRDefault="00992109" w:rsidP="00992109">
      <w:pPr>
        <w:pStyle w:val="Caption"/>
      </w:pPr>
      <w:bookmarkStart w:id="12" w:name="_Ref63774605"/>
      <w:bookmarkStart w:id="13" w:name="_Toc68685814"/>
      <w:bookmarkStart w:id="14" w:name="_Toc63557224"/>
      <w:r w:rsidRPr="007254C3">
        <w:t xml:space="preserve">Figure </w:t>
      </w:r>
      <w:bookmarkEnd w:id="12"/>
      <w:r w:rsidR="004036CC">
        <w:t>2</w:t>
      </w:r>
      <w:r w:rsidRPr="007254C3">
        <w:t>:</w:t>
      </w:r>
      <w:r w:rsidRPr="007254C3">
        <w:tab/>
      </w:r>
      <w:r>
        <w:t>Comparison of ORR for brexucabtagene autoleucel and salvage therapy</w:t>
      </w:r>
      <w:bookmarkEnd w:id="13"/>
      <w:r>
        <w:t xml:space="preserve"> </w:t>
      </w:r>
      <w:bookmarkEnd w:id="14"/>
    </w:p>
    <w:p w14:paraId="5B165B90" w14:textId="77777777" w:rsidR="00992109" w:rsidRDefault="00992109" w:rsidP="00992109">
      <w:r w:rsidRPr="00EC7437">
        <w:rPr>
          <w:noProof/>
        </w:rPr>
        <w:drawing>
          <wp:inline distT="0" distB="0" distL="0" distR="0" wp14:anchorId="06198425" wp14:editId="364ED639">
            <wp:extent cx="5727700" cy="2263140"/>
            <wp:effectExtent l="0" t="0" r="6350" b="3810"/>
            <wp:docPr id="31" name="Picture 31" descr="Comparison of ORR for brexucabtagene autoleucel and salvage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omparison of ORR for brexucabtagene autoleucel and salvage therapy "/>
                    <pic:cNvPicPr/>
                  </pic:nvPicPr>
                  <pic:blipFill>
                    <a:blip r:embed="rId16"/>
                    <a:stretch>
                      <a:fillRect/>
                    </a:stretch>
                  </pic:blipFill>
                  <pic:spPr>
                    <a:xfrm>
                      <a:off x="0" y="0"/>
                      <a:ext cx="5727700" cy="2263140"/>
                    </a:xfrm>
                    <a:prstGeom prst="rect">
                      <a:avLst/>
                    </a:prstGeom>
                  </pic:spPr>
                </pic:pic>
              </a:graphicData>
            </a:graphic>
          </wp:inline>
        </w:drawing>
      </w:r>
    </w:p>
    <w:p w14:paraId="03C3834D" w14:textId="77777777" w:rsidR="00992109" w:rsidRPr="00E54111" w:rsidRDefault="00992109" w:rsidP="00992109">
      <w:pPr>
        <w:pStyle w:val="Caption"/>
      </w:pPr>
      <w:bookmarkStart w:id="15" w:name="_Ref63356069"/>
      <w:bookmarkStart w:id="16" w:name="_Toc63557225"/>
      <w:bookmarkStart w:id="17" w:name="_Toc68685815"/>
      <w:r w:rsidRPr="007254C3">
        <w:t xml:space="preserve">Figure </w:t>
      </w:r>
      <w:bookmarkEnd w:id="15"/>
      <w:r w:rsidR="004036CC">
        <w:t>3</w:t>
      </w:r>
      <w:r w:rsidRPr="007254C3">
        <w:t>:</w:t>
      </w:r>
      <w:r w:rsidRPr="007254C3">
        <w:tab/>
      </w:r>
      <w:r>
        <w:t>Comparison of CR rates for brexucabtagene autoleucel and salvage therapy</w:t>
      </w:r>
      <w:bookmarkEnd w:id="16"/>
      <w:bookmarkEnd w:id="17"/>
    </w:p>
    <w:p w14:paraId="7E90C83B" w14:textId="77777777" w:rsidR="00992109" w:rsidRDefault="00992109" w:rsidP="00992109">
      <w:r w:rsidRPr="00E54111">
        <w:rPr>
          <w:noProof/>
        </w:rPr>
        <w:drawing>
          <wp:inline distT="0" distB="0" distL="0" distR="0" wp14:anchorId="44869BC4" wp14:editId="7B74B27D">
            <wp:extent cx="5727700" cy="2151380"/>
            <wp:effectExtent l="0" t="0" r="6350" b="1270"/>
            <wp:docPr id="222471424" name="Picture 222471424" descr="Comparison of CR rates for brexucabtagene autoleucel and salvage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71424" name="Picture 222471424" descr="Comparison of CR rates for brexucabtagene autoleucel and salvage therapy"/>
                    <pic:cNvPicPr/>
                  </pic:nvPicPr>
                  <pic:blipFill>
                    <a:blip r:embed="rId17"/>
                    <a:stretch>
                      <a:fillRect/>
                    </a:stretch>
                  </pic:blipFill>
                  <pic:spPr>
                    <a:xfrm>
                      <a:off x="0" y="0"/>
                      <a:ext cx="5727700" cy="2151380"/>
                    </a:xfrm>
                    <a:prstGeom prst="rect">
                      <a:avLst/>
                    </a:prstGeom>
                  </pic:spPr>
                </pic:pic>
              </a:graphicData>
            </a:graphic>
          </wp:inline>
        </w:drawing>
      </w:r>
    </w:p>
    <w:p w14:paraId="135E8688" w14:textId="0AEE92B7" w:rsidR="00FF3C5D" w:rsidRPr="004036CC" w:rsidRDefault="004036CC" w:rsidP="004036CC">
      <w:pPr>
        <w:rPr>
          <w:iCs/>
        </w:rPr>
      </w:pPr>
      <w:r w:rsidRPr="004036CC">
        <w:rPr>
          <w:iCs/>
        </w:rPr>
        <w:lastRenderedPageBreak/>
        <w:t>The application stated</w:t>
      </w:r>
      <w:r w:rsidR="00992109" w:rsidRPr="004036CC">
        <w:rPr>
          <w:iCs/>
        </w:rPr>
        <w:t xml:space="preserve"> that, “it is important to recognise that the nature of response is not necessarily consistent across studies. Responses may be deeper and more durable with one treatment compared with another.”</w:t>
      </w:r>
      <w:r>
        <w:rPr>
          <w:iCs/>
        </w:rPr>
        <w:t xml:space="preserve"> The Commentary noted that</w:t>
      </w:r>
      <w:r w:rsidR="00992109" w:rsidRPr="004036CC">
        <w:rPr>
          <w:iCs/>
        </w:rPr>
        <w:t xml:space="preserve"> the ADAR reports on CR and ORR but not on </w:t>
      </w:r>
      <w:r w:rsidR="00FB0E2E">
        <w:rPr>
          <w:iCs/>
        </w:rPr>
        <w:t>duration of response (</w:t>
      </w:r>
      <w:r w:rsidR="00992109" w:rsidRPr="004036CC">
        <w:rPr>
          <w:iCs/>
        </w:rPr>
        <w:t>DOR</w:t>
      </w:r>
      <w:r w:rsidR="00FB0E2E">
        <w:rPr>
          <w:iCs/>
        </w:rPr>
        <w:t>)</w:t>
      </w:r>
      <w:r w:rsidR="00992109" w:rsidRPr="004036CC">
        <w:rPr>
          <w:iCs/>
        </w:rPr>
        <w:t>. A naïve comparison of DOR conducted during evaluation suggests that in patients who respond to treatment, brexucabtagene autoleucel may induce a more enduring response than salvage therapies. However, the limited size of the evidence base, as well as the</w:t>
      </w:r>
      <w:r w:rsidR="00403B3F">
        <w:rPr>
          <w:iCs/>
        </w:rPr>
        <w:t xml:space="preserve"> short </w:t>
      </w:r>
      <w:r w:rsidR="00392377">
        <w:rPr>
          <w:iCs/>
        </w:rPr>
        <w:t xml:space="preserve">follow-up </w:t>
      </w:r>
      <w:r w:rsidR="00992109" w:rsidRPr="004036CC">
        <w:rPr>
          <w:iCs/>
        </w:rPr>
        <w:t>of the data from ZUMA-2, indicate that the results are not sufficiently robust to draw any definitive conclusions about the size of the effect.</w:t>
      </w:r>
    </w:p>
    <w:p w14:paraId="2C5BD611" w14:textId="77777777" w:rsidR="00992109" w:rsidRPr="00FB0E2E" w:rsidRDefault="00992109" w:rsidP="00992109">
      <w:pPr>
        <w:pStyle w:val="Heading4"/>
        <w:spacing w:before="240"/>
        <w:rPr>
          <w:i w:val="0"/>
          <w:iCs w:val="0"/>
          <w:color w:val="auto"/>
        </w:rPr>
      </w:pPr>
      <w:r w:rsidRPr="00FB0E2E">
        <w:rPr>
          <w:i w:val="0"/>
          <w:iCs w:val="0"/>
          <w:color w:val="auto"/>
        </w:rPr>
        <w:t>Comparison of PFS outcomes</w:t>
      </w:r>
    </w:p>
    <w:p w14:paraId="5A3008AA" w14:textId="77777777" w:rsidR="00992109" w:rsidRDefault="00992109" w:rsidP="00992109">
      <w:pPr>
        <w:spacing w:after="200"/>
      </w:pPr>
      <w:r>
        <w:t>The Kaplan-Meier PFS plot for brexucabtagene autoleucel as reported in the ZUMA-2 study is compared to the pooled Kaplan-Meier PFS plot for salvage therapy in</w:t>
      </w:r>
      <w:r w:rsidR="00FB0E2E">
        <w:t xml:space="preserve"> Figure 4</w:t>
      </w:r>
      <w:r>
        <w:t>.</w:t>
      </w:r>
    </w:p>
    <w:p w14:paraId="7FC94E53" w14:textId="77777777" w:rsidR="00992109" w:rsidRDefault="00992109" w:rsidP="00992109">
      <w:pPr>
        <w:spacing w:after="200"/>
      </w:pPr>
      <w:r>
        <w:t xml:space="preserve">The median PFS in patients in the ZUMA-2 study was </w:t>
      </w:r>
      <w:r w:rsidRPr="00DC56D3">
        <w:t>16.2 months, in contrast, the median PFS in the pooled analysis of patients treated with salvage therapy was 9.3 months (McCulloch et al. 2020a and Eyre et al. 2019), signifying a PFS gain of 6.9 months</w:t>
      </w:r>
      <w:r>
        <w:t xml:space="preserve"> for patients treated with brexucabtagene autoleucel.</w:t>
      </w:r>
    </w:p>
    <w:p w14:paraId="68CECDEC" w14:textId="77777777" w:rsidR="00992109" w:rsidRDefault="00FB0E2E" w:rsidP="00992109">
      <w:pPr>
        <w:spacing w:after="200"/>
      </w:pPr>
      <w:r>
        <w:t>The application stated that a</w:t>
      </w:r>
      <w:r w:rsidR="00992109" w:rsidRPr="00F75183">
        <w:t xml:space="preserve">lthough there are limitations associated with a comparison based on single arm studies, the </w:t>
      </w:r>
      <w:r w:rsidR="00992109">
        <w:t xml:space="preserve">substantial magnitude of the </w:t>
      </w:r>
      <w:r w:rsidR="00992109" w:rsidRPr="00F75183">
        <w:t xml:space="preserve">difference </w:t>
      </w:r>
      <w:r w:rsidR="00992109">
        <w:t xml:space="preserve">means that the difference </w:t>
      </w:r>
      <w:r w:rsidR="00992109" w:rsidRPr="00F75183">
        <w:t xml:space="preserve">is </w:t>
      </w:r>
      <w:r w:rsidR="00992109">
        <w:t xml:space="preserve">highly </w:t>
      </w:r>
      <w:r w:rsidR="00992109" w:rsidRPr="00F75183">
        <w:t>unlikely to be due to confounding</w:t>
      </w:r>
      <w:r w:rsidR="00992109">
        <w:t>. I</w:t>
      </w:r>
      <w:r w:rsidR="00992109" w:rsidRPr="00F75183">
        <w:t xml:space="preserve">t </w:t>
      </w:r>
      <w:r w:rsidR="00992109">
        <w:t xml:space="preserve">is therefore </w:t>
      </w:r>
      <w:r w:rsidR="00992109" w:rsidRPr="00F75183">
        <w:t>clear that brexucabtagene autoleucel is superior to salvage therapy in terms of PFS outcomes.</w:t>
      </w:r>
    </w:p>
    <w:p w14:paraId="60BEB5AB" w14:textId="77777777" w:rsidR="00992109" w:rsidRPr="00FB0E2E" w:rsidRDefault="00FB0E2E" w:rsidP="00FB0E2E">
      <w:pPr>
        <w:rPr>
          <w:iCs/>
        </w:rPr>
      </w:pPr>
      <w:r>
        <w:rPr>
          <w:iCs/>
        </w:rPr>
        <w:t xml:space="preserve">The Commentary </w:t>
      </w:r>
      <w:r w:rsidR="00DC56D3">
        <w:rPr>
          <w:iCs/>
        </w:rPr>
        <w:t>considered</w:t>
      </w:r>
      <w:r>
        <w:rPr>
          <w:iCs/>
        </w:rPr>
        <w:t xml:space="preserve"> that a</w:t>
      </w:r>
      <w:r w:rsidR="00992109" w:rsidRPr="00FB0E2E">
        <w:rPr>
          <w:iCs/>
        </w:rPr>
        <w:t>lthough the results are suggestive of a longer PFS with brexucabtagene autoleucel compared with salvage therapy, no definitive conclusions about the size of the effect can be made due to limited evidence base for both brexucabtagene autoleucel and salvage therapies. These results are also likely to be confounded due to the worse prognosis of patients in the two salvage therapy studies reporting PFS Kaplan-Meier curves with respect to the proportion of patients with ECOG 2-4 scores (20% and 45% vs 0% for ZUMA-2) and high risk MIPI scores (39% and 55% vs 13% for ZUMA-2).</w:t>
      </w:r>
    </w:p>
    <w:p w14:paraId="0F4C4049" w14:textId="77777777" w:rsidR="00992109" w:rsidRPr="00FC1EF9" w:rsidRDefault="00992109" w:rsidP="00A03991">
      <w:pPr>
        <w:pStyle w:val="Caption"/>
        <w:spacing w:before="240"/>
      </w:pPr>
      <w:bookmarkStart w:id="18" w:name="_Ref63363124"/>
      <w:bookmarkStart w:id="19" w:name="_Toc63557226"/>
      <w:bookmarkStart w:id="20" w:name="_Toc68685816"/>
      <w:r w:rsidRPr="007254C3">
        <w:t xml:space="preserve">Figure </w:t>
      </w:r>
      <w:bookmarkEnd w:id="18"/>
      <w:r w:rsidR="00FB0E2E">
        <w:t>4</w:t>
      </w:r>
      <w:r w:rsidRPr="007254C3">
        <w:t>:</w:t>
      </w:r>
      <w:r w:rsidRPr="007254C3">
        <w:tab/>
      </w:r>
      <w:r>
        <w:t xml:space="preserve">Comparison of pooled Kaplan-Meier PFS function for salvage therapy with the Kaplan-Meier PFS function for brexucabtagene autoleucel as observed in the ZUMA-2 </w:t>
      </w:r>
      <w:proofErr w:type="gramStart"/>
      <w:r>
        <w:t>study</w:t>
      </w:r>
      <w:bookmarkEnd w:id="19"/>
      <w:bookmarkEnd w:id="20"/>
      <w:proofErr w:type="gramEnd"/>
    </w:p>
    <w:p w14:paraId="7B4AD7DB" w14:textId="77777777" w:rsidR="00992109" w:rsidRDefault="00992109" w:rsidP="00992109">
      <w:pPr>
        <w:jc w:val="center"/>
      </w:pPr>
      <w:r w:rsidRPr="00497398">
        <w:rPr>
          <w:noProof/>
        </w:rPr>
        <w:drawing>
          <wp:inline distT="0" distB="0" distL="0" distR="0" wp14:anchorId="0EFA36B1" wp14:editId="43C359F8">
            <wp:extent cx="5288998" cy="3086100"/>
            <wp:effectExtent l="0" t="0" r="6985" b="0"/>
            <wp:docPr id="46" name="Picture 46" descr="Comparison of pooled Kaplan-Meier PFS function for salvage therapy with the Kaplan-Meier PFS function for brexucabtagene autoleucel as observed in the ZUMA-2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omparison of pooled Kaplan-Meier PFS function for salvage therapy with the Kaplan-Meier PFS function for brexucabtagene autoleucel as observed in the ZUMA-2 study"/>
                    <pic:cNvPicPr/>
                  </pic:nvPicPr>
                  <pic:blipFill>
                    <a:blip r:embed="rId18"/>
                    <a:stretch>
                      <a:fillRect/>
                    </a:stretch>
                  </pic:blipFill>
                  <pic:spPr>
                    <a:xfrm>
                      <a:off x="0" y="0"/>
                      <a:ext cx="5304732" cy="3095281"/>
                    </a:xfrm>
                    <a:prstGeom prst="rect">
                      <a:avLst/>
                    </a:prstGeom>
                  </pic:spPr>
                </pic:pic>
              </a:graphicData>
            </a:graphic>
          </wp:inline>
        </w:drawing>
      </w:r>
    </w:p>
    <w:p w14:paraId="0147D443" w14:textId="77777777" w:rsidR="00992109" w:rsidRPr="00FB0E2E" w:rsidRDefault="00992109" w:rsidP="00992109">
      <w:pPr>
        <w:pStyle w:val="Tablenotes0"/>
      </w:pPr>
      <w:r w:rsidRPr="00FB0E2E">
        <w:t>The pooled PFS curve was estimated from the data provided in McCulloch et al. (2020a) and Eyre et al. (2019).</w:t>
      </w:r>
    </w:p>
    <w:p w14:paraId="3BA6D0CD" w14:textId="77777777" w:rsidR="00992109" w:rsidRPr="00FB0E2E" w:rsidRDefault="00992109" w:rsidP="00992109">
      <w:pPr>
        <w:pStyle w:val="Heading4"/>
        <w:spacing w:before="240"/>
        <w:rPr>
          <w:i w:val="0"/>
          <w:iCs w:val="0"/>
          <w:color w:val="auto"/>
        </w:rPr>
      </w:pPr>
      <w:r w:rsidRPr="00FB0E2E">
        <w:rPr>
          <w:i w:val="0"/>
          <w:iCs w:val="0"/>
          <w:color w:val="auto"/>
        </w:rPr>
        <w:lastRenderedPageBreak/>
        <w:t>Comparison of OS outcomes</w:t>
      </w:r>
    </w:p>
    <w:p w14:paraId="09A526BD" w14:textId="77777777" w:rsidR="00992109" w:rsidRDefault="00992109" w:rsidP="00992109">
      <w:pPr>
        <w:spacing w:after="200"/>
      </w:pPr>
      <w:r>
        <w:t xml:space="preserve">The Kaplan-Meier OS function for brexucabtagene autoleucel as reported in ZUMA-2 is compared with the </w:t>
      </w:r>
      <w:r w:rsidRPr="00533725">
        <w:t xml:space="preserve">pooled Kaplan-Meier OS function for salvage therapy </w:t>
      </w:r>
      <w:r>
        <w:t>in</w:t>
      </w:r>
      <w:r w:rsidR="001910F9">
        <w:t xml:space="preserve"> Figure 5</w:t>
      </w:r>
      <w:r>
        <w:t xml:space="preserve">. Median OS in patients treated with salvage therapy </w:t>
      </w:r>
      <w:r w:rsidRPr="001910F9">
        <w:t xml:space="preserve">from 5 studies </w:t>
      </w:r>
      <w:r>
        <w:t xml:space="preserve">in the pooled analysis is approximately </w:t>
      </w:r>
      <w:r w:rsidRPr="001910F9">
        <w:t>10 months whereas for patients treated with brexucabtagene autoleucel in the ZUMA-2 study, the median OS has not been reached</w:t>
      </w:r>
      <w:r>
        <w:rPr>
          <w:b/>
          <w:bCs/>
        </w:rPr>
        <w:t xml:space="preserve"> </w:t>
      </w:r>
      <w:r>
        <w:t>despite a median follow-up of 16.5</w:t>
      </w:r>
      <w:r w:rsidR="001910F9">
        <w:t> </w:t>
      </w:r>
      <w:r>
        <w:t>months, noting that the first 28 (47%) patients treated had at least 24 months follow-up with a median follow-up of 27.0 months.</w:t>
      </w:r>
    </w:p>
    <w:p w14:paraId="1FCBCC92" w14:textId="77777777" w:rsidR="00992109" w:rsidRDefault="001910F9" w:rsidP="00992109">
      <w:pPr>
        <w:spacing w:after="200"/>
      </w:pPr>
      <w:r>
        <w:t>The application stated that a</w:t>
      </w:r>
      <w:r w:rsidR="00992109">
        <w:t>s the median OS has not been reached for patients treated with brexucabtagene autoleucel in the ZUMA-2 study, it is not possible to ascertain the exact magnitude of difference in the median OS for brexucabtagene autoleucel versus salvage therapy however, the evidence indicating a large survival advantage for brexucabtagene autoleucel is compelling.</w:t>
      </w:r>
    </w:p>
    <w:p w14:paraId="6873C172" w14:textId="77777777" w:rsidR="00992109" w:rsidRDefault="001910F9" w:rsidP="00992109">
      <w:pPr>
        <w:spacing w:after="200"/>
      </w:pPr>
      <w:r>
        <w:t>The application claimed that</w:t>
      </w:r>
      <w:r w:rsidR="00992109">
        <w:t xml:space="preserve"> brexucabtagene autoleucel is superior to salvage therapy in terms of OS outcomes and that treatment with brexucabtagene autoleucel results in survival outcomes that are unprecedented in this population.</w:t>
      </w:r>
    </w:p>
    <w:p w14:paraId="3BD12C66" w14:textId="77777777" w:rsidR="00992109" w:rsidRPr="00FC1EF9" w:rsidRDefault="00992109" w:rsidP="00992109">
      <w:pPr>
        <w:pStyle w:val="Caption"/>
      </w:pPr>
      <w:bookmarkStart w:id="21" w:name="_Ref63363491"/>
      <w:bookmarkStart w:id="22" w:name="_Toc63557227"/>
      <w:bookmarkStart w:id="23" w:name="_Toc68685817"/>
      <w:r w:rsidRPr="007254C3">
        <w:t xml:space="preserve">Figure </w:t>
      </w:r>
      <w:bookmarkEnd w:id="21"/>
      <w:r w:rsidR="001910F9">
        <w:t>5</w:t>
      </w:r>
      <w:r w:rsidRPr="007254C3">
        <w:t>:</w:t>
      </w:r>
      <w:r w:rsidRPr="007254C3">
        <w:tab/>
      </w:r>
      <w:r>
        <w:t xml:space="preserve">Comparison of pooled Kaplan-Meier OS function for salvage therapy with the Kaplan-Meier OS function for brexucabtagene autoleucel as observed in the ZUMA-2 </w:t>
      </w:r>
      <w:proofErr w:type="gramStart"/>
      <w:r>
        <w:t>study</w:t>
      </w:r>
      <w:bookmarkEnd w:id="22"/>
      <w:bookmarkEnd w:id="23"/>
      <w:proofErr w:type="gramEnd"/>
    </w:p>
    <w:p w14:paraId="62A113CD" w14:textId="77777777" w:rsidR="00992109" w:rsidRDefault="00992109" w:rsidP="00992109">
      <w:r>
        <w:rPr>
          <w:noProof/>
        </w:rPr>
        <w:drawing>
          <wp:inline distT="0" distB="0" distL="0" distR="0" wp14:anchorId="11D3B7BA" wp14:editId="6EF6AF83">
            <wp:extent cx="5711145" cy="3114675"/>
            <wp:effectExtent l="0" t="0" r="4445" b="0"/>
            <wp:docPr id="49" name="Picture 49" descr="Comparison of pooled Kaplan-Meier OS function for salvage therapy with the Kaplan-Meier OS function for brexucabtagene autoleucel as observed in the ZUMA-2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omparison of pooled Kaplan-Meier OS function for salvage therapy with the Kaplan-Meier OS function for brexucabtagene autoleucel as observed in the ZUMA-2 stud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1782" cy="3120476"/>
                    </a:xfrm>
                    <a:prstGeom prst="rect">
                      <a:avLst/>
                    </a:prstGeom>
                    <a:noFill/>
                  </pic:spPr>
                </pic:pic>
              </a:graphicData>
            </a:graphic>
          </wp:inline>
        </w:drawing>
      </w:r>
    </w:p>
    <w:p w14:paraId="58819C01" w14:textId="1F0A97D4" w:rsidR="00992109" w:rsidRDefault="00992109" w:rsidP="00992109">
      <w:pPr>
        <w:pStyle w:val="Tablenotes0"/>
      </w:pPr>
      <w:r w:rsidRPr="001910F9">
        <w:t>The pooled OS curve was estimated from the data provided in McCulloch et al. (2020a), Eyre et al. (2019), Jain et al (2018a), Jain et al. (2018b) and Martin et al. (2016)</w:t>
      </w:r>
    </w:p>
    <w:p w14:paraId="7F4AA7DA" w14:textId="77777777" w:rsidR="00992109" w:rsidRPr="001910F9" w:rsidRDefault="001910F9" w:rsidP="001910F9">
      <w:pPr>
        <w:rPr>
          <w:iCs/>
        </w:rPr>
      </w:pPr>
      <w:r w:rsidRPr="001910F9">
        <w:rPr>
          <w:iCs/>
        </w:rPr>
        <w:t>The Commentary considered that a</w:t>
      </w:r>
      <w:r w:rsidR="00992109" w:rsidRPr="001910F9">
        <w:rPr>
          <w:iCs/>
        </w:rPr>
        <w:t xml:space="preserve">lthough the naïve comparison of the Kaplan-Meier curves for salvage therapies compared with brexucabtagene autoleucel (Figure </w:t>
      </w:r>
      <w:r w:rsidR="009F3FB3">
        <w:rPr>
          <w:iCs/>
        </w:rPr>
        <w:t>6</w:t>
      </w:r>
      <w:r w:rsidR="00992109" w:rsidRPr="001910F9">
        <w:rPr>
          <w:iCs/>
        </w:rPr>
        <w:t xml:space="preserve">) indicate that patients treated with brexucabtagene autoleucel are likely to survive longer than patients treated with salvage therapies, no definitive conclusions about the size of the effect can be made as the evidence for brexucabtagene autoleucel relies on a small single-arm study. </w:t>
      </w:r>
    </w:p>
    <w:p w14:paraId="6E166010" w14:textId="7D7F3A10" w:rsidR="00992109" w:rsidRPr="001910F9" w:rsidRDefault="00992109" w:rsidP="009F3FB3">
      <w:pPr>
        <w:spacing w:before="240" w:after="200"/>
        <w:rPr>
          <w:iCs/>
        </w:rPr>
      </w:pPr>
      <w:r w:rsidRPr="001910F9">
        <w:rPr>
          <w:iCs/>
        </w:rPr>
        <w:t>Additionally, there is a lack of transitivity between the population enrolled in the ZUMA-2 study and those enrolled in the salvage therapy studies, plus the unknown applicability of the salvage therapies to the Australian setting, indicate that the results are likely subject to confounding and/or bias.</w:t>
      </w:r>
    </w:p>
    <w:p w14:paraId="6B70280B" w14:textId="77777777" w:rsidR="00992109" w:rsidRPr="009F3FB3" w:rsidRDefault="00992109" w:rsidP="00992109">
      <w:pPr>
        <w:pStyle w:val="TableHeading0"/>
        <w:keepNext/>
        <w:rPr>
          <w:iCs/>
        </w:rPr>
      </w:pPr>
      <w:r w:rsidRPr="009F3FB3">
        <w:rPr>
          <w:iCs/>
        </w:rPr>
        <w:lastRenderedPageBreak/>
        <w:t xml:space="preserve">Figure </w:t>
      </w:r>
      <w:r w:rsidR="009F3FB3" w:rsidRPr="009F3FB3">
        <w:rPr>
          <w:iCs/>
        </w:rPr>
        <w:t>6</w:t>
      </w:r>
      <w:r w:rsidRPr="009F3FB3">
        <w:rPr>
          <w:iCs/>
        </w:rPr>
        <w:tab/>
        <w:t xml:space="preserve">Kaplan-Meier curve comparing the OS for the ZUMA-2 and five salvage therapy </w:t>
      </w:r>
      <w:proofErr w:type="gramStart"/>
      <w:r w:rsidRPr="009F3FB3">
        <w:rPr>
          <w:iCs/>
        </w:rPr>
        <w:t>studies</w:t>
      </w:r>
      <w:proofErr w:type="gramEnd"/>
    </w:p>
    <w:p w14:paraId="48BD0CEE" w14:textId="77777777" w:rsidR="00992109" w:rsidRDefault="00992109" w:rsidP="00992109">
      <w:pPr>
        <w:jc w:val="center"/>
        <w:rPr>
          <w:i/>
        </w:rPr>
      </w:pPr>
      <w:r>
        <w:rPr>
          <w:i/>
          <w:noProof/>
        </w:rPr>
        <w:drawing>
          <wp:inline distT="0" distB="0" distL="0" distR="0" wp14:anchorId="54CB75D7" wp14:editId="1C74A5D5">
            <wp:extent cx="4645175" cy="2981325"/>
            <wp:effectExtent l="0" t="0" r="3175" b="0"/>
            <wp:docPr id="222471428" name="Picture 222471428" descr="Kaplan-Meier curves for OS for the ZUMA-2 study compared with the Kaplan-Meier curves for five salvage therapy studies. For the first 6-7 months, the Kaplan-Meier curves for the  ZUMA-2 study overlaps with the Kaplan-Meier curves for three of the salvage therapy studies (McCulloch et al 2020a; Jain et al. 2018a; Jain et al. 2018b)." title="Kaplan-Meier curve comparing the OS for the ZUMA-2 and five salvage therapy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a:stretch/>
                  </pic:blipFill>
                  <pic:spPr bwMode="auto">
                    <a:xfrm>
                      <a:off x="0" y="0"/>
                      <a:ext cx="4801678" cy="3081770"/>
                    </a:xfrm>
                    <a:prstGeom prst="rect">
                      <a:avLst/>
                    </a:prstGeom>
                    <a:noFill/>
                    <a:ln>
                      <a:noFill/>
                    </a:ln>
                    <a:extLst>
                      <a:ext uri="{53640926-AAD7-44D8-BBD7-CCE9431645EC}">
                        <a14:shadowObscured xmlns:a14="http://schemas.microsoft.com/office/drawing/2010/main"/>
                      </a:ext>
                    </a:extLst>
                  </pic:spPr>
                </pic:pic>
              </a:graphicData>
            </a:graphic>
          </wp:inline>
        </w:drawing>
      </w:r>
    </w:p>
    <w:p w14:paraId="17A5E5B3" w14:textId="77777777" w:rsidR="00992109" w:rsidRPr="009F3FB3" w:rsidRDefault="00992109" w:rsidP="009F3FB3">
      <w:pPr>
        <w:pStyle w:val="Heading4"/>
        <w:spacing w:before="240"/>
        <w:rPr>
          <w:i w:val="0"/>
          <w:iCs w:val="0"/>
          <w:color w:val="auto"/>
        </w:rPr>
      </w:pPr>
      <w:r w:rsidRPr="009F3FB3">
        <w:rPr>
          <w:i w:val="0"/>
          <w:iCs w:val="0"/>
          <w:color w:val="auto"/>
        </w:rPr>
        <w:t>Comparison of OS by response – brexucabtagene autoleucel vs salvage therapy</w:t>
      </w:r>
    </w:p>
    <w:p w14:paraId="5269B255" w14:textId="77777777" w:rsidR="00992109" w:rsidRDefault="00992109" w:rsidP="00992109">
      <w:pPr>
        <w:spacing w:after="200"/>
      </w:pPr>
      <w:r>
        <w:t xml:space="preserve">The </w:t>
      </w:r>
      <w:r w:rsidR="009F3FB3">
        <w:t xml:space="preserve">application stated that the </w:t>
      </w:r>
      <w:r>
        <w:t xml:space="preserve">comparison of response rates presented earlier is incomplete without a parallel consideration of the depth and duration of response. To provide insight into the depth and duration of response with brexucabtagene autoleucel compared with salvage therapy </w:t>
      </w:r>
      <w:r w:rsidR="009F3FB3">
        <w:t xml:space="preserve">the application presented </w:t>
      </w:r>
      <w:r>
        <w:t>a comparison of OS by response.</w:t>
      </w:r>
    </w:p>
    <w:p w14:paraId="3BEB4A76" w14:textId="77777777" w:rsidR="00992109" w:rsidRDefault="009F3FB3" w:rsidP="00992109">
      <w:pPr>
        <w:spacing w:after="200"/>
      </w:pPr>
      <w:r>
        <w:t xml:space="preserve">Figure 7 </w:t>
      </w:r>
      <w:r w:rsidR="00992109">
        <w:t xml:space="preserve">shows OS by response as observed for patients treated with brexucabtagene autoleucel in the ZUMA-2 study. </w:t>
      </w:r>
      <w:r>
        <w:t>The application stated that</w:t>
      </w:r>
      <w:r w:rsidR="00992109">
        <w:t xml:space="preserve"> the pattern of survival is dramatically different in patients achieving an objective response to brexucabtagene autoleucel versus non-response, particularly for those that achieve a CR.</w:t>
      </w:r>
    </w:p>
    <w:p w14:paraId="4C9453B4" w14:textId="77777777" w:rsidR="00992109" w:rsidRDefault="009F3FB3" w:rsidP="00992109">
      <w:pPr>
        <w:spacing w:after="200"/>
      </w:pPr>
      <w:r>
        <w:t>The application stated that a</w:t>
      </w:r>
      <w:r w:rsidR="00992109">
        <w:t xml:space="preserve"> key assumption underpinning the Kaplan-Meier approach is </w:t>
      </w:r>
      <w:r w:rsidR="00992109" w:rsidRPr="001E2344">
        <w:t xml:space="preserve">that patients who are censored </w:t>
      </w:r>
      <w:r w:rsidR="00992109">
        <w:t xml:space="preserve">from analysis </w:t>
      </w:r>
      <w:r w:rsidR="00992109" w:rsidRPr="001E2344">
        <w:t xml:space="preserve">have the same survival prospects as those </w:t>
      </w:r>
      <w:r w:rsidR="00992109">
        <w:t xml:space="preserve">who have been followed to the equivalent time point. In the case of ZUMA-2, there is potential violation of this assumption because the majority of patients censored from analysis are patients achieving CR </w:t>
      </w:r>
      <w:proofErr w:type="gramStart"/>
      <w:r w:rsidR="00992109">
        <w:t>and,</w:t>
      </w:r>
      <w:proofErr w:type="gramEnd"/>
      <w:r w:rsidR="00992109">
        <w:t xml:space="preserve"> as shown in</w:t>
      </w:r>
      <w:r>
        <w:t xml:space="preserve"> Figure 7</w:t>
      </w:r>
      <w:r w:rsidR="00992109">
        <w:t>, OS in patients achieving CR is systematically different than in those not achieving CR. The Kaplan-Meier estimates for all patients treated (as shown above in</w:t>
      </w:r>
      <w:r>
        <w:t xml:space="preserve"> Figure 6</w:t>
      </w:r>
      <w:r w:rsidR="00992109">
        <w:t>) are thus primarily driven by patients who did not achieve a CR. Extrapolation of the OS plot based on the full population of patients treated with brexucabtagene autoleucel (as done for the economic model) is therefore likely to be biased against brexucabtagene autoleucel.</w:t>
      </w:r>
    </w:p>
    <w:p w14:paraId="715BFB20" w14:textId="77777777" w:rsidR="00992109" w:rsidRPr="009F3FB3" w:rsidRDefault="00992109" w:rsidP="009F3FB3">
      <w:pPr>
        <w:spacing w:after="200"/>
        <w:rPr>
          <w:iCs/>
        </w:rPr>
      </w:pPr>
      <w:bookmarkStart w:id="24" w:name="_Ref63614220"/>
      <w:bookmarkStart w:id="25" w:name="_Toc63557228"/>
      <w:r w:rsidRPr="009F3FB3">
        <w:rPr>
          <w:iCs/>
        </w:rPr>
        <w:t xml:space="preserve">The </w:t>
      </w:r>
      <w:r w:rsidR="009F3FB3" w:rsidRPr="009F3FB3">
        <w:rPr>
          <w:iCs/>
        </w:rPr>
        <w:t>Commentary noted the application statement</w:t>
      </w:r>
      <w:r w:rsidRPr="009F3FB3">
        <w:rPr>
          <w:iCs/>
        </w:rPr>
        <w:t xml:space="preserve"> that, “OS in patients achieving CR is systematically different than in those not achieving CR.” However, </w:t>
      </w:r>
      <w:r w:rsidR="009F3FB3" w:rsidRPr="009F3FB3">
        <w:rPr>
          <w:iCs/>
        </w:rPr>
        <w:t xml:space="preserve">considered that </w:t>
      </w:r>
      <w:r w:rsidRPr="009F3FB3">
        <w:rPr>
          <w:iCs/>
        </w:rPr>
        <w:t xml:space="preserve">this is inherent in this </w:t>
      </w:r>
      <w:proofErr w:type="gramStart"/>
      <w:r w:rsidRPr="009F3FB3">
        <w:rPr>
          <w:iCs/>
        </w:rPr>
        <w:t>particular comparison</w:t>
      </w:r>
      <w:proofErr w:type="gramEnd"/>
      <w:r w:rsidRPr="009F3FB3">
        <w:rPr>
          <w:iCs/>
        </w:rPr>
        <w:t xml:space="preserve"> as patients who respond to an effective treatment are expected to live longer than patients who did not respond. Thus, there is an accepted systematic difference between responders and non-responders.</w:t>
      </w:r>
    </w:p>
    <w:p w14:paraId="70BDF98D" w14:textId="77777777" w:rsidR="00992109" w:rsidRPr="009F3FB3" w:rsidRDefault="00992109" w:rsidP="009F3FB3">
      <w:pPr>
        <w:spacing w:after="200"/>
        <w:rPr>
          <w:iCs/>
        </w:rPr>
      </w:pPr>
      <w:r w:rsidRPr="009F3FB3">
        <w:rPr>
          <w:iCs/>
        </w:rPr>
        <w:t xml:space="preserve">In Figure </w:t>
      </w:r>
      <w:r w:rsidR="009F3FB3">
        <w:rPr>
          <w:iCs/>
        </w:rPr>
        <w:t>7</w:t>
      </w:r>
      <w:r w:rsidRPr="009F3FB3">
        <w:rPr>
          <w:iCs/>
        </w:rPr>
        <w:t xml:space="preserve">, </w:t>
      </w:r>
      <w:r w:rsidR="009F3FB3">
        <w:rPr>
          <w:iCs/>
        </w:rPr>
        <w:t xml:space="preserve">the Commentary noted that </w:t>
      </w:r>
      <w:r w:rsidRPr="009F3FB3">
        <w:rPr>
          <w:iCs/>
        </w:rPr>
        <w:t>patients who are still alive are censored at the time of their last clinical follow-up. This introduces a bias that is due to the relatively short follow-up of 8 to 18 months after study entry in a large group of responders. Only a longer follow-up for these censored patients will resolve this bias. The salvage studies did not show the same pattern of censoring.</w:t>
      </w:r>
    </w:p>
    <w:p w14:paraId="431B8B09" w14:textId="77777777" w:rsidR="00992109" w:rsidRPr="00A01074" w:rsidRDefault="00992109" w:rsidP="00992109">
      <w:pPr>
        <w:pStyle w:val="Caption"/>
      </w:pPr>
      <w:bookmarkStart w:id="26" w:name="_Toc68685818"/>
      <w:r w:rsidRPr="007254C3">
        <w:lastRenderedPageBreak/>
        <w:t>Figure</w:t>
      </w:r>
      <w:bookmarkEnd w:id="24"/>
      <w:r w:rsidR="009F3FB3">
        <w:t xml:space="preserve"> 7</w:t>
      </w:r>
      <w:r w:rsidRPr="007254C3">
        <w:t>:</w:t>
      </w:r>
      <w:r w:rsidRPr="007254C3">
        <w:tab/>
      </w:r>
      <w:r>
        <w:t>Kaplan-Meier plot of OS by response as reported for brexucabtagene autoleucel in ZUMA-2</w:t>
      </w:r>
      <w:bookmarkEnd w:id="25"/>
      <w:bookmarkEnd w:id="26"/>
    </w:p>
    <w:p w14:paraId="12B1B901" w14:textId="77777777" w:rsidR="00992109" w:rsidRDefault="00992109" w:rsidP="00992109">
      <w:r>
        <w:rPr>
          <w:noProof/>
        </w:rPr>
        <w:drawing>
          <wp:inline distT="0" distB="0" distL="0" distR="0" wp14:anchorId="420A9600" wp14:editId="75F89D17">
            <wp:extent cx="5104700" cy="3005593"/>
            <wp:effectExtent l="0" t="0" r="1270" b="4445"/>
            <wp:docPr id="50" name="Picture 50" descr=" Kaplan-Meier plot of OS by response as reported for brexucabtagene autoleucel in ZU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 Kaplan-Meier plot of OS by response as reported for brexucabtagene autoleucel in ZUMA-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12201" cy="3010009"/>
                    </a:xfrm>
                    <a:prstGeom prst="rect">
                      <a:avLst/>
                    </a:prstGeom>
                    <a:noFill/>
                  </pic:spPr>
                </pic:pic>
              </a:graphicData>
            </a:graphic>
          </wp:inline>
        </w:drawing>
      </w:r>
    </w:p>
    <w:p w14:paraId="471321F2" w14:textId="77777777" w:rsidR="00992109" w:rsidRDefault="009F3FB3" w:rsidP="00992109">
      <w:pPr>
        <w:spacing w:before="240" w:after="200"/>
      </w:pPr>
      <w:r>
        <w:t xml:space="preserve">Figure 8 </w:t>
      </w:r>
      <w:r w:rsidR="00992109">
        <w:t xml:space="preserve">compares OS by response (responder vs non-responder) as observed </w:t>
      </w:r>
      <w:r w:rsidR="00992109" w:rsidRPr="00EF00E2">
        <w:t>for patients treated with brexucabtagene autoleucel in ZUMA-2</w:t>
      </w:r>
      <w:r w:rsidR="00992109">
        <w:t xml:space="preserve"> to those treated with salvage therapy in the study r</w:t>
      </w:r>
      <w:r w:rsidR="00992109" w:rsidRPr="00EF00E2">
        <w:t>eported by Cheah 2015.</w:t>
      </w:r>
      <w:r w:rsidR="00992109">
        <w:t xml:space="preserve"> The </w:t>
      </w:r>
      <w:r w:rsidR="00FF3C5D">
        <w:t xml:space="preserve">application stated the </w:t>
      </w:r>
      <w:r w:rsidR="00992109">
        <w:t xml:space="preserve">comparison indicates that the nature of response is different for patients treated with brexucabtagene autoleucel compared with those treated with salvage therapy. Response to brexucabtagene autoleucel appears to be deeper and more durable than response to salvage therapy, with consequent observation of improved survival. </w:t>
      </w:r>
      <w:r w:rsidR="00FF3C5D">
        <w:t xml:space="preserve">In Figure 8, </w:t>
      </w:r>
      <w:r w:rsidR="00992109">
        <w:t xml:space="preserve">survival in patients achieving response with brexucabtagene autoleucel </w:t>
      </w:r>
      <w:r w:rsidR="00FF3C5D">
        <w:t xml:space="preserve">is shown by the </w:t>
      </w:r>
      <w:r w:rsidR="00992109">
        <w:t xml:space="preserve">solid green line </w:t>
      </w:r>
      <w:r w:rsidR="00FF3C5D">
        <w:t>which</w:t>
      </w:r>
      <w:r w:rsidR="00992109">
        <w:t xml:space="preserve"> is </w:t>
      </w:r>
      <w:r w:rsidR="00FF3C5D">
        <w:t>noticeably</w:t>
      </w:r>
      <w:r w:rsidR="00992109">
        <w:t xml:space="preserve"> different to that currently experienced by patients achieving response to salvage therapy </w:t>
      </w:r>
      <w:r w:rsidR="00FF3C5D">
        <w:t xml:space="preserve">shown by the </w:t>
      </w:r>
      <w:r w:rsidR="00992109">
        <w:t>dashed green line.</w:t>
      </w:r>
    </w:p>
    <w:p w14:paraId="440A1ECD" w14:textId="74944DCD" w:rsidR="00992109" w:rsidRPr="00FF3C5D" w:rsidRDefault="00992109" w:rsidP="00992109">
      <w:pPr>
        <w:spacing w:before="240" w:after="200"/>
        <w:rPr>
          <w:iCs/>
        </w:rPr>
      </w:pPr>
      <w:r w:rsidRPr="00FF3C5D">
        <w:rPr>
          <w:iCs/>
        </w:rPr>
        <w:t xml:space="preserve">The </w:t>
      </w:r>
      <w:r w:rsidR="00FF3C5D" w:rsidRPr="00FF3C5D">
        <w:rPr>
          <w:iCs/>
        </w:rPr>
        <w:t xml:space="preserve">Commentary noted that </w:t>
      </w:r>
      <w:r w:rsidRPr="00FF3C5D">
        <w:rPr>
          <w:iCs/>
        </w:rPr>
        <w:t xml:space="preserve">duration of response (DOR) was not discussed in the ADAR. A naïve comparison of median DOR during evaluation found that in patients who respond to treatment, brexucabtagene autoleucel may induce a more enduring response than salvage therapies. However, the limited size of the evidence base, as well as the </w:t>
      </w:r>
      <w:r w:rsidR="00403B3F">
        <w:rPr>
          <w:iCs/>
        </w:rPr>
        <w:t xml:space="preserve">short </w:t>
      </w:r>
      <w:r w:rsidR="00233B97">
        <w:rPr>
          <w:iCs/>
        </w:rPr>
        <w:t xml:space="preserve">follow-up </w:t>
      </w:r>
      <w:r w:rsidRPr="00FF3C5D">
        <w:rPr>
          <w:iCs/>
        </w:rPr>
        <w:t>of the data from ZUMA-2, indicate that the results are not sufficiently robust to draw any definitive conclusions about the size of the effect.</w:t>
      </w:r>
    </w:p>
    <w:p w14:paraId="534C68CD" w14:textId="77777777" w:rsidR="00992109" w:rsidRPr="00FF3C5D" w:rsidRDefault="00992109" w:rsidP="00992109">
      <w:pPr>
        <w:spacing w:before="240" w:after="200"/>
        <w:rPr>
          <w:iCs/>
        </w:rPr>
      </w:pPr>
      <w:r w:rsidRPr="00FF3C5D">
        <w:rPr>
          <w:iCs/>
        </w:rPr>
        <w:t xml:space="preserve">The </w:t>
      </w:r>
      <w:r w:rsidR="00FF3C5D" w:rsidRPr="00FF3C5D">
        <w:rPr>
          <w:iCs/>
        </w:rPr>
        <w:t xml:space="preserve">Commentary considered that the </w:t>
      </w:r>
      <w:r w:rsidRPr="00FF3C5D">
        <w:rPr>
          <w:iCs/>
        </w:rPr>
        <w:t>naïve comparison of OS by response does suggest improved survival in responders compared to non-responders. However, as this comparison relies on data from two small single arm studies, no definitive conclusion about the size of the effect can be made.</w:t>
      </w:r>
    </w:p>
    <w:p w14:paraId="355D6181" w14:textId="77777777" w:rsidR="00992109" w:rsidRPr="00A01074" w:rsidRDefault="00992109" w:rsidP="00992109">
      <w:pPr>
        <w:pStyle w:val="Caption"/>
      </w:pPr>
      <w:bookmarkStart w:id="27" w:name="_Ref63364552"/>
      <w:bookmarkStart w:id="28" w:name="_Toc63557229"/>
      <w:bookmarkStart w:id="29" w:name="_Toc68685819"/>
      <w:r w:rsidRPr="007254C3">
        <w:lastRenderedPageBreak/>
        <w:t xml:space="preserve">Figure </w:t>
      </w:r>
      <w:bookmarkEnd w:id="27"/>
      <w:r w:rsidR="009F3FB3">
        <w:t>8</w:t>
      </w:r>
      <w:r w:rsidRPr="007254C3">
        <w:t>:</w:t>
      </w:r>
      <w:r w:rsidRPr="007254C3">
        <w:tab/>
      </w:r>
      <w:r>
        <w:t>Comparison of OS by response (response vs no response) for patients treated with brexucabtagene autoleucel in ZUMA-2 versus those treated with salvage therapy as reported by Cheah 2015</w:t>
      </w:r>
      <w:bookmarkEnd w:id="28"/>
      <w:bookmarkEnd w:id="29"/>
    </w:p>
    <w:p w14:paraId="5A727451" w14:textId="77777777" w:rsidR="00992109" w:rsidRDefault="00992109" w:rsidP="00992109">
      <w:r w:rsidRPr="00611E57">
        <w:rPr>
          <w:noProof/>
        </w:rPr>
        <w:drawing>
          <wp:inline distT="0" distB="0" distL="0" distR="0" wp14:anchorId="6A4719DB" wp14:editId="5924BDD1">
            <wp:extent cx="5212038" cy="2819400"/>
            <wp:effectExtent l="0" t="0" r="8255" b="0"/>
            <wp:docPr id="6" name="Picture 6" descr=" Comparison of OS by response (response vs no response) for patients treated with brexucabtagene autoleucel in ZUMA-2 versus those treated with salvage therapy as reported by Cheah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Comparison of OS by response (response vs no response) for patients treated with brexucabtagene autoleucel in ZUMA-2 versus those treated with salvage therapy as reported by Cheah 2015"/>
                    <pic:cNvPicPr/>
                  </pic:nvPicPr>
                  <pic:blipFill>
                    <a:blip r:embed="rId22"/>
                    <a:stretch>
                      <a:fillRect/>
                    </a:stretch>
                  </pic:blipFill>
                  <pic:spPr>
                    <a:xfrm>
                      <a:off x="0" y="0"/>
                      <a:ext cx="5245530" cy="2837517"/>
                    </a:xfrm>
                    <a:prstGeom prst="rect">
                      <a:avLst/>
                    </a:prstGeom>
                  </pic:spPr>
                </pic:pic>
              </a:graphicData>
            </a:graphic>
          </wp:inline>
        </w:drawing>
      </w:r>
    </w:p>
    <w:p w14:paraId="73E53B30" w14:textId="77777777" w:rsidR="00E95E29" w:rsidRDefault="00E95E29" w:rsidP="00E95E29">
      <w:pPr>
        <w:tabs>
          <w:tab w:val="left" w:pos="720"/>
          <w:tab w:val="left" w:pos="1140"/>
        </w:tabs>
        <w:spacing w:before="240" w:after="120"/>
        <w:rPr>
          <w:b/>
          <w:szCs w:val="24"/>
        </w:rPr>
      </w:pPr>
      <w:r>
        <w:rPr>
          <w:b/>
          <w:szCs w:val="24"/>
        </w:rPr>
        <w:t>Clinical claim</w:t>
      </w:r>
    </w:p>
    <w:p w14:paraId="3C1C92A1" w14:textId="77777777" w:rsidR="00E95E29" w:rsidRDefault="00E95E29" w:rsidP="00E95E29">
      <w:pPr>
        <w:spacing w:after="200"/>
      </w:pPr>
      <w:r w:rsidRPr="002E608E">
        <w:t xml:space="preserve">The </w:t>
      </w:r>
      <w:r>
        <w:t xml:space="preserve">application claimed that </w:t>
      </w:r>
      <w:r w:rsidRPr="002E608E">
        <w:t xml:space="preserve">use of brexucabtagene autoleucel results in markedly improved </w:t>
      </w:r>
      <w:r>
        <w:t>response rates,</w:t>
      </w:r>
      <w:r w:rsidRPr="002E608E">
        <w:t xml:space="preserve"> PFS and OS compared with </w:t>
      </w:r>
      <w:r>
        <w:t xml:space="preserve">the outcomes achieved with </w:t>
      </w:r>
      <w:r w:rsidRPr="002E608E">
        <w:t>salvage therapy.</w:t>
      </w:r>
      <w:r>
        <w:t xml:space="preserve"> The magnitude of therapeutic benefit associated with brexucabtagene autoleucel is</w:t>
      </w:r>
      <w:r w:rsidRPr="006E3E5C">
        <w:t xml:space="preserve"> unprecedented</w:t>
      </w:r>
      <w:r>
        <w:t xml:space="preserve"> for</w:t>
      </w:r>
      <w:r w:rsidRPr="006E3E5C">
        <w:t xml:space="preserve"> t</w:t>
      </w:r>
      <w:r>
        <w:t xml:space="preserve">his heavily pre-treated </w:t>
      </w:r>
      <w:r w:rsidRPr="006E3E5C">
        <w:t>population</w:t>
      </w:r>
      <w:r>
        <w:t xml:space="preserve"> and is expected to be extremely meaningful to patients.</w:t>
      </w:r>
    </w:p>
    <w:p w14:paraId="2F31FD6F" w14:textId="77777777" w:rsidR="00E95E29" w:rsidRDefault="00E95E29" w:rsidP="00E95E29">
      <w:pPr>
        <w:spacing w:after="200"/>
      </w:pPr>
      <w:r>
        <w:t xml:space="preserve">The </w:t>
      </w:r>
      <w:r w:rsidRPr="00E95E29">
        <w:t xml:space="preserve">drawing of any </w:t>
      </w:r>
      <w:r>
        <w:t xml:space="preserve">definitive conclusions </w:t>
      </w:r>
      <w:proofErr w:type="gramStart"/>
      <w:r>
        <w:t>in regard to</w:t>
      </w:r>
      <w:proofErr w:type="gramEnd"/>
      <w:r>
        <w:t xml:space="preserve"> the comparative safety of brexucabtagene autoleucel and salvage therapy is precluded by the fact that t</w:t>
      </w:r>
      <w:r w:rsidRPr="002E608E">
        <w:t>here are</w:t>
      </w:r>
      <w:r>
        <w:t xml:space="preserve"> </w:t>
      </w:r>
      <w:r w:rsidRPr="002E608E">
        <w:t>differences</w:t>
      </w:r>
      <w:r>
        <w:t xml:space="preserve"> and trade-offs across the types and rates of AEs</w:t>
      </w:r>
      <w:r w:rsidRPr="002E608E">
        <w:t xml:space="preserve"> </w:t>
      </w:r>
      <w:r>
        <w:t>associated with each therapy.</w:t>
      </w:r>
    </w:p>
    <w:p w14:paraId="2BD46816" w14:textId="77777777" w:rsidR="00E95E29" w:rsidRDefault="00E95E29" w:rsidP="00E95E29">
      <w:pPr>
        <w:spacing w:after="200"/>
      </w:pPr>
      <w:r>
        <w:t>Adverse events associated with brexucabtagene autoleucel and other anti-CD19 CAR T-cell therapies are becoming better characterised over time and clinician experience in managing the AEs observed with these therapies continues to build. As such,</w:t>
      </w:r>
      <w:r w:rsidRPr="00F75183">
        <w:t xml:space="preserve"> the benefit to risk trade-off for brexucabtagene autoleucel is</w:t>
      </w:r>
      <w:r>
        <w:t xml:space="preserve"> considered to be</w:t>
      </w:r>
      <w:r w:rsidRPr="00F75183">
        <w:t xml:space="preserve"> substantially superior </w:t>
      </w:r>
      <w:proofErr w:type="gramStart"/>
      <w:r w:rsidRPr="00F75183">
        <w:t>than</w:t>
      </w:r>
      <w:proofErr w:type="gramEnd"/>
      <w:r w:rsidRPr="00F75183">
        <w:t xml:space="preserve"> the benefit to risk trade-off for salvage therapy.</w:t>
      </w:r>
    </w:p>
    <w:p w14:paraId="0EA9E8E4" w14:textId="77777777" w:rsidR="00E95E29" w:rsidRDefault="00C4130E" w:rsidP="00E95E29">
      <w:pPr>
        <w:spacing w:after="200"/>
      </w:pPr>
      <w:r>
        <w:t xml:space="preserve">The application </w:t>
      </w:r>
      <w:r w:rsidR="00E95E29">
        <w:t>acknowledged that, according to the Grading of Recommendations Assessment, Development, and Evaluation (GRADE) approach, the results of the comparison of brexucabtagene autoleucel to salvage therapy would be rated down due to limitations of a comparison based on results from single arms. However, it is also important to recognise that the GRADE approach would also rate the evidence up because the magnitude of treatment effect is large and because the outcome of survival is not a subjective outcome.</w:t>
      </w:r>
    </w:p>
    <w:p w14:paraId="27581E97" w14:textId="77777777" w:rsidR="00E95E29" w:rsidRPr="00C4130E" w:rsidRDefault="00C4130E" w:rsidP="00C4130E">
      <w:pPr>
        <w:spacing w:after="200"/>
        <w:rPr>
          <w:iCs/>
        </w:rPr>
      </w:pPr>
      <w:r w:rsidRPr="00C4130E">
        <w:rPr>
          <w:iCs/>
        </w:rPr>
        <w:t>The Commentary considered that t</w:t>
      </w:r>
      <w:r w:rsidR="00E95E29" w:rsidRPr="00C4130E">
        <w:rPr>
          <w:iCs/>
        </w:rPr>
        <w:t>his statement is incorrect, as the GRADE approach would only allow rating the evidence up if there is a large effect size (RR &gt;2 or &lt;0.5) and no plausible confounding</w:t>
      </w:r>
      <w:r w:rsidR="00E95E29" w:rsidRPr="00C4130E">
        <w:rPr>
          <w:rStyle w:val="FootnoteReference"/>
          <w:iCs/>
        </w:rPr>
        <w:footnoteReference w:id="2"/>
      </w:r>
      <w:r w:rsidR="00E95E29" w:rsidRPr="00C4130E">
        <w:rPr>
          <w:iCs/>
        </w:rPr>
        <w:t xml:space="preserve">. Patients included in the salvage therapy have worse prognosis on average than those in the ZUMA-2 trial, which could be confounding the results. </w:t>
      </w:r>
    </w:p>
    <w:p w14:paraId="7A9A3D53" w14:textId="77777777" w:rsidR="00E95E29" w:rsidRDefault="00E95E29" w:rsidP="00E95E29">
      <w:pPr>
        <w:spacing w:after="200"/>
      </w:pPr>
      <w:r>
        <w:t xml:space="preserve">Overall, </w:t>
      </w:r>
      <w:r w:rsidR="00C4130E">
        <w:t xml:space="preserve">the application stated that </w:t>
      </w:r>
      <w:r>
        <w:t>the evidence supporting a claim of therapeutic superiority of brexucabtagene autoleucel over salvage therapy is compelling.</w:t>
      </w:r>
    </w:p>
    <w:p w14:paraId="0A2F9B62" w14:textId="77777777" w:rsidR="00E95E29" w:rsidRPr="00C4130E" w:rsidRDefault="00C4130E" w:rsidP="00C4130E">
      <w:pPr>
        <w:spacing w:after="200"/>
        <w:rPr>
          <w:iCs/>
        </w:rPr>
      </w:pPr>
      <w:r w:rsidRPr="00C4130E">
        <w:rPr>
          <w:iCs/>
        </w:rPr>
        <w:lastRenderedPageBreak/>
        <w:t>The Commentary considered that i</w:t>
      </w:r>
      <w:r w:rsidR="00E95E29" w:rsidRPr="00C4130E">
        <w:rPr>
          <w:iCs/>
        </w:rPr>
        <w:t>t has not been conclusively shown that there is a statistically significant improvement in CR and OR rates for brexucabtagene autoleucel compared with all salvage therapies, especially those with a rituximab-based regimen. However, the response appeared to be of longer duration in those treated with brexucabtagene autoleucel compared with those receiving salvage therapies.</w:t>
      </w:r>
    </w:p>
    <w:p w14:paraId="5F68A663" w14:textId="77777777" w:rsidR="00E95E29" w:rsidRPr="00C4130E" w:rsidRDefault="00E95E29" w:rsidP="00C4130E">
      <w:pPr>
        <w:spacing w:after="200"/>
        <w:rPr>
          <w:iCs/>
        </w:rPr>
      </w:pPr>
      <w:r w:rsidRPr="00C4130E">
        <w:rPr>
          <w:iCs/>
        </w:rPr>
        <w:t>The magnitude of the benefit for DOR, PFS and OS cannot be determined due to the naïve comparison and the limited evidence base for brexucabtagene autoleucel, therefore, the level to which it is ‘meaningful’ to patients cannot be predicted.</w:t>
      </w:r>
    </w:p>
    <w:p w14:paraId="4CC40F1D" w14:textId="77777777" w:rsidR="00E95E29" w:rsidRPr="00C4130E" w:rsidRDefault="00E95E29" w:rsidP="00C4130E">
      <w:pPr>
        <w:rPr>
          <w:iCs/>
        </w:rPr>
      </w:pPr>
      <w:r w:rsidRPr="00C4130E">
        <w:rPr>
          <w:iCs/>
        </w:rPr>
        <w:t xml:space="preserve">Overall, </w:t>
      </w:r>
      <w:r w:rsidR="00C4130E" w:rsidRPr="00C4130E">
        <w:rPr>
          <w:iCs/>
        </w:rPr>
        <w:t xml:space="preserve">the Commentary stated that </w:t>
      </w:r>
      <w:r w:rsidRPr="00C4130E">
        <w:rPr>
          <w:iCs/>
        </w:rPr>
        <w:t>chemotherapies are likely to have a better safety profile than CAR-T therapies, due to the specific AEs associated with brexucabtagene autoleucel and other anti-CD19 CAR T-cell therapies, such as CRS and neurologic events.</w:t>
      </w:r>
      <w:r w:rsidR="00C4130E" w:rsidRPr="00C4130E">
        <w:rPr>
          <w:iCs/>
        </w:rPr>
        <w:t xml:space="preserve"> </w:t>
      </w:r>
      <w:r w:rsidRPr="00C4130E">
        <w:rPr>
          <w:iCs/>
        </w:rPr>
        <w:t>If the management of treatment-emergent AEs were handled according to monitoring guidelines at qualified treatment centres, the benefit to risk ratio would likely be acceptable.</w:t>
      </w:r>
    </w:p>
    <w:p w14:paraId="18849BA3" w14:textId="77777777" w:rsidR="00B411FE" w:rsidRPr="001550E5" w:rsidRDefault="00E95E29" w:rsidP="001550E5">
      <w:pPr>
        <w:spacing w:before="240"/>
        <w:rPr>
          <w:iCs/>
        </w:rPr>
      </w:pPr>
      <w:r w:rsidRPr="00C4130E">
        <w:rPr>
          <w:iCs/>
        </w:rPr>
        <w:t>As the evidence base is very limited, the longer PFS and OS in patients treated with brexucabtagene autoleucel compared with salvage therapy is suggestive of therapeutic superiority rather than compelling.</w:t>
      </w:r>
    </w:p>
    <w:p w14:paraId="3253765C" w14:textId="77777777" w:rsidR="000632EF" w:rsidRPr="001550E5" w:rsidRDefault="00065623"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Economic evaluation</w:t>
      </w:r>
    </w:p>
    <w:p w14:paraId="46F07F76" w14:textId="77777777" w:rsidR="00C4130E" w:rsidRDefault="00C4130E" w:rsidP="001550E5">
      <w:pPr>
        <w:spacing w:after="200"/>
      </w:pPr>
      <w:r>
        <w:t xml:space="preserve">A </w:t>
      </w:r>
      <w:r w:rsidRPr="00E10C5E">
        <w:t xml:space="preserve">partitioned survival analysis model </w:t>
      </w:r>
      <w:r>
        <w:t>was</w:t>
      </w:r>
      <w:r w:rsidRPr="00E10C5E">
        <w:t xml:space="preserve"> used to conduct the economic analysis.</w:t>
      </w:r>
      <w:r>
        <w:t xml:space="preserve"> Both a cost-effectiveness analysis (based on life-years gained) and a cost-utility analysis, conducted over a lifetime, were presented.</w:t>
      </w:r>
      <w:r w:rsidR="006313E9">
        <w:t xml:space="preserve"> </w:t>
      </w:r>
      <w:r>
        <w:t>The analyses were conducted from a health care system perspective, where only health benefits accruing to the patient and where costs to the health care system</w:t>
      </w:r>
      <w:r w:rsidR="006313E9">
        <w:t xml:space="preserve">. </w:t>
      </w:r>
      <w:r>
        <w:t xml:space="preserve"> are considered.</w:t>
      </w:r>
    </w:p>
    <w:p w14:paraId="1356BC1E" w14:textId="77777777" w:rsidR="00C4130E" w:rsidRDefault="00C4130E" w:rsidP="00C4130E">
      <w:pPr>
        <w:spacing w:after="200"/>
      </w:pPr>
      <w:r>
        <w:t>The structure of the model is shown in Figure 9.</w:t>
      </w:r>
    </w:p>
    <w:p w14:paraId="017B941C" w14:textId="77777777" w:rsidR="00C4130E" w:rsidRPr="007254C3" w:rsidRDefault="00C4130E" w:rsidP="00C4130E">
      <w:pPr>
        <w:pStyle w:val="Caption"/>
        <w:spacing w:line="276" w:lineRule="auto"/>
      </w:pPr>
      <w:bookmarkStart w:id="30" w:name="_Ref63375147"/>
      <w:bookmarkStart w:id="31" w:name="_Toc63557230"/>
      <w:bookmarkStart w:id="32" w:name="_Toc68685820"/>
      <w:r w:rsidRPr="007254C3">
        <w:t xml:space="preserve">Figure </w:t>
      </w:r>
      <w:bookmarkEnd w:id="30"/>
      <w:r>
        <w:t>9</w:t>
      </w:r>
      <w:r w:rsidRPr="007254C3">
        <w:t>:</w:t>
      </w:r>
      <w:r>
        <w:tab/>
      </w:r>
      <w:r w:rsidRPr="007254C3">
        <w:t>Structure of the model used to conduct the economic evaluation</w:t>
      </w:r>
      <w:r>
        <w:t xml:space="preserve"> of brexucabtagene autoleucel for R/R MCL</w:t>
      </w:r>
      <w:bookmarkEnd w:id="31"/>
      <w:bookmarkEnd w:id="32"/>
    </w:p>
    <w:p w14:paraId="7CED950A" w14:textId="77777777" w:rsidR="00C4130E" w:rsidRPr="00A01074" w:rsidRDefault="00C4130E" w:rsidP="00C4130E">
      <w:pPr>
        <w:pStyle w:val="Caption"/>
        <w:spacing w:after="240"/>
      </w:pPr>
      <w:r w:rsidRPr="00944FAE">
        <w:rPr>
          <w:noProof/>
          <w:lang w:eastAsia="en-AU"/>
        </w:rPr>
        <w:drawing>
          <wp:inline distT="0" distB="0" distL="0" distR="0" wp14:anchorId="5B39D9BF" wp14:editId="1EEF07C8">
            <wp:extent cx="5727700" cy="2133600"/>
            <wp:effectExtent l="0" t="0" r="6350" b="0"/>
            <wp:docPr id="56" name="Picture 56" descr=" Structure of the model used to conduct the economic evaluation of brexucabtagene autoleucel for R/R M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 Structure of the model used to conduct the economic evaluation of brexucabtagene autoleucel for R/R MCL"/>
                    <pic:cNvPicPr/>
                  </pic:nvPicPr>
                  <pic:blipFill>
                    <a:blip r:embed="rId23"/>
                    <a:stretch>
                      <a:fillRect/>
                    </a:stretch>
                  </pic:blipFill>
                  <pic:spPr>
                    <a:xfrm>
                      <a:off x="0" y="0"/>
                      <a:ext cx="5727700" cy="2133600"/>
                    </a:xfrm>
                    <a:prstGeom prst="rect">
                      <a:avLst/>
                    </a:prstGeom>
                  </pic:spPr>
                </pic:pic>
              </a:graphicData>
            </a:graphic>
          </wp:inline>
        </w:drawing>
      </w:r>
    </w:p>
    <w:p w14:paraId="417B9A8B" w14:textId="77777777" w:rsidR="00C4130E" w:rsidRDefault="00C4130E" w:rsidP="00C4130E">
      <w:pPr>
        <w:spacing w:after="200"/>
      </w:pPr>
      <w:r>
        <w:t xml:space="preserve">Costs and outcomes were examined over a 30-year lifetime time horizon. Discounting of future costs and benefits was applied at a rate of 5% per annum (p.a.), as required according to the MSAC Guidelines. </w:t>
      </w:r>
    </w:p>
    <w:p w14:paraId="3DE499E4" w14:textId="77777777" w:rsidR="00C4130E" w:rsidRDefault="00C4130E" w:rsidP="00C4130E">
      <w:pPr>
        <w:spacing w:after="200"/>
      </w:pPr>
      <w:r>
        <w:t xml:space="preserve">Outcomes in the model are primarily driven by PFS and OS Kaplan-Meier data. As patients, particularly those in the ZUMA-2 study were not followed up through to a time where they had all died (due to the extended survival outcomes associated with brexucabtagene autoleucel </w:t>
      </w:r>
      <w:r w:rsidRPr="00BC623E">
        <w:rPr>
          <w:iCs/>
        </w:rPr>
        <w:t>and the limited follow-up to date of ZUMA-2),</w:t>
      </w:r>
      <w:r w:rsidRPr="00BC623E">
        <w:t xml:space="preserve"> </w:t>
      </w:r>
      <w:r>
        <w:t xml:space="preserve">extrapolation of the Kaplan-Meier functions was required to model benefits of brexucabtagene autoleucel over a patient lifetime. </w:t>
      </w:r>
    </w:p>
    <w:p w14:paraId="05F0A00A" w14:textId="77777777" w:rsidR="00C4130E" w:rsidRDefault="00C4130E" w:rsidP="00C4130E">
      <w:pPr>
        <w:spacing w:after="200"/>
      </w:pPr>
      <w:r>
        <w:lastRenderedPageBreak/>
        <w:t xml:space="preserve">Utilities applied to time in the progression-free and post-progression states were 0.78 and 0.68, respectively. The utilities were derived from data captured by the administration of the EQ-5D-5L instrument that was administered in the ZUMA-2 trial. Utilities were calculated applying the Australian value set. The </w:t>
      </w:r>
      <w:r w:rsidRPr="00843785">
        <w:t>National Institute for Health and Care Excellence</w:t>
      </w:r>
      <w:r>
        <w:t xml:space="preserve"> (NICE) technology appraisal report for ibrutinib in R/R MCL reported pre-progression and post-progression utility weights of 0.78 and 0.68, respectively, based on data from the RAY trial data. These weights are the same as those estimated by application of the Australian value set to EQ-5D data from ZUMA-2.</w:t>
      </w:r>
    </w:p>
    <w:p w14:paraId="7B385BCC" w14:textId="2C5E787E" w:rsidR="00C4130E" w:rsidRDefault="00C4130E" w:rsidP="00C4130E">
      <w:pPr>
        <w:spacing w:after="200"/>
      </w:pPr>
      <w:r>
        <w:t xml:space="preserve">The cost of a brexucabtagene autoleucel, a single infusion </w:t>
      </w:r>
      <w:r w:rsidRPr="00A168A8">
        <w:t>product, is $</w:t>
      </w:r>
      <w:r w:rsidR="00894221" w:rsidRPr="00A168A8">
        <w:rPr>
          <w:b/>
          <w:bCs/>
          <w:color w:val="000000"/>
        </w:rPr>
        <w:t>redacted</w:t>
      </w:r>
      <w:r>
        <w:t>. The analysis also include</w:t>
      </w:r>
      <w:r w:rsidR="0052484B">
        <w:t>d</w:t>
      </w:r>
      <w:r>
        <w:t xml:space="preserve"> costs associated with use of other health care resources affected by availability of brexucabtagene autoleucel, including costs of leukapheresis, bridging therapy, lymphodepleting therapy, hospitalisation for administration and monitoring, extension of hospitalisation (including in an intensive care unit) and tocilizumab and intravenous immunoglobulin replacement therapy used in the management of AEs.</w:t>
      </w:r>
    </w:p>
    <w:p w14:paraId="3C269BD8" w14:textId="77777777" w:rsidR="00C4130E" w:rsidRDefault="00C4130E" w:rsidP="00C4130E">
      <w:pPr>
        <w:spacing w:after="200"/>
      </w:pPr>
      <w:r>
        <w:t>The results of the cost-effectiveness and cost-utility analysis over a 30-year time horizon are summarised in</w:t>
      </w:r>
      <w:r w:rsidR="0052484B">
        <w:t xml:space="preserve"> Table </w:t>
      </w:r>
      <w:r w:rsidR="006247EF">
        <w:t>5</w:t>
      </w:r>
      <w:r>
        <w:t>. The key driver of incremental costs are the costs of brexucabtagene autoleucel.</w:t>
      </w:r>
    </w:p>
    <w:p w14:paraId="30357554" w14:textId="77777777" w:rsidR="00C4130E" w:rsidRDefault="00C4130E" w:rsidP="00C4130E">
      <w:pPr>
        <w:pStyle w:val="TableName"/>
      </w:pPr>
      <w:bookmarkStart w:id="33" w:name="_Ref63376692"/>
      <w:bookmarkStart w:id="34" w:name="_Toc63557146"/>
      <w:bookmarkStart w:id="35" w:name="_Toc68685773"/>
      <w:r w:rsidRPr="00E84B8F">
        <w:t xml:space="preserve">Table </w:t>
      </w:r>
      <w:bookmarkEnd w:id="33"/>
      <w:r w:rsidR="006247EF">
        <w:t>5</w:t>
      </w:r>
      <w:r>
        <w:t>:</w:t>
      </w:r>
      <w:r w:rsidR="0052484B">
        <w:t xml:space="preserve"> </w:t>
      </w:r>
      <w:r>
        <w:t xml:space="preserve">Results of the base case modelled economic </w:t>
      </w:r>
      <w:proofErr w:type="gramStart"/>
      <w:r>
        <w:t>evaluation</w:t>
      </w:r>
      <w:bookmarkEnd w:id="34"/>
      <w:bookmarkEnd w:id="35"/>
      <w:proofErr w:type="gramEnd"/>
    </w:p>
    <w:tbl>
      <w:tblPr>
        <w:tblStyle w:val="TableGrid2"/>
        <w:tblW w:w="8784" w:type="dxa"/>
        <w:tblLayout w:type="fixed"/>
        <w:tblCellMar>
          <w:left w:w="85" w:type="dxa"/>
          <w:right w:w="85" w:type="dxa"/>
        </w:tblCellMar>
        <w:tblLook w:val="04A0" w:firstRow="1" w:lastRow="0" w:firstColumn="1" w:lastColumn="0" w:noHBand="0" w:noVBand="1"/>
        <w:tblDescription w:val="Results of the base case modelled economic evaluation"/>
      </w:tblPr>
      <w:tblGrid>
        <w:gridCol w:w="3964"/>
        <w:gridCol w:w="1560"/>
        <w:gridCol w:w="1559"/>
        <w:gridCol w:w="1701"/>
      </w:tblGrid>
      <w:tr w:rsidR="00C4130E" w:rsidRPr="0052484B" w14:paraId="751B8398" w14:textId="77777777" w:rsidTr="00C4130E">
        <w:trPr>
          <w:cnfStyle w:val="100000000000" w:firstRow="1" w:lastRow="0" w:firstColumn="0" w:lastColumn="0" w:oddVBand="0" w:evenVBand="0" w:oddHBand="0" w:evenHBand="0" w:firstRowFirstColumn="0" w:firstRowLastColumn="0" w:lastRowFirstColumn="0" w:lastRowLastColumn="0"/>
          <w:trHeight w:val="20"/>
        </w:trPr>
        <w:tc>
          <w:tcPr>
            <w:tcW w:w="3964" w:type="dxa"/>
            <w:shd w:val="clear" w:color="auto" w:fill="F2F2F2" w:themeFill="background1" w:themeFillShade="F2"/>
            <w:noWrap/>
            <w:vAlign w:val="center"/>
            <w:hideMark/>
          </w:tcPr>
          <w:p w14:paraId="0DE2D26A" w14:textId="77777777" w:rsidR="00C4130E" w:rsidRPr="0052484B" w:rsidRDefault="00C4130E" w:rsidP="00C4130E">
            <w:pPr>
              <w:rPr>
                <w:rFonts w:ascii="Arial Narrow" w:hAnsi="Arial Narrow"/>
                <w:b/>
                <w:bCs/>
                <w:color w:val="000000"/>
              </w:rPr>
            </w:pPr>
          </w:p>
        </w:tc>
        <w:tc>
          <w:tcPr>
            <w:tcW w:w="1560" w:type="dxa"/>
            <w:tcBorders>
              <w:bottom w:val="single" w:sz="4" w:space="0" w:color="auto"/>
            </w:tcBorders>
            <w:shd w:val="clear" w:color="auto" w:fill="F2F2F2" w:themeFill="background1" w:themeFillShade="F2"/>
            <w:vAlign w:val="center"/>
          </w:tcPr>
          <w:p w14:paraId="51AED724" w14:textId="77777777" w:rsidR="00C4130E" w:rsidRPr="0052484B" w:rsidRDefault="00C4130E" w:rsidP="00C4130E">
            <w:pPr>
              <w:jc w:val="center"/>
              <w:rPr>
                <w:rFonts w:ascii="Arial Narrow" w:hAnsi="Arial Narrow"/>
                <w:b/>
                <w:bCs/>
                <w:color w:val="000000"/>
              </w:rPr>
            </w:pPr>
            <w:r w:rsidRPr="0052484B">
              <w:rPr>
                <w:rFonts w:ascii="Arial Narrow" w:hAnsi="Arial Narrow"/>
                <w:b/>
                <w:bCs/>
                <w:color w:val="000000"/>
              </w:rPr>
              <w:t>Brexucabtagene autoleucel arm</w:t>
            </w:r>
          </w:p>
        </w:tc>
        <w:tc>
          <w:tcPr>
            <w:tcW w:w="1559" w:type="dxa"/>
            <w:tcBorders>
              <w:bottom w:val="single" w:sz="4" w:space="0" w:color="auto"/>
            </w:tcBorders>
            <w:shd w:val="clear" w:color="auto" w:fill="F2F2F2" w:themeFill="background1" w:themeFillShade="F2"/>
            <w:vAlign w:val="center"/>
          </w:tcPr>
          <w:p w14:paraId="3B80677B" w14:textId="77777777" w:rsidR="00C4130E" w:rsidRPr="0052484B" w:rsidRDefault="00C4130E" w:rsidP="00C4130E">
            <w:pPr>
              <w:jc w:val="center"/>
              <w:rPr>
                <w:rFonts w:ascii="Arial Narrow" w:hAnsi="Arial Narrow"/>
                <w:b/>
                <w:bCs/>
                <w:color w:val="000000"/>
              </w:rPr>
            </w:pPr>
            <w:r w:rsidRPr="0052484B">
              <w:rPr>
                <w:rFonts w:ascii="Arial Narrow" w:hAnsi="Arial Narrow"/>
                <w:b/>
                <w:bCs/>
                <w:color w:val="000000"/>
              </w:rPr>
              <w:t>Salvage therapy arm</w:t>
            </w:r>
          </w:p>
        </w:tc>
        <w:tc>
          <w:tcPr>
            <w:tcW w:w="1701" w:type="dxa"/>
            <w:tcBorders>
              <w:bottom w:val="single" w:sz="4" w:space="0" w:color="auto"/>
            </w:tcBorders>
            <w:shd w:val="clear" w:color="auto" w:fill="F2F2F2" w:themeFill="background1" w:themeFillShade="F2"/>
            <w:vAlign w:val="center"/>
          </w:tcPr>
          <w:p w14:paraId="480EA6A3" w14:textId="77777777" w:rsidR="00C4130E" w:rsidRPr="0052484B" w:rsidRDefault="00C4130E" w:rsidP="00C4130E">
            <w:pPr>
              <w:jc w:val="center"/>
              <w:rPr>
                <w:rFonts w:ascii="Arial Narrow" w:hAnsi="Arial Narrow"/>
                <w:b/>
                <w:bCs/>
                <w:color w:val="000000"/>
              </w:rPr>
            </w:pPr>
            <w:r w:rsidRPr="0052484B">
              <w:rPr>
                <w:rFonts w:ascii="Arial Narrow" w:hAnsi="Arial Narrow"/>
                <w:b/>
                <w:bCs/>
                <w:color w:val="000000"/>
              </w:rPr>
              <w:t>Increment</w:t>
            </w:r>
          </w:p>
        </w:tc>
      </w:tr>
      <w:tr w:rsidR="00C4130E" w:rsidRPr="0052484B" w14:paraId="0518A5F9" w14:textId="77777777" w:rsidTr="00C4130E">
        <w:trPr>
          <w:trHeight w:val="20"/>
        </w:trPr>
        <w:tc>
          <w:tcPr>
            <w:tcW w:w="3964" w:type="dxa"/>
            <w:shd w:val="clear" w:color="auto" w:fill="auto"/>
            <w:noWrap/>
          </w:tcPr>
          <w:p w14:paraId="3B9449E4" w14:textId="77777777" w:rsidR="00C4130E" w:rsidRPr="0052484B" w:rsidRDefault="00C4130E" w:rsidP="00C4130E">
            <w:pPr>
              <w:pStyle w:val="TableLeft"/>
              <w:rPr>
                <w:szCs w:val="20"/>
                <w:lang w:bidi="ar-SA"/>
              </w:rPr>
            </w:pPr>
            <w:r w:rsidRPr="0052484B">
              <w:rPr>
                <w:szCs w:val="20"/>
                <w:lang w:bidi="ar-SA"/>
              </w:rPr>
              <w:t>Brexucabtagene autoleucel</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2E38A6B" w14:textId="3F414335"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E41F580" w14:textId="45BC1308"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374060B" w14:textId="5B32FE62"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r>
      <w:tr w:rsidR="00C4130E" w:rsidRPr="0052484B" w14:paraId="00609AF3" w14:textId="77777777" w:rsidTr="00C4130E">
        <w:trPr>
          <w:trHeight w:val="20"/>
        </w:trPr>
        <w:tc>
          <w:tcPr>
            <w:tcW w:w="3964" w:type="dxa"/>
            <w:shd w:val="clear" w:color="auto" w:fill="auto"/>
            <w:noWrap/>
          </w:tcPr>
          <w:p w14:paraId="1DA3E9FF" w14:textId="77777777" w:rsidR="00C4130E" w:rsidRPr="0052484B" w:rsidRDefault="00C4130E" w:rsidP="00C4130E">
            <w:pPr>
              <w:pStyle w:val="TableLeft"/>
              <w:rPr>
                <w:szCs w:val="20"/>
                <w:lang w:bidi="ar-SA"/>
              </w:rPr>
            </w:pPr>
            <w:r w:rsidRPr="0052484B">
              <w:rPr>
                <w:szCs w:val="20"/>
                <w:lang w:bidi="ar-SA"/>
              </w:rPr>
              <w:t>Cost of leukapheresis</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4549961" w14:textId="4E55E5B2"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C8CEB7E" w14:textId="5059AD50"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532FEAA" w14:textId="1B5AB320"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r>
      <w:tr w:rsidR="00C4130E" w:rsidRPr="0052484B" w14:paraId="1703C078" w14:textId="77777777" w:rsidTr="00C4130E">
        <w:trPr>
          <w:trHeight w:val="20"/>
        </w:trPr>
        <w:tc>
          <w:tcPr>
            <w:tcW w:w="3964" w:type="dxa"/>
            <w:shd w:val="clear" w:color="auto" w:fill="auto"/>
            <w:noWrap/>
          </w:tcPr>
          <w:p w14:paraId="152511EE" w14:textId="77777777" w:rsidR="00C4130E" w:rsidRPr="0052484B" w:rsidRDefault="00C4130E" w:rsidP="00C4130E">
            <w:pPr>
              <w:pStyle w:val="TableLeft"/>
              <w:rPr>
                <w:szCs w:val="20"/>
                <w:lang w:bidi="ar-SA"/>
              </w:rPr>
            </w:pPr>
            <w:r w:rsidRPr="0052484B">
              <w:rPr>
                <w:szCs w:val="20"/>
                <w:lang w:bidi="ar-SA"/>
              </w:rPr>
              <w:t>Cost of bridging therapy</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A2D8D09" w14:textId="01969D08"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088759B" w14:textId="0A12FD8C"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E149779" w14:textId="15959BD6"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r>
      <w:tr w:rsidR="00C4130E" w:rsidRPr="0052484B" w14:paraId="0145BDC0" w14:textId="77777777" w:rsidTr="00C4130E">
        <w:trPr>
          <w:trHeight w:val="20"/>
        </w:trPr>
        <w:tc>
          <w:tcPr>
            <w:tcW w:w="3964" w:type="dxa"/>
            <w:shd w:val="clear" w:color="auto" w:fill="auto"/>
            <w:noWrap/>
          </w:tcPr>
          <w:p w14:paraId="05FB8853" w14:textId="77777777" w:rsidR="00C4130E" w:rsidRPr="0052484B" w:rsidRDefault="00C4130E" w:rsidP="00C4130E">
            <w:pPr>
              <w:pStyle w:val="TableLeft"/>
              <w:rPr>
                <w:szCs w:val="20"/>
                <w:lang w:bidi="ar-SA"/>
              </w:rPr>
            </w:pPr>
            <w:r w:rsidRPr="0052484B">
              <w:rPr>
                <w:szCs w:val="20"/>
                <w:lang w:bidi="ar-SA"/>
              </w:rPr>
              <w:t>Cost of lymphodepleting therapy</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DA98BA1" w14:textId="278813A8"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C5E712A" w14:textId="2A66EAFD"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E280B49" w14:textId="4951AAAA"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r>
      <w:tr w:rsidR="00C4130E" w:rsidRPr="0052484B" w14:paraId="03D01FD8" w14:textId="77777777" w:rsidTr="00C4130E">
        <w:trPr>
          <w:trHeight w:val="20"/>
        </w:trPr>
        <w:tc>
          <w:tcPr>
            <w:tcW w:w="3964" w:type="dxa"/>
            <w:shd w:val="clear" w:color="auto" w:fill="auto"/>
            <w:noWrap/>
          </w:tcPr>
          <w:p w14:paraId="6B8D1423" w14:textId="77777777" w:rsidR="00C4130E" w:rsidRPr="0052484B" w:rsidRDefault="00C4130E" w:rsidP="00C4130E">
            <w:pPr>
              <w:pStyle w:val="TableLeft"/>
              <w:rPr>
                <w:szCs w:val="20"/>
                <w:lang w:bidi="ar-SA"/>
              </w:rPr>
            </w:pPr>
            <w:r w:rsidRPr="0052484B">
              <w:rPr>
                <w:szCs w:val="20"/>
                <w:lang w:bidi="ar-SA"/>
              </w:rPr>
              <w:t>Costs for hospitalisation for administration of brexucabtagene autoleucel, monitoring and management of AEs</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E4A750F" w14:textId="5D0D072C"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9798682" w14:textId="57D9092F"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629FCB3" w14:textId="3C4246FC" w:rsidR="00C4130E" w:rsidRPr="00A168A8" w:rsidRDefault="00C4130E" w:rsidP="00C4130E">
            <w:pPr>
              <w:jc w:val="center"/>
              <w:rPr>
                <w:rFonts w:eastAsiaTheme="majorEastAsia" w:cstheme="majorBidi"/>
              </w:rPr>
            </w:pPr>
            <w:r w:rsidRPr="00A168A8">
              <w:rPr>
                <w:rFonts w:eastAsiaTheme="majorEastAsia" w:cstheme="majorBidi"/>
              </w:rPr>
              <w:t>$</w:t>
            </w:r>
            <w:r w:rsidR="00894221" w:rsidRPr="00A168A8">
              <w:rPr>
                <w:rFonts w:eastAsiaTheme="majorEastAsia" w:cstheme="majorBidi"/>
              </w:rPr>
              <w:t>redacted</w:t>
            </w:r>
          </w:p>
        </w:tc>
      </w:tr>
      <w:tr w:rsidR="00C4130E" w:rsidRPr="0052484B" w14:paraId="5E621784" w14:textId="77777777" w:rsidTr="00C4130E">
        <w:trPr>
          <w:trHeight w:val="20"/>
        </w:trPr>
        <w:tc>
          <w:tcPr>
            <w:tcW w:w="3964" w:type="dxa"/>
            <w:shd w:val="clear" w:color="auto" w:fill="auto"/>
            <w:noWrap/>
          </w:tcPr>
          <w:p w14:paraId="62625983" w14:textId="77777777" w:rsidR="00C4130E" w:rsidRPr="0052484B" w:rsidRDefault="00C4130E" w:rsidP="00C4130E">
            <w:pPr>
              <w:pStyle w:val="TableLeft"/>
              <w:rPr>
                <w:szCs w:val="20"/>
                <w:lang w:bidi="ar-SA"/>
              </w:rPr>
            </w:pPr>
            <w:r w:rsidRPr="0052484B">
              <w:rPr>
                <w:szCs w:val="20"/>
                <w:lang w:bidi="ar-SA"/>
              </w:rPr>
              <w:t>Salvage therapy (including costs of administration)</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210F1B2" w14:textId="55AA1580" w:rsidR="00C4130E" w:rsidRPr="00A168A8" w:rsidRDefault="00C4130E" w:rsidP="00C4130E">
            <w:pPr>
              <w:jc w:val="center"/>
              <w:rPr>
                <w:rFonts w:eastAsiaTheme="majorEastAsia" w:cstheme="majorBidi"/>
              </w:rPr>
            </w:pPr>
            <w:r w:rsidRPr="00A168A8">
              <w:rPr>
                <w:rFonts w:cs="Calibri"/>
              </w:rPr>
              <w:t>$</w:t>
            </w:r>
            <w:r w:rsidR="00894221" w:rsidRPr="00A168A8">
              <w:rPr>
                <w:rFonts w:cs="Calibri"/>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F152437" w14:textId="7907B52D" w:rsidR="00C4130E" w:rsidRPr="00A168A8" w:rsidRDefault="00C4130E" w:rsidP="00C4130E">
            <w:pPr>
              <w:jc w:val="center"/>
              <w:rPr>
                <w:rFonts w:eastAsiaTheme="majorEastAsia" w:cstheme="majorBidi"/>
              </w:rPr>
            </w:pPr>
            <w:r w:rsidRPr="00A168A8">
              <w:rPr>
                <w:rFonts w:cs="Calibri"/>
              </w:rPr>
              <w:t>$</w:t>
            </w:r>
            <w:r w:rsidR="00894221" w:rsidRPr="00A168A8">
              <w:rPr>
                <w:rFonts w:cs="Calibri"/>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91B10D9" w14:textId="37BE6BD8" w:rsidR="00C4130E" w:rsidRPr="00A168A8" w:rsidRDefault="00C4130E" w:rsidP="00C4130E">
            <w:pPr>
              <w:jc w:val="center"/>
              <w:rPr>
                <w:rFonts w:eastAsiaTheme="majorEastAsia" w:cstheme="majorBidi"/>
              </w:rPr>
            </w:pPr>
            <w:r w:rsidRPr="00A168A8">
              <w:rPr>
                <w:rFonts w:cs="Calibri"/>
              </w:rPr>
              <w:t>$</w:t>
            </w:r>
            <w:r w:rsidR="00894221" w:rsidRPr="00A168A8">
              <w:rPr>
                <w:rFonts w:cs="Calibri"/>
              </w:rPr>
              <w:t>redacted</w:t>
            </w:r>
          </w:p>
        </w:tc>
      </w:tr>
      <w:tr w:rsidR="00C4130E" w:rsidRPr="0052484B" w14:paraId="5A00C3B0" w14:textId="77777777" w:rsidTr="00C4130E">
        <w:trPr>
          <w:trHeight w:val="20"/>
        </w:trPr>
        <w:tc>
          <w:tcPr>
            <w:tcW w:w="3964" w:type="dxa"/>
            <w:shd w:val="clear" w:color="auto" w:fill="auto"/>
            <w:noWrap/>
          </w:tcPr>
          <w:p w14:paraId="742D161D" w14:textId="77777777" w:rsidR="00C4130E" w:rsidRPr="0052484B" w:rsidRDefault="00C4130E" w:rsidP="00C4130E">
            <w:pPr>
              <w:pStyle w:val="TableLeft"/>
              <w:rPr>
                <w:szCs w:val="20"/>
                <w:lang w:bidi="ar-SA"/>
              </w:rPr>
            </w:pPr>
            <w:r w:rsidRPr="0052484B">
              <w:rPr>
                <w:szCs w:val="20"/>
                <w:lang w:bidi="ar-SA"/>
              </w:rPr>
              <w:t xml:space="preserve">Costs associated with stem cell transplant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0B65DB6" w14:textId="1F3C17E9"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F35B64D" w14:textId="5F6E0256"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A9FA819" w14:textId="1A5C7C07" w:rsidR="00C4130E" w:rsidRPr="00A168A8" w:rsidRDefault="00C4130E" w:rsidP="00C4130E">
            <w:pPr>
              <w:pStyle w:val="TableLeft"/>
              <w:jc w:val="center"/>
              <w:rPr>
                <w:color w:val="FF0000"/>
                <w:szCs w:val="20"/>
                <w:lang w:bidi="ar-SA"/>
              </w:rPr>
            </w:pPr>
            <w:r w:rsidRPr="00A168A8">
              <w:rPr>
                <w:rFonts w:cs="Calibri"/>
                <w:szCs w:val="20"/>
              </w:rPr>
              <w:t>$</w:t>
            </w:r>
            <w:r w:rsidR="00894221" w:rsidRPr="00A168A8">
              <w:rPr>
                <w:rFonts w:cs="Calibri"/>
                <w:szCs w:val="20"/>
              </w:rPr>
              <w:t>redacted</w:t>
            </w:r>
          </w:p>
        </w:tc>
      </w:tr>
      <w:tr w:rsidR="00C4130E" w:rsidRPr="0052484B" w14:paraId="32807273" w14:textId="77777777" w:rsidTr="00C4130E">
        <w:trPr>
          <w:trHeight w:val="20"/>
        </w:trPr>
        <w:tc>
          <w:tcPr>
            <w:tcW w:w="3964" w:type="dxa"/>
            <w:shd w:val="clear" w:color="auto" w:fill="auto"/>
            <w:noWrap/>
          </w:tcPr>
          <w:p w14:paraId="6A601379" w14:textId="77777777" w:rsidR="00C4130E" w:rsidRPr="0052484B" w:rsidRDefault="00C4130E" w:rsidP="00C4130E">
            <w:pPr>
              <w:pStyle w:val="TableLeft"/>
              <w:rPr>
                <w:szCs w:val="20"/>
                <w:lang w:bidi="ar-SA"/>
              </w:rPr>
            </w:pPr>
            <w:r w:rsidRPr="0052484B">
              <w:rPr>
                <w:szCs w:val="20"/>
                <w:lang w:bidi="ar-SA"/>
              </w:rPr>
              <w:t>Costs to monitor and manage patients in the community</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2D7EF50" w14:textId="690EE9C3"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104882F" w14:textId="7C2ADA24"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5E94ECB" w14:textId="12FFA465"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r>
      <w:tr w:rsidR="00C4130E" w:rsidRPr="0052484B" w14:paraId="23578B2F" w14:textId="77777777" w:rsidTr="00C4130E">
        <w:trPr>
          <w:trHeight w:val="20"/>
        </w:trPr>
        <w:tc>
          <w:tcPr>
            <w:tcW w:w="3964" w:type="dxa"/>
            <w:shd w:val="clear" w:color="auto" w:fill="auto"/>
            <w:noWrap/>
          </w:tcPr>
          <w:p w14:paraId="04B3822B" w14:textId="77777777" w:rsidR="00C4130E" w:rsidRPr="0052484B" w:rsidRDefault="00C4130E" w:rsidP="00C4130E">
            <w:pPr>
              <w:pStyle w:val="TableLeft"/>
              <w:rPr>
                <w:szCs w:val="20"/>
                <w:lang w:bidi="ar-SA"/>
              </w:rPr>
            </w:pPr>
            <w:r w:rsidRPr="0052484B">
              <w:rPr>
                <w:szCs w:val="20"/>
                <w:lang w:bidi="ar-SA"/>
              </w:rPr>
              <w:t xml:space="preserve">Palliation costs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5955DAC" w14:textId="74528058"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E377635" w14:textId="1C129F04"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0BED0A8" w14:textId="116B176D"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r>
      <w:tr w:rsidR="00C4130E" w:rsidRPr="0052484B" w14:paraId="62C8E9CF" w14:textId="77777777" w:rsidTr="00C4130E">
        <w:trPr>
          <w:trHeight w:val="20"/>
        </w:trPr>
        <w:tc>
          <w:tcPr>
            <w:tcW w:w="3964" w:type="dxa"/>
            <w:shd w:val="clear" w:color="auto" w:fill="auto"/>
            <w:noWrap/>
          </w:tcPr>
          <w:p w14:paraId="70834EDB" w14:textId="77777777" w:rsidR="00C4130E" w:rsidRPr="0052484B" w:rsidRDefault="00C4130E" w:rsidP="00C4130E">
            <w:pPr>
              <w:pStyle w:val="TableLeft"/>
              <w:rPr>
                <w:szCs w:val="20"/>
                <w:lang w:bidi="ar-SA"/>
              </w:rPr>
            </w:pPr>
            <w:r w:rsidRPr="0052484B">
              <w:rPr>
                <w:szCs w:val="20"/>
                <w:lang w:bidi="ar-SA"/>
              </w:rPr>
              <w:t xml:space="preserve">AE costs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8751E04" w14:textId="546E6233"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00D8666" w14:textId="29BA21CF"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1E9D623" w14:textId="64AFCF86" w:rsidR="00C4130E" w:rsidRPr="00A168A8" w:rsidRDefault="00C4130E" w:rsidP="00C4130E">
            <w:pPr>
              <w:pStyle w:val="TableLeft"/>
              <w:jc w:val="center"/>
              <w:rPr>
                <w:szCs w:val="20"/>
                <w:lang w:bidi="ar-SA"/>
              </w:rPr>
            </w:pPr>
            <w:r w:rsidRPr="00A168A8">
              <w:rPr>
                <w:rFonts w:cs="Calibri"/>
                <w:szCs w:val="20"/>
              </w:rPr>
              <w:t>$</w:t>
            </w:r>
            <w:r w:rsidR="00894221" w:rsidRPr="00A168A8">
              <w:rPr>
                <w:rFonts w:cs="Calibri"/>
                <w:szCs w:val="20"/>
              </w:rPr>
              <w:t>redacted</w:t>
            </w:r>
          </w:p>
        </w:tc>
      </w:tr>
      <w:tr w:rsidR="00C4130E" w:rsidRPr="0052484B" w14:paraId="6008096B" w14:textId="77777777" w:rsidTr="00C4130E">
        <w:trPr>
          <w:trHeight w:val="20"/>
        </w:trPr>
        <w:tc>
          <w:tcPr>
            <w:tcW w:w="3964" w:type="dxa"/>
            <w:shd w:val="clear" w:color="auto" w:fill="auto"/>
            <w:noWrap/>
            <w:vAlign w:val="center"/>
            <w:hideMark/>
          </w:tcPr>
          <w:p w14:paraId="50BE9605" w14:textId="77777777" w:rsidR="00C4130E" w:rsidRPr="0052484B" w:rsidRDefault="00C4130E" w:rsidP="00C4130E">
            <w:pPr>
              <w:rPr>
                <w:b/>
                <w:color w:val="000000"/>
              </w:rPr>
            </w:pPr>
            <w:r w:rsidRPr="0052484B">
              <w:rPr>
                <w:b/>
                <w:color w:val="000000"/>
              </w:rPr>
              <w:t>Costs over a 30-year time horizon (discounted)</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A8E2644" w14:textId="47B932E7" w:rsidR="00C4130E" w:rsidRPr="00A168A8" w:rsidRDefault="00C4130E" w:rsidP="00C4130E">
            <w:pPr>
              <w:jc w:val="center"/>
              <w:rPr>
                <w:b/>
              </w:rPr>
            </w:pPr>
            <w:r w:rsidRPr="00A168A8">
              <w:rPr>
                <w:rFonts w:cs="Calibri"/>
                <w:b/>
                <w:bCs/>
              </w:rPr>
              <w:t>$</w:t>
            </w:r>
            <w:r w:rsidR="00894221" w:rsidRPr="00A168A8">
              <w:rPr>
                <w:rFonts w:cs="Calibri"/>
                <w:b/>
                <w:bCs/>
              </w:rPr>
              <w:t>redacted</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A5EE07B" w14:textId="26E29EFD" w:rsidR="00C4130E" w:rsidRPr="00A168A8" w:rsidRDefault="00C4130E" w:rsidP="00C4130E">
            <w:pPr>
              <w:jc w:val="center"/>
              <w:rPr>
                <w:b/>
              </w:rPr>
            </w:pPr>
            <w:r w:rsidRPr="00A168A8">
              <w:rPr>
                <w:rFonts w:cs="Calibri"/>
                <w:b/>
              </w:rPr>
              <w:t>$</w:t>
            </w:r>
            <w:r w:rsidR="00894221" w:rsidRPr="00A168A8">
              <w:rPr>
                <w:rFonts w:cs="Calibri"/>
                <w:b/>
              </w:rPr>
              <w:t>redacted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4D6D076" w14:textId="5EFA05EF" w:rsidR="00C4130E" w:rsidRPr="00A168A8" w:rsidRDefault="00C4130E" w:rsidP="00C4130E">
            <w:pPr>
              <w:jc w:val="center"/>
              <w:rPr>
                <w:b/>
              </w:rPr>
            </w:pPr>
            <w:r w:rsidRPr="00A168A8">
              <w:rPr>
                <w:rFonts w:cs="Calibri"/>
                <w:b/>
                <w:bCs/>
              </w:rPr>
              <w:t>$</w:t>
            </w:r>
            <w:r w:rsidR="00894221" w:rsidRPr="00A168A8">
              <w:rPr>
                <w:rFonts w:cs="Calibri"/>
                <w:b/>
                <w:bCs/>
              </w:rPr>
              <w:t>redacted</w:t>
            </w:r>
          </w:p>
        </w:tc>
      </w:tr>
      <w:tr w:rsidR="00C4130E" w:rsidRPr="0052484B" w14:paraId="45886FA8" w14:textId="77777777" w:rsidTr="00C4130E">
        <w:trPr>
          <w:trHeight w:val="20"/>
        </w:trPr>
        <w:tc>
          <w:tcPr>
            <w:tcW w:w="3964" w:type="dxa"/>
            <w:shd w:val="clear" w:color="auto" w:fill="auto"/>
            <w:noWrap/>
            <w:vAlign w:val="center"/>
            <w:hideMark/>
          </w:tcPr>
          <w:p w14:paraId="2F5E43CF" w14:textId="77777777" w:rsidR="00C4130E" w:rsidRPr="0052484B" w:rsidRDefault="00C4130E" w:rsidP="00C4130E">
            <w:pPr>
              <w:rPr>
                <w:color w:val="000000"/>
              </w:rPr>
            </w:pPr>
            <w:r w:rsidRPr="0052484B">
              <w:rPr>
                <w:color w:val="000000"/>
              </w:rPr>
              <w:t>Life-years over a 30-year time horizon (discounted)</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E5C324B" w14:textId="77777777" w:rsidR="00C4130E" w:rsidRPr="00A168A8" w:rsidRDefault="00C4130E" w:rsidP="00C4130E">
            <w:pPr>
              <w:jc w:val="center"/>
            </w:pPr>
            <w:r w:rsidRPr="00A168A8">
              <w:t>6.866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20235C5" w14:textId="77777777" w:rsidR="00C4130E" w:rsidRPr="00A168A8" w:rsidRDefault="00C4130E" w:rsidP="00C4130E">
            <w:pPr>
              <w:jc w:val="center"/>
            </w:pPr>
            <w:r w:rsidRPr="00A168A8">
              <w:t>1.540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9D5AE31" w14:textId="77777777" w:rsidR="00C4130E" w:rsidRPr="00A168A8" w:rsidRDefault="00C4130E" w:rsidP="00C4130E">
            <w:pPr>
              <w:jc w:val="center"/>
            </w:pPr>
            <w:r w:rsidRPr="00A168A8">
              <w:t>5.327</w:t>
            </w:r>
          </w:p>
        </w:tc>
      </w:tr>
      <w:tr w:rsidR="00C4130E" w:rsidRPr="0052484B" w14:paraId="40F64ED2" w14:textId="77777777" w:rsidTr="00C4130E">
        <w:trPr>
          <w:trHeight w:val="20"/>
        </w:trPr>
        <w:tc>
          <w:tcPr>
            <w:tcW w:w="3964" w:type="dxa"/>
            <w:shd w:val="clear" w:color="auto" w:fill="auto"/>
            <w:noWrap/>
            <w:vAlign w:val="center"/>
            <w:hideMark/>
          </w:tcPr>
          <w:p w14:paraId="1E30626A" w14:textId="77777777" w:rsidR="00C4130E" w:rsidRPr="0052484B" w:rsidRDefault="00C4130E" w:rsidP="00C4130E">
            <w:pPr>
              <w:rPr>
                <w:color w:val="000000"/>
              </w:rPr>
            </w:pPr>
            <w:r w:rsidRPr="0052484B">
              <w:rPr>
                <w:color w:val="000000"/>
              </w:rPr>
              <w:t>QALYs over a 30-year time horizon (discounted)</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13C42F1" w14:textId="77777777" w:rsidR="00C4130E" w:rsidRPr="00A168A8" w:rsidRDefault="00C4130E" w:rsidP="00C4130E">
            <w:pPr>
              <w:jc w:val="center"/>
            </w:pPr>
            <w:r w:rsidRPr="00A168A8">
              <w:rPr>
                <w:rFonts w:eastAsiaTheme="majorEastAsia" w:cstheme="majorBidi"/>
              </w:rPr>
              <w:t>5.090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FE0E780" w14:textId="77777777" w:rsidR="00C4130E" w:rsidRPr="00A168A8" w:rsidRDefault="00C4130E" w:rsidP="00C4130E">
            <w:pPr>
              <w:jc w:val="center"/>
            </w:pPr>
            <w:r w:rsidRPr="00A168A8">
              <w:rPr>
                <w:rFonts w:eastAsiaTheme="majorEastAsia" w:cstheme="majorBidi"/>
              </w:rPr>
              <w:t>1.191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21DEC12" w14:textId="77777777" w:rsidR="00C4130E" w:rsidRPr="00A168A8" w:rsidRDefault="00C4130E" w:rsidP="00C4130E">
            <w:pPr>
              <w:jc w:val="center"/>
            </w:pPr>
            <w:r w:rsidRPr="00A168A8">
              <w:rPr>
                <w:rFonts w:eastAsiaTheme="majorEastAsia" w:cstheme="majorBidi"/>
              </w:rPr>
              <w:t>3.899</w:t>
            </w:r>
          </w:p>
        </w:tc>
      </w:tr>
      <w:tr w:rsidR="00C4130E" w:rsidRPr="0052484B" w14:paraId="531E5EEF" w14:textId="77777777" w:rsidTr="00C4130E">
        <w:trPr>
          <w:trHeight w:val="20"/>
        </w:trPr>
        <w:tc>
          <w:tcPr>
            <w:tcW w:w="7083" w:type="dxa"/>
            <w:gridSpan w:val="3"/>
            <w:tcBorders>
              <w:top w:val="single" w:sz="4" w:space="0" w:color="auto"/>
              <w:bottom w:val="single" w:sz="4" w:space="0" w:color="auto"/>
            </w:tcBorders>
            <w:shd w:val="clear" w:color="auto" w:fill="auto"/>
            <w:noWrap/>
            <w:vAlign w:val="center"/>
          </w:tcPr>
          <w:p w14:paraId="443AB7CA" w14:textId="77777777" w:rsidR="00C4130E" w:rsidRPr="00A168A8" w:rsidRDefault="00C4130E" w:rsidP="00C4130E">
            <w:pPr>
              <w:jc w:val="right"/>
              <w:rPr>
                <w:b/>
                <w:color w:val="000000"/>
              </w:rPr>
            </w:pPr>
            <w:r w:rsidRPr="00A168A8">
              <w:rPr>
                <w:b/>
                <w:color w:val="000000"/>
              </w:rPr>
              <w:t>Incremental cost per life-year gained over a lifetime time horizon</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BA990A2" w14:textId="38C27A3E" w:rsidR="00C4130E" w:rsidRPr="00A168A8" w:rsidRDefault="00C4130E" w:rsidP="00C4130E">
            <w:pPr>
              <w:jc w:val="center"/>
              <w:rPr>
                <w:b/>
              </w:rPr>
            </w:pPr>
            <w:r w:rsidRPr="00A168A8">
              <w:rPr>
                <w:rFonts w:cs="Calibri"/>
                <w:b/>
                <w:bCs/>
              </w:rPr>
              <w:t>$</w:t>
            </w:r>
            <w:r w:rsidR="00894221" w:rsidRPr="00A168A8">
              <w:rPr>
                <w:rFonts w:cs="Calibri"/>
                <w:b/>
                <w:bCs/>
              </w:rPr>
              <w:t>redacted</w:t>
            </w:r>
          </w:p>
        </w:tc>
      </w:tr>
      <w:tr w:rsidR="00C4130E" w:rsidRPr="0052484B" w14:paraId="5E0C7700" w14:textId="77777777" w:rsidTr="00C4130E">
        <w:trPr>
          <w:trHeight w:val="20"/>
        </w:trPr>
        <w:tc>
          <w:tcPr>
            <w:tcW w:w="7083" w:type="dxa"/>
            <w:gridSpan w:val="3"/>
            <w:tcBorders>
              <w:top w:val="single" w:sz="4" w:space="0" w:color="auto"/>
              <w:bottom w:val="single" w:sz="4" w:space="0" w:color="auto"/>
            </w:tcBorders>
            <w:shd w:val="clear" w:color="auto" w:fill="auto"/>
            <w:noWrap/>
            <w:vAlign w:val="center"/>
          </w:tcPr>
          <w:p w14:paraId="4F2CC69F" w14:textId="77777777" w:rsidR="00C4130E" w:rsidRPr="00A168A8" w:rsidRDefault="00C4130E" w:rsidP="00C4130E">
            <w:pPr>
              <w:jc w:val="right"/>
              <w:rPr>
                <w:b/>
                <w:color w:val="000000"/>
              </w:rPr>
            </w:pPr>
            <w:r w:rsidRPr="00A168A8">
              <w:rPr>
                <w:b/>
                <w:color w:val="000000"/>
              </w:rPr>
              <w:t>Incremental cost per QALY gained over a lifetime time horizon</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3CCACC3" w14:textId="17D85CE4" w:rsidR="00C4130E" w:rsidRPr="00A168A8" w:rsidRDefault="00C4130E" w:rsidP="00C4130E">
            <w:pPr>
              <w:jc w:val="center"/>
              <w:rPr>
                <w:b/>
              </w:rPr>
            </w:pPr>
            <w:r w:rsidRPr="00A168A8">
              <w:rPr>
                <w:rFonts w:cs="Calibri"/>
                <w:b/>
                <w:bCs/>
              </w:rPr>
              <w:t>$</w:t>
            </w:r>
            <w:r w:rsidR="00894221" w:rsidRPr="00A168A8">
              <w:rPr>
                <w:rFonts w:cs="Calibri"/>
                <w:b/>
                <w:bCs/>
              </w:rPr>
              <w:t>redacted</w:t>
            </w:r>
          </w:p>
        </w:tc>
      </w:tr>
    </w:tbl>
    <w:p w14:paraId="1F3E23C1" w14:textId="77777777" w:rsidR="00C4130E" w:rsidRDefault="0052484B" w:rsidP="00C4130E">
      <w:pPr>
        <w:spacing w:before="240" w:after="200"/>
      </w:pPr>
      <w:r>
        <w:t xml:space="preserve">Figure 10 </w:t>
      </w:r>
      <w:r w:rsidR="00C4130E">
        <w:t xml:space="preserve">presents a trace of modelled outcomes in the brexucabtagene autoleucel and salvage therapy arms. Mean survival (undiscounted) in patients treated with brexucabtagene autoleucel is </w:t>
      </w:r>
      <w:r w:rsidR="00C4130E" w:rsidRPr="0052484B">
        <w:t>10.78 years compared with 1.77 years</w:t>
      </w:r>
      <w:r w:rsidR="00C4130E">
        <w:t xml:space="preserve"> in patients managed with salvage therapy. </w:t>
      </w:r>
    </w:p>
    <w:p w14:paraId="2DEE540B" w14:textId="641C9921" w:rsidR="00C4130E" w:rsidRDefault="00C4130E" w:rsidP="00C4130E">
      <w:pPr>
        <w:pStyle w:val="Caption"/>
        <w:spacing w:line="276" w:lineRule="auto"/>
      </w:pPr>
      <w:bookmarkStart w:id="36" w:name="_Ref63376826"/>
      <w:bookmarkStart w:id="37" w:name="_Toc63557231"/>
      <w:bookmarkStart w:id="38" w:name="_Toc68685821"/>
      <w:r w:rsidRPr="007254C3">
        <w:lastRenderedPageBreak/>
        <w:t xml:space="preserve">Figure </w:t>
      </w:r>
      <w:bookmarkEnd w:id="36"/>
      <w:r w:rsidR="0052484B">
        <w:t>10</w:t>
      </w:r>
      <w:r w:rsidRPr="007254C3">
        <w:t>:</w:t>
      </w:r>
      <w:r w:rsidR="0052484B">
        <w:t xml:space="preserve"> </w:t>
      </w:r>
      <w:r>
        <w:t xml:space="preserve">Comparison of survival in patients treated with brexucabtagene autoleucel and salvage therapy as generated by the modelled economic </w:t>
      </w:r>
      <w:proofErr w:type="gramStart"/>
      <w:r>
        <w:t>evaluation</w:t>
      </w:r>
      <w:bookmarkEnd w:id="37"/>
      <w:bookmarkEnd w:id="38"/>
      <w:proofErr w:type="gramEnd"/>
    </w:p>
    <w:p w14:paraId="2B1AF4ED" w14:textId="77777777" w:rsidR="00C4130E" w:rsidRPr="00A82FA5" w:rsidRDefault="00C4130E" w:rsidP="00C4130E">
      <w:pPr>
        <w:jc w:val="center"/>
      </w:pPr>
      <w:r>
        <w:rPr>
          <w:noProof/>
        </w:rPr>
        <w:drawing>
          <wp:inline distT="0" distB="0" distL="0" distR="0" wp14:anchorId="6129914C" wp14:editId="2CD23A08">
            <wp:extent cx="5719445" cy="2886075"/>
            <wp:effectExtent l="0" t="0" r="0" b="9525"/>
            <wp:docPr id="3" name="Picture 3" descr="Comparison of survival in patients treated with brexucabtagene autoleucel and salvage therapy as generated by the modelled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arison of survival in patients treated with brexucabtagene autoleucel and salvage therapy as generated by the modelled economic evalu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3866" cy="2893352"/>
                    </a:xfrm>
                    <a:prstGeom prst="rect">
                      <a:avLst/>
                    </a:prstGeom>
                    <a:noFill/>
                    <a:ln>
                      <a:noFill/>
                    </a:ln>
                  </pic:spPr>
                </pic:pic>
              </a:graphicData>
            </a:graphic>
          </wp:inline>
        </w:drawing>
      </w:r>
    </w:p>
    <w:p w14:paraId="71CD3DA7" w14:textId="77777777" w:rsidR="00136969" w:rsidRPr="001550E5" w:rsidRDefault="00065623"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Financial/budgetary impacts</w:t>
      </w:r>
    </w:p>
    <w:p w14:paraId="27DB6357" w14:textId="5012F8FD" w:rsidR="00880946" w:rsidRDefault="00200AA9" w:rsidP="00880946">
      <w:r w:rsidRPr="00A168A8">
        <w:t xml:space="preserve">The application estimated that in Year 1, </w:t>
      </w:r>
      <w:r w:rsidR="00894221" w:rsidRPr="00A168A8">
        <w:rPr>
          <w:b/>
          <w:bCs/>
          <w:color w:val="000000"/>
        </w:rPr>
        <w:t>redacted</w:t>
      </w:r>
      <w:r w:rsidRPr="00A168A8">
        <w:t xml:space="preserve"> patients will be treated by brexucabtagene autoleucel, increasing to </w:t>
      </w:r>
      <w:r w:rsidR="00894221" w:rsidRPr="00A168A8">
        <w:rPr>
          <w:b/>
          <w:bCs/>
          <w:color w:val="000000"/>
        </w:rPr>
        <w:t>redacted</w:t>
      </w:r>
      <w:r w:rsidRPr="00A168A8">
        <w:t xml:space="preserve"> in Year 6. This corresponds to a net budget impact of $</w:t>
      </w:r>
      <w:r w:rsidR="00894221" w:rsidRPr="00A168A8">
        <w:rPr>
          <w:b/>
          <w:bCs/>
          <w:color w:val="000000"/>
        </w:rPr>
        <w:t>redacted</w:t>
      </w:r>
      <w:r w:rsidR="00894221" w:rsidRPr="00A168A8" w:rsidDel="00894221">
        <w:t xml:space="preserve"> </w:t>
      </w:r>
      <w:r w:rsidRPr="00A168A8">
        <w:t>in Year 1 increasing to $</w:t>
      </w:r>
      <w:r w:rsidR="00894221" w:rsidRPr="00A168A8">
        <w:rPr>
          <w:b/>
          <w:bCs/>
          <w:color w:val="000000"/>
        </w:rPr>
        <w:t>redacted</w:t>
      </w:r>
      <w:r w:rsidR="00894221" w:rsidRPr="00A168A8" w:rsidDel="00894221">
        <w:t xml:space="preserve"> </w:t>
      </w:r>
      <w:r w:rsidRPr="00A168A8">
        <w:t>in Year 6 and a total net impact of $</w:t>
      </w:r>
      <w:r w:rsidR="00894221" w:rsidRPr="00A168A8">
        <w:rPr>
          <w:b/>
          <w:bCs/>
          <w:color w:val="000000"/>
        </w:rPr>
        <w:t>redacted</w:t>
      </w:r>
      <w:r w:rsidR="00894221" w:rsidRPr="00A168A8" w:rsidDel="00894221">
        <w:t xml:space="preserve"> </w:t>
      </w:r>
      <w:r w:rsidRPr="00A168A8">
        <w:t>over the forward estimates period.</w:t>
      </w:r>
      <w:r w:rsidR="00880946">
        <w:br w:type="page"/>
      </w:r>
    </w:p>
    <w:p w14:paraId="7EA6200D" w14:textId="77777777" w:rsidR="007430E7" w:rsidRPr="001550E5" w:rsidRDefault="007430E7"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lastRenderedPageBreak/>
        <w:t xml:space="preserve">Key Issues from ESC </w:t>
      </w:r>
      <w:r w:rsidR="001550E5">
        <w:rPr>
          <w:rFonts w:ascii="Arial" w:eastAsia="Times New Roman" w:hAnsi="Arial" w:cs="Times New Roman"/>
        </w:rPr>
        <w:t>for</w:t>
      </w:r>
      <w:r w:rsidRPr="001550E5">
        <w:rPr>
          <w:rFonts w:ascii="Arial" w:eastAsia="Times New Roman" w:hAnsi="Arial" w:cs="Times New Roman"/>
        </w:rPr>
        <w:t xml:space="preserve"> MSAC</w:t>
      </w:r>
    </w:p>
    <w:tbl>
      <w:tblPr>
        <w:tblStyle w:val="TableGrid"/>
        <w:tblpPr w:leftFromText="180" w:rightFromText="180" w:vertAnchor="text" w:tblpY="1"/>
        <w:tblOverlap w:val="never"/>
        <w:tblW w:w="0" w:type="auto"/>
        <w:tblLook w:val="04A0" w:firstRow="1" w:lastRow="0" w:firstColumn="1" w:lastColumn="0" w:noHBand="0" w:noVBand="1"/>
        <w:tblDescription w:val="Summary of key issues from ESC for MSAC consideration"/>
      </w:tblPr>
      <w:tblGrid>
        <w:gridCol w:w="1809"/>
        <w:gridCol w:w="7207"/>
      </w:tblGrid>
      <w:tr w:rsidR="007430E7" w:rsidRPr="00D97520" w14:paraId="14736C78" w14:textId="77777777" w:rsidTr="007430E7">
        <w:trPr>
          <w:cantSplit/>
        </w:trPr>
        <w:tc>
          <w:tcPr>
            <w:tcW w:w="1809" w:type="dxa"/>
          </w:tcPr>
          <w:p w14:paraId="4628879C" w14:textId="77777777" w:rsidR="007430E7" w:rsidRPr="00D97520" w:rsidRDefault="007430E7" w:rsidP="007430E7">
            <w:pPr>
              <w:pStyle w:val="TableHeading"/>
              <w:rPr>
                <w:rFonts w:ascii="Times New Roman" w:hAnsi="Times New Roman" w:cs="Times New Roman"/>
                <w:sz w:val="22"/>
                <w:szCs w:val="22"/>
              </w:rPr>
            </w:pPr>
            <w:r w:rsidRPr="00D97520">
              <w:rPr>
                <w:rFonts w:ascii="Times New Roman" w:hAnsi="Times New Roman" w:cs="Times New Roman"/>
                <w:sz w:val="22"/>
                <w:szCs w:val="22"/>
              </w:rPr>
              <w:t>ESC key issue</w:t>
            </w:r>
          </w:p>
        </w:tc>
        <w:tc>
          <w:tcPr>
            <w:tcW w:w="7207" w:type="dxa"/>
          </w:tcPr>
          <w:p w14:paraId="1BE7534D" w14:textId="77777777" w:rsidR="007430E7" w:rsidRPr="00D97520" w:rsidRDefault="007430E7" w:rsidP="007430E7">
            <w:pPr>
              <w:pStyle w:val="TableHeading"/>
              <w:rPr>
                <w:rFonts w:ascii="Times New Roman" w:hAnsi="Times New Roman" w:cs="Times New Roman"/>
                <w:sz w:val="22"/>
                <w:szCs w:val="22"/>
              </w:rPr>
            </w:pPr>
            <w:r w:rsidRPr="00D97520">
              <w:rPr>
                <w:rFonts w:ascii="Times New Roman" w:hAnsi="Times New Roman" w:cs="Times New Roman"/>
                <w:sz w:val="22"/>
                <w:szCs w:val="22"/>
              </w:rPr>
              <w:t>ESC advice to MSAC</w:t>
            </w:r>
          </w:p>
        </w:tc>
      </w:tr>
      <w:tr w:rsidR="007430E7" w:rsidRPr="00D97520" w14:paraId="322657BF" w14:textId="77777777" w:rsidTr="007430E7">
        <w:trPr>
          <w:cantSplit/>
        </w:trPr>
        <w:tc>
          <w:tcPr>
            <w:tcW w:w="1809" w:type="dxa"/>
          </w:tcPr>
          <w:p w14:paraId="2B14F39D"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Limited evidence base</w:t>
            </w:r>
          </w:p>
        </w:tc>
        <w:tc>
          <w:tcPr>
            <w:tcW w:w="7207" w:type="dxa"/>
          </w:tcPr>
          <w:p w14:paraId="5DD29477"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There is a high level of uncertainty around the magnitude and the duration of the survival benefits</w:t>
            </w:r>
            <w:r>
              <w:rPr>
                <w:rFonts w:ascii="Times New Roman" w:hAnsi="Times New Roman"/>
                <w:sz w:val="22"/>
                <w:szCs w:val="22"/>
              </w:rPr>
              <w:t xml:space="preserve"> compared to the comparator (salvage therapies)</w:t>
            </w:r>
            <w:r w:rsidRPr="00D97520">
              <w:rPr>
                <w:rFonts w:ascii="Times New Roman" w:hAnsi="Times New Roman"/>
                <w:sz w:val="22"/>
                <w:szCs w:val="22"/>
              </w:rPr>
              <w:t>. The ZUMA-2 data (and any extrapolations based on these data) are highly uncertain given that:</w:t>
            </w:r>
          </w:p>
          <w:p w14:paraId="72968F8A" w14:textId="77777777" w:rsidR="007430E7" w:rsidRPr="00D97520" w:rsidRDefault="007430E7" w:rsidP="007430E7">
            <w:pPr>
              <w:pStyle w:val="TableBullet"/>
              <w:rPr>
                <w:rFonts w:ascii="Times New Roman" w:hAnsi="Times New Roman"/>
                <w:sz w:val="22"/>
                <w:szCs w:val="22"/>
              </w:rPr>
            </w:pPr>
            <w:r w:rsidRPr="00D97520">
              <w:rPr>
                <w:rFonts w:ascii="Times New Roman" w:hAnsi="Times New Roman"/>
                <w:sz w:val="22"/>
                <w:szCs w:val="22"/>
              </w:rPr>
              <w:t xml:space="preserve">it is a </w:t>
            </w:r>
            <w:proofErr w:type="gramStart"/>
            <w:r w:rsidRPr="00D97520">
              <w:rPr>
                <w:rFonts w:ascii="Times New Roman" w:hAnsi="Times New Roman"/>
                <w:sz w:val="22"/>
                <w:szCs w:val="22"/>
              </w:rPr>
              <w:t>single-arm</w:t>
            </w:r>
            <w:proofErr w:type="gramEnd"/>
            <w:r w:rsidRPr="00D97520">
              <w:rPr>
                <w:rFonts w:ascii="Times New Roman" w:hAnsi="Times New Roman"/>
                <w:sz w:val="22"/>
                <w:szCs w:val="22"/>
              </w:rPr>
              <w:t xml:space="preserve"> study</w:t>
            </w:r>
          </w:p>
          <w:p w14:paraId="150D9A12" w14:textId="77777777" w:rsidR="007430E7" w:rsidRPr="00D97520" w:rsidRDefault="007430E7" w:rsidP="007430E7">
            <w:pPr>
              <w:pStyle w:val="TableBullet"/>
              <w:rPr>
                <w:rFonts w:ascii="Times New Roman" w:hAnsi="Times New Roman"/>
                <w:sz w:val="22"/>
                <w:szCs w:val="22"/>
              </w:rPr>
            </w:pPr>
            <w:r w:rsidRPr="00D97520">
              <w:rPr>
                <w:rFonts w:ascii="Times New Roman" w:hAnsi="Times New Roman"/>
                <w:sz w:val="22"/>
                <w:szCs w:val="22"/>
              </w:rPr>
              <w:t xml:space="preserve">the follow-up is </w:t>
            </w:r>
            <w:proofErr w:type="gramStart"/>
            <w:r w:rsidRPr="00D97520">
              <w:rPr>
                <w:rFonts w:ascii="Times New Roman" w:hAnsi="Times New Roman"/>
                <w:sz w:val="22"/>
                <w:szCs w:val="22"/>
              </w:rPr>
              <w:t>short</w:t>
            </w:r>
            <w:proofErr w:type="gramEnd"/>
            <w:r w:rsidRPr="00D97520">
              <w:rPr>
                <w:rFonts w:ascii="Times New Roman" w:hAnsi="Times New Roman"/>
                <w:sz w:val="22"/>
                <w:szCs w:val="22"/>
              </w:rPr>
              <w:t xml:space="preserve"> </w:t>
            </w:r>
          </w:p>
          <w:p w14:paraId="45DC5E9C" w14:textId="77777777" w:rsidR="007430E7" w:rsidRPr="00375E5C" w:rsidRDefault="007430E7" w:rsidP="007430E7">
            <w:pPr>
              <w:pStyle w:val="TableBullet"/>
              <w:rPr>
                <w:sz w:val="22"/>
                <w:szCs w:val="22"/>
              </w:rPr>
            </w:pPr>
            <w:r w:rsidRPr="00D97520">
              <w:rPr>
                <w:rFonts w:ascii="Times New Roman" w:hAnsi="Times New Roman"/>
                <w:sz w:val="22"/>
                <w:szCs w:val="22"/>
              </w:rPr>
              <w:t>there are some applicability issues.</w:t>
            </w:r>
          </w:p>
        </w:tc>
      </w:tr>
      <w:tr w:rsidR="007430E7" w:rsidRPr="00D97520" w14:paraId="7A6BCE6F" w14:textId="77777777" w:rsidTr="007430E7">
        <w:trPr>
          <w:cantSplit/>
        </w:trPr>
        <w:tc>
          <w:tcPr>
            <w:tcW w:w="1809" w:type="dxa"/>
          </w:tcPr>
          <w:p w14:paraId="04010266"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Economic evaluation and budget impact are uncertain</w:t>
            </w:r>
          </w:p>
        </w:tc>
        <w:tc>
          <w:tcPr>
            <w:tcW w:w="7207" w:type="dxa"/>
          </w:tcPr>
          <w:p w14:paraId="35C5A586"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lang w:val="en-GB"/>
              </w:rPr>
              <w:t xml:space="preserve">The clinical effectiveness evidence used in the economic evaluation (which informs the model inputs) </w:t>
            </w:r>
            <w:r>
              <w:rPr>
                <w:rFonts w:ascii="Times New Roman" w:hAnsi="Times New Roman"/>
                <w:sz w:val="22"/>
                <w:szCs w:val="22"/>
                <w:lang w:val="en-GB"/>
              </w:rPr>
              <w:t>is</w:t>
            </w:r>
            <w:r w:rsidRPr="00D97520">
              <w:rPr>
                <w:rFonts w:ascii="Times New Roman" w:hAnsi="Times New Roman"/>
                <w:sz w:val="22"/>
                <w:szCs w:val="22"/>
                <w:lang w:val="en-GB"/>
              </w:rPr>
              <w:t xml:space="preserve"> weak and subject to bias. There are uncertain extrapolations of survival data (time horizon = 30 years). The ZUMA-2 observed data may not be mature enough to robustly inform appropriate long-term projections. There appears to be a high risk of long-term relapse and death due to severe adverse events. The budget impact is likely to be underestimated.</w:t>
            </w:r>
          </w:p>
        </w:tc>
      </w:tr>
      <w:tr w:rsidR="007430E7" w:rsidRPr="00D97520" w14:paraId="0424657A" w14:textId="77777777" w:rsidTr="007430E7">
        <w:trPr>
          <w:cantSplit/>
        </w:trPr>
        <w:tc>
          <w:tcPr>
            <w:tcW w:w="1809" w:type="dxa"/>
          </w:tcPr>
          <w:p w14:paraId="14DB607A"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Eligibility criteria</w:t>
            </w:r>
          </w:p>
        </w:tc>
        <w:tc>
          <w:tcPr>
            <w:tcW w:w="7207" w:type="dxa"/>
          </w:tcPr>
          <w:p w14:paraId="3F10EE61"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MSAC may wish to:</w:t>
            </w:r>
          </w:p>
          <w:p w14:paraId="0795D2B6" w14:textId="77777777" w:rsidR="007430E7" w:rsidRPr="00D97520" w:rsidRDefault="007430E7" w:rsidP="007430E7">
            <w:pPr>
              <w:pStyle w:val="TableBullet"/>
              <w:rPr>
                <w:rFonts w:ascii="Times New Roman" w:hAnsi="Times New Roman"/>
                <w:sz w:val="22"/>
                <w:szCs w:val="22"/>
              </w:rPr>
            </w:pPr>
            <w:r>
              <w:rPr>
                <w:rFonts w:ascii="Times New Roman" w:hAnsi="Times New Roman"/>
                <w:sz w:val="22"/>
                <w:szCs w:val="22"/>
              </w:rPr>
              <w:t>consider the TGA indication (if the product is included on the ARTG by the MSAC meeting date) to help inform</w:t>
            </w:r>
            <w:r w:rsidRPr="00D97520">
              <w:rPr>
                <w:rFonts w:ascii="Times New Roman" w:hAnsi="Times New Roman"/>
                <w:sz w:val="22"/>
                <w:szCs w:val="22"/>
              </w:rPr>
              <w:t xml:space="preserve"> eligibility </w:t>
            </w:r>
            <w:proofErr w:type="gramStart"/>
            <w:r w:rsidRPr="00D97520">
              <w:rPr>
                <w:rFonts w:ascii="Times New Roman" w:hAnsi="Times New Roman"/>
                <w:sz w:val="22"/>
                <w:szCs w:val="22"/>
              </w:rPr>
              <w:t>criteria</w:t>
            </w:r>
            <w:proofErr w:type="gramEnd"/>
          </w:p>
          <w:p w14:paraId="19C150EF" w14:textId="77777777" w:rsidR="007430E7" w:rsidRPr="00D97520" w:rsidRDefault="007430E7" w:rsidP="007430E7">
            <w:pPr>
              <w:pStyle w:val="TableBullet"/>
              <w:rPr>
                <w:rFonts w:ascii="Times New Roman" w:hAnsi="Times New Roman"/>
                <w:sz w:val="22"/>
                <w:szCs w:val="22"/>
              </w:rPr>
            </w:pPr>
            <w:r w:rsidRPr="00D97520">
              <w:rPr>
                <w:rFonts w:ascii="Times New Roman" w:hAnsi="Times New Roman"/>
                <w:sz w:val="22"/>
                <w:szCs w:val="22"/>
              </w:rPr>
              <w:t>consider re-instating the exclusion criteri</w:t>
            </w:r>
            <w:r>
              <w:rPr>
                <w:rFonts w:ascii="Times New Roman" w:hAnsi="Times New Roman"/>
                <w:sz w:val="22"/>
                <w:szCs w:val="22"/>
              </w:rPr>
              <w:t>on</w:t>
            </w:r>
            <w:r w:rsidRPr="00D97520">
              <w:rPr>
                <w:rFonts w:ascii="Times New Roman" w:hAnsi="Times New Roman"/>
                <w:sz w:val="22"/>
                <w:szCs w:val="22"/>
              </w:rPr>
              <w:t xml:space="preserve"> “prior allogenic SCT” as per ZUMA-2</w:t>
            </w:r>
          </w:p>
          <w:p w14:paraId="284A98DF" w14:textId="77777777" w:rsidR="007430E7" w:rsidRPr="00D97520" w:rsidRDefault="007430E7" w:rsidP="007430E7">
            <w:pPr>
              <w:pStyle w:val="TableBullet"/>
              <w:rPr>
                <w:rFonts w:ascii="Times New Roman" w:hAnsi="Times New Roman"/>
                <w:sz w:val="22"/>
                <w:szCs w:val="22"/>
              </w:rPr>
            </w:pPr>
            <w:r w:rsidRPr="00D97520">
              <w:rPr>
                <w:rFonts w:ascii="Times New Roman" w:hAnsi="Times New Roman"/>
                <w:sz w:val="22"/>
                <w:szCs w:val="22"/>
              </w:rPr>
              <w:t>consider reinstating the exclusion criteri</w:t>
            </w:r>
            <w:r>
              <w:rPr>
                <w:rFonts w:ascii="Times New Roman" w:hAnsi="Times New Roman"/>
                <w:sz w:val="22"/>
                <w:szCs w:val="22"/>
              </w:rPr>
              <w:t>on</w:t>
            </w:r>
            <w:r w:rsidRPr="00D97520">
              <w:rPr>
                <w:rFonts w:ascii="Times New Roman" w:hAnsi="Times New Roman"/>
                <w:sz w:val="22"/>
                <w:szCs w:val="22"/>
              </w:rPr>
              <w:t xml:space="preserve"> “patient must not have primary CNS lymphoma”, as </w:t>
            </w:r>
            <w:r>
              <w:rPr>
                <w:rFonts w:ascii="Times New Roman" w:hAnsi="Times New Roman"/>
                <w:sz w:val="22"/>
                <w:szCs w:val="22"/>
              </w:rPr>
              <w:t>per</w:t>
            </w:r>
            <w:r w:rsidRPr="00D97520">
              <w:rPr>
                <w:rFonts w:ascii="Times New Roman" w:hAnsi="Times New Roman"/>
                <w:sz w:val="22"/>
                <w:szCs w:val="22"/>
              </w:rPr>
              <w:t xml:space="preserve"> the </w:t>
            </w:r>
            <w:proofErr w:type="spellStart"/>
            <w:r w:rsidRPr="00D97520">
              <w:rPr>
                <w:rFonts w:ascii="Times New Roman" w:hAnsi="Times New Roman"/>
                <w:sz w:val="22"/>
                <w:szCs w:val="22"/>
              </w:rPr>
              <w:t>Yescarta</w:t>
            </w:r>
            <w:proofErr w:type="spellEnd"/>
            <w:r w:rsidRPr="00D97520">
              <w:rPr>
                <w:rFonts w:ascii="Times New Roman" w:hAnsi="Times New Roman"/>
                <w:sz w:val="22"/>
                <w:szCs w:val="22"/>
              </w:rPr>
              <w:t>® eligibility</w:t>
            </w:r>
            <w:r>
              <w:rPr>
                <w:rFonts w:ascii="Times New Roman" w:hAnsi="Times New Roman"/>
                <w:sz w:val="22"/>
                <w:szCs w:val="22"/>
              </w:rPr>
              <w:t xml:space="preserve"> </w:t>
            </w:r>
            <w:proofErr w:type="gramStart"/>
            <w:r>
              <w:rPr>
                <w:rFonts w:ascii="Times New Roman" w:hAnsi="Times New Roman"/>
                <w:sz w:val="22"/>
                <w:szCs w:val="22"/>
              </w:rPr>
              <w:t>criteria</w:t>
            </w:r>
            <w:proofErr w:type="gramEnd"/>
          </w:p>
          <w:p w14:paraId="50D777C1" w14:textId="77777777" w:rsidR="007430E7" w:rsidRPr="00D97520" w:rsidRDefault="007430E7" w:rsidP="007430E7">
            <w:pPr>
              <w:pStyle w:val="TableBullet"/>
              <w:rPr>
                <w:rFonts w:ascii="Times New Roman" w:hAnsi="Times New Roman"/>
                <w:sz w:val="22"/>
                <w:szCs w:val="22"/>
              </w:rPr>
            </w:pPr>
            <w:r w:rsidRPr="00D97520">
              <w:rPr>
                <w:rFonts w:ascii="Times New Roman" w:hAnsi="Times New Roman"/>
                <w:sz w:val="22"/>
                <w:szCs w:val="22"/>
              </w:rPr>
              <w:t xml:space="preserve">consider reinstating “patient must not have uncontrolled secondary CNS disease, or secondary CNS disease anticipated to be uncontrolled at the time of lymphocyte infusion”, as </w:t>
            </w:r>
            <w:r>
              <w:rPr>
                <w:rFonts w:ascii="Times New Roman" w:hAnsi="Times New Roman"/>
                <w:sz w:val="22"/>
                <w:szCs w:val="22"/>
              </w:rPr>
              <w:t>per</w:t>
            </w:r>
            <w:r w:rsidRPr="00D97520">
              <w:rPr>
                <w:rFonts w:ascii="Times New Roman" w:hAnsi="Times New Roman"/>
                <w:sz w:val="22"/>
                <w:szCs w:val="22"/>
              </w:rPr>
              <w:t xml:space="preserve"> the </w:t>
            </w:r>
            <w:proofErr w:type="spellStart"/>
            <w:r w:rsidRPr="00D97520">
              <w:rPr>
                <w:rFonts w:ascii="Times New Roman" w:hAnsi="Times New Roman"/>
                <w:sz w:val="22"/>
                <w:szCs w:val="22"/>
              </w:rPr>
              <w:t>Yescarta</w:t>
            </w:r>
            <w:proofErr w:type="spellEnd"/>
            <w:r w:rsidRPr="00D97520">
              <w:rPr>
                <w:rFonts w:ascii="Times New Roman" w:hAnsi="Times New Roman"/>
                <w:sz w:val="22"/>
                <w:szCs w:val="22"/>
              </w:rPr>
              <w:t xml:space="preserve">® </w:t>
            </w:r>
            <w:proofErr w:type="gramStart"/>
            <w:r w:rsidRPr="00D97520">
              <w:rPr>
                <w:rFonts w:ascii="Times New Roman" w:hAnsi="Times New Roman"/>
                <w:sz w:val="22"/>
                <w:szCs w:val="22"/>
              </w:rPr>
              <w:t>eligibility</w:t>
            </w:r>
            <w:proofErr w:type="gramEnd"/>
            <w:r w:rsidRPr="00D97520">
              <w:rPr>
                <w:rFonts w:ascii="Times New Roman" w:hAnsi="Times New Roman"/>
                <w:sz w:val="22"/>
                <w:szCs w:val="22"/>
              </w:rPr>
              <w:t xml:space="preserve"> </w:t>
            </w:r>
          </w:p>
          <w:p w14:paraId="751A11A9" w14:textId="77777777" w:rsidR="007430E7" w:rsidRPr="00A056C2" w:rsidRDefault="007430E7" w:rsidP="007430E7">
            <w:pPr>
              <w:pStyle w:val="TableBullet"/>
              <w:rPr>
                <w:rFonts w:ascii="Times New Roman" w:hAnsi="Times New Roman"/>
                <w:sz w:val="22"/>
                <w:szCs w:val="22"/>
              </w:rPr>
            </w:pPr>
            <w:r w:rsidRPr="00D97520">
              <w:rPr>
                <w:rFonts w:ascii="Times New Roman" w:hAnsi="Times New Roman"/>
                <w:sz w:val="22"/>
                <w:szCs w:val="22"/>
              </w:rPr>
              <w:t>note the ZUMA-2 exclusion “subjects with detectable cerebrospinal fluid malignant cells or brain metastases or with a history of cerebrospinal fluid malignant cells or brain metastases”</w:t>
            </w:r>
          </w:p>
        </w:tc>
      </w:tr>
      <w:tr w:rsidR="007430E7" w:rsidRPr="00D97520" w14:paraId="5DD34713" w14:textId="77777777" w:rsidTr="007430E7">
        <w:trPr>
          <w:cantSplit/>
        </w:trPr>
        <w:tc>
          <w:tcPr>
            <w:tcW w:w="1809" w:type="dxa"/>
          </w:tcPr>
          <w:p w14:paraId="0355AE26"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Base case might not be clinically plausible</w:t>
            </w:r>
          </w:p>
        </w:tc>
        <w:tc>
          <w:tcPr>
            <w:tcW w:w="7207" w:type="dxa"/>
          </w:tcPr>
          <w:p w14:paraId="09069D75"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lang w:val="en-GB"/>
              </w:rPr>
              <w:t xml:space="preserve">The choice of survival function for the base case (with impact on the ICER) may result in survival curves that are not clinically plausible. ESC recommended using a </w:t>
            </w:r>
            <w:r w:rsidRPr="00D97520">
              <w:rPr>
                <w:rFonts w:ascii="Times New Roman" w:hAnsi="Times New Roman"/>
                <w:sz w:val="22"/>
                <w:szCs w:val="22"/>
              </w:rPr>
              <w:t>more flexible extrapolation approach (</w:t>
            </w:r>
            <w:proofErr w:type="gramStart"/>
            <w:r w:rsidRPr="00D97520">
              <w:rPr>
                <w:rFonts w:ascii="Times New Roman" w:hAnsi="Times New Roman"/>
                <w:sz w:val="22"/>
                <w:szCs w:val="22"/>
              </w:rPr>
              <w:t>e.g.</w:t>
            </w:r>
            <w:proofErr w:type="gramEnd"/>
            <w:r w:rsidRPr="00D97520">
              <w:rPr>
                <w:rFonts w:ascii="Times New Roman" w:hAnsi="Times New Roman"/>
                <w:sz w:val="22"/>
                <w:szCs w:val="22"/>
              </w:rPr>
              <w:t xml:space="preserve"> piecewise spline models). Grey et al. (</w:t>
            </w:r>
            <w:r w:rsidRPr="00D97520">
              <w:rPr>
                <w:rFonts w:ascii="Times New Roman" w:hAnsi="Times New Roman"/>
                <w:i/>
                <w:iCs/>
                <w:sz w:val="22"/>
                <w:szCs w:val="22"/>
              </w:rPr>
              <w:t>Medical Decision Making</w:t>
            </w:r>
            <w:r w:rsidRPr="00D97520">
              <w:rPr>
                <w:rFonts w:ascii="Times New Roman" w:hAnsi="Times New Roman"/>
                <w:sz w:val="22"/>
                <w:szCs w:val="22"/>
              </w:rPr>
              <w:t xml:space="preserve"> 2021 41(2):179–193) found that, across 15 cancer datasets, the spline model generated more accurate predictions of survival outcomes than standard parametric models.</w:t>
            </w:r>
          </w:p>
        </w:tc>
      </w:tr>
      <w:tr w:rsidR="007430E7" w:rsidRPr="00D97520" w14:paraId="346B722E" w14:textId="77777777" w:rsidTr="007430E7">
        <w:trPr>
          <w:cantSplit/>
        </w:trPr>
        <w:tc>
          <w:tcPr>
            <w:tcW w:w="1809" w:type="dxa"/>
          </w:tcPr>
          <w:p w14:paraId="0D5A9F3D"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Lack of real-world Australian data </w:t>
            </w:r>
          </w:p>
        </w:tc>
        <w:tc>
          <w:tcPr>
            <w:tcW w:w="7207" w:type="dxa"/>
          </w:tcPr>
          <w:p w14:paraId="689B99E2"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 xml:space="preserve">If </w:t>
            </w:r>
            <w:r w:rsidRPr="00D8603D">
              <w:rPr>
                <w:rFonts w:ascii="Times New Roman" w:hAnsi="Times New Roman"/>
                <w:sz w:val="22"/>
                <w:szCs w:val="22"/>
              </w:rPr>
              <w:t xml:space="preserve">brexucabtagene autoleucel </w:t>
            </w:r>
            <w:r w:rsidRPr="00D97520">
              <w:rPr>
                <w:rFonts w:ascii="Times New Roman" w:hAnsi="Times New Roman"/>
                <w:sz w:val="22"/>
                <w:szCs w:val="22"/>
              </w:rPr>
              <w:t xml:space="preserve">is funded, ESC recommends requiring a review of effectiveness/safety/cost within 1–2 years, like the </w:t>
            </w:r>
            <w:proofErr w:type="spellStart"/>
            <w:r w:rsidRPr="00D97520">
              <w:rPr>
                <w:rFonts w:ascii="Times New Roman" w:hAnsi="Times New Roman"/>
                <w:sz w:val="22"/>
                <w:szCs w:val="22"/>
              </w:rPr>
              <w:t>Yescarta</w:t>
            </w:r>
            <w:proofErr w:type="spellEnd"/>
            <w:r w:rsidRPr="00D97520">
              <w:rPr>
                <w:rFonts w:ascii="Times New Roman" w:hAnsi="Times New Roman"/>
                <w:sz w:val="22"/>
                <w:szCs w:val="22"/>
              </w:rPr>
              <w:t xml:space="preserve">® agreement. ESC noted that a pay-for-performance arrangement would be </w:t>
            </w:r>
            <w:r>
              <w:rPr>
                <w:rFonts w:ascii="Times New Roman" w:hAnsi="Times New Roman"/>
                <w:sz w:val="22"/>
                <w:szCs w:val="22"/>
              </w:rPr>
              <w:t>appropriate</w:t>
            </w:r>
            <w:r w:rsidRPr="00D97520">
              <w:rPr>
                <w:rFonts w:ascii="Times New Roman" w:hAnsi="Times New Roman"/>
                <w:sz w:val="22"/>
                <w:szCs w:val="22"/>
              </w:rPr>
              <w:t xml:space="preserve"> if </w:t>
            </w:r>
            <w:r w:rsidRPr="00D8603D">
              <w:rPr>
                <w:rFonts w:ascii="Times New Roman" w:hAnsi="Times New Roman"/>
                <w:sz w:val="22"/>
                <w:szCs w:val="22"/>
              </w:rPr>
              <w:t xml:space="preserve">brexucabtagene autoleucel </w:t>
            </w:r>
            <w:r w:rsidRPr="00D97520">
              <w:rPr>
                <w:rFonts w:ascii="Times New Roman" w:hAnsi="Times New Roman"/>
                <w:sz w:val="22"/>
                <w:szCs w:val="22"/>
              </w:rPr>
              <w:t>were to be funded.</w:t>
            </w:r>
          </w:p>
        </w:tc>
      </w:tr>
      <w:tr w:rsidR="007430E7" w:rsidRPr="00D97520" w14:paraId="4E2CB915" w14:textId="77777777" w:rsidTr="007430E7">
        <w:trPr>
          <w:cantSplit/>
        </w:trPr>
        <w:tc>
          <w:tcPr>
            <w:tcW w:w="1809" w:type="dxa"/>
          </w:tcPr>
          <w:p w14:paraId="19082AF3"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State and territory feedback</w:t>
            </w:r>
          </w:p>
        </w:tc>
        <w:tc>
          <w:tcPr>
            <w:tcW w:w="7207" w:type="dxa"/>
          </w:tcPr>
          <w:p w14:paraId="696476C1" w14:textId="77777777" w:rsidR="007430E7" w:rsidRPr="00D97520" w:rsidRDefault="007430E7" w:rsidP="007430E7">
            <w:pPr>
              <w:pStyle w:val="TableText0"/>
              <w:rPr>
                <w:rFonts w:ascii="Times New Roman" w:hAnsi="Times New Roman"/>
                <w:sz w:val="22"/>
                <w:szCs w:val="22"/>
              </w:rPr>
            </w:pPr>
            <w:r w:rsidRPr="00D97520">
              <w:rPr>
                <w:rFonts w:ascii="Times New Roman" w:hAnsi="Times New Roman"/>
                <w:sz w:val="22"/>
                <w:szCs w:val="22"/>
              </w:rPr>
              <w:t xml:space="preserve">The responses from several states suggested that ancillary costs are higher than estimated in the submission (~20% increase in the base case ICER). The applicant is open to discussing </w:t>
            </w:r>
            <w:r>
              <w:rPr>
                <w:rFonts w:ascii="Times New Roman" w:hAnsi="Times New Roman"/>
                <w:sz w:val="22"/>
                <w:szCs w:val="22"/>
              </w:rPr>
              <w:t>ancillary costs</w:t>
            </w:r>
            <w:r w:rsidRPr="00D97520">
              <w:rPr>
                <w:rFonts w:ascii="Times New Roman" w:hAnsi="Times New Roman"/>
                <w:sz w:val="22"/>
                <w:szCs w:val="22"/>
              </w:rPr>
              <w:t xml:space="preserve"> with governments. </w:t>
            </w:r>
          </w:p>
        </w:tc>
      </w:tr>
    </w:tbl>
    <w:p w14:paraId="3C89109F" w14:textId="77777777" w:rsidR="007430E7" w:rsidRPr="00B02E35" w:rsidRDefault="007430E7" w:rsidP="00DE7DEF">
      <w:pPr>
        <w:tabs>
          <w:tab w:val="left" w:pos="2265"/>
          <w:tab w:val="left" w:pos="3420"/>
          <w:tab w:val="left" w:pos="4320"/>
        </w:tabs>
        <w:spacing w:before="240" w:after="120"/>
        <w:rPr>
          <w:b/>
        </w:rPr>
      </w:pPr>
      <w:r>
        <w:rPr>
          <w:b/>
        </w:rPr>
        <w:t>ESC Discussion</w:t>
      </w:r>
    </w:p>
    <w:p w14:paraId="714F688B" w14:textId="77777777" w:rsidR="007430E7" w:rsidRDefault="007430E7" w:rsidP="007430E7">
      <w:pPr>
        <w:rPr>
          <w:rFonts w:eastAsia="Calibri"/>
          <w:lang w:eastAsia="en-US"/>
        </w:rPr>
      </w:pPr>
      <w:r>
        <w:rPr>
          <w:rFonts w:eastAsia="Calibri"/>
          <w:lang w:eastAsia="en-US"/>
        </w:rPr>
        <w:t xml:space="preserve">ESC noted that this application was for public funding of </w:t>
      </w:r>
      <w:r w:rsidRPr="00D20AF0">
        <w:rPr>
          <w:rFonts w:eastAsia="Calibri"/>
          <w:lang w:eastAsia="en-US"/>
        </w:rPr>
        <w:t>brexucabtagene autoleucel (</w:t>
      </w:r>
      <w:proofErr w:type="spellStart"/>
      <w:r w:rsidRPr="00D20AF0">
        <w:rPr>
          <w:rFonts w:eastAsia="Calibri"/>
          <w:lang w:eastAsia="en-US"/>
        </w:rPr>
        <w:t>Tecartus</w:t>
      </w:r>
      <w:proofErr w:type="spellEnd"/>
      <w:r w:rsidRPr="00375E5C">
        <w:rPr>
          <w:rFonts w:eastAsia="Calibri"/>
          <w:vertAlign w:val="superscript"/>
          <w:lang w:eastAsia="en-US"/>
        </w:rPr>
        <w:t>®</w:t>
      </w:r>
      <w:r w:rsidRPr="00D20AF0">
        <w:rPr>
          <w:rFonts w:eastAsia="Calibri"/>
          <w:lang w:eastAsia="en-US"/>
        </w:rPr>
        <w:t>) for treatment of patients with relapsed or refractory mantle cell lymphoma (R/R MCL)</w:t>
      </w:r>
      <w:r>
        <w:rPr>
          <w:rFonts w:eastAsia="Calibri"/>
          <w:lang w:eastAsia="en-US"/>
        </w:rPr>
        <w:t xml:space="preserve">. </w:t>
      </w:r>
      <w:r w:rsidRPr="00D20AF0">
        <w:rPr>
          <w:rFonts w:eastAsia="Calibri"/>
          <w:lang w:eastAsia="en-US"/>
        </w:rPr>
        <w:t xml:space="preserve">R/R </w:t>
      </w:r>
      <w:r>
        <w:rPr>
          <w:rFonts w:eastAsia="Calibri"/>
          <w:lang w:eastAsia="en-US"/>
        </w:rPr>
        <w:t>refers to</w:t>
      </w:r>
      <w:r w:rsidRPr="00D20AF0">
        <w:rPr>
          <w:rFonts w:eastAsia="Calibri"/>
          <w:lang w:eastAsia="en-US"/>
        </w:rPr>
        <w:t xml:space="preserve"> patients who have failed immunochemotherapy (</w:t>
      </w:r>
      <w:r>
        <w:rPr>
          <w:rFonts w:eastAsia="Calibri"/>
          <w:lang w:eastAsia="en-US"/>
        </w:rPr>
        <w:t>first-</w:t>
      </w:r>
      <w:r w:rsidRPr="00D20AF0">
        <w:rPr>
          <w:rFonts w:eastAsia="Calibri"/>
          <w:lang w:eastAsia="en-US"/>
        </w:rPr>
        <w:t xml:space="preserve">line) and </w:t>
      </w:r>
      <w:r w:rsidRPr="00F62F7F">
        <w:rPr>
          <w:rFonts w:eastAsia="Calibri"/>
          <w:lang w:eastAsia="en-US"/>
        </w:rPr>
        <w:t xml:space="preserve">Bruton's tyrosine kinase </w:t>
      </w:r>
      <w:r>
        <w:rPr>
          <w:rFonts w:eastAsia="Calibri"/>
          <w:lang w:eastAsia="en-US"/>
        </w:rPr>
        <w:t>(</w:t>
      </w:r>
      <w:r w:rsidRPr="00D20AF0">
        <w:rPr>
          <w:rFonts w:eastAsia="Calibri"/>
          <w:lang w:eastAsia="en-US"/>
        </w:rPr>
        <w:t>BTK</w:t>
      </w:r>
      <w:r>
        <w:rPr>
          <w:rFonts w:eastAsia="Calibri"/>
          <w:lang w:eastAsia="en-US"/>
        </w:rPr>
        <w:t>)</w:t>
      </w:r>
      <w:r w:rsidRPr="00D20AF0">
        <w:rPr>
          <w:rFonts w:eastAsia="Calibri"/>
          <w:lang w:eastAsia="en-US"/>
        </w:rPr>
        <w:t xml:space="preserve"> inhibitor therapy (</w:t>
      </w:r>
      <w:proofErr w:type="gramStart"/>
      <w:r>
        <w:rPr>
          <w:rFonts w:eastAsia="Calibri"/>
          <w:lang w:eastAsia="en-US"/>
        </w:rPr>
        <w:t>second-</w:t>
      </w:r>
      <w:r w:rsidRPr="00D20AF0">
        <w:rPr>
          <w:rFonts w:eastAsia="Calibri"/>
          <w:lang w:eastAsia="en-US"/>
        </w:rPr>
        <w:t>line</w:t>
      </w:r>
      <w:proofErr w:type="gramEnd"/>
      <w:r w:rsidRPr="00D20AF0">
        <w:rPr>
          <w:rFonts w:eastAsia="Calibri"/>
          <w:lang w:eastAsia="en-US"/>
        </w:rPr>
        <w:t>)</w:t>
      </w:r>
      <w:r>
        <w:rPr>
          <w:rFonts w:eastAsia="Calibri"/>
          <w:lang w:eastAsia="en-US"/>
        </w:rPr>
        <w:t xml:space="preserve">. ESC noted that the Therapeutic Goods </w:t>
      </w:r>
      <w:r>
        <w:rPr>
          <w:rFonts w:eastAsia="Calibri"/>
          <w:lang w:eastAsia="en-US"/>
        </w:rPr>
        <w:lastRenderedPageBreak/>
        <w:t xml:space="preserve">Administration (TGA) Delegate finalised the TGA Delegate’s Overview for </w:t>
      </w:r>
      <w:r>
        <w:t xml:space="preserve">brexucabtagene autoleucel </w:t>
      </w:r>
      <w:r>
        <w:rPr>
          <w:rFonts w:eastAsia="Calibri"/>
          <w:lang w:eastAsia="en-US"/>
        </w:rPr>
        <w:t>on 7 June 2021.</w:t>
      </w:r>
    </w:p>
    <w:p w14:paraId="0E6A92F6" w14:textId="224BC9DC" w:rsidR="007430E7" w:rsidRPr="00DA7246" w:rsidRDefault="007430E7" w:rsidP="007430E7">
      <w:pPr>
        <w:spacing w:before="240"/>
        <w:rPr>
          <w:rFonts w:eastAsia="Calibri"/>
          <w:i/>
        </w:rPr>
      </w:pPr>
      <w:r w:rsidRPr="00902381">
        <w:rPr>
          <w:rFonts w:eastAsia="Calibri"/>
          <w:lang w:eastAsia="en-US"/>
        </w:rPr>
        <w:t xml:space="preserve">ESC noted the responses from state governments, </w:t>
      </w:r>
      <w:r w:rsidR="00894221" w:rsidRPr="00902381">
        <w:rPr>
          <w:b/>
          <w:bCs/>
          <w:color w:val="000000"/>
        </w:rPr>
        <w:t>redacted</w:t>
      </w:r>
      <w:r w:rsidRPr="00902381">
        <w:rPr>
          <w:rFonts w:eastAsia="Calibri"/>
          <w:lang w:eastAsia="en-US"/>
        </w:rPr>
        <w:t>.</w:t>
      </w:r>
      <w:r w:rsidR="008C43B2" w:rsidRPr="00902381">
        <w:rPr>
          <w:rFonts w:eastAsia="Calibri"/>
          <w:lang w:eastAsia="en-US"/>
        </w:rPr>
        <w:t xml:space="preserve"> </w:t>
      </w:r>
    </w:p>
    <w:p w14:paraId="2994A197" w14:textId="77777777" w:rsidR="007430E7" w:rsidRPr="00902381" w:rsidRDefault="007430E7" w:rsidP="007430E7">
      <w:pPr>
        <w:spacing w:before="240"/>
        <w:rPr>
          <w:rFonts w:eastAsia="Calibri"/>
          <w:lang w:val="en-GB" w:eastAsia="en-US"/>
        </w:rPr>
      </w:pPr>
      <w:r w:rsidRPr="00902381">
        <w:rPr>
          <w:rFonts w:eastAsia="Calibri"/>
          <w:lang w:eastAsia="en-US"/>
        </w:rPr>
        <w:t xml:space="preserve">ESC noted that </w:t>
      </w:r>
      <w:r w:rsidRPr="00902381">
        <w:t xml:space="preserve">brexucabtagene autoleucel </w:t>
      </w:r>
      <w:r w:rsidRPr="00902381">
        <w:rPr>
          <w:rFonts w:eastAsia="Calibri"/>
          <w:lang w:eastAsia="en-US"/>
        </w:rPr>
        <w:t xml:space="preserve">is a one-time single intravenous infusion CAR-T cell therapy and is a similar product to </w:t>
      </w:r>
      <w:r w:rsidRPr="00902381">
        <w:rPr>
          <w:rFonts w:eastAsia="Calibri"/>
          <w:lang w:val="en-GB" w:eastAsia="en-US"/>
        </w:rPr>
        <w:t>axicabtagene ciloleucel (</w:t>
      </w:r>
      <w:proofErr w:type="spellStart"/>
      <w:r w:rsidRPr="00902381">
        <w:rPr>
          <w:rFonts w:eastAsia="Calibri"/>
          <w:lang w:val="en-GB" w:eastAsia="en-US"/>
        </w:rPr>
        <w:t>Yescarta</w:t>
      </w:r>
      <w:proofErr w:type="spellEnd"/>
      <w:r w:rsidRPr="00902381">
        <w:rPr>
          <w:rFonts w:eastAsia="Calibri"/>
          <w:lang w:val="en-GB" w:eastAsia="en-US"/>
        </w:rPr>
        <w:t>®). ESC noted that this application by-passed PASC.</w:t>
      </w:r>
    </w:p>
    <w:p w14:paraId="4607D680" w14:textId="27582C67" w:rsidR="007430E7" w:rsidRPr="00902381" w:rsidRDefault="007430E7" w:rsidP="007430E7">
      <w:pPr>
        <w:spacing w:before="240"/>
        <w:rPr>
          <w:rFonts w:eastAsia="Calibri"/>
          <w:b/>
          <w:bCs/>
          <w:lang w:val="en-GB" w:eastAsia="en-US"/>
        </w:rPr>
      </w:pPr>
      <w:r w:rsidRPr="00902381">
        <w:rPr>
          <w:rFonts w:eastAsia="Calibri"/>
          <w:lang w:val="en-GB" w:eastAsia="en-US"/>
        </w:rPr>
        <w:t xml:space="preserve">ESC queried the very high fee for </w:t>
      </w:r>
      <w:r w:rsidRPr="00902381">
        <w:t>brexucabtagene autoleucel</w:t>
      </w:r>
      <w:r w:rsidRPr="00902381">
        <w:rPr>
          <w:rFonts w:eastAsia="Calibri"/>
          <w:lang w:val="en-GB" w:eastAsia="en-US"/>
        </w:rPr>
        <w:t xml:space="preserve">, which was approximately </w:t>
      </w:r>
      <w:r w:rsidR="00894221" w:rsidRPr="00902381">
        <w:rPr>
          <w:b/>
          <w:bCs/>
          <w:color w:val="000000"/>
        </w:rPr>
        <w:t>redacted</w:t>
      </w:r>
      <w:r w:rsidR="00894221" w:rsidRPr="00902381" w:rsidDel="00894221">
        <w:rPr>
          <w:rFonts w:eastAsia="Calibri"/>
          <w:lang w:val="en-GB" w:eastAsia="en-US"/>
        </w:rPr>
        <w:t xml:space="preserve"> </w:t>
      </w:r>
      <w:r w:rsidRPr="00902381">
        <w:rPr>
          <w:rFonts w:eastAsia="Calibri"/>
          <w:lang w:val="en-GB" w:eastAsia="en-US"/>
        </w:rPr>
        <w:t>and has not been justified.</w:t>
      </w:r>
      <w:r w:rsidRPr="00902381">
        <w:rPr>
          <w:rFonts w:eastAsia="Calibri"/>
          <w:b/>
          <w:bCs/>
          <w:lang w:val="en-GB" w:eastAsia="en-US"/>
        </w:rPr>
        <w:t xml:space="preserve"> </w:t>
      </w:r>
    </w:p>
    <w:p w14:paraId="35BCD2A1" w14:textId="77777777" w:rsidR="007430E7" w:rsidRDefault="007430E7" w:rsidP="007430E7">
      <w:pPr>
        <w:pStyle w:val="NormalBeforeBullet0"/>
        <w:spacing w:before="240"/>
        <w:rPr>
          <w:rFonts w:eastAsia="Calibri"/>
          <w:lang w:eastAsia="en-US"/>
        </w:rPr>
      </w:pPr>
      <w:r w:rsidRPr="00902381">
        <w:rPr>
          <w:rFonts w:eastAsia="Calibri"/>
          <w:lang w:val="en-GB" w:eastAsia="en-US"/>
        </w:rPr>
        <w:t>ESC noted that MCL treatment is not considered curative, as most patients relapse. First-line</w:t>
      </w:r>
      <w:r>
        <w:rPr>
          <w:rFonts w:eastAsia="Calibri"/>
          <w:lang w:val="en-GB" w:eastAsia="en-US"/>
        </w:rPr>
        <w:t xml:space="preserve"> treatment includes </w:t>
      </w:r>
      <w:r w:rsidRPr="000129E8">
        <w:rPr>
          <w:rFonts w:eastAsia="Calibri"/>
          <w:lang w:val="en-GB" w:eastAsia="en-US"/>
        </w:rPr>
        <w:t>anthracycline</w:t>
      </w:r>
      <w:r>
        <w:rPr>
          <w:rFonts w:eastAsia="Calibri"/>
          <w:lang w:val="en-GB" w:eastAsia="en-US"/>
        </w:rPr>
        <w:t>-</w:t>
      </w:r>
      <w:r w:rsidRPr="000129E8">
        <w:rPr>
          <w:rFonts w:eastAsia="Calibri"/>
          <w:lang w:val="en-GB" w:eastAsia="en-US"/>
        </w:rPr>
        <w:t xml:space="preserve"> or </w:t>
      </w:r>
      <w:proofErr w:type="spellStart"/>
      <w:r w:rsidRPr="000129E8">
        <w:rPr>
          <w:rFonts w:eastAsia="Calibri"/>
          <w:lang w:val="en-GB" w:eastAsia="en-US"/>
        </w:rPr>
        <w:t>bendamustine</w:t>
      </w:r>
      <w:proofErr w:type="spellEnd"/>
      <w:r>
        <w:rPr>
          <w:rFonts w:eastAsia="Calibri"/>
          <w:lang w:val="en-GB" w:eastAsia="en-US"/>
        </w:rPr>
        <w:t>-</w:t>
      </w:r>
      <w:r w:rsidRPr="000129E8">
        <w:rPr>
          <w:rFonts w:eastAsia="Calibri"/>
          <w:lang w:val="en-GB" w:eastAsia="en-US"/>
        </w:rPr>
        <w:t>based immunochemotherapy</w:t>
      </w:r>
      <w:r>
        <w:rPr>
          <w:rFonts w:eastAsia="Calibri"/>
          <w:lang w:val="en-GB" w:eastAsia="en-US"/>
        </w:rPr>
        <w:t xml:space="preserve">, second-line therapy includes </w:t>
      </w:r>
      <w:r w:rsidRPr="000129E8">
        <w:rPr>
          <w:rFonts w:eastAsia="Calibri"/>
          <w:lang w:eastAsia="en-US"/>
        </w:rPr>
        <w:t xml:space="preserve">BTK inhibitor </w:t>
      </w:r>
      <w:r>
        <w:rPr>
          <w:rFonts w:eastAsia="Calibri"/>
          <w:lang w:eastAsia="en-US"/>
        </w:rPr>
        <w:t>i</w:t>
      </w:r>
      <w:r w:rsidRPr="000129E8">
        <w:rPr>
          <w:rFonts w:eastAsia="Calibri"/>
          <w:lang w:eastAsia="en-US"/>
        </w:rPr>
        <w:t>brutinib</w:t>
      </w:r>
      <w:r>
        <w:rPr>
          <w:rFonts w:eastAsia="Calibri"/>
          <w:lang w:eastAsia="en-US"/>
        </w:rPr>
        <w:t xml:space="preserve"> therapy and third-line treatment is “post-BTK inhibitor” salvage therapy, which includes:</w:t>
      </w:r>
    </w:p>
    <w:p w14:paraId="27E93412" w14:textId="77777777" w:rsidR="007430E7" w:rsidRPr="000129E8" w:rsidRDefault="007430E7" w:rsidP="007430E7">
      <w:pPr>
        <w:pStyle w:val="Bullet"/>
      </w:pPr>
      <w:r w:rsidRPr="000129E8">
        <w:t>various chemoimmunotherapy regimens (platinum/lenalidomide/bortezomib</w:t>
      </w:r>
      <w:r>
        <w:t>;</w:t>
      </w:r>
      <w:r w:rsidRPr="000129E8">
        <w:t xml:space="preserve"> some </w:t>
      </w:r>
      <w:r>
        <w:t xml:space="preserve">are </w:t>
      </w:r>
      <w:r w:rsidRPr="000129E8">
        <w:t xml:space="preserve">not </w:t>
      </w:r>
      <w:r>
        <w:t>listed on the Pharmaceutical Benefits Scheme [</w:t>
      </w:r>
      <w:r w:rsidRPr="000129E8">
        <w:t>PBS</w:t>
      </w:r>
      <w:r>
        <w:t>]</w:t>
      </w:r>
      <w:r w:rsidRPr="000129E8">
        <w:t>)</w:t>
      </w:r>
    </w:p>
    <w:p w14:paraId="387F5841" w14:textId="77777777" w:rsidR="007430E7" w:rsidRPr="000129E8" w:rsidRDefault="007430E7" w:rsidP="007430E7">
      <w:pPr>
        <w:pStyle w:val="Bullet"/>
      </w:pPr>
      <w:r w:rsidRPr="000129E8">
        <w:t xml:space="preserve">allogeneic stem cell transplant </w:t>
      </w:r>
      <w:r>
        <w:t xml:space="preserve">(SCT), </w:t>
      </w:r>
      <w:r w:rsidRPr="000129E8">
        <w:t>if fit</w:t>
      </w:r>
    </w:p>
    <w:p w14:paraId="0869748F" w14:textId="77777777" w:rsidR="007430E7" w:rsidRDefault="007430E7" w:rsidP="007430E7">
      <w:pPr>
        <w:pStyle w:val="BulletLast"/>
      </w:pPr>
      <w:r w:rsidRPr="000129E8">
        <w:t>clinical trial</w:t>
      </w:r>
      <w:r>
        <w:t>.</w:t>
      </w:r>
    </w:p>
    <w:p w14:paraId="50A9353D" w14:textId="77777777" w:rsidR="007430E7" w:rsidRDefault="007430E7" w:rsidP="007430E7">
      <w:r>
        <w:t>ESC noted that the PBS data suggest that 66% of patients who discontinue ibrutinib receive salvage therapy. The median overall survival (OS) is poor (10 months).</w:t>
      </w:r>
    </w:p>
    <w:p w14:paraId="066C5435" w14:textId="77777777" w:rsidR="007430E7" w:rsidRPr="00927A1F" w:rsidRDefault="007430E7" w:rsidP="007430E7">
      <w:pPr>
        <w:pStyle w:val="NormalBeforeBullet0"/>
        <w:spacing w:before="240"/>
        <w:rPr>
          <w:rFonts w:eastAsia="Calibri"/>
        </w:rPr>
      </w:pPr>
      <w:r>
        <w:rPr>
          <w:rFonts w:eastAsia="Calibri"/>
        </w:rPr>
        <w:t>ESC noted the proposed eligibility criteria in the pre-ESC response, in which the a</w:t>
      </w:r>
      <w:r w:rsidRPr="00927A1F">
        <w:rPr>
          <w:rFonts w:eastAsia="Calibri"/>
        </w:rPr>
        <w:t xml:space="preserve">pplicant </w:t>
      </w:r>
      <w:r>
        <w:rPr>
          <w:rFonts w:eastAsia="Calibri"/>
        </w:rPr>
        <w:t xml:space="preserve">included cytarabine based chemotherapy (as an alternative to anthracycline- or </w:t>
      </w:r>
      <w:proofErr w:type="spellStart"/>
      <w:r>
        <w:rPr>
          <w:rFonts w:eastAsia="Calibri"/>
        </w:rPr>
        <w:t>bendamustine</w:t>
      </w:r>
      <w:proofErr w:type="spellEnd"/>
      <w:r>
        <w:rPr>
          <w:rFonts w:eastAsia="Calibri"/>
        </w:rPr>
        <w:t>-based chemoimmunotherapy as a preceding line of therapy); modified the exclusion criterion concerning pre-existing CNS disease; and removed the exclusion concerning history of allogeneic SCT.</w:t>
      </w:r>
    </w:p>
    <w:p w14:paraId="04E73014" w14:textId="77777777" w:rsidR="007430E7" w:rsidRDefault="007430E7" w:rsidP="007430E7">
      <w:pPr>
        <w:spacing w:before="240"/>
        <w:rPr>
          <w:rFonts w:eastAsia="Calibri"/>
          <w:b/>
          <w:bCs/>
          <w:lang w:eastAsia="en-US"/>
        </w:rPr>
      </w:pPr>
      <w:r>
        <w:t xml:space="preserve">ESC noted that the key trial (ZUMA-2) showing clinical effectiveness for brexucabtagene autoleucel </w:t>
      </w:r>
      <w:r w:rsidRPr="00927A1F">
        <w:rPr>
          <w:rFonts w:eastAsia="Calibri"/>
        </w:rPr>
        <w:t xml:space="preserve">excluded </w:t>
      </w:r>
      <w:r>
        <w:rPr>
          <w:rFonts w:eastAsia="Calibri"/>
        </w:rPr>
        <w:t>(amongst others) patients with MRI evidence of CNS lymphoma, and patients with detectable cerebrospinal fluid (CSF) malignant cells or brain metastases or with a history of CSF malignant cells or brain metastases, and patients with a history of allogeneic SCT</w:t>
      </w:r>
      <w:r w:rsidRPr="00927A1F">
        <w:rPr>
          <w:rFonts w:eastAsia="Calibri"/>
        </w:rPr>
        <w:t>.</w:t>
      </w:r>
      <w:r>
        <w:rPr>
          <w:rFonts w:eastAsia="Calibri"/>
          <w:b/>
          <w:bCs/>
          <w:lang w:eastAsia="en-US"/>
        </w:rPr>
        <w:t xml:space="preserve"> </w:t>
      </w:r>
    </w:p>
    <w:p w14:paraId="342C12EF" w14:textId="77777777" w:rsidR="007430E7" w:rsidRDefault="007430E7" w:rsidP="007430E7">
      <w:pPr>
        <w:spacing w:before="240"/>
        <w:rPr>
          <w:rFonts w:eastAsia="Calibri"/>
          <w:b/>
          <w:bCs/>
          <w:lang w:eastAsia="en-US"/>
        </w:rPr>
      </w:pPr>
      <w:r>
        <w:t xml:space="preserve">ESC reviewed the eligibility criteria and funding agreement for </w:t>
      </w:r>
      <w:proofErr w:type="spellStart"/>
      <w:r>
        <w:t>Yescarta</w:t>
      </w:r>
      <w:proofErr w:type="spellEnd"/>
      <w:r>
        <w:t xml:space="preserve">® due to the treatments’ similarities. ESC considered that, if brexucabtagene autoleucel </w:t>
      </w:r>
      <w:r w:rsidRPr="000129E8">
        <w:rPr>
          <w:rFonts w:eastAsia="Calibri"/>
        </w:rPr>
        <w:t>is funded, the eligibility criteria and funding agreements should align</w:t>
      </w:r>
      <w:r>
        <w:rPr>
          <w:rFonts w:eastAsia="Calibri"/>
        </w:rPr>
        <w:t xml:space="preserve"> with that of </w:t>
      </w:r>
      <w:proofErr w:type="spellStart"/>
      <w:r>
        <w:t>Yescarta</w:t>
      </w:r>
      <w:proofErr w:type="spellEnd"/>
      <w:r>
        <w:t>®</w:t>
      </w:r>
      <w:r>
        <w:rPr>
          <w:rFonts w:eastAsia="Calibri"/>
        </w:rPr>
        <w:t>, those used in the ZUMA-2 trial and the TGA decision concerning inclusion on the ARTG.</w:t>
      </w:r>
    </w:p>
    <w:p w14:paraId="19DF1FFC" w14:textId="77777777" w:rsidR="007430E7" w:rsidRDefault="007430E7" w:rsidP="007430E7">
      <w:pPr>
        <w:spacing w:before="240"/>
        <w:rPr>
          <w:rFonts w:eastAsia="Calibri"/>
          <w:lang w:eastAsia="en-US"/>
        </w:rPr>
      </w:pPr>
      <w:r>
        <w:rPr>
          <w:rFonts w:eastAsia="Calibri"/>
          <w:lang w:eastAsia="en-US"/>
        </w:rPr>
        <w:t xml:space="preserve">ESC noted the differing toxicity profiles for </w:t>
      </w:r>
      <w:r>
        <w:t xml:space="preserve">brexucabtagene autoleucel </w:t>
      </w:r>
      <w:r>
        <w:rPr>
          <w:rFonts w:eastAsia="Calibri"/>
          <w:lang w:eastAsia="en-US"/>
        </w:rPr>
        <w:t xml:space="preserve">and salvage </w:t>
      </w:r>
      <w:proofErr w:type="gramStart"/>
      <w:r>
        <w:rPr>
          <w:rFonts w:eastAsia="Calibri"/>
          <w:lang w:eastAsia="en-US"/>
        </w:rPr>
        <w:t>therapy, and</w:t>
      </w:r>
      <w:proofErr w:type="gramEnd"/>
      <w:r>
        <w:rPr>
          <w:rFonts w:eastAsia="Calibri"/>
          <w:lang w:eastAsia="en-US"/>
        </w:rPr>
        <w:t xml:space="preserve"> considered it difficult to draw definitive conclusions between the two treatments. ESC noted that some serious adverse events of </w:t>
      </w:r>
      <w:r>
        <w:t xml:space="preserve">brexucabtagene autoleucel </w:t>
      </w:r>
      <w:r>
        <w:rPr>
          <w:rFonts w:eastAsia="Calibri"/>
          <w:lang w:eastAsia="en-US"/>
        </w:rPr>
        <w:t xml:space="preserve">included </w:t>
      </w:r>
      <w:r w:rsidRPr="000559DB">
        <w:rPr>
          <w:rFonts w:eastAsia="Calibri"/>
          <w:lang w:val="en-GB" w:eastAsia="en-US"/>
        </w:rPr>
        <w:t xml:space="preserve">cytokine release syndrome, neurotoxicity, infection, B-cell aplasia and </w:t>
      </w:r>
      <w:proofErr w:type="spellStart"/>
      <w:r w:rsidRPr="000559DB">
        <w:rPr>
          <w:rFonts w:eastAsia="Calibri"/>
          <w:lang w:val="en-GB" w:eastAsia="en-US"/>
        </w:rPr>
        <w:t>cytopenias</w:t>
      </w:r>
      <w:proofErr w:type="spellEnd"/>
      <w:r>
        <w:rPr>
          <w:rFonts w:eastAsia="Calibri"/>
          <w:lang w:val="en-GB" w:eastAsia="en-US"/>
        </w:rPr>
        <w:t xml:space="preserve">. ESC noted that two patients died (from </w:t>
      </w:r>
      <w:r w:rsidRPr="000559DB">
        <w:rPr>
          <w:rFonts w:eastAsia="Calibri"/>
          <w:lang w:val="en-GB" w:eastAsia="en-US"/>
        </w:rPr>
        <w:t>pneumonia/ bacteraemia</w:t>
      </w:r>
      <w:r>
        <w:rPr>
          <w:rFonts w:eastAsia="Calibri"/>
          <w:lang w:val="en-GB" w:eastAsia="en-US"/>
        </w:rPr>
        <w:t xml:space="preserve">). The applicant claimed that </w:t>
      </w:r>
      <w:r w:rsidRPr="005717C7">
        <w:rPr>
          <w:rFonts w:eastAsia="Calibri"/>
          <w:lang w:val="en-GB" w:eastAsia="en-US"/>
        </w:rPr>
        <w:t>the benefit</w:t>
      </w:r>
      <w:r>
        <w:rPr>
          <w:rFonts w:eastAsia="Calibri"/>
          <w:lang w:val="en-GB" w:eastAsia="en-US"/>
        </w:rPr>
        <w:t>-</w:t>
      </w:r>
      <w:r w:rsidRPr="005717C7">
        <w:rPr>
          <w:rFonts w:eastAsia="Calibri"/>
          <w:lang w:val="en-GB" w:eastAsia="en-US"/>
        </w:rPr>
        <w:t>to</w:t>
      </w:r>
      <w:r>
        <w:rPr>
          <w:rFonts w:eastAsia="Calibri"/>
          <w:lang w:val="en-GB" w:eastAsia="en-US"/>
        </w:rPr>
        <w:t>-</w:t>
      </w:r>
      <w:r w:rsidRPr="005717C7">
        <w:rPr>
          <w:rFonts w:eastAsia="Calibri"/>
          <w:lang w:val="en-GB" w:eastAsia="en-US"/>
        </w:rPr>
        <w:t xml:space="preserve">risk trade-off for </w:t>
      </w:r>
      <w:r>
        <w:t xml:space="preserve">brexucabtagene autoleucel </w:t>
      </w:r>
      <w:r w:rsidRPr="005717C7">
        <w:rPr>
          <w:rFonts w:eastAsia="Calibri"/>
          <w:lang w:val="en-GB" w:eastAsia="en-US"/>
        </w:rPr>
        <w:t xml:space="preserve">is substantially superior </w:t>
      </w:r>
      <w:proofErr w:type="gramStart"/>
      <w:r w:rsidRPr="005717C7">
        <w:rPr>
          <w:rFonts w:eastAsia="Calibri"/>
          <w:lang w:val="en-GB" w:eastAsia="en-US"/>
        </w:rPr>
        <w:t>than</w:t>
      </w:r>
      <w:proofErr w:type="gramEnd"/>
      <w:r w:rsidRPr="005717C7">
        <w:rPr>
          <w:rFonts w:eastAsia="Calibri"/>
          <w:lang w:val="en-GB" w:eastAsia="en-US"/>
        </w:rPr>
        <w:t xml:space="preserve"> the benefit</w:t>
      </w:r>
      <w:r>
        <w:rPr>
          <w:rFonts w:eastAsia="Calibri"/>
          <w:lang w:val="en-GB" w:eastAsia="en-US"/>
        </w:rPr>
        <w:t>-</w:t>
      </w:r>
      <w:r w:rsidRPr="005717C7">
        <w:rPr>
          <w:rFonts w:eastAsia="Calibri"/>
          <w:lang w:val="en-GB" w:eastAsia="en-US"/>
        </w:rPr>
        <w:t>to</w:t>
      </w:r>
      <w:r>
        <w:rPr>
          <w:rFonts w:eastAsia="Calibri"/>
          <w:lang w:val="en-GB" w:eastAsia="en-US"/>
        </w:rPr>
        <w:t>-</w:t>
      </w:r>
      <w:r w:rsidRPr="005717C7">
        <w:rPr>
          <w:rFonts w:eastAsia="Calibri"/>
          <w:lang w:val="en-GB" w:eastAsia="en-US"/>
        </w:rPr>
        <w:t>risk trade-off for salvage therapy.</w:t>
      </w:r>
      <w:r>
        <w:rPr>
          <w:rFonts w:eastAsia="Calibri"/>
          <w:lang w:val="en-GB" w:eastAsia="en-US"/>
        </w:rPr>
        <w:t xml:space="preserve"> However, ESC did not consider there to be enough evidence to make such a </w:t>
      </w:r>
      <w:proofErr w:type="gramStart"/>
      <w:r>
        <w:rPr>
          <w:rFonts w:eastAsia="Calibri"/>
          <w:lang w:val="en-GB" w:eastAsia="en-US"/>
        </w:rPr>
        <w:t>claim, and</w:t>
      </w:r>
      <w:proofErr w:type="gramEnd"/>
      <w:r>
        <w:rPr>
          <w:rFonts w:eastAsia="Calibri"/>
          <w:lang w:val="en-GB" w:eastAsia="en-US"/>
        </w:rPr>
        <w:t xml:space="preserve"> noted that the safety profile for </w:t>
      </w:r>
      <w:r>
        <w:t xml:space="preserve">brexucabtagene autoleucel </w:t>
      </w:r>
      <w:r>
        <w:rPr>
          <w:rFonts w:eastAsia="Calibri"/>
          <w:lang w:val="en-GB" w:eastAsia="en-US"/>
        </w:rPr>
        <w:t>was likely to be similar to other CAR-T therapies.</w:t>
      </w:r>
    </w:p>
    <w:p w14:paraId="1FDAD320" w14:textId="77777777" w:rsidR="007430E7" w:rsidRDefault="007430E7" w:rsidP="007430E7">
      <w:pPr>
        <w:spacing w:before="240"/>
        <w:rPr>
          <w:rFonts w:eastAsia="Calibri"/>
          <w:lang w:val="en-GB" w:eastAsia="en-US"/>
        </w:rPr>
      </w:pPr>
      <w:r>
        <w:rPr>
          <w:rFonts w:eastAsia="Calibri"/>
          <w:lang w:eastAsia="en-US"/>
        </w:rPr>
        <w:lastRenderedPageBreak/>
        <w:t xml:space="preserve">ESC noted that there were no randomised clinical trials (RCTs) comparing </w:t>
      </w:r>
      <w:r>
        <w:t xml:space="preserve">brexucabtagene autoleucel </w:t>
      </w:r>
      <w:r>
        <w:rPr>
          <w:rFonts w:eastAsia="Calibri"/>
          <w:lang w:eastAsia="en-US"/>
        </w:rPr>
        <w:t xml:space="preserve">and salvage therapy, and that ZUMA-2 was a prospective single-arm trial. ESC agreed with the Commentary that it was </w:t>
      </w:r>
      <w:r w:rsidRPr="008444D2">
        <w:rPr>
          <w:rFonts w:eastAsia="Calibri"/>
          <w:lang w:val="en-GB" w:eastAsia="en-US"/>
        </w:rPr>
        <w:t>difficult</w:t>
      </w:r>
      <w:r>
        <w:rPr>
          <w:rFonts w:eastAsia="Calibri"/>
          <w:lang w:val="en-GB" w:eastAsia="en-US"/>
        </w:rPr>
        <w:t xml:space="preserve"> to identify </w:t>
      </w:r>
      <w:r w:rsidRPr="008444D2">
        <w:rPr>
          <w:rFonts w:eastAsia="Calibri"/>
          <w:lang w:val="en-GB" w:eastAsia="en-US"/>
        </w:rPr>
        <w:t xml:space="preserve">a similar patient cohort between </w:t>
      </w:r>
      <w:r>
        <w:rPr>
          <w:rFonts w:eastAsia="Calibri"/>
          <w:lang w:val="en-GB" w:eastAsia="en-US"/>
        </w:rPr>
        <w:t xml:space="preserve">the </w:t>
      </w:r>
      <w:r w:rsidRPr="008444D2">
        <w:rPr>
          <w:rFonts w:eastAsia="Calibri"/>
          <w:lang w:val="en-GB" w:eastAsia="en-US"/>
        </w:rPr>
        <w:t>ZUMA-2 and comparator stud</w:t>
      </w:r>
      <w:r>
        <w:rPr>
          <w:rFonts w:eastAsia="Calibri"/>
          <w:lang w:val="en-GB" w:eastAsia="en-US"/>
        </w:rPr>
        <w:t>ies, and that there was a h</w:t>
      </w:r>
      <w:r w:rsidRPr="008444D2">
        <w:rPr>
          <w:rFonts w:eastAsia="Calibri"/>
          <w:lang w:val="en-GB" w:eastAsia="en-US"/>
        </w:rPr>
        <w:t>igh level</w:t>
      </w:r>
      <w:r>
        <w:rPr>
          <w:rFonts w:eastAsia="Calibri"/>
          <w:lang w:val="en-GB" w:eastAsia="en-US"/>
        </w:rPr>
        <w:t xml:space="preserve"> of</w:t>
      </w:r>
      <w:r w:rsidRPr="008444D2">
        <w:rPr>
          <w:rFonts w:eastAsia="Calibri"/>
          <w:lang w:val="en-GB" w:eastAsia="en-US"/>
        </w:rPr>
        <w:t xml:space="preserve"> heterogeneity with</w:t>
      </w:r>
      <w:r>
        <w:rPr>
          <w:rFonts w:eastAsia="Calibri"/>
          <w:lang w:val="en-GB" w:eastAsia="en-US"/>
        </w:rPr>
        <w:t>in the</w:t>
      </w:r>
      <w:r w:rsidRPr="008444D2">
        <w:rPr>
          <w:rFonts w:eastAsia="Calibri"/>
          <w:lang w:val="en-GB" w:eastAsia="en-US"/>
        </w:rPr>
        <w:t xml:space="preserve"> comparator data (study design, population, </w:t>
      </w:r>
      <w:r>
        <w:rPr>
          <w:rFonts w:eastAsia="Calibri"/>
          <w:lang w:val="en-GB" w:eastAsia="en-US"/>
        </w:rPr>
        <w:t xml:space="preserve">types of </w:t>
      </w:r>
      <w:r w:rsidRPr="008444D2">
        <w:rPr>
          <w:rFonts w:eastAsia="Calibri"/>
          <w:lang w:val="en-GB" w:eastAsia="en-US"/>
        </w:rPr>
        <w:t>salvage therap</w:t>
      </w:r>
      <w:r>
        <w:rPr>
          <w:rFonts w:eastAsia="Calibri"/>
          <w:lang w:val="en-GB" w:eastAsia="en-US"/>
        </w:rPr>
        <w:t>y used</w:t>
      </w:r>
      <w:r w:rsidRPr="008444D2">
        <w:rPr>
          <w:rFonts w:eastAsia="Calibri"/>
          <w:lang w:val="en-GB" w:eastAsia="en-US"/>
        </w:rPr>
        <w:t>)</w:t>
      </w:r>
      <w:r>
        <w:rPr>
          <w:rFonts w:eastAsia="Calibri"/>
          <w:lang w:val="en-GB" w:eastAsia="en-US"/>
        </w:rPr>
        <w:t xml:space="preserve">. ESC was concerned that the </w:t>
      </w:r>
      <w:r w:rsidRPr="008444D2">
        <w:rPr>
          <w:rFonts w:eastAsia="Calibri"/>
          <w:lang w:val="en-GB" w:eastAsia="en-US"/>
        </w:rPr>
        <w:t>comparisons are subject to confounding and significant selection bias.</w:t>
      </w:r>
      <w:r>
        <w:rPr>
          <w:rFonts w:eastAsia="Calibri"/>
          <w:lang w:val="en-GB" w:eastAsia="en-US"/>
        </w:rPr>
        <w:t xml:space="preserve"> For example, ESC noted that </w:t>
      </w:r>
      <w:r w:rsidRPr="00851B75">
        <w:rPr>
          <w:rFonts w:eastAsia="Calibri"/>
          <w:lang w:val="en-GB" w:eastAsia="en-US"/>
        </w:rPr>
        <w:t xml:space="preserve">81% </w:t>
      </w:r>
      <w:r>
        <w:rPr>
          <w:rFonts w:eastAsia="Calibri"/>
          <w:lang w:val="en-GB" w:eastAsia="en-US"/>
        </w:rPr>
        <w:t xml:space="preserve">of </w:t>
      </w:r>
      <w:r w:rsidRPr="00851B75">
        <w:rPr>
          <w:rFonts w:eastAsia="Calibri"/>
          <w:lang w:val="en-GB" w:eastAsia="en-US"/>
        </w:rPr>
        <w:t>patients received ≥ 3 prior therapies</w:t>
      </w:r>
      <w:r>
        <w:rPr>
          <w:rFonts w:eastAsia="Calibri"/>
          <w:lang w:val="en-GB" w:eastAsia="en-US"/>
        </w:rPr>
        <w:t xml:space="preserve"> in the ZUMA-2 study, </w:t>
      </w:r>
      <w:r w:rsidRPr="00851B75">
        <w:rPr>
          <w:rFonts w:eastAsia="Calibri"/>
          <w:lang w:val="en-GB" w:eastAsia="en-US"/>
        </w:rPr>
        <w:t xml:space="preserve">compared with proposed </w:t>
      </w:r>
      <w:r>
        <w:rPr>
          <w:rFonts w:eastAsia="Calibri"/>
          <w:lang w:val="en-GB" w:eastAsia="en-US"/>
        </w:rPr>
        <w:t>third-</w:t>
      </w:r>
      <w:r w:rsidRPr="00851B75">
        <w:rPr>
          <w:rFonts w:eastAsia="Calibri"/>
          <w:lang w:val="en-GB" w:eastAsia="en-US"/>
        </w:rPr>
        <w:t>line treatment</w:t>
      </w:r>
      <w:r>
        <w:rPr>
          <w:rFonts w:eastAsia="Calibri"/>
          <w:lang w:val="en-GB" w:eastAsia="en-US"/>
        </w:rPr>
        <w:t xml:space="preserve"> regimens</w:t>
      </w:r>
      <w:r w:rsidRPr="00851B75">
        <w:rPr>
          <w:rFonts w:eastAsia="Calibri"/>
          <w:lang w:val="en-GB" w:eastAsia="en-US"/>
        </w:rPr>
        <w:t xml:space="preserve"> commonly used in clinical practice</w:t>
      </w:r>
      <w:r>
        <w:rPr>
          <w:rFonts w:eastAsia="Calibri"/>
          <w:lang w:val="en-GB" w:eastAsia="en-US"/>
        </w:rPr>
        <w:t>.</w:t>
      </w:r>
      <w:r w:rsidRPr="00851B75">
        <w:rPr>
          <w:rFonts w:eastAsia="Calibri"/>
          <w:lang w:val="en-GB" w:eastAsia="en-US"/>
        </w:rPr>
        <w:t xml:space="preserve"> </w:t>
      </w:r>
      <w:r>
        <w:rPr>
          <w:rFonts w:eastAsia="Calibri"/>
          <w:lang w:val="en-GB" w:eastAsia="en-US"/>
        </w:rPr>
        <w:t>In its pre-ESC response, the applicant acknowledged that there are limitations of the</w:t>
      </w:r>
      <w:r w:rsidRPr="008444D2">
        <w:rPr>
          <w:rFonts w:eastAsia="Calibri"/>
          <w:lang w:val="en-GB" w:eastAsia="en-US"/>
        </w:rPr>
        <w:t xml:space="preserve"> naïve comparison</w:t>
      </w:r>
      <w:r>
        <w:rPr>
          <w:rFonts w:eastAsia="Calibri"/>
          <w:lang w:val="en-GB" w:eastAsia="en-US"/>
        </w:rPr>
        <w:t xml:space="preserve">s, and that an </w:t>
      </w:r>
      <w:r w:rsidRPr="008444D2">
        <w:rPr>
          <w:rFonts w:eastAsia="Calibri"/>
          <w:lang w:val="en-GB" w:eastAsia="en-US"/>
        </w:rPr>
        <w:t>RCT would never be feasible due to low incidence o</w:t>
      </w:r>
      <w:r>
        <w:rPr>
          <w:rFonts w:eastAsia="Calibri"/>
          <w:lang w:val="en-GB" w:eastAsia="en-US"/>
        </w:rPr>
        <w:t>f</w:t>
      </w:r>
      <w:r w:rsidRPr="008444D2">
        <w:rPr>
          <w:rFonts w:eastAsia="Calibri"/>
          <w:lang w:val="en-GB" w:eastAsia="en-US"/>
        </w:rPr>
        <w:t xml:space="preserve"> R/R MCL and </w:t>
      </w:r>
      <w:r>
        <w:rPr>
          <w:rFonts w:eastAsia="Calibri"/>
          <w:lang w:val="en-GB" w:eastAsia="en-US"/>
        </w:rPr>
        <w:t xml:space="preserve">because the </w:t>
      </w:r>
      <w:r w:rsidRPr="008444D2">
        <w:rPr>
          <w:rFonts w:eastAsia="Calibri"/>
          <w:lang w:val="en-GB" w:eastAsia="en-US"/>
        </w:rPr>
        <w:t>disease is rapidly fatal.</w:t>
      </w:r>
    </w:p>
    <w:p w14:paraId="28E23E87" w14:textId="77777777" w:rsidR="007430E7" w:rsidRPr="000129E8" w:rsidRDefault="007430E7" w:rsidP="007430E7">
      <w:pPr>
        <w:spacing w:before="240"/>
      </w:pPr>
      <w:r>
        <w:rPr>
          <w:rFonts w:eastAsia="Calibri"/>
          <w:lang w:eastAsia="en-US"/>
        </w:rPr>
        <w:t xml:space="preserve">ESC noted the applicant’s claim that </w:t>
      </w:r>
      <w:r>
        <w:t xml:space="preserve">brexucabtagene autoleucel </w:t>
      </w:r>
      <w:r w:rsidRPr="005717C7">
        <w:rPr>
          <w:rFonts w:eastAsia="Calibri"/>
          <w:lang w:eastAsia="en-US"/>
        </w:rPr>
        <w:t xml:space="preserve">results in markedly improved response rates, </w:t>
      </w:r>
      <w:r>
        <w:rPr>
          <w:rFonts w:eastAsia="Calibri"/>
          <w:lang w:eastAsia="en-US"/>
        </w:rPr>
        <w:t>progression-free survival (</w:t>
      </w:r>
      <w:r w:rsidRPr="005717C7">
        <w:rPr>
          <w:rFonts w:eastAsia="Calibri"/>
          <w:lang w:eastAsia="en-US"/>
        </w:rPr>
        <w:t>PFS</w:t>
      </w:r>
      <w:r>
        <w:rPr>
          <w:rFonts w:eastAsia="Calibri"/>
          <w:lang w:eastAsia="en-US"/>
        </w:rPr>
        <w:t>)</w:t>
      </w:r>
      <w:r w:rsidRPr="005717C7">
        <w:rPr>
          <w:rFonts w:eastAsia="Calibri"/>
          <w:lang w:eastAsia="en-US"/>
        </w:rPr>
        <w:t xml:space="preserve"> and OS compared to salvage </w:t>
      </w:r>
      <w:proofErr w:type="gramStart"/>
      <w:r w:rsidRPr="005717C7">
        <w:rPr>
          <w:rFonts w:eastAsia="Calibri"/>
          <w:lang w:eastAsia="en-US"/>
        </w:rPr>
        <w:t>therapy, and</w:t>
      </w:r>
      <w:proofErr w:type="gramEnd"/>
      <w:r w:rsidRPr="005717C7">
        <w:rPr>
          <w:rFonts w:eastAsia="Calibri"/>
          <w:lang w:eastAsia="en-US"/>
        </w:rPr>
        <w:t xml:space="preserve"> is unprecedented.</w:t>
      </w:r>
      <w:r>
        <w:rPr>
          <w:rFonts w:eastAsia="Calibri"/>
          <w:lang w:eastAsia="en-US"/>
        </w:rPr>
        <w:t xml:space="preserve"> ESC noted disagreement from the Commentary, which stated that the m</w:t>
      </w:r>
      <w:r w:rsidRPr="005717C7">
        <w:rPr>
          <w:rFonts w:eastAsia="Calibri"/>
          <w:lang w:eastAsia="en-US"/>
        </w:rPr>
        <w:t xml:space="preserve">agnitude of benefit for </w:t>
      </w:r>
      <w:r>
        <w:rPr>
          <w:rFonts w:eastAsia="Calibri"/>
          <w:lang w:eastAsia="en-US"/>
        </w:rPr>
        <w:t>duration of response,</w:t>
      </w:r>
      <w:r w:rsidRPr="005717C7">
        <w:rPr>
          <w:rFonts w:eastAsia="Calibri"/>
          <w:lang w:eastAsia="en-US"/>
        </w:rPr>
        <w:t xml:space="preserve"> PFS</w:t>
      </w:r>
      <w:r>
        <w:rPr>
          <w:rFonts w:eastAsia="Calibri"/>
          <w:lang w:eastAsia="en-US"/>
        </w:rPr>
        <w:t xml:space="preserve"> and</w:t>
      </w:r>
      <w:r w:rsidRPr="005717C7">
        <w:rPr>
          <w:rFonts w:eastAsia="Calibri"/>
          <w:lang w:eastAsia="en-US"/>
        </w:rPr>
        <w:t xml:space="preserve"> OS cannot be determined due to naïve comparisons</w:t>
      </w:r>
      <w:r>
        <w:rPr>
          <w:rFonts w:eastAsia="Calibri"/>
          <w:lang w:eastAsia="en-US"/>
        </w:rPr>
        <w:t xml:space="preserve">. ESC noted that </w:t>
      </w:r>
      <w:r w:rsidRPr="00851B75">
        <w:rPr>
          <w:rFonts w:eastAsia="Calibri"/>
        </w:rPr>
        <w:t>t</w:t>
      </w:r>
      <w:r w:rsidRPr="00851B75">
        <w:rPr>
          <w:lang w:val="en-GB" w:eastAsia="en-US"/>
        </w:rPr>
        <w:t>he comparative analysis and inputs included in the model representing the size of clinical effects (from the observed data) are subject to bias</w:t>
      </w:r>
      <w:r>
        <w:rPr>
          <w:lang w:val="en-GB" w:eastAsia="en-US"/>
        </w:rPr>
        <w:t>, resulting in</w:t>
      </w:r>
      <w:r w:rsidRPr="00851B75">
        <w:rPr>
          <w:lang w:val="en-GB" w:eastAsia="en-US"/>
        </w:rPr>
        <w:t xml:space="preserve"> </w:t>
      </w:r>
      <w:r>
        <w:rPr>
          <w:lang w:val="en-GB" w:eastAsia="en-US"/>
        </w:rPr>
        <w:t>u</w:t>
      </w:r>
      <w:r w:rsidRPr="00851B75">
        <w:rPr>
          <w:lang w:val="en-GB" w:eastAsia="en-US"/>
        </w:rPr>
        <w:t>ncertain impact on incremental clinical effectiveness</w:t>
      </w:r>
      <w:r>
        <w:rPr>
          <w:lang w:val="en-GB" w:eastAsia="en-US"/>
        </w:rPr>
        <w:t xml:space="preserve">. </w:t>
      </w:r>
    </w:p>
    <w:p w14:paraId="0A859AF6" w14:textId="77777777" w:rsidR="007430E7" w:rsidRDefault="007430E7" w:rsidP="007430E7">
      <w:pPr>
        <w:spacing w:before="240"/>
        <w:rPr>
          <w:rFonts w:eastAsia="Calibri"/>
          <w:lang w:eastAsia="en-US"/>
        </w:rPr>
      </w:pPr>
      <w:r>
        <w:rPr>
          <w:rFonts w:eastAsia="Calibri"/>
          <w:lang w:val="en-GB" w:eastAsia="en-US"/>
        </w:rPr>
        <w:t>ESC agreed with the Commentary’s concerns that more information is needed about the most common salvage therapies administered in Australia, which was addressed by the applicant in the pre-ESC response.</w:t>
      </w:r>
      <w:r w:rsidRPr="00C66350">
        <w:rPr>
          <w:rFonts w:eastAsia="Calibri"/>
          <w:lang w:eastAsia="en-US"/>
        </w:rPr>
        <w:t xml:space="preserve"> </w:t>
      </w:r>
      <w:r>
        <w:rPr>
          <w:rFonts w:eastAsia="Calibri"/>
          <w:lang w:val="en-GB" w:eastAsia="en-US"/>
        </w:rPr>
        <w:t>The applicant-developed assessment report (ADAR) used R-CHOP/R-DHAP, which ESC queried. The applicant reiterated their position to use R-CHOP/R-DHAP, as these are PBS-</w:t>
      </w:r>
      <w:proofErr w:type="gramStart"/>
      <w:r>
        <w:rPr>
          <w:rFonts w:eastAsia="Calibri"/>
          <w:lang w:val="en-GB" w:eastAsia="en-US"/>
        </w:rPr>
        <w:t>listed</w:t>
      </w:r>
      <w:proofErr w:type="gramEnd"/>
      <w:r>
        <w:rPr>
          <w:rFonts w:eastAsia="Calibri"/>
          <w:lang w:val="en-GB" w:eastAsia="en-US"/>
        </w:rPr>
        <w:t xml:space="preserve"> and the Pharmaceutical Benefits Advisory Committee (PBAC) considered R-CHOP to be an appropriate comparator for the </w:t>
      </w:r>
      <w:r w:rsidRPr="008444D2">
        <w:rPr>
          <w:rFonts w:eastAsia="Calibri"/>
          <w:lang w:eastAsia="en-US"/>
        </w:rPr>
        <w:t xml:space="preserve">ibrutinib application </w:t>
      </w:r>
      <w:r>
        <w:rPr>
          <w:rFonts w:eastAsia="Calibri"/>
          <w:lang w:eastAsia="en-US"/>
        </w:rPr>
        <w:t xml:space="preserve">that was recommended at the March 2018 meeting of PBAC. ESC also noted that some of the salvage therapies included therapies that are not available on the PBS. </w:t>
      </w:r>
      <w:r>
        <w:rPr>
          <w:rFonts w:eastAsia="Calibri"/>
          <w:lang w:val="en-GB" w:eastAsia="en-US"/>
        </w:rPr>
        <w:t xml:space="preserve"> </w:t>
      </w:r>
    </w:p>
    <w:p w14:paraId="429681A5" w14:textId="77777777" w:rsidR="007430E7" w:rsidRDefault="007430E7" w:rsidP="007430E7">
      <w:pPr>
        <w:spacing w:before="240"/>
        <w:rPr>
          <w:rFonts w:eastAsia="Calibri"/>
          <w:lang w:eastAsia="en-US"/>
        </w:rPr>
      </w:pPr>
      <w:r>
        <w:rPr>
          <w:rFonts w:eastAsia="Calibri"/>
          <w:lang w:eastAsia="en-US"/>
        </w:rPr>
        <w:t xml:space="preserve">ESC noted that the Commentary stated that the salvage-therapy patients had a worse prognosis than those used in the ZUMA-2 study, based on </w:t>
      </w:r>
      <w:r w:rsidRPr="007E178F">
        <w:rPr>
          <w:rFonts w:eastAsia="Calibri"/>
          <w:lang w:eastAsia="en-US"/>
        </w:rPr>
        <w:t xml:space="preserve">ECOG status, </w:t>
      </w:r>
      <w:r w:rsidRPr="00C11644">
        <w:rPr>
          <w:rFonts w:eastAsia="Calibri"/>
          <w:lang w:eastAsia="en-US"/>
        </w:rPr>
        <w:t xml:space="preserve">Mantle Cell Lymphoma International Prognostic Index </w:t>
      </w:r>
      <w:r>
        <w:rPr>
          <w:rFonts w:eastAsia="Calibri"/>
          <w:lang w:eastAsia="en-US"/>
        </w:rPr>
        <w:t>(</w:t>
      </w:r>
      <w:r w:rsidRPr="007E178F">
        <w:rPr>
          <w:rFonts w:eastAsia="Calibri"/>
          <w:lang w:eastAsia="en-US"/>
        </w:rPr>
        <w:t>MIPI</w:t>
      </w:r>
      <w:r>
        <w:rPr>
          <w:rFonts w:eastAsia="Calibri"/>
          <w:lang w:eastAsia="en-US"/>
        </w:rPr>
        <w:t>)</w:t>
      </w:r>
      <w:r w:rsidRPr="007E178F">
        <w:rPr>
          <w:rFonts w:eastAsia="Calibri"/>
          <w:lang w:eastAsia="en-US"/>
        </w:rPr>
        <w:t xml:space="preserve"> score, Ki-67 index and </w:t>
      </w:r>
      <w:proofErr w:type="spellStart"/>
      <w:r w:rsidRPr="007E178F">
        <w:rPr>
          <w:rFonts w:eastAsia="Calibri"/>
          <w:lang w:eastAsia="en-US"/>
        </w:rPr>
        <w:t>blastoid</w:t>
      </w:r>
      <w:proofErr w:type="spellEnd"/>
      <w:r w:rsidRPr="007E178F">
        <w:rPr>
          <w:rFonts w:eastAsia="Calibri"/>
          <w:lang w:eastAsia="en-US"/>
        </w:rPr>
        <w:t xml:space="preserve"> histology</w:t>
      </w:r>
      <w:r>
        <w:rPr>
          <w:rFonts w:eastAsia="Calibri"/>
          <w:lang w:eastAsia="en-US"/>
        </w:rPr>
        <w:t>. The applicant disagreed, stating that t</w:t>
      </w:r>
      <w:r w:rsidRPr="007E178F">
        <w:rPr>
          <w:rFonts w:eastAsia="Calibri"/>
          <w:lang w:eastAsia="en-US"/>
        </w:rPr>
        <w:t xml:space="preserve">hese factors are not validated in the R/R setting and prognosis is considered poor regardless of MIPI </w:t>
      </w:r>
      <w:r>
        <w:rPr>
          <w:rFonts w:eastAsia="Calibri"/>
          <w:lang w:eastAsia="en-US"/>
        </w:rPr>
        <w:t xml:space="preserve">score </w:t>
      </w:r>
      <w:r w:rsidRPr="007E178F">
        <w:rPr>
          <w:rFonts w:eastAsia="Calibri"/>
          <w:lang w:eastAsia="en-US"/>
        </w:rPr>
        <w:t xml:space="preserve">and </w:t>
      </w:r>
      <w:r>
        <w:rPr>
          <w:rFonts w:eastAsia="Calibri"/>
          <w:lang w:eastAsia="en-US"/>
        </w:rPr>
        <w:t>K</w:t>
      </w:r>
      <w:r w:rsidRPr="007E178F">
        <w:rPr>
          <w:rFonts w:eastAsia="Calibri"/>
          <w:lang w:eastAsia="en-US"/>
        </w:rPr>
        <w:t>i</w:t>
      </w:r>
      <w:r>
        <w:rPr>
          <w:rFonts w:eastAsia="Calibri"/>
          <w:lang w:eastAsia="en-US"/>
        </w:rPr>
        <w:t>-</w:t>
      </w:r>
      <w:r w:rsidRPr="007E178F">
        <w:rPr>
          <w:rFonts w:eastAsia="Calibri"/>
          <w:lang w:eastAsia="en-US"/>
        </w:rPr>
        <w:t>67</w:t>
      </w:r>
      <w:r>
        <w:rPr>
          <w:rFonts w:eastAsia="Calibri"/>
          <w:lang w:eastAsia="en-US"/>
        </w:rPr>
        <w:t xml:space="preserve"> index</w:t>
      </w:r>
      <w:r w:rsidRPr="007E178F">
        <w:rPr>
          <w:rFonts w:eastAsia="Calibri"/>
          <w:lang w:eastAsia="en-US"/>
        </w:rPr>
        <w:t>.</w:t>
      </w:r>
    </w:p>
    <w:p w14:paraId="22F86C36" w14:textId="77777777" w:rsidR="007430E7" w:rsidRDefault="007430E7" w:rsidP="007430E7">
      <w:pPr>
        <w:spacing w:before="240"/>
        <w:rPr>
          <w:rFonts w:eastAsia="Calibri"/>
          <w:lang w:eastAsia="en-US"/>
        </w:rPr>
      </w:pPr>
      <w:r>
        <w:rPr>
          <w:rFonts w:eastAsia="Calibri"/>
          <w:lang w:eastAsia="en-US"/>
        </w:rPr>
        <w:t xml:space="preserve">ESC noted that for OS studies, the median OS for </w:t>
      </w:r>
      <w:r>
        <w:t xml:space="preserve">brexucabtagene autoleucel </w:t>
      </w:r>
      <w:r>
        <w:rPr>
          <w:rFonts w:eastAsia="Calibri"/>
          <w:lang w:eastAsia="en-US"/>
        </w:rPr>
        <w:t xml:space="preserve">was not reached. ESC was concerned about the short follow up for </w:t>
      </w:r>
      <w:r>
        <w:t>brexucabtagene autoleucel</w:t>
      </w:r>
      <w:r>
        <w:rPr>
          <w:rFonts w:eastAsia="Calibri"/>
          <w:lang w:eastAsia="en-US"/>
        </w:rPr>
        <w:t xml:space="preserve"> (16.5 months). ESC noted that 24-month data were provided in the pre-ESC </w:t>
      </w:r>
      <w:proofErr w:type="gramStart"/>
      <w:r>
        <w:rPr>
          <w:rFonts w:eastAsia="Calibri"/>
          <w:lang w:eastAsia="en-US"/>
        </w:rPr>
        <w:t>response, but</w:t>
      </w:r>
      <w:proofErr w:type="gramEnd"/>
      <w:r>
        <w:rPr>
          <w:rFonts w:eastAsia="Calibri"/>
          <w:lang w:eastAsia="en-US"/>
        </w:rPr>
        <w:t xml:space="preserve"> noted that the median OS is still not reached with these new data. </w:t>
      </w:r>
    </w:p>
    <w:p w14:paraId="2F5C2238" w14:textId="77777777" w:rsidR="007430E7" w:rsidRDefault="007430E7" w:rsidP="007430E7">
      <w:pPr>
        <w:spacing w:before="240"/>
        <w:rPr>
          <w:rFonts w:eastAsia="Calibri"/>
          <w:lang w:eastAsia="en-US"/>
        </w:rPr>
      </w:pPr>
      <w:r>
        <w:rPr>
          <w:rFonts w:eastAsia="Calibri"/>
          <w:lang w:eastAsia="en-US"/>
        </w:rPr>
        <w:t>ESC considered the choice of model (three</w:t>
      </w:r>
      <w:r w:rsidRPr="00713B09">
        <w:rPr>
          <w:rFonts w:eastAsia="Calibri"/>
          <w:lang w:eastAsia="en-US"/>
        </w:rPr>
        <w:t xml:space="preserve">-state partitioned survival model: </w:t>
      </w:r>
      <w:r>
        <w:rPr>
          <w:rFonts w:eastAsia="Calibri"/>
          <w:lang w:eastAsia="en-US"/>
        </w:rPr>
        <w:t>p</w:t>
      </w:r>
      <w:r w:rsidRPr="00713B09">
        <w:rPr>
          <w:rFonts w:eastAsia="Calibri"/>
          <w:lang w:eastAsia="en-US"/>
        </w:rPr>
        <w:t>re-progression, post-</w:t>
      </w:r>
      <w:proofErr w:type="gramStart"/>
      <w:r w:rsidRPr="00713B09">
        <w:rPr>
          <w:rFonts w:eastAsia="Calibri"/>
          <w:lang w:eastAsia="en-US"/>
        </w:rPr>
        <w:t>progression</w:t>
      </w:r>
      <w:proofErr w:type="gramEnd"/>
      <w:r w:rsidRPr="00713B09">
        <w:rPr>
          <w:rFonts w:eastAsia="Calibri"/>
          <w:lang w:eastAsia="en-US"/>
        </w:rPr>
        <w:t xml:space="preserve"> and death</w:t>
      </w:r>
      <w:r>
        <w:rPr>
          <w:rFonts w:eastAsia="Calibri"/>
          <w:lang w:eastAsia="en-US"/>
        </w:rPr>
        <w:t>)</w:t>
      </w:r>
      <w:r w:rsidRPr="00713B09">
        <w:rPr>
          <w:rFonts w:eastAsia="Calibri"/>
          <w:lang w:eastAsia="en-US"/>
        </w:rPr>
        <w:t xml:space="preserve"> </w:t>
      </w:r>
      <w:r>
        <w:rPr>
          <w:rFonts w:eastAsia="Calibri"/>
          <w:lang w:eastAsia="en-US"/>
        </w:rPr>
        <w:t>used for the economic evaluation to be appropriate. ESC noted several uncertainties with the data extrapolation:</w:t>
      </w:r>
    </w:p>
    <w:p w14:paraId="7C998692" w14:textId="77777777" w:rsidR="007430E7" w:rsidRPr="00851B75" w:rsidRDefault="007430E7" w:rsidP="007430E7">
      <w:pPr>
        <w:pStyle w:val="Bullet"/>
        <w:rPr>
          <w:rFonts w:eastAsia="Calibri"/>
          <w:lang w:val="en-GB" w:eastAsia="en-US"/>
        </w:rPr>
      </w:pPr>
      <w:r w:rsidRPr="00851B75">
        <w:rPr>
          <w:rFonts w:eastAsia="Calibri"/>
          <w:lang w:val="en-GB" w:eastAsia="en-US"/>
        </w:rPr>
        <w:t>Temporal uncertainty: If observed OS and PFS data are short</w:t>
      </w:r>
      <w:r>
        <w:rPr>
          <w:rFonts w:eastAsia="Calibri"/>
          <w:lang w:val="en-GB" w:eastAsia="en-US"/>
        </w:rPr>
        <w:t>,</w:t>
      </w:r>
      <w:r w:rsidRPr="00851B75">
        <w:rPr>
          <w:rFonts w:eastAsia="Calibri"/>
          <w:lang w:val="en-GB" w:eastAsia="en-US"/>
        </w:rPr>
        <w:t xml:space="preserve"> </w:t>
      </w:r>
      <w:proofErr w:type="gramStart"/>
      <w:r w:rsidRPr="00851B75">
        <w:rPr>
          <w:rFonts w:eastAsia="Calibri"/>
          <w:lang w:val="en-GB" w:eastAsia="en-US"/>
        </w:rPr>
        <w:t>uncertain</w:t>
      </w:r>
      <w:proofErr w:type="gramEnd"/>
      <w:r w:rsidRPr="00851B75">
        <w:rPr>
          <w:rFonts w:eastAsia="Calibri"/>
          <w:lang w:val="en-GB" w:eastAsia="en-US"/>
        </w:rPr>
        <w:t xml:space="preserve"> and subject to bias</w:t>
      </w:r>
      <w:r>
        <w:rPr>
          <w:rFonts w:eastAsia="Calibri"/>
          <w:lang w:val="en-GB" w:eastAsia="en-US"/>
        </w:rPr>
        <w:t>,</w:t>
      </w:r>
      <w:r w:rsidRPr="00851B75">
        <w:rPr>
          <w:rFonts w:eastAsia="Calibri"/>
          <w:lang w:val="en-GB" w:eastAsia="en-US"/>
        </w:rPr>
        <w:t xml:space="preserve"> then uncertainty is further magnified by temporal extrapolation (</w:t>
      </w:r>
      <w:r>
        <w:rPr>
          <w:rFonts w:eastAsia="Calibri"/>
          <w:lang w:val="en-GB" w:eastAsia="en-US"/>
        </w:rPr>
        <w:t>time horizon of</w:t>
      </w:r>
      <w:r w:rsidRPr="00851B75">
        <w:rPr>
          <w:rFonts w:eastAsia="Calibri"/>
          <w:lang w:val="en-GB" w:eastAsia="en-US"/>
        </w:rPr>
        <w:t xml:space="preserve"> 30</w:t>
      </w:r>
      <w:r>
        <w:rPr>
          <w:rFonts w:eastAsia="Calibri"/>
          <w:lang w:val="en-GB" w:eastAsia="en-US"/>
        </w:rPr>
        <w:t xml:space="preserve"> </w:t>
      </w:r>
      <w:r w:rsidRPr="00851B75">
        <w:rPr>
          <w:rFonts w:eastAsia="Calibri"/>
          <w:lang w:val="en-GB" w:eastAsia="en-US"/>
        </w:rPr>
        <w:t>y</w:t>
      </w:r>
      <w:r>
        <w:rPr>
          <w:rFonts w:eastAsia="Calibri"/>
          <w:lang w:val="en-GB" w:eastAsia="en-US"/>
        </w:rPr>
        <w:t>ears</w:t>
      </w:r>
      <w:r w:rsidRPr="00851B75">
        <w:rPr>
          <w:rFonts w:eastAsia="Calibri"/>
          <w:lang w:val="en-GB" w:eastAsia="en-US"/>
        </w:rPr>
        <w:t>)</w:t>
      </w:r>
      <w:r>
        <w:rPr>
          <w:rFonts w:eastAsia="Calibri"/>
          <w:lang w:val="en-GB" w:eastAsia="en-US"/>
        </w:rPr>
        <w:t xml:space="preserve">. </w:t>
      </w:r>
    </w:p>
    <w:p w14:paraId="28CC9324" w14:textId="77777777" w:rsidR="007430E7" w:rsidRPr="00851B75" w:rsidRDefault="007430E7" w:rsidP="007430E7">
      <w:pPr>
        <w:pStyle w:val="Bullet"/>
        <w:rPr>
          <w:rFonts w:eastAsia="Calibri"/>
          <w:lang w:val="en-GB" w:eastAsia="en-US"/>
        </w:rPr>
      </w:pPr>
      <w:r w:rsidRPr="00851B75">
        <w:rPr>
          <w:rFonts w:eastAsia="Calibri"/>
          <w:lang w:val="en-GB" w:eastAsia="en-US"/>
        </w:rPr>
        <w:t xml:space="preserve">Structural uncertainty: </w:t>
      </w:r>
      <w:r>
        <w:rPr>
          <w:rFonts w:eastAsia="Calibri"/>
          <w:lang w:val="en-GB" w:eastAsia="en-US"/>
        </w:rPr>
        <w:t>A</w:t>
      </w:r>
      <w:r w:rsidRPr="00851B75">
        <w:rPr>
          <w:rFonts w:eastAsia="Calibri"/>
          <w:lang w:val="en-GB" w:eastAsia="en-US"/>
        </w:rPr>
        <w:t>ssumption</w:t>
      </w:r>
      <w:r>
        <w:rPr>
          <w:rFonts w:eastAsia="Calibri"/>
          <w:lang w:val="en-GB" w:eastAsia="en-US"/>
        </w:rPr>
        <w:t>s</w:t>
      </w:r>
      <w:r w:rsidRPr="00851B75">
        <w:rPr>
          <w:rFonts w:eastAsia="Calibri"/>
          <w:lang w:val="en-GB" w:eastAsia="en-US"/>
        </w:rPr>
        <w:t xml:space="preserve"> </w:t>
      </w:r>
      <w:r>
        <w:rPr>
          <w:rFonts w:eastAsia="Calibri"/>
          <w:lang w:val="en-GB" w:eastAsia="en-US"/>
        </w:rPr>
        <w:t>about</w:t>
      </w:r>
      <w:r w:rsidRPr="00851B75">
        <w:rPr>
          <w:rFonts w:eastAsia="Calibri"/>
          <w:lang w:val="en-GB" w:eastAsia="en-US"/>
        </w:rPr>
        <w:t xml:space="preserve"> the duration of benefits beyond observed data (continuous effect) </w:t>
      </w:r>
      <w:r>
        <w:rPr>
          <w:rFonts w:eastAsia="Calibri"/>
          <w:lang w:val="en-GB" w:eastAsia="en-US"/>
        </w:rPr>
        <w:t>a</w:t>
      </w:r>
      <w:r w:rsidRPr="00851B75">
        <w:rPr>
          <w:rFonts w:eastAsia="Calibri"/>
          <w:lang w:val="en-GB" w:eastAsia="en-US"/>
        </w:rPr>
        <w:t xml:space="preserve">dd </w:t>
      </w:r>
      <w:r>
        <w:rPr>
          <w:rFonts w:eastAsia="Calibri"/>
          <w:lang w:val="en-GB" w:eastAsia="en-US"/>
        </w:rPr>
        <w:t xml:space="preserve">more </w:t>
      </w:r>
      <w:r w:rsidRPr="00851B75">
        <w:rPr>
          <w:rFonts w:eastAsia="Calibri"/>
          <w:lang w:val="en-GB" w:eastAsia="en-US"/>
        </w:rPr>
        <w:t>uncertainty</w:t>
      </w:r>
      <w:r>
        <w:rPr>
          <w:rFonts w:eastAsia="Calibri"/>
          <w:lang w:val="en-GB" w:eastAsia="en-US"/>
        </w:rPr>
        <w:t>.</w:t>
      </w:r>
    </w:p>
    <w:p w14:paraId="4B35888B" w14:textId="77777777" w:rsidR="007430E7" w:rsidRDefault="007430E7" w:rsidP="007430E7">
      <w:pPr>
        <w:pStyle w:val="BulletLast"/>
        <w:rPr>
          <w:rFonts w:eastAsia="Calibri"/>
          <w:lang w:val="en-GB" w:eastAsia="en-US"/>
        </w:rPr>
      </w:pPr>
      <w:r w:rsidRPr="00851B75">
        <w:rPr>
          <w:rFonts w:eastAsia="Calibri"/>
          <w:lang w:val="en-GB" w:eastAsia="en-US"/>
        </w:rPr>
        <w:t>Structural uncertainty due to the choice of survival functions</w:t>
      </w:r>
      <w:r>
        <w:rPr>
          <w:rFonts w:eastAsia="Calibri"/>
          <w:lang w:val="en-GB" w:eastAsia="en-US"/>
        </w:rPr>
        <w:t xml:space="preserve">: </w:t>
      </w:r>
      <w:r w:rsidRPr="00236057">
        <w:rPr>
          <w:rFonts w:eastAsia="Calibri"/>
          <w:lang w:val="en-GB" w:eastAsia="en-US"/>
        </w:rPr>
        <w:t xml:space="preserve">The submission extrapolated the </w:t>
      </w:r>
      <w:r>
        <w:rPr>
          <w:rFonts w:eastAsia="Calibri"/>
          <w:lang w:val="en-GB" w:eastAsia="en-US"/>
        </w:rPr>
        <w:t xml:space="preserve">observed OS and PFS </w:t>
      </w:r>
      <w:r w:rsidRPr="00236057">
        <w:rPr>
          <w:rFonts w:eastAsia="Calibri"/>
          <w:lang w:val="en-GB" w:eastAsia="en-US"/>
        </w:rPr>
        <w:t xml:space="preserve">data </w:t>
      </w:r>
      <w:r>
        <w:rPr>
          <w:rFonts w:eastAsia="Calibri"/>
          <w:lang w:val="en-GB" w:eastAsia="en-US"/>
        </w:rPr>
        <w:t xml:space="preserve">fitting six standard </w:t>
      </w:r>
      <w:r w:rsidRPr="00236057">
        <w:rPr>
          <w:rFonts w:eastAsia="Calibri"/>
          <w:lang w:val="en-GB" w:eastAsia="en-US"/>
        </w:rPr>
        <w:t>parametric models</w:t>
      </w:r>
      <w:r>
        <w:rPr>
          <w:rFonts w:eastAsia="Calibri"/>
          <w:lang w:val="en-GB" w:eastAsia="en-US"/>
        </w:rPr>
        <w:t xml:space="preserve">. </w:t>
      </w:r>
      <w:r>
        <w:rPr>
          <w:rFonts w:eastAsia="Calibri"/>
          <w:lang w:val="en-GB" w:eastAsia="en-US"/>
        </w:rPr>
        <w:lastRenderedPageBreak/>
        <w:t>Using AIC and BIC</w:t>
      </w:r>
      <w:r w:rsidRPr="00236057">
        <w:rPr>
          <w:rFonts w:eastAsia="Calibri"/>
          <w:lang w:val="en-GB" w:eastAsia="en-US"/>
        </w:rPr>
        <w:t xml:space="preserve"> to assess the goodness of fit</w:t>
      </w:r>
      <w:r>
        <w:rPr>
          <w:rFonts w:eastAsia="Calibri"/>
          <w:lang w:val="en-GB" w:eastAsia="en-US"/>
        </w:rPr>
        <w:t xml:space="preserve">, </w:t>
      </w:r>
      <w:r w:rsidRPr="00851B75">
        <w:rPr>
          <w:rFonts w:eastAsia="Calibri"/>
          <w:lang w:val="en-GB" w:eastAsia="en-US"/>
        </w:rPr>
        <w:t xml:space="preserve">in both PFS and OS, gamma was used for both interventions in </w:t>
      </w:r>
      <w:r>
        <w:rPr>
          <w:rFonts w:eastAsia="Calibri"/>
          <w:lang w:val="en-GB" w:eastAsia="en-US"/>
        </w:rPr>
        <w:t xml:space="preserve">the </w:t>
      </w:r>
      <w:r w:rsidRPr="00851B75">
        <w:rPr>
          <w:rFonts w:eastAsia="Calibri"/>
          <w:lang w:val="en-GB" w:eastAsia="en-US"/>
        </w:rPr>
        <w:t>base case</w:t>
      </w:r>
      <w:r>
        <w:rPr>
          <w:rFonts w:eastAsia="Calibri"/>
          <w:lang w:val="en-GB" w:eastAsia="en-US"/>
        </w:rPr>
        <w:t>.</w:t>
      </w:r>
    </w:p>
    <w:p w14:paraId="5FC42CBD" w14:textId="4784D9E5" w:rsidR="007430E7" w:rsidRPr="00A168A8" w:rsidRDefault="007430E7" w:rsidP="007430E7">
      <w:pPr>
        <w:rPr>
          <w:rFonts w:eastAsia="Calibri"/>
          <w:lang w:eastAsia="en-US"/>
        </w:rPr>
      </w:pPr>
      <w:r>
        <w:rPr>
          <w:rFonts w:eastAsia="Calibri"/>
          <w:lang w:val="en-GB" w:eastAsia="en-US"/>
        </w:rPr>
        <w:t xml:space="preserve">ESC queried whether the extrapolated OS survival curves were clinically plausible: the </w:t>
      </w:r>
      <w:r>
        <w:t>brexucabtagene autoleucel</w:t>
      </w:r>
      <w:r>
        <w:rPr>
          <w:rFonts w:eastAsia="Calibri"/>
          <w:lang w:eastAsia="en-US"/>
        </w:rPr>
        <w:t xml:space="preserve"> mean survival post-progression appeared to be 56 months </w:t>
      </w:r>
      <w:r w:rsidRPr="0020503D">
        <w:rPr>
          <w:rFonts w:eastAsia="Calibri"/>
          <w:lang w:eastAsia="en-US"/>
        </w:rPr>
        <w:t xml:space="preserve">over the modelled time horizon of 30 years </w:t>
      </w:r>
      <w:r>
        <w:rPr>
          <w:rFonts w:eastAsia="Calibri"/>
          <w:lang w:eastAsia="en-US"/>
        </w:rPr>
        <w:t>compared with 0.42 months for salvage therapy. ESC noted that, in its pre-ESC response, the applicant maintains that 56 months is plausible. ESC noted that choosing</w:t>
      </w:r>
      <w:r w:rsidRPr="00FB4565">
        <w:rPr>
          <w:rFonts w:eastAsia="Calibri"/>
          <w:lang w:eastAsia="en-US"/>
        </w:rPr>
        <w:t xml:space="preserve"> a different function (</w:t>
      </w:r>
      <w:proofErr w:type="gramStart"/>
      <w:r w:rsidRPr="00FB4565">
        <w:rPr>
          <w:rFonts w:eastAsia="Calibri"/>
          <w:lang w:eastAsia="en-US"/>
        </w:rPr>
        <w:t>e.g.</w:t>
      </w:r>
      <w:proofErr w:type="gramEnd"/>
      <w:r>
        <w:rPr>
          <w:rFonts w:eastAsia="Calibri"/>
          <w:lang w:eastAsia="en-US"/>
        </w:rPr>
        <w:t xml:space="preserve"> </w:t>
      </w:r>
      <w:r w:rsidRPr="00FB4565">
        <w:rPr>
          <w:rFonts w:eastAsia="Calibri"/>
          <w:lang w:eastAsia="en-US"/>
        </w:rPr>
        <w:t>log-normal</w:t>
      </w:r>
      <w:r>
        <w:rPr>
          <w:rFonts w:eastAsia="Calibri"/>
          <w:lang w:eastAsia="en-US"/>
        </w:rPr>
        <w:t>;</w:t>
      </w:r>
      <w:r w:rsidRPr="00FB4565">
        <w:rPr>
          <w:rFonts w:eastAsia="Calibri"/>
          <w:lang w:eastAsia="en-US"/>
        </w:rPr>
        <w:t xml:space="preserve"> second</w:t>
      </w:r>
      <w:r>
        <w:rPr>
          <w:rFonts w:eastAsia="Calibri"/>
          <w:lang w:eastAsia="en-US"/>
        </w:rPr>
        <w:t>-</w:t>
      </w:r>
      <w:r w:rsidRPr="00FB4565">
        <w:rPr>
          <w:rFonts w:eastAsia="Calibri"/>
          <w:lang w:eastAsia="en-US"/>
        </w:rPr>
        <w:t xml:space="preserve">best fit) for the OS curve </w:t>
      </w:r>
      <w:r w:rsidRPr="00A168A8">
        <w:rPr>
          <w:rFonts w:eastAsia="Calibri"/>
          <w:lang w:eastAsia="en-US"/>
        </w:rPr>
        <w:t xml:space="preserve">can reduce the mean post-progression survival in patients receiving </w:t>
      </w:r>
      <w:r w:rsidRPr="00A168A8">
        <w:t xml:space="preserve">brexucabtagene autoleucel </w:t>
      </w:r>
      <w:r w:rsidRPr="00A168A8">
        <w:rPr>
          <w:rFonts w:eastAsia="Calibri"/>
          <w:lang w:eastAsia="en-US"/>
        </w:rPr>
        <w:t xml:space="preserve">to 13.9 months. This reduced the incremental life-years gained (LYG) and quality-adjusted life years (QALYs) in the base case resulting in a </w:t>
      </w:r>
      <w:r w:rsidR="00894221" w:rsidRPr="00A168A8">
        <w:rPr>
          <w:b/>
          <w:bCs/>
          <w:color w:val="000000"/>
        </w:rPr>
        <w:t>redacted</w:t>
      </w:r>
      <w:r w:rsidRPr="00A168A8">
        <w:rPr>
          <w:rFonts w:eastAsia="Calibri"/>
          <w:lang w:eastAsia="en-US"/>
        </w:rPr>
        <w:t>% increase in the incremental cost-effectiveness ratio (ICER) – from $</w:t>
      </w:r>
      <w:r w:rsidR="00894221" w:rsidRPr="00A168A8">
        <w:rPr>
          <w:b/>
          <w:bCs/>
          <w:color w:val="000000"/>
        </w:rPr>
        <w:t>redacted</w:t>
      </w:r>
      <w:r w:rsidRPr="00A168A8">
        <w:rPr>
          <w:rFonts w:eastAsia="Calibri"/>
          <w:lang w:eastAsia="en-US"/>
        </w:rPr>
        <w:t>/QALY to $</w:t>
      </w:r>
      <w:r w:rsidR="00894221" w:rsidRPr="00A168A8">
        <w:rPr>
          <w:b/>
          <w:bCs/>
          <w:color w:val="000000"/>
        </w:rPr>
        <w:t>redacted</w:t>
      </w:r>
      <w:r w:rsidR="00A168A8" w:rsidRPr="00A168A8">
        <w:rPr>
          <w:rFonts w:eastAsia="Calibri"/>
          <w:lang w:eastAsia="en-US"/>
        </w:rPr>
        <w:t>/</w:t>
      </w:r>
      <w:r w:rsidRPr="00A168A8">
        <w:rPr>
          <w:rFonts w:eastAsia="Calibri"/>
          <w:lang w:eastAsia="en-US"/>
        </w:rPr>
        <w:t>QALY. ESC considered this to highlight how important it is to have evidence to support the post-progression data and how the external validity of the model needs to be tested using other datasets or expert opinion. ESC recommended using a more flexible extrapolation approach (</w:t>
      </w:r>
      <w:proofErr w:type="gramStart"/>
      <w:r w:rsidRPr="00A168A8">
        <w:rPr>
          <w:rFonts w:eastAsia="Calibri"/>
          <w:lang w:eastAsia="en-US"/>
        </w:rPr>
        <w:t>e.g.</w:t>
      </w:r>
      <w:proofErr w:type="gramEnd"/>
      <w:r w:rsidRPr="00A168A8">
        <w:rPr>
          <w:rFonts w:eastAsia="Calibri"/>
          <w:lang w:eastAsia="en-US"/>
        </w:rPr>
        <w:t xml:space="preserve"> piecewise spline models) (Grey et al. </w:t>
      </w:r>
      <w:r w:rsidRPr="00A168A8">
        <w:rPr>
          <w:rFonts w:eastAsia="Calibri"/>
          <w:i/>
          <w:iCs/>
          <w:lang w:eastAsia="en-US"/>
        </w:rPr>
        <w:t>Medical Decision Making</w:t>
      </w:r>
      <w:r w:rsidRPr="00A168A8">
        <w:rPr>
          <w:rFonts w:eastAsia="Calibri"/>
          <w:lang w:eastAsia="en-US"/>
        </w:rPr>
        <w:t xml:space="preserve"> 2021 41(2):179–193). </w:t>
      </w:r>
    </w:p>
    <w:p w14:paraId="03F52C40" w14:textId="77777777" w:rsidR="007430E7" w:rsidRPr="00A168A8" w:rsidRDefault="007430E7" w:rsidP="007430E7">
      <w:pPr>
        <w:spacing w:before="240"/>
        <w:rPr>
          <w:rFonts w:eastAsia="Calibri"/>
          <w:lang w:eastAsia="en-US"/>
        </w:rPr>
      </w:pPr>
      <w:r w:rsidRPr="00A168A8">
        <w:rPr>
          <w:rFonts w:eastAsia="Calibri"/>
          <w:lang w:eastAsia="en-US"/>
        </w:rPr>
        <w:t xml:space="preserve">ESC noted that the costs used for the model inputs were corrected by the Commentary, such as the cost of the salvage therapy and hospital costs for salvage therapy (comparator). ESC noted there was little Australian data about the most appropriate salvage therapies used in Australia, and the salvage therapy used in the ADAR does not match that recommended by </w:t>
      </w:r>
      <w:proofErr w:type="spellStart"/>
      <w:r w:rsidRPr="00A168A8">
        <w:rPr>
          <w:rFonts w:eastAsia="Calibri"/>
          <w:lang w:eastAsia="en-US"/>
        </w:rPr>
        <w:t>Evi</w:t>
      </w:r>
      <w:proofErr w:type="spellEnd"/>
      <w:r w:rsidRPr="00A168A8">
        <w:rPr>
          <w:rFonts w:eastAsia="Calibri"/>
          <w:lang w:eastAsia="en-US"/>
        </w:rPr>
        <w:t>-Q. Thus, the applicability of the costing approach used for the comparator to the Australian clinical setting (and impact on the ICER) is unclear.</w:t>
      </w:r>
    </w:p>
    <w:p w14:paraId="6FAF41B4" w14:textId="23FF6D52" w:rsidR="007430E7" w:rsidRPr="00DA7246" w:rsidRDefault="007430E7" w:rsidP="007430E7">
      <w:pPr>
        <w:spacing w:before="240"/>
        <w:rPr>
          <w:rFonts w:eastAsia="Calibri"/>
          <w:i/>
        </w:rPr>
      </w:pPr>
      <w:r w:rsidRPr="00A168A8">
        <w:rPr>
          <w:rFonts w:eastAsia="Calibri"/>
          <w:lang w:eastAsia="en-US"/>
        </w:rPr>
        <w:t>ESC noted the revised sensitivity analysis (base case $</w:t>
      </w:r>
      <w:r w:rsidR="000441F0" w:rsidRPr="00A168A8">
        <w:rPr>
          <w:rFonts w:eastAsia="Calibri"/>
          <w:b/>
          <w:bCs/>
          <w:lang w:eastAsia="en-US"/>
        </w:rPr>
        <w:t>redacted</w:t>
      </w:r>
      <w:r w:rsidRPr="00A168A8">
        <w:rPr>
          <w:rFonts w:eastAsia="Calibri"/>
          <w:lang w:eastAsia="en-US"/>
        </w:rPr>
        <w:t xml:space="preserve">/QALY) after altering the time horizon, the utility weights, and proportion of patients receiving SCT after </w:t>
      </w:r>
      <w:r w:rsidRPr="00A168A8">
        <w:t xml:space="preserve">brexucabtagene autoleucel </w:t>
      </w:r>
      <w:r w:rsidRPr="00A168A8">
        <w:rPr>
          <w:rFonts w:eastAsia="Calibri"/>
          <w:lang w:eastAsia="en-US"/>
        </w:rPr>
        <w:t>and after salvage therapy. Altering these variables resulted in ICERs of between $</w:t>
      </w:r>
      <w:r w:rsidR="00C079F1" w:rsidRPr="00A168A8">
        <w:rPr>
          <w:b/>
          <w:bCs/>
          <w:color w:val="000000"/>
        </w:rPr>
        <w:t>redacted</w:t>
      </w:r>
      <w:r w:rsidRPr="00A168A8">
        <w:rPr>
          <w:rFonts w:eastAsia="Calibri"/>
          <w:lang w:eastAsia="en-US"/>
        </w:rPr>
        <w:t>/QALY (using lowered discounting rates) and $</w:t>
      </w:r>
      <w:r w:rsidR="00C079F1" w:rsidRPr="00A168A8">
        <w:rPr>
          <w:b/>
          <w:bCs/>
          <w:color w:val="000000"/>
        </w:rPr>
        <w:t>redacted</w:t>
      </w:r>
      <w:r w:rsidRPr="00A168A8">
        <w:rPr>
          <w:rFonts w:eastAsia="Calibri"/>
          <w:lang w:eastAsia="en-US"/>
        </w:rPr>
        <w:t>/QALY (using a 10-year time horizon).</w:t>
      </w:r>
      <w:r w:rsidR="003E17D3" w:rsidRPr="00A168A8">
        <w:rPr>
          <w:rFonts w:eastAsia="Calibri"/>
          <w:i/>
          <w:iCs/>
          <w:lang w:eastAsia="en-US"/>
        </w:rPr>
        <w:t xml:space="preserve"> </w:t>
      </w:r>
    </w:p>
    <w:p w14:paraId="317887E9" w14:textId="5BC63CB9" w:rsidR="007430E7" w:rsidRDefault="007430E7" w:rsidP="007430E7">
      <w:pPr>
        <w:spacing w:before="240"/>
        <w:rPr>
          <w:rFonts w:eastAsia="Calibri"/>
          <w:lang w:eastAsia="en-US"/>
        </w:rPr>
      </w:pPr>
      <w:r w:rsidRPr="00A168A8">
        <w:rPr>
          <w:rFonts w:eastAsia="Calibri"/>
          <w:lang w:eastAsia="en-US"/>
        </w:rPr>
        <w:t>ESC noted that a market-share approach using multiple data sources was used in the budget impact analysis. ESC noted that, adjusting for cost savings associated with the reduced use of salvage therapy (and including the Commentary’s corrections), the estimated net budget impact could be approximately $</w:t>
      </w:r>
      <w:r w:rsidR="00C079F1" w:rsidRPr="00A168A8">
        <w:rPr>
          <w:b/>
          <w:bCs/>
          <w:color w:val="000000"/>
        </w:rPr>
        <w:t>redacted</w:t>
      </w:r>
      <w:r w:rsidR="00C079F1" w:rsidRPr="00A168A8" w:rsidDel="00C079F1">
        <w:rPr>
          <w:rFonts w:eastAsia="Calibri"/>
          <w:lang w:eastAsia="en-US"/>
        </w:rPr>
        <w:t xml:space="preserve"> </w:t>
      </w:r>
      <w:r w:rsidRPr="00A168A8">
        <w:rPr>
          <w:rFonts w:eastAsia="Calibri"/>
          <w:lang w:eastAsia="en-US"/>
        </w:rPr>
        <w:t>in year 1 to $</w:t>
      </w:r>
      <w:r w:rsidR="00C079F1" w:rsidRPr="00A168A8">
        <w:rPr>
          <w:b/>
          <w:bCs/>
          <w:color w:val="000000"/>
        </w:rPr>
        <w:t>redacted</w:t>
      </w:r>
      <w:r w:rsidR="00C079F1" w:rsidRPr="00A168A8" w:rsidDel="00C079F1">
        <w:rPr>
          <w:rFonts w:eastAsia="Calibri"/>
          <w:lang w:eastAsia="en-US"/>
        </w:rPr>
        <w:t xml:space="preserve"> </w:t>
      </w:r>
      <w:r w:rsidRPr="00A168A8">
        <w:rPr>
          <w:rFonts w:eastAsia="Calibri"/>
          <w:lang w:eastAsia="en-US"/>
        </w:rPr>
        <w:t>in year 6. ESC considered that these costs could be underestimated, which the applicant agreed with.</w:t>
      </w:r>
    </w:p>
    <w:p w14:paraId="7802B04F" w14:textId="5F1478F8" w:rsidR="007430E7" w:rsidRPr="00084661" w:rsidRDefault="007430E7" w:rsidP="00DA7246">
      <w:pPr>
        <w:spacing w:before="240"/>
      </w:pPr>
      <w:r>
        <w:rPr>
          <w:rFonts w:eastAsia="Calibri"/>
          <w:lang w:eastAsia="en-US"/>
        </w:rPr>
        <w:t xml:space="preserve">ESC considered that, if </w:t>
      </w:r>
      <w:r>
        <w:t xml:space="preserve">brexucabtagene autoleucel were to be funded, a review after 1–2 years and a </w:t>
      </w:r>
      <w:r w:rsidR="00902381">
        <w:rPr>
          <w:b/>
          <w:bCs/>
        </w:rPr>
        <w:t>r</w:t>
      </w:r>
      <w:r w:rsidR="00902381" w:rsidRPr="00CF0B22">
        <w:rPr>
          <w:b/>
          <w:bCs/>
        </w:rPr>
        <w:t>edacted</w:t>
      </w:r>
      <w:r w:rsidR="00902381">
        <w:t xml:space="preserve"> </w:t>
      </w:r>
      <w:r>
        <w:t xml:space="preserve">would be appropriate, </w:t>
      </w:r>
      <w:proofErr w:type="gramStart"/>
      <w:r>
        <w:t>similar to</w:t>
      </w:r>
      <w:proofErr w:type="gramEnd"/>
      <w:r>
        <w:t xml:space="preserve"> </w:t>
      </w:r>
      <w:proofErr w:type="spellStart"/>
      <w:r>
        <w:t>Yescarta</w:t>
      </w:r>
      <w:proofErr w:type="spellEnd"/>
      <w:r>
        <w:t>®.</w:t>
      </w:r>
    </w:p>
    <w:p w14:paraId="1A32CF85" w14:textId="77777777" w:rsidR="001550E5" w:rsidRPr="001550E5" w:rsidRDefault="001550E5"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Other significant factors</w:t>
      </w:r>
    </w:p>
    <w:p w14:paraId="2A4FEEDE" w14:textId="77777777" w:rsidR="001550E5" w:rsidRPr="001550E5" w:rsidRDefault="001550E5" w:rsidP="001550E5">
      <w:pPr>
        <w:spacing w:after="240"/>
        <w:rPr>
          <w:iCs/>
          <w:szCs w:val="24"/>
        </w:rPr>
      </w:pPr>
      <w:r w:rsidRPr="001550E5">
        <w:rPr>
          <w:iCs/>
          <w:szCs w:val="24"/>
        </w:rPr>
        <w:t>Nil</w:t>
      </w:r>
    </w:p>
    <w:p w14:paraId="578B9469" w14:textId="77777777" w:rsidR="001550E5" w:rsidRPr="001550E5" w:rsidRDefault="001550E5"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t>Applicant comments on MSAC’s Public Summary Document</w:t>
      </w:r>
    </w:p>
    <w:p w14:paraId="67409F51" w14:textId="5BC1C3FD" w:rsidR="00AD08B5" w:rsidRPr="005B55FF" w:rsidRDefault="00AD08B5" w:rsidP="00AD08B5">
      <w:pPr>
        <w:spacing w:after="240"/>
      </w:pPr>
      <w:bookmarkStart w:id="39" w:name="_Hlk83228433"/>
      <w:r w:rsidRPr="005B55FF">
        <w:t xml:space="preserve">Gilead Sciences welcomes the MSAC decision to support public funding of brexucabtagene autoleucel for certain patients with relapsed or refractory mantle cell lymphoma, a rare condition in a </w:t>
      </w:r>
      <w:r w:rsidR="009121B3" w:rsidRPr="005B55FF">
        <w:t xml:space="preserve">small </w:t>
      </w:r>
      <w:r w:rsidRPr="005B55FF">
        <w:t xml:space="preserve">population with high clinical need. Gilead Sciences is looking forward to collaborating with the Commonwealth and State and Territory governments to provide access </w:t>
      </w:r>
      <w:r w:rsidR="004C791D" w:rsidRPr="005B55FF">
        <w:rPr>
          <w:szCs w:val="24"/>
        </w:rPr>
        <w:t>to</w:t>
      </w:r>
      <w:r w:rsidR="005B55FF" w:rsidRPr="005B55FF">
        <w:rPr>
          <w:szCs w:val="24"/>
        </w:rPr>
        <w:t xml:space="preserve"> </w:t>
      </w:r>
      <w:r w:rsidRPr="005B55FF">
        <w:t>this CAR</w:t>
      </w:r>
      <w:r w:rsidR="004C791D" w:rsidRPr="005B55FF">
        <w:rPr>
          <w:szCs w:val="24"/>
        </w:rPr>
        <w:t xml:space="preserve"> </w:t>
      </w:r>
      <w:r w:rsidRPr="005B55FF">
        <w:rPr>
          <w:szCs w:val="24"/>
        </w:rPr>
        <w:t>-</w:t>
      </w:r>
      <w:r w:rsidRPr="005B55FF">
        <w:t>T</w:t>
      </w:r>
      <w:r w:rsidR="004C791D" w:rsidRPr="005B55FF">
        <w:rPr>
          <w:szCs w:val="24"/>
        </w:rPr>
        <w:t>-</w:t>
      </w:r>
      <w:r w:rsidRPr="005B55FF">
        <w:rPr>
          <w:szCs w:val="24"/>
        </w:rPr>
        <w:t xml:space="preserve"> </w:t>
      </w:r>
      <w:r w:rsidRPr="005B55FF">
        <w:t>cell therapy to all eligible patients throughout Australia in the timeliest manner.</w:t>
      </w:r>
    </w:p>
    <w:bookmarkEnd w:id="39"/>
    <w:p w14:paraId="6B090220" w14:textId="77777777" w:rsidR="001550E5" w:rsidRPr="001550E5" w:rsidRDefault="001550E5" w:rsidP="001550E5">
      <w:pPr>
        <w:pStyle w:val="Heading1"/>
        <w:numPr>
          <w:ilvl w:val="0"/>
          <w:numId w:val="13"/>
        </w:numPr>
        <w:spacing w:before="240" w:after="240"/>
        <w:ind w:hanging="720"/>
        <w:rPr>
          <w:rFonts w:ascii="Arial" w:eastAsia="Times New Roman" w:hAnsi="Arial" w:cs="Times New Roman"/>
        </w:rPr>
      </w:pPr>
      <w:r w:rsidRPr="001550E5">
        <w:rPr>
          <w:rFonts w:ascii="Arial" w:eastAsia="Times New Roman" w:hAnsi="Arial" w:cs="Times New Roman"/>
        </w:rPr>
        <w:lastRenderedPageBreak/>
        <w:t>Further information on MSAC</w:t>
      </w:r>
    </w:p>
    <w:p w14:paraId="4185FC74" w14:textId="39DA6F60" w:rsidR="007430E7" w:rsidRPr="00DE7DEF" w:rsidRDefault="001550E5" w:rsidP="00DE7DEF">
      <w:pPr>
        <w:spacing w:after="240"/>
        <w:rPr>
          <w:szCs w:val="24"/>
        </w:rPr>
      </w:pPr>
      <w:r w:rsidRPr="00F715D1">
        <w:rPr>
          <w:szCs w:val="24"/>
        </w:rPr>
        <w:t xml:space="preserve">MSAC Terms of Reference and other information are available on the MSAC Website: </w:t>
      </w:r>
      <w:r>
        <w:rPr>
          <w:szCs w:val="24"/>
        </w:rPr>
        <w:br/>
      </w:r>
      <w:hyperlink r:id="rId25" w:tooltip="Link to Medical Services Advisory Committee website" w:history="1">
        <w:r w:rsidRPr="00F715D1">
          <w:rPr>
            <w:rStyle w:val="Hyperlink"/>
            <w:szCs w:val="24"/>
          </w:rPr>
          <w:t>visit the MSAC website</w:t>
        </w:r>
      </w:hyperlink>
    </w:p>
    <w:sectPr w:rsidR="007430E7" w:rsidRPr="00DE7DEF" w:rsidSect="00A0399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A4AD" w14:textId="77777777" w:rsidR="007A3D05" w:rsidRDefault="007A3D05" w:rsidP="00065623">
      <w:r>
        <w:separator/>
      </w:r>
    </w:p>
  </w:endnote>
  <w:endnote w:type="continuationSeparator" w:id="0">
    <w:p w14:paraId="0578E489" w14:textId="77777777" w:rsidR="007A3D05" w:rsidRDefault="007A3D05" w:rsidP="00065623">
      <w:r>
        <w:continuationSeparator/>
      </w:r>
    </w:p>
  </w:endnote>
  <w:endnote w:type="continuationNotice" w:id="1">
    <w:p w14:paraId="2DDD70DE" w14:textId="77777777" w:rsidR="007A3D05" w:rsidRDefault="007A3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A0C3" w14:textId="77777777" w:rsidR="00A168A8" w:rsidRDefault="00A1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73568"/>
      <w:docPartObj>
        <w:docPartGallery w:val="Page Numbers (Bottom of Page)"/>
        <w:docPartUnique/>
      </w:docPartObj>
    </w:sdtPr>
    <w:sdtEndPr>
      <w:rPr>
        <w:noProof/>
      </w:rPr>
    </w:sdtEndPr>
    <w:sdtContent>
      <w:p w14:paraId="71D56F38" w14:textId="310578A4" w:rsidR="00A168A8" w:rsidRDefault="00A168A8" w:rsidP="00AA74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ACF6" w14:textId="77777777" w:rsidR="00A168A8" w:rsidRDefault="00A1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7F6D" w14:textId="77777777" w:rsidR="007A3D05" w:rsidRDefault="007A3D05" w:rsidP="00065623">
      <w:r>
        <w:separator/>
      </w:r>
    </w:p>
  </w:footnote>
  <w:footnote w:type="continuationSeparator" w:id="0">
    <w:p w14:paraId="304BEF2B" w14:textId="77777777" w:rsidR="007A3D05" w:rsidRDefault="007A3D05" w:rsidP="00065623">
      <w:r>
        <w:continuationSeparator/>
      </w:r>
    </w:p>
  </w:footnote>
  <w:footnote w:type="continuationNotice" w:id="1">
    <w:p w14:paraId="7044C6D4" w14:textId="77777777" w:rsidR="007A3D05" w:rsidRDefault="007A3D05"/>
  </w:footnote>
  <w:footnote w:id="2">
    <w:p w14:paraId="3C3EA240" w14:textId="77777777" w:rsidR="00A168A8" w:rsidRPr="00C4130E" w:rsidRDefault="00A168A8" w:rsidP="00E95E29">
      <w:pPr>
        <w:spacing w:after="200"/>
        <w:rPr>
          <w:iCs/>
          <w:sz w:val="16"/>
        </w:rPr>
      </w:pPr>
      <w:r w:rsidRPr="00C4130E">
        <w:rPr>
          <w:iCs/>
          <w:sz w:val="16"/>
          <w:vertAlign w:val="superscript"/>
        </w:rPr>
        <w:footnoteRef/>
      </w:r>
      <w:r w:rsidRPr="00C4130E">
        <w:rPr>
          <w:iCs/>
          <w:sz w:val="16"/>
          <w:vertAlign w:val="superscript"/>
        </w:rPr>
        <w:t xml:space="preserve"> </w:t>
      </w:r>
      <w:r w:rsidRPr="00C4130E">
        <w:rPr>
          <w:iCs/>
          <w:sz w:val="16"/>
        </w:rPr>
        <w:t>Guyatt, GH, et al. 2011, 'GRADE guidelines: 9. Rating up the quality of evidence', J Clin Epidemiol, vol. 64, no. 12, Dec, pp. 1311-1316.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89EF" w14:textId="77777777" w:rsidR="00A168A8" w:rsidRDefault="00A1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18AF" w14:textId="77777777" w:rsidR="00A168A8" w:rsidRDefault="00A16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1F61" w14:textId="77777777" w:rsidR="00A168A8" w:rsidRDefault="00A1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3753FD"/>
    <w:multiLevelType w:val="hybridMultilevel"/>
    <w:tmpl w:val="C4FA3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940031"/>
    <w:multiLevelType w:val="hybridMultilevel"/>
    <w:tmpl w:val="B98A6B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A77FF"/>
    <w:multiLevelType w:val="hybridMultilevel"/>
    <w:tmpl w:val="6D306006"/>
    <w:lvl w:ilvl="0" w:tplc="34DAE9C4">
      <w:start w:val="1"/>
      <w:numFmt w:val="bullet"/>
      <w:lvlText w:val=""/>
      <w:lvlJc w:val="left"/>
      <w:pPr>
        <w:tabs>
          <w:tab w:val="num" w:pos="720"/>
        </w:tabs>
        <w:ind w:left="720" w:hanging="360"/>
      </w:pPr>
      <w:rPr>
        <w:rFonts w:ascii="Wingdings" w:hAnsi="Wingdings" w:hint="default"/>
      </w:rPr>
    </w:lvl>
    <w:lvl w:ilvl="1" w:tplc="BF6C489C" w:tentative="1">
      <w:start w:val="1"/>
      <w:numFmt w:val="bullet"/>
      <w:lvlText w:val=""/>
      <w:lvlJc w:val="left"/>
      <w:pPr>
        <w:tabs>
          <w:tab w:val="num" w:pos="1440"/>
        </w:tabs>
        <w:ind w:left="1440" w:hanging="360"/>
      </w:pPr>
      <w:rPr>
        <w:rFonts w:ascii="Wingdings" w:hAnsi="Wingdings" w:hint="default"/>
      </w:rPr>
    </w:lvl>
    <w:lvl w:ilvl="2" w:tplc="14964652" w:tentative="1">
      <w:start w:val="1"/>
      <w:numFmt w:val="bullet"/>
      <w:lvlText w:val=""/>
      <w:lvlJc w:val="left"/>
      <w:pPr>
        <w:tabs>
          <w:tab w:val="num" w:pos="2160"/>
        </w:tabs>
        <w:ind w:left="2160" w:hanging="360"/>
      </w:pPr>
      <w:rPr>
        <w:rFonts w:ascii="Wingdings" w:hAnsi="Wingdings" w:hint="default"/>
      </w:rPr>
    </w:lvl>
    <w:lvl w:ilvl="3" w:tplc="1960C0F8" w:tentative="1">
      <w:start w:val="1"/>
      <w:numFmt w:val="bullet"/>
      <w:lvlText w:val=""/>
      <w:lvlJc w:val="left"/>
      <w:pPr>
        <w:tabs>
          <w:tab w:val="num" w:pos="2880"/>
        </w:tabs>
        <w:ind w:left="2880" w:hanging="360"/>
      </w:pPr>
      <w:rPr>
        <w:rFonts w:ascii="Wingdings" w:hAnsi="Wingdings" w:hint="default"/>
      </w:rPr>
    </w:lvl>
    <w:lvl w:ilvl="4" w:tplc="7A00BDA4" w:tentative="1">
      <w:start w:val="1"/>
      <w:numFmt w:val="bullet"/>
      <w:lvlText w:val=""/>
      <w:lvlJc w:val="left"/>
      <w:pPr>
        <w:tabs>
          <w:tab w:val="num" w:pos="3600"/>
        </w:tabs>
        <w:ind w:left="3600" w:hanging="360"/>
      </w:pPr>
      <w:rPr>
        <w:rFonts w:ascii="Wingdings" w:hAnsi="Wingdings" w:hint="default"/>
      </w:rPr>
    </w:lvl>
    <w:lvl w:ilvl="5" w:tplc="F66ACF18" w:tentative="1">
      <w:start w:val="1"/>
      <w:numFmt w:val="bullet"/>
      <w:lvlText w:val=""/>
      <w:lvlJc w:val="left"/>
      <w:pPr>
        <w:tabs>
          <w:tab w:val="num" w:pos="4320"/>
        </w:tabs>
        <w:ind w:left="4320" w:hanging="360"/>
      </w:pPr>
      <w:rPr>
        <w:rFonts w:ascii="Wingdings" w:hAnsi="Wingdings" w:hint="default"/>
      </w:rPr>
    </w:lvl>
    <w:lvl w:ilvl="6" w:tplc="62CE1350" w:tentative="1">
      <w:start w:val="1"/>
      <w:numFmt w:val="bullet"/>
      <w:lvlText w:val=""/>
      <w:lvlJc w:val="left"/>
      <w:pPr>
        <w:tabs>
          <w:tab w:val="num" w:pos="5040"/>
        </w:tabs>
        <w:ind w:left="5040" w:hanging="360"/>
      </w:pPr>
      <w:rPr>
        <w:rFonts w:ascii="Wingdings" w:hAnsi="Wingdings" w:hint="default"/>
      </w:rPr>
    </w:lvl>
    <w:lvl w:ilvl="7" w:tplc="5B4AB6E2" w:tentative="1">
      <w:start w:val="1"/>
      <w:numFmt w:val="bullet"/>
      <w:lvlText w:val=""/>
      <w:lvlJc w:val="left"/>
      <w:pPr>
        <w:tabs>
          <w:tab w:val="num" w:pos="5760"/>
        </w:tabs>
        <w:ind w:left="5760" w:hanging="360"/>
      </w:pPr>
      <w:rPr>
        <w:rFonts w:ascii="Wingdings" w:hAnsi="Wingdings" w:hint="default"/>
      </w:rPr>
    </w:lvl>
    <w:lvl w:ilvl="8" w:tplc="9F3689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F5FCF"/>
    <w:multiLevelType w:val="hybridMultilevel"/>
    <w:tmpl w:val="0D9A1A20"/>
    <w:lvl w:ilvl="0" w:tplc="AB7E9F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F476FF6"/>
    <w:multiLevelType w:val="hybridMultilevel"/>
    <w:tmpl w:val="5AB097EC"/>
    <w:lvl w:ilvl="0" w:tplc="F4201C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4B486B"/>
    <w:multiLevelType w:val="hybridMultilevel"/>
    <w:tmpl w:val="FFCE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2" w15:restartNumberingAfterBreak="0">
    <w:nsid w:val="434A4091"/>
    <w:multiLevelType w:val="hybridMultilevel"/>
    <w:tmpl w:val="10E68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036B50"/>
    <w:multiLevelType w:val="hybridMultilevel"/>
    <w:tmpl w:val="5AAAA9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43A4A"/>
    <w:multiLevelType w:val="hybridMultilevel"/>
    <w:tmpl w:val="B51EE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444646"/>
    <w:multiLevelType w:val="hybridMultilevel"/>
    <w:tmpl w:val="4EB27DE4"/>
    <w:lvl w:ilvl="0" w:tplc="0C090001">
      <w:start w:val="1"/>
      <w:numFmt w:val="bullet"/>
      <w:lvlText w:val=""/>
      <w:lvlJc w:val="left"/>
      <w:pPr>
        <w:ind w:left="3904" w:hanging="360"/>
      </w:pPr>
      <w:rPr>
        <w:rFonts w:ascii="Symbol" w:hAnsi="Symbol" w:hint="default"/>
      </w:rPr>
    </w:lvl>
    <w:lvl w:ilvl="1" w:tplc="0C090003" w:tentative="1">
      <w:start w:val="1"/>
      <w:numFmt w:val="bullet"/>
      <w:lvlText w:val="o"/>
      <w:lvlJc w:val="left"/>
      <w:pPr>
        <w:ind w:left="4624" w:hanging="360"/>
      </w:pPr>
      <w:rPr>
        <w:rFonts w:ascii="Courier New" w:hAnsi="Courier New" w:cs="Courier New" w:hint="default"/>
      </w:rPr>
    </w:lvl>
    <w:lvl w:ilvl="2" w:tplc="0C090005" w:tentative="1">
      <w:start w:val="1"/>
      <w:numFmt w:val="bullet"/>
      <w:lvlText w:val=""/>
      <w:lvlJc w:val="left"/>
      <w:pPr>
        <w:ind w:left="5344" w:hanging="360"/>
      </w:pPr>
      <w:rPr>
        <w:rFonts w:ascii="Wingdings" w:hAnsi="Wingdings" w:hint="default"/>
      </w:rPr>
    </w:lvl>
    <w:lvl w:ilvl="3" w:tplc="0C090001" w:tentative="1">
      <w:start w:val="1"/>
      <w:numFmt w:val="bullet"/>
      <w:lvlText w:val=""/>
      <w:lvlJc w:val="left"/>
      <w:pPr>
        <w:ind w:left="6064" w:hanging="360"/>
      </w:pPr>
      <w:rPr>
        <w:rFonts w:ascii="Symbol" w:hAnsi="Symbol" w:hint="default"/>
      </w:rPr>
    </w:lvl>
    <w:lvl w:ilvl="4" w:tplc="0C090003" w:tentative="1">
      <w:start w:val="1"/>
      <w:numFmt w:val="bullet"/>
      <w:lvlText w:val="o"/>
      <w:lvlJc w:val="left"/>
      <w:pPr>
        <w:ind w:left="6784" w:hanging="360"/>
      </w:pPr>
      <w:rPr>
        <w:rFonts w:ascii="Courier New" w:hAnsi="Courier New" w:cs="Courier New" w:hint="default"/>
      </w:rPr>
    </w:lvl>
    <w:lvl w:ilvl="5" w:tplc="0C090005" w:tentative="1">
      <w:start w:val="1"/>
      <w:numFmt w:val="bullet"/>
      <w:lvlText w:val=""/>
      <w:lvlJc w:val="left"/>
      <w:pPr>
        <w:ind w:left="7504" w:hanging="360"/>
      </w:pPr>
      <w:rPr>
        <w:rFonts w:ascii="Wingdings" w:hAnsi="Wingdings" w:hint="default"/>
      </w:rPr>
    </w:lvl>
    <w:lvl w:ilvl="6" w:tplc="0C090001" w:tentative="1">
      <w:start w:val="1"/>
      <w:numFmt w:val="bullet"/>
      <w:lvlText w:val=""/>
      <w:lvlJc w:val="left"/>
      <w:pPr>
        <w:ind w:left="8224" w:hanging="360"/>
      </w:pPr>
      <w:rPr>
        <w:rFonts w:ascii="Symbol" w:hAnsi="Symbol" w:hint="default"/>
      </w:rPr>
    </w:lvl>
    <w:lvl w:ilvl="7" w:tplc="0C090003" w:tentative="1">
      <w:start w:val="1"/>
      <w:numFmt w:val="bullet"/>
      <w:lvlText w:val="o"/>
      <w:lvlJc w:val="left"/>
      <w:pPr>
        <w:ind w:left="8944" w:hanging="360"/>
      </w:pPr>
      <w:rPr>
        <w:rFonts w:ascii="Courier New" w:hAnsi="Courier New" w:cs="Courier New" w:hint="default"/>
      </w:rPr>
    </w:lvl>
    <w:lvl w:ilvl="8" w:tplc="0C090005" w:tentative="1">
      <w:start w:val="1"/>
      <w:numFmt w:val="bullet"/>
      <w:lvlText w:val=""/>
      <w:lvlJc w:val="left"/>
      <w:pPr>
        <w:ind w:left="9664" w:hanging="360"/>
      </w:pPr>
      <w:rPr>
        <w:rFonts w:ascii="Wingdings" w:hAnsi="Wingdings" w:hint="default"/>
      </w:rPr>
    </w:lvl>
  </w:abstractNum>
  <w:abstractNum w:abstractNumId="19" w15:restartNumberingAfterBreak="0">
    <w:nsid w:val="5CC706F6"/>
    <w:multiLevelType w:val="hybridMultilevel"/>
    <w:tmpl w:val="3258B0A2"/>
    <w:lvl w:ilvl="0" w:tplc="426EE130">
      <w:start w:val="1"/>
      <w:numFmt w:val="upperLetter"/>
      <w:lvlText w:val="%1."/>
      <w:lvlJc w:val="left"/>
      <w:pPr>
        <w:ind w:left="3240" w:hanging="360"/>
      </w:pPr>
      <w:rPr>
        <w:rFonts w:hint="default"/>
      </w:rPr>
    </w:lvl>
    <w:lvl w:ilvl="1" w:tplc="0C090003">
      <w:start w:val="1"/>
      <w:numFmt w:val="bullet"/>
      <w:lvlText w:val="o"/>
      <w:lvlJc w:val="left"/>
      <w:pPr>
        <w:ind w:left="720" w:hanging="360"/>
      </w:pPr>
      <w:rPr>
        <w:rFonts w:ascii="Courier New" w:hAnsi="Courier New" w:cs="Courier New" w:hint="default"/>
      </w:rPr>
    </w:lvl>
    <w:lvl w:ilvl="2" w:tplc="0C09001B">
      <w:start w:val="1"/>
      <w:numFmt w:val="lowerRoman"/>
      <w:lvlText w:val="%3."/>
      <w:lvlJc w:val="right"/>
      <w:pPr>
        <w:ind w:left="4680" w:hanging="180"/>
      </w:pPr>
    </w:lvl>
    <w:lvl w:ilvl="3" w:tplc="0C09000F">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D387448"/>
    <w:multiLevelType w:val="multilevel"/>
    <w:tmpl w:val="B22A93B6"/>
    <w:numStyleLink w:val="Heading1a"/>
  </w:abstractNum>
  <w:abstractNum w:abstractNumId="21"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257FA4"/>
    <w:multiLevelType w:val="hybridMultilevel"/>
    <w:tmpl w:val="11DEF0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E746294"/>
    <w:multiLevelType w:val="hybridMultilevel"/>
    <w:tmpl w:val="0A047B4E"/>
    <w:lvl w:ilvl="0" w:tplc="390289E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D06A5D"/>
    <w:multiLevelType w:val="hybridMultilevel"/>
    <w:tmpl w:val="DA241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943726"/>
    <w:multiLevelType w:val="hybridMultilevel"/>
    <w:tmpl w:val="F214A9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B67342"/>
    <w:multiLevelType w:val="hybridMultilevel"/>
    <w:tmpl w:val="0098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631490"/>
    <w:multiLevelType w:val="hybridMultilevel"/>
    <w:tmpl w:val="0916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9D78F2"/>
    <w:multiLevelType w:val="hybridMultilevel"/>
    <w:tmpl w:val="6444DF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3"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0202836">
    <w:abstractNumId w:val="3"/>
  </w:num>
  <w:num w:numId="2" w16cid:durableId="1815683233">
    <w:abstractNumId w:val="0"/>
  </w:num>
  <w:num w:numId="3" w16cid:durableId="1439257860">
    <w:abstractNumId w:val="17"/>
  </w:num>
  <w:num w:numId="4" w16cid:durableId="759906220">
    <w:abstractNumId w:val="33"/>
  </w:num>
  <w:num w:numId="5" w16cid:durableId="466513407">
    <w:abstractNumId w:val="26"/>
  </w:num>
  <w:num w:numId="6" w16cid:durableId="1749812732">
    <w:abstractNumId w:val="21"/>
  </w:num>
  <w:num w:numId="7" w16cid:durableId="2097433621">
    <w:abstractNumId w:val="11"/>
  </w:num>
  <w:num w:numId="8" w16cid:durableId="752163462">
    <w:abstractNumId w:val="8"/>
  </w:num>
  <w:num w:numId="9" w16cid:durableId="1694762565">
    <w:abstractNumId w:val="28"/>
  </w:num>
  <w:num w:numId="10" w16cid:durableId="141165109">
    <w:abstractNumId w:val="32"/>
  </w:num>
  <w:num w:numId="11" w16cid:durableId="155145317">
    <w:abstractNumId w:val="6"/>
  </w:num>
  <w:num w:numId="12" w16cid:durableId="1268808991">
    <w:abstractNumId w:val="20"/>
  </w:num>
  <w:num w:numId="13" w16cid:durableId="1493830653">
    <w:abstractNumId w:val="14"/>
  </w:num>
  <w:num w:numId="14" w16cid:durableId="588584736">
    <w:abstractNumId w:val="34"/>
  </w:num>
  <w:num w:numId="15" w16cid:durableId="1002245920">
    <w:abstractNumId w:val="7"/>
  </w:num>
  <w:num w:numId="16" w16cid:durableId="837572396">
    <w:abstractNumId w:val="27"/>
  </w:num>
  <w:num w:numId="17" w16cid:durableId="2019697002">
    <w:abstractNumId w:val="29"/>
  </w:num>
  <w:num w:numId="18" w16cid:durableId="1212227899">
    <w:abstractNumId w:val="12"/>
  </w:num>
  <w:num w:numId="19" w16cid:durableId="1864437937">
    <w:abstractNumId w:val="18"/>
  </w:num>
  <w:num w:numId="20" w16cid:durableId="727463524">
    <w:abstractNumId w:val="15"/>
  </w:num>
  <w:num w:numId="21" w16cid:durableId="89938854">
    <w:abstractNumId w:val="30"/>
  </w:num>
  <w:num w:numId="22" w16cid:durableId="1284506925">
    <w:abstractNumId w:val="10"/>
  </w:num>
  <w:num w:numId="23" w16cid:durableId="1968003105">
    <w:abstractNumId w:val="30"/>
  </w:num>
  <w:num w:numId="24" w16cid:durableId="1288858590">
    <w:abstractNumId w:val="22"/>
  </w:num>
  <w:num w:numId="25" w16cid:durableId="810975072">
    <w:abstractNumId w:val="1"/>
  </w:num>
  <w:num w:numId="26" w16cid:durableId="1527719003">
    <w:abstractNumId w:val="9"/>
  </w:num>
  <w:num w:numId="27" w16cid:durableId="1681543590">
    <w:abstractNumId w:val="13"/>
  </w:num>
  <w:num w:numId="28" w16cid:durableId="221064353">
    <w:abstractNumId w:val="24"/>
  </w:num>
  <w:num w:numId="29" w16cid:durableId="13458962">
    <w:abstractNumId w:val="25"/>
  </w:num>
  <w:num w:numId="30" w16cid:durableId="426773289">
    <w:abstractNumId w:val="16"/>
  </w:num>
  <w:num w:numId="31" w16cid:durableId="208616598">
    <w:abstractNumId w:val="5"/>
  </w:num>
  <w:num w:numId="32" w16cid:durableId="566502081">
    <w:abstractNumId w:val="4"/>
  </w:num>
  <w:num w:numId="33" w16cid:durableId="38865125">
    <w:abstractNumId w:val="23"/>
  </w:num>
  <w:num w:numId="34" w16cid:durableId="1452237297">
    <w:abstractNumId w:val="31"/>
  </w:num>
  <w:num w:numId="35" w16cid:durableId="382948996">
    <w:abstractNumId w:val="19"/>
  </w:num>
  <w:num w:numId="36" w16cid:durableId="16067627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4D3"/>
    <w:rsid w:val="00001884"/>
    <w:rsid w:val="00002EDA"/>
    <w:rsid w:val="000036AF"/>
    <w:rsid w:val="000038F7"/>
    <w:rsid w:val="00007543"/>
    <w:rsid w:val="00014731"/>
    <w:rsid w:val="000171A6"/>
    <w:rsid w:val="00017538"/>
    <w:rsid w:val="000213E9"/>
    <w:rsid w:val="00021DA2"/>
    <w:rsid w:val="000229A1"/>
    <w:rsid w:val="000268A1"/>
    <w:rsid w:val="000304E1"/>
    <w:rsid w:val="00033F89"/>
    <w:rsid w:val="000378A4"/>
    <w:rsid w:val="00041BF2"/>
    <w:rsid w:val="000437F9"/>
    <w:rsid w:val="000441F0"/>
    <w:rsid w:val="000515A1"/>
    <w:rsid w:val="00054151"/>
    <w:rsid w:val="0006073C"/>
    <w:rsid w:val="000632EF"/>
    <w:rsid w:val="00065623"/>
    <w:rsid w:val="000827F0"/>
    <w:rsid w:val="00084661"/>
    <w:rsid w:val="000846DC"/>
    <w:rsid w:val="00085AF7"/>
    <w:rsid w:val="0008767E"/>
    <w:rsid w:val="0009158C"/>
    <w:rsid w:val="000A0D61"/>
    <w:rsid w:val="000A63D3"/>
    <w:rsid w:val="000A738E"/>
    <w:rsid w:val="000D4012"/>
    <w:rsid w:val="000E396B"/>
    <w:rsid w:val="000E3C10"/>
    <w:rsid w:val="000E4511"/>
    <w:rsid w:val="000E5263"/>
    <w:rsid w:val="000E6588"/>
    <w:rsid w:val="000F21FE"/>
    <w:rsid w:val="000F7934"/>
    <w:rsid w:val="00104710"/>
    <w:rsid w:val="00113D74"/>
    <w:rsid w:val="00120CBC"/>
    <w:rsid w:val="0013032B"/>
    <w:rsid w:val="0013112F"/>
    <w:rsid w:val="00133358"/>
    <w:rsid w:val="00136257"/>
    <w:rsid w:val="00136969"/>
    <w:rsid w:val="0014545A"/>
    <w:rsid w:val="001538CF"/>
    <w:rsid w:val="00154A62"/>
    <w:rsid w:val="001550E5"/>
    <w:rsid w:val="001552A8"/>
    <w:rsid w:val="00155BF4"/>
    <w:rsid w:val="00157090"/>
    <w:rsid w:val="00157D30"/>
    <w:rsid w:val="00167C8A"/>
    <w:rsid w:val="00170BDB"/>
    <w:rsid w:val="00171759"/>
    <w:rsid w:val="00187DF8"/>
    <w:rsid w:val="001910F9"/>
    <w:rsid w:val="00191BB9"/>
    <w:rsid w:val="001921DF"/>
    <w:rsid w:val="001951EC"/>
    <w:rsid w:val="00195440"/>
    <w:rsid w:val="001A5C68"/>
    <w:rsid w:val="001A669F"/>
    <w:rsid w:val="001B1DFA"/>
    <w:rsid w:val="001C46B2"/>
    <w:rsid w:val="001C5A6C"/>
    <w:rsid w:val="001C7004"/>
    <w:rsid w:val="001C75D8"/>
    <w:rsid w:val="001D24A5"/>
    <w:rsid w:val="001D2A85"/>
    <w:rsid w:val="001D47FB"/>
    <w:rsid w:val="001E0225"/>
    <w:rsid w:val="001E457C"/>
    <w:rsid w:val="001E6A46"/>
    <w:rsid w:val="001E73A4"/>
    <w:rsid w:val="001E7BFF"/>
    <w:rsid w:val="001F11FA"/>
    <w:rsid w:val="001F3C4C"/>
    <w:rsid w:val="001F3C6A"/>
    <w:rsid w:val="00200AA9"/>
    <w:rsid w:val="0020503D"/>
    <w:rsid w:val="00206760"/>
    <w:rsid w:val="0021159F"/>
    <w:rsid w:val="002133BE"/>
    <w:rsid w:val="00215359"/>
    <w:rsid w:val="00215D75"/>
    <w:rsid w:val="0022638C"/>
    <w:rsid w:val="00233B97"/>
    <w:rsid w:val="00236057"/>
    <w:rsid w:val="00236247"/>
    <w:rsid w:val="00242AD4"/>
    <w:rsid w:val="00246C45"/>
    <w:rsid w:val="00252638"/>
    <w:rsid w:val="0026665D"/>
    <w:rsid w:val="00267F42"/>
    <w:rsid w:val="0027168E"/>
    <w:rsid w:val="002727C3"/>
    <w:rsid w:val="00280998"/>
    <w:rsid w:val="00281EBC"/>
    <w:rsid w:val="00281FD9"/>
    <w:rsid w:val="00286676"/>
    <w:rsid w:val="00286BC8"/>
    <w:rsid w:val="0029348E"/>
    <w:rsid w:val="00294F0A"/>
    <w:rsid w:val="00296E75"/>
    <w:rsid w:val="002A7743"/>
    <w:rsid w:val="002B34D5"/>
    <w:rsid w:val="002C3536"/>
    <w:rsid w:val="002D0267"/>
    <w:rsid w:val="002D08AA"/>
    <w:rsid w:val="002D2973"/>
    <w:rsid w:val="002D43CE"/>
    <w:rsid w:val="002D57BB"/>
    <w:rsid w:val="002E4460"/>
    <w:rsid w:val="002E71D7"/>
    <w:rsid w:val="002F3D9D"/>
    <w:rsid w:val="002F54B1"/>
    <w:rsid w:val="002F693D"/>
    <w:rsid w:val="00301462"/>
    <w:rsid w:val="00303414"/>
    <w:rsid w:val="00310DA2"/>
    <w:rsid w:val="00317291"/>
    <w:rsid w:val="00317F7A"/>
    <w:rsid w:val="003326FB"/>
    <w:rsid w:val="0033443A"/>
    <w:rsid w:val="00335B74"/>
    <w:rsid w:val="00337945"/>
    <w:rsid w:val="0034047C"/>
    <w:rsid w:val="00342FAC"/>
    <w:rsid w:val="00344582"/>
    <w:rsid w:val="003455F8"/>
    <w:rsid w:val="003502F6"/>
    <w:rsid w:val="003515D1"/>
    <w:rsid w:val="0035535A"/>
    <w:rsid w:val="00355B86"/>
    <w:rsid w:val="0035718D"/>
    <w:rsid w:val="00361DD2"/>
    <w:rsid w:val="00364329"/>
    <w:rsid w:val="003700A9"/>
    <w:rsid w:val="00373945"/>
    <w:rsid w:val="00375E5C"/>
    <w:rsid w:val="00384AF4"/>
    <w:rsid w:val="00385963"/>
    <w:rsid w:val="00386D67"/>
    <w:rsid w:val="00392016"/>
    <w:rsid w:val="00392377"/>
    <w:rsid w:val="003A078D"/>
    <w:rsid w:val="003A1272"/>
    <w:rsid w:val="003A326F"/>
    <w:rsid w:val="003A4F78"/>
    <w:rsid w:val="003B02B8"/>
    <w:rsid w:val="003B0CA4"/>
    <w:rsid w:val="003D2991"/>
    <w:rsid w:val="003D4BFC"/>
    <w:rsid w:val="003D5D80"/>
    <w:rsid w:val="003D6A0F"/>
    <w:rsid w:val="003E0164"/>
    <w:rsid w:val="003E1045"/>
    <w:rsid w:val="003E17D3"/>
    <w:rsid w:val="003E3728"/>
    <w:rsid w:val="003E3CF2"/>
    <w:rsid w:val="003E44A3"/>
    <w:rsid w:val="003E63C9"/>
    <w:rsid w:val="003F0834"/>
    <w:rsid w:val="003F16B2"/>
    <w:rsid w:val="003F30AD"/>
    <w:rsid w:val="003F5EE6"/>
    <w:rsid w:val="004031F7"/>
    <w:rsid w:val="004036CC"/>
    <w:rsid w:val="00403B3F"/>
    <w:rsid w:val="00410178"/>
    <w:rsid w:val="0041292C"/>
    <w:rsid w:val="00416CEC"/>
    <w:rsid w:val="004200AE"/>
    <w:rsid w:val="004208E1"/>
    <w:rsid w:val="0042114B"/>
    <w:rsid w:val="00433060"/>
    <w:rsid w:val="00434378"/>
    <w:rsid w:val="00436FB2"/>
    <w:rsid w:val="00437A03"/>
    <w:rsid w:val="00443F1D"/>
    <w:rsid w:val="00451310"/>
    <w:rsid w:val="00452CDC"/>
    <w:rsid w:val="00452DFC"/>
    <w:rsid w:val="004533AF"/>
    <w:rsid w:val="00460DB6"/>
    <w:rsid w:val="00461437"/>
    <w:rsid w:val="0046745E"/>
    <w:rsid w:val="00471BF1"/>
    <w:rsid w:val="00476080"/>
    <w:rsid w:val="004851AB"/>
    <w:rsid w:val="004922D8"/>
    <w:rsid w:val="00495285"/>
    <w:rsid w:val="004974BF"/>
    <w:rsid w:val="00497E4E"/>
    <w:rsid w:val="004A4E41"/>
    <w:rsid w:val="004B01A4"/>
    <w:rsid w:val="004B2358"/>
    <w:rsid w:val="004C0219"/>
    <w:rsid w:val="004C0FEE"/>
    <w:rsid w:val="004C1945"/>
    <w:rsid w:val="004C791D"/>
    <w:rsid w:val="004D1800"/>
    <w:rsid w:val="004E348D"/>
    <w:rsid w:val="004E432D"/>
    <w:rsid w:val="004E4E66"/>
    <w:rsid w:val="004E5C21"/>
    <w:rsid w:val="004F5F3A"/>
    <w:rsid w:val="0050188B"/>
    <w:rsid w:val="00511EE0"/>
    <w:rsid w:val="00514BAF"/>
    <w:rsid w:val="00514E32"/>
    <w:rsid w:val="00515C44"/>
    <w:rsid w:val="00516ACE"/>
    <w:rsid w:val="00522349"/>
    <w:rsid w:val="00522528"/>
    <w:rsid w:val="0052484B"/>
    <w:rsid w:val="00526FF6"/>
    <w:rsid w:val="005346B8"/>
    <w:rsid w:val="005420D3"/>
    <w:rsid w:val="00544BA0"/>
    <w:rsid w:val="00552DFF"/>
    <w:rsid w:val="00553FB7"/>
    <w:rsid w:val="0055481C"/>
    <w:rsid w:val="00557CF0"/>
    <w:rsid w:val="00560D60"/>
    <w:rsid w:val="005619FE"/>
    <w:rsid w:val="0056428E"/>
    <w:rsid w:val="00565224"/>
    <w:rsid w:val="00566876"/>
    <w:rsid w:val="00566DC3"/>
    <w:rsid w:val="00567131"/>
    <w:rsid w:val="0056736C"/>
    <w:rsid w:val="00573F22"/>
    <w:rsid w:val="00576ED3"/>
    <w:rsid w:val="00583D1B"/>
    <w:rsid w:val="005856E5"/>
    <w:rsid w:val="0058606F"/>
    <w:rsid w:val="0058659C"/>
    <w:rsid w:val="00590817"/>
    <w:rsid w:val="00590A73"/>
    <w:rsid w:val="005922DB"/>
    <w:rsid w:val="005938FD"/>
    <w:rsid w:val="00593FF2"/>
    <w:rsid w:val="00594478"/>
    <w:rsid w:val="00597CB3"/>
    <w:rsid w:val="005A14E4"/>
    <w:rsid w:val="005A1991"/>
    <w:rsid w:val="005A640D"/>
    <w:rsid w:val="005A6455"/>
    <w:rsid w:val="005B2DB2"/>
    <w:rsid w:val="005B32AB"/>
    <w:rsid w:val="005B32F6"/>
    <w:rsid w:val="005B55FF"/>
    <w:rsid w:val="005B59F4"/>
    <w:rsid w:val="005D0332"/>
    <w:rsid w:val="005D0F76"/>
    <w:rsid w:val="005D1977"/>
    <w:rsid w:val="005D637D"/>
    <w:rsid w:val="005E28A3"/>
    <w:rsid w:val="005E2CE8"/>
    <w:rsid w:val="005E3645"/>
    <w:rsid w:val="005E42A8"/>
    <w:rsid w:val="005F004E"/>
    <w:rsid w:val="005F43A8"/>
    <w:rsid w:val="00603860"/>
    <w:rsid w:val="00605B07"/>
    <w:rsid w:val="006074D3"/>
    <w:rsid w:val="00607D37"/>
    <w:rsid w:val="00611744"/>
    <w:rsid w:val="00612A11"/>
    <w:rsid w:val="00612F57"/>
    <w:rsid w:val="00613578"/>
    <w:rsid w:val="0061621F"/>
    <w:rsid w:val="00620E3A"/>
    <w:rsid w:val="0062156A"/>
    <w:rsid w:val="006247EF"/>
    <w:rsid w:val="006313E9"/>
    <w:rsid w:val="0063740F"/>
    <w:rsid w:val="00640A46"/>
    <w:rsid w:val="0064337F"/>
    <w:rsid w:val="00643AA0"/>
    <w:rsid w:val="00644EC1"/>
    <w:rsid w:val="00652E31"/>
    <w:rsid w:val="00654F00"/>
    <w:rsid w:val="0065529B"/>
    <w:rsid w:val="006573AE"/>
    <w:rsid w:val="00662D45"/>
    <w:rsid w:val="00663BF6"/>
    <w:rsid w:val="006761D1"/>
    <w:rsid w:val="00676A80"/>
    <w:rsid w:val="00676C49"/>
    <w:rsid w:val="00684CA6"/>
    <w:rsid w:val="00685001"/>
    <w:rsid w:val="0068710F"/>
    <w:rsid w:val="00693716"/>
    <w:rsid w:val="00695AFC"/>
    <w:rsid w:val="00695C8E"/>
    <w:rsid w:val="006A27C7"/>
    <w:rsid w:val="006A55DE"/>
    <w:rsid w:val="006A580A"/>
    <w:rsid w:val="006A6686"/>
    <w:rsid w:val="006B241A"/>
    <w:rsid w:val="006B3310"/>
    <w:rsid w:val="006B49FD"/>
    <w:rsid w:val="006B5BE7"/>
    <w:rsid w:val="006B5C99"/>
    <w:rsid w:val="006B7F3E"/>
    <w:rsid w:val="006C1938"/>
    <w:rsid w:val="006C26E3"/>
    <w:rsid w:val="006C3324"/>
    <w:rsid w:val="006C4760"/>
    <w:rsid w:val="006C5230"/>
    <w:rsid w:val="006D7D0C"/>
    <w:rsid w:val="006E2F06"/>
    <w:rsid w:val="006E7A8E"/>
    <w:rsid w:val="006F2A30"/>
    <w:rsid w:val="006F47F4"/>
    <w:rsid w:val="00703892"/>
    <w:rsid w:val="00707FED"/>
    <w:rsid w:val="0071042C"/>
    <w:rsid w:val="00713D11"/>
    <w:rsid w:val="00714380"/>
    <w:rsid w:val="0071498A"/>
    <w:rsid w:val="00720A4C"/>
    <w:rsid w:val="00720DE1"/>
    <w:rsid w:val="00722408"/>
    <w:rsid w:val="00722776"/>
    <w:rsid w:val="007229D6"/>
    <w:rsid w:val="00723375"/>
    <w:rsid w:val="00731492"/>
    <w:rsid w:val="007322FA"/>
    <w:rsid w:val="00732C4E"/>
    <w:rsid w:val="00733DBF"/>
    <w:rsid w:val="00736B3B"/>
    <w:rsid w:val="007430E7"/>
    <w:rsid w:val="00744C5D"/>
    <w:rsid w:val="00746D75"/>
    <w:rsid w:val="007554DA"/>
    <w:rsid w:val="00761C4D"/>
    <w:rsid w:val="00761C88"/>
    <w:rsid w:val="00766E36"/>
    <w:rsid w:val="007738F9"/>
    <w:rsid w:val="00775963"/>
    <w:rsid w:val="00777483"/>
    <w:rsid w:val="007849B8"/>
    <w:rsid w:val="00794D30"/>
    <w:rsid w:val="007964EB"/>
    <w:rsid w:val="00797D8D"/>
    <w:rsid w:val="007A0F08"/>
    <w:rsid w:val="007A2620"/>
    <w:rsid w:val="007A3D05"/>
    <w:rsid w:val="007A598F"/>
    <w:rsid w:val="007A6BE5"/>
    <w:rsid w:val="007A7B08"/>
    <w:rsid w:val="007B660B"/>
    <w:rsid w:val="007C2D6A"/>
    <w:rsid w:val="007C4959"/>
    <w:rsid w:val="007D6C35"/>
    <w:rsid w:val="007D7ECB"/>
    <w:rsid w:val="007E0EAF"/>
    <w:rsid w:val="007F29CD"/>
    <w:rsid w:val="007F4375"/>
    <w:rsid w:val="007F4E20"/>
    <w:rsid w:val="007F5142"/>
    <w:rsid w:val="00806A9C"/>
    <w:rsid w:val="00811F8D"/>
    <w:rsid w:val="008227C1"/>
    <w:rsid w:val="00827C06"/>
    <w:rsid w:val="0083013B"/>
    <w:rsid w:val="008304E9"/>
    <w:rsid w:val="00834D00"/>
    <w:rsid w:val="00842B9B"/>
    <w:rsid w:val="0084645A"/>
    <w:rsid w:val="00850724"/>
    <w:rsid w:val="0086104A"/>
    <w:rsid w:val="00864640"/>
    <w:rsid w:val="008651CD"/>
    <w:rsid w:val="00873D05"/>
    <w:rsid w:val="008770C6"/>
    <w:rsid w:val="008805E5"/>
    <w:rsid w:val="00880946"/>
    <w:rsid w:val="0088197A"/>
    <w:rsid w:val="008843F7"/>
    <w:rsid w:val="0088470A"/>
    <w:rsid w:val="00894221"/>
    <w:rsid w:val="00896E79"/>
    <w:rsid w:val="008A0363"/>
    <w:rsid w:val="008A0D74"/>
    <w:rsid w:val="008A5C67"/>
    <w:rsid w:val="008A6C0C"/>
    <w:rsid w:val="008A7405"/>
    <w:rsid w:val="008B195E"/>
    <w:rsid w:val="008B7855"/>
    <w:rsid w:val="008C3B77"/>
    <w:rsid w:val="008C43B2"/>
    <w:rsid w:val="008C6DE4"/>
    <w:rsid w:val="008D3831"/>
    <w:rsid w:val="008D59EA"/>
    <w:rsid w:val="008D7594"/>
    <w:rsid w:val="008E00C7"/>
    <w:rsid w:val="008E2DF5"/>
    <w:rsid w:val="008F1F54"/>
    <w:rsid w:val="00901821"/>
    <w:rsid w:val="00902381"/>
    <w:rsid w:val="009110E5"/>
    <w:rsid w:val="009121B3"/>
    <w:rsid w:val="00912AD8"/>
    <w:rsid w:val="009157CB"/>
    <w:rsid w:val="00920A83"/>
    <w:rsid w:val="00927C21"/>
    <w:rsid w:val="00933B33"/>
    <w:rsid w:val="009351F0"/>
    <w:rsid w:val="00940F74"/>
    <w:rsid w:val="009418C0"/>
    <w:rsid w:val="00943312"/>
    <w:rsid w:val="00950C0C"/>
    <w:rsid w:val="009606B7"/>
    <w:rsid w:val="00961AD6"/>
    <w:rsid w:val="0096377A"/>
    <w:rsid w:val="00964755"/>
    <w:rsid w:val="00975E88"/>
    <w:rsid w:val="00976B13"/>
    <w:rsid w:val="00990BF9"/>
    <w:rsid w:val="00992109"/>
    <w:rsid w:val="009A0310"/>
    <w:rsid w:val="009A12DA"/>
    <w:rsid w:val="009A5544"/>
    <w:rsid w:val="009A702B"/>
    <w:rsid w:val="009B2835"/>
    <w:rsid w:val="009B2DD5"/>
    <w:rsid w:val="009B7E2B"/>
    <w:rsid w:val="009C34E7"/>
    <w:rsid w:val="009C5E6A"/>
    <w:rsid w:val="009C7953"/>
    <w:rsid w:val="009D1BAC"/>
    <w:rsid w:val="009D64AB"/>
    <w:rsid w:val="009E2FFB"/>
    <w:rsid w:val="009E746B"/>
    <w:rsid w:val="009F3FB3"/>
    <w:rsid w:val="009F5D33"/>
    <w:rsid w:val="009F78EB"/>
    <w:rsid w:val="00A009C9"/>
    <w:rsid w:val="00A01E7D"/>
    <w:rsid w:val="00A021B7"/>
    <w:rsid w:val="00A03991"/>
    <w:rsid w:val="00A056C2"/>
    <w:rsid w:val="00A10373"/>
    <w:rsid w:val="00A13E62"/>
    <w:rsid w:val="00A168A8"/>
    <w:rsid w:val="00A2251E"/>
    <w:rsid w:val="00A30752"/>
    <w:rsid w:val="00A30A85"/>
    <w:rsid w:val="00A317E6"/>
    <w:rsid w:val="00A35A4F"/>
    <w:rsid w:val="00A44C6E"/>
    <w:rsid w:val="00A52FEC"/>
    <w:rsid w:val="00A53010"/>
    <w:rsid w:val="00A575D0"/>
    <w:rsid w:val="00A61349"/>
    <w:rsid w:val="00A851E4"/>
    <w:rsid w:val="00A8603E"/>
    <w:rsid w:val="00A947EB"/>
    <w:rsid w:val="00A94A98"/>
    <w:rsid w:val="00A96916"/>
    <w:rsid w:val="00AA1CFE"/>
    <w:rsid w:val="00AA3E4B"/>
    <w:rsid w:val="00AA4282"/>
    <w:rsid w:val="00AA502F"/>
    <w:rsid w:val="00AA689B"/>
    <w:rsid w:val="00AA74FF"/>
    <w:rsid w:val="00AB37FD"/>
    <w:rsid w:val="00AB4BC4"/>
    <w:rsid w:val="00AC0916"/>
    <w:rsid w:val="00AC531F"/>
    <w:rsid w:val="00AD026F"/>
    <w:rsid w:val="00AD08B5"/>
    <w:rsid w:val="00AD6A06"/>
    <w:rsid w:val="00AD6C4A"/>
    <w:rsid w:val="00AE4346"/>
    <w:rsid w:val="00AE4C2D"/>
    <w:rsid w:val="00AE76A3"/>
    <w:rsid w:val="00AF5C16"/>
    <w:rsid w:val="00AF64E7"/>
    <w:rsid w:val="00AF72BF"/>
    <w:rsid w:val="00B02E35"/>
    <w:rsid w:val="00B03576"/>
    <w:rsid w:val="00B0472C"/>
    <w:rsid w:val="00B070BE"/>
    <w:rsid w:val="00B102D9"/>
    <w:rsid w:val="00B1297A"/>
    <w:rsid w:val="00B13905"/>
    <w:rsid w:val="00B14FDB"/>
    <w:rsid w:val="00B1779B"/>
    <w:rsid w:val="00B22113"/>
    <w:rsid w:val="00B321EA"/>
    <w:rsid w:val="00B33D7B"/>
    <w:rsid w:val="00B360D5"/>
    <w:rsid w:val="00B37582"/>
    <w:rsid w:val="00B40410"/>
    <w:rsid w:val="00B411FE"/>
    <w:rsid w:val="00B4655F"/>
    <w:rsid w:val="00B46C7E"/>
    <w:rsid w:val="00B52FCF"/>
    <w:rsid w:val="00B6033B"/>
    <w:rsid w:val="00B61D57"/>
    <w:rsid w:val="00B70B80"/>
    <w:rsid w:val="00B92E9D"/>
    <w:rsid w:val="00B93DAF"/>
    <w:rsid w:val="00B974F7"/>
    <w:rsid w:val="00BA2FB7"/>
    <w:rsid w:val="00BA5A83"/>
    <w:rsid w:val="00BA6799"/>
    <w:rsid w:val="00BA77EE"/>
    <w:rsid w:val="00BB18CD"/>
    <w:rsid w:val="00BB26AB"/>
    <w:rsid w:val="00BC04A2"/>
    <w:rsid w:val="00BC401C"/>
    <w:rsid w:val="00BC44F4"/>
    <w:rsid w:val="00BC623E"/>
    <w:rsid w:val="00BD6C4E"/>
    <w:rsid w:val="00BE396E"/>
    <w:rsid w:val="00BE3F6A"/>
    <w:rsid w:val="00BE4536"/>
    <w:rsid w:val="00BE69AC"/>
    <w:rsid w:val="00BE7C0A"/>
    <w:rsid w:val="00BF0479"/>
    <w:rsid w:val="00BF074D"/>
    <w:rsid w:val="00BF0DFE"/>
    <w:rsid w:val="00BF3109"/>
    <w:rsid w:val="00BF4914"/>
    <w:rsid w:val="00C0013C"/>
    <w:rsid w:val="00C05EDF"/>
    <w:rsid w:val="00C06FBE"/>
    <w:rsid w:val="00C079F1"/>
    <w:rsid w:val="00C13B47"/>
    <w:rsid w:val="00C155B4"/>
    <w:rsid w:val="00C1782D"/>
    <w:rsid w:val="00C20B8A"/>
    <w:rsid w:val="00C20BEE"/>
    <w:rsid w:val="00C24F0F"/>
    <w:rsid w:val="00C34180"/>
    <w:rsid w:val="00C4130E"/>
    <w:rsid w:val="00C41EFC"/>
    <w:rsid w:val="00C45D90"/>
    <w:rsid w:val="00C50B10"/>
    <w:rsid w:val="00C5481C"/>
    <w:rsid w:val="00C551AD"/>
    <w:rsid w:val="00C56BE8"/>
    <w:rsid w:val="00C614AF"/>
    <w:rsid w:val="00C64BBB"/>
    <w:rsid w:val="00C6612B"/>
    <w:rsid w:val="00C66350"/>
    <w:rsid w:val="00C67123"/>
    <w:rsid w:val="00C703C1"/>
    <w:rsid w:val="00C729D6"/>
    <w:rsid w:val="00C739B1"/>
    <w:rsid w:val="00C808E5"/>
    <w:rsid w:val="00C81A2F"/>
    <w:rsid w:val="00C84EFB"/>
    <w:rsid w:val="00C90108"/>
    <w:rsid w:val="00C90EB4"/>
    <w:rsid w:val="00CA0219"/>
    <w:rsid w:val="00CA2D01"/>
    <w:rsid w:val="00CB1778"/>
    <w:rsid w:val="00CB7E7D"/>
    <w:rsid w:val="00CC038A"/>
    <w:rsid w:val="00CC23B0"/>
    <w:rsid w:val="00CD5843"/>
    <w:rsid w:val="00CD6033"/>
    <w:rsid w:val="00CD712E"/>
    <w:rsid w:val="00CD7AAF"/>
    <w:rsid w:val="00CF0B22"/>
    <w:rsid w:val="00CF305A"/>
    <w:rsid w:val="00D10820"/>
    <w:rsid w:val="00D118AD"/>
    <w:rsid w:val="00D15284"/>
    <w:rsid w:val="00D17F0A"/>
    <w:rsid w:val="00D20127"/>
    <w:rsid w:val="00D23E27"/>
    <w:rsid w:val="00D27B27"/>
    <w:rsid w:val="00D40BEF"/>
    <w:rsid w:val="00D4755A"/>
    <w:rsid w:val="00D47A2C"/>
    <w:rsid w:val="00D508E2"/>
    <w:rsid w:val="00D5146F"/>
    <w:rsid w:val="00D55D87"/>
    <w:rsid w:val="00D55F83"/>
    <w:rsid w:val="00D61A82"/>
    <w:rsid w:val="00D65A77"/>
    <w:rsid w:val="00D701CC"/>
    <w:rsid w:val="00D70C50"/>
    <w:rsid w:val="00D71DEC"/>
    <w:rsid w:val="00D769FB"/>
    <w:rsid w:val="00D81BCA"/>
    <w:rsid w:val="00D8603D"/>
    <w:rsid w:val="00D93418"/>
    <w:rsid w:val="00D97520"/>
    <w:rsid w:val="00DA2F53"/>
    <w:rsid w:val="00DA7246"/>
    <w:rsid w:val="00DB1E71"/>
    <w:rsid w:val="00DB4A4B"/>
    <w:rsid w:val="00DC0E3C"/>
    <w:rsid w:val="00DC2E47"/>
    <w:rsid w:val="00DC3FFD"/>
    <w:rsid w:val="00DC56D3"/>
    <w:rsid w:val="00DD0AF1"/>
    <w:rsid w:val="00DD246C"/>
    <w:rsid w:val="00DD2926"/>
    <w:rsid w:val="00DD311A"/>
    <w:rsid w:val="00DD4447"/>
    <w:rsid w:val="00DE056B"/>
    <w:rsid w:val="00DE1748"/>
    <w:rsid w:val="00DE4A2E"/>
    <w:rsid w:val="00DE4B0C"/>
    <w:rsid w:val="00DE4CBA"/>
    <w:rsid w:val="00DE552A"/>
    <w:rsid w:val="00DE5D44"/>
    <w:rsid w:val="00DE7DEF"/>
    <w:rsid w:val="00DE7E05"/>
    <w:rsid w:val="00DF48D6"/>
    <w:rsid w:val="00E01BB3"/>
    <w:rsid w:val="00E02561"/>
    <w:rsid w:val="00E031DE"/>
    <w:rsid w:val="00E06462"/>
    <w:rsid w:val="00E13942"/>
    <w:rsid w:val="00E16CCC"/>
    <w:rsid w:val="00E21BFB"/>
    <w:rsid w:val="00E31F56"/>
    <w:rsid w:val="00E501AC"/>
    <w:rsid w:val="00E521B1"/>
    <w:rsid w:val="00E52DB2"/>
    <w:rsid w:val="00E55B8F"/>
    <w:rsid w:val="00E57B85"/>
    <w:rsid w:val="00E62F27"/>
    <w:rsid w:val="00E713BF"/>
    <w:rsid w:val="00E7422C"/>
    <w:rsid w:val="00E74504"/>
    <w:rsid w:val="00E7560F"/>
    <w:rsid w:val="00E77CC8"/>
    <w:rsid w:val="00E846B1"/>
    <w:rsid w:val="00E90BB8"/>
    <w:rsid w:val="00E924FD"/>
    <w:rsid w:val="00E936DA"/>
    <w:rsid w:val="00E94077"/>
    <w:rsid w:val="00E95E29"/>
    <w:rsid w:val="00E97375"/>
    <w:rsid w:val="00EA3CBC"/>
    <w:rsid w:val="00EB0CBE"/>
    <w:rsid w:val="00EC184B"/>
    <w:rsid w:val="00EC4117"/>
    <w:rsid w:val="00ED414C"/>
    <w:rsid w:val="00ED4E80"/>
    <w:rsid w:val="00EE2D09"/>
    <w:rsid w:val="00EF04DE"/>
    <w:rsid w:val="00EF2FB2"/>
    <w:rsid w:val="00EF3110"/>
    <w:rsid w:val="00F03622"/>
    <w:rsid w:val="00F04F02"/>
    <w:rsid w:val="00F1208C"/>
    <w:rsid w:val="00F16E5D"/>
    <w:rsid w:val="00F2152F"/>
    <w:rsid w:val="00F2353D"/>
    <w:rsid w:val="00F326F1"/>
    <w:rsid w:val="00F32B65"/>
    <w:rsid w:val="00F3441D"/>
    <w:rsid w:val="00F4148E"/>
    <w:rsid w:val="00F51E0F"/>
    <w:rsid w:val="00F530A0"/>
    <w:rsid w:val="00F53378"/>
    <w:rsid w:val="00F60AAE"/>
    <w:rsid w:val="00F63976"/>
    <w:rsid w:val="00F64B99"/>
    <w:rsid w:val="00F72CAC"/>
    <w:rsid w:val="00F7360A"/>
    <w:rsid w:val="00F7484F"/>
    <w:rsid w:val="00F8174C"/>
    <w:rsid w:val="00F930C0"/>
    <w:rsid w:val="00F95DD3"/>
    <w:rsid w:val="00F972E7"/>
    <w:rsid w:val="00FA08D6"/>
    <w:rsid w:val="00FA36DD"/>
    <w:rsid w:val="00FB0E2E"/>
    <w:rsid w:val="00FB7083"/>
    <w:rsid w:val="00FC13AA"/>
    <w:rsid w:val="00FC2897"/>
    <w:rsid w:val="00FD60FF"/>
    <w:rsid w:val="00FE175F"/>
    <w:rsid w:val="00FE1A4B"/>
    <w:rsid w:val="00FE5F2A"/>
    <w:rsid w:val="00FE6CC4"/>
    <w:rsid w:val="00FF30B8"/>
    <w:rsid w:val="00FF3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7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vertAlign w:val="superscript"/>
    </w:rPr>
  </w:style>
  <w:style w:type="paragraph" w:styleId="ListParagraph">
    <w:name w:val="List Paragraph"/>
    <w:aliases w:val="Styl moj,Akapit z listą1,Akapit z listą11,Bullet 1,BulletPoints,List Paragraph1,Numbered para,Bullet point,List Paragraph11,Recommendation,BULLET,_CC_Bullet,Bullet1,Bullet List,Section 5,Bullets Points,BulletList 1,Bulletlist1,BulletList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Table Gridbeth,CMA Table Template,ASD Table"/>
    <w:basedOn w:val="TableNormal"/>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9110E5"/>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110E5"/>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semiHidden/>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Bullet 1 Char,BulletPoints Char,List Paragraph1 Char,Numbered para Char,Bullet point Char,List Paragraph11 Char,Recommendation Char,BULLET Char,_CC_Bullet Char,Bullet1 Char"/>
    <w:link w:val="ListParagraph"/>
    <w:uiPriority w:val="34"/>
    <w:qFormat/>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598F"/>
  </w:style>
  <w:style w:type="character" w:customStyle="1" w:styleId="eop">
    <w:name w:val="eop"/>
    <w:basedOn w:val="DefaultParagraphFont"/>
    <w:rsid w:val="007A598F"/>
  </w:style>
  <w:style w:type="paragraph" w:customStyle="1" w:styleId="Default">
    <w:name w:val="Default"/>
    <w:rsid w:val="00873D05"/>
    <w:pPr>
      <w:autoSpaceDE w:val="0"/>
      <w:autoSpaceDN w:val="0"/>
      <w:adjustRightInd w:val="0"/>
      <w:spacing w:after="0" w:line="240" w:lineRule="auto"/>
    </w:pPr>
    <w:rPr>
      <w:rFonts w:ascii="Cambria" w:hAnsi="Cambria" w:cs="Cambria"/>
      <w:color w:val="000000"/>
      <w:szCs w:val="24"/>
    </w:rPr>
  </w:style>
  <w:style w:type="paragraph" w:customStyle="1" w:styleId="TableName">
    <w:name w:val="TableName"/>
    <w:basedOn w:val="Normal"/>
    <w:qFormat/>
    <w:rsid w:val="00FA08D6"/>
    <w:pPr>
      <w:keepNext/>
      <w:spacing w:line="259" w:lineRule="auto"/>
      <w:ind w:left="1134" w:hanging="1134"/>
    </w:pPr>
    <w:rPr>
      <w:rFonts w:ascii="Arial Narrow" w:eastAsiaTheme="minorHAnsi" w:hAnsi="Arial Narrow" w:cstheme="minorBidi"/>
      <w:b/>
      <w:bCs/>
      <w:sz w:val="20"/>
      <w:lang w:eastAsia="en-US"/>
    </w:rPr>
  </w:style>
  <w:style w:type="paragraph" w:customStyle="1" w:styleId="Tablenotes0">
    <w:name w:val="Table notes"/>
    <w:basedOn w:val="Normal"/>
    <w:link w:val="TablenotesChar0"/>
    <w:qFormat/>
    <w:rsid w:val="00FA08D6"/>
    <w:pPr>
      <w:spacing w:after="240" w:line="259" w:lineRule="auto"/>
      <w:contextualSpacing/>
      <w:jc w:val="both"/>
    </w:pPr>
    <w:rPr>
      <w:rFonts w:ascii="Arial Narrow" w:eastAsiaTheme="minorHAnsi" w:hAnsi="Arial Narrow" w:cs="Arial"/>
      <w:sz w:val="20"/>
      <w:lang w:eastAsia="en-US"/>
    </w:rPr>
  </w:style>
  <w:style w:type="character" w:customStyle="1" w:styleId="TablenotesChar0">
    <w:name w:val="Table notes Char"/>
    <w:basedOn w:val="DefaultParagraphFont"/>
    <w:link w:val="Tablenotes0"/>
    <w:rsid w:val="00FA08D6"/>
    <w:rPr>
      <w:rFonts w:ascii="Arial Narrow" w:hAnsi="Arial Narrow" w:cs="Arial"/>
      <w:sz w:val="20"/>
      <w:szCs w:val="20"/>
    </w:rPr>
  </w:style>
  <w:style w:type="paragraph" w:customStyle="1" w:styleId="TableHeading0">
    <w:name w:val="Table Heading"/>
    <w:basedOn w:val="Normal"/>
    <w:qFormat/>
    <w:rsid w:val="00992109"/>
    <w:pPr>
      <w:tabs>
        <w:tab w:val="left" w:pos="851"/>
      </w:tabs>
      <w:spacing w:after="60" w:line="259" w:lineRule="auto"/>
      <w:ind w:left="851" w:hanging="851"/>
    </w:pPr>
    <w:rPr>
      <w:rFonts w:ascii="Arial Narrow" w:eastAsiaTheme="minorHAnsi" w:hAnsi="Arial Narrow" w:cstheme="minorBidi"/>
      <w:b/>
      <w:sz w:val="20"/>
      <w:lang w:eastAsia="en-US"/>
    </w:rPr>
  </w:style>
  <w:style w:type="paragraph" w:customStyle="1" w:styleId="NormalBeforeBullet">
    <w:name w:val="Normal Before Bullet"/>
    <w:basedOn w:val="Normal"/>
    <w:qFormat/>
    <w:rsid w:val="00F03622"/>
    <w:pPr>
      <w:keepNext/>
      <w:spacing w:after="120" w:line="259" w:lineRule="auto"/>
    </w:pPr>
    <w:rPr>
      <w:rFonts w:ascii="Proxima Nova" w:eastAsiaTheme="minorHAnsi" w:hAnsi="Proxima Nova" w:cstheme="minorBidi"/>
      <w:sz w:val="20"/>
      <w:lang w:eastAsia="en-US"/>
    </w:rPr>
  </w:style>
  <w:style w:type="paragraph" w:customStyle="1" w:styleId="TableLeft">
    <w:name w:val="Table Left"/>
    <w:basedOn w:val="Normal"/>
    <w:link w:val="TableLeftChar"/>
    <w:uiPriority w:val="5"/>
    <w:qFormat/>
    <w:rsid w:val="00C4130E"/>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5"/>
    <w:locked/>
    <w:rsid w:val="00C4130E"/>
    <w:rPr>
      <w:rFonts w:ascii="Arial Narrow" w:eastAsiaTheme="majorEastAsia" w:hAnsi="Arial Narrow" w:cstheme="majorBidi"/>
      <w:sz w:val="20"/>
      <w:lang w:bidi="en-US"/>
    </w:rPr>
  </w:style>
  <w:style w:type="paragraph" w:customStyle="1" w:styleId="TableText0">
    <w:name w:val="TableText"/>
    <w:basedOn w:val="Normal"/>
    <w:rsid w:val="00D97520"/>
    <w:pPr>
      <w:keepNext/>
      <w:spacing w:before="60" w:after="60"/>
    </w:pPr>
    <w:rPr>
      <w:color w:val="000000"/>
      <w:sz w:val="21"/>
      <w:szCs w:val="21"/>
    </w:rPr>
  </w:style>
  <w:style w:type="paragraph" w:customStyle="1" w:styleId="TableBullet">
    <w:name w:val="TableBullet"/>
    <w:basedOn w:val="TableText0"/>
    <w:rsid w:val="00D97520"/>
    <w:pPr>
      <w:numPr>
        <w:numId w:val="20"/>
      </w:numPr>
      <w:tabs>
        <w:tab w:val="clear" w:pos="360"/>
        <w:tab w:val="left" w:pos="216"/>
      </w:tabs>
      <w:ind w:left="216" w:hanging="216"/>
    </w:pPr>
  </w:style>
  <w:style w:type="paragraph" w:customStyle="1" w:styleId="BulletBeforeDash">
    <w:name w:val="BulletBeforeDash"/>
    <w:basedOn w:val="Normal"/>
    <w:rsid w:val="00D97520"/>
    <w:pPr>
      <w:numPr>
        <w:numId w:val="21"/>
      </w:numPr>
      <w:ind w:left="720"/>
    </w:pPr>
    <w:rPr>
      <w:color w:val="000000"/>
    </w:rPr>
  </w:style>
  <w:style w:type="paragraph" w:customStyle="1" w:styleId="Bullet">
    <w:name w:val="Bullet"/>
    <w:basedOn w:val="BulletBeforeDash"/>
    <w:qFormat/>
    <w:rsid w:val="00D97520"/>
    <w:pPr>
      <w:spacing w:after="120"/>
    </w:pPr>
  </w:style>
  <w:style w:type="paragraph" w:customStyle="1" w:styleId="BulletLast">
    <w:name w:val="BulletLast"/>
    <w:basedOn w:val="Bullet"/>
    <w:qFormat/>
    <w:rsid w:val="00D97520"/>
    <w:pPr>
      <w:spacing w:after="240"/>
    </w:pPr>
  </w:style>
  <w:style w:type="paragraph" w:customStyle="1" w:styleId="NormalBeforeBullet0">
    <w:name w:val="NormalBeforeBullet"/>
    <w:basedOn w:val="Normal"/>
    <w:qFormat/>
    <w:rsid w:val="00D97520"/>
    <w:pPr>
      <w:keepNext/>
      <w:spacing w:after="120"/>
    </w:pPr>
    <w:rPr>
      <w:color w:val="000000"/>
    </w:rPr>
  </w:style>
  <w:style w:type="paragraph" w:styleId="Revision">
    <w:name w:val="Revision"/>
    <w:hidden/>
    <w:uiPriority w:val="99"/>
    <w:semiHidden/>
    <w:rsid w:val="002727C3"/>
    <w:pPr>
      <w:spacing w:after="0" w:line="240" w:lineRule="auto"/>
    </w:pPr>
    <w:rPr>
      <w:rFonts w:eastAsia="Times New Roman" w:cs="Times New Roman"/>
      <w:szCs w:val="20"/>
      <w:lang w:eastAsia="en-AU"/>
    </w:rPr>
  </w:style>
  <w:style w:type="paragraph" w:styleId="Title">
    <w:name w:val="Title"/>
    <w:basedOn w:val="Normal"/>
    <w:next w:val="Normal"/>
    <w:link w:val="TitleChar"/>
    <w:qFormat/>
    <w:rsid w:val="007430E7"/>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7430E7"/>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430E7"/>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7430E7"/>
    <w:rPr>
      <w:rFonts w:ascii="Arial" w:eastAsia="Times New Roman" w:hAnsi="Arial" w:cs="Arial"/>
      <w:b/>
      <w:bCs/>
      <w:i/>
      <w:color w:val="000080"/>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47007">
      <w:bodyDiv w:val="1"/>
      <w:marLeft w:val="0"/>
      <w:marRight w:val="0"/>
      <w:marTop w:val="0"/>
      <w:marBottom w:val="0"/>
      <w:divBdr>
        <w:top w:val="none" w:sz="0" w:space="0" w:color="auto"/>
        <w:left w:val="none" w:sz="0" w:space="0" w:color="auto"/>
        <w:bottom w:val="none" w:sz="0" w:space="0" w:color="auto"/>
        <w:right w:val="none" w:sz="0" w:space="0" w:color="auto"/>
      </w:divBdr>
    </w:div>
    <w:div w:id="1161657418">
      <w:bodyDiv w:val="1"/>
      <w:marLeft w:val="0"/>
      <w:marRight w:val="0"/>
      <w:marTop w:val="0"/>
      <w:marBottom w:val="0"/>
      <w:divBdr>
        <w:top w:val="none" w:sz="0" w:space="0" w:color="auto"/>
        <w:left w:val="none" w:sz="0" w:space="0" w:color="auto"/>
        <w:bottom w:val="none" w:sz="0" w:space="0" w:color="auto"/>
        <w:right w:val="none" w:sz="0" w:space="0" w:color="auto"/>
      </w:divBdr>
      <w:divsChild>
        <w:div w:id="1954092309">
          <w:marLeft w:val="547"/>
          <w:marRight w:val="0"/>
          <w:marTop w:val="96"/>
          <w:marBottom w:val="0"/>
          <w:divBdr>
            <w:top w:val="none" w:sz="0" w:space="0" w:color="auto"/>
            <w:left w:val="none" w:sz="0" w:space="0" w:color="auto"/>
            <w:bottom w:val="none" w:sz="0" w:space="0" w:color="auto"/>
            <w:right w:val="none" w:sz="0" w:space="0" w:color="auto"/>
          </w:divBdr>
        </w:div>
      </w:divsChild>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385107691">
      <w:bodyDiv w:val="1"/>
      <w:marLeft w:val="0"/>
      <w:marRight w:val="0"/>
      <w:marTop w:val="0"/>
      <w:marBottom w:val="0"/>
      <w:divBdr>
        <w:top w:val="none" w:sz="0" w:space="0" w:color="auto"/>
        <w:left w:val="none" w:sz="0" w:space="0" w:color="auto"/>
        <w:bottom w:val="none" w:sz="0" w:space="0" w:color="auto"/>
        <w:right w:val="none" w:sz="0" w:space="0" w:color="auto"/>
      </w:divBdr>
    </w:div>
    <w:div w:id="1461679599">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ED02-ED34-404A-B211-58460767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11136</Words>
  <Characters>61809</Characters>
  <Application>Microsoft Office Word</Application>
  <DocSecurity>0</DocSecurity>
  <Lines>1471</Lines>
  <Paragraphs>828</Paragraphs>
  <ScaleCrop>false</ScaleCrop>
  <Company/>
  <LinksUpToDate>false</LinksUpToDate>
  <CharactersWithSpaces>72117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2023-09-27T23:13:00Z</dcterms:created>
  <dcterms:modified xsi:type="dcterms:W3CDTF">2023-09-27T23:17:00Z</dcterms:modified>
</cp:coreProperties>
</file>